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B1EE7">
      <w:pPr>
        <w:tabs>
          <w:tab w:val="left" w:pos="8040"/>
        </w:tabs>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48"/>
          <w:szCs w:val="48"/>
          <w:highlight w:val="none"/>
          <w:lang w:eastAsia="zh-CN"/>
        </w:rPr>
        <w:t>新和县碳达峰碳中和规划（含煤炭消费控制总量、全县碳排放总量摸排）</w:t>
      </w:r>
    </w:p>
    <w:p w14:paraId="4B06AE1D">
      <w:pPr>
        <w:tabs>
          <w:tab w:val="left" w:pos="8040"/>
        </w:tabs>
        <w:spacing w:line="360" w:lineRule="auto"/>
        <w:jc w:val="center"/>
        <w:rPr>
          <w:rFonts w:hint="eastAsia" w:ascii="仿宋" w:hAnsi="仿宋" w:eastAsia="仿宋" w:cs="仿宋"/>
          <w:color w:val="auto"/>
          <w:sz w:val="32"/>
          <w:szCs w:val="32"/>
          <w:highlight w:val="none"/>
        </w:rPr>
      </w:pPr>
    </w:p>
    <w:p w14:paraId="5EE30B8A">
      <w:pPr>
        <w:spacing w:line="360" w:lineRule="auto"/>
        <w:rPr>
          <w:rFonts w:hint="eastAsia" w:ascii="仿宋" w:hAnsi="仿宋" w:eastAsia="仿宋" w:cs="仿宋"/>
          <w:color w:val="auto"/>
          <w:sz w:val="32"/>
          <w:szCs w:val="32"/>
          <w:highlight w:val="none"/>
        </w:rPr>
      </w:pPr>
    </w:p>
    <w:p w14:paraId="51293AAE">
      <w:pPr>
        <w:spacing w:line="360" w:lineRule="auto"/>
        <w:jc w:val="center"/>
        <w:rPr>
          <w:rFonts w:hint="eastAsia" w:ascii="仿宋" w:hAnsi="仿宋" w:eastAsia="仿宋" w:cs="仿宋"/>
          <w:b/>
          <w:bCs/>
          <w:color w:val="auto"/>
          <w:sz w:val="32"/>
          <w:szCs w:val="32"/>
          <w:highlight w:val="none"/>
        </w:rPr>
      </w:pPr>
    </w:p>
    <w:p w14:paraId="70912980">
      <w:pPr>
        <w:spacing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AKSQJ-2026-015</w:t>
      </w:r>
    </w:p>
    <w:p w14:paraId="5FD89E15">
      <w:pPr>
        <w:spacing w:line="360" w:lineRule="auto"/>
        <w:rPr>
          <w:rFonts w:hint="eastAsia" w:ascii="仿宋" w:hAnsi="仿宋" w:eastAsia="仿宋" w:cs="仿宋"/>
          <w:b/>
          <w:bCs/>
          <w:color w:val="auto"/>
          <w:sz w:val="32"/>
          <w:szCs w:val="32"/>
          <w:highlight w:val="none"/>
        </w:rPr>
      </w:pPr>
    </w:p>
    <w:p w14:paraId="32EB17A9">
      <w:pPr>
        <w:spacing w:line="360" w:lineRule="auto"/>
        <w:jc w:val="center"/>
        <w:rPr>
          <w:rFonts w:hint="eastAsia" w:ascii="仿宋" w:hAnsi="仿宋" w:eastAsia="仿宋" w:cs="仿宋"/>
          <w:b/>
          <w:bCs/>
          <w:color w:val="auto"/>
          <w:sz w:val="24"/>
          <w:szCs w:val="24"/>
          <w:highlight w:val="none"/>
        </w:rPr>
      </w:pPr>
    </w:p>
    <w:p w14:paraId="11800D3F">
      <w:pPr>
        <w:spacing w:line="360" w:lineRule="auto"/>
        <w:rPr>
          <w:rFonts w:hint="eastAsia" w:ascii="仿宋" w:hAnsi="仿宋" w:eastAsia="仿宋" w:cs="仿宋"/>
          <w:b/>
          <w:bCs/>
          <w:color w:val="auto"/>
          <w:sz w:val="24"/>
          <w:szCs w:val="24"/>
          <w:highlight w:val="none"/>
        </w:rPr>
      </w:pPr>
    </w:p>
    <w:p w14:paraId="7C43D3B0">
      <w:pPr>
        <w:spacing w:line="360" w:lineRule="auto"/>
        <w:jc w:val="center"/>
        <w:rPr>
          <w:rFonts w:hint="eastAsia" w:ascii="仿宋" w:hAnsi="仿宋" w:eastAsia="仿宋" w:cs="仿宋"/>
          <w:b/>
          <w:bCs/>
          <w:color w:val="auto"/>
          <w:sz w:val="24"/>
          <w:szCs w:val="24"/>
          <w:highlight w:val="none"/>
        </w:rPr>
      </w:pPr>
    </w:p>
    <w:p w14:paraId="57C40F66">
      <w:pPr>
        <w:spacing w:line="360" w:lineRule="auto"/>
        <w:jc w:val="center"/>
        <w:rPr>
          <w:rFonts w:hint="eastAsia" w:ascii="仿宋" w:hAnsi="仿宋" w:eastAsia="仿宋" w:cs="仿宋"/>
          <w:b/>
          <w:bCs/>
          <w:color w:val="auto"/>
          <w:sz w:val="24"/>
          <w:szCs w:val="24"/>
          <w:highlight w:val="none"/>
        </w:rPr>
      </w:pPr>
    </w:p>
    <w:p w14:paraId="7BC765CB">
      <w:pPr>
        <w:spacing w:line="360" w:lineRule="auto"/>
        <w:jc w:val="center"/>
        <w:rPr>
          <w:rFonts w:hint="eastAsia" w:ascii="仿宋" w:hAnsi="仿宋" w:eastAsia="仿宋" w:cs="仿宋"/>
          <w:b/>
          <w:bCs/>
          <w:color w:val="auto"/>
          <w:sz w:val="56"/>
          <w:szCs w:val="56"/>
          <w:highlight w:val="none"/>
        </w:rPr>
      </w:pPr>
      <w:bookmarkStart w:id="0" w:name="_Toc13690"/>
      <w:r>
        <w:rPr>
          <w:rFonts w:hint="eastAsia" w:ascii="仿宋" w:hAnsi="仿宋" w:eastAsia="仿宋" w:cs="仿宋"/>
          <w:b/>
          <w:bCs/>
          <w:color w:val="auto"/>
          <w:sz w:val="56"/>
          <w:szCs w:val="56"/>
          <w:highlight w:val="none"/>
        </w:rPr>
        <w:t>竞争性磋商文件</w:t>
      </w:r>
      <w:bookmarkEnd w:id="0"/>
    </w:p>
    <w:p w14:paraId="3D78DA24">
      <w:pPr>
        <w:spacing w:line="360" w:lineRule="auto"/>
        <w:jc w:val="center"/>
        <w:rPr>
          <w:rFonts w:hint="eastAsia" w:ascii="仿宋" w:hAnsi="仿宋" w:eastAsia="仿宋" w:cs="仿宋"/>
          <w:b/>
          <w:bCs/>
          <w:color w:val="auto"/>
          <w:sz w:val="28"/>
          <w:szCs w:val="28"/>
          <w:highlight w:val="none"/>
        </w:rPr>
      </w:pPr>
    </w:p>
    <w:p w14:paraId="40401A2D">
      <w:pPr>
        <w:spacing w:line="360" w:lineRule="auto"/>
        <w:jc w:val="center"/>
        <w:rPr>
          <w:rFonts w:hint="eastAsia" w:ascii="仿宋" w:hAnsi="仿宋" w:eastAsia="仿宋" w:cs="仿宋"/>
          <w:b/>
          <w:bCs/>
          <w:color w:val="auto"/>
          <w:sz w:val="28"/>
          <w:szCs w:val="28"/>
          <w:highlight w:val="none"/>
        </w:rPr>
      </w:pPr>
    </w:p>
    <w:p w14:paraId="418FFD16">
      <w:pPr>
        <w:spacing w:line="360" w:lineRule="auto"/>
        <w:jc w:val="center"/>
        <w:rPr>
          <w:rFonts w:hint="eastAsia" w:ascii="仿宋" w:hAnsi="仿宋" w:eastAsia="仿宋" w:cs="仿宋"/>
          <w:b/>
          <w:bCs/>
          <w:color w:val="auto"/>
          <w:sz w:val="28"/>
          <w:szCs w:val="28"/>
          <w:highlight w:val="none"/>
        </w:rPr>
      </w:pPr>
    </w:p>
    <w:p w14:paraId="54A0BC4E">
      <w:pPr>
        <w:spacing w:line="360" w:lineRule="auto"/>
        <w:jc w:val="center"/>
        <w:rPr>
          <w:rFonts w:hint="eastAsia" w:ascii="仿宋" w:hAnsi="仿宋" w:eastAsia="仿宋" w:cs="仿宋"/>
          <w:b/>
          <w:bCs/>
          <w:color w:val="auto"/>
          <w:sz w:val="28"/>
          <w:szCs w:val="28"/>
          <w:highlight w:val="none"/>
        </w:rPr>
      </w:pPr>
    </w:p>
    <w:p w14:paraId="6594611F">
      <w:pPr>
        <w:spacing w:line="360" w:lineRule="auto"/>
        <w:jc w:val="center"/>
        <w:rPr>
          <w:rFonts w:hint="eastAsia" w:ascii="仿宋" w:hAnsi="仿宋" w:eastAsia="仿宋" w:cs="仿宋"/>
          <w:b/>
          <w:bCs/>
          <w:color w:val="auto"/>
          <w:sz w:val="28"/>
          <w:szCs w:val="28"/>
          <w:highlight w:val="none"/>
        </w:rPr>
      </w:pPr>
    </w:p>
    <w:p w14:paraId="2948C9C4">
      <w:pPr>
        <w:spacing w:line="360" w:lineRule="auto"/>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 购 人：</w:t>
      </w:r>
      <w:r>
        <w:rPr>
          <w:rFonts w:hint="eastAsia" w:ascii="仿宋" w:hAnsi="仿宋" w:eastAsia="仿宋" w:cs="仿宋"/>
          <w:b/>
          <w:bCs/>
          <w:color w:val="auto"/>
          <w:sz w:val="32"/>
          <w:szCs w:val="32"/>
          <w:highlight w:val="none"/>
          <w:lang w:eastAsia="zh-CN"/>
        </w:rPr>
        <w:t>新和县发展和改革委员会</w:t>
      </w:r>
    </w:p>
    <w:p w14:paraId="790AEAA2">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采购代理机构：阿克苏启爵项目管理有限公司</w:t>
      </w:r>
    </w:p>
    <w:p w14:paraId="2DF987A3">
      <w:pPr>
        <w:spacing w:line="360" w:lineRule="auto"/>
        <w:rPr>
          <w:rFonts w:hint="eastAsia" w:ascii="仿宋" w:hAnsi="仿宋" w:eastAsia="仿宋" w:cs="仿宋"/>
          <w:b/>
          <w:bCs/>
          <w:color w:val="auto"/>
          <w:sz w:val="32"/>
          <w:szCs w:val="32"/>
          <w:highlight w:val="none"/>
          <w:u w:val="single"/>
        </w:rPr>
      </w:pPr>
    </w:p>
    <w:p w14:paraId="03A856CD">
      <w:pPr>
        <w:spacing w:line="360" w:lineRule="auto"/>
        <w:rPr>
          <w:rFonts w:hint="eastAsia" w:ascii="仿宋" w:hAnsi="仿宋" w:eastAsia="仿宋" w:cs="仿宋"/>
          <w:b/>
          <w:bCs/>
          <w:color w:val="auto"/>
          <w:sz w:val="36"/>
          <w:szCs w:val="36"/>
          <w:highlight w:val="none"/>
        </w:rPr>
      </w:pPr>
    </w:p>
    <w:p w14:paraId="2E11A304">
      <w:pPr>
        <w:spacing w:line="360" w:lineRule="auto"/>
        <w:jc w:val="center"/>
        <w:rPr>
          <w:rFonts w:hint="eastAsia" w:ascii="仿宋" w:hAnsi="仿宋" w:eastAsia="仿宋" w:cs="仿宋"/>
          <w:b/>
          <w:bCs/>
          <w:color w:val="auto"/>
          <w:sz w:val="36"/>
          <w:szCs w:val="36"/>
          <w:highlight w:val="none"/>
        </w:rPr>
        <w:sectPr>
          <w:headerReference r:id="rId4" w:type="first"/>
          <w:footerReference r:id="rId6" w:type="first"/>
          <w:headerReference r:id="rId3" w:type="default"/>
          <w:footerReference r:id="rId5" w:type="even"/>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月</w:t>
      </w:r>
    </w:p>
    <w:p w14:paraId="37286F69">
      <w:pPr>
        <w:spacing w:line="360" w:lineRule="auto"/>
        <w:rPr>
          <w:rFonts w:hint="eastAsia" w:ascii="仿宋" w:hAnsi="仿宋" w:eastAsia="仿宋" w:cs="仿宋"/>
          <w:color w:val="auto"/>
          <w:sz w:val="36"/>
          <w:szCs w:val="40"/>
          <w:highlight w:val="none"/>
        </w:rPr>
      </w:pPr>
      <w:r>
        <w:rPr>
          <w:rFonts w:hint="eastAsia" w:ascii="仿宋" w:hAnsi="仿宋" w:eastAsia="仿宋" w:cs="仿宋"/>
          <w:color w:val="auto"/>
          <w:sz w:val="36"/>
          <w:szCs w:val="40"/>
          <w:highlight w:val="none"/>
        </w:rPr>
        <w:br w:type="page"/>
      </w:r>
    </w:p>
    <w:p w14:paraId="2E347EB1">
      <w:pPr>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竞争性磋商文件</w:t>
      </w:r>
    </w:p>
    <w:p w14:paraId="2711C8D4">
      <w:pPr>
        <w:spacing w:line="360" w:lineRule="auto"/>
        <w:ind w:left="-199"/>
        <w:jc w:val="center"/>
        <w:rPr>
          <w:rFonts w:hint="eastAsia" w:ascii="仿宋" w:hAnsi="仿宋" w:eastAsia="仿宋" w:cs="仿宋"/>
          <w:b/>
          <w:bCs/>
          <w:color w:val="auto"/>
          <w:sz w:val="32"/>
          <w:szCs w:val="32"/>
          <w:highlight w:val="none"/>
        </w:rPr>
      </w:pPr>
    </w:p>
    <w:p w14:paraId="55A46CA7">
      <w:pPr>
        <w:widowControl/>
        <w:spacing w:line="360" w:lineRule="auto"/>
        <w:jc w:val="left"/>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项目名称：</w:t>
      </w:r>
      <w:r>
        <w:rPr>
          <w:rFonts w:hint="eastAsia" w:ascii="仿宋" w:hAnsi="仿宋" w:eastAsia="仿宋" w:cs="仿宋"/>
          <w:b/>
          <w:bCs w:val="0"/>
          <w:color w:val="auto"/>
          <w:sz w:val="30"/>
          <w:szCs w:val="30"/>
          <w:highlight w:val="none"/>
          <w:lang w:eastAsia="zh-CN"/>
        </w:rPr>
        <w:t>新和县碳达峰碳中和规划（含煤炭消费控制总量、全县碳排放总量摸排）</w:t>
      </w:r>
    </w:p>
    <w:p w14:paraId="3B88023B">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招标人（公章）：</w:t>
      </w:r>
      <w:r>
        <w:rPr>
          <w:rFonts w:hint="eastAsia" w:ascii="仿宋" w:hAnsi="仿宋" w:eastAsia="仿宋" w:cs="仿宋"/>
          <w:b/>
          <w:bCs w:val="0"/>
          <w:color w:val="auto"/>
          <w:sz w:val="30"/>
          <w:szCs w:val="30"/>
          <w:highlight w:val="none"/>
          <w:lang w:eastAsia="zh-CN"/>
        </w:rPr>
        <w:t>新和县发展和改革委员会</w:t>
      </w:r>
    </w:p>
    <w:p w14:paraId="3787DC28">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法定代表人或授权委托人（签章）：</w:t>
      </w:r>
    </w:p>
    <w:p w14:paraId="1E290FB2">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联系人：</w:t>
      </w:r>
      <w:r>
        <w:rPr>
          <w:rFonts w:hint="eastAsia" w:ascii="仿宋" w:hAnsi="仿宋" w:eastAsia="仿宋" w:cs="仿宋"/>
          <w:b/>
          <w:bCs w:val="0"/>
          <w:color w:val="auto"/>
          <w:sz w:val="30"/>
          <w:szCs w:val="30"/>
          <w:highlight w:val="none"/>
          <w:lang w:eastAsia="zh-CN"/>
        </w:rPr>
        <w:t>何鹏</w:t>
      </w:r>
    </w:p>
    <w:p w14:paraId="519060F6">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电话：</w:t>
      </w:r>
      <w:r>
        <w:rPr>
          <w:rFonts w:hint="eastAsia" w:ascii="仿宋" w:hAnsi="仿宋" w:eastAsia="仿宋" w:cs="仿宋"/>
          <w:b/>
          <w:bCs w:val="0"/>
          <w:color w:val="auto"/>
          <w:sz w:val="30"/>
          <w:szCs w:val="30"/>
          <w:highlight w:val="none"/>
          <w:lang w:val="zh-CN"/>
        </w:rPr>
        <w:t>15160872671</w:t>
      </w:r>
    </w:p>
    <w:p w14:paraId="1DB9FDDF">
      <w:pPr>
        <w:spacing w:line="360" w:lineRule="auto"/>
        <w:rPr>
          <w:rFonts w:hint="eastAsia" w:ascii="仿宋" w:hAnsi="仿宋" w:eastAsia="仿宋" w:cs="仿宋"/>
          <w:b/>
          <w:bCs w:val="0"/>
          <w:color w:val="auto"/>
          <w:sz w:val="30"/>
          <w:szCs w:val="30"/>
          <w:highlight w:val="none"/>
        </w:rPr>
      </w:pPr>
    </w:p>
    <w:p w14:paraId="0F655AED">
      <w:pPr>
        <w:spacing w:line="360" w:lineRule="auto"/>
        <w:rPr>
          <w:rFonts w:hint="eastAsia" w:ascii="仿宋" w:hAnsi="仿宋" w:eastAsia="仿宋" w:cs="仿宋"/>
          <w:b/>
          <w:bCs w:val="0"/>
          <w:color w:val="auto"/>
          <w:sz w:val="30"/>
          <w:szCs w:val="30"/>
          <w:highlight w:val="none"/>
        </w:rPr>
      </w:pPr>
    </w:p>
    <w:p w14:paraId="597C395A">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招标代理机构：</w:t>
      </w:r>
      <w:r>
        <w:rPr>
          <w:rFonts w:hint="eastAsia" w:ascii="仿宋" w:hAnsi="仿宋" w:eastAsia="仿宋" w:cs="仿宋"/>
          <w:b/>
          <w:bCs w:val="0"/>
          <w:color w:val="auto"/>
          <w:sz w:val="30"/>
          <w:szCs w:val="30"/>
          <w:highlight w:val="none"/>
          <w:lang w:val="zh-CN"/>
        </w:rPr>
        <w:t>阿克苏启爵项目管理有限</w:t>
      </w:r>
      <w:r>
        <w:rPr>
          <w:rFonts w:hint="eastAsia" w:ascii="仿宋" w:hAnsi="仿宋" w:eastAsia="仿宋" w:cs="仿宋"/>
          <w:b/>
          <w:bCs w:val="0"/>
          <w:color w:val="auto"/>
          <w:sz w:val="30"/>
          <w:szCs w:val="30"/>
          <w:highlight w:val="none"/>
        </w:rPr>
        <w:t>公司</w:t>
      </w:r>
    </w:p>
    <w:p w14:paraId="255D5ACC">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法定代表人（签章）：</w:t>
      </w:r>
    </w:p>
    <w:p w14:paraId="7A99E7F0">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联系人：刘荣英、</w:t>
      </w:r>
      <w:r>
        <w:rPr>
          <w:rFonts w:hint="eastAsia" w:ascii="仿宋" w:hAnsi="仿宋" w:eastAsia="仿宋" w:cs="仿宋"/>
          <w:b/>
          <w:bCs w:val="0"/>
          <w:color w:val="auto"/>
          <w:sz w:val="30"/>
          <w:szCs w:val="30"/>
          <w:highlight w:val="none"/>
          <w:lang w:eastAsia="zh-CN"/>
        </w:rPr>
        <w:t>赵世昌</w:t>
      </w:r>
    </w:p>
    <w:p w14:paraId="0BAD48F1">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电话：18799952512、</w:t>
      </w:r>
      <w:r>
        <w:rPr>
          <w:rFonts w:hint="eastAsia" w:ascii="仿宋" w:hAnsi="仿宋" w:eastAsia="仿宋" w:cs="仿宋"/>
          <w:b/>
          <w:bCs w:val="0"/>
          <w:color w:val="auto"/>
          <w:sz w:val="30"/>
          <w:szCs w:val="30"/>
          <w:highlight w:val="none"/>
          <w:lang w:eastAsia="zh-CN"/>
        </w:rPr>
        <w:t>15599778673</w:t>
      </w:r>
    </w:p>
    <w:p w14:paraId="11BCB35D">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联系地址：</w:t>
      </w:r>
      <w:r>
        <w:rPr>
          <w:rFonts w:hint="eastAsia" w:ascii="仿宋" w:hAnsi="仿宋" w:eastAsia="仿宋" w:cs="仿宋"/>
          <w:b/>
          <w:bCs w:val="0"/>
          <w:color w:val="auto"/>
          <w:sz w:val="30"/>
          <w:szCs w:val="30"/>
          <w:highlight w:val="none"/>
          <w:lang w:val="zh-CN"/>
        </w:rPr>
        <w:t>阿克苏市依干其镇依干其村滨河路电影小镇7号楼101</w:t>
      </w:r>
    </w:p>
    <w:p w14:paraId="1FB08E68">
      <w:pPr>
        <w:spacing w:line="360" w:lineRule="auto"/>
        <w:rPr>
          <w:rFonts w:hint="eastAsia" w:ascii="仿宋" w:hAnsi="仿宋" w:eastAsia="仿宋" w:cs="仿宋"/>
          <w:b/>
          <w:bCs w:val="0"/>
          <w:color w:val="auto"/>
          <w:sz w:val="30"/>
          <w:szCs w:val="30"/>
          <w:highlight w:val="none"/>
        </w:rPr>
      </w:pPr>
    </w:p>
    <w:p w14:paraId="0EBF3652">
      <w:pPr>
        <w:spacing w:line="360" w:lineRule="auto"/>
        <w:rPr>
          <w:rFonts w:hint="eastAsia" w:ascii="仿宋" w:hAnsi="仿宋" w:eastAsia="仿宋" w:cs="仿宋"/>
          <w:b/>
          <w:bCs w:val="0"/>
          <w:color w:val="auto"/>
          <w:sz w:val="30"/>
          <w:szCs w:val="30"/>
          <w:highlight w:val="none"/>
        </w:rPr>
      </w:pPr>
    </w:p>
    <w:p w14:paraId="5CD32C1F">
      <w:pPr>
        <w:spacing w:line="360" w:lineRule="auto"/>
        <w:jc w:val="center"/>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202</w:t>
      </w:r>
      <w:r>
        <w:rPr>
          <w:rFonts w:hint="eastAsia" w:ascii="仿宋" w:hAnsi="仿宋" w:eastAsia="仿宋" w:cs="仿宋"/>
          <w:b/>
          <w:bCs w:val="0"/>
          <w:color w:val="auto"/>
          <w:sz w:val="30"/>
          <w:szCs w:val="30"/>
          <w:highlight w:val="none"/>
          <w:lang w:val="en-US" w:eastAsia="zh-CN"/>
        </w:rPr>
        <w:t>6</w:t>
      </w:r>
      <w:r>
        <w:rPr>
          <w:rFonts w:hint="eastAsia" w:ascii="仿宋" w:hAnsi="仿宋" w:eastAsia="仿宋" w:cs="仿宋"/>
          <w:b/>
          <w:bCs w:val="0"/>
          <w:color w:val="auto"/>
          <w:sz w:val="30"/>
          <w:szCs w:val="30"/>
          <w:highlight w:val="none"/>
        </w:rPr>
        <w:t>年</w:t>
      </w:r>
      <w:r>
        <w:rPr>
          <w:rFonts w:hint="eastAsia" w:ascii="仿宋" w:hAnsi="仿宋" w:eastAsia="仿宋" w:cs="仿宋"/>
          <w:b/>
          <w:bCs w:val="0"/>
          <w:color w:val="auto"/>
          <w:sz w:val="30"/>
          <w:szCs w:val="30"/>
          <w:highlight w:val="none"/>
          <w:lang w:val="en-US" w:eastAsia="zh-CN"/>
        </w:rPr>
        <w:t>4</w:t>
      </w:r>
      <w:r>
        <w:rPr>
          <w:rFonts w:hint="eastAsia" w:ascii="仿宋" w:hAnsi="仿宋" w:eastAsia="仿宋" w:cs="仿宋"/>
          <w:b/>
          <w:bCs w:val="0"/>
          <w:color w:val="auto"/>
          <w:sz w:val="30"/>
          <w:szCs w:val="30"/>
          <w:highlight w:val="none"/>
        </w:rPr>
        <w:t>月</w:t>
      </w:r>
    </w:p>
    <w:p w14:paraId="4D22D9E8">
      <w:pPr>
        <w:pStyle w:val="35"/>
        <w:spacing w:line="360" w:lineRule="auto"/>
        <w:ind w:firstLine="281"/>
        <w:jc w:val="center"/>
        <w:rPr>
          <w:rFonts w:hint="eastAsia" w:ascii="宋体" w:hAnsi="宋体"/>
          <w:b/>
          <w:color w:val="auto"/>
          <w:sz w:val="28"/>
          <w:szCs w:val="28"/>
          <w:highlight w:val="none"/>
        </w:rPr>
      </w:pPr>
    </w:p>
    <w:p w14:paraId="0317C2B7">
      <w:pPr>
        <w:spacing w:line="360" w:lineRule="auto"/>
        <w:rPr>
          <w:rFonts w:hint="eastAsia" w:ascii="仿宋" w:hAnsi="仿宋" w:eastAsia="仿宋" w:cs="仿宋"/>
          <w:color w:val="auto"/>
          <w:sz w:val="36"/>
          <w:szCs w:val="40"/>
          <w:highlight w:val="none"/>
        </w:rPr>
      </w:pPr>
      <w:r>
        <w:rPr>
          <w:rFonts w:hint="eastAsia" w:ascii="仿宋" w:hAnsi="仿宋" w:eastAsia="仿宋" w:cs="仿宋"/>
          <w:color w:val="auto"/>
          <w:sz w:val="36"/>
          <w:szCs w:val="40"/>
          <w:highlight w:val="none"/>
        </w:rPr>
        <w:br w:type="page"/>
      </w:r>
      <w:r>
        <w:rPr>
          <w:rFonts w:hint="eastAsia" w:ascii="仿宋" w:hAnsi="仿宋" w:eastAsia="仿宋" w:cs="仿宋"/>
          <w:color w:val="auto"/>
          <w:sz w:val="36"/>
          <w:szCs w:val="40"/>
          <w:highlight w:val="none"/>
        </w:rPr>
        <w:br w:type="page"/>
      </w:r>
    </w:p>
    <w:sdt>
      <w:sdtPr>
        <w:rPr>
          <w:rFonts w:ascii="宋体" w:hAnsi="宋体"/>
          <w:color w:val="auto"/>
          <w:highlight w:val="none"/>
        </w:rPr>
        <w:id w:val="147461822"/>
        <w15:color w:val="DBDBDB"/>
        <w:docPartObj>
          <w:docPartGallery w:val="Table of Contents"/>
          <w:docPartUnique/>
        </w:docPartObj>
      </w:sdtPr>
      <w:sdtEndPr>
        <w:rPr>
          <w:rFonts w:hint="eastAsia" w:ascii="仿宋" w:hAnsi="仿宋" w:eastAsia="仿宋" w:cs="仿宋"/>
          <w:color w:val="auto"/>
          <w:szCs w:val="40"/>
          <w:highlight w:val="none"/>
        </w:rPr>
      </w:sdtEndPr>
      <w:sdtContent>
        <w:p w14:paraId="345E71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5ED6D0BF">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"1-1" \h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_Toc14437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第一章  磋商公告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_Toc14437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CAD098C">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_Toc10274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_Toc10274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9A0286F">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_Toc22591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第三章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_Toc22591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60F9368">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_Toc24026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第四章  评审办法</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_Toc24026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3EADC68">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_Toc3935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第五章  合同</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_Toc3935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59DFCBD">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_Toc26430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第六章  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_Toc26430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61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E35A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40"/>
              <w:highlight w:val="none"/>
            </w:rPr>
          </w:pPr>
          <w:r>
            <w:rPr>
              <w:rFonts w:hint="eastAsia" w:ascii="仿宋" w:hAnsi="仿宋" w:eastAsia="仿宋" w:cs="仿宋"/>
              <w:b/>
              <w:bCs/>
              <w:color w:val="auto"/>
              <w:sz w:val="28"/>
              <w:szCs w:val="28"/>
              <w:highlight w:val="none"/>
            </w:rPr>
            <w:fldChar w:fldCharType="end"/>
          </w:r>
        </w:p>
      </w:sdtContent>
    </w:sdt>
    <w:p w14:paraId="327DC1B7">
      <w:pPr>
        <w:spacing w:line="360" w:lineRule="auto"/>
        <w:rPr>
          <w:rFonts w:hint="eastAsia" w:ascii="仿宋" w:hAnsi="仿宋" w:eastAsia="仿宋" w:cs="仿宋"/>
          <w:color w:val="auto"/>
          <w:szCs w:val="40"/>
          <w:highlight w:val="none"/>
        </w:rPr>
      </w:pPr>
    </w:p>
    <w:p w14:paraId="38E4FA59">
      <w:pPr>
        <w:spacing w:line="360" w:lineRule="auto"/>
        <w:rPr>
          <w:rFonts w:hint="eastAsia" w:ascii="仿宋" w:hAnsi="仿宋" w:eastAsia="仿宋" w:cs="仿宋"/>
          <w:color w:val="auto"/>
          <w:sz w:val="36"/>
          <w:szCs w:val="40"/>
          <w:highlight w:val="none"/>
        </w:rPr>
      </w:pPr>
    </w:p>
    <w:p w14:paraId="76F692C1">
      <w:pPr>
        <w:spacing w:line="360" w:lineRule="auto"/>
        <w:rPr>
          <w:rFonts w:hint="eastAsia" w:ascii="仿宋" w:hAnsi="仿宋" w:eastAsia="仿宋" w:cs="仿宋"/>
          <w:color w:val="auto"/>
          <w:sz w:val="36"/>
          <w:szCs w:val="40"/>
          <w:highlight w:val="none"/>
        </w:rPr>
      </w:pPr>
    </w:p>
    <w:p w14:paraId="5745CD4C">
      <w:pPr>
        <w:spacing w:line="360" w:lineRule="auto"/>
        <w:rPr>
          <w:rFonts w:hint="eastAsia" w:ascii="仿宋" w:hAnsi="仿宋" w:eastAsia="仿宋" w:cs="仿宋"/>
          <w:color w:val="auto"/>
          <w:sz w:val="36"/>
          <w:szCs w:val="40"/>
          <w:highlight w:val="none"/>
        </w:rPr>
      </w:pPr>
    </w:p>
    <w:p w14:paraId="5AD9E76E">
      <w:pPr>
        <w:spacing w:line="360" w:lineRule="auto"/>
        <w:rPr>
          <w:rFonts w:hint="eastAsia" w:ascii="仿宋" w:hAnsi="仿宋" w:eastAsia="仿宋" w:cs="仿宋"/>
          <w:color w:val="auto"/>
          <w:sz w:val="36"/>
          <w:szCs w:val="40"/>
          <w:highlight w:val="none"/>
        </w:rPr>
      </w:pPr>
    </w:p>
    <w:p w14:paraId="558D5074">
      <w:pPr>
        <w:spacing w:line="360" w:lineRule="auto"/>
        <w:rPr>
          <w:rFonts w:hint="eastAsia" w:ascii="仿宋" w:hAnsi="仿宋" w:eastAsia="仿宋" w:cs="仿宋"/>
          <w:color w:val="auto"/>
          <w:sz w:val="36"/>
          <w:szCs w:val="40"/>
          <w:highlight w:val="none"/>
        </w:rPr>
      </w:pPr>
    </w:p>
    <w:p w14:paraId="7463B7F1">
      <w:pPr>
        <w:spacing w:line="360" w:lineRule="auto"/>
        <w:rPr>
          <w:rFonts w:hint="eastAsia" w:ascii="仿宋" w:hAnsi="仿宋" w:eastAsia="仿宋" w:cs="仿宋"/>
          <w:color w:val="auto"/>
          <w:sz w:val="36"/>
          <w:szCs w:val="40"/>
          <w:highlight w:val="none"/>
        </w:rPr>
      </w:pPr>
    </w:p>
    <w:p w14:paraId="5F0DB73E">
      <w:pPr>
        <w:spacing w:line="360" w:lineRule="auto"/>
        <w:rPr>
          <w:rFonts w:hint="eastAsia" w:ascii="仿宋" w:hAnsi="仿宋" w:eastAsia="仿宋" w:cs="仿宋"/>
          <w:color w:val="auto"/>
          <w:sz w:val="36"/>
          <w:szCs w:val="40"/>
          <w:highlight w:val="none"/>
        </w:rPr>
      </w:pPr>
    </w:p>
    <w:p w14:paraId="42599495">
      <w:pPr>
        <w:spacing w:line="360" w:lineRule="auto"/>
        <w:rPr>
          <w:rFonts w:hint="eastAsia" w:ascii="仿宋" w:hAnsi="仿宋" w:eastAsia="仿宋" w:cs="仿宋"/>
          <w:color w:val="auto"/>
          <w:sz w:val="36"/>
          <w:szCs w:val="40"/>
          <w:highlight w:val="none"/>
        </w:rPr>
      </w:pPr>
    </w:p>
    <w:p w14:paraId="40D485E3">
      <w:pPr>
        <w:spacing w:line="360" w:lineRule="auto"/>
        <w:rPr>
          <w:rFonts w:hint="eastAsia" w:ascii="仿宋" w:hAnsi="仿宋" w:eastAsia="仿宋" w:cs="仿宋"/>
          <w:color w:val="auto"/>
          <w:sz w:val="36"/>
          <w:szCs w:val="40"/>
          <w:highlight w:val="none"/>
        </w:rPr>
      </w:pPr>
    </w:p>
    <w:p w14:paraId="67D40023">
      <w:pPr>
        <w:spacing w:line="360" w:lineRule="auto"/>
        <w:rPr>
          <w:rFonts w:hint="eastAsia" w:ascii="仿宋" w:hAnsi="仿宋" w:eastAsia="仿宋" w:cs="仿宋"/>
          <w:color w:val="auto"/>
          <w:sz w:val="36"/>
          <w:szCs w:val="40"/>
          <w:highlight w:val="none"/>
        </w:rPr>
      </w:pPr>
    </w:p>
    <w:p w14:paraId="79AE2AAF">
      <w:pPr>
        <w:spacing w:line="360" w:lineRule="auto"/>
        <w:rPr>
          <w:rFonts w:hint="eastAsia" w:ascii="仿宋" w:hAnsi="仿宋" w:eastAsia="仿宋" w:cs="仿宋"/>
          <w:color w:val="auto"/>
          <w:sz w:val="36"/>
          <w:szCs w:val="40"/>
          <w:highlight w:val="none"/>
        </w:rPr>
      </w:pPr>
    </w:p>
    <w:p w14:paraId="45C9BC98">
      <w:pPr>
        <w:spacing w:line="360" w:lineRule="auto"/>
        <w:rPr>
          <w:rFonts w:hint="eastAsia" w:ascii="仿宋" w:hAnsi="仿宋" w:eastAsia="仿宋" w:cs="仿宋"/>
          <w:color w:val="auto"/>
          <w:sz w:val="36"/>
          <w:szCs w:val="40"/>
          <w:highlight w:val="none"/>
        </w:rPr>
      </w:pPr>
    </w:p>
    <w:p w14:paraId="1FA9F68F">
      <w:pPr>
        <w:spacing w:line="360" w:lineRule="auto"/>
        <w:rPr>
          <w:rFonts w:hint="eastAsia" w:ascii="仿宋" w:hAnsi="仿宋" w:eastAsia="仿宋" w:cs="仿宋"/>
          <w:color w:val="auto"/>
          <w:sz w:val="36"/>
          <w:szCs w:val="40"/>
          <w:highlight w:val="none"/>
        </w:rPr>
      </w:pPr>
    </w:p>
    <w:p w14:paraId="75AF4A5F">
      <w:pPr>
        <w:spacing w:line="360" w:lineRule="auto"/>
        <w:rPr>
          <w:rFonts w:hint="eastAsia" w:ascii="仿宋" w:hAnsi="仿宋" w:eastAsia="仿宋" w:cs="仿宋"/>
          <w:color w:val="auto"/>
          <w:sz w:val="36"/>
          <w:szCs w:val="40"/>
          <w:highlight w:val="none"/>
        </w:rPr>
      </w:pPr>
    </w:p>
    <w:p w14:paraId="08FAAEEF">
      <w:pPr>
        <w:spacing w:after="156" w:afterLines="50" w:line="360" w:lineRule="auto"/>
        <w:jc w:val="center"/>
        <w:outlineLvl w:val="0"/>
        <w:rPr>
          <w:rFonts w:hint="eastAsia" w:ascii="仿宋" w:hAnsi="仿宋" w:eastAsia="仿宋" w:cs="仿宋"/>
          <w:b/>
          <w:bCs/>
          <w:color w:val="auto"/>
          <w:sz w:val="36"/>
          <w:szCs w:val="36"/>
          <w:highlight w:val="none"/>
        </w:rPr>
        <w:sectPr>
          <w:headerReference r:id="rId7" w:type="default"/>
          <w:footerReference r:id="rId8" w:type="default"/>
          <w:pgSz w:w="11906" w:h="16838"/>
          <w:pgMar w:top="1440" w:right="1080" w:bottom="1440" w:left="1080" w:header="851" w:footer="992" w:gutter="0"/>
          <w:pgNumType w:start="1"/>
          <w:cols w:space="720" w:num="1"/>
          <w:docGrid w:type="lines" w:linePitch="312" w:charSpace="0"/>
        </w:sectPr>
      </w:pPr>
    </w:p>
    <w:p w14:paraId="2B0C441A">
      <w:pPr>
        <w:spacing w:after="156" w:afterLines="50" w:line="360" w:lineRule="auto"/>
        <w:jc w:val="center"/>
        <w:outlineLvl w:val="0"/>
        <w:rPr>
          <w:rFonts w:hint="eastAsia" w:ascii="仿宋" w:hAnsi="仿宋" w:eastAsia="仿宋" w:cs="仿宋"/>
          <w:b/>
          <w:bCs/>
          <w:color w:val="auto"/>
          <w:sz w:val="36"/>
          <w:szCs w:val="36"/>
          <w:highlight w:val="none"/>
        </w:rPr>
      </w:pPr>
      <w:bookmarkStart w:id="1" w:name="_Toc14437"/>
      <w:r>
        <w:rPr>
          <w:rFonts w:hint="eastAsia" w:ascii="仿宋" w:hAnsi="仿宋" w:eastAsia="仿宋" w:cs="仿宋"/>
          <w:b/>
          <w:bCs/>
          <w:color w:val="auto"/>
          <w:sz w:val="36"/>
          <w:szCs w:val="36"/>
          <w:highlight w:val="none"/>
        </w:rPr>
        <w:t>第一章</w:t>
      </w:r>
      <w:bookmarkStart w:id="2" w:name="_Toc22917"/>
      <w:r>
        <w:rPr>
          <w:rFonts w:hint="eastAsia" w:ascii="仿宋" w:hAnsi="仿宋" w:eastAsia="仿宋" w:cs="仿宋"/>
          <w:b/>
          <w:bCs/>
          <w:color w:val="auto"/>
          <w:sz w:val="36"/>
          <w:szCs w:val="36"/>
          <w:highlight w:val="none"/>
        </w:rPr>
        <w:t xml:space="preserve">  磋商公告</w:t>
      </w:r>
      <w:bookmarkEnd w:id="1"/>
      <w:bookmarkEnd w:id="2"/>
    </w:p>
    <w:p w14:paraId="25A84161">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color w:val="auto"/>
          <w:spacing w:val="1"/>
          <w:kern w:val="0"/>
          <w:sz w:val="28"/>
          <w:szCs w:val="28"/>
          <w:highlight w:val="none"/>
        </w:rPr>
      </w:pPr>
      <w:bookmarkStart w:id="3" w:name="_Toc35393808"/>
      <w:bookmarkStart w:id="4" w:name="_Toc28359021"/>
      <w:bookmarkStart w:id="5" w:name="_Toc35393639"/>
      <w:bookmarkStart w:id="6" w:name="_Toc28359098"/>
      <w:r>
        <w:rPr>
          <w:rFonts w:hint="eastAsia" w:ascii="仿宋" w:hAnsi="仿宋" w:eastAsia="仿宋" w:cs="仿宋"/>
          <w:snapToGrid w:val="0"/>
          <w:color w:val="auto"/>
          <w:spacing w:val="1"/>
          <w:kern w:val="0"/>
          <w:sz w:val="28"/>
          <w:szCs w:val="28"/>
          <w:highlight w:val="none"/>
        </w:rPr>
        <w:t>项目概况</w:t>
      </w:r>
    </w:p>
    <w:p w14:paraId="2DF3DB66">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kern w:val="0"/>
          <w:sz w:val="28"/>
          <w:szCs w:val="28"/>
          <w:highlight w:val="none"/>
          <w:lang w:eastAsia="zh-CN"/>
        </w:rPr>
        <w:t>新和县碳达峰碳中和规划（含煤炭消费控制总量、全县碳排放总量摸排）</w:t>
      </w:r>
      <w:r>
        <w:rPr>
          <w:rFonts w:hint="eastAsia" w:ascii="仿宋" w:hAnsi="仿宋" w:eastAsia="仿宋" w:cs="仿宋"/>
          <w:snapToGrid w:val="0"/>
          <w:color w:val="auto"/>
          <w:spacing w:val="1"/>
          <w:kern w:val="0"/>
          <w:sz w:val="28"/>
          <w:szCs w:val="28"/>
          <w:highlight w:val="none"/>
          <w:lang w:eastAsia="en-US"/>
        </w:rPr>
        <w:t>的潜在投标人</w:t>
      </w:r>
      <w:r>
        <w:rPr>
          <w:rFonts w:hint="eastAsia" w:ascii="仿宋" w:hAnsi="仿宋" w:eastAsia="仿宋" w:cs="仿宋"/>
          <w:snapToGrid w:val="0"/>
          <w:color w:val="auto"/>
          <w:spacing w:val="-3"/>
          <w:kern w:val="0"/>
          <w:sz w:val="28"/>
          <w:szCs w:val="28"/>
          <w:highlight w:val="none"/>
          <w:lang w:eastAsia="en-US"/>
        </w:rPr>
        <w:t>应在政采云平台线上获取</w:t>
      </w:r>
      <w:r>
        <w:rPr>
          <w:rFonts w:hint="eastAsia" w:ascii="仿宋" w:hAnsi="仿宋" w:eastAsia="仿宋" w:cs="仿宋"/>
          <w:snapToGrid w:val="0"/>
          <w:color w:val="auto"/>
          <w:spacing w:val="-3"/>
          <w:kern w:val="0"/>
          <w:sz w:val="28"/>
          <w:szCs w:val="28"/>
          <w:highlight w:val="none"/>
        </w:rPr>
        <w:t>采购</w:t>
      </w:r>
      <w:r>
        <w:rPr>
          <w:rFonts w:hint="eastAsia" w:ascii="仿宋" w:hAnsi="仿宋" w:eastAsia="仿宋" w:cs="仿宋"/>
          <w:snapToGrid w:val="0"/>
          <w:color w:val="auto"/>
          <w:spacing w:val="-3"/>
          <w:kern w:val="0"/>
          <w:sz w:val="28"/>
          <w:szCs w:val="28"/>
          <w:highlight w:val="none"/>
          <w:lang w:eastAsia="en-US"/>
        </w:rPr>
        <w:t>文件，并于</w:t>
      </w:r>
      <w:r>
        <w:rPr>
          <w:rFonts w:hint="eastAsia" w:ascii="仿宋" w:hAnsi="仿宋" w:eastAsia="仿宋" w:cs="仿宋"/>
          <w:snapToGrid w:val="0"/>
          <w:color w:val="auto"/>
          <w:spacing w:val="-3"/>
          <w:kern w:val="0"/>
          <w:sz w:val="28"/>
          <w:szCs w:val="28"/>
          <w:highlight w:val="none"/>
          <w:lang w:eastAsia="zh-CN"/>
        </w:rPr>
        <w:t>2026年05月13日 12:00</w:t>
      </w:r>
      <w:r>
        <w:rPr>
          <w:rFonts w:hint="eastAsia" w:ascii="仿宋" w:hAnsi="仿宋" w:eastAsia="仿宋" w:cs="仿宋"/>
          <w:snapToGrid w:val="0"/>
          <w:color w:val="auto"/>
          <w:spacing w:val="-3"/>
          <w:kern w:val="0"/>
          <w:sz w:val="28"/>
          <w:szCs w:val="28"/>
          <w:highlight w:val="none"/>
          <w:lang w:eastAsia="en-US"/>
        </w:rPr>
        <w:t>（北京时间）前递交</w:t>
      </w:r>
      <w:r>
        <w:rPr>
          <w:rFonts w:hint="eastAsia" w:ascii="仿宋" w:hAnsi="仿宋" w:eastAsia="仿宋" w:cs="仿宋"/>
          <w:snapToGrid w:val="0"/>
          <w:color w:val="auto"/>
          <w:spacing w:val="-2"/>
          <w:kern w:val="0"/>
          <w:sz w:val="28"/>
          <w:szCs w:val="28"/>
          <w:highlight w:val="none"/>
        </w:rPr>
        <w:t>响应</w:t>
      </w:r>
      <w:r>
        <w:rPr>
          <w:rFonts w:hint="eastAsia" w:ascii="仿宋" w:hAnsi="仿宋" w:eastAsia="仿宋" w:cs="仿宋"/>
          <w:snapToGrid w:val="0"/>
          <w:color w:val="auto"/>
          <w:spacing w:val="-2"/>
          <w:kern w:val="0"/>
          <w:sz w:val="28"/>
          <w:szCs w:val="28"/>
          <w:highlight w:val="none"/>
          <w:lang w:eastAsia="en-US"/>
        </w:rPr>
        <w:t>文件。</w:t>
      </w:r>
    </w:p>
    <w:p w14:paraId="20C70397">
      <w:pPr>
        <w:widowControl/>
        <w:kinsoku w:val="0"/>
        <w:autoSpaceDE w:val="0"/>
        <w:autoSpaceDN w:val="0"/>
        <w:adjustRightInd w:val="0"/>
        <w:snapToGrid w:val="0"/>
        <w:spacing w:before="219" w:line="440" w:lineRule="exact"/>
        <w:ind w:left="14"/>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一、项目基本情况</w:t>
      </w:r>
    </w:p>
    <w:p w14:paraId="59BB4408">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项目编号：</w:t>
      </w:r>
      <w:r>
        <w:rPr>
          <w:rFonts w:hint="eastAsia" w:ascii="仿宋" w:hAnsi="仿宋" w:eastAsia="仿宋" w:cs="仿宋"/>
          <w:snapToGrid w:val="0"/>
          <w:color w:val="auto"/>
          <w:spacing w:val="-1"/>
          <w:kern w:val="0"/>
          <w:sz w:val="28"/>
          <w:szCs w:val="28"/>
          <w:highlight w:val="none"/>
          <w:lang w:eastAsia="zh-CN"/>
        </w:rPr>
        <w:t>AKSQJ-2026-015</w:t>
      </w:r>
    </w:p>
    <w:p w14:paraId="7DB61D6A">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rPr>
        <w:t>项目名称：</w:t>
      </w:r>
      <w:r>
        <w:rPr>
          <w:rFonts w:hint="eastAsia" w:ascii="仿宋" w:hAnsi="仿宋" w:eastAsia="仿宋" w:cs="仿宋"/>
          <w:snapToGrid w:val="0"/>
          <w:color w:val="auto"/>
          <w:spacing w:val="-1"/>
          <w:kern w:val="0"/>
          <w:sz w:val="28"/>
          <w:szCs w:val="28"/>
          <w:highlight w:val="none"/>
          <w:lang w:eastAsia="zh-CN"/>
        </w:rPr>
        <w:t>新和县碳达峰碳中和规划（含煤炭消费控制总量、全县碳排放总量摸排）</w:t>
      </w:r>
    </w:p>
    <w:p w14:paraId="77AEFAF6">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采购方式：竞争性磋商</w:t>
      </w:r>
    </w:p>
    <w:p w14:paraId="3CE9CBC5">
      <w:pPr>
        <w:widowControl/>
        <w:kinsoku w:val="0"/>
        <w:autoSpaceDE w:val="0"/>
        <w:autoSpaceDN w:val="0"/>
        <w:adjustRightInd w:val="0"/>
        <w:snapToGrid w:val="0"/>
        <w:spacing w:before="78" w:line="440" w:lineRule="exact"/>
        <w:ind w:left="494"/>
        <w:jc w:val="left"/>
        <w:textAlignment w:val="baseline"/>
        <w:rPr>
          <w:rFonts w:hint="default" w:ascii="仿宋" w:hAnsi="仿宋" w:eastAsia="仿宋" w:cs="仿宋"/>
          <w:snapToGrid w:val="0"/>
          <w:color w:val="auto"/>
          <w:spacing w:val="-1"/>
          <w:kern w:val="0"/>
          <w:sz w:val="28"/>
          <w:szCs w:val="28"/>
          <w:highlight w:val="none"/>
          <w:lang w:val="en-US" w:eastAsia="zh-CN"/>
        </w:rPr>
      </w:pPr>
      <w:r>
        <w:rPr>
          <w:rFonts w:hint="eastAsia" w:ascii="仿宋" w:hAnsi="仿宋" w:eastAsia="仿宋" w:cs="仿宋"/>
          <w:snapToGrid w:val="0"/>
          <w:color w:val="auto"/>
          <w:spacing w:val="-1"/>
          <w:kern w:val="0"/>
          <w:sz w:val="28"/>
          <w:szCs w:val="28"/>
          <w:highlight w:val="none"/>
        </w:rPr>
        <w:t>预算金额（元）：</w:t>
      </w:r>
      <w:r>
        <w:rPr>
          <w:rFonts w:hint="eastAsia" w:ascii="仿宋" w:hAnsi="仿宋" w:eastAsia="仿宋" w:cs="仿宋"/>
          <w:snapToGrid w:val="0"/>
          <w:color w:val="auto"/>
          <w:spacing w:val="-1"/>
          <w:kern w:val="0"/>
          <w:sz w:val="28"/>
          <w:szCs w:val="28"/>
          <w:highlight w:val="none"/>
          <w:lang w:val="en-US" w:eastAsia="zh-CN"/>
        </w:rPr>
        <w:t>800000</w:t>
      </w:r>
    </w:p>
    <w:p w14:paraId="057F9B99">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最高限价（元）：</w:t>
      </w:r>
      <w:r>
        <w:rPr>
          <w:rFonts w:hint="eastAsia" w:ascii="仿宋" w:hAnsi="仿宋" w:eastAsia="仿宋" w:cs="仿宋"/>
          <w:snapToGrid w:val="0"/>
          <w:color w:val="auto"/>
          <w:spacing w:val="-1"/>
          <w:kern w:val="0"/>
          <w:sz w:val="28"/>
          <w:szCs w:val="28"/>
          <w:highlight w:val="none"/>
          <w:lang w:val="en-US" w:eastAsia="zh-CN"/>
        </w:rPr>
        <w:t>800000</w:t>
      </w:r>
    </w:p>
    <w:p w14:paraId="440D338D">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采购需求：</w:t>
      </w:r>
    </w:p>
    <w:p w14:paraId="069DD36B">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rPr>
        <w:t xml:space="preserve">标项名称： </w:t>
      </w:r>
      <w:r>
        <w:rPr>
          <w:rFonts w:hint="eastAsia" w:ascii="仿宋" w:hAnsi="仿宋" w:eastAsia="仿宋" w:cs="仿宋"/>
          <w:snapToGrid w:val="0"/>
          <w:color w:val="auto"/>
          <w:spacing w:val="-1"/>
          <w:kern w:val="0"/>
          <w:sz w:val="28"/>
          <w:szCs w:val="28"/>
          <w:highlight w:val="none"/>
          <w:lang w:eastAsia="zh-CN"/>
        </w:rPr>
        <w:t>新和县碳达峰碳中和规划（含煤炭消费控制总量、全县碳排放总量摸排）</w:t>
      </w:r>
    </w:p>
    <w:p w14:paraId="71C1EA60">
      <w:pPr>
        <w:widowControl/>
        <w:kinsoku w:val="0"/>
        <w:autoSpaceDE w:val="0"/>
        <w:autoSpaceDN w:val="0"/>
        <w:adjustRightInd w:val="0"/>
        <w:snapToGrid w:val="0"/>
        <w:spacing w:before="78" w:line="440" w:lineRule="exact"/>
        <w:ind w:left="494"/>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lang w:eastAsia="en-US"/>
        </w:rPr>
        <w:t>数量</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1</w:t>
      </w:r>
    </w:p>
    <w:p w14:paraId="3E32679E">
      <w:pPr>
        <w:widowControl/>
        <w:kinsoku w:val="0"/>
        <w:autoSpaceDE w:val="0"/>
        <w:autoSpaceDN w:val="0"/>
        <w:adjustRightInd w:val="0"/>
        <w:snapToGrid w:val="0"/>
        <w:spacing w:before="35" w:line="440" w:lineRule="exact"/>
        <w:ind w:left="492"/>
        <w:jc w:val="left"/>
        <w:textAlignment w:val="baseline"/>
        <w:rPr>
          <w:rFonts w:hint="eastAsia" w:ascii="仿宋" w:hAnsi="仿宋" w:eastAsia="仿宋" w:cs="仿宋"/>
          <w:snapToGrid w:val="0"/>
          <w:color w:val="auto"/>
          <w:spacing w:val="13"/>
          <w:kern w:val="0"/>
          <w:sz w:val="28"/>
          <w:szCs w:val="28"/>
          <w:highlight w:val="none"/>
          <w:lang w:val="en-US" w:eastAsia="zh-CN"/>
        </w:rPr>
      </w:pPr>
      <w:r>
        <w:rPr>
          <w:rFonts w:hint="eastAsia" w:ascii="仿宋" w:hAnsi="仿宋" w:eastAsia="仿宋" w:cs="仿宋"/>
          <w:snapToGrid w:val="0"/>
          <w:color w:val="auto"/>
          <w:spacing w:val="-1"/>
          <w:kern w:val="0"/>
          <w:sz w:val="28"/>
          <w:szCs w:val="28"/>
          <w:highlight w:val="none"/>
          <w:lang w:eastAsia="en-US"/>
        </w:rPr>
        <w:t>预算金额（元）</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800000</w:t>
      </w:r>
    </w:p>
    <w:p w14:paraId="6D1A3689">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3"/>
          <w:kern w:val="0"/>
          <w:sz w:val="28"/>
          <w:szCs w:val="28"/>
          <w:highlight w:val="none"/>
        </w:rPr>
      </w:pPr>
      <w:r>
        <w:rPr>
          <w:rFonts w:hint="eastAsia" w:ascii="仿宋" w:hAnsi="仿宋" w:eastAsia="仿宋" w:cs="仿宋"/>
          <w:snapToGrid w:val="0"/>
          <w:color w:val="auto"/>
          <w:spacing w:val="-1"/>
          <w:kern w:val="0"/>
          <w:sz w:val="28"/>
          <w:szCs w:val="28"/>
          <w:highlight w:val="none"/>
        </w:rPr>
        <w:t>单位：</w:t>
      </w:r>
      <w:r>
        <w:rPr>
          <w:rFonts w:hint="eastAsia" w:ascii="仿宋" w:hAnsi="仿宋" w:eastAsia="仿宋" w:cs="仿宋"/>
          <w:snapToGrid w:val="0"/>
          <w:color w:val="auto"/>
          <w:spacing w:val="-1"/>
          <w:kern w:val="0"/>
          <w:sz w:val="28"/>
          <w:szCs w:val="28"/>
          <w:highlight w:val="none"/>
          <w:lang w:val="en-US" w:eastAsia="zh-CN"/>
        </w:rPr>
        <w:t>项</w:t>
      </w:r>
    </w:p>
    <w:p w14:paraId="2E15446D">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简要规格描述或项目基本概况介绍、用途：</w:t>
      </w:r>
      <w:r>
        <w:rPr>
          <w:rFonts w:hint="eastAsia" w:ascii="仿宋" w:hAnsi="仿宋" w:eastAsia="仿宋" w:cs="仿宋"/>
          <w:snapToGrid w:val="0"/>
          <w:color w:val="auto"/>
          <w:kern w:val="0"/>
          <w:sz w:val="28"/>
          <w:szCs w:val="28"/>
          <w:highlight w:val="none"/>
          <w:lang w:eastAsia="zh-CN"/>
        </w:rPr>
        <w:t>新和县碳达峰碳中和规划（含煤炭消费控制总量、全县碳排放总量摸排）（详见采购需求）</w:t>
      </w:r>
      <w:r>
        <w:rPr>
          <w:rFonts w:hint="eastAsia" w:ascii="仿宋" w:hAnsi="仿宋" w:eastAsia="仿宋" w:cs="仿宋"/>
          <w:snapToGrid w:val="0"/>
          <w:color w:val="auto"/>
          <w:kern w:val="0"/>
          <w:sz w:val="28"/>
          <w:szCs w:val="28"/>
          <w:highlight w:val="none"/>
          <w:lang w:eastAsia="en-US"/>
        </w:rPr>
        <w:t>。</w:t>
      </w:r>
    </w:p>
    <w:p w14:paraId="50775A10">
      <w:pPr>
        <w:widowControl/>
        <w:kinsoku w:val="0"/>
        <w:autoSpaceDE w:val="0"/>
        <w:autoSpaceDN w:val="0"/>
        <w:adjustRightInd w:val="0"/>
        <w:snapToGrid w:val="0"/>
        <w:spacing w:before="233" w:line="440" w:lineRule="exact"/>
        <w:ind w:left="11" w:right="51" w:firstLine="483"/>
        <w:jc w:val="left"/>
        <w:textAlignment w:val="baseline"/>
        <w:rPr>
          <w:rFonts w:ascii="仿宋" w:hAnsi="仿宋" w:eastAsia="仿宋" w:cs="仿宋"/>
          <w:snapToGrid w:val="0"/>
          <w:color w:val="auto"/>
          <w:spacing w:val="-3"/>
          <w:kern w:val="0"/>
          <w:sz w:val="28"/>
          <w:szCs w:val="28"/>
          <w:highlight w:val="none"/>
        </w:rPr>
      </w:pPr>
      <w:r>
        <w:rPr>
          <w:rFonts w:hint="eastAsia" w:ascii="仿宋" w:hAnsi="仿宋" w:eastAsia="仿宋" w:cs="仿宋"/>
          <w:snapToGrid w:val="0"/>
          <w:color w:val="auto"/>
          <w:spacing w:val="-3"/>
          <w:kern w:val="0"/>
          <w:sz w:val="28"/>
          <w:szCs w:val="28"/>
          <w:highlight w:val="none"/>
        </w:rPr>
        <w:t>备注：</w:t>
      </w:r>
    </w:p>
    <w:p w14:paraId="0D8B0E62">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合同履约期限：</w:t>
      </w:r>
      <w:r>
        <w:rPr>
          <w:rFonts w:hint="eastAsia" w:ascii="仿宋" w:hAnsi="仿宋" w:eastAsia="仿宋" w:cs="仿宋"/>
          <w:snapToGrid w:val="0"/>
          <w:color w:val="auto"/>
          <w:kern w:val="0"/>
          <w:sz w:val="28"/>
          <w:szCs w:val="28"/>
          <w:highlight w:val="none"/>
          <w:lang w:eastAsia="zh-CN"/>
        </w:rPr>
        <w:t>11月底前完成终稿。</w:t>
      </w:r>
    </w:p>
    <w:p w14:paraId="5E1579EB">
      <w:pPr>
        <w:widowControl/>
        <w:kinsoku w:val="0"/>
        <w:autoSpaceDE w:val="0"/>
        <w:autoSpaceDN w:val="0"/>
        <w:adjustRightInd w:val="0"/>
        <w:snapToGrid w:val="0"/>
        <w:spacing w:before="281" w:line="440" w:lineRule="exact"/>
        <w:ind w:left="17" w:firstLine="556" w:firstLineChars="200"/>
        <w:jc w:val="left"/>
        <w:textAlignment w:val="baseline"/>
        <w:rPr>
          <w:rFonts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本项目（否）接受联合体投标。</w:t>
      </w:r>
    </w:p>
    <w:p w14:paraId="75A91E51">
      <w:pPr>
        <w:widowControl/>
        <w:kinsoku w:val="0"/>
        <w:autoSpaceDE w:val="0"/>
        <w:autoSpaceDN w:val="0"/>
        <w:adjustRightInd w:val="0"/>
        <w:snapToGrid w:val="0"/>
        <w:spacing w:before="281" w:line="440" w:lineRule="exact"/>
        <w:ind w:left="17"/>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3"/>
          <w:kern w:val="0"/>
          <w:sz w:val="28"/>
          <w:szCs w:val="28"/>
          <w:highlight w:val="none"/>
          <w:lang w:eastAsia="en-US"/>
        </w:rPr>
        <w:t>二、申请人的资格要求：</w:t>
      </w:r>
    </w:p>
    <w:p w14:paraId="25D3F72E">
      <w:pPr>
        <w:widowControl/>
        <w:kinsoku w:val="0"/>
        <w:autoSpaceDE w:val="0"/>
        <w:autoSpaceDN w:val="0"/>
        <w:adjustRightInd w:val="0"/>
        <w:snapToGrid w:val="0"/>
        <w:spacing w:before="78" w:line="440" w:lineRule="exact"/>
        <w:ind w:left="511"/>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spacing w:val="-1"/>
          <w:kern w:val="0"/>
          <w:sz w:val="28"/>
          <w:szCs w:val="28"/>
          <w:highlight w:val="none"/>
          <w:lang w:eastAsia="en-US"/>
        </w:rPr>
        <w:t>1.满足《中华人民共和国政府采购法》第二十二条</w:t>
      </w:r>
      <w:r>
        <w:rPr>
          <w:rFonts w:hint="eastAsia" w:ascii="仿宋" w:hAnsi="仿宋" w:eastAsia="仿宋" w:cs="仿宋"/>
          <w:snapToGrid w:val="0"/>
          <w:color w:val="auto"/>
          <w:spacing w:val="-2"/>
          <w:kern w:val="0"/>
          <w:sz w:val="28"/>
          <w:szCs w:val="28"/>
          <w:highlight w:val="none"/>
          <w:lang w:eastAsia="en-US"/>
        </w:rPr>
        <w:t>规定</w:t>
      </w:r>
      <w:r>
        <w:rPr>
          <w:rFonts w:hint="eastAsia" w:ascii="仿宋" w:hAnsi="仿宋" w:eastAsia="仿宋" w:cs="仿宋"/>
          <w:snapToGrid w:val="0"/>
          <w:color w:val="auto"/>
          <w:spacing w:val="-2"/>
          <w:kern w:val="0"/>
          <w:sz w:val="28"/>
          <w:szCs w:val="28"/>
          <w:highlight w:val="none"/>
        </w:rPr>
        <w:t>；</w:t>
      </w:r>
    </w:p>
    <w:p w14:paraId="1BC85BAC">
      <w:pPr>
        <w:widowControl/>
        <w:kinsoku w:val="0"/>
        <w:autoSpaceDE w:val="0"/>
        <w:autoSpaceDN w:val="0"/>
        <w:adjustRightInd w:val="0"/>
        <w:snapToGrid w:val="0"/>
        <w:spacing w:before="78" w:line="440" w:lineRule="exact"/>
        <w:ind w:left="33" w:right="51" w:firstLine="463"/>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eastAsia="en-US"/>
        </w:rPr>
        <w:t>2.落实政府采购政策需满足的资格要求：</w:t>
      </w:r>
      <w:r>
        <w:rPr>
          <w:rFonts w:hint="eastAsia" w:ascii="仿宋" w:hAnsi="仿宋" w:eastAsia="仿宋" w:cs="仿宋"/>
          <w:snapToGrid w:val="0"/>
          <w:color w:val="auto"/>
          <w:kern w:val="0"/>
          <w:sz w:val="28"/>
          <w:szCs w:val="28"/>
          <w:highlight w:val="none"/>
          <w:lang w:eastAsia="zh-CN"/>
        </w:rPr>
        <w:t>本项目不专门面向中小企业采购</w:t>
      </w:r>
      <w:r>
        <w:rPr>
          <w:rFonts w:hint="eastAsia" w:ascii="仿宋" w:hAnsi="仿宋" w:eastAsia="仿宋" w:cs="仿宋"/>
          <w:snapToGrid w:val="0"/>
          <w:color w:val="auto"/>
          <w:kern w:val="0"/>
          <w:sz w:val="28"/>
          <w:szCs w:val="28"/>
          <w:highlight w:val="none"/>
        </w:rPr>
        <w:t>；</w:t>
      </w:r>
    </w:p>
    <w:p w14:paraId="4447668E">
      <w:pPr>
        <w:widowControl/>
        <w:kinsoku w:val="0"/>
        <w:autoSpaceDE w:val="0"/>
        <w:autoSpaceDN w:val="0"/>
        <w:adjustRightInd w:val="0"/>
        <w:snapToGrid w:val="0"/>
        <w:spacing w:before="78" w:line="440" w:lineRule="exact"/>
        <w:ind w:left="33" w:right="51" w:firstLine="463"/>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3.本项目的特</w:t>
      </w:r>
      <w:r>
        <w:rPr>
          <w:rFonts w:hint="eastAsia" w:ascii="仿宋" w:hAnsi="仿宋" w:eastAsia="仿宋" w:cs="仿宋"/>
          <w:snapToGrid w:val="0"/>
          <w:color w:val="auto"/>
          <w:kern w:val="0"/>
          <w:sz w:val="28"/>
          <w:szCs w:val="28"/>
          <w:highlight w:val="none"/>
        </w:rPr>
        <w:t>定资格要求:</w:t>
      </w:r>
      <w:r>
        <w:rPr>
          <w:rFonts w:hint="eastAsia" w:ascii="仿宋" w:hAnsi="仿宋" w:eastAsia="仿宋" w:cs="仿宋"/>
          <w:color w:val="auto"/>
          <w:spacing w:val="-6"/>
          <w:sz w:val="28"/>
          <w:szCs w:val="28"/>
          <w:highlight w:val="none"/>
          <w:lang w:val="en-US" w:eastAsia="zh-CN"/>
        </w:rPr>
        <w:t>无</w:t>
      </w:r>
      <w:r>
        <w:rPr>
          <w:rFonts w:hint="eastAsia" w:ascii="仿宋" w:hAnsi="仿宋" w:eastAsia="仿宋" w:cs="仿宋"/>
          <w:color w:val="auto"/>
          <w:spacing w:val="-6"/>
          <w:sz w:val="28"/>
          <w:szCs w:val="28"/>
          <w:highlight w:val="none"/>
          <w:lang w:eastAsia="zh-CN"/>
        </w:rPr>
        <w:t>。</w:t>
      </w:r>
    </w:p>
    <w:p w14:paraId="2DBB684B">
      <w:pPr>
        <w:widowControl/>
        <w:kinsoku w:val="0"/>
        <w:autoSpaceDE w:val="0"/>
        <w:autoSpaceDN w:val="0"/>
        <w:adjustRightInd w:val="0"/>
        <w:snapToGrid w:val="0"/>
        <w:spacing w:before="216" w:line="440" w:lineRule="exact"/>
        <w:ind w:left="13"/>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三、获取</w:t>
      </w:r>
      <w:r>
        <w:rPr>
          <w:rFonts w:hint="eastAsia" w:ascii="仿宋" w:hAnsi="仿宋" w:eastAsia="仿宋" w:cs="仿宋"/>
          <w:b/>
          <w:bCs/>
          <w:snapToGrid w:val="0"/>
          <w:color w:val="auto"/>
          <w:spacing w:val="-4"/>
          <w:kern w:val="0"/>
          <w:sz w:val="28"/>
          <w:szCs w:val="28"/>
          <w:highlight w:val="none"/>
        </w:rPr>
        <w:t>采购</w:t>
      </w:r>
      <w:r>
        <w:rPr>
          <w:rFonts w:hint="eastAsia" w:ascii="仿宋" w:hAnsi="仿宋" w:eastAsia="仿宋" w:cs="仿宋"/>
          <w:b/>
          <w:bCs/>
          <w:snapToGrid w:val="0"/>
          <w:color w:val="auto"/>
          <w:spacing w:val="-4"/>
          <w:kern w:val="0"/>
          <w:sz w:val="28"/>
          <w:szCs w:val="28"/>
          <w:highlight w:val="none"/>
          <w:lang w:eastAsia="en-US"/>
        </w:rPr>
        <w:t>文件</w:t>
      </w:r>
    </w:p>
    <w:p w14:paraId="1EEB1E1B">
      <w:pPr>
        <w:widowControl/>
        <w:kinsoku w:val="0"/>
        <w:autoSpaceDE w:val="0"/>
        <w:autoSpaceDN w:val="0"/>
        <w:adjustRightInd w:val="0"/>
        <w:snapToGrid w:val="0"/>
        <w:spacing w:before="78" w:line="440" w:lineRule="exact"/>
        <w:ind w:left="31" w:firstLine="473"/>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7"/>
          <w:kern w:val="0"/>
          <w:sz w:val="28"/>
          <w:szCs w:val="28"/>
          <w:highlight w:val="none"/>
          <w:lang w:eastAsia="en-US"/>
        </w:rPr>
        <w:t>时间：</w:t>
      </w:r>
      <w:r>
        <w:rPr>
          <w:rFonts w:hint="eastAsia" w:ascii="仿宋" w:hAnsi="仿宋" w:eastAsia="仿宋" w:cs="仿宋"/>
          <w:snapToGrid w:val="0"/>
          <w:color w:val="auto"/>
          <w:spacing w:val="-7"/>
          <w:kern w:val="0"/>
          <w:sz w:val="28"/>
          <w:szCs w:val="28"/>
          <w:highlight w:val="none"/>
        </w:rPr>
        <w:t>2026年0</w:t>
      </w:r>
      <w:r>
        <w:rPr>
          <w:rFonts w:hint="eastAsia" w:ascii="仿宋" w:hAnsi="仿宋" w:eastAsia="仿宋" w:cs="仿宋"/>
          <w:snapToGrid w:val="0"/>
          <w:color w:val="auto"/>
          <w:spacing w:val="-7"/>
          <w:kern w:val="0"/>
          <w:sz w:val="28"/>
          <w:szCs w:val="28"/>
          <w:highlight w:val="none"/>
          <w:lang w:val="en-US" w:eastAsia="zh-CN"/>
        </w:rPr>
        <w:t>4</w:t>
      </w:r>
      <w:r>
        <w:rPr>
          <w:rFonts w:hint="eastAsia" w:ascii="仿宋" w:hAnsi="仿宋" w:eastAsia="仿宋" w:cs="仿宋"/>
          <w:snapToGrid w:val="0"/>
          <w:color w:val="auto"/>
          <w:spacing w:val="-7"/>
          <w:kern w:val="0"/>
          <w:sz w:val="28"/>
          <w:szCs w:val="28"/>
          <w:highlight w:val="none"/>
        </w:rPr>
        <w:t>月</w:t>
      </w:r>
      <w:r>
        <w:rPr>
          <w:rFonts w:hint="eastAsia" w:ascii="仿宋" w:hAnsi="仿宋" w:eastAsia="仿宋" w:cs="仿宋"/>
          <w:snapToGrid w:val="0"/>
          <w:color w:val="auto"/>
          <w:spacing w:val="-7"/>
          <w:kern w:val="0"/>
          <w:sz w:val="28"/>
          <w:szCs w:val="28"/>
          <w:highlight w:val="none"/>
          <w:lang w:val="en-US" w:eastAsia="zh-CN"/>
        </w:rPr>
        <w:t>24</w:t>
      </w:r>
      <w:r>
        <w:rPr>
          <w:rFonts w:hint="eastAsia" w:ascii="仿宋" w:hAnsi="仿宋" w:eastAsia="仿宋" w:cs="仿宋"/>
          <w:snapToGrid w:val="0"/>
          <w:color w:val="auto"/>
          <w:spacing w:val="-7"/>
          <w:kern w:val="0"/>
          <w:sz w:val="28"/>
          <w:szCs w:val="28"/>
          <w:highlight w:val="none"/>
        </w:rPr>
        <w:t>日</w:t>
      </w:r>
      <w:r>
        <w:rPr>
          <w:rFonts w:hint="eastAsia" w:ascii="仿宋" w:hAnsi="仿宋" w:eastAsia="仿宋" w:cs="仿宋"/>
          <w:snapToGrid w:val="0"/>
          <w:color w:val="auto"/>
          <w:spacing w:val="-7"/>
          <w:kern w:val="0"/>
          <w:sz w:val="28"/>
          <w:szCs w:val="28"/>
          <w:highlight w:val="none"/>
          <w:lang w:eastAsia="en-US"/>
        </w:rPr>
        <w:t>至</w:t>
      </w:r>
      <w:r>
        <w:rPr>
          <w:rFonts w:hint="eastAsia" w:ascii="仿宋" w:hAnsi="仿宋" w:eastAsia="仿宋" w:cs="仿宋"/>
          <w:snapToGrid w:val="0"/>
          <w:color w:val="auto"/>
          <w:spacing w:val="-7"/>
          <w:kern w:val="0"/>
          <w:sz w:val="28"/>
          <w:szCs w:val="28"/>
          <w:highlight w:val="none"/>
        </w:rPr>
        <w:t>2026年0</w:t>
      </w:r>
      <w:r>
        <w:rPr>
          <w:rFonts w:hint="eastAsia" w:ascii="仿宋" w:hAnsi="仿宋" w:eastAsia="仿宋" w:cs="仿宋"/>
          <w:snapToGrid w:val="0"/>
          <w:color w:val="auto"/>
          <w:spacing w:val="-7"/>
          <w:kern w:val="0"/>
          <w:sz w:val="28"/>
          <w:szCs w:val="28"/>
          <w:highlight w:val="none"/>
          <w:lang w:val="en-US" w:eastAsia="zh-CN"/>
        </w:rPr>
        <w:t>5</w:t>
      </w:r>
      <w:r>
        <w:rPr>
          <w:rFonts w:hint="eastAsia" w:ascii="仿宋" w:hAnsi="仿宋" w:eastAsia="仿宋" w:cs="仿宋"/>
          <w:snapToGrid w:val="0"/>
          <w:color w:val="auto"/>
          <w:spacing w:val="-7"/>
          <w:kern w:val="0"/>
          <w:sz w:val="28"/>
          <w:szCs w:val="28"/>
          <w:highlight w:val="none"/>
        </w:rPr>
        <w:t>月</w:t>
      </w:r>
      <w:r>
        <w:rPr>
          <w:rFonts w:hint="eastAsia" w:ascii="仿宋" w:hAnsi="仿宋" w:eastAsia="仿宋" w:cs="仿宋"/>
          <w:snapToGrid w:val="0"/>
          <w:color w:val="auto"/>
          <w:spacing w:val="-7"/>
          <w:kern w:val="0"/>
          <w:sz w:val="28"/>
          <w:szCs w:val="28"/>
          <w:highlight w:val="none"/>
          <w:lang w:val="en-US" w:eastAsia="zh-CN"/>
        </w:rPr>
        <w:t>07</w:t>
      </w:r>
      <w:r>
        <w:rPr>
          <w:rFonts w:hint="eastAsia" w:ascii="仿宋" w:hAnsi="仿宋" w:eastAsia="仿宋" w:cs="仿宋"/>
          <w:snapToGrid w:val="0"/>
          <w:color w:val="auto"/>
          <w:spacing w:val="-7"/>
          <w:kern w:val="0"/>
          <w:sz w:val="28"/>
          <w:szCs w:val="28"/>
          <w:highlight w:val="none"/>
        </w:rPr>
        <w:t>日</w:t>
      </w:r>
      <w:r>
        <w:rPr>
          <w:rFonts w:hint="eastAsia" w:ascii="仿宋" w:hAnsi="仿宋" w:eastAsia="仿宋" w:cs="仿宋"/>
          <w:snapToGrid w:val="0"/>
          <w:color w:val="auto"/>
          <w:spacing w:val="-7"/>
          <w:kern w:val="0"/>
          <w:sz w:val="28"/>
          <w:szCs w:val="28"/>
          <w:highlight w:val="none"/>
          <w:lang w:eastAsia="en-US"/>
        </w:rPr>
        <w:t>，每天上午</w:t>
      </w:r>
      <w:r>
        <w:rPr>
          <w:rFonts w:hint="eastAsia" w:ascii="仿宋" w:hAnsi="仿宋" w:eastAsia="仿宋" w:cs="仿宋"/>
          <w:snapToGrid w:val="0"/>
          <w:color w:val="auto"/>
          <w:spacing w:val="-7"/>
          <w:kern w:val="0"/>
          <w:sz w:val="28"/>
          <w:szCs w:val="28"/>
          <w:highlight w:val="none"/>
          <w:lang w:val="en-US" w:eastAsia="zh-CN"/>
        </w:rPr>
        <w:t>0</w:t>
      </w:r>
      <w:r>
        <w:rPr>
          <w:rFonts w:hint="eastAsia" w:ascii="仿宋" w:hAnsi="仿宋" w:eastAsia="仿宋" w:cs="仿宋"/>
          <w:snapToGrid w:val="0"/>
          <w:color w:val="auto"/>
          <w:spacing w:val="-7"/>
          <w:kern w:val="0"/>
          <w:sz w:val="28"/>
          <w:szCs w:val="28"/>
          <w:highlight w:val="none"/>
          <w:lang w:eastAsia="en-US"/>
        </w:rPr>
        <w:t>0:00至1</w:t>
      </w:r>
      <w:r>
        <w:rPr>
          <w:rFonts w:hint="eastAsia" w:ascii="仿宋" w:hAnsi="仿宋" w:eastAsia="仿宋" w:cs="仿宋"/>
          <w:snapToGrid w:val="0"/>
          <w:color w:val="auto"/>
          <w:spacing w:val="-7"/>
          <w:kern w:val="0"/>
          <w:sz w:val="28"/>
          <w:szCs w:val="28"/>
          <w:highlight w:val="none"/>
        </w:rPr>
        <w:t>4</w:t>
      </w:r>
      <w:r>
        <w:rPr>
          <w:rFonts w:hint="eastAsia" w:ascii="仿宋" w:hAnsi="仿宋" w:eastAsia="仿宋" w:cs="仿宋"/>
          <w:snapToGrid w:val="0"/>
          <w:color w:val="auto"/>
          <w:spacing w:val="-7"/>
          <w:kern w:val="0"/>
          <w:sz w:val="28"/>
          <w:szCs w:val="28"/>
          <w:highlight w:val="none"/>
          <w:lang w:eastAsia="en-US"/>
        </w:rPr>
        <w:t>:0</w:t>
      </w:r>
      <w:r>
        <w:rPr>
          <w:rFonts w:hint="eastAsia" w:ascii="仿宋" w:hAnsi="仿宋" w:eastAsia="仿宋" w:cs="仿宋"/>
          <w:snapToGrid w:val="0"/>
          <w:color w:val="auto"/>
          <w:spacing w:val="-8"/>
          <w:kern w:val="0"/>
          <w:sz w:val="28"/>
          <w:szCs w:val="28"/>
          <w:highlight w:val="none"/>
          <w:lang w:eastAsia="en-US"/>
        </w:rPr>
        <w:t>0，下午</w:t>
      </w:r>
      <w:r>
        <w:rPr>
          <w:rFonts w:hint="eastAsia" w:ascii="仿宋" w:hAnsi="仿宋" w:eastAsia="仿宋" w:cs="仿宋"/>
          <w:snapToGrid w:val="0"/>
          <w:color w:val="auto"/>
          <w:spacing w:val="-1"/>
          <w:kern w:val="0"/>
          <w:sz w:val="28"/>
          <w:szCs w:val="28"/>
          <w:highlight w:val="none"/>
        </w:rPr>
        <w:t>1</w:t>
      </w:r>
      <w:r>
        <w:rPr>
          <w:rFonts w:hint="eastAsia" w:ascii="仿宋" w:hAnsi="仿宋" w:eastAsia="仿宋" w:cs="仿宋"/>
          <w:snapToGrid w:val="0"/>
          <w:color w:val="auto"/>
          <w:spacing w:val="-1"/>
          <w:kern w:val="0"/>
          <w:sz w:val="28"/>
          <w:szCs w:val="28"/>
          <w:highlight w:val="none"/>
          <w:lang w:val="en-US" w:eastAsia="zh-CN"/>
        </w:rPr>
        <w:t>4</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0</w:t>
      </w:r>
      <w:r>
        <w:rPr>
          <w:rFonts w:hint="eastAsia" w:ascii="仿宋" w:hAnsi="仿宋" w:eastAsia="仿宋" w:cs="仿宋"/>
          <w:snapToGrid w:val="0"/>
          <w:color w:val="auto"/>
          <w:spacing w:val="-1"/>
          <w:kern w:val="0"/>
          <w:sz w:val="28"/>
          <w:szCs w:val="28"/>
          <w:highlight w:val="none"/>
        </w:rPr>
        <w:t>0至</w:t>
      </w:r>
      <w:r>
        <w:rPr>
          <w:rFonts w:hint="eastAsia" w:ascii="仿宋" w:hAnsi="仿宋" w:eastAsia="仿宋" w:cs="仿宋"/>
          <w:snapToGrid w:val="0"/>
          <w:color w:val="auto"/>
          <w:spacing w:val="-1"/>
          <w:kern w:val="0"/>
          <w:sz w:val="28"/>
          <w:szCs w:val="28"/>
          <w:highlight w:val="none"/>
          <w:lang w:val="en-US" w:eastAsia="zh-CN"/>
        </w:rPr>
        <w:t>23</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59</w:t>
      </w:r>
      <w:r>
        <w:rPr>
          <w:rFonts w:hint="eastAsia" w:ascii="仿宋" w:hAnsi="仿宋" w:eastAsia="仿宋" w:cs="仿宋"/>
          <w:snapToGrid w:val="0"/>
          <w:color w:val="auto"/>
          <w:spacing w:val="-1"/>
          <w:kern w:val="0"/>
          <w:sz w:val="28"/>
          <w:szCs w:val="28"/>
          <w:highlight w:val="none"/>
          <w:lang w:eastAsia="en-US"/>
        </w:rPr>
        <w:t>（北京时间，法定节假日除</w:t>
      </w:r>
      <w:r>
        <w:rPr>
          <w:rFonts w:hint="eastAsia" w:ascii="仿宋" w:hAnsi="仿宋" w:eastAsia="仿宋" w:cs="仿宋"/>
          <w:snapToGrid w:val="0"/>
          <w:color w:val="auto"/>
          <w:spacing w:val="-2"/>
          <w:kern w:val="0"/>
          <w:sz w:val="28"/>
          <w:szCs w:val="28"/>
          <w:highlight w:val="none"/>
          <w:lang w:eastAsia="en-US"/>
        </w:rPr>
        <w:t>外）</w:t>
      </w:r>
    </w:p>
    <w:p w14:paraId="5AF3C52B">
      <w:pPr>
        <w:widowControl/>
        <w:kinsoku w:val="0"/>
        <w:autoSpaceDE w:val="0"/>
        <w:autoSpaceDN w:val="0"/>
        <w:adjustRightInd w:val="0"/>
        <w:snapToGrid w:val="0"/>
        <w:spacing w:before="111" w:line="440" w:lineRule="exact"/>
        <w:ind w:left="493"/>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地点：政采云平台线上</w:t>
      </w:r>
    </w:p>
    <w:p w14:paraId="2D25F88A">
      <w:pPr>
        <w:widowControl/>
        <w:kinsoku w:val="0"/>
        <w:autoSpaceDE w:val="0"/>
        <w:autoSpaceDN w:val="0"/>
        <w:adjustRightInd w:val="0"/>
        <w:snapToGrid w:val="0"/>
        <w:spacing w:before="253" w:line="440" w:lineRule="exact"/>
        <w:ind w:firstLine="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kern w:val="0"/>
          <w:sz w:val="28"/>
          <w:szCs w:val="28"/>
          <w:highlight w:val="none"/>
          <w:lang w:eastAsia="en-US"/>
        </w:rPr>
        <w:t>方式：投标人登录政采云平台</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kern w:val="0"/>
          <w:sz w:val="28"/>
          <w:szCs w:val="28"/>
          <w:highlight w:val="none"/>
          <w:lang w:eastAsia="en-US"/>
        </w:rPr>
        <w:t>https:/</w:t>
      </w:r>
      <w:r>
        <w:rPr>
          <w:rFonts w:hint="eastAsia" w:ascii="仿宋" w:hAnsi="仿宋" w:eastAsia="仿宋" w:cs="仿宋"/>
          <w:snapToGrid w:val="0"/>
          <w:color w:val="auto"/>
          <w:spacing w:val="-1"/>
          <w:kern w:val="0"/>
          <w:sz w:val="28"/>
          <w:szCs w:val="28"/>
          <w:highlight w:val="none"/>
          <w:lang w:eastAsia="en-US"/>
        </w:rPr>
        <w:t>/www.zcygov.cn/在线申请获取采购文件（进入</w:t>
      </w:r>
      <w:r>
        <w:rPr>
          <w:rFonts w:hint="eastAsia" w:ascii="仿宋" w:hAnsi="仿宋" w:eastAsia="仿宋" w:cs="仿宋"/>
          <w:snapToGrid w:val="0"/>
          <w:color w:val="auto"/>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“项目采购</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”应用，在获取采购文件菜单中选择项目，申请获取采购文件</w:t>
      </w:r>
      <w:r>
        <w:rPr>
          <w:rFonts w:hint="eastAsia" w:ascii="仿宋" w:hAnsi="仿宋" w:eastAsia="仿宋" w:cs="仿宋"/>
          <w:snapToGrid w:val="0"/>
          <w:color w:val="auto"/>
          <w:spacing w:val="6"/>
          <w:kern w:val="0"/>
          <w:sz w:val="28"/>
          <w:szCs w:val="28"/>
          <w:highlight w:val="none"/>
          <w:lang w:eastAsia="en-US"/>
        </w:rPr>
        <w:t>），</w:t>
      </w:r>
      <w:r>
        <w:rPr>
          <w:rFonts w:hint="eastAsia" w:ascii="仿宋" w:hAnsi="仿宋" w:eastAsia="仿宋" w:cs="仿宋"/>
          <w:snapToGrid w:val="0"/>
          <w:color w:val="auto"/>
          <w:spacing w:val="-1"/>
          <w:kern w:val="0"/>
          <w:sz w:val="28"/>
          <w:szCs w:val="28"/>
          <w:highlight w:val="none"/>
          <w:lang w:eastAsia="en-US"/>
        </w:rPr>
        <w:t>或</w:t>
      </w:r>
      <w:r>
        <w:rPr>
          <w:rFonts w:hint="eastAsia" w:ascii="仿宋" w:hAnsi="仿宋" w:eastAsia="仿宋" w:cs="仿宋"/>
          <w:snapToGrid w:val="0"/>
          <w:color w:val="auto"/>
          <w:spacing w:val="-2"/>
          <w:kern w:val="0"/>
          <w:sz w:val="28"/>
          <w:szCs w:val="28"/>
          <w:highlight w:val="none"/>
          <w:lang w:eastAsia="en-US"/>
        </w:rPr>
        <w:t>者点击采</w:t>
      </w:r>
      <w:r>
        <w:rPr>
          <w:rFonts w:hint="eastAsia" w:ascii="仿宋" w:hAnsi="仿宋" w:eastAsia="仿宋" w:cs="仿宋"/>
          <w:snapToGrid w:val="0"/>
          <w:color w:val="auto"/>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购公告底部潜在投标人“获取采购文件</w:t>
      </w:r>
      <w:r>
        <w:rPr>
          <w:rFonts w:hint="eastAsia" w:ascii="仿宋" w:hAnsi="仿宋" w:eastAsia="仿宋" w:cs="仿宋"/>
          <w:snapToGrid w:val="0"/>
          <w:color w:val="auto"/>
          <w:spacing w:val="-81"/>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”，页面跳转后登陆，直接获取采购文件。</w:t>
      </w:r>
    </w:p>
    <w:p w14:paraId="16AA447C">
      <w:pPr>
        <w:widowControl/>
        <w:kinsoku w:val="0"/>
        <w:autoSpaceDE w:val="0"/>
        <w:autoSpaceDN w:val="0"/>
        <w:adjustRightInd w:val="0"/>
        <w:snapToGrid w:val="0"/>
        <w:spacing w:before="108" w:line="440" w:lineRule="exact"/>
        <w:ind w:left="493"/>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spacing w:val="-3"/>
          <w:kern w:val="0"/>
          <w:sz w:val="28"/>
          <w:szCs w:val="28"/>
          <w:highlight w:val="none"/>
          <w:lang w:eastAsia="en-US"/>
        </w:rPr>
        <w:t>售价（元</w:t>
      </w:r>
      <w:r>
        <w:rPr>
          <w:rFonts w:hint="eastAsia" w:ascii="仿宋" w:hAnsi="仿宋" w:eastAsia="仿宋" w:cs="仿宋"/>
          <w:snapToGrid w:val="0"/>
          <w:color w:val="auto"/>
          <w:kern w:val="0"/>
          <w:sz w:val="28"/>
          <w:szCs w:val="28"/>
          <w:highlight w:val="none"/>
          <w:lang w:eastAsia="en-US"/>
        </w:rPr>
        <w:t>）：</w:t>
      </w:r>
      <w:r>
        <w:rPr>
          <w:rFonts w:hint="eastAsia" w:ascii="仿宋" w:hAnsi="仿宋" w:eastAsia="仿宋" w:cs="仿宋"/>
          <w:snapToGrid w:val="0"/>
          <w:color w:val="auto"/>
          <w:kern w:val="0"/>
          <w:sz w:val="28"/>
          <w:szCs w:val="28"/>
          <w:highlight w:val="none"/>
        </w:rPr>
        <w:t>0</w:t>
      </w:r>
    </w:p>
    <w:p w14:paraId="59997A70">
      <w:pPr>
        <w:widowControl/>
        <w:kinsoku w:val="0"/>
        <w:autoSpaceDE w:val="0"/>
        <w:autoSpaceDN w:val="0"/>
        <w:adjustRightInd w:val="0"/>
        <w:snapToGrid w:val="0"/>
        <w:spacing w:before="258" w:line="440" w:lineRule="exact"/>
        <w:ind w:left="36"/>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b/>
          <w:bCs/>
          <w:snapToGrid w:val="0"/>
          <w:color w:val="auto"/>
          <w:spacing w:val="-4"/>
          <w:kern w:val="0"/>
          <w:sz w:val="28"/>
          <w:szCs w:val="28"/>
          <w:highlight w:val="none"/>
          <w:lang w:eastAsia="en-US"/>
        </w:rPr>
        <w:t>四、</w:t>
      </w:r>
      <w:r>
        <w:rPr>
          <w:rFonts w:hint="eastAsia" w:ascii="仿宋" w:hAnsi="仿宋" w:eastAsia="仿宋" w:cs="仿宋"/>
          <w:b/>
          <w:bCs/>
          <w:snapToGrid w:val="0"/>
          <w:color w:val="auto"/>
          <w:spacing w:val="-4"/>
          <w:kern w:val="0"/>
          <w:sz w:val="28"/>
          <w:szCs w:val="28"/>
          <w:highlight w:val="none"/>
        </w:rPr>
        <w:t>响应文件提交</w:t>
      </w:r>
    </w:p>
    <w:p w14:paraId="6F354E07">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5"/>
          <w:kern w:val="0"/>
          <w:sz w:val="28"/>
          <w:szCs w:val="28"/>
          <w:highlight w:val="none"/>
          <w:lang w:eastAsia="en-US"/>
        </w:rPr>
        <w:t>截止时间：</w:t>
      </w:r>
      <w:r>
        <w:rPr>
          <w:rFonts w:hint="eastAsia" w:ascii="仿宋" w:hAnsi="仿宋" w:eastAsia="仿宋" w:cs="仿宋"/>
          <w:snapToGrid w:val="0"/>
          <w:color w:val="auto"/>
          <w:spacing w:val="-5"/>
          <w:kern w:val="0"/>
          <w:sz w:val="28"/>
          <w:szCs w:val="28"/>
          <w:highlight w:val="none"/>
          <w:lang w:eastAsia="zh-CN"/>
        </w:rPr>
        <w:t>2026年05月13日 12:00</w:t>
      </w:r>
      <w:r>
        <w:rPr>
          <w:rFonts w:hint="eastAsia" w:ascii="仿宋" w:hAnsi="仿宋" w:eastAsia="仿宋" w:cs="仿宋"/>
          <w:snapToGrid w:val="0"/>
          <w:color w:val="auto"/>
          <w:spacing w:val="-6"/>
          <w:kern w:val="0"/>
          <w:sz w:val="28"/>
          <w:szCs w:val="28"/>
          <w:highlight w:val="none"/>
          <w:lang w:eastAsia="en-US"/>
        </w:rPr>
        <w:t>（北京时间）</w:t>
      </w:r>
    </w:p>
    <w:p w14:paraId="5C6EB1D7">
      <w:pPr>
        <w:widowControl/>
        <w:kinsoku w:val="0"/>
        <w:autoSpaceDE w:val="0"/>
        <w:autoSpaceDN w:val="0"/>
        <w:adjustRightInd w:val="0"/>
        <w:snapToGrid w:val="0"/>
        <w:spacing w:before="254" w:line="440" w:lineRule="exact"/>
        <w:ind w:left="496"/>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地点：请登录政采云投标客户端投标</w:t>
      </w:r>
    </w:p>
    <w:p w14:paraId="02702EB1">
      <w:pPr>
        <w:widowControl/>
        <w:numPr>
          <w:ilvl w:val="0"/>
          <w:numId w:val="3"/>
        </w:numPr>
        <w:kinsoku w:val="0"/>
        <w:autoSpaceDE w:val="0"/>
        <w:autoSpaceDN w:val="0"/>
        <w:adjustRightInd w:val="0"/>
        <w:snapToGrid w:val="0"/>
        <w:spacing w:before="110" w:line="440" w:lineRule="exact"/>
        <w:ind w:left="14"/>
        <w:jc w:val="left"/>
        <w:textAlignment w:val="baseline"/>
        <w:rPr>
          <w:rFonts w:ascii="仿宋" w:hAnsi="仿宋" w:eastAsia="仿宋" w:cs="仿宋"/>
          <w:b/>
          <w:bCs/>
          <w:snapToGrid w:val="0"/>
          <w:color w:val="auto"/>
          <w:spacing w:val="-4"/>
          <w:kern w:val="0"/>
          <w:sz w:val="28"/>
          <w:szCs w:val="28"/>
          <w:highlight w:val="none"/>
        </w:rPr>
      </w:pPr>
      <w:r>
        <w:rPr>
          <w:rFonts w:hint="eastAsia" w:ascii="仿宋" w:hAnsi="仿宋" w:eastAsia="仿宋" w:cs="仿宋"/>
          <w:b/>
          <w:bCs/>
          <w:snapToGrid w:val="0"/>
          <w:color w:val="auto"/>
          <w:spacing w:val="-4"/>
          <w:kern w:val="0"/>
          <w:sz w:val="28"/>
          <w:szCs w:val="28"/>
          <w:highlight w:val="none"/>
        </w:rPr>
        <w:t>响应文件开启</w:t>
      </w:r>
    </w:p>
    <w:p w14:paraId="49D29A72">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5"/>
          <w:kern w:val="0"/>
          <w:sz w:val="28"/>
          <w:szCs w:val="28"/>
          <w:highlight w:val="none"/>
        </w:rPr>
        <w:t>开启</w:t>
      </w:r>
      <w:r>
        <w:rPr>
          <w:rFonts w:hint="eastAsia" w:ascii="仿宋" w:hAnsi="仿宋" w:eastAsia="仿宋" w:cs="仿宋"/>
          <w:snapToGrid w:val="0"/>
          <w:color w:val="auto"/>
          <w:spacing w:val="-5"/>
          <w:kern w:val="0"/>
          <w:sz w:val="28"/>
          <w:szCs w:val="28"/>
          <w:highlight w:val="none"/>
          <w:lang w:eastAsia="en-US"/>
        </w:rPr>
        <w:t>时间：</w:t>
      </w:r>
      <w:r>
        <w:rPr>
          <w:rFonts w:hint="eastAsia" w:ascii="仿宋" w:hAnsi="仿宋" w:eastAsia="仿宋" w:cs="仿宋"/>
          <w:snapToGrid w:val="0"/>
          <w:color w:val="auto"/>
          <w:spacing w:val="-5"/>
          <w:kern w:val="0"/>
          <w:sz w:val="28"/>
          <w:szCs w:val="28"/>
          <w:highlight w:val="none"/>
          <w:lang w:eastAsia="zh-CN"/>
        </w:rPr>
        <w:t>2026年05月13日 12:00</w:t>
      </w:r>
      <w:r>
        <w:rPr>
          <w:rFonts w:hint="eastAsia" w:ascii="仿宋" w:hAnsi="仿宋" w:eastAsia="仿宋" w:cs="仿宋"/>
          <w:snapToGrid w:val="0"/>
          <w:color w:val="auto"/>
          <w:spacing w:val="-6"/>
          <w:kern w:val="0"/>
          <w:sz w:val="28"/>
          <w:szCs w:val="28"/>
          <w:highlight w:val="none"/>
          <w:lang w:eastAsia="en-US"/>
        </w:rPr>
        <w:t>（北京时间）</w:t>
      </w:r>
    </w:p>
    <w:p w14:paraId="3C5DDB9F">
      <w:pPr>
        <w:widowControl/>
        <w:kinsoku w:val="0"/>
        <w:autoSpaceDE w:val="0"/>
        <w:autoSpaceDN w:val="0"/>
        <w:adjustRightInd w:val="0"/>
        <w:snapToGrid w:val="0"/>
        <w:spacing w:before="254" w:line="440" w:lineRule="exact"/>
        <w:ind w:left="496"/>
        <w:jc w:val="left"/>
        <w:textAlignment w:val="baseline"/>
        <w:rPr>
          <w:rFonts w:ascii="Times New Roman" w:hAnsi="Times New Roman" w:eastAsia="宋体" w:cs="Times New Roman"/>
          <w:color w:val="auto"/>
          <w:highlight w:val="none"/>
        </w:rPr>
      </w:pPr>
      <w:r>
        <w:rPr>
          <w:rFonts w:hint="eastAsia" w:ascii="仿宋" w:hAnsi="仿宋" w:eastAsia="仿宋" w:cs="仿宋"/>
          <w:snapToGrid w:val="0"/>
          <w:color w:val="auto"/>
          <w:spacing w:val="-1"/>
          <w:kern w:val="0"/>
          <w:sz w:val="28"/>
          <w:szCs w:val="28"/>
          <w:highlight w:val="none"/>
          <w:lang w:eastAsia="en-US"/>
        </w:rPr>
        <w:t>地点：投标人登录政采云平台https://www.zcygov.cn/，进入“项目采购-开标评标-右边选择对应项目点击“进入项目”进入开标大厅。</w:t>
      </w:r>
    </w:p>
    <w:p w14:paraId="6E4A3DCA">
      <w:pPr>
        <w:widowControl/>
        <w:kinsoku w:val="0"/>
        <w:autoSpaceDE w:val="0"/>
        <w:autoSpaceDN w:val="0"/>
        <w:adjustRightInd w:val="0"/>
        <w:snapToGrid w:val="0"/>
        <w:spacing w:before="110" w:line="440" w:lineRule="exact"/>
        <w:ind w:left="14"/>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六、公告期限</w:t>
      </w:r>
    </w:p>
    <w:p w14:paraId="70F22D13">
      <w:pPr>
        <w:widowControl/>
        <w:kinsoku w:val="0"/>
        <w:autoSpaceDE w:val="0"/>
        <w:autoSpaceDN w:val="0"/>
        <w:adjustRightInd w:val="0"/>
        <w:snapToGrid w:val="0"/>
        <w:spacing w:before="257" w:line="440" w:lineRule="exact"/>
        <w:ind w:left="529"/>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snapToGrid w:val="0"/>
          <w:color w:val="auto"/>
          <w:spacing w:val="-5"/>
          <w:kern w:val="0"/>
          <w:sz w:val="28"/>
          <w:szCs w:val="28"/>
          <w:highlight w:val="none"/>
          <w:lang w:eastAsia="en-US"/>
        </w:rPr>
        <w:t>自本公告发布之日起</w:t>
      </w:r>
      <w:r>
        <w:rPr>
          <w:rFonts w:hint="eastAsia" w:ascii="仿宋" w:hAnsi="仿宋" w:eastAsia="仿宋" w:cs="仿宋"/>
          <w:snapToGrid w:val="0"/>
          <w:color w:val="auto"/>
          <w:spacing w:val="-45"/>
          <w:kern w:val="0"/>
          <w:sz w:val="28"/>
          <w:szCs w:val="28"/>
          <w:highlight w:val="none"/>
          <w:lang w:eastAsia="en-US"/>
        </w:rPr>
        <w:t xml:space="preserve"> </w:t>
      </w:r>
      <w:r>
        <w:rPr>
          <w:rFonts w:hint="eastAsia" w:ascii="仿宋" w:hAnsi="仿宋" w:eastAsia="仿宋" w:cs="仿宋"/>
          <w:snapToGrid w:val="0"/>
          <w:color w:val="auto"/>
          <w:spacing w:val="-5"/>
          <w:kern w:val="0"/>
          <w:sz w:val="28"/>
          <w:szCs w:val="28"/>
          <w:highlight w:val="none"/>
          <w:lang w:eastAsia="en-US"/>
        </w:rPr>
        <w:t>5</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5"/>
          <w:kern w:val="0"/>
          <w:sz w:val="28"/>
          <w:szCs w:val="28"/>
          <w:highlight w:val="none"/>
          <w:lang w:eastAsia="en-US"/>
        </w:rPr>
        <w:t>个工作日。</w:t>
      </w:r>
    </w:p>
    <w:p w14:paraId="50F2CDE1">
      <w:pPr>
        <w:widowControl/>
        <w:kinsoku w:val="0"/>
        <w:autoSpaceDE w:val="0"/>
        <w:autoSpaceDN w:val="0"/>
        <w:adjustRightInd w:val="0"/>
        <w:snapToGrid w:val="0"/>
        <w:spacing w:before="78" w:line="440" w:lineRule="exact"/>
        <w:ind w:left="12"/>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rPr>
        <w:t>七</w:t>
      </w:r>
      <w:r>
        <w:rPr>
          <w:rFonts w:hint="eastAsia" w:ascii="仿宋" w:hAnsi="仿宋" w:eastAsia="仿宋" w:cs="仿宋"/>
          <w:b/>
          <w:bCs/>
          <w:snapToGrid w:val="0"/>
          <w:color w:val="auto"/>
          <w:spacing w:val="-4"/>
          <w:kern w:val="0"/>
          <w:sz w:val="28"/>
          <w:szCs w:val="28"/>
          <w:highlight w:val="none"/>
          <w:lang w:eastAsia="en-US"/>
        </w:rPr>
        <w:t>、其他补充事宜</w:t>
      </w:r>
    </w:p>
    <w:p w14:paraId="72ECD697">
      <w:pPr>
        <w:widowControl/>
        <w:kinsoku w:val="0"/>
        <w:autoSpaceDE w:val="0"/>
        <w:autoSpaceDN w:val="0"/>
        <w:adjustRightInd w:val="0"/>
        <w:snapToGrid w:val="0"/>
        <w:spacing w:before="79" w:line="440" w:lineRule="exact"/>
        <w:ind w:left="508"/>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snapToGrid w:val="0"/>
          <w:color w:val="auto"/>
          <w:spacing w:val="-2"/>
          <w:kern w:val="0"/>
          <w:sz w:val="28"/>
          <w:szCs w:val="28"/>
          <w:highlight w:val="none"/>
          <w:lang w:eastAsia="en-US"/>
        </w:rPr>
        <w:t>1.本项目实行网上投标，采用电子投标文件。</w:t>
      </w:r>
    </w:p>
    <w:p w14:paraId="172DC41A">
      <w:pPr>
        <w:widowControl/>
        <w:kinsoku w:val="0"/>
        <w:autoSpaceDE w:val="0"/>
        <w:autoSpaceDN w:val="0"/>
        <w:adjustRightInd w:val="0"/>
        <w:snapToGrid w:val="0"/>
        <w:spacing w:before="78" w:line="440" w:lineRule="exact"/>
        <w:ind w:left="10" w:firstLine="482"/>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3"/>
          <w:kern w:val="0"/>
          <w:sz w:val="28"/>
          <w:szCs w:val="28"/>
          <w:highlight w:val="none"/>
          <w:lang w:eastAsia="en-US"/>
        </w:rPr>
        <w:t>2.各投标人在开标前应确保成为新疆政府采购网正式注册入库供应商，并完成</w:t>
      </w:r>
      <w:r>
        <w:rPr>
          <w:rFonts w:hint="eastAsia" w:ascii="仿宋" w:hAnsi="仿宋" w:eastAsia="仿宋" w:cs="仿宋"/>
          <w:snapToGrid w:val="0"/>
          <w:color w:val="auto"/>
          <w:spacing w:val="-3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数字</w:t>
      </w:r>
      <w:r>
        <w:rPr>
          <w:rFonts w:hint="eastAsia" w:ascii="仿宋" w:hAnsi="仿宋" w:eastAsia="仿宋" w:cs="仿宋"/>
          <w:snapToGrid w:val="0"/>
          <w:color w:val="auto"/>
          <w:spacing w:val="-2"/>
          <w:kern w:val="0"/>
          <w:sz w:val="28"/>
          <w:szCs w:val="28"/>
          <w:highlight w:val="none"/>
          <w:lang w:eastAsia="en-US"/>
        </w:rPr>
        <w:t>证书（符合国密标准）申领。因未注册入库、未</w:t>
      </w:r>
      <w:r>
        <w:rPr>
          <w:rFonts w:hint="eastAsia" w:ascii="仿宋" w:hAnsi="仿宋" w:eastAsia="仿宋" w:cs="仿宋"/>
          <w:snapToGrid w:val="0"/>
          <w:color w:val="auto"/>
          <w:spacing w:val="-3"/>
          <w:kern w:val="0"/>
          <w:sz w:val="28"/>
          <w:szCs w:val="28"/>
          <w:highlight w:val="none"/>
          <w:lang w:eastAsia="en-US"/>
        </w:rPr>
        <w:t>办理</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数字证书等原因造成无法投标或投</w:t>
      </w:r>
      <w:r>
        <w:rPr>
          <w:rFonts w:hint="eastAsia" w:ascii="仿宋" w:hAnsi="仿宋" w:eastAsia="仿宋" w:cs="仿宋"/>
          <w:snapToGrid w:val="0"/>
          <w:color w:val="auto"/>
          <w:spacing w:val="1"/>
          <w:kern w:val="0"/>
          <w:sz w:val="28"/>
          <w:szCs w:val="28"/>
          <w:highlight w:val="none"/>
          <w:lang w:eastAsia="en-US"/>
        </w:rPr>
        <w:t>标失败等后果由投标人自行承担。有意向参与电子投标的投标人，可访问新疆数字证书认</w:t>
      </w:r>
      <w:r>
        <w:rPr>
          <w:rFonts w:hint="eastAsia" w:ascii="仿宋" w:hAnsi="仿宋" w:eastAsia="仿宋" w:cs="仿宋"/>
          <w:snapToGrid w:val="0"/>
          <w:color w:val="auto"/>
          <w:spacing w:val="-3"/>
          <w:kern w:val="0"/>
          <w:sz w:val="28"/>
          <w:szCs w:val="28"/>
          <w:highlight w:val="none"/>
          <w:lang w:eastAsia="en-US"/>
        </w:rPr>
        <w:t>证中心官方网站或下载“新疆政务通</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”APP 自行申领。如需咨询，请联系新疆</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服</w:t>
      </w:r>
      <w:r>
        <w:rPr>
          <w:rFonts w:hint="eastAsia" w:ascii="仿宋" w:hAnsi="仿宋" w:eastAsia="仿宋" w:cs="仿宋"/>
          <w:snapToGrid w:val="0"/>
          <w:color w:val="auto"/>
          <w:spacing w:val="-4"/>
          <w:kern w:val="0"/>
          <w:sz w:val="28"/>
          <w:szCs w:val="28"/>
          <w:highlight w:val="none"/>
          <w:lang w:eastAsia="en-US"/>
        </w:rPr>
        <w:t>务热线</w:t>
      </w:r>
      <w:r>
        <w:rPr>
          <w:rFonts w:hint="eastAsia" w:ascii="仿宋" w:hAnsi="仿宋" w:eastAsia="仿宋" w:cs="仿宋"/>
          <w:snapToGrid w:val="0"/>
          <w:color w:val="auto"/>
          <w:spacing w:val="-1"/>
          <w:kern w:val="0"/>
          <w:sz w:val="28"/>
          <w:szCs w:val="28"/>
          <w:highlight w:val="none"/>
          <w:lang w:eastAsia="en-US"/>
        </w:rPr>
        <w:t>0991-2819290。</w:t>
      </w:r>
    </w:p>
    <w:p w14:paraId="462F460E">
      <w:pPr>
        <w:widowControl/>
        <w:kinsoku w:val="0"/>
        <w:autoSpaceDE w:val="0"/>
        <w:autoSpaceDN w:val="0"/>
        <w:adjustRightInd w:val="0"/>
        <w:snapToGrid w:val="0"/>
        <w:spacing w:before="266" w:line="440" w:lineRule="exact"/>
        <w:ind w:left="10" w:firstLine="484"/>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3"/>
          <w:kern w:val="0"/>
          <w:sz w:val="28"/>
          <w:szCs w:val="28"/>
          <w:highlight w:val="none"/>
          <w:lang w:eastAsia="en-US"/>
        </w:rPr>
        <w:t>3.投标人在完成政采云电子交易客户端下载、安装后，可通过账号密码或</w:t>
      </w:r>
      <w:r>
        <w:rPr>
          <w:rFonts w:hint="eastAsia" w:ascii="仿宋" w:hAnsi="仿宋" w:eastAsia="仿宋" w:cs="仿宋"/>
          <w:snapToGrid w:val="0"/>
          <w:color w:val="auto"/>
          <w:spacing w:val="-42"/>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6"/>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登录客户</w:t>
      </w:r>
      <w:r>
        <w:rPr>
          <w:rFonts w:hint="eastAsia" w:ascii="仿宋" w:hAnsi="仿宋" w:eastAsia="仿宋" w:cs="仿宋"/>
          <w:snapToGrid w:val="0"/>
          <w:color w:val="auto"/>
          <w:spacing w:val="-1"/>
          <w:kern w:val="0"/>
          <w:sz w:val="28"/>
          <w:szCs w:val="28"/>
          <w:highlight w:val="none"/>
          <w:lang w:eastAsia="en-US"/>
        </w:rPr>
        <w:t>端进行投标文件的制作。在使用政采云投标客户端时，建议使用WIN7</w:t>
      </w:r>
      <w:r>
        <w:rPr>
          <w:rFonts w:hint="eastAsia" w:ascii="仿宋" w:hAnsi="仿宋" w:eastAsia="仿宋" w:cs="仿宋"/>
          <w:snapToGrid w:val="0"/>
          <w:color w:val="auto"/>
          <w:spacing w:val="-39"/>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及以上操作系统。客</w:t>
      </w:r>
      <w:r>
        <w:rPr>
          <w:rFonts w:hint="eastAsia" w:ascii="仿宋" w:hAnsi="仿宋" w:eastAsia="仿宋" w:cs="仿宋"/>
          <w:snapToGrid w:val="0"/>
          <w:color w:val="auto"/>
          <w:spacing w:val="1"/>
          <w:kern w:val="0"/>
          <w:sz w:val="28"/>
          <w:szCs w:val="28"/>
          <w:highlight w:val="none"/>
          <w:lang w:eastAsia="en-US"/>
        </w:rPr>
        <w:t>户端请至新疆政府采购网（</w:t>
      </w:r>
      <w:r>
        <w:rPr>
          <w:rFonts w:hint="eastAsia" w:ascii="仿宋" w:hAnsi="仿宋" w:eastAsia="仿宋" w:cs="仿宋"/>
          <w:snapToGrid w:val="0"/>
          <w:color w:val="auto"/>
          <w:kern w:val="0"/>
          <w:sz w:val="28"/>
          <w:szCs w:val="28"/>
          <w:highlight w:val="none"/>
          <w:lang w:eastAsia="en-US"/>
        </w:rPr>
        <w:t>http</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www</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ccgp</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xinjiang</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gov</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cn</w:t>
      </w:r>
      <w:r>
        <w:rPr>
          <w:rFonts w:hint="eastAsia" w:ascii="仿宋" w:hAnsi="仿宋" w:eastAsia="仿宋" w:cs="仿宋"/>
          <w:snapToGrid w:val="0"/>
          <w:color w:val="auto"/>
          <w:spacing w:val="1"/>
          <w:kern w:val="0"/>
          <w:sz w:val="28"/>
          <w:szCs w:val="28"/>
          <w:highlight w:val="none"/>
          <w:lang w:eastAsia="en-US"/>
        </w:rPr>
        <w:t>/）下载专区查看，如遇问</w:t>
      </w:r>
      <w:r>
        <w:rPr>
          <w:rFonts w:hint="eastAsia" w:ascii="仿宋" w:hAnsi="仿宋" w:eastAsia="仿宋" w:cs="仿宋"/>
          <w:snapToGrid w:val="0"/>
          <w:color w:val="auto"/>
          <w:spacing w:val="-2"/>
          <w:kern w:val="0"/>
          <w:sz w:val="28"/>
          <w:szCs w:val="28"/>
          <w:highlight w:val="none"/>
          <w:lang w:eastAsia="en-US"/>
        </w:rPr>
        <w:t>题可拨打政采云客户服务热线</w:t>
      </w:r>
      <w:r>
        <w:rPr>
          <w:rFonts w:hint="eastAsia" w:ascii="仿宋" w:hAnsi="仿宋" w:eastAsia="仿宋" w:cs="仿宋"/>
          <w:snapToGrid w:val="0"/>
          <w:color w:val="auto"/>
          <w:spacing w:val="-32"/>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95763</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进行咨询。</w:t>
      </w:r>
    </w:p>
    <w:p w14:paraId="7B55769A">
      <w:pPr>
        <w:widowControl/>
        <w:kinsoku w:val="0"/>
        <w:autoSpaceDE w:val="0"/>
        <w:autoSpaceDN w:val="0"/>
        <w:adjustRightInd w:val="0"/>
        <w:snapToGrid w:val="0"/>
        <w:spacing w:before="220" w:line="440" w:lineRule="exact"/>
        <w:ind w:left="8" w:firstLine="480"/>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4.投标人应当在投标截止时间前</w:t>
      </w:r>
      <w:r>
        <w:rPr>
          <w:rFonts w:hint="eastAsia" w:ascii="仿宋" w:hAnsi="仿宋" w:eastAsia="仿宋" w:cs="仿宋"/>
          <w:snapToGrid w:val="0"/>
          <w:color w:val="auto"/>
          <w:spacing w:val="-4"/>
          <w:kern w:val="0"/>
          <w:sz w:val="28"/>
          <w:szCs w:val="28"/>
          <w:highlight w:val="none"/>
        </w:rPr>
        <w:t>，</w:t>
      </w:r>
      <w:r>
        <w:rPr>
          <w:rFonts w:hint="eastAsia" w:ascii="仿宋" w:hAnsi="仿宋" w:eastAsia="仿宋" w:cs="仿宋"/>
          <w:snapToGrid w:val="0"/>
          <w:color w:val="auto"/>
          <w:spacing w:val="-4"/>
          <w:kern w:val="0"/>
          <w:sz w:val="28"/>
          <w:szCs w:val="28"/>
          <w:highlight w:val="none"/>
          <w:lang w:eastAsia="en-US"/>
        </w:rPr>
        <w:t>将生成的“</w:t>
      </w:r>
      <w:r>
        <w:rPr>
          <w:rFonts w:hint="eastAsia" w:ascii="仿宋" w:hAnsi="仿宋" w:eastAsia="仿宋" w:cs="仿宋"/>
          <w:snapToGrid w:val="0"/>
          <w:color w:val="auto"/>
          <w:spacing w:val="-75"/>
          <w:kern w:val="0"/>
          <w:sz w:val="28"/>
          <w:szCs w:val="28"/>
          <w:highlight w:val="none"/>
          <w:lang w:eastAsia="en-US"/>
        </w:rPr>
        <w:t xml:space="preserve"> </w:t>
      </w:r>
      <w:r>
        <w:rPr>
          <w:rFonts w:hint="eastAsia" w:ascii="仿宋" w:hAnsi="仿宋" w:eastAsia="仿宋" w:cs="仿宋"/>
          <w:snapToGrid w:val="0"/>
          <w:color w:val="auto"/>
          <w:spacing w:val="-4"/>
          <w:kern w:val="0"/>
          <w:sz w:val="28"/>
          <w:szCs w:val="28"/>
          <w:highlight w:val="none"/>
          <w:lang w:eastAsia="en-US"/>
        </w:rPr>
        <w:t>电子加密投标文件</w:t>
      </w:r>
      <w:r>
        <w:rPr>
          <w:rFonts w:hint="eastAsia" w:ascii="仿宋" w:hAnsi="仿宋" w:eastAsia="仿宋" w:cs="仿宋"/>
          <w:snapToGrid w:val="0"/>
          <w:color w:val="auto"/>
          <w:spacing w:val="-89"/>
          <w:kern w:val="0"/>
          <w:sz w:val="28"/>
          <w:szCs w:val="28"/>
          <w:highlight w:val="none"/>
          <w:lang w:eastAsia="en-US"/>
        </w:rPr>
        <w:t xml:space="preserve"> </w:t>
      </w:r>
      <w:r>
        <w:rPr>
          <w:rFonts w:hint="eastAsia" w:ascii="仿宋" w:hAnsi="仿宋" w:eastAsia="仿宋" w:cs="仿宋"/>
          <w:snapToGrid w:val="0"/>
          <w:color w:val="auto"/>
          <w:spacing w:val="-4"/>
          <w:kern w:val="0"/>
          <w:sz w:val="28"/>
          <w:szCs w:val="28"/>
          <w:highlight w:val="none"/>
          <w:lang w:eastAsia="en-US"/>
        </w:rPr>
        <w:t>”上传递交至“政府采</w:t>
      </w:r>
      <w:r>
        <w:rPr>
          <w:rFonts w:hint="eastAsia" w:ascii="仿宋" w:hAnsi="仿宋" w:eastAsia="仿宋" w:cs="仿宋"/>
          <w:snapToGrid w:val="0"/>
          <w:color w:val="auto"/>
          <w:spacing w:val="-2"/>
          <w:kern w:val="0"/>
          <w:sz w:val="28"/>
          <w:szCs w:val="28"/>
          <w:highlight w:val="none"/>
          <w:lang w:eastAsia="en-US"/>
        </w:rPr>
        <w:t>购云平台</w:t>
      </w:r>
      <w:r>
        <w:rPr>
          <w:rFonts w:hint="eastAsia" w:ascii="仿宋" w:hAnsi="仿宋" w:eastAsia="仿宋" w:cs="仿宋"/>
          <w:snapToGrid w:val="0"/>
          <w:color w:val="auto"/>
          <w:spacing w:val="-87"/>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w:t>
      </w:r>
      <w:r>
        <w:rPr>
          <w:rFonts w:hint="eastAsia" w:ascii="仿宋" w:hAnsi="仿宋" w:eastAsia="仿宋" w:cs="仿宋"/>
          <w:snapToGrid w:val="0"/>
          <w:color w:val="auto"/>
          <w:spacing w:val="-2"/>
          <w:kern w:val="0"/>
          <w:sz w:val="28"/>
          <w:szCs w:val="28"/>
          <w:highlight w:val="none"/>
        </w:rPr>
        <w:t>，</w:t>
      </w:r>
      <w:r>
        <w:rPr>
          <w:rFonts w:hint="eastAsia" w:ascii="仿宋" w:hAnsi="仿宋" w:eastAsia="仿宋" w:cs="仿宋"/>
          <w:snapToGrid w:val="0"/>
          <w:color w:val="auto"/>
          <w:spacing w:val="-2"/>
          <w:kern w:val="0"/>
          <w:sz w:val="28"/>
          <w:szCs w:val="28"/>
          <w:highlight w:val="none"/>
          <w:lang w:eastAsia="en-US"/>
        </w:rPr>
        <w:t>投标截止时间以后上传递交的投标文件将被“政府采购云平台</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”拒收。</w:t>
      </w:r>
    </w:p>
    <w:p w14:paraId="107D2880">
      <w:pPr>
        <w:widowControl/>
        <w:kinsoku w:val="0"/>
        <w:autoSpaceDE w:val="0"/>
        <w:autoSpaceDN w:val="0"/>
        <w:adjustRightInd w:val="0"/>
        <w:snapToGrid w:val="0"/>
        <w:spacing w:before="220" w:line="440" w:lineRule="exact"/>
        <w:ind w:left="11" w:firstLine="483"/>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5.投标人在开标前须提前配置好电脑浏览器</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eastAsia="en-US"/>
        </w:rPr>
        <w:t>开标时登录政采云平台，在“项</w:t>
      </w:r>
      <w:r>
        <w:rPr>
          <w:rFonts w:hint="eastAsia" w:ascii="仿宋" w:hAnsi="仿宋" w:eastAsia="仿宋" w:cs="仿宋"/>
          <w:snapToGrid w:val="0"/>
          <w:color w:val="auto"/>
          <w:kern w:val="0"/>
          <w:sz w:val="28"/>
          <w:szCs w:val="28"/>
          <w:highlight w:val="none"/>
          <w:lang w:eastAsia="en-US"/>
        </w:rPr>
        <w:t>目采购</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spacing w:val="-3"/>
          <w:kern w:val="0"/>
          <w:sz w:val="28"/>
          <w:szCs w:val="28"/>
          <w:highlight w:val="none"/>
          <w:lang w:eastAsia="en-US"/>
        </w:rPr>
        <w:t>开标评标</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”功能中，使用制作加密电子投标文件的</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锁进行解密及</w:t>
      </w:r>
      <w:r>
        <w:rPr>
          <w:rFonts w:hint="eastAsia" w:ascii="仿宋" w:hAnsi="仿宋" w:eastAsia="仿宋" w:cs="仿宋"/>
          <w:snapToGrid w:val="0"/>
          <w:color w:val="auto"/>
          <w:spacing w:val="-4"/>
          <w:kern w:val="0"/>
          <w:sz w:val="28"/>
          <w:szCs w:val="28"/>
          <w:highlight w:val="none"/>
          <w:lang w:eastAsia="en-US"/>
        </w:rPr>
        <w:t>报价确认。本项目投标</w:t>
      </w:r>
      <w:r>
        <w:rPr>
          <w:rFonts w:hint="eastAsia" w:ascii="仿宋" w:hAnsi="仿宋" w:eastAsia="仿宋" w:cs="仿宋"/>
          <w:snapToGrid w:val="0"/>
          <w:color w:val="auto"/>
          <w:spacing w:val="6"/>
          <w:kern w:val="0"/>
          <w:sz w:val="28"/>
          <w:szCs w:val="28"/>
          <w:highlight w:val="none"/>
          <w:lang w:eastAsia="en-US"/>
        </w:rPr>
        <w:t>文件的解密时间定为</w:t>
      </w:r>
      <w:r>
        <w:rPr>
          <w:rFonts w:hint="eastAsia" w:ascii="仿宋" w:hAnsi="仿宋" w:eastAsia="仿宋" w:cs="仿宋"/>
          <w:snapToGrid w:val="0"/>
          <w:color w:val="auto"/>
          <w:spacing w:val="-35"/>
          <w:kern w:val="0"/>
          <w:sz w:val="28"/>
          <w:szCs w:val="28"/>
          <w:highlight w:val="none"/>
          <w:lang w:eastAsia="en-US"/>
        </w:rPr>
        <w:t xml:space="preserve"> </w:t>
      </w:r>
      <w:r>
        <w:rPr>
          <w:rFonts w:hint="eastAsia" w:ascii="仿宋" w:hAnsi="仿宋" w:eastAsia="仿宋" w:cs="仿宋"/>
          <w:snapToGrid w:val="0"/>
          <w:color w:val="auto"/>
          <w:spacing w:val="6"/>
          <w:kern w:val="0"/>
          <w:sz w:val="28"/>
          <w:szCs w:val="28"/>
          <w:highlight w:val="none"/>
          <w:lang w:eastAsia="en-US"/>
        </w:rPr>
        <w:t>30</w:t>
      </w:r>
      <w:r>
        <w:rPr>
          <w:rFonts w:hint="eastAsia" w:ascii="仿宋" w:hAnsi="仿宋" w:eastAsia="仿宋" w:cs="仿宋"/>
          <w:snapToGrid w:val="0"/>
          <w:color w:val="auto"/>
          <w:spacing w:val="-41"/>
          <w:kern w:val="0"/>
          <w:sz w:val="28"/>
          <w:szCs w:val="28"/>
          <w:highlight w:val="none"/>
          <w:lang w:eastAsia="en-US"/>
        </w:rPr>
        <w:t xml:space="preserve"> </w:t>
      </w:r>
      <w:r>
        <w:rPr>
          <w:rFonts w:hint="eastAsia" w:ascii="仿宋" w:hAnsi="仿宋" w:eastAsia="仿宋" w:cs="仿宋"/>
          <w:snapToGrid w:val="0"/>
          <w:color w:val="auto"/>
          <w:spacing w:val="6"/>
          <w:kern w:val="0"/>
          <w:sz w:val="28"/>
          <w:szCs w:val="28"/>
          <w:highlight w:val="none"/>
          <w:lang w:eastAsia="en-US"/>
        </w:rPr>
        <w:t>分钟内</w:t>
      </w:r>
      <w:r>
        <w:rPr>
          <w:rFonts w:hint="eastAsia" w:ascii="仿宋" w:hAnsi="仿宋" w:eastAsia="仿宋" w:cs="仿宋"/>
          <w:snapToGrid w:val="0"/>
          <w:color w:val="auto"/>
          <w:spacing w:val="6"/>
          <w:kern w:val="0"/>
          <w:sz w:val="28"/>
          <w:szCs w:val="28"/>
          <w:highlight w:val="none"/>
        </w:rPr>
        <w:t>，</w:t>
      </w:r>
      <w:r>
        <w:rPr>
          <w:rFonts w:hint="eastAsia" w:ascii="仿宋" w:hAnsi="仿宋" w:eastAsia="仿宋" w:cs="仿宋"/>
          <w:snapToGrid w:val="0"/>
          <w:color w:val="auto"/>
          <w:spacing w:val="6"/>
          <w:kern w:val="0"/>
          <w:sz w:val="28"/>
          <w:szCs w:val="28"/>
          <w:highlight w:val="none"/>
          <w:lang w:eastAsia="en-US"/>
        </w:rPr>
        <w:t>如因投标人自身原因导致在规定时间内无法正常解密的</w:t>
      </w:r>
      <w:r>
        <w:rPr>
          <w:rFonts w:hint="eastAsia" w:ascii="仿宋" w:hAnsi="仿宋" w:eastAsia="仿宋" w:cs="仿宋"/>
          <w:snapToGrid w:val="0"/>
          <w:color w:val="auto"/>
          <w:spacing w:val="-1"/>
          <w:kern w:val="0"/>
          <w:sz w:val="28"/>
          <w:szCs w:val="28"/>
          <w:highlight w:val="none"/>
          <w:lang w:eastAsia="en-US"/>
        </w:rPr>
        <w:t>（如：浏览器故障、未安装相关驱动、网络故障、加密</w:t>
      </w:r>
      <w:r>
        <w:rPr>
          <w:rFonts w:hint="eastAsia" w:ascii="仿宋" w:hAnsi="仿宋" w:eastAsia="仿宋" w:cs="仿宋"/>
          <w:snapToGrid w:val="0"/>
          <w:color w:val="auto"/>
          <w:spacing w:val="-51"/>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CA</w:t>
      </w:r>
      <w:r>
        <w:rPr>
          <w:rFonts w:hint="eastAsia" w:ascii="仿宋" w:hAnsi="仿宋" w:eastAsia="仿宋" w:cs="仿宋"/>
          <w:snapToGrid w:val="0"/>
          <w:color w:val="auto"/>
          <w:spacing w:val="-44"/>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与解密</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CA</w:t>
      </w:r>
      <w:r>
        <w:rPr>
          <w:rFonts w:hint="eastAsia" w:ascii="仿宋" w:hAnsi="仿宋" w:eastAsia="仿宋" w:cs="仿宋"/>
          <w:snapToGrid w:val="0"/>
          <w:color w:val="auto"/>
          <w:spacing w:val="-46"/>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不一致等</w:t>
      </w:r>
      <w:r>
        <w:rPr>
          <w:rFonts w:hint="eastAsia" w:ascii="仿宋" w:hAnsi="仿宋" w:eastAsia="仿宋" w:cs="仿宋"/>
          <w:snapToGrid w:val="0"/>
          <w:color w:val="auto"/>
          <w:spacing w:val="14"/>
          <w:kern w:val="0"/>
          <w:sz w:val="28"/>
          <w:szCs w:val="28"/>
          <w:highlight w:val="none"/>
          <w:lang w:eastAsia="en-US"/>
        </w:rPr>
        <w:t>），</w:t>
      </w:r>
      <w:r>
        <w:rPr>
          <w:rFonts w:hint="eastAsia" w:ascii="仿宋" w:hAnsi="仿宋" w:eastAsia="仿宋" w:cs="仿宋"/>
          <w:snapToGrid w:val="0"/>
          <w:color w:val="auto"/>
          <w:spacing w:val="-1"/>
          <w:kern w:val="0"/>
          <w:sz w:val="28"/>
          <w:szCs w:val="28"/>
          <w:highlight w:val="none"/>
          <w:lang w:eastAsia="en-US"/>
        </w:rPr>
        <w:t>采购中心/代理机构不予异常处理，视为投标人自动弃标。</w:t>
      </w:r>
    </w:p>
    <w:p w14:paraId="34849BE0">
      <w:pPr>
        <w:widowControl/>
        <w:kinsoku w:val="0"/>
        <w:autoSpaceDE w:val="0"/>
        <w:autoSpaceDN w:val="0"/>
        <w:adjustRightInd w:val="0"/>
        <w:snapToGrid w:val="0"/>
        <w:spacing w:before="220" w:line="440" w:lineRule="exact"/>
        <w:ind w:left="10"/>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lang w:eastAsia="en-US"/>
        </w:rPr>
        <w:t>特别提示：</w:t>
      </w:r>
    </w:p>
    <w:p w14:paraId="6B16FD95">
      <w:pPr>
        <w:widowControl/>
        <w:kinsoku w:val="0"/>
        <w:autoSpaceDE w:val="0"/>
        <w:autoSpaceDN w:val="0"/>
        <w:adjustRightInd w:val="0"/>
        <w:snapToGrid w:val="0"/>
        <w:spacing w:before="257" w:line="440" w:lineRule="exact"/>
        <w:ind w:left="8" w:right="51" w:firstLine="499"/>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1"/>
          <w:kern w:val="0"/>
          <w:sz w:val="24"/>
          <w:szCs w:val="24"/>
          <w:highlight w:val="none"/>
        </w:rPr>
        <w:t>1.</w:t>
      </w:r>
      <w:r>
        <w:rPr>
          <w:rFonts w:hint="eastAsia" w:ascii="仿宋" w:hAnsi="仿宋" w:eastAsia="仿宋" w:cs="仿宋"/>
          <w:snapToGrid w:val="0"/>
          <w:color w:val="auto"/>
          <w:spacing w:val="-1"/>
          <w:kern w:val="0"/>
          <w:sz w:val="24"/>
          <w:szCs w:val="24"/>
          <w:highlight w:val="none"/>
          <w:lang w:eastAsia="en-US"/>
        </w:rPr>
        <w:t>采购限额标准以上，200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万元以下的货物</w:t>
      </w:r>
      <w:r>
        <w:rPr>
          <w:rFonts w:hint="eastAsia" w:ascii="仿宋" w:hAnsi="仿宋" w:eastAsia="仿宋" w:cs="仿宋"/>
          <w:snapToGrid w:val="0"/>
          <w:color w:val="auto"/>
          <w:spacing w:val="-2"/>
          <w:kern w:val="0"/>
          <w:sz w:val="24"/>
          <w:szCs w:val="24"/>
          <w:highlight w:val="none"/>
          <w:lang w:eastAsia="en-US"/>
        </w:rPr>
        <w:t>和服务采购项目、400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万元以下的工程采</w:t>
      </w:r>
      <w:r>
        <w:rPr>
          <w:rFonts w:hint="eastAsia" w:ascii="仿宋" w:hAnsi="仿宋" w:eastAsia="仿宋" w:cs="仿宋"/>
          <w:snapToGrid w:val="0"/>
          <w:color w:val="auto"/>
          <w:kern w:val="0"/>
          <w:sz w:val="24"/>
          <w:szCs w:val="24"/>
          <w:highlight w:val="none"/>
          <w:lang w:eastAsia="en-US"/>
        </w:rPr>
        <w:t>购项目，适宜由中小企业提供的，采购人应当专门</w:t>
      </w:r>
      <w:r>
        <w:rPr>
          <w:rFonts w:hint="eastAsia" w:ascii="仿宋" w:hAnsi="仿宋" w:eastAsia="仿宋" w:cs="仿宋"/>
          <w:snapToGrid w:val="0"/>
          <w:color w:val="auto"/>
          <w:spacing w:val="-1"/>
          <w:kern w:val="0"/>
          <w:sz w:val="24"/>
          <w:szCs w:val="24"/>
          <w:highlight w:val="none"/>
          <w:lang w:eastAsia="en-US"/>
        </w:rPr>
        <w:t>面向中小企业采购。</w:t>
      </w:r>
    </w:p>
    <w:p w14:paraId="4DD177B1">
      <w:pPr>
        <w:widowControl/>
        <w:kinsoku w:val="0"/>
        <w:autoSpaceDE w:val="0"/>
        <w:autoSpaceDN w:val="0"/>
        <w:adjustRightInd w:val="0"/>
        <w:snapToGrid w:val="0"/>
        <w:spacing w:before="280" w:line="440" w:lineRule="exact"/>
        <w:ind w:left="37" w:right="63" w:firstLine="455"/>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rPr>
        <w:t>2.</w:t>
      </w:r>
      <w:r>
        <w:rPr>
          <w:rFonts w:hint="eastAsia" w:ascii="仿宋" w:hAnsi="仿宋" w:eastAsia="仿宋" w:cs="仿宋"/>
          <w:snapToGrid w:val="0"/>
          <w:color w:val="auto"/>
          <w:spacing w:val="-2"/>
          <w:kern w:val="0"/>
          <w:sz w:val="24"/>
          <w:szCs w:val="24"/>
          <w:highlight w:val="none"/>
          <w:lang w:eastAsia="en-US"/>
        </w:rPr>
        <w:t>超过</w:t>
      </w:r>
      <w:r>
        <w:rPr>
          <w:rFonts w:hint="eastAsia" w:ascii="仿宋" w:hAnsi="仿宋" w:eastAsia="仿宋" w:cs="仿宋"/>
          <w:snapToGrid w:val="0"/>
          <w:color w:val="auto"/>
          <w:spacing w:val="-33"/>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200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万元的货物和服务采购项目，预留该部分采购项目预算总额的</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30%以上专</w:t>
      </w:r>
      <w:r>
        <w:rPr>
          <w:rFonts w:hint="eastAsia" w:ascii="仿宋" w:hAnsi="仿宋" w:eastAsia="仿宋" w:cs="仿宋"/>
          <w:snapToGrid w:val="0"/>
          <w:color w:val="auto"/>
          <w:spacing w:val="1"/>
          <w:kern w:val="0"/>
          <w:sz w:val="24"/>
          <w:szCs w:val="24"/>
          <w:highlight w:val="none"/>
          <w:lang w:eastAsia="en-US"/>
        </w:rPr>
        <w:t>门面向中小企业采购，其中预留给小微企业的比例</w:t>
      </w:r>
      <w:r>
        <w:rPr>
          <w:rFonts w:hint="eastAsia" w:ascii="仿宋" w:hAnsi="仿宋" w:eastAsia="仿宋" w:cs="仿宋"/>
          <w:snapToGrid w:val="0"/>
          <w:color w:val="auto"/>
          <w:kern w:val="0"/>
          <w:sz w:val="24"/>
          <w:szCs w:val="24"/>
          <w:highlight w:val="none"/>
          <w:lang w:eastAsia="en-US"/>
        </w:rPr>
        <w:t>不低于60%。</w:t>
      </w:r>
    </w:p>
    <w:p w14:paraId="2E3A7484">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3"/>
          <w:kern w:val="0"/>
          <w:sz w:val="24"/>
          <w:szCs w:val="24"/>
          <w:highlight w:val="none"/>
        </w:rPr>
        <w:t>3.</w:t>
      </w:r>
      <w:r>
        <w:rPr>
          <w:rFonts w:hint="eastAsia" w:ascii="仿宋" w:hAnsi="仿宋" w:eastAsia="仿宋" w:cs="仿宋"/>
          <w:snapToGrid w:val="0"/>
          <w:color w:val="auto"/>
          <w:spacing w:val="-3"/>
          <w:kern w:val="0"/>
          <w:sz w:val="24"/>
          <w:szCs w:val="24"/>
          <w:highlight w:val="none"/>
          <w:lang w:eastAsia="en-US"/>
        </w:rPr>
        <w:t>超过400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3"/>
          <w:kern w:val="0"/>
          <w:sz w:val="24"/>
          <w:szCs w:val="24"/>
          <w:highlight w:val="none"/>
          <w:lang w:eastAsia="en-US"/>
        </w:rPr>
        <w:t>万元的工程采购项目中适宜由中小企业提供的，预留该部分采购项目预算</w:t>
      </w:r>
      <w:r>
        <w:rPr>
          <w:rFonts w:hint="eastAsia" w:ascii="仿宋" w:hAnsi="仿宋" w:eastAsia="仿宋" w:cs="仿宋"/>
          <w:snapToGrid w:val="0"/>
          <w:color w:val="auto"/>
          <w:spacing w:val="1"/>
          <w:kern w:val="0"/>
          <w:sz w:val="24"/>
          <w:szCs w:val="24"/>
          <w:highlight w:val="none"/>
          <w:lang w:eastAsia="en-US"/>
        </w:rPr>
        <w:t>总额的</w:t>
      </w:r>
      <w:r>
        <w:rPr>
          <w:rFonts w:hint="eastAsia" w:ascii="仿宋" w:hAnsi="仿宋" w:eastAsia="仿宋" w:cs="仿宋"/>
          <w:snapToGrid w:val="0"/>
          <w:color w:val="auto"/>
          <w:spacing w:val="-52"/>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40%以上专门面向中小企业采购，其中预留给小微企业的比例不低于60%。</w:t>
      </w:r>
    </w:p>
    <w:p w14:paraId="04EE90F0">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rPr>
        <w:t>4.</w:t>
      </w:r>
      <w:r>
        <w:rPr>
          <w:rFonts w:hint="eastAsia" w:ascii="仿宋" w:hAnsi="仿宋" w:eastAsia="仿宋" w:cs="仿宋"/>
          <w:snapToGrid w:val="0"/>
          <w:color w:val="auto"/>
          <w:spacing w:val="-2"/>
          <w:kern w:val="0"/>
          <w:sz w:val="24"/>
          <w:szCs w:val="24"/>
          <w:highlight w:val="none"/>
          <w:lang w:eastAsia="en-US"/>
        </w:rPr>
        <w:t>对于未预留份额专门面向中小企业的采购项目，以及预留份额项目中的非</w:t>
      </w:r>
      <w:r>
        <w:rPr>
          <w:rFonts w:hint="eastAsia" w:ascii="仿宋" w:hAnsi="仿宋" w:eastAsia="仿宋" w:cs="仿宋"/>
          <w:snapToGrid w:val="0"/>
          <w:color w:val="auto"/>
          <w:spacing w:val="-3"/>
          <w:kern w:val="0"/>
          <w:sz w:val="24"/>
          <w:szCs w:val="24"/>
          <w:highlight w:val="none"/>
          <w:lang w:eastAsia="en-US"/>
        </w:rPr>
        <w:t>预留部分</w:t>
      </w:r>
      <w:r>
        <w:rPr>
          <w:rFonts w:hint="eastAsia" w:ascii="仿宋" w:hAnsi="仿宋" w:eastAsia="仿宋" w:cs="仿宋"/>
          <w:snapToGrid w:val="0"/>
          <w:color w:val="auto"/>
          <w:spacing w:val="-1"/>
          <w:kern w:val="0"/>
          <w:sz w:val="24"/>
          <w:szCs w:val="24"/>
          <w:highlight w:val="none"/>
          <w:lang w:eastAsia="en-US"/>
        </w:rPr>
        <w:t>采购包，采购人、采购代理机构应当对符合规定的小微企业报价给予</w:t>
      </w:r>
      <w:r>
        <w:rPr>
          <w:rFonts w:hint="eastAsia" w:ascii="仿宋" w:hAnsi="仿宋" w:eastAsia="仿宋" w:cs="仿宋"/>
          <w:snapToGrid w:val="0"/>
          <w:color w:val="auto"/>
          <w:spacing w:val="-1"/>
          <w:kern w:val="0"/>
          <w:sz w:val="24"/>
          <w:szCs w:val="24"/>
          <w:highlight w:val="none"/>
        </w:rPr>
        <w:t>10%～20%</w:t>
      </w:r>
      <w:r>
        <w:rPr>
          <w:rFonts w:hint="eastAsia" w:ascii="仿宋" w:hAnsi="仿宋" w:eastAsia="仿宋" w:cs="仿宋"/>
          <w:snapToGrid w:val="0"/>
          <w:color w:val="auto"/>
          <w:spacing w:val="-1"/>
          <w:kern w:val="0"/>
          <w:sz w:val="24"/>
          <w:szCs w:val="24"/>
          <w:highlight w:val="none"/>
          <w:lang w:eastAsia="en-US"/>
        </w:rPr>
        <w:t>（工程项目</w:t>
      </w:r>
      <w:r>
        <w:rPr>
          <w:rFonts w:hint="eastAsia" w:ascii="仿宋" w:hAnsi="仿宋" w:eastAsia="仿宋" w:cs="仿宋"/>
          <w:snapToGrid w:val="0"/>
          <w:color w:val="auto"/>
          <w:spacing w:val="-2"/>
          <w:kern w:val="0"/>
          <w:sz w:val="24"/>
          <w:szCs w:val="24"/>
          <w:highlight w:val="none"/>
          <w:lang w:eastAsia="en-US"/>
        </w:rPr>
        <w:t>为</w:t>
      </w:r>
      <w:r>
        <w:rPr>
          <w:rFonts w:hint="eastAsia" w:ascii="仿宋" w:hAnsi="仿宋" w:eastAsia="仿宋" w:cs="仿宋"/>
          <w:snapToGrid w:val="0"/>
          <w:color w:val="auto"/>
          <w:spacing w:val="-2"/>
          <w:kern w:val="0"/>
          <w:sz w:val="24"/>
          <w:szCs w:val="24"/>
          <w:highlight w:val="none"/>
        </w:rPr>
        <w:t>3%～5%</w:t>
      </w:r>
      <w:r>
        <w:rPr>
          <w:rFonts w:hint="eastAsia" w:ascii="仿宋" w:hAnsi="仿宋" w:eastAsia="仿宋" w:cs="仿宋"/>
          <w:snapToGrid w:val="0"/>
          <w:color w:val="auto"/>
          <w:spacing w:val="-2"/>
          <w:kern w:val="0"/>
          <w:sz w:val="24"/>
          <w:szCs w:val="24"/>
          <w:highlight w:val="none"/>
          <w:lang w:eastAsia="en-US"/>
        </w:rPr>
        <w:t>）的扣除，用扣除后的价格参加评审。适用招标投标法的政府采购工</w:t>
      </w:r>
      <w:r>
        <w:rPr>
          <w:rFonts w:hint="eastAsia" w:ascii="仿宋" w:hAnsi="仿宋" w:eastAsia="仿宋" w:cs="仿宋"/>
          <w:snapToGrid w:val="0"/>
          <w:color w:val="auto"/>
          <w:spacing w:val="-3"/>
          <w:kern w:val="0"/>
          <w:sz w:val="24"/>
          <w:szCs w:val="24"/>
          <w:highlight w:val="none"/>
          <w:lang w:eastAsia="en-US"/>
        </w:rPr>
        <w:t>程建设项目，</w:t>
      </w:r>
      <w:r>
        <w:rPr>
          <w:rFonts w:hint="eastAsia" w:ascii="仿宋" w:hAnsi="仿宋" w:eastAsia="仿宋" w:cs="仿宋"/>
          <w:snapToGrid w:val="0"/>
          <w:color w:val="auto"/>
          <w:kern w:val="0"/>
          <w:sz w:val="24"/>
          <w:szCs w:val="24"/>
          <w:highlight w:val="none"/>
          <w:lang w:eastAsia="en-US"/>
        </w:rPr>
        <w:t>采用综合评估法但未采用低价优先法计算价格分的，评标时应当在</w:t>
      </w:r>
      <w:r>
        <w:rPr>
          <w:rFonts w:hint="eastAsia" w:ascii="仿宋" w:hAnsi="仿宋" w:eastAsia="仿宋" w:cs="仿宋"/>
          <w:snapToGrid w:val="0"/>
          <w:color w:val="auto"/>
          <w:spacing w:val="-1"/>
          <w:kern w:val="0"/>
          <w:sz w:val="24"/>
          <w:szCs w:val="24"/>
          <w:highlight w:val="none"/>
          <w:lang w:eastAsia="en-US"/>
        </w:rPr>
        <w:t>采用原报价进行评分的基础上增加其价格得分的</w:t>
      </w:r>
      <w:r>
        <w:rPr>
          <w:rFonts w:hint="eastAsia" w:ascii="仿宋" w:hAnsi="仿宋" w:eastAsia="仿宋" w:cs="仿宋"/>
          <w:snapToGrid w:val="0"/>
          <w:color w:val="auto"/>
          <w:spacing w:val="-46"/>
          <w:kern w:val="0"/>
          <w:sz w:val="24"/>
          <w:szCs w:val="24"/>
          <w:highlight w:val="none"/>
          <w:lang w:eastAsia="en-US"/>
        </w:rPr>
        <w:t xml:space="preserve"> </w:t>
      </w:r>
      <w:r>
        <w:rPr>
          <w:rFonts w:hint="eastAsia" w:ascii="仿宋" w:hAnsi="仿宋" w:eastAsia="仿宋" w:cs="仿宋"/>
          <w:snapToGrid w:val="0"/>
          <w:color w:val="auto"/>
          <w:spacing w:val="-46"/>
          <w:kern w:val="0"/>
          <w:sz w:val="24"/>
          <w:szCs w:val="24"/>
          <w:highlight w:val="none"/>
        </w:rPr>
        <w:t>3%～5%</w:t>
      </w:r>
      <w:r>
        <w:rPr>
          <w:rFonts w:hint="eastAsia" w:ascii="仿宋" w:hAnsi="仿宋" w:eastAsia="仿宋" w:cs="仿宋"/>
          <w:snapToGrid w:val="0"/>
          <w:color w:val="auto"/>
          <w:spacing w:val="-1"/>
          <w:kern w:val="0"/>
          <w:sz w:val="24"/>
          <w:szCs w:val="24"/>
          <w:highlight w:val="none"/>
          <w:lang w:eastAsia="en-US"/>
        </w:rPr>
        <w:t>作为其价格分。</w:t>
      </w:r>
    </w:p>
    <w:p w14:paraId="10C9B288">
      <w:pPr>
        <w:widowControl/>
        <w:kinsoku w:val="0"/>
        <w:autoSpaceDE w:val="0"/>
        <w:autoSpaceDN w:val="0"/>
        <w:adjustRightInd w:val="0"/>
        <w:snapToGrid w:val="0"/>
        <w:spacing w:before="255" w:line="440" w:lineRule="exact"/>
        <w:ind w:left="9" w:right="63" w:firstLine="485"/>
        <w:jc w:val="left"/>
        <w:textAlignment w:val="baseline"/>
        <w:rPr>
          <w:rFonts w:ascii="仿宋" w:hAnsi="仿宋" w:eastAsia="仿宋" w:cs="仿宋"/>
          <w:snapToGrid w:val="0"/>
          <w:color w:val="auto"/>
          <w:kern w:val="0"/>
          <w:szCs w:val="21"/>
          <w:highlight w:val="none"/>
          <w:lang w:eastAsia="en-US"/>
        </w:rPr>
      </w:pPr>
      <w:r>
        <w:rPr>
          <w:rFonts w:hint="eastAsia" w:ascii="仿宋" w:hAnsi="仿宋" w:eastAsia="仿宋" w:cs="仿宋"/>
          <w:snapToGrid w:val="0"/>
          <w:color w:val="auto"/>
          <w:spacing w:val="-2"/>
          <w:kern w:val="0"/>
          <w:sz w:val="24"/>
          <w:szCs w:val="24"/>
          <w:highlight w:val="none"/>
        </w:rPr>
        <w:t>5.</w:t>
      </w:r>
      <w:r>
        <w:rPr>
          <w:rFonts w:hint="eastAsia" w:ascii="仿宋" w:hAnsi="仿宋" w:eastAsia="仿宋" w:cs="仿宋"/>
          <w:snapToGrid w:val="0"/>
          <w:color w:val="auto"/>
          <w:spacing w:val="-2"/>
          <w:kern w:val="0"/>
          <w:sz w:val="24"/>
          <w:szCs w:val="24"/>
          <w:highlight w:val="none"/>
          <w:lang w:eastAsia="en-US"/>
        </w:rPr>
        <w:t>接受大中型企业与小微企业组成联合体或者允许大中型企业向</w:t>
      </w:r>
      <w:r>
        <w:rPr>
          <w:rFonts w:hint="eastAsia" w:ascii="仿宋" w:hAnsi="仿宋" w:eastAsia="仿宋" w:cs="仿宋"/>
          <w:snapToGrid w:val="0"/>
          <w:color w:val="auto"/>
          <w:spacing w:val="-3"/>
          <w:kern w:val="0"/>
          <w:sz w:val="24"/>
          <w:szCs w:val="24"/>
          <w:highlight w:val="none"/>
          <w:lang w:eastAsia="en-US"/>
        </w:rPr>
        <w:t>一家或者多家小微企</w:t>
      </w:r>
      <w:r>
        <w:rPr>
          <w:rFonts w:hint="eastAsia" w:ascii="仿宋" w:hAnsi="仿宋" w:eastAsia="仿宋" w:cs="仿宋"/>
          <w:snapToGrid w:val="0"/>
          <w:color w:val="auto"/>
          <w:kern w:val="0"/>
          <w:sz w:val="24"/>
          <w:szCs w:val="24"/>
          <w:highlight w:val="none"/>
          <w:lang w:eastAsia="en-US"/>
        </w:rPr>
        <w:t>业分包的采购项目，对于联合协议或者分包意向协议约定小微企业</w:t>
      </w:r>
      <w:r>
        <w:rPr>
          <w:rFonts w:hint="eastAsia" w:ascii="仿宋" w:hAnsi="仿宋" w:eastAsia="仿宋" w:cs="仿宋"/>
          <w:snapToGrid w:val="0"/>
          <w:color w:val="auto"/>
          <w:spacing w:val="-1"/>
          <w:kern w:val="0"/>
          <w:sz w:val="24"/>
          <w:szCs w:val="24"/>
          <w:highlight w:val="none"/>
          <w:lang w:eastAsia="en-US"/>
        </w:rPr>
        <w:t>的合同份额占到合同总</w:t>
      </w:r>
      <w:r>
        <w:rPr>
          <w:rFonts w:hint="eastAsia" w:ascii="仿宋" w:hAnsi="仿宋" w:eastAsia="仿宋" w:cs="仿宋"/>
          <w:snapToGrid w:val="0"/>
          <w:color w:val="auto"/>
          <w:spacing w:val="1"/>
          <w:kern w:val="0"/>
          <w:sz w:val="24"/>
          <w:szCs w:val="24"/>
          <w:highlight w:val="none"/>
          <w:lang w:eastAsia="en-US"/>
        </w:rPr>
        <w:t>金额</w:t>
      </w:r>
      <w:r>
        <w:rPr>
          <w:rFonts w:hint="eastAsia" w:ascii="仿宋" w:hAnsi="仿宋" w:eastAsia="仿宋" w:cs="仿宋"/>
          <w:snapToGrid w:val="0"/>
          <w:color w:val="auto"/>
          <w:spacing w:val="-46"/>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30%以上的，采购人、采购代理机构应当对联合体或者大中型企业的报价给</w:t>
      </w:r>
      <w:r>
        <w:rPr>
          <w:rFonts w:hint="eastAsia" w:ascii="仿宋" w:hAnsi="仿宋" w:eastAsia="仿宋" w:cs="仿宋"/>
          <w:snapToGrid w:val="0"/>
          <w:color w:val="auto"/>
          <w:kern w:val="0"/>
          <w:sz w:val="24"/>
          <w:szCs w:val="24"/>
          <w:highlight w:val="none"/>
          <w:lang w:eastAsia="en-US"/>
        </w:rPr>
        <w:t>予</w:t>
      </w:r>
      <w:r>
        <w:rPr>
          <w:rFonts w:hint="eastAsia" w:ascii="仿宋" w:hAnsi="仿宋" w:eastAsia="仿宋" w:cs="仿宋"/>
          <w:snapToGrid w:val="0"/>
          <w:color w:val="auto"/>
          <w:kern w:val="0"/>
          <w:sz w:val="24"/>
          <w:szCs w:val="24"/>
          <w:highlight w:val="none"/>
        </w:rPr>
        <w:t>4%～6%</w:t>
      </w:r>
      <w:r>
        <w:rPr>
          <w:rFonts w:hint="eastAsia" w:ascii="仿宋" w:hAnsi="仿宋" w:eastAsia="仿宋" w:cs="仿宋"/>
          <w:snapToGrid w:val="0"/>
          <w:color w:val="auto"/>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（工程项目为</w:t>
      </w:r>
      <w:r>
        <w:rPr>
          <w:rFonts w:hint="eastAsia" w:ascii="仿宋" w:hAnsi="仿宋" w:eastAsia="仿宋" w:cs="仿宋"/>
          <w:snapToGrid w:val="0"/>
          <w:color w:val="auto"/>
          <w:spacing w:val="-29"/>
          <w:kern w:val="0"/>
          <w:sz w:val="24"/>
          <w:szCs w:val="24"/>
          <w:highlight w:val="none"/>
          <w:lang w:eastAsia="en-US"/>
        </w:rPr>
        <w:t xml:space="preserve"> </w:t>
      </w:r>
      <w:r>
        <w:rPr>
          <w:rFonts w:hint="eastAsia" w:ascii="仿宋" w:hAnsi="仿宋" w:eastAsia="仿宋" w:cs="仿宋"/>
          <w:snapToGrid w:val="0"/>
          <w:color w:val="auto"/>
          <w:spacing w:val="-29"/>
          <w:kern w:val="0"/>
          <w:sz w:val="24"/>
          <w:szCs w:val="24"/>
          <w:highlight w:val="none"/>
        </w:rPr>
        <w:t>1%～2%</w:t>
      </w:r>
      <w:r>
        <w:rPr>
          <w:rFonts w:hint="eastAsia" w:ascii="仿宋" w:hAnsi="仿宋" w:eastAsia="仿宋" w:cs="仿宋"/>
          <w:snapToGrid w:val="0"/>
          <w:color w:val="auto"/>
          <w:spacing w:val="-1"/>
          <w:kern w:val="0"/>
          <w:sz w:val="24"/>
          <w:szCs w:val="24"/>
          <w:highlight w:val="none"/>
          <w:lang w:eastAsia="en-US"/>
        </w:rPr>
        <w:t>）的扣除，用扣除后的价格参加评审。适用招标投标法的政府采购工</w:t>
      </w:r>
      <w:r>
        <w:rPr>
          <w:rFonts w:hint="eastAsia" w:ascii="仿宋" w:hAnsi="仿宋" w:eastAsia="仿宋" w:cs="仿宋"/>
          <w:snapToGrid w:val="0"/>
          <w:color w:val="auto"/>
          <w:kern w:val="0"/>
          <w:sz w:val="24"/>
          <w:szCs w:val="24"/>
          <w:highlight w:val="none"/>
          <w:lang w:eastAsia="en-US"/>
        </w:rPr>
        <w:t>程建设项目，采用综合评估法但未采用低价优先法计算价格分的，</w:t>
      </w:r>
      <w:r>
        <w:rPr>
          <w:rFonts w:hint="eastAsia" w:ascii="仿宋" w:hAnsi="仿宋" w:eastAsia="仿宋" w:cs="仿宋"/>
          <w:snapToGrid w:val="0"/>
          <w:color w:val="auto"/>
          <w:spacing w:val="-1"/>
          <w:kern w:val="0"/>
          <w:sz w:val="24"/>
          <w:szCs w:val="24"/>
          <w:highlight w:val="none"/>
          <w:lang w:eastAsia="en-US"/>
        </w:rPr>
        <w:t>评标时应当在采用原报价进行评分的基础上增加其价格得分的</w:t>
      </w:r>
      <w:r>
        <w:rPr>
          <w:rFonts w:hint="eastAsia" w:ascii="仿宋" w:hAnsi="仿宋" w:eastAsia="仿宋" w:cs="仿宋"/>
          <w:snapToGrid w:val="0"/>
          <w:color w:val="auto"/>
          <w:spacing w:val="-33"/>
          <w:kern w:val="0"/>
          <w:sz w:val="24"/>
          <w:szCs w:val="24"/>
          <w:highlight w:val="none"/>
          <w:lang w:eastAsia="en-US"/>
        </w:rPr>
        <w:t xml:space="preserve"> </w:t>
      </w:r>
      <w:r>
        <w:rPr>
          <w:rFonts w:hint="eastAsia" w:ascii="仿宋" w:hAnsi="仿宋" w:eastAsia="仿宋" w:cs="仿宋"/>
          <w:snapToGrid w:val="0"/>
          <w:color w:val="auto"/>
          <w:spacing w:val="-33"/>
          <w:kern w:val="0"/>
          <w:sz w:val="24"/>
          <w:szCs w:val="24"/>
          <w:highlight w:val="none"/>
        </w:rPr>
        <w:t>1%～2%</w:t>
      </w:r>
      <w:r>
        <w:rPr>
          <w:rFonts w:hint="eastAsia" w:ascii="仿宋" w:hAnsi="仿宋" w:eastAsia="仿宋" w:cs="仿宋"/>
          <w:snapToGrid w:val="0"/>
          <w:color w:val="auto"/>
          <w:spacing w:val="-2"/>
          <w:kern w:val="0"/>
          <w:sz w:val="24"/>
          <w:szCs w:val="24"/>
          <w:highlight w:val="none"/>
          <w:lang w:eastAsia="en-US"/>
        </w:rPr>
        <w:t>作为其价格分。</w:t>
      </w:r>
    </w:p>
    <w:p w14:paraId="03AC4870">
      <w:pPr>
        <w:widowControl/>
        <w:kinsoku w:val="0"/>
        <w:autoSpaceDE w:val="0"/>
        <w:autoSpaceDN w:val="0"/>
        <w:adjustRightInd w:val="0"/>
        <w:snapToGrid w:val="0"/>
        <w:spacing w:before="79" w:line="440" w:lineRule="exact"/>
        <w:ind w:left="9"/>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3"/>
          <w:kern w:val="0"/>
          <w:sz w:val="28"/>
          <w:szCs w:val="28"/>
          <w:highlight w:val="none"/>
        </w:rPr>
        <w:t>八</w:t>
      </w:r>
      <w:r>
        <w:rPr>
          <w:rFonts w:hint="eastAsia" w:ascii="仿宋" w:hAnsi="仿宋" w:eastAsia="仿宋" w:cs="仿宋"/>
          <w:b/>
          <w:bCs/>
          <w:snapToGrid w:val="0"/>
          <w:color w:val="auto"/>
          <w:spacing w:val="-3"/>
          <w:kern w:val="0"/>
          <w:sz w:val="28"/>
          <w:szCs w:val="28"/>
          <w:highlight w:val="none"/>
          <w:lang w:eastAsia="en-US"/>
        </w:rPr>
        <w:t>、凡对本次</w:t>
      </w:r>
      <w:r>
        <w:rPr>
          <w:rFonts w:hint="eastAsia" w:ascii="仿宋" w:hAnsi="仿宋" w:eastAsia="仿宋" w:cs="仿宋"/>
          <w:b/>
          <w:bCs/>
          <w:snapToGrid w:val="0"/>
          <w:color w:val="auto"/>
          <w:spacing w:val="-3"/>
          <w:kern w:val="0"/>
          <w:sz w:val="28"/>
          <w:szCs w:val="28"/>
          <w:highlight w:val="none"/>
        </w:rPr>
        <w:t>招标</w:t>
      </w:r>
      <w:r>
        <w:rPr>
          <w:rFonts w:hint="eastAsia" w:ascii="仿宋" w:hAnsi="仿宋" w:eastAsia="仿宋" w:cs="仿宋"/>
          <w:b/>
          <w:bCs/>
          <w:snapToGrid w:val="0"/>
          <w:color w:val="auto"/>
          <w:spacing w:val="-3"/>
          <w:kern w:val="0"/>
          <w:sz w:val="28"/>
          <w:szCs w:val="28"/>
          <w:highlight w:val="none"/>
          <w:lang w:eastAsia="en-US"/>
        </w:rPr>
        <w:t>提出询问，请按以下方式联系</w:t>
      </w:r>
    </w:p>
    <w:p w14:paraId="6AC27C29">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1.采购人信息</w:t>
      </w:r>
    </w:p>
    <w:p w14:paraId="6F659125">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rPr>
      </w:pPr>
      <w:r>
        <w:rPr>
          <w:rFonts w:hint="eastAsia" w:ascii="仿宋" w:hAnsi="仿宋" w:eastAsia="仿宋" w:cs="仿宋"/>
          <w:snapToGrid w:val="0"/>
          <w:color w:val="auto"/>
          <w:spacing w:val="-4"/>
          <w:kern w:val="0"/>
          <w:sz w:val="28"/>
          <w:szCs w:val="28"/>
          <w:highlight w:val="none"/>
          <w:lang w:eastAsia="en-US"/>
        </w:rPr>
        <w:t>名 称：</w:t>
      </w:r>
      <w:r>
        <w:rPr>
          <w:rFonts w:hint="eastAsia" w:ascii="仿宋" w:hAnsi="仿宋" w:eastAsia="仿宋" w:cs="仿宋"/>
          <w:color w:val="auto"/>
          <w:sz w:val="28"/>
          <w:szCs w:val="28"/>
          <w:highlight w:val="none"/>
          <w:lang w:val="zh-CN"/>
        </w:rPr>
        <w:t>新和县发展和改革委员会</w:t>
      </w:r>
    </w:p>
    <w:p w14:paraId="231468CB">
      <w:pPr>
        <w:widowControl/>
        <w:kinsoku w:val="0"/>
        <w:autoSpaceDE w:val="0"/>
        <w:autoSpaceDN w:val="0"/>
        <w:adjustRightInd w:val="0"/>
        <w:snapToGrid w:val="0"/>
        <w:spacing w:before="78" w:line="440" w:lineRule="exact"/>
        <w:ind w:left="508"/>
        <w:jc w:val="left"/>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spacing w:val="-4"/>
          <w:kern w:val="0"/>
          <w:sz w:val="28"/>
          <w:szCs w:val="28"/>
          <w:highlight w:val="none"/>
          <w:lang w:eastAsia="en-US"/>
        </w:rPr>
        <w:t>地 址：</w:t>
      </w:r>
      <w:r>
        <w:rPr>
          <w:rFonts w:hint="eastAsia" w:ascii="仿宋" w:hAnsi="仿宋" w:eastAsia="仿宋" w:cs="仿宋"/>
          <w:color w:val="auto"/>
          <w:sz w:val="28"/>
          <w:szCs w:val="28"/>
          <w:highlight w:val="none"/>
          <w:lang w:val="zh-CN"/>
        </w:rPr>
        <w:t>新和县</w:t>
      </w:r>
      <w:r>
        <w:rPr>
          <w:rFonts w:hint="eastAsia" w:ascii="仿宋" w:hAnsi="仿宋" w:eastAsia="仿宋" w:cs="仿宋"/>
          <w:color w:val="auto"/>
          <w:sz w:val="28"/>
          <w:szCs w:val="28"/>
          <w:highlight w:val="none"/>
          <w:lang w:val="zh-CN" w:eastAsia="zh-CN"/>
        </w:rPr>
        <w:t>红光路</w:t>
      </w:r>
      <w:r>
        <w:rPr>
          <w:rFonts w:hint="eastAsia" w:ascii="仿宋" w:hAnsi="仿宋" w:eastAsia="仿宋" w:cs="仿宋"/>
          <w:color w:val="auto"/>
          <w:sz w:val="28"/>
          <w:szCs w:val="28"/>
          <w:highlight w:val="none"/>
          <w:lang w:val="en-US" w:eastAsia="zh-CN"/>
        </w:rPr>
        <w:t>6号</w:t>
      </w:r>
    </w:p>
    <w:p w14:paraId="35781B84">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联系方式：</w:t>
      </w:r>
      <w:r>
        <w:rPr>
          <w:rFonts w:hint="eastAsia" w:ascii="仿宋" w:hAnsi="仿宋" w:eastAsia="仿宋" w:cs="仿宋"/>
          <w:color w:val="auto"/>
          <w:sz w:val="28"/>
          <w:szCs w:val="28"/>
          <w:highlight w:val="none"/>
          <w:lang w:val="zh-CN"/>
        </w:rPr>
        <w:t>15160872671</w:t>
      </w:r>
    </w:p>
    <w:p w14:paraId="04E795BF">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2.采购代理机构信息</w:t>
      </w:r>
    </w:p>
    <w:p w14:paraId="5C2DE2E9">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rPr>
      </w:pPr>
      <w:r>
        <w:rPr>
          <w:rFonts w:hint="eastAsia" w:ascii="仿宋" w:hAnsi="仿宋" w:eastAsia="仿宋" w:cs="仿宋"/>
          <w:snapToGrid w:val="0"/>
          <w:color w:val="auto"/>
          <w:spacing w:val="-4"/>
          <w:kern w:val="0"/>
          <w:sz w:val="28"/>
          <w:szCs w:val="28"/>
          <w:highlight w:val="none"/>
          <w:lang w:eastAsia="en-US"/>
        </w:rPr>
        <w:t>名 称：</w:t>
      </w:r>
      <w:r>
        <w:rPr>
          <w:rFonts w:hint="eastAsia" w:ascii="仿宋" w:hAnsi="仿宋" w:eastAsia="仿宋" w:cs="仿宋"/>
          <w:snapToGrid w:val="0"/>
          <w:color w:val="auto"/>
          <w:spacing w:val="-4"/>
          <w:kern w:val="0"/>
          <w:sz w:val="28"/>
          <w:szCs w:val="28"/>
          <w:highlight w:val="none"/>
        </w:rPr>
        <w:t>阿克苏启爵项目管理有限公司</w:t>
      </w:r>
    </w:p>
    <w:p w14:paraId="23CEA8DD">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地 址：</w:t>
      </w:r>
      <w:r>
        <w:rPr>
          <w:rFonts w:hint="eastAsia" w:ascii="仿宋" w:hAnsi="仿宋" w:eastAsia="仿宋" w:cs="仿宋"/>
          <w:snapToGrid w:val="0"/>
          <w:color w:val="auto"/>
          <w:spacing w:val="-4"/>
          <w:kern w:val="0"/>
          <w:sz w:val="28"/>
          <w:szCs w:val="28"/>
          <w:highlight w:val="none"/>
        </w:rPr>
        <w:t>阿克苏市依干其镇依干其村滨河路电影小镇7号楼101</w:t>
      </w:r>
      <w:r>
        <w:rPr>
          <w:rFonts w:hint="eastAsia" w:ascii="仿宋" w:hAnsi="仿宋" w:eastAsia="仿宋" w:cs="仿宋"/>
          <w:snapToGrid w:val="0"/>
          <w:color w:val="auto"/>
          <w:spacing w:val="-4"/>
          <w:kern w:val="0"/>
          <w:sz w:val="28"/>
          <w:szCs w:val="28"/>
          <w:highlight w:val="none"/>
          <w:lang w:eastAsia="en-US"/>
        </w:rPr>
        <w:t xml:space="preserve"> </w:t>
      </w:r>
    </w:p>
    <w:p w14:paraId="6E835CC8">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联系方式：</w:t>
      </w:r>
      <w:r>
        <w:rPr>
          <w:rFonts w:hint="eastAsia" w:ascii="仿宋" w:hAnsi="仿宋" w:eastAsia="仿宋" w:cs="仿宋"/>
          <w:snapToGrid w:val="0"/>
          <w:color w:val="auto"/>
          <w:spacing w:val="-4"/>
          <w:kern w:val="0"/>
          <w:sz w:val="28"/>
          <w:szCs w:val="28"/>
          <w:highlight w:val="none"/>
        </w:rPr>
        <w:t>18799952512、</w:t>
      </w:r>
      <w:r>
        <w:rPr>
          <w:rFonts w:hint="eastAsia" w:ascii="仿宋" w:hAnsi="仿宋" w:eastAsia="仿宋" w:cs="仿宋"/>
          <w:snapToGrid w:val="0"/>
          <w:color w:val="auto"/>
          <w:spacing w:val="-4"/>
          <w:kern w:val="0"/>
          <w:sz w:val="28"/>
          <w:szCs w:val="28"/>
          <w:highlight w:val="none"/>
          <w:lang w:eastAsia="zh-CN"/>
        </w:rPr>
        <w:t>15599778673</w:t>
      </w:r>
    </w:p>
    <w:p w14:paraId="3BE7CB83">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3.项目联系方式</w:t>
      </w:r>
    </w:p>
    <w:p w14:paraId="6DA2E426">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项目联系人：</w:t>
      </w:r>
      <w:r>
        <w:rPr>
          <w:rFonts w:hint="eastAsia" w:ascii="仿宋" w:hAnsi="仿宋" w:eastAsia="仿宋" w:cs="仿宋"/>
          <w:snapToGrid w:val="0"/>
          <w:color w:val="auto"/>
          <w:spacing w:val="-4"/>
          <w:kern w:val="0"/>
          <w:sz w:val="28"/>
          <w:szCs w:val="28"/>
          <w:highlight w:val="none"/>
        </w:rPr>
        <w:t>刘荣英、</w:t>
      </w:r>
      <w:r>
        <w:rPr>
          <w:rFonts w:hint="eastAsia" w:ascii="仿宋" w:hAnsi="仿宋" w:eastAsia="仿宋" w:cs="仿宋"/>
          <w:snapToGrid w:val="0"/>
          <w:color w:val="auto"/>
          <w:spacing w:val="-4"/>
          <w:kern w:val="0"/>
          <w:sz w:val="28"/>
          <w:szCs w:val="28"/>
          <w:highlight w:val="none"/>
          <w:lang w:eastAsia="zh-CN"/>
        </w:rPr>
        <w:t>赵世昌</w:t>
      </w:r>
    </w:p>
    <w:p w14:paraId="6682E45E">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电 话：</w:t>
      </w:r>
      <w:r>
        <w:rPr>
          <w:rFonts w:hint="eastAsia" w:ascii="仿宋" w:hAnsi="仿宋" w:eastAsia="仿宋" w:cs="仿宋"/>
          <w:snapToGrid w:val="0"/>
          <w:color w:val="auto"/>
          <w:spacing w:val="-4"/>
          <w:kern w:val="0"/>
          <w:sz w:val="28"/>
          <w:szCs w:val="28"/>
          <w:highlight w:val="none"/>
        </w:rPr>
        <w:t>18799952512、</w:t>
      </w:r>
      <w:r>
        <w:rPr>
          <w:rFonts w:hint="eastAsia" w:ascii="仿宋" w:hAnsi="仿宋" w:eastAsia="仿宋" w:cs="仿宋"/>
          <w:snapToGrid w:val="0"/>
          <w:color w:val="auto"/>
          <w:spacing w:val="-4"/>
          <w:kern w:val="0"/>
          <w:sz w:val="28"/>
          <w:szCs w:val="28"/>
          <w:highlight w:val="none"/>
          <w:lang w:eastAsia="zh-CN"/>
        </w:rPr>
        <w:t>15599778673</w:t>
      </w:r>
    </w:p>
    <w:p w14:paraId="1F703863">
      <w:pPr>
        <w:pStyle w:val="36"/>
        <w:spacing w:line="360" w:lineRule="auto"/>
        <w:ind w:firstLine="0"/>
        <w:rPr>
          <w:rFonts w:hint="eastAsia" w:ascii="仿宋" w:hAnsi="仿宋" w:eastAsia="仿宋" w:cs="仿宋"/>
          <w:color w:val="auto"/>
          <w:sz w:val="32"/>
          <w:szCs w:val="32"/>
          <w:highlight w:val="none"/>
          <w:lang w:eastAsia="zh-CN"/>
        </w:rPr>
      </w:pPr>
    </w:p>
    <w:p w14:paraId="3FFE41A8">
      <w:pPr>
        <w:spacing w:line="360" w:lineRule="auto"/>
        <w:rPr>
          <w:rFonts w:hint="eastAsia" w:ascii="仿宋" w:hAnsi="仿宋" w:eastAsia="仿宋" w:cs="仿宋"/>
          <w:color w:val="auto"/>
          <w:sz w:val="32"/>
          <w:szCs w:val="32"/>
          <w:highlight w:val="none"/>
        </w:rPr>
      </w:pPr>
    </w:p>
    <w:p w14:paraId="2F37336F">
      <w:pPr>
        <w:spacing w:line="360" w:lineRule="auto"/>
        <w:rPr>
          <w:rFonts w:hint="eastAsia" w:ascii="仿宋" w:hAnsi="仿宋" w:eastAsia="仿宋" w:cs="仿宋"/>
          <w:color w:val="auto"/>
          <w:sz w:val="32"/>
          <w:szCs w:val="32"/>
          <w:highlight w:val="none"/>
        </w:rPr>
      </w:pPr>
    </w:p>
    <w:bookmarkEnd w:id="3"/>
    <w:bookmarkEnd w:id="4"/>
    <w:bookmarkEnd w:id="5"/>
    <w:bookmarkEnd w:id="6"/>
    <w:p w14:paraId="14B1CF91">
      <w:pPr>
        <w:pStyle w:val="36"/>
        <w:spacing w:line="360" w:lineRule="auto"/>
        <w:ind w:firstLine="0"/>
        <w:rPr>
          <w:rFonts w:hint="eastAsia" w:ascii="仿宋" w:hAnsi="仿宋" w:eastAsia="仿宋" w:cs="仿宋"/>
          <w:color w:val="auto"/>
          <w:sz w:val="36"/>
          <w:szCs w:val="36"/>
          <w:highlight w:val="none"/>
        </w:rPr>
      </w:pPr>
    </w:p>
    <w:p w14:paraId="2C4FF261">
      <w:pPr>
        <w:rPr>
          <w:rFonts w:hint="eastAsia"/>
          <w:color w:val="auto"/>
          <w:highlight w:val="none"/>
        </w:rPr>
      </w:pPr>
    </w:p>
    <w:p w14:paraId="4BFA3022">
      <w:pPr>
        <w:rPr>
          <w:rFonts w:hint="eastAsia" w:ascii="仿宋" w:hAnsi="仿宋" w:eastAsia="仿宋" w:cs="仿宋"/>
          <w:b/>
          <w:bCs/>
          <w:color w:val="auto"/>
          <w:sz w:val="36"/>
          <w:szCs w:val="36"/>
          <w:highlight w:val="none"/>
        </w:rPr>
      </w:pPr>
      <w:bookmarkStart w:id="7" w:name="_Toc10274"/>
      <w:r>
        <w:rPr>
          <w:rFonts w:hint="eastAsia" w:ascii="仿宋" w:hAnsi="仿宋" w:eastAsia="仿宋" w:cs="仿宋"/>
          <w:b/>
          <w:bCs/>
          <w:color w:val="auto"/>
          <w:sz w:val="36"/>
          <w:szCs w:val="36"/>
          <w:highlight w:val="none"/>
        </w:rPr>
        <w:br w:type="page"/>
      </w:r>
    </w:p>
    <w:p w14:paraId="7860F203">
      <w:pPr>
        <w:pStyle w:val="36"/>
        <w:spacing w:line="360" w:lineRule="auto"/>
        <w:ind w:firstLine="0"/>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第二章  供应商须知</w:t>
      </w:r>
      <w:bookmarkEnd w:id="7"/>
    </w:p>
    <w:p w14:paraId="24F4607F">
      <w:pPr>
        <w:spacing w:line="360" w:lineRule="auto"/>
        <w:jc w:val="center"/>
        <w:rPr>
          <w:rFonts w:hint="eastAsia" w:ascii="仿宋" w:hAnsi="仿宋" w:eastAsia="仿宋" w:cs="仿宋"/>
          <w:color w:val="auto"/>
          <w:sz w:val="32"/>
          <w:szCs w:val="32"/>
          <w:highlight w:val="none"/>
        </w:rPr>
      </w:pPr>
      <w:bookmarkStart w:id="8" w:name="_Toc12306"/>
      <w:r>
        <w:rPr>
          <w:rFonts w:hint="eastAsia" w:ascii="仿宋" w:hAnsi="仿宋" w:eastAsia="仿宋" w:cs="仿宋"/>
          <w:color w:val="auto"/>
          <w:sz w:val="32"/>
          <w:szCs w:val="32"/>
          <w:highlight w:val="none"/>
        </w:rPr>
        <w:t>供应商须知前附表</w:t>
      </w:r>
      <w:bookmarkEnd w:id="8"/>
    </w:p>
    <w:tbl>
      <w:tblPr>
        <w:tblStyle w:val="37"/>
        <w:tblW w:w="9536" w:type="dxa"/>
        <w:tblInd w:w="0" w:type="dxa"/>
        <w:tblLayout w:type="fixed"/>
        <w:tblCellMar>
          <w:top w:w="0" w:type="dxa"/>
          <w:left w:w="108" w:type="dxa"/>
          <w:bottom w:w="0" w:type="dxa"/>
          <w:right w:w="108" w:type="dxa"/>
        </w:tblCellMar>
      </w:tblPr>
      <w:tblGrid>
        <w:gridCol w:w="764"/>
        <w:gridCol w:w="2311"/>
        <w:gridCol w:w="6461"/>
      </w:tblGrid>
      <w:tr w14:paraId="43F17BA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604206B">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序号</w:t>
            </w:r>
          </w:p>
        </w:tc>
        <w:tc>
          <w:tcPr>
            <w:tcW w:w="2311" w:type="dxa"/>
            <w:tcBorders>
              <w:top w:val="single" w:color="auto" w:sz="4" w:space="0"/>
              <w:left w:val="single" w:color="auto" w:sz="4" w:space="0"/>
              <w:bottom w:val="single" w:color="auto" w:sz="4" w:space="0"/>
              <w:right w:val="single" w:color="auto" w:sz="4" w:space="0"/>
            </w:tcBorders>
            <w:vAlign w:val="center"/>
          </w:tcPr>
          <w:p w14:paraId="647C9227">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条款名称</w:t>
            </w:r>
          </w:p>
        </w:tc>
        <w:tc>
          <w:tcPr>
            <w:tcW w:w="6461" w:type="dxa"/>
            <w:tcBorders>
              <w:top w:val="single" w:color="auto" w:sz="4" w:space="0"/>
              <w:left w:val="single" w:color="auto" w:sz="4" w:space="0"/>
              <w:bottom w:val="single" w:color="auto" w:sz="4" w:space="0"/>
              <w:right w:val="single" w:color="auto" w:sz="4" w:space="0"/>
            </w:tcBorders>
            <w:vAlign w:val="center"/>
          </w:tcPr>
          <w:p w14:paraId="1F0ABF67">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编列内容</w:t>
            </w:r>
          </w:p>
        </w:tc>
      </w:tr>
      <w:tr w14:paraId="77D2362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7D5760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4D8346F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采购人</w:t>
            </w:r>
          </w:p>
        </w:tc>
        <w:tc>
          <w:tcPr>
            <w:tcW w:w="6461" w:type="dxa"/>
            <w:tcBorders>
              <w:top w:val="single" w:color="auto" w:sz="4" w:space="0"/>
              <w:left w:val="single" w:color="auto" w:sz="4" w:space="0"/>
              <w:bottom w:val="single" w:color="auto" w:sz="4" w:space="0"/>
              <w:right w:val="single" w:color="auto" w:sz="4" w:space="0"/>
            </w:tcBorders>
            <w:vAlign w:val="center"/>
          </w:tcPr>
          <w:p w14:paraId="4D69FF7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名称：新和县发展和改革委员会               </w:t>
            </w:r>
          </w:p>
          <w:p w14:paraId="1A0B80D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地址： </w:t>
            </w:r>
            <w:r>
              <w:rPr>
                <w:rFonts w:hint="eastAsia" w:ascii="仿宋" w:hAnsi="仿宋" w:eastAsia="仿宋" w:cs="仿宋"/>
                <w:color w:val="auto"/>
                <w:sz w:val="28"/>
                <w:szCs w:val="28"/>
                <w:highlight w:val="none"/>
                <w:lang w:val="zh-CN"/>
              </w:rPr>
              <w:t>新和县</w:t>
            </w:r>
            <w:r>
              <w:rPr>
                <w:rFonts w:hint="eastAsia" w:ascii="仿宋" w:hAnsi="仿宋" w:eastAsia="仿宋" w:cs="仿宋"/>
                <w:color w:val="auto"/>
                <w:sz w:val="28"/>
                <w:szCs w:val="28"/>
                <w:highlight w:val="none"/>
                <w:lang w:val="zh-CN" w:eastAsia="zh-CN"/>
              </w:rPr>
              <w:t>红光路</w:t>
            </w:r>
            <w:r>
              <w:rPr>
                <w:rFonts w:hint="eastAsia" w:ascii="仿宋" w:hAnsi="仿宋" w:eastAsia="仿宋" w:cs="仿宋"/>
                <w:color w:val="auto"/>
                <w:sz w:val="28"/>
                <w:szCs w:val="28"/>
                <w:highlight w:val="none"/>
                <w:lang w:val="en-US" w:eastAsia="zh-CN"/>
              </w:rPr>
              <w:t>6号</w:t>
            </w:r>
            <w:r>
              <w:rPr>
                <w:rFonts w:hint="eastAsia" w:ascii="仿宋" w:hAnsi="仿宋" w:eastAsia="仿宋" w:cs="仿宋"/>
                <w:color w:val="auto"/>
                <w:sz w:val="28"/>
                <w:szCs w:val="28"/>
                <w:highlight w:val="none"/>
                <w:lang w:val="zh-CN"/>
              </w:rPr>
              <w:t xml:space="preserve">               </w:t>
            </w:r>
          </w:p>
          <w:p w14:paraId="5206105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lang w:eastAsia="zh-CN"/>
              </w:rPr>
              <w:t>何鹏</w:t>
            </w:r>
            <w:r>
              <w:rPr>
                <w:rFonts w:hint="eastAsia" w:ascii="仿宋" w:hAnsi="仿宋" w:eastAsia="仿宋" w:cs="仿宋"/>
                <w:color w:val="auto"/>
                <w:sz w:val="28"/>
                <w:szCs w:val="28"/>
                <w:highlight w:val="none"/>
              </w:rPr>
              <w:t xml:space="preserve">     </w:t>
            </w:r>
          </w:p>
          <w:p w14:paraId="2444E65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电话：15160872671</w:t>
            </w:r>
          </w:p>
        </w:tc>
      </w:tr>
      <w:tr w14:paraId="400048F4">
        <w:tblPrEx>
          <w:tblCellMar>
            <w:top w:w="0" w:type="dxa"/>
            <w:left w:w="108" w:type="dxa"/>
            <w:bottom w:w="0" w:type="dxa"/>
            <w:right w:w="108" w:type="dxa"/>
          </w:tblCellMar>
        </w:tblPrEx>
        <w:trPr>
          <w:trHeight w:val="3328" w:hRule="atLeast"/>
        </w:trPr>
        <w:tc>
          <w:tcPr>
            <w:tcW w:w="764" w:type="dxa"/>
            <w:tcBorders>
              <w:top w:val="single" w:color="auto" w:sz="4" w:space="0"/>
              <w:left w:val="single" w:color="auto" w:sz="4" w:space="0"/>
              <w:bottom w:val="single" w:color="auto" w:sz="4" w:space="0"/>
              <w:right w:val="single" w:color="auto" w:sz="4" w:space="0"/>
            </w:tcBorders>
            <w:vAlign w:val="center"/>
          </w:tcPr>
          <w:p w14:paraId="08698C6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6BF24DB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461" w:type="dxa"/>
            <w:tcBorders>
              <w:top w:val="single" w:color="auto" w:sz="4" w:space="0"/>
              <w:left w:val="single" w:color="auto" w:sz="4" w:space="0"/>
              <w:bottom w:val="single" w:color="auto" w:sz="4" w:space="0"/>
              <w:right w:val="single" w:color="auto" w:sz="4" w:space="0"/>
            </w:tcBorders>
            <w:vAlign w:val="center"/>
          </w:tcPr>
          <w:p w14:paraId="0EE12BF0">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名称：阿克苏启爵项目管理有限公司</w:t>
            </w:r>
          </w:p>
          <w:p w14:paraId="58EEFC25">
            <w:pPr>
              <w:keepNext w:val="0"/>
              <w:keepLines w:val="0"/>
              <w:suppressLineNumbers w:val="0"/>
              <w:spacing w:before="62" w:beforeLines="20" w:beforeAutospacing="0" w:after="0" w:afterAutospacing="0" w:line="360" w:lineRule="auto"/>
              <w:ind w:left="840" w:right="0" w:hanging="840" w:hangingChars="3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地址：阿克苏市依干其镇依干其村滨河路电影小镇7号楼101</w:t>
            </w:r>
          </w:p>
          <w:p w14:paraId="09E25FD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rPr>
              <w:t>刘荣英、</w:t>
            </w:r>
            <w:r>
              <w:rPr>
                <w:rFonts w:hint="eastAsia" w:ascii="仿宋" w:hAnsi="仿宋" w:eastAsia="仿宋" w:cs="仿宋"/>
                <w:color w:val="auto"/>
                <w:sz w:val="28"/>
                <w:szCs w:val="28"/>
                <w:highlight w:val="none"/>
                <w:lang w:eastAsia="zh-CN"/>
              </w:rPr>
              <w:t>赵世昌</w:t>
            </w:r>
          </w:p>
          <w:p w14:paraId="4B8C714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电话：18799952512、</w:t>
            </w:r>
            <w:r>
              <w:rPr>
                <w:rFonts w:hint="eastAsia" w:ascii="仿宋" w:hAnsi="仿宋" w:eastAsia="仿宋" w:cs="仿宋"/>
                <w:color w:val="auto"/>
                <w:sz w:val="28"/>
                <w:szCs w:val="28"/>
                <w:highlight w:val="none"/>
                <w:lang w:eastAsia="zh-CN"/>
              </w:rPr>
              <w:t>15599778673</w:t>
            </w:r>
          </w:p>
        </w:tc>
      </w:tr>
      <w:tr w14:paraId="73CCEA1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48CC50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311" w:type="dxa"/>
            <w:tcBorders>
              <w:top w:val="single" w:color="auto" w:sz="4" w:space="0"/>
              <w:left w:val="single" w:color="auto" w:sz="4" w:space="0"/>
              <w:bottom w:val="single" w:color="auto" w:sz="4" w:space="0"/>
              <w:right w:val="single" w:color="auto" w:sz="4" w:space="0"/>
            </w:tcBorders>
            <w:vAlign w:val="center"/>
          </w:tcPr>
          <w:p w14:paraId="5979604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监管部门</w:t>
            </w:r>
          </w:p>
        </w:tc>
        <w:tc>
          <w:tcPr>
            <w:tcW w:w="6461" w:type="dxa"/>
            <w:tcBorders>
              <w:top w:val="single" w:color="auto" w:sz="4" w:space="0"/>
              <w:left w:val="single" w:color="auto" w:sz="4" w:space="0"/>
              <w:bottom w:val="single" w:color="auto" w:sz="4" w:space="0"/>
              <w:right w:val="single" w:color="auto" w:sz="4" w:space="0"/>
            </w:tcBorders>
            <w:vAlign w:val="center"/>
          </w:tcPr>
          <w:p w14:paraId="06F44E1A">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名称：</w:t>
            </w:r>
            <w:r>
              <w:rPr>
                <w:rFonts w:hint="eastAsia" w:ascii="仿宋" w:hAnsi="仿宋" w:eastAsia="仿宋" w:cs="仿宋"/>
                <w:color w:val="auto"/>
                <w:sz w:val="28"/>
                <w:szCs w:val="28"/>
                <w:highlight w:val="none"/>
                <w:lang w:val="en-US" w:eastAsia="zh-CN"/>
              </w:rPr>
              <w:t>新和县</w:t>
            </w:r>
            <w:r>
              <w:rPr>
                <w:rFonts w:hint="eastAsia" w:ascii="仿宋" w:hAnsi="仿宋" w:eastAsia="仿宋" w:cs="仿宋"/>
                <w:color w:val="auto"/>
                <w:sz w:val="28"/>
                <w:szCs w:val="28"/>
                <w:highlight w:val="none"/>
              </w:rPr>
              <w:t>财政局</w:t>
            </w:r>
          </w:p>
          <w:p w14:paraId="24883B12">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zh-CN"/>
              </w:rPr>
              <w:t>0997-</w:t>
            </w:r>
            <w:r>
              <w:rPr>
                <w:rFonts w:hint="eastAsia" w:ascii="仿宋" w:hAnsi="仿宋" w:eastAsia="仿宋" w:cs="仿宋"/>
                <w:color w:val="auto"/>
                <w:sz w:val="28"/>
                <w:szCs w:val="28"/>
                <w:highlight w:val="none"/>
                <w:lang w:val="en-US" w:eastAsia="zh-CN"/>
              </w:rPr>
              <w:t>8123446</w:t>
            </w:r>
            <w:r>
              <w:rPr>
                <w:rFonts w:hint="eastAsia" w:ascii="仿宋" w:hAnsi="仿宋" w:eastAsia="仿宋" w:cs="仿宋"/>
                <w:color w:val="auto"/>
                <w:sz w:val="28"/>
                <w:szCs w:val="28"/>
                <w:highlight w:val="none"/>
              </w:rPr>
              <w:t xml:space="preserve">                                                    </w:t>
            </w:r>
          </w:p>
        </w:tc>
      </w:tr>
      <w:tr w14:paraId="79BE933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D1D99F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311" w:type="dxa"/>
            <w:tcBorders>
              <w:top w:val="single" w:color="auto" w:sz="4" w:space="0"/>
              <w:left w:val="single" w:color="auto" w:sz="4" w:space="0"/>
              <w:bottom w:val="single" w:color="auto" w:sz="4" w:space="0"/>
              <w:right w:val="single" w:color="auto" w:sz="4" w:space="0"/>
            </w:tcBorders>
            <w:vAlign w:val="center"/>
          </w:tcPr>
          <w:p w14:paraId="05F8511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项目名称</w:t>
            </w:r>
          </w:p>
        </w:tc>
        <w:tc>
          <w:tcPr>
            <w:tcW w:w="6461" w:type="dxa"/>
            <w:tcBorders>
              <w:top w:val="single" w:color="auto" w:sz="4" w:space="0"/>
              <w:left w:val="single" w:color="auto" w:sz="4" w:space="0"/>
              <w:bottom w:val="single" w:color="auto" w:sz="4" w:space="0"/>
              <w:right w:val="single" w:color="auto" w:sz="4" w:space="0"/>
            </w:tcBorders>
            <w:vAlign w:val="center"/>
          </w:tcPr>
          <w:p w14:paraId="65FF1AC8">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新和县碳达峰碳中和规划（含煤炭消费控制总量、全县碳排放总量摸排）</w:t>
            </w:r>
            <w:r>
              <w:rPr>
                <w:rFonts w:hint="eastAsia" w:ascii="仿宋" w:hAnsi="仿宋" w:eastAsia="仿宋" w:cs="仿宋"/>
                <w:color w:val="auto"/>
                <w:sz w:val="28"/>
                <w:szCs w:val="28"/>
                <w:highlight w:val="none"/>
              </w:rPr>
              <w:t xml:space="preserve"> </w:t>
            </w:r>
          </w:p>
        </w:tc>
      </w:tr>
      <w:tr w14:paraId="3DFFBD3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161CB7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311" w:type="dxa"/>
            <w:tcBorders>
              <w:top w:val="single" w:color="auto" w:sz="4" w:space="0"/>
              <w:left w:val="single" w:color="auto" w:sz="4" w:space="0"/>
              <w:bottom w:val="single" w:color="auto" w:sz="4" w:space="0"/>
              <w:right w:val="single" w:color="auto" w:sz="4" w:space="0"/>
            </w:tcBorders>
            <w:vAlign w:val="center"/>
          </w:tcPr>
          <w:p w14:paraId="62A771A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项目编号</w:t>
            </w:r>
          </w:p>
        </w:tc>
        <w:tc>
          <w:tcPr>
            <w:tcW w:w="6461" w:type="dxa"/>
            <w:tcBorders>
              <w:top w:val="single" w:color="auto" w:sz="4" w:space="0"/>
              <w:left w:val="single" w:color="auto" w:sz="4" w:space="0"/>
              <w:bottom w:val="single" w:color="auto" w:sz="4" w:space="0"/>
              <w:right w:val="single" w:color="auto" w:sz="4" w:space="0"/>
            </w:tcBorders>
            <w:vAlign w:val="center"/>
          </w:tcPr>
          <w:p w14:paraId="25481570">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AKSQJ-2026-015</w:t>
            </w:r>
          </w:p>
        </w:tc>
      </w:tr>
      <w:tr w14:paraId="3980469F">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FBCA3D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311" w:type="dxa"/>
            <w:tcBorders>
              <w:top w:val="single" w:color="auto" w:sz="4" w:space="0"/>
              <w:left w:val="single" w:color="auto" w:sz="4" w:space="0"/>
              <w:bottom w:val="single" w:color="auto" w:sz="4" w:space="0"/>
              <w:right w:val="single" w:color="auto" w:sz="4" w:space="0"/>
            </w:tcBorders>
            <w:vAlign w:val="center"/>
          </w:tcPr>
          <w:p w14:paraId="103D164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资金来源</w:t>
            </w:r>
          </w:p>
        </w:tc>
        <w:tc>
          <w:tcPr>
            <w:tcW w:w="6461" w:type="dxa"/>
            <w:tcBorders>
              <w:top w:val="single" w:color="auto" w:sz="4" w:space="0"/>
              <w:left w:val="single" w:color="auto" w:sz="4" w:space="0"/>
              <w:bottom w:val="single" w:color="auto" w:sz="4" w:space="0"/>
              <w:right w:val="single" w:color="auto" w:sz="4" w:space="0"/>
            </w:tcBorders>
            <w:vAlign w:val="center"/>
          </w:tcPr>
          <w:p w14:paraId="147AEC8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财政</w:t>
            </w:r>
            <w:r>
              <w:rPr>
                <w:rFonts w:hint="eastAsia" w:ascii="仿宋" w:hAnsi="仿宋" w:eastAsia="仿宋" w:cs="仿宋"/>
                <w:color w:val="auto"/>
                <w:sz w:val="28"/>
                <w:szCs w:val="28"/>
                <w:highlight w:val="none"/>
              </w:rPr>
              <w:t>资金</w:t>
            </w:r>
          </w:p>
        </w:tc>
      </w:tr>
      <w:tr w14:paraId="677B779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73C7BC1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311" w:type="dxa"/>
            <w:tcBorders>
              <w:top w:val="single" w:color="auto" w:sz="4" w:space="0"/>
              <w:left w:val="single" w:color="auto" w:sz="4" w:space="0"/>
              <w:bottom w:val="single" w:color="auto" w:sz="4" w:space="0"/>
              <w:right w:val="single" w:color="auto" w:sz="4" w:space="0"/>
            </w:tcBorders>
            <w:vAlign w:val="center"/>
          </w:tcPr>
          <w:p w14:paraId="7CF0507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采购内容</w:t>
            </w:r>
          </w:p>
        </w:tc>
        <w:tc>
          <w:tcPr>
            <w:tcW w:w="6461" w:type="dxa"/>
            <w:tcBorders>
              <w:top w:val="single" w:color="auto" w:sz="4" w:space="0"/>
              <w:left w:val="single" w:color="auto" w:sz="4" w:space="0"/>
              <w:bottom w:val="single" w:color="auto" w:sz="4" w:space="0"/>
              <w:right w:val="single" w:color="auto" w:sz="4" w:space="0"/>
            </w:tcBorders>
            <w:vAlign w:val="center"/>
          </w:tcPr>
          <w:p w14:paraId="4621A87E">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新和县碳达峰碳中和规划（含煤炭消费控制总量、全县碳排放总量摸排）（详见采购需求）。</w:t>
            </w:r>
          </w:p>
        </w:tc>
      </w:tr>
      <w:tr w14:paraId="054E22F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CFC9C1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2311" w:type="dxa"/>
            <w:tcBorders>
              <w:top w:val="single" w:color="auto" w:sz="4" w:space="0"/>
              <w:left w:val="single" w:color="auto" w:sz="4" w:space="0"/>
              <w:bottom w:val="single" w:color="auto" w:sz="4" w:space="0"/>
              <w:right w:val="single" w:color="auto" w:sz="4" w:space="0"/>
            </w:tcBorders>
            <w:vAlign w:val="center"/>
          </w:tcPr>
          <w:p w14:paraId="5E3F12B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28"/>
                <w:szCs w:val="28"/>
                <w:highlight w:val="none"/>
              </w:rPr>
              <w:t>最高限价</w:t>
            </w:r>
          </w:p>
        </w:tc>
        <w:tc>
          <w:tcPr>
            <w:tcW w:w="6461" w:type="dxa"/>
            <w:tcBorders>
              <w:top w:val="single" w:color="auto" w:sz="4" w:space="0"/>
              <w:left w:val="single" w:color="auto" w:sz="4" w:space="0"/>
              <w:bottom w:val="single" w:color="auto" w:sz="4" w:space="0"/>
              <w:right w:val="single" w:color="auto" w:sz="4" w:space="0"/>
            </w:tcBorders>
            <w:vAlign w:val="center"/>
          </w:tcPr>
          <w:p w14:paraId="2AB55871">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800000元</w:t>
            </w:r>
            <w:r>
              <w:rPr>
                <w:rFonts w:hint="eastAsia" w:ascii="仿宋" w:hAnsi="仿宋" w:eastAsia="仿宋" w:cs="仿宋"/>
                <w:b/>
                <w:bCs/>
                <w:color w:val="auto"/>
                <w:sz w:val="28"/>
                <w:szCs w:val="28"/>
                <w:highlight w:val="none"/>
              </w:rPr>
              <w:t>（大写：</w:t>
            </w:r>
            <w:r>
              <w:rPr>
                <w:rFonts w:hint="eastAsia" w:ascii="仿宋" w:hAnsi="仿宋" w:eastAsia="仿宋" w:cs="仿宋"/>
                <w:b/>
                <w:bCs/>
                <w:color w:val="auto"/>
                <w:sz w:val="28"/>
                <w:szCs w:val="28"/>
                <w:highlight w:val="none"/>
                <w:lang w:val="en-US" w:eastAsia="zh-CN"/>
              </w:rPr>
              <w:t>捌拾万元整</w:t>
            </w:r>
            <w:r>
              <w:rPr>
                <w:rFonts w:hint="eastAsia" w:ascii="仿宋" w:hAnsi="仿宋" w:eastAsia="仿宋" w:cs="仿宋"/>
                <w:b/>
                <w:bCs/>
                <w:color w:val="auto"/>
                <w:sz w:val="28"/>
                <w:szCs w:val="28"/>
                <w:highlight w:val="none"/>
              </w:rPr>
              <w:t>）</w:t>
            </w:r>
          </w:p>
        </w:tc>
      </w:tr>
      <w:tr w14:paraId="17776D9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8AC692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2311" w:type="dxa"/>
            <w:tcBorders>
              <w:top w:val="single" w:color="auto" w:sz="4" w:space="0"/>
              <w:left w:val="single" w:color="auto" w:sz="4" w:space="0"/>
              <w:bottom w:val="single" w:color="auto" w:sz="4" w:space="0"/>
              <w:right w:val="single" w:color="auto" w:sz="4" w:space="0"/>
            </w:tcBorders>
            <w:vAlign w:val="center"/>
          </w:tcPr>
          <w:p w14:paraId="657DA36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val="en-US" w:eastAsia="zh-CN"/>
              </w:rPr>
              <w:t>标准</w:t>
            </w:r>
          </w:p>
        </w:tc>
        <w:tc>
          <w:tcPr>
            <w:tcW w:w="6461" w:type="dxa"/>
            <w:tcBorders>
              <w:top w:val="single" w:color="auto" w:sz="4" w:space="0"/>
              <w:left w:val="single" w:color="auto" w:sz="4" w:space="0"/>
              <w:bottom w:val="single" w:color="auto" w:sz="4" w:space="0"/>
              <w:right w:val="single" w:color="auto" w:sz="4" w:space="0"/>
            </w:tcBorders>
            <w:vAlign w:val="center"/>
          </w:tcPr>
          <w:p w14:paraId="5FCF5F3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符合国家、自治区法律法规、产业政策及规划编制相关规范要求。</w:t>
            </w:r>
          </w:p>
        </w:tc>
      </w:tr>
      <w:tr w14:paraId="099BAD3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BC654A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2311" w:type="dxa"/>
            <w:tcBorders>
              <w:top w:val="single" w:color="auto" w:sz="4" w:space="0"/>
              <w:left w:val="single" w:color="auto" w:sz="4" w:space="0"/>
              <w:bottom w:val="single" w:color="auto" w:sz="4" w:space="0"/>
              <w:right w:val="single" w:color="auto" w:sz="4" w:space="0"/>
            </w:tcBorders>
            <w:vAlign w:val="center"/>
          </w:tcPr>
          <w:p w14:paraId="3935C4D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服务期</w:t>
            </w:r>
          </w:p>
        </w:tc>
        <w:tc>
          <w:tcPr>
            <w:tcW w:w="6461" w:type="dxa"/>
            <w:tcBorders>
              <w:top w:val="single" w:color="auto" w:sz="4" w:space="0"/>
              <w:left w:val="single" w:color="auto" w:sz="4" w:space="0"/>
              <w:bottom w:val="single" w:color="auto" w:sz="4" w:space="0"/>
              <w:right w:val="single" w:color="auto" w:sz="4" w:space="0"/>
            </w:tcBorders>
            <w:vAlign w:val="center"/>
          </w:tcPr>
          <w:p w14:paraId="4643869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11月底前完成终稿。</w:t>
            </w:r>
          </w:p>
        </w:tc>
      </w:tr>
      <w:tr w14:paraId="4BD4B3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ABF472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2311" w:type="dxa"/>
            <w:tcBorders>
              <w:top w:val="single" w:color="auto" w:sz="4" w:space="0"/>
              <w:left w:val="single" w:color="auto" w:sz="4" w:space="0"/>
              <w:bottom w:val="single" w:color="auto" w:sz="4" w:space="0"/>
              <w:right w:val="single" w:color="auto" w:sz="4" w:space="0"/>
            </w:tcBorders>
            <w:vAlign w:val="center"/>
          </w:tcPr>
          <w:p w14:paraId="2947778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461" w:type="dxa"/>
            <w:tcBorders>
              <w:top w:val="single" w:color="auto" w:sz="4" w:space="0"/>
              <w:left w:val="single" w:color="auto" w:sz="4" w:space="0"/>
              <w:bottom w:val="single" w:color="auto" w:sz="4" w:space="0"/>
              <w:right w:val="single" w:color="auto" w:sz="4" w:space="0"/>
            </w:tcBorders>
            <w:vAlign w:val="center"/>
          </w:tcPr>
          <w:p w14:paraId="79295188">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甲方指定地点</w:t>
            </w:r>
          </w:p>
        </w:tc>
      </w:tr>
      <w:tr w14:paraId="42AEA9A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0C9805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2311" w:type="dxa"/>
            <w:tcBorders>
              <w:top w:val="single" w:color="auto" w:sz="4" w:space="0"/>
              <w:left w:val="single" w:color="auto" w:sz="4" w:space="0"/>
              <w:bottom w:val="single" w:color="auto" w:sz="4" w:space="0"/>
              <w:right w:val="single" w:color="auto" w:sz="4" w:space="0"/>
            </w:tcBorders>
            <w:vAlign w:val="center"/>
          </w:tcPr>
          <w:p w14:paraId="6BA74C3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是否专门面向</w:t>
            </w:r>
            <w:r>
              <w:rPr>
                <w:rFonts w:hint="eastAsia" w:ascii="仿宋" w:hAnsi="仿宋" w:eastAsia="仿宋" w:cs="仿宋"/>
                <w:b/>
                <w:bCs/>
                <w:color w:val="auto"/>
                <w:sz w:val="28"/>
                <w:szCs w:val="28"/>
                <w:highlight w:val="none"/>
                <w:lang w:val="en-US" w:eastAsia="zh-CN"/>
              </w:rPr>
              <w:t>中小</w:t>
            </w:r>
            <w:r>
              <w:rPr>
                <w:rFonts w:hint="eastAsia" w:ascii="仿宋" w:hAnsi="仿宋" w:eastAsia="仿宋" w:cs="仿宋"/>
                <w:b/>
                <w:bCs/>
                <w:color w:val="auto"/>
                <w:sz w:val="28"/>
                <w:szCs w:val="28"/>
                <w:highlight w:val="none"/>
              </w:rPr>
              <w:t>企业</w:t>
            </w:r>
          </w:p>
        </w:tc>
        <w:tc>
          <w:tcPr>
            <w:tcW w:w="6461" w:type="dxa"/>
            <w:tcBorders>
              <w:top w:val="single" w:color="auto" w:sz="4" w:space="0"/>
              <w:left w:val="single" w:color="auto" w:sz="4" w:space="0"/>
              <w:bottom w:val="single" w:color="auto" w:sz="4" w:space="0"/>
              <w:right w:val="single" w:color="auto" w:sz="4" w:space="0"/>
            </w:tcBorders>
            <w:vAlign w:val="center"/>
          </w:tcPr>
          <w:p w14:paraId="23185D62">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 xml:space="preserve">□ </w:t>
            </w:r>
            <w:r>
              <w:rPr>
                <w:rFonts w:hint="eastAsia" w:ascii="仿宋" w:hAnsi="仿宋" w:eastAsia="仿宋" w:cs="仿宋"/>
                <w:b/>
                <w:bCs/>
                <w:color w:val="auto"/>
                <w:sz w:val="28"/>
                <w:szCs w:val="28"/>
                <w:highlight w:val="none"/>
              </w:rPr>
              <w:t>是</w:t>
            </w:r>
          </w:p>
          <w:p w14:paraId="663E3152">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 xml:space="preserve">☑ </w:t>
            </w:r>
            <w:r>
              <w:rPr>
                <w:rFonts w:hint="eastAsia" w:ascii="仿宋" w:hAnsi="仿宋" w:eastAsia="仿宋" w:cs="仿宋"/>
                <w:b/>
                <w:bCs/>
                <w:color w:val="auto"/>
                <w:sz w:val="28"/>
                <w:szCs w:val="28"/>
                <w:highlight w:val="none"/>
              </w:rPr>
              <w:t>否</w:t>
            </w:r>
          </w:p>
        </w:tc>
      </w:tr>
      <w:tr w14:paraId="7D24C1D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48F18D5">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311" w:type="dxa"/>
            <w:tcBorders>
              <w:top w:val="single" w:color="auto" w:sz="4" w:space="0"/>
              <w:left w:val="single" w:color="auto" w:sz="4" w:space="0"/>
              <w:bottom w:val="single" w:color="auto" w:sz="4" w:space="0"/>
              <w:right w:val="single" w:color="auto" w:sz="4" w:space="0"/>
            </w:tcBorders>
            <w:vAlign w:val="center"/>
          </w:tcPr>
          <w:p w14:paraId="72C9770A">
            <w:pPr>
              <w:pStyle w:val="136"/>
              <w:keepNext w:val="0"/>
              <w:keepLines w:val="0"/>
              <w:pageBreakBefore w:val="0"/>
              <w:suppressLineNumbers w:val="0"/>
              <w:wordWrap/>
              <w:overflowPunct/>
              <w:topLinePunct w:val="0"/>
              <w:bidi w:val="0"/>
              <w:adjustRightInd w:val="0"/>
              <w:spacing w:before="78" w:beforeAutospacing="0" w:after="0" w:afterAutospacing="0" w:line="360" w:lineRule="auto"/>
              <w:ind w:left="0" w:right="109" w:rightChars="0"/>
              <w:jc w:val="center"/>
              <w:outlineLvl w:val="9"/>
              <w:rPr>
                <w:rFonts w:hint="eastAsia" w:ascii="仿宋" w:hAnsi="仿宋" w:eastAsia="仿宋" w:cs="仿宋"/>
                <w:b w:val="0"/>
                <w:bCs w:val="0"/>
                <w:color w:val="auto"/>
                <w:sz w:val="28"/>
                <w:szCs w:val="28"/>
                <w:highlight w:val="none"/>
              </w:rPr>
            </w:pPr>
            <w:r>
              <w:rPr>
                <w:rFonts w:hint="eastAsia" w:ascii="仿宋" w:hAnsi="仿宋" w:eastAsia="仿宋" w:cs="仿宋"/>
                <w:b/>
                <w:bCs/>
                <w:snapToGrid w:val="0"/>
                <w:color w:val="auto"/>
                <w:kern w:val="0"/>
                <w:sz w:val="28"/>
                <w:szCs w:val="28"/>
                <w:highlight w:val="none"/>
                <w:lang w:val="en-US" w:eastAsia="en-US" w:bidi="ar-SA"/>
              </w:rPr>
              <w:t>相关政策</w:t>
            </w:r>
          </w:p>
        </w:tc>
        <w:tc>
          <w:tcPr>
            <w:tcW w:w="6461" w:type="dxa"/>
            <w:tcBorders>
              <w:top w:val="single" w:color="auto" w:sz="4" w:space="0"/>
              <w:left w:val="single" w:color="auto" w:sz="4" w:space="0"/>
              <w:bottom w:val="single" w:color="auto" w:sz="4" w:space="0"/>
              <w:right w:val="single" w:color="auto" w:sz="4" w:space="0"/>
            </w:tcBorders>
            <w:vAlign w:val="top"/>
          </w:tcPr>
          <w:p w14:paraId="3DEA0F2F">
            <w:pPr>
              <w:pStyle w:val="136"/>
              <w:keepNext w:val="0"/>
              <w:keepLines w:val="0"/>
              <w:pageBreakBefore w:val="0"/>
              <w:numPr>
                <w:ilvl w:val="0"/>
                <w:numId w:val="0"/>
              </w:numPr>
              <w:suppressLineNumbers w:val="0"/>
              <w:wordWrap/>
              <w:overflowPunct/>
              <w:topLinePunct w:val="0"/>
              <w:bidi w:val="0"/>
              <w:adjustRightInd w:val="0"/>
              <w:spacing w:before="179" w:beforeAutospacing="0" w:after="0" w:afterAutospacing="0" w:line="360" w:lineRule="auto"/>
              <w:ind w:left="0" w:right="118" w:rightChars="0"/>
              <w:outlineLvl w:val="9"/>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本项目不专门面向中小企业，执行以下相关政策。</w:t>
            </w:r>
          </w:p>
          <w:p w14:paraId="467ECC39">
            <w:pPr>
              <w:pStyle w:val="136"/>
              <w:keepNext w:val="0"/>
              <w:keepLines w:val="0"/>
              <w:pageBreakBefore w:val="0"/>
              <w:numPr>
                <w:ilvl w:val="0"/>
                <w:numId w:val="0"/>
              </w:numPr>
              <w:suppressLineNumbers w:val="0"/>
              <w:wordWrap/>
              <w:overflowPunct/>
              <w:topLinePunct w:val="0"/>
              <w:bidi w:val="0"/>
              <w:adjustRightInd w:val="0"/>
              <w:spacing w:before="179" w:beforeAutospacing="0" w:after="0" w:afterAutospacing="0" w:line="360" w:lineRule="auto"/>
              <w:ind w:left="0" w:right="118" w:rightChars="0"/>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1、</w:t>
            </w:r>
            <w:r>
              <w:rPr>
                <w:rFonts w:hint="eastAsia" w:ascii="仿宋" w:hAnsi="仿宋" w:eastAsia="仿宋" w:cs="仿宋"/>
                <w:b w:val="0"/>
                <w:bCs w:val="0"/>
                <w:color w:val="auto"/>
                <w:sz w:val="28"/>
                <w:szCs w:val="28"/>
                <w:highlight w:val="none"/>
                <w:lang w:val="en-US" w:eastAsia="zh-CN"/>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41AD778F">
            <w:pPr>
              <w:pStyle w:val="136"/>
              <w:keepNext w:val="0"/>
              <w:keepLines w:val="0"/>
              <w:pageBreakBefore w:val="0"/>
              <w:numPr>
                <w:ilvl w:val="0"/>
                <w:numId w:val="0"/>
              </w:numPr>
              <w:suppressLineNumbers w:val="0"/>
              <w:wordWrap/>
              <w:overflowPunct/>
              <w:topLinePunct w:val="0"/>
              <w:bidi w:val="0"/>
              <w:adjustRightInd w:val="0"/>
              <w:spacing w:before="179" w:beforeAutospacing="0" w:after="0" w:afterAutospacing="0" w:line="360" w:lineRule="auto"/>
              <w:ind w:left="0" w:right="118" w:rightChars="0"/>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kern w:val="2"/>
                <w:sz w:val="28"/>
                <w:szCs w:val="28"/>
                <w:highlight w:val="none"/>
                <w:lang w:val="en-US" w:eastAsia="zh-CN" w:bidi="ar-SA"/>
              </w:rPr>
              <w:t>2、</w:t>
            </w:r>
            <w:r>
              <w:rPr>
                <w:rFonts w:hint="default" w:ascii="仿宋" w:hAnsi="仿宋" w:eastAsia="仿宋" w:cs="仿宋"/>
                <w:b w:val="0"/>
                <w:bCs w:val="0"/>
                <w:color w:val="auto"/>
                <w:sz w:val="28"/>
                <w:szCs w:val="28"/>
                <w:highlight w:val="none"/>
                <w:lang w:val="en-US" w:eastAsia="zh-CN"/>
              </w:rPr>
              <w:t>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6953E486">
            <w:pPr>
              <w:pStyle w:val="136"/>
              <w:keepNext w:val="0"/>
              <w:keepLines w:val="0"/>
              <w:pageBreakBefore w:val="0"/>
              <w:numPr>
                <w:ilvl w:val="0"/>
                <w:numId w:val="0"/>
              </w:numPr>
              <w:suppressLineNumbers w:val="0"/>
              <w:wordWrap/>
              <w:overflowPunct/>
              <w:topLinePunct w:val="0"/>
              <w:bidi w:val="0"/>
              <w:adjustRightInd w:val="0"/>
              <w:spacing w:before="179" w:beforeAutospacing="0" w:after="0" w:afterAutospacing="0" w:line="360" w:lineRule="auto"/>
              <w:ind w:left="0" w:right="118" w:rightChars="0"/>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kern w:val="2"/>
                <w:sz w:val="28"/>
                <w:szCs w:val="28"/>
                <w:highlight w:val="none"/>
                <w:lang w:val="en-US" w:eastAsia="zh-CN" w:bidi="ar-SA"/>
              </w:rPr>
              <w:t>3、</w:t>
            </w:r>
            <w:r>
              <w:rPr>
                <w:rFonts w:hint="default" w:ascii="仿宋" w:hAnsi="仿宋" w:eastAsia="仿宋" w:cs="仿宋"/>
                <w:b w:val="0"/>
                <w:bCs w:val="0"/>
                <w:color w:val="auto"/>
                <w:sz w:val="28"/>
                <w:szCs w:val="28"/>
                <w:highlight w:val="none"/>
                <w:lang w:val="en-US" w:eastAsia="zh-CN"/>
              </w:rPr>
              <w:t>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700F0510">
            <w:pPr>
              <w:pStyle w:val="136"/>
              <w:keepNext w:val="0"/>
              <w:keepLines w:val="0"/>
              <w:pageBreakBefore w:val="0"/>
              <w:numPr>
                <w:ilvl w:val="0"/>
                <w:numId w:val="0"/>
              </w:numPr>
              <w:suppressLineNumbers w:val="0"/>
              <w:wordWrap/>
              <w:overflowPunct/>
              <w:topLinePunct w:val="0"/>
              <w:bidi w:val="0"/>
              <w:adjustRightInd w:val="0"/>
              <w:spacing w:before="179" w:beforeAutospacing="0" w:after="0" w:afterAutospacing="0" w:line="360" w:lineRule="auto"/>
              <w:ind w:left="0" w:right="118" w:rightChars="0"/>
              <w:outlineLvl w:val="9"/>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kern w:val="2"/>
                <w:sz w:val="28"/>
                <w:szCs w:val="28"/>
                <w:highlight w:val="none"/>
                <w:lang w:val="zh-CN" w:eastAsia="en-US" w:bidi="ar-SA"/>
              </w:rPr>
              <w:t>4、</w:t>
            </w:r>
            <w:r>
              <w:rPr>
                <w:rFonts w:hint="default" w:ascii="仿宋" w:hAnsi="仿宋" w:eastAsia="仿宋" w:cs="仿宋"/>
                <w:b w:val="0"/>
                <w:bCs w:val="0"/>
                <w:color w:val="auto"/>
                <w:sz w:val="28"/>
                <w:szCs w:val="28"/>
                <w:highlight w:val="none"/>
                <w:lang w:val="en-US" w:eastAsia="zh-CN"/>
              </w:rPr>
              <w:t>根据关于贯彻落实《国务院办公厅关于在政府采购中实施本国产品标准及相关政策的通知》国办发〔2025〕34号文和财库〔2025〕30号文，对本国产品的报价给予20%的价格扣除。</w:t>
            </w:r>
          </w:p>
        </w:tc>
      </w:tr>
      <w:tr w14:paraId="0DFD09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4CAE94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7115193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是否接受联合体报价</w:t>
            </w:r>
          </w:p>
        </w:tc>
        <w:tc>
          <w:tcPr>
            <w:tcW w:w="6461" w:type="dxa"/>
            <w:tcBorders>
              <w:top w:val="single" w:color="auto" w:sz="4" w:space="0"/>
              <w:left w:val="single" w:color="auto" w:sz="4" w:space="0"/>
              <w:bottom w:val="single" w:color="auto" w:sz="4" w:space="0"/>
              <w:right w:val="single" w:color="auto" w:sz="4" w:space="0"/>
            </w:tcBorders>
            <w:vAlign w:val="center"/>
          </w:tcPr>
          <w:p w14:paraId="67C009D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不接受</w:t>
            </w:r>
          </w:p>
          <w:p w14:paraId="6BC639B1">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接受，应满足下列要求：</w:t>
            </w:r>
            <w:r>
              <w:rPr>
                <w:rFonts w:hint="eastAsia" w:ascii="仿宋" w:hAnsi="仿宋" w:eastAsia="仿宋" w:cs="仿宋"/>
                <w:color w:val="auto"/>
                <w:sz w:val="28"/>
                <w:szCs w:val="28"/>
                <w:highlight w:val="none"/>
                <w:u w:val="single"/>
              </w:rPr>
              <w:t xml:space="preserve">           </w:t>
            </w:r>
          </w:p>
        </w:tc>
      </w:tr>
      <w:tr w14:paraId="57B0061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2B31AF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52CA8CF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报价有效期</w:t>
            </w:r>
          </w:p>
        </w:tc>
        <w:tc>
          <w:tcPr>
            <w:tcW w:w="6461" w:type="dxa"/>
            <w:tcBorders>
              <w:top w:val="single" w:color="auto" w:sz="4" w:space="0"/>
              <w:left w:val="single" w:color="auto" w:sz="4" w:space="0"/>
              <w:bottom w:val="single" w:color="auto" w:sz="4" w:space="0"/>
              <w:right w:val="single" w:color="auto" w:sz="4" w:space="0"/>
            </w:tcBorders>
            <w:vAlign w:val="center"/>
          </w:tcPr>
          <w:p w14:paraId="73FF47D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自报价截止之日起</w:t>
            </w:r>
            <w:r>
              <w:rPr>
                <w:rFonts w:hint="eastAsia" w:ascii="仿宋" w:hAnsi="仿宋" w:eastAsia="仿宋" w:cs="仿宋"/>
                <w:color w:val="auto"/>
                <w:sz w:val="28"/>
                <w:szCs w:val="28"/>
                <w:highlight w:val="none"/>
                <w:u w:val="single"/>
              </w:rPr>
              <w:t xml:space="preserve"> 30 </w:t>
            </w:r>
            <w:r>
              <w:rPr>
                <w:rFonts w:hint="eastAsia" w:ascii="仿宋" w:hAnsi="仿宋" w:eastAsia="仿宋" w:cs="仿宋"/>
                <w:color w:val="auto"/>
                <w:sz w:val="28"/>
                <w:szCs w:val="28"/>
                <w:highlight w:val="none"/>
              </w:rPr>
              <w:t>个日历天。</w:t>
            </w:r>
          </w:p>
        </w:tc>
      </w:tr>
      <w:tr w14:paraId="1FDD5DC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0ED1A3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2311" w:type="dxa"/>
            <w:tcBorders>
              <w:top w:val="single" w:color="auto" w:sz="4" w:space="0"/>
              <w:left w:val="single" w:color="auto" w:sz="4" w:space="0"/>
              <w:bottom w:val="single" w:color="auto" w:sz="4" w:space="0"/>
              <w:right w:val="single" w:color="auto" w:sz="4" w:space="0"/>
            </w:tcBorders>
            <w:vAlign w:val="center"/>
          </w:tcPr>
          <w:p w14:paraId="75EE46E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踏勘现场</w:t>
            </w:r>
          </w:p>
        </w:tc>
        <w:tc>
          <w:tcPr>
            <w:tcW w:w="6461" w:type="dxa"/>
            <w:tcBorders>
              <w:top w:val="single" w:color="auto" w:sz="4" w:space="0"/>
              <w:left w:val="single" w:color="auto" w:sz="4" w:space="0"/>
              <w:bottom w:val="single" w:color="auto" w:sz="4" w:space="0"/>
              <w:right w:val="single" w:color="auto" w:sz="4" w:space="0"/>
            </w:tcBorders>
            <w:vAlign w:val="center"/>
          </w:tcPr>
          <w:p w14:paraId="7BF16BD5">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不组织，自行踏勘</w:t>
            </w:r>
          </w:p>
          <w:p w14:paraId="07C333AD">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组织，踏勘时间：</w:t>
            </w:r>
            <w:r>
              <w:rPr>
                <w:rFonts w:hint="eastAsia" w:ascii="仿宋" w:hAnsi="仿宋" w:eastAsia="仿宋" w:cs="仿宋"/>
                <w:color w:val="auto"/>
                <w:sz w:val="28"/>
                <w:szCs w:val="28"/>
                <w:highlight w:val="none"/>
                <w:u w:val="single"/>
                <w:lang w:val="zh-CN"/>
              </w:rPr>
              <w:t xml:space="preserve">               </w:t>
            </w:r>
          </w:p>
          <w:p w14:paraId="2643136F">
            <w:pPr>
              <w:keepNext w:val="0"/>
              <w:keepLines w:val="0"/>
              <w:suppressLineNumbers w:val="0"/>
              <w:tabs>
                <w:tab w:val="left" w:pos="7665"/>
              </w:tabs>
              <w:spacing w:before="62" w:beforeLines="20" w:beforeAutospacing="0" w:after="0" w:afterAutospacing="0" w:line="360" w:lineRule="auto"/>
              <w:ind w:left="0" w:right="0" w:firstLine="1260" w:firstLineChars="45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踏勘地点：</w:t>
            </w:r>
            <w:r>
              <w:rPr>
                <w:rFonts w:hint="eastAsia" w:ascii="仿宋" w:hAnsi="仿宋" w:eastAsia="仿宋" w:cs="仿宋"/>
                <w:color w:val="auto"/>
                <w:sz w:val="28"/>
                <w:szCs w:val="28"/>
                <w:highlight w:val="none"/>
                <w:u w:val="single"/>
                <w:lang w:val="zh-CN"/>
              </w:rPr>
              <w:t xml:space="preserve">               </w:t>
            </w:r>
          </w:p>
        </w:tc>
      </w:tr>
      <w:tr w14:paraId="4407DD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0BDA4D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p>
        </w:tc>
        <w:tc>
          <w:tcPr>
            <w:tcW w:w="2311" w:type="dxa"/>
            <w:tcBorders>
              <w:top w:val="single" w:color="auto" w:sz="4" w:space="0"/>
              <w:left w:val="single" w:color="auto" w:sz="4" w:space="0"/>
              <w:bottom w:val="single" w:color="auto" w:sz="4" w:space="0"/>
              <w:right w:val="single" w:color="auto" w:sz="4" w:space="0"/>
            </w:tcBorders>
            <w:vAlign w:val="center"/>
          </w:tcPr>
          <w:p w14:paraId="1BDAEB4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履约保证金</w:t>
            </w:r>
          </w:p>
        </w:tc>
        <w:tc>
          <w:tcPr>
            <w:tcW w:w="6461" w:type="dxa"/>
            <w:tcBorders>
              <w:top w:val="single" w:color="auto" w:sz="4" w:space="0"/>
              <w:left w:val="single" w:color="auto" w:sz="4" w:space="0"/>
              <w:bottom w:val="single" w:color="auto" w:sz="4" w:space="0"/>
              <w:right w:val="single" w:color="auto" w:sz="4" w:space="0"/>
            </w:tcBorders>
            <w:vAlign w:val="center"/>
          </w:tcPr>
          <w:p w14:paraId="52CA1A3F">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不需要。</w:t>
            </w:r>
          </w:p>
          <w:p w14:paraId="2085B10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需要，履约保证金的金额：成交合同金额的10%（履约保证金须以支票、汇票、本票或者金融机构、担保机构出具的保函等非现金形式提交）</w:t>
            </w:r>
          </w:p>
        </w:tc>
      </w:tr>
      <w:tr w14:paraId="0F453A6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9E3B60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02381F5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采购代理服务费支付</w:t>
            </w:r>
          </w:p>
        </w:tc>
        <w:tc>
          <w:tcPr>
            <w:tcW w:w="6461" w:type="dxa"/>
            <w:tcBorders>
              <w:top w:val="single" w:color="auto" w:sz="4" w:space="0"/>
              <w:left w:val="single" w:color="auto" w:sz="4" w:space="0"/>
              <w:bottom w:val="single" w:color="auto" w:sz="4" w:space="0"/>
              <w:right w:val="single" w:color="auto" w:sz="4" w:space="0"/>
            </w:tcBorders>
            <w:vAlign w:val="center"/>
          </w:tcPr>
          <w:p w14:paraId="5DC1B73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由采购人支付</w:t>
            </w:r>
          </w:p>
          <w:p w14:paraId="5D7EF29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由成交供应商支付</w:t>
            </w:r>
          </w:p>
          <w:p w14:paraId="14581E5C">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收费金额：按照发改价格〔2015〕299号文、发改价格〔2011〕534号文的差额定率累进法计算。</w:t>
            </w:r>
          </w:p>
          <w:p w14:paraId="1C82813B">
            <w:pPr>
              <w:pStyle w:val="19"/>
              <w:keepNext w:val="0"/>
              <w:keepLines w:val="0"/>
              <w:suppressLineNumbers w:val="0"/>
              <w:spacing w:beforeAutospacing="0" w:afterAutospacing="0" w:line="360" w:lineRule="auto"/>
              <w:ind w:left="0" w:right="0" w:firstLine="0"/>
              <w:rPr>
                <w:rFonts w:hint="eastAsia" w:ascii="仿宋" w:hAnsi="仿宋" w:eastAsia="仿宋" w:cs="仿宋"/>
                <w:color w:val="auto"/>
                <w:highlight w:val="none"/>
                <w:lang w:val="zh-CN"/>
              </w:rPr>
            </w:pPr>
            <w:r>
              <w:rPr>
                <w:rFonts w:hint="eastAsia" w:ascii="仿宋" w:hAnsi="仿宋" w:eastAsia="仿宋" w:cs="仿宋"/>
                <w:color w:val="auto"/>
                <w:sz w:val="28"/>
                <w:szCs w:val="24"/>
                <w:highlight w:val="none"/>
              </w:rPr>
              <w:t>缴纳时间：发放中标通知书时。</w:t>
            </w:r>
          </w:p>
        </w:tc>
      </w:tr>
      <w:tr w14:paraId="16281FF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4F52D7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9</w:t>
            </w:r>
          </w:p>
        </w:tc>
        <w:tc>
          <w:tcPr>
            <w:tcW w:w="2311" w:type="dxa"/>
            <w:tcBorders>
              <w:top w:val="single" w:color="auto" w:sz="4" w:space="0"/>
              <w:left w:val="single" w:color="auto" w:sz="4" w:space="0"/>
              <w:bottom w:val="single" w:color="auto" w:sz="4" w:space="0"/>
              <w:right w:val="single" w:color="auto" w:sz="4" w:space="0"/>
            </w:tcBorders>
            <w:vAlign w:val="center"/>
          </w:tcPr>
          <w:p w14:paraId="337CDFD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构成采购文件的其他材料</w:t>
            </w:r>
          </w:p>
        </w:tc>
        <w:tc>
          <w:tcPr>
            <w:tcW w:w="6461" w:type="dxa"/>
            <w:tcBorders>
              <w:top w:val="single" w:color="auto" w:sz="4" w:space="0"/>
              <w:left w:val="single" w:color="auto" w:sz="4" w:space="0"/>
              <w:bottom w:val="single" w:color="auto" w:sz="4" w:space="0"/>
              <w:right w:val="single" w:color="auto" w:sz="4" w:space="0"/>
            </w:tcBorders>
            <w:vAlign w:val="center"/>
          </w:tcPr>
          <w:p w14:paraId="6A0C5BA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补充文件</w:t>
            </w:r>
          </w:p>
        </w:tc>
      </w:tr>
      <w:tr w14:paraId="0B4B0C51">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vAlign w:val="center"/>
          </w:tcPr>
          <w:p w14:paraId="32698C01">
            <w:pPr>
              <w:keepNext w:val="0"/>
              <w:keepLines w:val="0"/>
              <w:suppressLineNumbers w:val="0"/>
              <w:spacing w:before="62" w:beforeLines="2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2311" w:type="dxa"/>
            <w:tcBorders>
              <w:top w:val="single" w:color="auto" w:sz="4" w:space="0"/>
              <w:left w:val="single" w:color="auto" w:sz="4" w:space="0"/>
              <w:bottom w:val="single" w:color="auto" w:sz="4" w:space="0"/>
              <w:right w:val="single" w:color="auto" w:sz="4" w:space="0"/>
            </w:tcBorders>
            <w:vAlign w:val="center"/>
          </w:tcPr>
          <w:p w14:paraId="7513576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供应商要求澄清采购文件的截止时间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52EF743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采购文件发售截止</w:t>
            </w:r>
            <w:r>
              <w:rPr>
                <w:rFonts w:hint="eastAsia" w:ascii="仿宋" w:hAnsi="仿宋" w:eastAsia="仿宋" w:cs="仿宋"/>
                <w:color w:val="auto"/>
                <w:sz w:val="28"/>
                <w:szCs w:val="28"/>
                <w:highlight w:val="none"/>
              </w:rPr>
              <w:t>之</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zh-CN"/>
              </w:rPr>
              <w:t>点前</w:t>
            </w:r>
          </w:p>
        </w:tc>
      </w:tr>
      <w:tr w14:paraId="38045AA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762E17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4E25C37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供应商确认收到采购文件澄清或修改的时间</w:t>
            </w:r>
          </w:p>
        </w:tc>
        <w:tc>
          <w:tcPr>
            <w:tcW w:w="6461" w:type="dxa"/>
            <w:tcBorders>
              <w:top w:val="single" w:color="auto" w:sz="4" w:space="0"/>
              <w:left w:val="single" w:color="auto" w:sz="4" w:space="0"/>
              <w:bottom w:val="single" w:color="auto" w:sz="4" w:space="0"/>
              <w:right w:val="single" w:color="auto" w:sz="4" w:space="0"/>
            </w:tcBorders>
            <w:vAlign w:val="center"/>
          </w:tcPr>
          <w:p w14:paraId="2C5B4BC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lang w:val="zh-CN"/>
              </w:rPr>
              <w:t>从补充文件发布时间开始48小时内</w:t>
            </w:r>
          </w:p>
        </w:tc>
      </w:tr>
      <w:tr w14:paraId="54FACC5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23EEE4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56689FA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供应商资格条件</w:t>
            </w:r>
          </w:p>
        </w:tc>
        <w:tc>
          <w:tcPr>
            <w:tcW w:w="6461" w:type="dxa"/>
            <w:tcBorders>
              <w:top w:val="single" w:color="auto" w:sz="4" w:space="0"/>
              <w:left w:val="single" w:color="auto" w:sz="4" w:space="0"/>
              <w:bottom w:val="single" w:color="auto" w:sz="4" w:space="0"/>
              <w:right w:val="single" w:color="auto" w:sz="4" w:space="0"/>
            </w:tcBorders>
            <w:vAlign w:val="center"/>
          </w:tcPr>
          <w:p w14:paraId="37CBDCEF">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1.满足《中华人民共和国政府采购法》第二十二条规定；</w:t>
            </w:r>
          </w:p>
          <w:p w14:paraId="534207A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（1）具有独立承担民事责任的能力；</w:t>
            </w:r>
          </w:p>
          <w:p w14:paraId="7D94EDA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（2）具有良好的商业信誉和健全的财务会计制度；</w:t>
            </w:r>
          </w:p>
          <w:p w14:paraId="7B05EDF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（3）具有履行合同所必需的设备和专业技术能力；</w:t>
            </w:r>
          </w:p>
          <w:p w14:paraId="235FEBA5">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（4）有依法缴纳税收和社会保障资金的良好记录；</w:t>
            </w:r>
          </w:p>
          <w:p w14:paraId="403D6D5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（5）参加政府招标活动前三年内，在经营活动中没有重大违法记录；</w:t>
            </w:r>
          </w:p>
          <w:p w14:paraId="77DC462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（6）法律、行政法规规定的其他条件。</w:t>
            </w:r>
          </w:p>
          <w:p w14:paraId="592A19A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lang w:val="zh-CN"/>
              </w:rPr>
              <w:t>2.落实政府采购政策需满足的资格要求：</w:t>
            </w:r>
            <w:r>
              <w:rPr>
                <w:rFonts w:hint="eastAsia" w:ascii="仿宋" w:hAnsi="仿宋" w:eastAsia="仿宋" w:cs="仿宋"/>
                <w:color w:val="auto"/>
                <w:sz w:val="28"/>
                <w:szCs w:val="28"/>
                <w:highlight w:val="none"/>
                <w:lang w:val="zh-CN" w:eastAsia="zh-CN"/>
              </w:rPr>
              <w:t>本项目不专门面向中小企业采购</w:t>
            </w:r>
            <w:r>
              <w:rPr>
                <w:rFonts w:hint="eastAsia" w:ascii="仿宋" w:hAnsi="仿宋" w:eastAsia="仿宋" w:cs="仿宋"/>
                <w:color w:val="auto"/>
                <w:sz w:val="28"/>
                <w:szCs w:val="28"/>
                <w:highlight w:val="none"/>
                <w:lang w:val="zh-CN"/>
              </w:rPr>
              <w:t>。</w:t>
            </w:r>
          </w:p>
          <w:p w14:paraId="06EDD2F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zh-CN"/>
              </w:rPr>
              <w:t>3.本项目的特定资格要求：</w:t>
            </w:r>
            <w:r>
              <w:rPr>
                <w:rFonts w:hint="eastAsia" w:ascii="仿宋" w:hAnsi="仿宋" w:eastAsia="仿宋" w:cs="仿宋"/>
                <w:color w:val="auto"/>
                <w:spacing w:val="-6"/>
                <w:sz w:val="28"/>
                <w:szCs w:val="28"/>
                <w:highlight w:val="none"/>
                <w:lang w:val="en-US" w:eastAsia="zh-CN"/>
              </w:rPr>
              <w:t>无</w:t>
            </w:r>
            <w:r>
              <w:rPr>
                <w:rFonts w:hint="eastAsia" w:ascii="仿宋" w:hAnsi="仿宋" w:eastAsia="仿宋" w:cs="仿宋"/>
                <w:color w:val="auto"/>
                <w:spacing w:val="-6"/>
                <w:sz w:val="28"/>
                <w:szCs w:val="28"/>
                <w:highlight w:val="none"/>
                <w:lang w:eastAsia="zh-CN"/>
              </w:rPr>
              <w:t>。</w:t>
            </w:r>
          </w:p>
        </w:tc>
      </w:tr>
      <w:tr w14:paraId="4D33567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33B784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30EF5054">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是否允许递交备选报价方案</w:t>
            </w:r>
          </w:p>
        </w:tc>
        <w:tc>
          <w:tcPr>
            <w:tcW w:w="6461" w:type="dxa"/>
            <w:tcBorders>
              <w:top w:val="single" w:color="auto" w:sz="4" w:space="0"/>
              <w:left w:val="single" w:color="auto" w:sz="4" w:space="0"/>
              <w:bottom w:val="single" w:color="auto" w:sz="4" w:space="0"/>
              <w:right w:val="single" w:color="auto" w:sz="4" w:space="0"/>
            </w:tcBorders>
            <w:vAlign w:val="center"/>
          </w:tcPr>
          <w:p w14:paraId="3B664B8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不允许</w:t>
            </w:r>
          </w:p>
          <w:p w14:paraId="75EFDE9F">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r>
      <w:tr w14:paraId="2BC2F35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5AC5293">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262174B3">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响应报价的范围</w:t>
            </w:r>
          </w:p>
        </w:tc>
        <w:tc>
          <w:tcPr>
            <w:tcW w:w="6461" w:type="dxa"/>
            <w:tcBorders>
              <w:top w:val="single" w:color="auto" w:sz="4" w:space="0"/>
              <w:left w:val="single" w:color="auto" w:sz="4" w:space="0"/>
              <w:bottom w:val="single" w:color="auto" w:sz="4" w:space="0"/>
              <w:right w:val="single" w:color="auto" w:sz="4" w:space="0"/>
            </w:tcBorders>
            <w:vAlign w:val="center"/>
          </w:tcPr>
          <w:p w14:paraId="5C6E8D7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含税全包价。</w:t>
            </w:r>
          </w:p>
        </w:tc>
      </w:tr>
      <w:tr w14:paraId="5EA52C0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664367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3601C32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响应报价的次数</w:t>
            </w:r>
          </w:p>
        </w:tc>
        <w:tc>
          <w:tcPr>
            <w:tcW w:w="6461" w:type="dxa"/>
            <w:tcBorders>
              <w:top w:val="single" w:color="auto" w:sz="4" w:space="0"/>
              <w:left w:val="single" w:color="auto" w:sz="4" w:space="0"/>
              <w:bottom w:val="single" w:color="auto" w:sz="4" w:space="0"/>
              <w:right w:val="single" w:color="auto" w:sz="4" w:space="0"/>
            </w:tcBorders>
            <w:vAlign w:val="center"/>
          </w:tcPr>
          <w:p w14:paraId="374EA65E">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本次响应报价实行两轮报价，原则上第二轮报价为最终报价。超过二轮报价的由磋商小组现场集体决定</w:t>
            </w:r>
            <w:r>
              <w:rPr>
                <w:rFonts w:hint="eastAsia" w:ascii="仿宋" w:hAnsi="仿宋" w:eastAsia="仿宋" w:cs="仿宋"/>
                <w:b/>
                <w:bCs/>
                <w:color w:val="auto"/>
                <w:sz w:val="28"/>
                <w:szCs w:val="28"/>
                <w:highlight w:val="none"/>
              </w:rPr>
              <w:t>是否</w:t>
            </w:r>
            <w:r>
              <w:rPr>
                <w:rFonts w:hint="eastAsia" w:ascii="仿宋" w:hAnsi="仿宋" w:eastAsia="仿宋" w:cs="仿宋"/>
                <w:b/>
                <w:bCs/>
                <w:color w:val="auto"/>
                <w:sz w:val="28"/>
                <w:szCs w:val="28"/>
                <w:highlight w:val="none"/>
                <w:lang w:val="zh-CN"/>
              </w:rPr>
              <w:t>继续报价，否则磋商小组有权据此确定为无效报价，参与磋商的供应商少于三家的予以废标（除法定情形外）。</w:t>
            </w:r>
          </w:p>
        </w:tc>
      </w:tr>
      <w:tr w14:paraId="578B31B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3EE37C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p>
        </w:tc>
        <w:tc>
          <w:tcPr>
            <w:tcW w:w="2311" w:type="dxa"/>
            <w:tcBorders>
              <w:top w:val="single" w:color="auto" w:sz="4" w:space="0"/>
              <w:left w:val="single" w:color="auto" w:sz="4" w:space="0"/>
              <w:bottom w:val="single" w:color="auto" w:sz="4" w:space="0"/>
              <w:right w:val="single" w:color="auto" w:sz="4" w:space="0"/>
            </w:tcBorders>
            <w:vAlign w:val="center"/>
          </w:tcPr>
          <w:p w14:paraId="331B2629">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保证金的缴纳</w:t>
            </w:r>
          </w:p>
        </w:tc>
        <w:tc>
          <w:tcPr>
            <w:tcW w:w="6461" w:type="dxa"/>
            <w:tcBorders>
              <w:top w:val="single" w:color="auto" w:sz="4" w:space="0"/>
              <w:left w:val="single" w:color="auto" w:sz="4" w:space="0"/>
              <w:bottom w:val="single" w:color="auto" w:sz="4" w:space="0"/>
              <w:right w:val="single" w:color="auto" w:sz="4" w:space="0"/>
            </w:tcBorders>
            <w:vAlign w:val="center"/>
          </w:tcPr>
          <w:p w14:paraId="1D48DD3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本项目不作要求。</w:t>
            </w:r>
          </w:p>
        </w:tc>
      </w:tr>
      <w:tr w14:paraId="2E5820A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40D2588">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p>
        </w:tc>
        <w:tc>
          <w:tcPr>
            <w:tcW w:w="2311" w:type="dxa"/>
            <w:tcBorders>
              <w:top w:val="single" w:color="auto" w:sz="4" w:space="0"/>
              <w:left w:val="single" w:color="auto" w:sz="4" w:space="0"/>
              <w:bottom w:val="single" w:color="auto" w:sz="4" w:space="0"/>
              <w:right w:val="single" w:color="auto" w:sz="4" w:space="0"/>
            </w:tcBorders>
            <w:vAlign w:val="center"/>
          </w:tcPr>
          <w:p w14:paraId="2266574D">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rPr>
              <w:t>响应文件编制</w:t>
            </w:r>
          </w:p>
        </w:tc>
        <w:tc>
          <w:tcPr>
            <w:tcW w:w="6461" w:type="dxa"/>
            <w:tcBorders>
              <w:top w:val="single" w:color="auto" w:sz="4" w:space="0"/>
              <w:left w:val="single" w:color="auto" w:sz="4" w:space="0"/>
              <w:bottom w:val="single" w:color="auto" w:sz="4" w:space="0"/>
              <w:right w:val="single" w:color="auto" w:sz="4" w:space="0"/>
            </w:tcBorders>
            <w:vAlign w:val="center"/>
          </w:tcPr>
          <w:p w14:paraId="68E89EDD">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textAlignment w:val="auto"/>
              <w:rPr>
                <w:rFonts w:hint="eastAsia" w:ascii="仿宋" w:hAnsi="仿宋" w:eastAsia="仿宋" w:cs="仿宋"/>
                <w:color w:val="auto"/>
                <w:sz w:val="22"/>
                <w:szCs w:val="24"/>
                <w:highlight w:val="none"/>
                <w:lang w:eastAsia="zh-CN"/>
              </w:rPr>
            </w:pPr>
            <w:r>
              <w:rPr>
                <w:rFonts w:hint="eastAsia" w:ascii="仿宋" w:hAnsi="仿宋" w:eastAsia="仿宋" w:cs="仿宋"/>
                <w:color w:val="auto"/>
                <w:sz w:val="28"/>
                <w:szCs w:val="24"/>
                <w:highlight w:val="none"/>
                <w:lang w:eastAsia="zh-CN"/>
              </w:rPr>
              <w:t>供应商</w:t>
            </w:r>
            <w:r>
              <w:rPr>
                <w:rFonts w:hint="eastAsia" w:ascii="仿宋" w:hAnsi="仿宋" w:eastAsia="仿宋" w:cs="仿宋"/>
                <w:color w:val="auto"/>
                <w:sz w:val="28"/>
                <w:szCs w:val="24"/>
                <w:highlight w:val="none"/>
              </w:rPr>
              <w:t>应按照采购文件的要求编写响应文件</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并编制目录，目录、内容标注连续页码，页码从目录编起，标注于页面底部居中位置</w:t>
            </w:r>
            <w:r>
              <w:rPr>
                <w:rFonts w:hint="eastAsia" w:ascii="仿宋" w:hAnsi="仿宋" w:eastAsia="仿宋" w:cs="仿宋"/>
                <w:color w:val="auto"/>
                <w:sz w:val="28"/>
                <w:szCs w:val="24"/>
                <w:highlight w:val="none"/>
                <w:lang w:eastAsia="zh-CN"/>
              </w:rPr>
              <w:t>。</w:t>
            </w:r>
          </w:p>
        </w:tc>
      </w:tr>
      <w:tr w14:paraId="561B0BB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964254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450A006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响应文件份数及要求</w:t>
            </w:r>
          </w:p>
        </w:tc>
        <w:tc>
          <w:tcPr>
            <w:tcW w:w="6461" w:type="dxa"/>
            <w:tcBorders>
              <w:top w:val="single" w:color="auto" w:sz="4" w:space="0"/>
              <w:left w:val="single" w:color="auto" w:sz="4" w:space="0"/>
              <w:bottom w:val="single" w:color="auto" w:sz="4" w:space="0"/>
              <w:right w:val="single" w:color="auto" w:sz="4" w:space="0"/>
            </w:tcBorders>
            <w:vAlign w:val="center"/>
          </w:tcPr>
          <w:p w14:paraId="46CAA29F">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本项目为不见面开标，开标现场无需提供纸质版标书及电子标书。</w:t>
            </w:r>
          </w:p>
        </w:tc>
      </w:tr>
      <w:tr w14:paraId="12B105A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F4ED83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9</w:t>
            </w:r>
          </w:p>
        </w:tc>
        <w:tc>
          <w:tcPr>
            <w:tcW w:w="2311" w:type="dxa"/>
            <w:tcBorders>
              <w:top w:val="single" w:color="auto" w:sz="4" w:space="0"/>
              <w:left w:val="single" w:color="auto" w:sz="4" w:space="0"/>
              <w:bottom w:val="single" w:color="auto" w:sz="4" w:space="0"/>
              <w:right w:val="single" w:color="auto" w:sz="4" w:space="0"/>
            </w:tcBorders>
            <w:vAlign w:val="center"/>
          </w:tcPr>
          <w:p w14:paraId="52FCE6F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递交响应文件截止时间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73AC198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截止时间：</w:t>
            </w:r>
            <w:r>
              <w:rPr>
                <w:rFonts w:hint="eastAsia" w:ascii="仿宋" w:hAnsi="仿宋" w:eastAsia="仿宋" w:cs="仿宋"/>
                <w:color w:val="auto"/>
                <w:sz w:val="28"/>
                <w:szCs w:val="28"/>
                <w:highlight w:val="none"/>
                <w:lang w:val="zh-CN" w:eastAsia="zh-CN"/>
              </w:rPr>
              <w:t>2026年05月13日 12:00</w:t>
            </w:r>
            <w:r>
              <w:rPr>
                <w:rFonts w:hint="eastAsia" w:ascii="仿宋" w:hAnsi="仿宋" w:eastAsia="仿宋" w:cs="仿宋"/>
                <w:color w:val="auto"/>
                <w:sz w:val="28"/>
                <w:szCs w:val="28"/>
                <w:highlight w:val="none"/>
                <w:lang w:val="zh-CN"/>
              </w:rPr>
              <w:t>（北京时间）</w:t>
            </w:r>
          </w:p>
          <w:p w14:paraId="3637F1D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提交响应文件地点: 请登录政采云投标客户端投标，投标人登</w:t>
            </w:r>
            <w:bookmarkStart w:id="79" w:name="_GoBack"/>
            <w:bookmarkEnd w:id="79"/>
            <w:r>
              <w:rPr>
                <w:rFonts w:hint="eastAsia" w:ascii="仿宋" w:hAnsi="仿宋" w:eastAsia="仿宋" w:cs="仿宋"/>
                <w:color w:val="auto"/>
                <w:sz w:val="28"/>
                <w:szCs w:val="28"/>
                <w:highlight w:val="none"/>
                <w:lang w:val="zh-CN"/>
              </w:rPr>
              <w:t>录政采云平台https://www.zcygov.cn/进入“项目采购-开标评标-右边选择对应项目点击“进入项目”进入开标大厅</w:t>
            </w:r>
          </w:p>
        </w:tc>
      </w:tr>
      <w:tr w14:paraId="73FDD6F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846C310">
            <w:pPr>
              <w:keepNext w:val="0"/>
              <w:keepLines w:val="0"/>
              <w:suppressLineNumbers w:val="0"/>
              <w:spacing w:before="62" w:beforeLines="2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2311" w:type="dxa"/>
            <w:tcBorders>
              <w:top w:val="single" w:color="auto" w:sz="4" w:space="0"/>
              <w:left w:val="single" w:color="auto" w:sz="4" w:space="0"/>
              <w:bottom w:val="single" w:color="auto" w:sz="4" w:space="0"/>
              <w:right w:val="single" w:color="auto" w:sz="4" w:space="0"/>
            </w:tcBorders>
            <w:vAlign w:val="center"/>
          </w:tcPr>
          <w:p w14:paraId="4CFCE35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开标时间及地点</w:t>
            </w:r>
          </w:p>
        </w:tc>
        <w:tc>
          <w:tcPr>
            <w:tcW w:w="6461" w:type="dxa"/>
            <w:tcBorders>
              <w:top w:val="single" w:color="auto" w:sz="4" w:space="0"/>
              <w:left w:val="single" w:color="auto" w:sz="4" w:space="0"/>
              <w:bottom w:val="single" w:color="auto" w:sz="4" w:space="0"/>
              <w:right w:val="single" w:color="auto" w:sz="4" w:space="0"/>
            </w:tcBorders>
            <w:vAlign w:val="center"/>
          </w:tcPr>
          <w:p w14:paraId="7C815C23">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时间：2026年05月13日 12:00（北京时间）</w:t>
            </w:r>
          </w:p>
          <w:p w14:paraId="1A1B801A">
            <w:pPr>
              <w:keepNext w:val="0"/>
              <w:keepLines w:val="0"/>
              <w:suppressLineNumbers w:val="0"/>
              <w:spacing w:before="62" w:beforeLines="20" w:beforeAutospacing="0" w:after="0" w:afterAutospacing="0" w:line="360" w:lineRule="auto"/>
              <w:ind w:left="0" w:right="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开标地点：投标人登录政采云平台https://www.zcygov.cn/，进入“项目采购-开标评标-右边选择对应项目点击“进入项目”进入开标大厅。</w:t>
            </w:r>
          </w:p>
          <w:p w14:paraId="147694EF">
            <w:pPr>
              <w:keepNext w:val="0"/>
              <w:keepLines w:val="0"/>
              <w:suppressLineNumbers w:val="0"/>
              <w:spacing w:before="62" w:beforeLines="20" w:beforeAutospacing="0" w:after="0" w:afterAutospacing="0" w:line="360" w:lineRule="auto"/>
              <w:ind w:left="0" w:right="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投标人应于2026年05月13日 12:00之前将电子投标文件上传到政采云投标客户端投标。应按照本项目招标文件和政采云平台的要求编制、加密传输投标文件。供应商在使用系统进行投标的过程中遇到涉及平台使用的任何问题，可致电政采云平台技术支持热线咨询，联系方式：95763 。</w:t>
            </w:r>
          </w:p>
        </w:tc>
      </w:tr>
      <w:tr w14:paraId="6A11173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D37446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1A8C77EE">
            <w:pPr>
              <w:keepNext w:val="0"/>
              <w:keepLines w:val="0"/>
              <w:suppressLineNumbers w:val="0"/>
              <w:autoSpaceDE w:val="0"/>
              <w:autoSpaceDN w:val="0"/>
              <w:adjustRightInd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磋商小组</w:t>
            </w:r>
          </w:p>
        </w:tc>
        <w:tc>
          <w:tcPr>
            <w:tcW w:w="6461" w:type="dxa"/>
            <w:tcBorders>
              <w:top w:val="single" w:color="auto" w:sz="4" w:space="0"/>
              <w:left w:val="single" w:color="auto" w:sz="4" w:space="0"/>
              <w:bottom w:val="single" w:color="auto" w:sz="4" w:space="0"/>
              <w:right w:val="single" w:color="auto" w:sz="4" w:space="0"/>
            </w:tcBorders>
            <w:vAlign w:val="center"/>
          </w:tcPr>
          <w:p w14:paraId="00E3E2DC">
            <w:pPr>
              <w:keepNext w:val="0"/>
              <w:keepLines w:val="0"/>
              <w:suppressLineNumbers w:val="0"/>
              <w:autoSpaceDE w:val="0"/>
              <w:autoSpaceDN w:val="0"/>
              <w:spacing w:before="62" w:beforeLines="2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磋商小组共</w:t>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zh-CN"/>
              </w:rPr>
              <w:t>人</w:t>
            </w:r>
            <w:r>
              <w:rPr>
                <w:rFonts w:hint="eastAsia" w:ascii="仿宋" w:hAnsi="仿宋" w:eastAsia="仿宋" w:cs="仿宋"/>
                <w:b/>
                <w:bCs/>
                <w:color w:val="auto"/>
                <w:sz w:val="28"/>
                <w:szCs w:val="28"/>
                <w:highlight w:val="none"/>
              </w:rPr>
              <w:t>及以上单数组成，其中采购人代表</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人，其余从政采云专家库中随机抽取。</w:t>
            </w:r>
          </w:p>
        </w:tc>
      </w:tr>
      <w:tr w14:paraId="655DD4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30B954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2243B88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评审办法</w:t>
            </w:r>
          </w:p>
        </w:tc>
        <w:tc>
          <w:tcPr>
            <w:tcW w:w="6461" w:type="dxa"/>
            <w:tcBorders>
              <w:top w:val="single" w:color="auto" w:sz="4" w:space="0"/>
              <w:left w:val="single" w:color="auto" w:sz="4" w:space="0"/>
              <w:bottom w:val="single" w:color="auto" w:sz="4" w:space="0"/>
              <w:right w:val="single" w:color="auto" w:sz="4" w:space="0"/>
            </w:tcBorders>
            <w:vAlign w:val="center"/>
          </w:tcPr>
          <w:p w14:paraId="12B7AF03">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综合评分法</w:t>
            </w:r>
          </w:p>
        </w:tc>
      </w:tr>
      <w:tr w14:paraId="4073466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224C29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7FF02BC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是否授权磋商小组确定成交供应商</w:t>
            </w:r>
          </w:p>
        </w:tc>
        <w:tc>
          <w:tcPr>
            <w:tcW w:w="6461" w:type="dxa"/>
            <w:tcBorders>
              <w:top w:val="single" w:color="auto" w:sz="4" w:space="0"/>
              <w:left w:val="single" w:color="auto" w:sz="4" w:space="0"/>
              <w:bottom w:val="single" w:color="auto" w:sz="4" w:space="0"/>
              <w:right w:val="single" w:color="auto" w:sz="4" w:space="0"/>
            </w:tcBorders>
            <w:vAlign w:val="center"/>
          </w:tcPr>
          <w:p w14:paraId="2C8D8708">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是，</w:t>
            </w:r>
            <w:r>
              <w:rPr>
                <w:rFonts w:hint="eastAsia" w:ascii="仿宋" w:hAnsi="仿宋" w:eastAsia="仿宋" w:cs="仿宋"/>
                <w:color w:val="auto"/>
                <w:sz w:val="28"/>
                <w:szCs w:val="28"/>
                <w:highlight w:val="none"/>
                <w:lang w:val="zh-CN"/>
              </w:rPr>
              <w:t>每包确定一个成交供应商，成交结果在相关媒介发布，公告期限为1个工作日。</w:t>
            </w:r>
          </w:p>
          <w:p w14:paraId="5E2DD55C">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否，推荐的成交候选供应商个数：</w:t>
            </w:r>
            <w:r>
              <w:rPr>
                <w:rFonts w:hint="eastAsia" w:ascii="仿宋" w:hAnsi="仿宋" w:eastAsia="仿宋" w:cs="仿宋"/>
                <w:color w:val="auto"/>
                <w:sz w:val="28"/>
                <w:szCs w:val="28"/>
                <w:highlight w:val="none"/>
                <w:u w:val="single"/>
              </w:rPr>
              <w:t xml:space="preserve"> 3 </w:t>
            </w:r>
          </w:p>
        </w:tc>
      </w:tr>
      <w:tr w14:paraId="1541BB1D">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64CDC70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lang w:val="zh-CN"/>
              </w:rPr>
              <w:t>其他需补充的内容</w:t>
            </w:r>
          </w:p>
        </w:tc>
      </w:tr>
      <w:tr w14:paraId="4EC2F003">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vAlign w:val="center"/>
          </w:tcPr>
          <w:p w14:paraId="58C3A01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p>
        </w:tc>
        <w:tc>
          <w:tcPr>
            <w:tcW w:w="2311" w:type="dxa"/>
            <w:vMerge w:val="restart"/>
            <w:tcBorders>
              <w:top w:val="single" w:color="auto" w:sz="4" w:space="0"/>
              <w:left w:val="single" w:color="auto" w:sz="4" w:space="0"/>
              <w:bottom w:val="single" w:color="auto" w:sz="4" w:space="0"/>
              <w:right w:val="single" w:color="auto" w:sz="4" w:space="0"/>
            </w:tcBorders>
            <w:vAlign w:val="center"/>
          </w:tcPr>
          <w:p w14:paraId="2497698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定义</w:t>
            </w:r>
          </w:p>
        </w:tc>
        <w:tc>
          <w:tcPr>
            <w:tcW w:w="6461" w:type="dxa"/>
            <w:tcBorders>
              <w:top w:val="single" w:color="auto" w:sz="4" w:space="0"/>
              <w:left w:val="single" w:color="auto" w:sz="4" w:space="0"/>
              <w:bottom w:val="single" w:color="auto" w:sz="4" w:space="0"/>
              <w:right w:val="single" w:color="auto" w:sz="4" w:space="0"/>
            </w:tcBorders>
            <w:vAlign w:val="center"/>
          </w:tcPr>
          <w:p w14:paraId="75D2550D">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原件：</w:t>
            </w:r>
            <w:r>
              <w:rPr>
                <w:rFonts w:hint="eastAsia" w:ascii="仿宋" w:hAnsi="仿宋" w:eastAsia="仿宋" w:cs="仿宋"/>
                <w:color w:val="auto"/>
                <w:sz w:val="28"/>
                <w:szCs w:val="28"/>
                <w:highlight w:val="none"/>
              </w:rPr>
              <w:t>最初产生的区别于复制件的原始文件或文件的原本或公证处出具的文件复制件公证书。</w:t>
            </w:r>
          </w:p>
        </w:tc>
      </w:tr>
      <w:tr w14:paraId="79CACDC2">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vAlign w:val="center"/>
          </w:tcPr>
          <w:p w14:paraId="0029CD2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p>
        </w:tc>
        <w:tc>
          <w:tcPr>
            <w:tcW w:w="2311" w:type="dxa"/>
            <w:vMerge w:val="continue"/>
            <w:tcBorders>
              <w:top w:val="single" w:color="auto" w:sz="4" w:space="0"/>
              <w:left w:val="single" w:color="auto" w:sz="4" w:space="0"/>
              <w:bottom w:val="single" w:color="auto" w:sz="4" w:space="0"/>
              <w:right w:val="single" w:color="auto" w:sz="4" w:space="0"/>
            </w:tcBorders>
            <w:vAlign w:val="center"/>
          </w:tcPr>
          <w:p w14:paraId="73069E2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p>
        </w:tc>
        <w:tc>
          <w:tcPr>
            <w:tcW w:w="6461" w:type="dxa"/>
            <w:tcBorders>
              <w:top w:val="single" w:color="auto" w:sz="4" w:space="0"/>
              <w:left w:val="single" w:color="auto" w:sz="4" w:space="0"/>
              <w:bottom w:val="single" w:color="auto" w:sz="4" w:space="0"/>
              <w:right w:val="single" w:color="auto" w:sz="4" w:space="0"/>
            </w:tcBorders>
            <w:vAlign w:val="center"/>
          </w:tcPr>
          <w:p w14:paraId="5E27166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书面形式：包括文字的打印或复印件、传真、信函、电传、电报、</w:t>
            </w:r>
            <w:r>
              <w:rPr>
                <w:rFonts w:hint="eastAsia" w:ascii="仿宋" w:hAnsi="仿宋" w:eastAsia="仿宋" w:cs="仿宋"/>
                <w:color w:val="auto"/>
                <w:sz w:val="28"/>
                <w:szCs w:val="28"/>
                <w:highlight w:val="none"/>
                <w:shd w:val="clear" w:color="auto" w:fill="FFFFFF"/>
              </w:rPr>
              <w:t>电子邮件、相关网站</w:t>
            </w:r>
            <w:r>
              <w:rPr>
                <w:rFonts w:hint="eastAsia" w:ascii="仿宋" w:hAnsi="仿宋" w:eastAsia="仿宋" w:cs="仿宋"/>
                <w:color w:val="auto"/>
                <w:sz w:val="28"/>
                <w:szCs w:val="28"/>
                <w:highlight w:val="none"/>
              </w:rPr>
              <w:t>发布的公告</w:t>
            </w:r>
            <w:r>
              <w:rPr>
                <w:rFonts w:hint="eastAsia" w:ascii="仿宋" w:hAnsi="仿宋" w:eastAsia="仿宋" w:cs="仿宋"/>
                <w:color w:val="auto"/>
                <w:sz w:val="28"/>
                <w:szCs w:val="28"/>
                <w:highlight w:val="none"/>
                <w:shd w:val="clear" w:color="auto" w:fill="FFFFFF"/>
              </w:rPr>
              <w:t>等可以有形地表现所载内容的形式。</w:t>
            </w:r>
          </w:p>
        </w:tc>
      </w:tr>
      <w:tr w14:paraId="2F62CE5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B49472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311" w:type="dxa"/>
            <w:tcBorders>
              <w:top w:val="single" w:color="auto" w:sz="4" w:space="0"/>
              <w:left w:val="single" w:color="auto" w:sz="4" w:space="0"/>
              <w:bottom w:val="single" w:color="auto" w:sz="4" w:space="0"/>
              <w:right w:val="single" w:color="auto" w:sz="4" w:space="0"/>
            </w:tcBorders>
            <w:vAlign w:val="center"/>
          </w:tcPr>
          <w:p w14:paraId="5BE358C9">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分包和非主体、非关键性工作</w:t>
            </w:r>
          </w:p>
        </w:tc>
        <w:tc>
          <w:tcPr>
            <w:tcW w:w="6461" w:type="dxa"/>
            <w:tcBorders>
              <w:top w:val="single" w:color="auto" w:sz="4" w:space="0"/>
              <w:left w:val="single" w:color="auto" w:sz="4" w:space="0"/>
              <w:bottom w:val="single" w:color="auto" w:sz="4" w:space="0"/>
              <w:right w:val="single" w:color="auto" w:sz="4" w:space="0"/>
            </w:tcBorders>
            <w:vAlign w:val="center"/>
          </w:tcPr>
          <w:p w14:paraId="730DEF51">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不允许</w:t>
            </w:r>
          </w:p>
          <w:p w14:paraId="6166817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允许，供应商根据采购文件载明的标的采购项目实际情况，拟在成交后将成交项目的非主体、非关键性工作交由他人完成的，应当在响应文件中载明。</w:t>
            </w:r>
          </w:p>
        </w:tc>
      </w:tr>
      <w:tr w14:paraId="1529DBF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8A5B23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311" w:type="dxa"/>
            <w:tcBorders>
              <w:top w:val="single" w:color="auto" w:sz="4" w:space="0"/>
              <w:left w:val="single" w:color="auto" w:sz="4" w:space="0"/>
              <w:bottom w:val="single" w:color="auto" w:sz="4" w:space="0"/>
              <w:right w:val="single" w:color="auto" w:sz="4" w:space="0"/>
            </w:tcBorders>
            <w:vAlign w:val="center"/>
          </w:tcPr>
          <w:p w14:paraId="65EA01A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多包成交规则</w:t>
            </w:r>
          </w:p>
        </w:tc>
        <w:tc>
          <w:tcPr>
            <w:tcW w:w="6461" w:type="dxa"/>
            <w:tcBorders>
              <w:top w:val="single" w:color="auto" w:sz="4" w:space="0"/>
              <w:left w:val="single" w:color="auto" w:sz="4" w:space="0"/>
              <w:bottom w:val="single" w:color="auto" w:sz="4" w:space="0"/>
              <w:right w:val="single" w:color="auto" w:sz="4" w:space="0"/>
            </w:tcBorders>
            <w:vAlign w:val="center"/>
          </w:tcPr>
          <w:p w14:paraId="382607D7">
            <w:pPr>
              <w:keepNext w:val="0"/>
              <w:keepLines w:val="0"/>
              <w:suppressLineNumbers w:val="0"/>
              <w:spacing w:before="62" w:beforeLines="20" w:beforeAutospacing="0" w:after="0" w:afterAutospacing="0" w:line="360" w:lineRule="auto"/>
              <w:ind w:left="1"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分包采购的项目，供应商可以选择</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个包报价，但只能成交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个包。</w:t>
            </w:r>
          </w:p>
          <w:p w14:paraId="02403DF3">
            <w:pPr>
              <w:keepNext w:val="0"/>
              <w:keepLines w:val="0"/>
              <w:suppressLineNumbers w:val="0"/>
              <w:spacing w:before="62" w:beforeLines="20" w:beforeAutospacing="0" w:after="0" w:afterAutospacing="0" w:line="360" w:lineRule="auto"/>
              <w:ind w:left="1"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供应商可依照采购文件要求进行多个包报价。若所投多个包的报价排位均第一，由供应商自行选择其中</w:t>
            </w:r>
            <w:r>
              <w:rPr>
                <w:rFonts w:hint="eastAsia" w:ascii="仿宋" w:hAnsi="仿宋" w:eastAsia="仿宋" w:cs="仿宋"/>
                <w:color w:val="auto"/>
                <w:sz w:val="28"/>
                <w:szCs w:val="28"/>
                <w:highlight w:val="none"/>
              </w:rPr>
              <w:t>多</w:t>
            </w:r>
            <w:r>
              <w:rPr>
                <w:rFonts w:hint="eastAsia" w:ascii="仿宋" w:hAnsi="仿宋" w:eastAsia="仿宋" w:cs="仿宋"/>
                <w:color w:val="auto"/>
                <w:sz w:val="28"/>
                <w:szCs w:val="28"/>
                <w:highlight w:val="none"/>
                <w:lang w:val="zh-CN"/>
              </w:rPr>
              <w:t>个包成交。</w:t>
            </w:r>
          </w:p>
        </w:tc>
      </w:tr>
      <w:tr w14:paraId="70784B8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564057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311" w:type="dxa"/>
            <w:tcBorders>
              <w:top w:val="single" w:color="auto" w:sz="4" w:space="0"/>
              <w:left w:val="single" w:color="auto" w:sz="4" w:space="0"/>
              <w:bottom w:val="single" w:color="auto" w:sz="4" w:space="0"/>
              <w:right w:val="single" w:color="auto" w:sz="4" w:space="0"/>
            </w:tcBorders>
            <w:vAlign w:val="center"/>
          </w:tcPr>
          <w:p w14:paraId="7E252EC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监督</w:t>
            </w:r>
          </w:p>
        </w:tc>
        <w:tc>
          <w:tcPr>
            <w:tcW w:w="6461" w:type="dxa"/>
            <w:tcBorders>
              <w:top w:val="single" w:color="auto" w:sz="4" w:space="0"/>
              <w:left w:val="single" w:color="auto" w:sz="4" w:space="0"/>
              <w:bottom w:val="single" w:color="auto" w:sz="4" w:space="0"/>
              <w:right w:val="single" w:color="auto" w:sz="4" w:space="0"/>
            </w:tcBorders>
            <w:vAlign w:val="center"/>
          </w:tcPr>
          <w:p w14:paraId="15733FEC">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本次采购活动及相关当事人应当接受</w:t>
            </w:r>
            <w:r>
              <w:rPr>
                <w:rFonts w:hint="eastAsia" w:ascii="仿宋" w:hAnsi="仿宋" w:eastAsia="仿宋" w:cs="仿宋"/>
                <w:color w:val="auto"/>
                <w:sz w:val="28"/>
                <w:szCs w:val="28"/>
                <w:highlight w:val="none"/>
              </w:rPr>
              <w:t>当地</w:t>
            </w:r>
            <w:r>
              <w:rPr>
                <w:rFonts w:hint="eastAsia" w:ascii="仿宋" w:hAnsi="仿宋" w:eastAsia="仿宋" w:cs="仿宋"/>
                <w:bCs/>
                <w:color w:val="auto"/>
                <w:sz w:val="28"/>
                <w:szCs w:val="28"/>
                <w:highlight w:val="none"/>
                <w:lang w:val="zh-CN"/>
              </w:rPr>
              <w:t>监督管理部门</w:t>
            </w:r>
            <w:r>
              <w:rPr>
                <w:rFonts w:hint="eastAsia" w:ascii="仿宋" w:hAnsi="仿宋" w:eastAsia="仿宋" w:cs="仿宋"/>
                <w:color w:val="auto"/>
                <w:sz w:val="28"/>
                <w:szCs w:val="28"/>
                <w:highlight w:val="none"/>
                <w:lang w:val="zh-CN"/>
              </w:rPr>
              <w:t>依法实施的监督。</w:t>
            </w:r>
          </w:p>
        </w:tc>
      </w:tr>
      <w:tr w14:paraId="640E5BB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DF6DDC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311" w:type="dxa"/>
            <w:tcBorders>
              <w:top w:val="single" w:color="auto" w:sz="4" w:space="0"/>
              <w:left w:val="single" w:color="auto" w:sz="4" w:space="0"/>
              <w:bottom w:val="single" w:color="auto" w:sz="4" w:space="0"/>
              <w:right w:val="single" w:color="auto" w:sz="4" w:space="0"/>
            </w:tcBorders>
            <w:vAlign w:val="center"/>
          </w:tcPr>
          <w:p w14:paraId="2FFF48A4">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标前准备</w:t>
            </w:r>
          </w:p>
        </w:tc>
        <w:tc>
          <w:tcPr>
            <w:tcW w:w="6461" w:type="dxa"/>
            <w:tcBorders>
              <w:top w:val="single" w:color="auto" w:sz="4" w:space="0"/>
              <w:left w:val="single" w:color="auto" w:sz="4" w:space="0"/>
              <w:bottom w:val="single" w:color="auto" w:sz="4" w:space="0"/>
              <w:right w:val="single" w:color="auto" w:sz="4" w:space="0"/>
            </w:tcBorders>
            <w:vAlign w:val="center"/>
          </w:tcPr>
          <w:p w14:paraId="343F5C0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1、本项目实行网上投标，采用电子投标文件。若供应商参与投标，自行承担投标一切费用。</w:t>
            </w:r>
          </w:p>
          <w:p w14:paraId="4F585D60">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F8B072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3、供应商将政采云电子交易客户端下载、安装完成后，可通过账号密码或CA登录客户端进行投标文件制作。在使用政采云投标客户端时，建议使用WIN7及以上操作系统。客户端请至新疆政府采购网上（</w:t>
            </w:r>
            <w:r>
              <w:rPr>
                <w:rFonts w:hint="default"/>
                <w:color w:val="auto"/>
                <w:highlight w:val="none"/>
              </w:rPr>
              <w:fldChar w:fldCharType="begin"/>
            </w:r>
            <w:r>
              <w:rPr>
                <w:rFonts w:hint="default"/>
                <w:color w:val="auto"/>
                <w:highlight w:val="none"/>
              </w:rPr>
              <w:instrText xml:space="preserve"> HYPERLINK "http://www.ccgp-xinjiang.gov.cn/" </w:instrText>
            </w:r>
            <w:r>
              <w:rPr>
                <w:rFonts w:hint="default"/>
                <w:color w:val="auto"/>
                <w:highlight w:val="none"/>
              </w:rPr>
              <w:fldChar w:fldCharType="separate"/>
            </w:r>
            <w:r>
              <w:rPr>
                <w:rFonts w:hint="eastAsia" w:ascii="仿宋" w:hAnsi="仿宋" w:eastAsia="仿宋" w:cs="仿宋"/>
                <w:color w:val="auto"/>
                <w:sz w:val="28"/>
                <w:szCs w:val="28"/>
                <w:highlight w:val="none"/>
              </w:rPr>
              <w:t>http://www.ccgp-xinjiang.gov.cn/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）下载专区查看，如有问题可拨打政采云客户服务热线95763进行咨询。</w:t>
            </w:r>
          </w:p>
        </w:tc>
      </w:tr>
      <w:tr w14:paraId="1C50A055">
        <w:tblPrEx>
          <w:tblCellMar>
            <w:top w:w="0" w:type="dxa"/>
            <w:left w:w="108" w:type="dxa"/>
            <w:bottom w:w="0" w:type="dxa"/>
            <w:right w:w="108" w:type="dxa"/>
          </w:tblCellMar>
        </w:tblPrEx>
        <w:trPr>
          <w:trHeight w:val="295" w:hRule="atLeast"/>
        </w:trPr>
        <w:tc>
          <w:tcPr>
            <w:tcW w:w="764" w:type="dxa"/>
            <w:tcBorders>
              <w:top w:val="single" w:color="auto" w:sz="4" w:space="0"/>
              <w:left w:val="single" w:color="auto" w:sz="4" w:space="0"/>
              <w:bottom w:val="single" w:color="auto" w:sz="4" w:space="0"/>
              <w:right w:val="single" w:color="auto" w:sz="4" w:space="0"/>
            </w:tcBorders>
            <w:vAlign w:val="center"/>
          </w:tcPr>
          <w:p w14:paraId="3605643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311" w:type="dxa"/>
            <w:tcBorders>
              <w:top w:val="single" w:color="auto" w:sz="4" w:space="0"/>
              <w:left w:val="single" w:color="auto" w:sz="4" w:space="0"/>
              <w:bottom w:val="single" w:color="auto" w:sz="4" w:space="0"/>
              <w:right w:val="single" w:color="auto" w:sz="4" w:space="0"/>
            </w:tcBorders>
            <w:vAlign w:val="center"/>
          </w:tcPr>
          <w:p w14:paraId="1B36BD28">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投</w:t>
            </w:r>
            <w:r>
              <w:rPr>
                <w:rFonts w:hint="eastAsia" w:ascii="仿宋" w:hAnsi="仿宋" w:eastAsia="仿宋" w:cs="仿宋"/>
                <w:color w:val="auto"/>
                <w:sz w:val="28"/>
                <w:szCs w:val="28"/>
                <w:highlight w:val="none"/>
                <w:lang w:val="zh-CN"/>
              </w:rPr>
              <w:t>标文件解密时间</w:t>
            </w:r>
          </w:p>
        </w:tc>
        <w:tc>
          <w:tcPr>
            <w:tcW w:w="6461" w:type="dxa"/>
            <w:tcBorders>
              <w:top w:val="single" w:color="auto" w:sz="4" w:space="0"/>
              <w:left w:val="single" w:color="auto" w:sz="4" w:space="0"/>
              <w:bottom w:val="single" w:color="auto" w:sz="4" w:space="0"/>
              <w:right w:val="single" w:color="auto" w:sz="4" w:space="0"/>
            </w:tcBorders>
            <w:vAlign w:val="center"/>
          </w:tcPr>
          <w:p w14:paraId="7858895D">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供应商应当在响应文件提交截止时间前，将生成的“电子加密响应文件”上传递交至“政府采购云平台”。响应文件提交截止时间以后上传提交的响应文件将被“政府采购云平台”拒收。</w:t>
            </w:r>
          </w:p>
          <w:p w14:paraId="76DD5376">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响应文件开启时间后30分钟内供应商可以登录“政采云”平台，用“项目采购-开标评标”功能进行解密响应文件。若供应商在规定时间内未按时解密的，视为响应文件撤回。</w:t>
            </w:r>
          </w:p>
        </w:tc>
      </w:tr>
      <w:tr w14:paraId="281AB44B">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B475AE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311" w:type="dxa"/>
            <w:tcBorders>
              <w:top w:val="single" w:color="auto" w:sz="4" w:space="0"/>
              <w:left w:val="single" w:color="auto" w:sz="4" w:space="0"/>
              <w:bottom w:val="single" w:color="auto" w:sz="4" w:space="0"/>
              <w:right w:val="single" w:color="auto" w:sz="4" w:space="0"/>
            </w:tcBorders>
            <w:vAlign w:val="center"/>
          </w:tcPr>
          <w:p w14:paraId="7FE22D93">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中标成交结果公告</w:t>
            </w:r>
          </w:p>
        </w:tc>
        <w:tc>
          <w:tcPr>
            <w:tcW w:w="6461" w:type="dxa"/>
            <w:tcBorders>
              <w:top w:val="single" w:color="auto" w:sz="4" w:space="0"/>
              <w:left w:val="single" w:color="auto" w:sz="4" w:space="0"/>
              <w:bottom w:val="single" w:color="auto" w:sz="4" w:space="0"/>
              <w:right w:val="single" w:color="auto" w:sz="4" w:space="0"/>
            </w:tcBorders>
            <w:vAlign w:val="center"/>
          </w:tcPr>
          <w:p w14:paraId="73B38C38">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成交结果公告在新疆政府采购网上予以公示，公示期不少于1个工作日。</w:t>
            </w:r>
          </w:p>
        </w:tc>
      </w:tr>
      <w:tr w14:paraId="43C716F4">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29175AE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2311" w:type="dxa"/>
            <w:tcBorders>
              <w:top w:val="single" w:color="auto" w:sz="4" w:space="0"/>
              <w:left w:val="single" w:color="auto" w:sz="4" w:space="0"/>
              <w:bottom w:val="single" w:color="auto" w:sz="4" w:space="0"/>
              <w:right w:val="single" w:color="auto" w:sz="4" w:space="0"/>
            </w:tcBorders>
            <w:vAlign w:val="center"/>
          </w:tcPr>
          <w:p w14:paraId="7C419269">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合同备案</w:t>
            </w:r>
          </w:p>
        </w:tc>
        <w:tc>
          <w:tcPr>
            <w:tcW w:w="6461" w:type="dxa"/>
            <w:tcBorders>
              <w:top w:val="single" w:color="auto" w:sz="4" w:space="0"/>
              <w:left w:val="single" w:color="auto" w:sz="4" w:space="0"/>
              <w:bottom w:val="single" w:color="auto" w:sz="4" w:space="0"/>
              <w:right w:val="single" w:color="auto" w:sz="4" w:space="0"/>
            </w:tcBorders>
            <w:vAlign w:val="center"/>
          </w:tcPr>
          <w:p w14:paraId="39E83F94">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中标成交供应商在公示期满30日内与采购人签订合同，合同签订后3日内，须向我公司提供一份合同扫描件(PDF格式),备注项目名称及编号，发送至邮箱295876479@qq.com。用于合同备案，逾期未提供，后果自负。</w:t>
            </w:r>
          </w:p>
        </w:tc>
      </w:tr>
      <w:tr w14:paraId="57991BE6">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910761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2311" w:type="dxa"/>
            <w:tcBorders>
              <w:top w:val="single" w:color="auto" w:sz="4" w:space="0"/>
              <w:left w:val="single" w:color="auto" w:sz="4" w:space="0"/>
              <w:bottom w:val="single" w:color="auto" w:sz="4" w:space="0"/>
              <w:right w:val="single" w:color="auto" w:sz="4" w:space="0"/>
            </w:tcBorders>
            <w:vAlign w:val="center"/>
          </w:tcPr>
          <w:p w14:paraId="4A9A9413">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所属行业</w:t>
            </w:r>
          </w:p>
        </w:tc>
        <w:tc>
          <w:tcPr>
            <w:tcW w:w="6461" w:type="dxa"/>
            <w:tcBorders>
              <w:top w:val="single" w:color="auto" w:sz="4" w:space="0"/>
              <w:left w:val="single" w:color="auto" w:sz="4" w:space="0"/>
              <w:bottom w:val="single" w:color="auto" w:sz="4" w:space="0"/>
              <w:right w:val="single" w:color="auto" w:sz="4" w:space="0"/>
            </w:tcBorders>
            <w:vAlign w:val="center"/>
          </w:tcPr>
          <w:p w14:paraId="1A67DEEA">
            <w:pPr>
              <w:keepNext w:val="0"/>
              <w:keepLines w:val="0"/>
              <w:suppressLineNumbers w:val="0"/>
              <w:spacing w:before="31" w:beforeLines="1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lang w:val="en-US" w:eastAsia="zh-CN"/>
              </w:rPr>
              <w:t>其他未列明行业</w:t>
            </w:r>
            <w:r>
              <w:rPr>
                <w:rFonts w:hint="eastAsia" w:ascii="仿宋" w:hAnsi="仿宋" w:eastAsia="仿宋" w:cs="仿宋"/>
                <w:b/>
                <w:bCs/>
                <w:color w:val="auto"/>
                <w:sz w:val="28"/>
                <w:szCs w:val="28"/>
                <w:highlight w:val="none"/>
              </w:rPr>
              <w:t>。</w:t>
            </w:r>
          </w:p>
        </w:tc>
      </w:tr>
      <w:tr w14:paraId="3A230A42">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5BD9A134">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311" w:type="dxa"/>
            <w:tcBorders>
              <w:top w:val="single" w:color="auto" w:sz="4" w:space="0"/>
              <w:left w:val="single" w:color="auto" w:sz="4" w:space="0"/>
              <w:bottom w:val="single" w:color="auto" w:sz="4" w:space="0"/>
              <w:right w:val="single" w:color="auto" w:sz="4" w:space="0"/>
            </w:tcBorders>
            <w:vAlign w:val="center"/>
          </w:tcPr>
          <w:p w14:paraId="2295DEF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低价不正当竞争预防措施</w:t>
            </w:r>
          </w:p>
        </w:tc>
        <w:tc>
          <w:tcPr>
            <w:tcW w:w="6461" w:type="dxa"/>
            <w:tcBorders>
              <w:top w:val="single" w:color="auto" w:sz="4" w:space="0"/>
              <w:left w:val="single" w:color="auto" w:sz="4" w:space="0"/>
              <w:bottom w:val="single" w:color="auto" w:sz="4" w:space="0"/>
              <w:right w:val="single" w:color="auto" w:sz="4" w:space="0"/>
            </w:tcBorders>
            <w:vAlign w:val="center"/>
          </w:tcPr>
          <w:p w14:paraId="5D9404A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低价不正当竞争预防措施(实质性要求):</w:t>
            </w:r>
          </w:p>
          <w:p w14:paraId="37AA7BE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5FE2444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2.政府采购异常低价审查：根据《关于推动解决政府采购异常低价问题的通知》（财库〔2026〕2号）的规定：</w:t>
            </w:r>
          </w:p>
          <w:p w14:paraId="4DBAD361">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（一）采购评审中出现下列情形之一的，评审委员会应当启动异常低价投标（响应）审查程序：</w:t>
            </w:r>
          </w:p>
          <w:p w14:paraId="7282AE3E">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024672E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29EA1539">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3.投标（响应）报价低于采购项目最高限价45%的，即投标（响应）报价&lt;采购项目最高限价×45%；</w:t>
            </w:r>
          </w:p>
          <w:p w14:paraId="3784D3B0">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4.评审委员会基于专业判断，认为供应商报价过低，有可能影响产品质量或者不能诚信履约的其他情形。</w:t>
            </w:r>
          </w:p>
          <w:p w14:paraId="576532C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采购人可以结合具体项目实际情况，提高上述第1项至第3项中启动异常低价投标（响应）审查的数值标准，但是最高不得超过65%。</w:t>
            </w:r>
          </w:p>
          <w:p w14:paraId="27774E06">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相关法律法规对供应商报价有规定的，从其规定。</w:t>
            </w:r>
          </w:p>
          <w:p w14:paraId="54E1375F">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DA172D">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639B420">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606A8F5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磋商响应文件份数：</w:t>
            </w:r>
          </w:p>
          <w:p w14:paraId="2B1850CB">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（1）“电子加密磋商响应文件”：在线上传递交，一份。</w:t>
            </w:r>
          </w:p>
        </w:tc>
      </w:tr>
      <w:tr w14:paraId="6E1A8568">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10E9A9AA">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注意事项：</w:t>
            </w:r>
          </w:p>
          <w:p w14:paraId="1BDA0A6C">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1、请务必确保投标文件制作客户端为最新版本，旧版本可能导致投标文件解密失败。</w:t>
            </w:r>
          </w:p>
          <w:p w14:paraId="79E757B0">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2、请务必确保投标文件制作时所用的CA锁与投标文件解密时的CA锁为同一把，否则可能导致投标文件解密失败。</w:t>
            </w:r>
          </w:p>
          <w:p w14:paraId="025529BD">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3、本表内容与磋商文件其它内容不一致的，应当以本表内容为准。</w:t>
            </w:r>
          </w:p>
          <w:p w14:paraId="005052C3">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4、本表中“”标示选择使用该项。</w:t>
            </w:r>
          </w:p>
        </w:tc>
      </w:tr>
    </w:tbl>
    <w:p w14:paraId="0D444E94">
      <w:pPr>
        <w:spacing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22"/>
          <w:szCs w:val="24"/>
          <w:highlight w:val="none"/>
        </w:rPr>
        <w:br w:type="page"/>
      </w:r>
      <w:bookmarkStart w:id="9" w:name="_Toc7285"/>
      <w:r>
        <w:rPr>
          <w:rFonts w:hint="eastAsia" w:ascii="仿宋" w:hAnsi="仿宋" w:eastAsia="仿宋" w:cs="仿宋"/>
          <w:color w:val="auto"/>
          <w:sz w:val="32"/>
          <w:szCs w:val="32"/>
          <w:highlight w:val="none"/>
        </w:rPr>
        <w:t>供应商须知</w:t>
      </w:r>
      <w:bookmarkEnd w:id="9"/>
      <w:r>
        <w:rPr>
          <w:rFonts w:hint="eastAsia" w:ascii="仿宋" w:hAnsi="仿宋" w:eastAsia="仿宋" w:cs="仿宋"/>
          <w:color w:val="auto"/>
          <w:sz w:val="32"/>
          <w:szCs w:val="32"/>
          <w:highlight w:val="none"/>
        </w:rPr>
        <w:t>正文</w:t>
      </w:r>
    </w:p>
    <w:p w14:paraId="4D05D3AC">
      <w:pPr>
        <w:spacing w:line="360" w:lineRule="auto"/>
        <w:ind w:firstLine="640" w:firstLineChars="200"/>
        <w:rPr>
          <w:rFonts w:hint="eastAsia" w:ascii="仿宋" w:hAnsi="仿宋" w:eastAsia="仿宋" w:cs="仿宋"/>
          <w:color w:val="auto"/>
          <w:sz w:val="32"/>
          <w:szCs w:val="32"/>
          <w:highlight w:val="none"/>
        </w:rPr>
      </w:pPr>
      <w:bookmarkStart w:id="10" w:name="_Toc30060"/>
      <w:r>
        <w:rPr>
          <w:rFonts w:hint="eastAsia" w:ascii="仿宋" w:hAnsi="仿宋" w:eastAsia="仿宋" w:cs="仿宋"/>
          <w:color w:val="auto"/>
          <w:sz w:val="32"/>
          <w:szCs w:val="32"/>
          <w:highlight w:val="none"/>
        </w:rPr>
        <w:t>1.采购依据以及原则</w:t>
      </w:r>
      <w:bookmarkEnd w:id="10"/>
    </w:p>
    <w:p w14:paraId="4291AF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1.1《中华人民共和国政府采购法》；</w:t>
      </w:r>
    </w:p>
    <w:p w14:paraId="0D2DA4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中华人民共和国民法</w:t>
      </w:r>
      <w:r>
        <w:rPr>
          <w:rFonts w:hint="eastAsia" w:ascii="仿宋" w:hAnsi="仿宋" w:eastAsia="仿宋" w:cs="仿宋"/>
          <w:color w:val="auto"/>
          <w:sz w:val="28"/>
          <w:szCs w:val="28"/>
          <w:highlight w:val="none"/>
          <w:lang w:eastAsia="zh-CN"/>
        </w:rPr>
        <w:t>典</w:t>
      </w:r>
      <w:r>
        <w:rPr>
          <w:rFonts w:hint="eastAsia" w:ascii="仿宋" w:hAnsi="仿宋" w:eastAsia="仿宋" w:cs="仿宋"/>
          <w:color w:val="auto"/>
          <w:sz w:val="28"/>
          <w:szCs w:val="28"/>
          <w:highlight w:val="none"/>
        </w:rPr>
        <w:t>》；</w:t>
      </w:r>
    </w:p>
    <w:p w14:paraId="448BF77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1.3《中华人民共和国政府采购法实施条例》；</w:t>
      </w:r>
    </w:p>
    <w:p w14:paraId="3948A0F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1.4《政府采购非招标采购方式管理办法》；</w:t>
      </w:r>
    </w:p>
    <w:p w14:paraId="5FBDF71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1.5《政府采购质疑和投诉办法》；</w:t>
      </w:r>
    </w:p>
    <w:p w14:paraId="351CA2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1.6其他有关法律、行政法规以及省市规范性文件规定。</w:t>
      </w:r>
    </w:p>
    <w:p w14:paraId="10DD60E1">
      <w:pPr>
        <w:spacing w:line="360" w:lineRule="auto"/>
        <w:ind w:firstLine="640" w:firstLineChars="200"/>
        <w:rPr>
          <w:rFonts w:hint="eastAsia" w:ascii="仿宋" w:hAnsi="仿宋" w:eastAsia="仿宋" w:cs="仿宋"/>
          <w:color w:val="auto"/>
          <w:sz w:val="32"/>
          <w:szCs w:val="32"/>
          <w:highlight w:val="none"/>
        </w:rPr>
      </w:pPr>
      <w:bookmarkStart w:id="11" w:name="_Toc17037"/>
      <w:r>
        <w:rPr>
          <w:rFonts w:hint="eastAsia" w:ascii="仿宋" w:hAnsi="仿宋" w:eastAsia="仿宋" w:cs="仿宋"/>
          <w:color w:val="auto"/>
          <w:sz w:val="32"/>
          <w:szCs w:val="32"/>
          <w:highlight w:val="none"/>
        </w:rPr>
        <w:t>2.合格的供应商</w:t>
      </w:r>
      <w:bookmarkEnd w:id="11"/>
    </w:p>
    <w:p w14:paraId="15A015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2.1符合《中华人民共和国政府采购法》第二十二条第一款规定的条件；</w:t>
      </w:r>
    </w:p>
    <w:p w14:paraId="7E100B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2.2符合本磋商文件规定的资格要求，且按照要求提供相关证明材料；</w:t>
      </w:r>
    </w:p>
    <w:p w14:paraId="4D1C2F3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2.3单位负责人为同一人或者存在直接控股、管理关系的不同供应商，不得参加同一合同项下的政府采购活动。</w:t>
      </w:r>
    </w:p>
    <w:p w14:paraId="0F6E96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2.4供应商须知前附表规定接受联合体报价的，应符合以下规定：</w:t>
      </w:r>
    </w:p>
    <w:p w14:paraId="12F1289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2.4.1联合体各方应按照磋商文件提供的格式签订联合体协议书，明确联合体牵头人和各方权利义务；</w:t>
      </w:r>
    </w:p>
    <w:p w14:paraId="68E411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2.4.2联合体各方均应当符合《政府采购法》第二十二条第一款规定的条件；</w:t>
      </w:r>
    </w:p>
    <w:p w14:paraId="5BD7476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2.4.3联合体中有同类资质的供应商按照联合体分工承担相同工作的，应当按照资质等级较低的供应商确定资质等级。</w:t>
      </w:r>
    </w:p>
    <w:p w14:paraId="161C62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2.4.4以联合体形式参加政府采购活动的，联合体各方不得再单独参加或者与其他供应商另外组成联合体参加同一合同项下的政府采购活动。</w:t>
      </w:r>
    </w:p>
    <w:p w14:paraId="5AE61A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2.4.5联合体各方应当共同与采购人签订采购合同，就合同约定的事项对采购人承担连带责任。</w:t>
      </w:r>
    </w:p>
    <w:p w14:paraId="2470D4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2.5鼓励大中型企业和其他自然人、法人或者其他组织与小型、微型企业组成联合体报价，但联合体各方均应符合上述规定。</w:t>
      </w:r>
    </w:p>
    <w:p w14:paraId="225EED1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2.6为采购项目提供整体设计、规范编制或者项目管理、检测等服务的供应商，不得再参加该采购项目的其他采购活动。</w:t>
      </w:r>
    </w:p>
    <w:p w14:paraId="13C5A4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2.7供应商提供的证明材料内容必须真实可靠。</w:t>
      </w:r>
    </w:p>
    <w:p w14:paraId="4A875E0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符合上述条件的供应商即为合格供应商，具有参与竞争性磋商的资格。</w:t>
      </w:r>
    </w:p>
    <w:p w14:paraId="14A19847">
      <w:pPr>
        <w:spacing w:line="360" w:lineRule="auto"/>
        <w:ind w:firstLine="640" w:firstLineChars="200"/>
        <w:rPr>
          <w:rFonts w:hint="eastAsia" w:ascii="仿宋" w:hAnsi="仿宋" w:eastAsia="仿宋" w:cs="仿宋"/>
          <w:color w:val="auto"/>
          <w:sz w:val="32"/>
          <w:szCs w:val="32"/>
          <w:highlight w:val="none"/>
        </w:rPr>
      </w:pPr>
      <w:bookmarkStart w:id="12" w:name="_Toc23308"/>
      <w:r>
        <w:rPr>
          <w:rFonts w:hint="eastAsia" w:ascii="仿宋" w:hAnsi="仿宋" w:eastAsia="仿宋" w:cs="仿宋"/>
          <w:color w:val="auto"/>
          <w:sz w:val="32"/>
          <w:szCs w:val="32"/>
          <w:highlight w:val="none"/>
        </w:rPr>
        <w:t>3.保密</w:t>
      </w:r>
      <w:bookmarkEnd w:id="12"/>
    </w:p>
    <w:p w14:paraId="2101D4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参与竞争性磋商活动的当事人应对磋商文件和响应文件中的商业和技术等秘密保密，违者应对由此造成的后果承担法律责任。</w:t>
      </w:r>
    </w:p>
    <w:p w14:paraId="2E98FA5F">
      <w:pPr>
        <w:spacing w:line="360" w:lineRule="auto"/>
        <w:ind w:firstLine="640" w:firstLineChars="200"/>
        <w:rPr>
          <w:rFonts w:hint="eastAsia" w:ascii="仿宋" w:hAnsi="仿宋" w:eastAsia="仿宋" w:cs="仿宋"/>
          <w:color w:val="auto"/>
          <w:sz w:val="32"/>
          <w:szCs w:val="32"/>
          <w:highlight w:val="none"/>
        </w:rPr>
      </w:pPr>
      <w:bookmarkStart w:id="13" w:name="_Toc19352"/>
      <w:r>
        <w:rPr>
          <w:rFonts w:hint="eastAsia" w:ascii="仿宋" w:hAnsi="仿宋" w:eastAsia="仿宋" w:cs="仿宋"/>
          <w:color w:val="auto"/>
          <w:sz w:val="32"/>
          <w:szCs w:val="32"/>
          <w:highlight w:val="none"/>
        </w:rPr>
        <w:t>4.语言文字、计量单位、时间单位、报价有效期以及参与采购活动费用</w:t>
      </w:r>
      <w:bookmarkEnd w:id="13"/>
    </w:p>
    <w:p w14:paraId="325987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4.1语言文字</w:t>
      </w:r>
    </w:p>
    <w:p w14:paraId="109A42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395E44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4.2计量单位</w:t>
      </w:r>
    </w:p>
    <w:p w14:paraId="38C8685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除磋商文件另有规定外，计量均应采用中华人民共和国法定计量单位；所有报价一律使用人民币，货币单位为“元”。</w:t>
      </w:r>
    </w:p>
    <w:p w14:paraId="7DF708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4.3时间单位</w:t>
      </w:r>
    </w:p>
    <w:p w14:paraId="2B8C26C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除磋商文件中另有规定外，磋商文件所使用的时间单位“天”、“日”均指日历天，时、分均为北京时间。</w:t>
      </w:r>
    </w:p>
    <w:p w14:paraId="3BAB340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4.4报价有效期</w:t>
      </w:r>
    </w:p>
    <w:p w14:paraId="1F636C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4.4.1在供应商须知前附表规定的报价有效期内，响应文件以及其补充、承诺等部分均保持有效。</w:t>
      </w:r>
    </w:p>
    <w:p w14:paraId="1116BC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6AD2F5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4.5参与采购活动费用</w:t>
      </w:r>
    </w:p>
    <w:p w14:paraId="759FA66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供应商应自行承担其准备和参加采购活动发生的所有费用。</w:t>
      </w:r>
    </w:p>
    <w:p w14:paraId="4998416B">
      <w:pPr>
        <w:spacing w:line="360" w:lineRule="auto"/>
        <w:ind w:firstLine="640" w:firstLineChars="200"/>
        <w:rPr>
          <w:rFonts w:hint="eastAsia" w:ascii="仿宋" w:hAnsi="仿宋" w:eastAsia="仿宋" w:cs="仿宋"/>
          <w:color w:val="auto"/>
          <w:sz w:val="32"/>
          <w:szCs w:val="32"/>
          <w:highlight w:val="none"/>
        </w:rPr>
      </w:pPr>
      <w:bookmarkStart w:id="14" w:name="_Toc24267"/>
      <w:r>
        <w:rPr>
          <w:rFonts w:hint="eastAsia" w:ascii="仿宋" w:hAnsi="仿宋" w:eastAsia="仿宋" w:cs="仿宋"/>
          <w:color w:val="auto"/>
          <w:sz w:val="32"/>
          <w:szCs w:val="32"/>
          <w:highlight w:val="none"/>
        </w:rPr>
        <w:t>5.踏勘现场</w:t>
      </w:r>
      <w:bookmarkEnd w:id="14"/>
    </w:p>
    <w:p w14:paraId="42CFD0B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5000DA9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5.2采购人向供应商提供的有关现场的资料和数据，是采购人现有的能使供应商利用的资料，采购人对供应商由此而做出的推论、理解和结论不负责任。</w:t>
      </w:r>
    </w:p>
    <w:p w14:paraId="156CEF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23FB5FFB">
      <w:pPr>
        <w:spacing w:line="360" w:lineRule="auto"/>
        <w:ind w:firstLine="640" w:firstLineChars="200"/>
        <w:rPr>
          <w:rFonts w:hint="eastAsia" w:ascii="仿宋" w:hAnsi="仿宋" w:eastAsia="仿宋" w:cs="仿宋"/>
          <w:color w:val="auto"/>
          <w:sz w:val="32"/>
          <w:szCs w:val="32"/>
          <w:highlight w:val="none"/>
        </w:rPr>
      </w:pPr>
      <w:bookmarkStart w:id="15" w:name="_Toc32218"/>
      <w:r>
        <w:rPr>
          <w:rFonts w:hint="eastAsia" w:ascii="仿宋" w:hAnsi="仿宋" w:eastAsia="仿宋" w:cs="仿宋"/>
          <w:color w:val="auto"/>
          <w:sz w:val="32"/>
          <w:szCs w:val="32"/>
          <w:highlight w:val="none"/>
        </w:rPr>
        <w:t>6.询问</w:t>
      </w:r>
      <w:bookmarkEnd w:id="15"/>
    </w:p>
    <w:p w14:paraId="0015BE4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6.1供应商对竞争性磋商活动事项有疑问的，可以向采购代理机构提出询问；采购代理机构应当及时作出答复，但答复的内容不得涉及商业秘密。</w:t>
      </w:r>
    </w:p>
    <w:p w14:paraId="115DD1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6.2询问及答复应当采取书面形式。</w:t>
      </w:r>
    </w:p>
    <w:p w14:paraId="7130FF3C">
      <w:pPr>
        <w:spacing w:line="360" w:lineRule="auto"/>
        <w:ind w:firstLine="640" w:firstLineChars="200"/>
        <w:rPr>
          <w:rFonts w:hint="eastAsia" w:ascii="仿宋" w:hAnsi="仿宋" w:eastAsia="仿宋" w:cs="仿宋"/>
          <w:color w:val="auto"/>
          <w:sz w:val="32"/>
          <w:szCs w:val="32"/>
          <w:highlight w:val="none"/>
        </w:rPr>
      </w:pPr>
      <w:bookmarkStart w:id="16" w:name="_Toc16678"/>
      <w:r>
        <w:rPr>
          <w:rFonts w:hint="eastAsia" w:ascii="仿宋" w:hAnsi="仿宋" w:eastAsia="仿宋" w:cs="仿宋"/>
          <w:color w:val="auto"/>
          <w:sz w:val="32"/>
          <w:szCs w:val="32"/>
          <w:highlight w:val="none"/>
        </w:rPr>
        <w:t>7.偏离</w:t>
      </w:r>
      <w:bookmarkEnd w:id="16"/>
    </w:p>
    <w:p w14:paraId="5C611A2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采购人允许响应文件偏离磋商文件某些非实质性要求的，偏离应当符合磋商文件规定的偏离范围和幅度。</w:t>
      </w:r>
    </w:p>
    <w:p w14:paraId="32680EAC">
      <w:pPr>
        <w:spacing w:line="360" w:lineRule="auto"/>
        <w:ind w:firstLine="640" w:firstLineChars="200"/>
        <w:rPr>
          <w:rFonts w:hint="eastAsia" w:ascii="仿宋" w:hAnsi="仿宋" w:eastAsia="仿宋" w:cs="仿宋"/>
          <w:color w:val="auto"/>
          <w:sz w:val="32"/>
          <w:szCs w:val="32"/>
          <w:highlight w:val="none"/>
        </w:rPr>
      </w:pPr>
      <w:bookmarkStart w:id="17" w:name="_Toc22154"/>
      <w:r>
        <w:rPr>
          <w:rFonts w:hint="eastAsia" w:ascii="仿宋" w:hAnsi="仿宋" w:eastAsia="仿宋" w:cs="仿宋"/>
          <w:color w:val="auto"/>
          <w:sz w:val="32"/>
          <w:szCs w:val="32"/>
          <w:highlight w:val="none"/>
        </w:rPr>
        <w:t>8.履约担保（本项目不作要求）</w:t>
      </w:r>
      <w:bookmarkEnd w:id="17"/>
    </w:p>
    <w:p w14:paraId="76D2FE3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8.1在签订合同前，成交供应商应按照有关规定或者事先经过采购人书面认可的履约担保要求向采购人提交履约担保。除另有规定外，履约担保金额不超过成交合同金额的10%。</w:t>
      </w:r>
    </w:p>
    <w:p w14:paraId="0810D31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8.2成交供应商未按照要求提交履约担保的，视为放弃成交资格，成交供应商应当对采购人造成的损失给予赔偿。</w:t>
      </w:r>
    </w:p>
    <w:p w14:paraId="5008670E">
      <w:pPr>
        <w:spacing w:line="360" w:lineRule="auto"/>
        <w:ind w:firstLine="640" w:firstLineChars="200"/>
        <w:rPr>
          <w:rFonts w:hint="eastAsia" w:ascii="仿宋" w:hAnsi="仿宋" w:eastAsia="仿宋" w:cs="仿宋"/>
          <w:color w:val="auto"/>
          <w:sz w:val="32"/>
          <w:szCs w:val="32"/>
          <w:highlight w:val="none"/>
        </w:rPr>
      </w:pPr>
      <w:bookmarkStart w:id="18" w:name="_Toc30328"/>
      <w:r>
        <w:rPr>
          <w:rFonts w:hint="eastAsia" w:ascii="仿宋" w:hAnsi="仿宋" w:eastAsia="仿宋" w:cs="仿宋"/>
          <w:color w:val="auto"/>
          <w:sz w:val="32"/>
          <w:szCs w:val="32"/>
          <w:highlight w:val="none"/>
        </w:rPr>
        <w:t>9.采购代理服务费</w:t>
      </w:r>
      <w:bookmarkEnd w:id="18"/>
    </w:p>
    <w:p w14:paraId="38E37C7B">
      <w:pPr>
        <w:spacing w:line="360" w:lineRule="auto"/>
        <w:ind w:firstLine="560" w:firstLineChars="200"/>
        <w:rPr>
          <w:rFonts w:hint="eastAsia" w:ascii="仿宋" w:hAnsi="仿宋" w:eastAsia="仿宋" w:cs="仿宋"/>
          <w:color w:val="auto"/>
          <w:sz w:val="28"/>
          <w:szCs w:val="28"/>
          <w:highlight w:val="none"/>
        </w:rPr>
      </w:pPr>
      <w:bookmarkStart w:id="19" w:name="_Toc15501"/>
      <w:r>
        <w:rPr>
          <w:rFonts w:hint="eastAsia" w:ascii="仿宋" w:hAnsi="仿宋" w:eastAsia="仿宋" w:cs="仿宋"/>
          <w:color w:val="auto"/>
          <w:sz w:val="28"/>
          <w:szCs w:val="28"/>
          <w:highlight w:val="none"/>
        </w:rPr>
        <w:t>在领取《成交通知书》时向采购代理机构一次性支付成交服务费。其计算标准和方法：以成交单位的中标金额为基准，参照发改价格〔2011〕534号文计取，由成交单位支付招标代理服务费。</w:t>
      </w:r>
      <w:bookmarkEnd w:id="19"/>
    </w:p>
    <w:p w14:paraId="673ADE7F">
      <w:pPr>
        <w:spacing w:line="360" w:lineRule="auto"/>
        <w:ind w:firstLine="640" w:firstLineChars="200"/>
        <w:rPr>
          <w:rFonts w:hint="eastAsia" w:ascii="仿宋" w:hAnsi="仿宋" w:eastAsia="仿宋" w:cs="仿宋"/>
          <w:color w:val="auto"/>
          <w:sz w:val="32"/>
          <w:szCs w:val="32"/>
          <w:highlight w:val="none"/>
        </w:rPr>
      </w:pPr>
      <w:bookmarkStart w:id="20" w:name="_Toc26152"/>
      <w:r>
        <w:rPr>
          <w:rFonts w:hint="eastAsia" w:ascii="仿宋" w:hAnsi="仿宋" w:eastAsia="仿宋" w:cs="仿宋"/>
          <w:color w:val="auto"/>
          <w:sz w:val="32"/>
          <w:szCs w:val="32"/>
          <w:highlight w:val="none"/>
        </w:rPr>
        <w:t>10.磋商文件</w:t>
      </w:r>
      <w:bookmarkEnd w:id="20"/>
    </w:p>
    <w:p w14:paraId="14A98C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10.1磋商文件的组成</w:t>
      </w:r>
    </w:p>
    <w:p w14:paraId="0C46091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10.1.1磋商文件是用以阐明服务、磋商程序和合同格式的规范性文件。磋商文件主要由以下部分组成：</w:t>
      </w:r>
    </w:p>
    <w:p w14:paraId="7013E98D">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采购公告</w:t>
      </w:r>
    </w:p>
    <w:p w14:paraId="2FDF8961">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供应商须知</w:t>
      </w:r>
    </w:p>
    <w:p w14:paraId="6E419B43">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p w14:paraId="75E7E8F9">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评审办法</w:t>
      </w:r>
    </w:p>
    <w:p w14:paraId="3A617F58">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签订合同、合同主要条款</w:t>
      </w:r>
    </w:p>
    <w:p w14:paraId="37D34770">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响应文件格式</w:t>
      </w:r>
    </w:p>
    <w:p w14:paraId="6D1D5C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10.1.2根据本章第10.2款对磋商文件所作的澄清和修改，构成磋商文件的组成部分。</w:t>
      </w:r>
    </w:p>
    <w:p w14:paraId="7077C9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10.1.3除非有特殊要求，磋商文件不单独提供项目所在地的自然环境、气候条件、公用设施等情况，供应商被视为熟悉上述与履行合同有关的一切情况。</w:t>
      </w:r>
    </w:p>
    <w:p w14:paraId="6C7DD48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10.2磋商文件的澄清和修改</w:t>
      </w:r>
    </w:p>
    <w:p w14:paraId="5E69FE42">
      <w:pPr>
        <w:spacing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磋商文件的澄清和修改及确认，详见供应商须知前附表。</w:t>
      </w:r>
    </w:p>
    <w:p w14:paraId="3D7428F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4"/>
          <w:highlight w:val="none"/>
        </w:rPr>
        <w:t>磋商文件的澄清或者修改在同一内容的表述上不一致时，以最后发出的公告为准。</w:t>
      </w:r>
    </w:p>
    <w:p w14:paraId="205CC3C3">
      <w:pPr>
        <w:spacing w:line="360" w:lineRule="auto"/>
        <w:ind w:firstLine="640" w:firstLineChars="200"/>
        <w:rPr>
          <w:rFonts w:hint="eastAsia" w:ascii="仿宋" w:hAnsi="仿宋" w:eastAsia="仿宋" w:cs="仿宋"/>
          <w:color w:val="auto"/>
          <w:sz w:val="32"/>
          <w:szCs w:val="32"/>
          <w:highlight w:val="none"/>
        </w:rPr>
      </w:pPr>
      <w:bookmarkStart w:id="21" w:name="_Toc28024"/>
      <w:r>
        <w:rPr>
          <w:rFonts w:hint="eastAsia" w:ascii="仿宋" w:hAnsi="仿宋" w:eastAsia="仿宋" w:cs="仿宋"/>
          <w:color w:val="auto"/>
          <w:sz w:val="32"/>
          <w:szCs w:val="32"/>
          <w:highlight w:val="none"/>
        </w:rPr>
        <w:t>11.响应文件的组成</w:t>
      </w:r>
      <w:bookmarkEnd w:id="21"/>
    </w:p>
    <w:p w14:paraId="677E12C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11.1供应商应按照磋商文件的要求以及格式编制响应文件，并保证其真实性、准确性以及完整性，并按照磋商文件要求提交全部资料并做出实质性响应。</w:t>
      </w:r>
    </w:p>
    <w:p w14:paraId="13D31B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11.2响应文件的组成：详见第六章响应文件格式。</w:t>
      </w:r>
    </w:p>
    <w:p w14:paraId="2DACA2C5">
      <w:pPr>
        <w:spacing w:line="360" w:lineRule="auto"/>
        <w:ind w:firstLine="640" w:firstLineChars="200"/>
        <w:rPr>
          <w:rFonts w:hint="eastAsia" w:ascii="仿宋" w:hAnsi="仿宋" w:eastAsia="仿宋" w:cs="仿宋"/>
          <w:color w:val="auto"/>
          <w:sz w:val="32"/>
          <w:szCs w:val="32"/>
          <w:highlight w:val="none"/>
        </w:rPr>
      </w:pPr>
      <w:bookmarkStart w:id="22" w:name="_Toc9236"/>
      <w:r>
        <w:rPr>
          <w:rFonts w:hint="eastAsia" w:ascii="仿宋" w:hAnsi="仿宋" w:eastAsia="仿宋" w:cs="仿宋"/>
          <w:color w:val="auto"/>
          <w:sz w:val="32"/>
          <w:szCs w:val="32"/>
          <w:highlight w:val="none"/>
        </w:rPr>
        <w:t>12.响应报价</w:t>
      </w:r>
      <w:bookmarkEnd w:id="22"/>
    </w:p>
    <w:p w14:paraId="01400AE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12.1响应报价的范围：见供应商须知前附表。</w:t>
      </w:r>
    </w:p>
    <w:p w14:paraId="5369065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12.2响应报价的次数：见供应商须知前附表。</w:t>
      </w:r>
    </w:p>
    <w:p w14:paraId="4BF53DE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12.3供应商不得以任何方式或者方法提供报价以外的任何附赠条款。</w:t>
      </w:r>
    </w:p>
    <w:p w14:paraId="2393A52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12.4供应商应按照采购文件中要求的内容填写报价，并由法定代表人或者被授权代表签署。</w:t>
      </w:r>
    </w:p>
    <w:p w14:paraId="4EC699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12.5供应商须按照附件格式表中的各单项明细逐项填写，以方便磋商小组对各响应文件进行比较。</w:t>
      </w:r>
    </w:p>
    <w:p w14:paraId="69EF8B4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6DCD97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12.7唱标时，采购代理机构只对按照采购文件要求编制的响应报价进行唱标。</w:t>
      </w:r>
    </w:p>
    <w:p w14:paraId="5AFB5F8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12.8供应商的成交价格在合同执行中是固定不变的，不得以任何理由予以变更，不得出现任何包含价格调整的要求。</w:t>
      </w:r>
    </w:p>
    <w:p w14:paraId="63BE34AA">
      <w:pPr>
        <w:spacing w:line="360" w:lineRule="auto"/>
        <w:ind w:firstLine="640" w:firstLineChars="200"/>
        <w:rPr>
          <w:rFonts w:hint="eastAsia" w:ascii="仿宋" w:hAnsi="仿宋" w:eastAsia="仿宋" w:cs="仿宋"/>
          <w:color w:val="auto"/>
          <w:sz w:val="32"/>
          <w:szCs w:val="32"/>
          <w:highlight w:val="none"/>
        </w:rPr>
      </w:pPr>
      <w:bookmarkStart w:id="23" w:name="_Toc20428"/>
      <w:r>
        <w:rPr>
          <w:rFonts w:hint="eastAsia" w:ascii="仿宋" w:hAnsi="仿宋" w:eastAsia="仿宋" w:cs="仿宋"/>
          <w:color w:val="auto"/>
          <w:sz w:val="32"/>
          <w:szCs w:val="32"/>
          <w:highlight w:val="none"/>
        </w:rPr>
        <w:t>13.响应文件编制要求</w:t>
      </w:r>
      <w:bookmarkEnd w:id="23"/>
    </w:p>
    <w:p w14:paraId="5196E9F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13.1响应文件应按所投包分别进行编制。</w:t>
      </w:r>
    </w:p>
    <w:p w14:paraId="45B39F4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13.2响应文件编制：见供应商须知前附表。</w:t>
      </w:r>
    </w:p>
    <w:p w14:paraId="5A17B4A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13.3响应文件签章：应由法人或法定代理人按规定签署和签名，并加盖单位公章，否则由此造成的无效标由投标人负责。 </w:t>
      </w:r>
    </w:p>
    <w:p w14:paraId="067A408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13.4供应商可对供货现场以及其范围环境进行考察，以获取有关编制响应文件和签署实施合同所需的各项资料，供应商应承担现场考察的费用、责任和风险。</w:t>
      </w:r>
    </w:p>
    <w:p w14:paraId="30F216E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13.5供应商编制响应文件时，应当如实在技术响应表和商务响应表中填写响应情况。       </w:t>
      </w:r>
    </w:p>
    <w:p w14:paraId="21966027">
      <w:pPr>
        <w:spacing w:line="360" w:lineRule="auto"/>
        <w:ind w:firstLine="640" w:firstLineChars="200"/>
        <w:rPr>
          <w:rFonts w:hint="eastAsia" w:ascii="仿宋" w:hAnsi="仿宋" w:eastAsia="仿宋" w:cs="仿宋"/>
          <w:color w:val="auto"/>
          <w:sz w:val="32"/>
          <w:szCs w:val="32"/>
          <w:highlight w:val="none"/>
        </w:rPr>
      </w:pPr>
      <w:bookmarkStart w:id="24" w:name="_Toc32364"/>
      <w:r>
        <w:rPr>
          <w:rFonts w:hint="eastAsia" w:ascii="仿宋" w:hAnsi="仿宋" w:eastAsia="仿宋" w:cs="仿宋"/>
          <w:color w:val="auto"/>
          <w:sz w:val="32"/>
          <w:szCs w:val="32"/>
          <w:highlight w:val="none"/>
        </w:rPr>
        <w:t>14.响应文件的密封和标记</w:t>
      </w:r>
      <w:bookmarkEnd w:id="24"/>
    </w:p>
    <w:p w14:paraId="2C1C257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见供应商须知前附表。</w:t>
      </w:r>
    </w:p>
    <w:p w14:paraId="066F0CE7">
      <w:pPr>
        <w:spacing w:line="360" w:lineRule="auto"/>
        <w:ind w:firstLine="640" w:firstLineChars="200"/>
        <w:rPr>
          <w:rFonts w:hint="eastAsia" w:ascii="仿宋" w:hAnsi="仿宋" w:eastAsia="仿宋" w:cs="仿宋"/>
          <w:color w:val="auto"/>
          <w:sz w:val="32"/>
          <w:szCs w:val="32"/>
          <w:highlight w:val="none"/>
        </w:rPr>
      </w:pPr>
      <w:bookmarkStart w:id="25" w:name="_Toc15333"/>
      <w:r>
        <w:rPr>
          <w:rFonts w:hint="eastAsia" w:ascii="仿宋" w:hAnsi="仿宋" w:eastAsia="仿宋" w:cs="仿宋"/>
          <w:color w:val="auto"/>
          <w:sz w:val="32"/>
          <w:szCs w:val="32"/>
          <w:highlight w:val="none"/>
        </w:rPr>
        <w:t>15.响应文件的递交</w:t>
      </w:r>
      <w:bookmarkEnd w:id="25"/>
    </w:p>
    <w:p w14:paraId="3EEA972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15.1供应商应在报价截止时间前递交响应文件。</w:t>
      </w:r>
    </w:p>
    <w:p w14:paraId="52C393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15.2供应商递交响应文件的时间、地点和要求：见供应商须知前附表。</w:t>
      </w:r>
    </w:p>
    <w:p w14:paraId="456C35F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15.3供应商有下列情况之一，采购人或者采购代理机构应当拒绝接收供应商的响应文件：</w:t>
      </w:r>
    </w:p>
    <w:p w14:paraId="171E167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15.3.1逾期送达的或者未送达指定地点的。</w:t>
      </w:r>
    </w:p>
    <w:p w14:paraId="46AA35D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15.3.2响应文件未按采购文件要求密封的。</w:t>
      </w:r>
    </w:p>
    <w:p w14:paraId="337995C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15.3.3递交响应文件时法定代表人未出示法定代表人身份证明原件和身份证原件的；被授权代表未出示授权委托书原件和身份证原件的。</w:t>
      </w:r>
    </w:p>
    <w:p w14:paraId="07C6E98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15.4除供应商须知前附表另有规定外，不论采购过程和结果如何，供应商的响应文件均不退还。</w:t>
      </w:r>
    </w:p>
    <w:p w14:paraId="011AF753">
      <w:pPr>
        <w:spacing w:line="360" w:lineRule="auto"/>
        <w:ind w:firstLine="640" w:firstLineChars="200"/>
        <w:rPr>
          <w:rFonts w:hint="eastAsia" w:ascii="仿宋" w:hAnsi="仿宋" w:eastAsia="仿宋" w:cs="仿宋"/>
          <w:color w:val="auto"/>
          <w:sz w:val="32"/>
          <w:szCs w:val="32"/>
          <w:highlight w:val="none"/>
        </w:rPr>
      </w:pPr>
      <w:bookmarkStart w:id="26" w:name="_Toc19296"/>
      <w:r>
        <w:rPr>
          <w:rFonts w:hint="eastAsia" w:ascii="仿宋" w:hAnsi="仿宋" w:eastAsia="仿宋" w:cs="仿宋"/>
          <w:color w:val="auto"/>
          <w:sz w:val="32"/>
          <w:szCs w:val="32"/>
          <w:highlight w:val="none"/>
        </w:rPr>
        <w:t>16.响应文件的修改与撤回</w:t>
      </w:r>
      <w:bookmarkEnd w:id="26"/>
    </w:p>
    <w:p w14:paraId="3923183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16.1供应商在磋商文件要求提交响应文件截止时间前，可以补充、修改、替代或者撤回已提交的响应文件。补充、修改的内容为响应文件的组成部分。</w:t>
      </w:r>
    </w:p>
    <w:p w14:paraId="4B077E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16.2在提交响应文件截止时间后到磋商文件规定的报价有效期终止之前，在磋商文件没有变动的情况下，供应商不得补充、修改、替代或者撤销其响应文件。</w:t>
      </w:r>
    </w:p>
    <w:p w14:paraId="04DB172D">
      <w:pPr>
        <w:spacing w:line="360" w:lineRule="auto"/>
        <w:ind w:firstLine="640" w:firstLineChars="200"/>
        <w:rPr>
          <w:rFonts w:hint="eastAsia" w:ascii="仿宋" w:hAnsi="仿宋" w:eastAsia="仿宋" w:cs="仿宋"/>
          <w:color w:val="auto"/>
          <w:sz w:val="32"/>
          <w:szCs w:val="32"/>
          <w:highlight w:val="none"/>
        </w:rPr>
      </w:pPr>
      <w:bookmarkStart w:id="27" w:name="_Toc8485"/>
      <w:bookmarkStart w:id="28" w:name="_Toc464831145"/>
      <w:bookmarkStart w:id="29" w:name="_Toc6505"/>
      <w:r>
        <w:rPr>
          <w:rFonts w:hint="eastAsia" w:ascii="仿宋" w:hAnsi="仿宋" w:eastAsia="仿宋" w:cs="仿宋"/>
          <w:color w:val="auto"/>
          <w:sz w:val="32"/>
          <w:szCs w:val="32"/>
          <w:highlight w:val="none"/>
        </w:rPr>
        <w:t>17.保证金</w:t>
      </w:r>
      <w:bookmarkEnd w:id="27"/>
      <w:bookmarkEnd w:id="28"/>
      <w:r>
        <w:rPr>
          <w:rFonts w:hint="eastAsia" w:ascii="仿宋" w:hAnsi="仿宋" w:eastAsia="仿宋" w:cs="仿宋"/>
          <w:color w:val="auto"/>
          <w:sz w:val="32"/>
          <w:szCs w:val="32"/>
          <w:highlight w:val="none"/>
        </w:rPr>
        <w:t>（本项目不作要求）</w:t>
      </w:r>
      <w:bookmarkEnd w:id="29"/>
    </w:p>
    <w:p w14:paraId="3331015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17.1保证金的缴纳</w:t>
      </w:r>
    </w:p>
    <w:p w14:paraId="0925E2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17.1.1保证金的交纳金额和形式：见供应商须知前附表。</w:t>
      </w:r>
    </w:p>
    <w:p w14:paraId="3A805AD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17.1.2保证金以到账时间为准。</w:t>
      </w:r>
    </w:p>
    <w:p w14:paraId="3516C4D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17.1.3供应商为联合体的，联合体牵头人缴纳的保证金对联合体各方均具有约束力。</w:t>
      </w:r>
    </w:p>
    <w:p w14:paraId="3A8F81B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17.2保证金的退还</w:t>
      </w:r>
    </w:p>
    <w:p w14:paraId="52D2E19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17.2.1供应商在采购文件要求提交响应文件截止时间前书面要求撤回响应文件的，采购人或者采购代理机构自收到供应商书面撤回文件之日起5日内退还已收取的保证金。</w:t>
      </w:r>
    </w:p>
    <w:p w14:paraId="46F8482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17.2.2采购代理机构在成交通知发出后5个工作日内退还未成交供应商的保证金，在采购合同签订并备案后5个工作日内退还成交供应商的保证金。</w:t>
      </w:r>
    </w:p>
    <w:p w14:paraId="354D4CB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17.3保证金的不予退还</w:t>
      </w:r>
    </w:p>
    <w:p w14:paraId="05C9127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17.3.1供应商有下列情形之一的，保证金将不予退还：</w:t>
      </w:r>
    </w:p>
    <w:p w14:paraId="0E74EE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（1）提供的有关资料不真实或者提供虚假材料的；</w:t>
      </w:r>
    </w:p>
    <w:p w14:paraId="75101D8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（2）报价截止时间后供应商撤回全部或者部分响应文件的；</w:t>
      </w:r>
    </w:p>
    <w:p w14:paraId="74B7FA7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（3）损害采购人或者采购代理机构合法权益的；</w:t>
      </w:r>
    </w:p>
    <w:p w14:paraId="049DF7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（4）供应商向采购代理机构、采购人、专家提供不正当利益的；</w:t>
      </w:r>
    </w:p>
    <w:p w14:paraId="001BEC7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（5）经磋商小组认定有故意哄抬报价、串标或者其他违法行为的；</w:t>
      </w:r>
    </w:p>
    <w:p w14:paraId="716936C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（6）成交供应商未按照采购文件规定签订合同或者未按照采购文件规定提供履约保证金的；</w:t>
      </w:r>
    </w:p>
    <w:p w14:paraId="0E86B2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（7）法律、行政法规以及有关规定的其它情形。</w:t>
      </w:r>
    </w:p>
    <w:p w14:paraId="3620571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17.3.2不予退还的保证金应在规定时间内上缴国库。</w:t>
      </w:r>
    </w:p>
    <w:p w14:paraId="24ADB9A6">
      <w:pPr>
        <w:spacing w:line="360" w:lineRule="auto"/>
        <w:ind w:firstLine="640" w:firstLineChars="200"/>
        <w:rPr>
          <w:rFonts w:hint="eastAsia" w:ascii="仿宋" w:hAnsi="仿宋" w:eastAsia="仿宋" w:cs="仿宋"/>
          <w:color w:val="auto"/>
          <w:sz w:val="32"/>
          <w:szCs w:val="32"/>
          <w:highlight w:val="none"/>
        </w:rPr>
      </w:pPr>
      <w:bookmarkStart w:id="30" w:name="_Toc4865"/>
      <w:bookmarkStart w:id="31" w:name="_Toc32081"/>
      <w:bookmarkStart w:id="32" w:name="_Toc12370"/>
      <w:r>
        <w:rPr>
          <w:rFonts w:hint="eastAsia" w:ascii="仿宋" w:hAnsi="仿宋" w:eastAsia="仿宋" w:cs="仿宋"/>
          <w:color w:val="auto"/>
          <w:sz w:val="32"/>
          <w:szCs w:val="32"/>
          <w:highlight w:val="none"/>
        </w:rPr>
        <w:t>18.开标、磋商、成交</w:t>
      </w:r>
      <w:bookmarkEnd w:id="30"/>
      <w:bookmarkEnd w:id="31"/>
    </w:p>
    <w:p w14:paraId="50B5AA3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18.1．竞争性磋商</w:t>
      </w:r>
    </w:p>
    <w:p w14:paraId="464E6948">
      <w:pPr>
        <w:spacing w:line="360" w:lineRule="auto"/>
        <w:ind w:firstLine="560" w:firstLineChars="200"/>
        <w:rPr>
          <w:rFonts w:hint="eastAsia" w:ascii="仿宋" w:hAnsi="仿宋" w:eastAsia="仿宋" w:cs="仿宋"/>
          <w:color w:val="auto"/>
          <w:sz w:val="28"/>
          <w:szCs w:val="28"/>
          <w:highlight w:val="none"/>
        </w:rPr>
      </w:pPr>
      <w:bookmarkStart w:id="33" w:name="_Toc520356165"/>
      <w:r>
        <w:rPr>
          <w:rFonts w:hint="eastAsia" w:ascii="仿宋" w:hAnsi="仿宋" w:eastAsia="仿宋" w:cs="仿宋"/>
          <w:color w:val="auto"/>
          <w:sz w:val="28"/>
          <w:szCs w:val="28"/>
          <w:highlight w:val="none"/>
        </w:rPr>
        <w:t>（1）采购人和采购代理机构将按规定的磋商时间和地点组织磋商。监督部门将视情况派代表到现场进行监督。供应商不足3家的，不得磋商。</w:t>
      </w:r>
    </w:p>
    <w:p w14:paraId="756B918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（2）供应商在开标前，提前登录政采云平台做好准备，并保证设备正常。供</w:t>
      </w:r>
      <w:r>
        <w:rPr>
          <w:rFonts w:hint="eastAsia" w:ascii="仿宋" w:hAnsi="仿宋" w:eastAsia="仿宋" w:cs="仿宋"/>
          <w:color w:val="auto"/>
          <w:sz w:val="28"/>
          <w:szCs w:val="28"/>
          <w:highlight w:val="none"/>
        </w:rPr>
        <w:t>应商应于</w:t>
      </w:r>
      <w:r>
        <w:rPr>
          <w:rFonts w:hint="eastAsia" w:ascii="仿宋" w:hAnsi="仿宋" w:eastAsia="仿宋" w:cs="仿宋"/>
          <w:b/>
          <w:bCs/>
          <w:color w:val="auto"/>
          <w:sz w:val="28"/>
          <w:szCs w:val="28"/>
          <w:highlight w:val="none"/>
          <w:lang w:eastAsia="zh-CN"/>
        </w:rPr>
        <w:t>2026年05月13日 12:00</w:t>
      </w:r>
      <w:r>
        <w:rPr>
          <w:rFonts w:hint="eastAsia" w:ascii="仿宋" w:hAnsi="仿宋" w:eastAsia="仿宋" w:cs="仿宋"/>
          <w:color w:val="auto"/>
          <w:sz w:val="28"/>
          <w:szCs w:val="28"/>
          <w:highlight w:val="none"/>
        </w:rPr>
        <w:t>之前将</w:t>
      </w:r>
      <w:r>
        <w:rPr>
          <w:rFonts w:hint="eastAsia" w:ascii="仿宋" w:hAnsi="仿宋" w:eastAsia="仿宋" w:cs="仿宋"/>
          <w:color w:val="auto"/>
          <w:sz w:val="28"/>
          <w:szCs w:val="28"/>
          <w:highlight w:val="none"/>
        </w:rPr>
        <w:t>电子响应文件上传到“政采云”平台。应按照本项目磋商文件和政采云平台的要求编制、加密传输响应文件。</w:t>
      </w:r>
    </w:p>
    <w:p w14:paraId="46AD50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注：如供应商在开标时遗失CA或其他原因导致解密失败的，供应商需将未加密的响应文件提供给采购代理机构，采购代理机构通过“异常”处理端口上传解密。</w:t>
      </w:r>
    </w:p>
    <w:p w14:paraId="08890B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521F15C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（4）开标时，由采购代理机构向磋商小组介绍项目基本情况并宣布有关纪律和磋商程序。</w:t>
      </w:r>
    </w:p>
    <w:p w14:paraId="3E4D0C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（5）采购人代表及采购代理机构依据法律法规和磋商文件中规定的内容，对供应商进行资格审查。未通过资格审查的供应商不得进入详细评审，其响应文件将被拒绝。</w:t>
      </w:r>
    </w:p>
    <w:p w14:paraId="6859602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（6）磋商小组开启供应商首次报价并进行初步审查和详细评审（只有初步审查合格的供应商，其竞争性磋商响应文件方可进入磋商阶段。）</w:t>
      </w:r>
    </w:p>
    <w:p w14:paraId="1CD2FC3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（7）通过评审后，将在政采云线上开启新一轮报价。</w:t>
      </w:r>
    </w:p>
    <w:p w14:paraId="35424DC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（8）采购人或采购代理机构将对磋商过程进行记录，并存档备查。</w:t>
      </w:r>
    </w:p>
    <w:p w14:paraId="2A6138B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（9）供应商代表对磋商过程和磋商记录有疑义，以及认为采购人、采购代理机构相关工作人员有需要回避的情形的，应当场提出询问或者回避申请。</w:t>
      </w:r>
    </w:p>
    <w:p w14:paraId="48F48D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注：在开标过程中如评审小组对评标文件有疑问，询标内容汇总后将发起询标函，供应商应对询标函提出的问题做出澄清或说明。</w:t>
      </w:r>
      <w:bookmarkEnd w:id="33"/>
    </w:p>
    <w:p w14:paraId="24CE94E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18.3磋商小组</w:t>
      </w:r>
    </w:p>
    <w:p w14:paraId="03333AA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18.3.1磋商小组的组成</w:t>
      </w:r>
    </w:p>
    <w:p w14:paraId="7973DDA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11B8A5A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18.3.2评审专家的抽取</w:t>
      </w:r>
    </w:p>
    <w:p w14:paraId="2F66040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18.3.2.1采用随机抽取方式从政府采购监管部门依法设立的专家库中确定磋商小组成员。任何单位和个人都不得指定评审专家或干预评审专家的抽取工作。</w:t>
      </w:r>
    </w:p>
    <w:p w14:paraId="1D51B93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18.3.2.2参加评审专家抽取的有关人员对被抽取的专家的姓名、单位和联系方式等内容负有保密的义务。磋商小组成员的名单在评审结果确定前必须严格保密。</w:t>
      </w:r>
    </w:p>
    <w:p w14:paraId="5AC7811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18.3.3磋商小组成员不得参加与自己有利害关系的评审活动，与自己有利害关系的应当回避，已经进入的必须更换。</w:t>
      </w:r>
    </w:p>
    <w:p w14:paraId="245629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18.3.4磋商小组负责对各响应文件进行评审、比较、评定，并按本采购文件的规定确定成交供应商或者推荐中标候选人。</w:t>
      </w:r>
    </w:p>
    <w:p w14:paraId="4F5E22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18.3.5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66FC61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18.3.6磋商小组的职责：</w:t>
      </w:r>
    </w:p>
    <w:p w14:paraId="1E73CB0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18.3.6.1审查响应文件是否符合采购文件要求，进行符合性审查，并做出评价；</w:t>
      </w:r>
    </w:p>
    <w:p w14:paraId="529DD98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18.3.6.2要求供应商对响应文件有关事项做出解释或者澄清；</w:t>
      </w:r>
    </w:p>
    <w:p w14:paraId="3B69A5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18.3.6.3推荐中标候选人名单，或者受采购人委托按照事先确定的办法直接确定成交供应商；</w:t>
      </w:r>
    </w:p>
    <w:p w14:paraId="3A5C965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18.3.6.4向采购人、采购代理机构或者有关部门报告非法干预评审工作的行为。</w:t>
      </w:r>
    </w:p>
    <w:p w14:paraId="2A85EA5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18.3.6.5对围、串标等违法违规行为作出认定。</w:t>
      </w:r>
    </w:p>
    <w:p w14:paraId="3270BA4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18.3.7磋商小组的义务：</w:t>
      </w:r>
    </w:p>
    <w:p w14:paraId="0C77E82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18.3.7.1遵纪守法，客观、公正、廉洁地履行职责；</w:t>
      </w:r>
    </w:p>
    <w:p w14:paraId="31AE8B9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18.3.7.2提出真实、可靠的评审意见；</w:t>
      </w:r>
    </w:p>
    <w:p w14:paraId="0CF9D1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18.3.7.3严格遵守评审纪律，不得向外界泄露评审情况；</w:t>
      </w:r>
    </w:p>
    <w:p w14:paraId="119F53E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18.3.7.4发现供应商在招报价活动中有不正当竞争或者恶意串通等违规行为，应及时向监督部门报告并加以制止；</w:t>
      </w:r>
    </w:p>
    <w:p w14:paraId="43D24F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18.3.7.5按照采购文件规定的评审方法和评审标准进行评审，对评审意见承担个人责任；</w:t>
      </w:r>
    </w:p>
    <w:p w14:paraId="3404BE6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18.3.7.6编写评审报告；</w:t>
      </w:r>
    </w:p>
    <w:p w14:paraId="3FD0EB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18.3.7.7配合采购人或者采购代理机构答复供应商提出的质疑；</w:t>
      </w:r>
    </w:p>
    <w:p w14:paraId="37A16E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18.3.7.8对评审过程和结果，以及采购人、供应商的商业秘密保密；</w:t>
      </w:r>
    </w:p>
    <w:p w14:paraId="6C92162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18.3.7.9配合监管部门处理投诉；</w:t>
      </w:r>
    </w:p>
    <w:p w14:paraId="568B09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18.3.8磋商小组成员有下列情形之一的，应当回避：</w:t>
      </w:r>
    </w:p>
    <w:p w14:paraId="764B001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18.3.8.1供应商或者供应商主要负责人的近亲属；</w:t>
      </w:r>
    </w:p>
    <w:p w14:paraId="3445DC3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18.3.8.2项目主管部门或者行政监督部门的人员；</w:t>
      </w:r>
    </w:p>
    <w:p w14:paraId="5A60467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18.3.8.3与供应商有经济利益关系；</w:t>
      </w:r>
    </w:p>
    <w:p w14:paraId="00AEED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18.3.8.4曾因在采购、评审以及其他与政府采购有关系活动中从事违法行为而受到行政处罚或者刑事处罚的；</w:t>
      </w:r>
    </w:p>
    <w:p w14:paraId="5DFFDDB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18.3.8.5与供应商有其他利害关系。</w:t>
      </w:r>
    </w:p>
    <w:p w14:paraId="07B3DB9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18.4评审程序</w:t>
      </w:r>
    </w:p>
    <w:p w14:paraId="5EE6402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18.4.1宣布评审纪律以及回避提示；</w:t>
      </w:r>
    </w:p>
    <w:p w14:paraId="0CC0F4B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18.4.2组织推荐磋商小组组长；</w:t>
      </w:r>
    </w:p>
    <w:p w14:paraId="1A46AB4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符合性审查；</w:t>
      </w:r>
    </w:p>
    <w:p w14:paraId="78024E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技术评审；</w:t>
      </w:r>
    </w:p>
    <w:p w14:paraId="43A2303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澄清有关问题；</w:t>
      </w:r>
    </w:p>
    <w:p w14:paraId="3BC8FA2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磋商</w:t>
      </w:r>
    </w:p>
    <w:p w14:paraId="4316954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确定成交供应商或者推荐成交候选人名单；</w:t>
      </w:r>
    </w:p>
    <w:p w14:paraId="5537C4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编写评审报告；</w:t>
      </w:r>
    </w:p>
    <w:p w14:paraId="160718E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宣布评审。</w:t>
      </w:r>
    </w:p>
    <w:p w14:paraId="4A45C235">
      <w:pPr>
        <w:spacing w:line="360" w:lineRule="auto"/>
        <w:ind w:firstLine="560" w:firstLineChars="20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18.5评审</w:t>
      </w:r>
    </w:p>
    <w:p w14:paraId="3D6C59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18.5.1资格性审查</w:t>
      </w:r>
    </w:p>
    <w:p w14:paraId="11CDF39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18.5.1.1</w:t>
      </w:r>
      <w:r>
        <w:rPr>
          <w:rFonts w:hint="eastAsia" w:ascii="仿宋" w:hAnsi="仿宋" w:eastAsia="仿宋" w:cs="仿宋"/>
          <w:color w:val="auto"/>
          <w:sz w:val="28"/>
          <w:szCs w:val="28"/>
          <w:highlight w:val="none"/>
          <w:lang w:val="en-US" w:eastAsia="zh-CN"/>
        </w:rPr>
        <w:t>资格审查</w:t>
      </w:r>
      <w:r>
        <w:rPr>
          <w:rFonts w:hint="eastAsia" w:ascii="仿宋" w:hAnsi="仿宋" w:eastAsia="仿宋" w:cs="仿宋"/>
          <w:color w:val="auto"/>
          <w:sz w:val="28"/>
          <w:szCs w:val="28"/>
          <w:highlight w:val="none"/>
        </w:rPr>
        <w:t>小</w:t>
      </w:r>
      <w:r>
        <w:rPr>
          <w:rFonts w:hint="eastAsia" w:ascii="仿宋" w:hAnsi="仿宋" w:eastAsia="仿宋" w:cs="仿宋"/>
          <w:color w:val="auto"/>
          <w:sz w:val="28"/>
          <w:szCs w:val="28"/>
          <w:highlight w:val="none"/>
        </w:rPr>
        <w:t>组依据法律法规和采购文件的规定，对响应文件中的资格证明、保证金等进行审查，以确定供应商是否具备报价资格。</w:t>
      </w:r>
    </w:p>
    <w:p w14:paraId="259C989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18.5.1.2采购人、采购代理机构通过“信用中国”网站、中国政府采购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14:paraId="1D4EDA3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信用信息查询记录及相关证据应当与其他采购文件一并保存。</w:t>
      </w:r>
    </w:p>
    <w:p w14:paraId="408B091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18.5.2符合性审查</w:t>
      </w:r>
    </w:p>
    <w:p w14:paraId="5559226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磋商小组依据采购文件的规定，从响应文件的有效性、完整性和对采购文件的响应程度进行审查，以确定是否对采购文件的实质性要求作出响应。</w:t>
      </w:r>
    </w:p>
    <w:p w14:paraId="7DBC17D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18.5.3在符合性审查时，对属于不合格的供应商或者</w:t>
      </w:r>
      <w:r>
        <w:rPr>
          <w:rFonts w:hint="eastAsia" w:ascii="仿宋" w:hAnsi="仿宋" w:eastAsia="仿宋" w:cs="仿宋"/>
          <w:color w:val="auto"/>
          <w:sz w:val="28"/>
          <w:szCs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仿宋"/>
          <w:color w:val="auto"/>
          <w:sz w:val="28"/>
          <w:szCs w:val="28"/>
          <w:highlight w:val="none"/>
        </w:rPr>
        <w:t>的供应商，磋商小组必须提出不合格或者响应无效的事实依据，并出具不合格或者响应无效说明。供应商签字确认后磋商小组全体成员签字。供应商拒绝签字确认的不影响磋商小组做出的不合格或无效裁定。</w:t>
      </w:r>
    </w:p>
    <w:p w14:paraId="6D255BD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18.5.4技术评审</w:t>
      </w:r>
    </w:p>
    <w:p w14:paraId="53A5E0D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磋商小组根据项目实际情况对各供应商的技术文件进行审查。</w:t>
      </w:r>
    </w:p>
    <w:p w14:paraId="7EF1B7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18.6澄清有关问题</w:t>
      </w:r>
    </w:p>
    <w:p w14:paraId="31B89F6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18.6.1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33A74A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18.6.2磋商小组判断响应文件的响应性仅基于响应文件本身而不靠外部因素。未响应实质性条款的，磋商小组有权确定其响应无效，供应商不能通过修正、撤销或者澄清不符之处而使其报价成为实质性响应的报价。</w:t>
      </w:r>
    </w:p>
    <w:p w14:paraId="07C71C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18.6.3磋商小组可以允许供应商修改或者澄清其响应文件中不构成实质偏离的、微小的、非正规的不一致或者不规则的地方。</w:t>
      </w:r>
    </w:p>
    <w:p w14:paraId="1B25DC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18.6.4响应文件计算错误的修正。磋商小组在对实质上响应采购文件要求的响应文件进行评估时，除采购文件另有约定外，须进行修正的，应符合下列原则：</w:t>
      </w:r>
    </w:p>
    <w:p w14:paraId="60FF800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5FF62B0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18.6.4.2按前款规定调整后的报价，经供应商确认后产生约束力。</w:t>
      </w:r>
    </w:p>
    <w:p w14:paraId="58B2761D">
      <w:pPr>
        <w:spacing w:line="360" w:lineRule="auto"/>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lang w:val="en-GB"/>
        </w:rPr>
        <w:t>7磋商</w:t>
      </w:r>
    </w:p>
    <w:p w14:paraId="350ABB61">
      <w:pPr>
        <w:spacing w:line="360" w:lineRule="auto"/>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rPr>
        <w:t>18.7.1</w:t>
      </w:r>
      <w:r>
        <w:rPr>
          <w:rFonts w:hint="eastAsia" w:ascii="仿宋" w:hAnsi="仿宋" w:eastAsia="仿宋" w:cs="仿宋"/>
          <w:color w:val="auto"/>
          <w:sz w:val="28"/>
          <w:szCs w:val="28"/>
          <w:highlight w:val="none"/>
          <w:lang w:val="en-GB"/>
        </w:rPr>
        <w:t>磋商前，磋商小组应核实供应商对统一磋商技术标准（包括强制性标准和行业标准）等是否全部承诺或者确认。</w:t>
      </w:r>
    </w:p>
    <w:p w14:paraId="17847B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lang w:val="en-GB"/>
        </w:rPr>
        <w:t>7.2磋商小组所有成员集中与单一供应商进行磋商。在磋商中，磋商的任何一方不得透露与磋商有关的其他供应商的技术资料、价格和其他信息。</w:t>
      </w:r>
    </w:p>
    <w:p w14:paraId="314EE0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18.7.3</w:t>
      </w:r>
      <w:r>
        <w:rPr>
          <w:rFonts w:hint="eastAsia" w:ascii="仿宋" w:hAnsi="仿宋" w:eastAsia="仿宋" w:cs="仿宋"/>
          <w:color w:val="auto"/>
          <w:sz w:val="28"/>
          <w:szCs w:val="28"/>
          <w:highlight w:val="none"/>
          <w:lang w:val="en-GB"/>
        </w:rPr>
        <w:t>磋商</w:t>
      </w:r>
      <w:r>
        <w:rPr>
          <w:rFonts w:hint="eastAsia" w:ascii="仿宋" w:hAnsi="仿宋" w:eastAsia="仿宋" w:cs="仿宋"/>
          <w:color w:val="auto"/>
          <w:sz w:val="28"/>
          <w:szCs w:val="28"/>
          <w:highlight w:val="none"/>
        </w:rPr>
        <w:t>实行二轮报价，原则上第二轮报价为最终报价</w:t>
      </w:r>
      <w:r>
        <w:rPr>
          <w:rFonts w:hint="eastAsia" w:ascii="仿宋" w:hAnsi="仿宋" w:eastAsia="仿宋" w:cs="仿宋"/>
          <w:color w:val="auto"/>
          <w:sz w:val="28"/>
          <w:szCs w:val="28"/>
          <w:highlight w:val="none"/>
          <w:lang w:val="en-GB"/>
        </w:rPr>
        <w:t>。超过</w:t>
      </w:r>
      <w:r>
        <w:rPr>
          <w:rFonts w:hint="eastAsia" w:ascii="仿宋" w:hAnsi="仿宋" w:eastAsia="仿宋" w:cs="仿宋"/>
          <w:color w:val="auto"/>
          <w:sz w:val="28"/>
          <w:szCs w:val="28"/>
          <w:highlight w:val="none"/>
        </w:rPr>
        <w:t>二轮报价的</w:t>
      </w:r>
      <w:r>
        <w:rPr>
          <w:rFonts w:hint="eastAsia" w:ascii="仿宋" w:hAnsi="仿宋" w:eastAsia="仿宋" w:cs="仿宋"/>
          <w:color w:val="auto"/>
          <w:sz w:val="28"/>
          <w:szCs w:val="28"/>
          <w:highlight w:val="none"/>
          <w:lang w:val="en-GB"/>
        </w:rPr>
        <w:t>由磋商小组现场集体决定，但最后一轮报价前必须告知所有参加磋商的供应商，并以最后一轮报价为最终报价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供应商最后一轮报价不得高于其前一轮报价；</w:t>
      </w:r>
      <w:r>
        <w:rPr>
          <w:rFonts w:hint="eastAsia" w:ascii="仿宋" w:hAnsi="仿宋" w:eastAsia="仿宋" w:cs="仿宋"/>
          <w:color w:val="auto"/>
          <w:sz w:val="28"/>
          <w:szCs w:val="28"/>
          <w:highlight w:val="none"/>
        </w:rPr>
        <w:t>否则磋商小组有权据此确定为无效报价，参与磋商的供应商少于三家的予以废标。</w:t>
      </w:r>
    </w:p>
    <w:p w14:paraId="1E1C49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殊情况及处置：（1）采购范围变化且总价不超过控制价的；（2）采购主材的市场价格明显降价的；（3）报价明细中个别报价明显高于市场价且无明确报价依据的；（4）最后一轮报价中最低报价相同的。发生上述情形之一的，磋商小组根据相关法律规定有权予以废标或者与供应商进行谈判后继续报价。</w:t>
      </w:r>
    </w:p>
    <w:p w14:paraId="297E00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18.8成交</w:t>
      </w:r>
    </w:p>
    <w:p w14:paraId="2AE9482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18.8.1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759039AF">
      <w:pPr>
        <w:spacing w:line="360" w:lineRule="auto"/>
        <w:ind w:firstLine="560" w:firstLineChars="200"/>
        <w:rPr>
          <w:rFonts w:hint="eastAsia" w:ascii="仿宋" w:hAnsi="仿宋" w:eastAsia="仿宋" w:cs="仿宋"/>
          <w:color w:val="auto"/>
          <w:sz w:val="28"/>
          <w:szCs w:val="24"/>
          <w:highlight w:val="none"/>
          <w:lang w:val="en-GB"/>
        </w:rPr>
      </w:pPr>
      <w:r>
        <w:rPr>
          <w:rFonts w:hint="eastAsia" w:ascii="仿宋" w:hAnsi="仿宋" w:eastAsia="仿宋" w:cs="仿宋"/>
          <w:color w:val="auto"/>
          <w:sz w:val="28"/>
          <w:szCs w:val="28"/>
          <w:highlight w:val="none"/>
        </w:rPr>
        <w:t>18.8.2</w:t>
      </w:r>
      <w:r>
        <w:rPr>
          <w:rFonts w:hint="eastAsia" w:ascii="仿宋" w:hAnsi="仿宋" w:eastAsia="仿宋" w:cs="仿宋"/>
          <w:color w:val="auto"/>
          <w:sz w:val="28"/>
          <w:szCs w:val="24"/>
          <w:highlight w:val="none"/>
          <w:lang w:val="en-GB"/>
        </w:rPr>
        <w:t>采购人授权磋商小组确定成交供应商的，最终报价结束后，磋商小组按照上述的规定，对供应商进行排序并确定排序第一的为成交供应商；</w:t>
      </w:r>
    </w:p>
    <w:p w14:paraId="3F2C22FA">
      <w:pPr>
        <w:spacing w:line="360" w:lineRule="auto"/>
        <w:ind w:firstLine="560" w:firstLineChars="200"/>
        <w:rPr>
          <w:rFonts w:hint="eastAsia" w:ascii="仿宋" w:hAnsi="仿宋" w:eastAsia="仿宋" w:cs="仿宋"/>
          <w:color w:val="auto"/>
          <w:sz w:val="28"/>
          <w:szCs w:val="24"/>
          <w:highlight w:val="none"/>
          <w:lang w:val="en-GB"/>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en-GB"/>
        </w:rPr>
        <w:t>8.3</w:t>
      </w:r>
      <w:r>
        <w:rPr>
          <w:rFonts w:hint="eastAsia" w:ascii="仿宋" w:hAnsi="仿宋" w:eastAsia="仿宋" w:cs="仿宋"/>
          <w:color w:val="auto"/>
          <w:kern w:val="0"/>
          <w:sz w:val="28"/>
          <w:szCs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8"/>
          <w:szCs w:val="24"/>
          <w:highlight w:val="none"/>
        </w:rPr>
        <w:t>综合得分最高</w:t>
      </w:r>
      <w:r>
        <w:rPr>
          <w:rFonts w:hint="eastAsia" w:ascii="仿宋" w:hAnsi="仿宋" w:eastAsia="仿宋" w:cs="仿宋"/>
          <w:color w:val="auto"/>
          <w:kern w:val="0"/>
          <w:sz w:val="28"/>
          <w:szCs w:val="24"/>
          <w:highlight w:val="none"/>
          <w:lang w:val="zh-CN"/>
        </w:rPr>
        <w:t>的原则确定成交供应商。</w:t>
      </w:r>
    </w:p>
    <w:p w14:paraId="132BA2E0">
      <w:pPr>
        <w:spacing w:line="360" w:lineRule="auto"/>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467B674F">
      <w:pPr>
        <w:spacing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en-GB"/>
        </w:rPr>
        <w:t>8.5磋商结果应通知所有参加磋商的供应商。</w:t>
      </w:r>
    </w:p>
    <w:p w14:paraId="152F6E8F">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18.9成交结果公告以及成交通知书</w:t>
      </w:r>
    </w:p>
    <w:p w14:paraId="2D3F21A4">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18.9.1采购人或者采购代理机构应当自公告成交结果公示之后，发出成交通知书。</w:t>
      </w:r>
    </w:p>
    <w:p w14:paraId="0C299DFD">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18.9.2采购人或采购代理机构不按照规定发布成交结果公告或者发布成交结果公告后不签发成交通知书的，应当承担法律责任，给成交供应商造成经济损失的应承担赔偿责任。</w:t>
      </w:r>
    </w:p>
    <w:p w14:paraId="408F84C0">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18.9.3成交通知书对采购人和成交供应商都具有法律效力。成交通知书发出后，采购人改变成交结果的，或者成交供应商放弃成交，应当依法承担法律责任。</w:t>
      </w:r>
    </w:p>
    <w:p w14:paraId="309EF0D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18.10响应无效</w:t>
      </w:r>
    </w:p>
    <w:p w14:paraId="409408C7">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出现下列情形之一的，响应无效：</w:t>
      </w:r>
    </w:p>
    <w:p w14:paraId="48C266F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18.10.1响应报价高于采购预算的；</w:t>
      </w:r>
    </w:p>
    <w:p w14:paraId="593FA29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18.10.2对“★”条款未做出实质性响应或者发生负偏离的；</w:t>
      </w:r>
    </w:p>
    <w:p w14:paraId="3BF8E9D6">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18.10.3应提供而未提供带“▲”标注的政府强制采购节能产品的；</w:t>
      </w:r>
    </w:p>
    <w:p w14:paraId="0A54389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18.10.4对允许偏离的非实质性条款，偏离采购文件规定的偏离范围和幅度的；</w:t>
      </w:r>
    </w:p>
    <w:p w14:paraId="44706A3F">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18.10.5不按照采购文件规定报价、没有分项报价、拒绝报价、有多个报价（采购文件另有规定的除外）、有选择性报价、附有条件的报价或者拒绝修正报价的；</w:t>
      </w:r>
    </w:p>
    <w:p w14:paraId="2380D57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18.10.6响应文件正副本未区分或者内容严重不一致的；</w:t>
      </w:r>
    </w:p>
    <w:p w14:paraId="0E4CEFE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18.10.7供应商未按采购文件要求缴纳保证金的；</w:t>
      </w:r>
    </w:p>
    <w:p w14:paraId="17022B4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18.10.8报价有效期不满足采购文件要求的；</w:t>
      </w:r>
    </w:p>
    <w:p w14:paraId="7DD20328">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18.10.9报价超出营业执照经营范围的；</w:t>
      </w:r>
    </w:p>
    <w:p w14:paraId="0F498B4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18.10.10磋商小组2/3及以上成员认定报价方案技术含量低、偏离范围超出允许幅度、不符合采购文件要求的；</w:t>
      </w:r>
    </w:p>
    <w:p w14:paraId="27117D87">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18.10.11磋商小组判定供应商涂改证明材料或者提供虚假材料和承诺的；</w:t>
      </w:r>
    </w:p>
    <w:p w14:paraId="4DF772F7">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18.10.12未按采购文件规定编制、签署、盖章、装订和密封响应文件的；</w:t>
      </w:r>
    </w:p>
    <w:p w14:paraId="1466E142">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18.10.13代理商未按采购文件要求提供产品制造商针对本项目的唯一授权的；</w:t>
      </w:r>
    </w:p>
    <w:p w14:paraId="4632EFF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18.10.14采购文件第三章第1条规定供应商应当提交的资格、资信等证明文件未提供、提供不齐全或者复印件未装订于响应文件中的；</w:t>
      </w:r>
    </w:p>
    <w:p w14:paraId="42C3B5E1">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18.10.15资格、资信等证明文件可以为复印件的，复印件未加盖单位公章的；</w:t>
      </w:r>
    </w:p>
    <w:p w14:paraId="1C77D7F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18.10.16不符合法律、法规和采购文件中规定的其他要求的。</w:t>
      </w:r>
    </w:p>
    <w:p w14:paraId="278F7A81">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对响应无效的认定，必须经磋商小组集体做出决定并出具响应无效的事实依据，由供应商法定代表人或者被授权代表签字确认，拒绝签字的，不影响磋商小组做出的决定。</w:t>
      </w:r>
    </w:p>
    <w:p w14:paraId="22B4E319">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18.11废标</w:t>
      </w:r>
    </w:p>
    <w:p w14:paraId="260ACB1F">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18.11.1出现下列情形之一的，应予废标：</w:t>
      </w:r>
    </w:p>
    <w:p w14:paraId="3C014EBF">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18.11.1.1在报价截止时间结束后参加报价的供应商不足3家，符合采购文件规定条件的供应商不足3家或者对采购文件作实质性响应的供应商不足3家的；</w:t>
      </w:r>
    </w:p>
    <w:p w14:paraId="37C80F11">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18.11.1.2出现影响采购公正的违法违规行为的；</w:t>
      </w:r>
    </w:p>
    <w:p w14:paraId="7D2FADC2">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18.11.1.3供应商的报价均超过采购预算的；</w:t>
      </w:r>
    </w:p>
    <w:p w14:paraId="23A57FB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18.11.1.4因重大变故，采购任务取消的；</w:t>
      </w:r>
    </w:p>
    <w:p w14:paraId="165F6BC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18.11.1.5法律、法规以及采购文件规定的其他废标情形。</w:t>
      </w:r>
    </w:p>
    <w:p w14:paraId="1EE52DB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18.11.2废标后，采购人或者采购代理机构应当将废标理由通知所有供应商。</w:t>
      </w:r>
    </w:p>
    <w:p w14:paraId="21945F5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18.12特殊情况处置程序</w:t>
      </w:r>
    </w:p>
    <w:p w14:paraId="77B4C70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18.12.1磋商小组成员的更换</w:t>
      </w:r>
    </w:p>
    <w:p w14:paraId="2A5D5D4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18.12.1.1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14:paraId="1B2E8920">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18.12.1.2退出磋商小组的成员，其已完成的评审行为无效。由采购人向监督人员提出更换磋商小组成员意见并获准后，根据本采购文件规定的磋商小组成员产生方式另行确定替代者进行评审。</w:t>
      </w:r>
    </w:p>
    <w:p w14:paraId="2CAF631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18.12.2记名投票</w:t>
      </w:r>
    </w:p>
    <w:p w14:paraId="5ACBC6C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在评审过程中，磋商小组发生分歧或者评审结论有异议需表决的，按照少数服从多数的原则，由磋商小组全体成员以记名投票方式表决。</w:t>
      </w:r>
    </w:p>
    <w:p w14:paraId="2125D0ED">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18.12.3延期开标</w:t>
      </w:r>
    </w:p>
    <w:p w14:paraId="00523F74">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因特殊情况需要推迟开标时间的，采购人或者采购代理机构必须提前报监督部门审批，经批准后按规定提前告知所有参加报价的供应商，否则必须按时开标。</w:t>
      </w:r>
    </w:p>
    <w:p w14:paraId="3FCE2C3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18.13违法违规情形</w:t>
      </w:r>
    </w:p>
    <w:p w14:paraId="37BF280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18.13.1有下列情形之一的，属于供应商相互串通报价：</w:t>
      </w:r>
    </w:p>
    <w:p w14:paraId="058A460F">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18.13.1.1供应商之间协商响应报价等响应文件的实质性内容；</w:t>
      </w:r>
    </w:p>
    <w:p w14:paraId="3FA72A1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18.13.1.2供应商之间约定成交供应商；</w:t>
      </w:r>
    </w:p>
    <w:p w14:paraId="12AA12C7">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18.13.1.3供应商之间约定部分供应商放弃报价或者成交；</w:t>
      </w:r>
    </w:p>
    <w:p w14:paraId="0FDBEC2B">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18.13.1.4属于同一集团、协会、商会等组织成员的供应商按照该组织要求协同报价；</w:t>
      </w:r>
    </w:p>
    <w:p w14:paraId="7ABC2731">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18.13.1.5供应商之间为谋取中标或者排斥特定供应商而采取的其他联合行动。</w:t>
      </w:r>
    </w:p>
    <w:p w14:paraId="016BAD2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18.13.2有下列情形之一的，视为供应商相互串通报价，磋商小组应当出具违法违规认定意见并作响应无效处理：</w:t>
      </w:r>
    </w:p>
    <w:p w14:paraId="5B619D38">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18.13.2.1不同供应商的响应文件由同一单位或者个人编制；</w:t>
      </w:r>
    </w:p>
    <w:p w14:paraId="1EB893F9">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18.13.2.2不同供应商委托同一单位或者个人办理报价事宜；</w:t>
      </w:r>
    </w:p>
    <w:p w14:paraId="34880C9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18.13.2.3不同供应商的响应文件载明的项目管理成员为同一人；</w:t>
      </w:r>
    </w:p>
    <w:p w14:paraId="6684EE6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18.13.2.4不同供应商的响应文件异常一致或者响应报价呈规律性差异；</w:t>
      </w:r>
    </w:p>
    <w:p w14:paraId="1938415E">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18.13.2.5不同供应商的响应文件相互混装；</w:t>
      </w:r>
    </w:p>
    <w:p w14:paraId="1705758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18.13.2.6不同供应商的保证金从同一单位或者个人的账户转出；</w:t>
      </w:r>
    </w:p>
    <w:p w14:paraId="0EC2009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18.13.2.7不同投标人的投标文件电子版为同作者视为无效投标。</w:t>
      </w:r>
    </w:p>
    <w:p w14:paraId="0C12E9C7">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18.13.3有下列情形之一的，属于采购人与供应商串通报价：</w:t>
      </w:r>
    </w:p>
    <w:p w14:paraId="577B0956">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18.13.3.1采购人在开标前开启响应文件并将有关信息泄露给其他供应商；</w:t>
      </w:r>
    </w:p>
    <w:p w14:paraId="3D69FA0F">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18.13.3.2采购人直接或者间接向供应商泄露标底、磋商小组成员等信息；</w:t>
      </w:r>
    </w:p>
    <w:p w14:paraId="795F6B22">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18.13.3.3采购人明示或者暗示供应商压低或者抬高响应报价；</w:t>
      </w:r>
    </w:p>
    <w:p w14:paraId="3920553C">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18.13.3.4采购人授意供应商撤换、修改响应文件；</w:t>
      </w:r>
    </w:p>
    <w:p w14:paraId="456C8CF3">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18.13.3.5采购人明示或者暗示供应商为特定供应商中标提供方便；</w:t>
      </w:r>
    </w:p>
    <w:p w14:paraId="21AA38CD">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18.13.3.6采购人与供应商为谋求特定供应商中标而采取的其他串通行为。</w:t>
      </w:r>
    </w:p>
    <w:p w14:paraId="32EAD4C5">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在开标、评审过程中发现以上违法违规情形的，首先由磋商小组作出认定，对认定确有以上违法违规情形的供应商，按无效报价处理，再进入正常评审程序。</w:t>
      </w:r>
    </w:p>
    <w:p w14:paraId="76D5A15A">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18.14违规处理</w:t>
      </w:r>
    </w:p>
    <w:p w14:paraId="67BA0BEB">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供应商有下列情形之一的，列入不良行为记录名单，在一至三年内禁止参加阿克苏市政府采购活动：</w:t>
      </w:r>
    </w:p>
    <w:p w14:paraId="113DC5FB">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18.14.1提供虚假报价材料谋取中标、成交的；</w:t>
      </w:r>
    </w:p>
    <w:p w14:paraId="60AC931E">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18.14.2采取不正当手段诋毁、排挤其他供应商的；</w:t>
      </w:r>
    </w:p>
    <w:p w14:paraId="4E2A712D">
      <w:pPr>
        <w:spacing w:line="360" w:lineRule="auto"/>
        <w:ind w:firstLine="560" w:firstLineChars="200"/>
        <w:rPr>
          <w:rStyle w:val="72"/>
          <w:rFonts w:hint="eastAsia" w:cs="仿宋"/>
          <w:color w:val="auto"/>
          <w:sz w:val="28"/>
          <w:szCs w:val="28"/>
          <w:highlight w:val="none"/>
        </w:rPr>
      </w:pPr>
      <w:r>
        <w:rPr>
          <w:rStyle w:val="72"/>
          <w:rFonts w:hint="eastAsia" w:cs="仿宋"/>
          <w:color w:val="auto"/>
          <w:sz w:val="28"/>
          <w:szCs w:val="28"/>
          <w:highlight w:val="none"/>
        </w:rPr>
        <w:t>18.14.3与采购人、其他供应商或者采购代理机构恶意串通的；</w:t>
      </w:r>
    </w:p>
    <w:p w14:paraId="4D4B4C4A">
      <w:pPr>
        <w:spacing w:line="360" w:lineRule="auto"/>
        <w:ind w:firstLine="640" w:firstLineChars="200"/>
        <w:rPr>
          <w:rFonts w:hint="eastAsia" w:ascii="仿宋" w:hAnsi="仿宋" w:eastAsia="仿宋" w:cs="仿宋"/>
          <w:color w:val="auto"/>
          <w:sz w:val="32"/>
          <w:szCs w:val="32"/>
          <w:highlight w:val="none"/>
        </w:rPr>
      </w:pPr>
      <w:bookmarkStart w:id="34" w:name="_Toc18982"/>
      <w:bookmarkStart w:id="35" w:name="_Toc23874"/>
      <w:r>
        <w:rPr>
          <w:rFonts w:hint="eastAsia" w:ascii="仿宋" w:hAnsi="仿宋" w:eastAsia="仿宋" w:cs="仿宋"/>
          <w:color w:val="auto"/>
          <w:sz w:val="32"/>
          <w:szCs w:val="32"/>
          <w:highlight w:val="none"/>
        </w:rPr>
        <w:t>19.质疑</w:t>
      </w:r>
      <w:bookmarkEnd w:id="34"/>
      <w:bookmarkEnd w:id="35"/>
    </w:p>
    <w:p w14:paraId="01A770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19.1参加本次政府采购活动的供应商认为采购文件、采购过程和成交结果使自己的权益受到损害的，可以在知道或者应知道其权益受到损害之日起7个工作日内，以书面形式向采购人或者采购代理机构提出质疑。</w:t>
      </w:r>
    </w:p>
    <w:p w14:paraId="1B3E487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19.2质疑书内容应包括以下主要内容：</w:t>
      </w:r>
    </w:p>
    <w:p w14:paraId="7725B06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19.2.1质疑人的名称、地址、电话等；</w:t>
      </w:r>
    </w:p>
    <w:p w14:paraId="03833FD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19.2.2具体的质疑事项、证据以及法律、法规依据；</w:t>
      </w:r>
    </w:p>
    <w:p w14:paraId="3959D2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19.2.3提出质疑的日期。</w:t>
      </w:r>
    </w:p>
    <w:p w14:paraId="49BB938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质疑书应当署名，一式叁份。由法定代表人或者主要负责人签字并加盖公章后生效。代理人办理质疑事务时，还应当提交授权委托书，授权委托书应当载明代理人的具体权限和事项。否则采购人或者采购代理机构不予受理。</w:t>
      </w:r>
    </w:p>
    <w:p w14:paraId="5BFED6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19.4除书面形式外，其他任何方式的质疑，采购人或者采购代理机构均不予接受和回复。</w:t>
      </w:r>
    </w:p>
    <w:p w14:paraId="2D4447E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19.5采购人或者采购代理机构在收到质疑书后7个工作日内做出书面答复，并以书面形式通知质疑人和其他有关供应商，但答复不得涉及商业秘密。</w:t>
      </w:r>
    </w:p>
    <w:p w14:paraId="7A6D1BB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19.6质疑人对采购人、采购代理机构的答复不满意或者采购人、采购代理机构未在规定的时间内做出答复的，可以在答复期满后15个工作日内向同级监管部门投诉。</w:t>
      </w:r>
    </w:p>
    <w:p w14:paraId="7AAA7F30">
      <w:pPr>
        <w:spacing w:line="360" w:lineRule="auto"/>
        <w:ind w:firstLine="640" w:firstLineChars="200"/>
        <w:rPr>
          <w:rFonts w:hint="eastAsia" w:ascii="仿宋" w:hAnsi="仿宋" w:eastAsia="仿宋" w:cs="仿宋"/>
          <w:color w:val="auto"/>
          <w:sz w:val="32"/>
          <w:szCs w:val="32"/>
          <w:highlight w:val="none"/>
        </w:rPr>
      </w:pPr>
      <w:bookmarkStart w:id="36" w:name="_Toc2813"/>
      <w:bookmarkStart w:id="37" w:name="_Toc31070"/>
      <w:r>
        <w:rPr>
          <w:rFonts w:hint="eastAsia" w:ascii="仿宋" w:hAnsi="仿宋" w:eastAsia="仿宋" w:cs="仿宋"/>
          <w:color w:val="auto"/>
          <w:sz w:val="32"/>
          <w:szCs w:val="32"/>
          <w:highlight w:val="none"/>
        </w:rPr>
        <w:t>20.投诉</w:t>
      </w:r>
      <w:bookmarkEnd w:id="36"/>
      <w:bookmarkEnd w:id="37"/>
    </w:p>
    <w:p w14:paraId="42F1B30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按照《中华人民共和国政府采购法》、财政部《政府采购供应商投诉处理办法》（财政部令第94号）文件以及相关的法律、法规及规定，质疑人对采购人、采购代理机构的答复不满意或者采购人、采购代理机构未在规定的时间内做出答复的，可以在答复期满后15个工作日内向同级监管部门投诉。</w:t>
      </w:r>
    </w:p>
    <w:p w14:paraId="2502F48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20.2投诉人提起投诉应符合下列条件：</w:t>
      </w:r>
    </w:p>
    <w:p w14:paraId="0B060A5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20.2.1投诉人是参与所投诉政府采购活动的供应商；</w:t>
      </w:r>
    </w:p>
    <w:p w14:paraId="365FF2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20.2.2提起投诉前已依法进行质疑；</w:t>
      </w:r>
    </w:p>
    <w:p w14:paraId="13D811D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20.2.3投诉书内容符合财政部《政府采购供应商投诉处理办法》（财政部令第94号）规定；</w:t>
      </w:r>
    </w:p>
    <w:p w14:paraId="1FCD4B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20.2.4在投诉有效期限内提起投诉；</w:t>
      </w:r>
    </w:p>
    <w:p w14:paraId="71A88F6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20.2.5属于本地财政部门管辖；</w:t>
      </w:r>
    </w:p>
    <w:p w14:paraId="1C4954C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20.2.6同一投诉事项未经财政部门投诉处理；</w:t>
      </w:r>
    </w:p>
    <w:p w14:paraId="2A60D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20.2.7法律法规规定的其他条件。</w:t>
      </w:r>
    </w:p>
    <w:p w14:paraId="03E2DEF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20.3投诉人投诉时，应当提交投诉书，并按照被投诉采购人、采购代理机构和与投诉事项有关的供应商数量提供投诉书的副本。</w:t>
      </w:r>
    </w:p>
    <w:p w14:paraId="171A82A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20.4投诉书应当包括以下主要内容：</w:t>
      </w:r>
    </w:p>
    <w:p w14:paraId="3175FA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20.4.1投诉人和被投诉人的名称、地址、电话等；</w:t>
      </w:r>
    </w:p>
    <w:p w14:paraId="0D3F92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20.4.2具体的投诉事宜以及事实依据；</w:t>
      </w:r>
    </w:p>
    <w:p w14:paraId="3D464E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20.4.3质疑书和质疑答复情况以及相关证明材料；</w:t>
      </w:r>
    </w:p>
    <w:p w14:paraId="562D324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20.4.4提起投诉的日期。</w:t>
      </w:r>
    </w:p>
    <w:p w14:paraId="20B38D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20.5投诉书应当署名。投诉人为自然人的，应当由本人签字；投诉人为法人或者其他组织的，应当由法定代表人或者主要负责人签字盖章并加盖公章。</w:t>
      </w:r>
    </w:p>
    <w:p w14:paraId="42E1036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20.6投诉人可以委托代理人办理投诉事务。代理人办理投诉事务时，除提交投诉书外，还应当向同级监管部门提交投诉人的授权委托书，授权委托书应当载明委托代理的具体权限和事项。</w:t>
      </w:r>
    </w:p>
    <w:p w14:paraId="2B24A7A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20.7投诉人不符合上述规定提起的投诉，监管部门不予受理。</w:t>
      </w:r>
    </w:p>
    <w:p w14:paraId="074566EA">
      <w:pPr>
        <w:spacing w:line="360" w:lineRule="auto"/>
        <w:ind w:firstLine="640" w:firstLineChars="200"/>
        <w:rPr>
          <w:rFonts w:hint="eastAsia" w:ascii="仿宋" w:hAnsi="仿宋" w:eastAsia="仿宋" w:cs="仿宋"/>
          <w:color w:val="auto"/>
          <w:sz w:val="32"/>
          <w:szCs w:val="32"/>
          <w:highlight w:val="none"/>
        </w:rPr>
      </w:pPr>
      <w:bookmarkStart w:id="38" w:name="_Toc5231"/>
      <w:r>
        <w:rPr>
          <w:rFonts w:hint="eastAsia" w:ascii="仿宋" w:hAnsi="仿宋" w:eastAsia="仿宋" w:cs="仿宋"/>
          <w:color w:val="auto"/>
          <w:sz w:val="32"/>
          <w:szCs w:val="32"/>
          <w:highlight w:val="none"/>
        </w:rPr>
        <w:t>21.其他需补充的内容</w:t>
      </w:r>
      <w:bookmarkEnd w:id="32"/>
      <w:bookmarkEnd w:id="38"/>
    </w:p>
    <w:p w14:paraId="1864537D">
      <w:pPr>
        <w:spacing w:line="360" w:lineRule="auto"/>
        <w:ind w:firstLine="280" w:firstLineChars="100"/>
        <w:rPr>
          <w:rFonts w:hint="eastAsia" w:ascii="仿宋" w:hAnsi="仿宋" w:eastAsia="仿宋" w:cs="仿宋"/>
          <w:color w:val="auto"/>
          <w:sz w:val="22"/>
          <w:szCs w:val="24"/>
          <w:highlight w:val="none"/>
        </w:rPr>
      </w:pPr>
      <w:r>
        <w:rPr>
          <w:rFonts w:hint="eastAsia" w:ascii="仿宋" w:hAnsi="仿宋" w:eastAsia="仿宋" w:cs="仿宋"/>
          <w:color w:val="auto"/>
          <w:sz w:val="28"/>
          <w:szCs w:val="28"/>
          <w:highlight w:val="none"/>
        </w:rPr>
        <w:t>其他需补充的内容：见供应商须知前附表。</w:t>
      </w:r>
    </w:p>
    <w:p w14:paraId="558881C5">
      <w:pPr>
        <w:spacing w:line="360" w:lineRule="auto"/>
        <w:rPr>
          <w:rFonts w:hint="eastAsia" w:ascii="仿宋" w:hAnsi="仿宋" w:eastAsia="仿宋" w:cs="仿宋"/>
          <w:color w:val="auto"/>
          <w:sz w:val="22"/>
          <w:szCs w:val="24"/>
          <w:highlight w:val="none"/>
        </w:rPr>
      </w:pPr>
    </w:p>
    <w:p w14:paraId="3EF753C4">
      <w:pPr>
        <w:pStyle w:val="15"/>
        <w:spacing w:line="360" w:lineRule="auto"/>
        <w:rPr>
          <w:rFonts w:hint="eastAsia" w:ascii="仿宋" w:hAnsi="仿宋" w:eastAsia="仿宋" w:cs="仿宋"/>
          <w:color w:val="auto"/>
          <w:sz w:val="22"/>
          <w:szCs w:val="24"/>
          <w:highlight w:val="none"/>
        </w:rPr>
      </w:pPr>
    </w:p>
    <w:p w14:paraId="7FF44D25">
      <w:pPr>
        <w:pStyle w:val="15"/>
        <w:spacing w:line="360" w:lineRule="auto"/>
        <w:rPr>
          <w:rFonts w:hint="eastAsia" w:ascii="仿宋" w:hAnsi="仿宋" w:eastAsia="仿宋" w:cs="仿宋"/>
          <w:color w:val="auto"/>
          <w:sz w:val="22"/>
          <w:szCs w:val="24"/>
          <w:highlight w:val="none"/>
        </w:rPr>
      </w:pPr>
    </w:p>
    <w:p w14:paraId="778AD20F">
      <w:pPr>
        <w:pStyle w:val="15"/>
        <w:spacing w:line="360" w:lineRule="auto"/>
        <w:rPr>
          <w:rFonts w:hint="eastAsia" w:ascii="仿宋" w:hAnsi="仿宋" w:eastAsia="仿宋" w:cs="仿宋"/>
          <w:color w:val="auto"/>
          <w:sz w:val="22"/>
          <w:szCs w:val="24"/>
          <w:highlight w:val="none"/>
        </w:rPr>
      </w:pPr>
    </w:p>
    <w:p w14:paraId="0BA94A32">
      <w:pPr>
        <w:pStyle w:val="15"/>
        <w:spacing w:line="360" w:lineRule="auto"/>
        <w:rPr>
          <w:rFonts w:hint="eastAsia" w:ascii="仿宋" w:hAnsi="仿宋" w:eastAsia="仿宋" w:cs="仿宋"/>
          <w:color w:val="auto"/>
          <w:sz w:val="22"/>
          <w:szCs w:val="24"/>
          <w:highlight w:val="none"/>
        </w:rPr>
      </w:pPr>
    </w:p>
    <w:p w14:paraId="4F9AB1F3">
      <w:pPr>
        <w:pStyle w:val="15"/>
        <w:spacing w:line="360" w:lineRule="auto"/>
        <w:rPr>
          <w:rFonts w:hint="eastAsia" w:ascii="仿宋" w:hAnsi="仿宋" w:eastAsia="仿宋" w:cs="仿宋"/>
          <w:color w:val="auto"/>
          <w:sz w:val="22"/>
          <w:szCs w:val="24"/>
          <w:highlight w:val="none"/>
        </w:rPr>
      </w:pPr>
    </w:p>
    <w:p w14:paraId="08AC9613">
      <w:pPr>
        <w:pStyle w:val="15"/>
        <w:spacing w:line="360" w:lineRule="auto"/>
        <w:rPr>
          <w:rFonts w:hint="eastAsia" w:ascii="仿宋" w:hAnsi="仿宋" w:eastAsia="仿宋" w:cs="仿宋"/>
          <w:color w:val="auto"/>
          <w:sz w:val="22"/>
          <w:szCs w:val="24"/>
          <w:highlight w:val="none"/>
        </w:rPr>
      </w:pPr>
    </w:p>
    <w:p w14:paraId="35A7108F">
      <w:pPr>
        <w:pStyle w:val="15"/>
        <w:spacing w:line="360" w:lineRule="auto"/>
        <w:rPr>
          <w:rFonts w:hint="eastAsia" w:ascii="仿宋" w:hAnsi="仿宋" w:eastAsia="仿宋" w:cs="仿宋"/>
          <w:color w:val="auto"/>
          <w:sz w:val="22"/>
          <w:szCs w:val="24"/>
          <w:highlight w:val="none"/>
        </w:rPr>
      </w:pPr>
    </w:p>
    <w:p w14:paraId="3AE1B825">
      <w:pPr>
        <w:pStyle w:val="15"/>
        <w:spacing w:line="360" w:lineRule="auto"/>
        <w:rPr>
          <w:rFonts w:hint="eastAsia" w:ascii="仿宋" w:hAnsi="仿宋" w:eastAsia="仿宋" w:cs="仿宋"/>
          <w:color w:val="auto"/>
          <w:sz w:val="22"/>
          <w:szCs w:val="24"/>
          <w:highlight w:val="none"/>
        </w:rPr>
      </w:pPr>
    </w:p>
    <w:p w14:paraId="34700541">
      <w:pPr>
        <w:pStyle w:val="15"/>
        <w:spacing w:line="360" w:lineRule="auto"/>
        <w:rPr>
          <w:rFonts w:hint="eastAsia" w:ascii="仿宋" w:hAnsi="仿宋" w:eastAsia="仿宋" w:cs="仿宋"/>
          <w:color w:val="auto"/>
          <w:sz w:val="22"/>
          <w:szCs w:val="24"/>
          <w:highlight w:val="none"/>
        </w:rPr>
      </w:pPr>
    </w:p>
    <w:p w14:paraId="478CCCB2">
      <w:pPr>
        <w:spacing w:line="360" w:lineRule="auto"/>
        <w:ind w:firstLine="360" w:firstLineChars="10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质疑函范本</w:t>
      </w:r>
    </w:p>
    <w:p w14:paraId="6E7C07E9">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一、质疑供应商基本信息</w:t>
      </w:r>
    </w:p>
    <w:p w14:paraId="0CFD4AD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质疑供应商：                                                              </w:t>
      </w:r>
    </w:p>
    <w:p w14:paraId="06A10B8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624CEC0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联系电话：                                       </w:t>
      </w:r>
    </w:p>
    <w:p w14:paraId="0823B00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                                                                 </w:t>
      </w:r>
    </w:p>
    <w:p w14:paraId="43F39B2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64A75FD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46DD5C3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14:paraId="339A44A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质疑项目的名称：                                                          </w:t>
      </w:r>
    </w:p>
    <w:p w14:paraId="3EE2740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质疑项目的编号：                    包号：                           </w:t>
      </w:r>
    </w:p>
    <w:p w14:paraId="6B3B84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采购人名称：                                                              </w:t>
      </w:r>
    </w:p>
    <w:p w14:paraId="4E8BA3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采购文件获取日期：                                                        </w:t>
      </w:r>
    </w:p>
    <w:p w14:paraId="17DC298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14:paraId="78375FC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质疑事项1：                                                              </w:t>
      </w:r>
    </w:p>
    <w:p w14:paraId="74F519A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事实依据：                                                                </w:t>
      </w:r>
    </w:p>
    <w:p w14:paraId="45C58FC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D7A970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法律依据：                                                                 </w:t>
      </w:r>
    </w:p>
    <w:p w14:paraId="3E016F2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87177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501901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93EEEB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3FA83B8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请求：                                                                     </w:t>
      </w:r>
    </w:p>
    <w:p w14:paraId="28FE2CE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37F513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51C6896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质疑函制作说明：</w:t>
      </w:r>
    </w:p>
    <w:p w14:paraId="59A83D1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319BD7C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AA585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0F632D9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326CBD5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0BD4027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3A3480E">
      <w:pPr>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7.供应商在法定质疑期内一次性提出针对同一采购程序环节的质疑。</w:t>
      </w:r>
    </w:p>
    <w:p w14:paraId="6F1F23CE">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8"/>
          <w:szCs w:val="28"/>
          <w:highlight w:val="none"/>
          <w:lang w:val="en-US" w:eastAsia="zh-CN"/>
        </w:rPr>
      </w:pPr>
    </w:p>
    <w:tbl>
      <w:tblPr>
        <w:tblStyle w:val="3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189"/>
      </w:tblGrid>
      <w:tr w14:paraId="694F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Merge w:val="restart"/>
            <w:noWrap w:val="0"/>
            <w:vAlign w:val="center"/>
          </w:tcPr>
          <w:p w14:paraId="22BCC83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质疑函接收方式</w:t>
            </w:r>
          </w:p>
        </w:tc>
        <w:tc>
          <w:tcPr>
            <w:tcW w:w="8189" w:type="dxa"/>
            <w:noWrap w:val="0"/>
            <w:vAlign w:val="center"/>
          </w:tcPr>
          <w:p w14:paraId="6E876C1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 书面质疑递交（或邮寄）地址：</w:t>
            </w:r>
            <w:r>
              <w:rPr>
                <w:rFonts w:hint="eastAsia" w:ascii="仿宋" w:hAnsi="仿宋" w:eastAsia="仿宋" w:cs="仿宋"/>
                <w:snapToGrid w:val="0"/>
                <w:color w:val="auto"/>
                <w:kern w:val="0"/>
                <w:sz w:val="24"/>
                <w:szCs w:val="24"/>
                <w:highlight w:val="none"/>
                <w:lang w:val="zh-CN" w:eastAsia="zh-CN"/>
              </w:rPr>
              <w:t>新和县发展和改革委员会</w:t>
            </w:r>
          </w:p>
          <w:p w14:paraId="30D220F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480" w:firstLineChars="200"/>
              <w:jc w:val="left"/>
              <w:textAlignment w:val="baseline"/>
              <w:outlineLvl w:val="9"/>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联系人：</w:t>
            </w:r>
            <w:r>
              <w:rPr>
                <w:rFonts w:hint="eastAsia" w:ascii="仿宋" w:hAnsi="仿宋" w:eastAsia="仿宋" w:cs="仿宋"/>
                <w:snapToGrid w:val="0"/>
                <w:color w:val="auto"/>
                <w:kern w:val="0"/>
                <w:sz w:val="24"/>
                <w:szCs w:val="24"/>
                <w:highlight w:val="none"/>
                <w:lang w:val="en-US" w:eastAsia="zh-CN"/>
              </w:rPr>
              <w:t xml:space="preserve">何鹏 </w:t>
            </w:r>
            <w:r>
              <w:rPr>
                <w:rFonts w:hint="eastAsia" w:ascii="仿宋" w:hAnsi="仿宋" w:eastAsia="仿宋" w:cs="仿宋"/>
                <w:snapToGrid w:val="0"/>
                <w:color w:val="auto"/>
                <w:kern w:val="0"/>
                <w:sz w:val="24"/>
                <w:szCs w:val="24"/>
                <w:highlight w:val="none"/>
                <w:lang w:eastAsia="zh-CN"/>
              </w:rPr>
              <w:t>电话:</w:t>
            </w:r>
            <w:r>
              <w:rPr>
                <w:rFonts w:hint="eastAsia" w:ascii="仿宋" w:hAnsi="仿宋" w:eastAsia="仿宋" w:cs="仿宋"/>
                <w:snapToGrid w:val="0"/>
                <w:color w:val="auto"/>
                <w:kern w:val="0"/>
                <w:sz w:val="24"/>
                <w:szCs w:val="24"/>
                <w:highlight w:val="none"/>
                <w:lang w:val="zh-CN" w:eastAsia="zh-CN"/>
              </w:rPr>
              <w:t>15160872671</w:t>
            </w:r>
          </w:p>
        </w:tc>
      </w:tr>
      <w:tr w14:paraId="03A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noWrap w:val="0"/>
            <w:vAlign w:val="center"/>
          </w:tcPr>
          <w:p w14:paraId="35668F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p>
        </w:tc>
        <w:tc>
          <w:tcPr>
            <w:tcW w:w="8189" w:type="dxa"/>
            <w:noWrap w:val="0"/>
            <w:vAlign w:val="center"/>
          </w:tcPr>
          <w:p w14:paraId="3897D5E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 书面质疑递交（或邮寄）地址：阿克苏市依干其镇依干其村滨河路电影小镇7号楼101（阿克苏启爵项目管理有限公司），</w:t>
            </w:r>
            <w:r>
              <w:rPr>
                <w:rFonts w:hint="eastAsia" w:ascii="仿宋" w:hAnsi="仿宋" w:eastAsia="仿宋" w:cs="仿宋"/>
                <w:snapToGrid w:val="0"/>
                <w:color w:val="auto"/>
                <w:kern w:val="0"/>
                <w:sz w:val="24"/>
                <w:szCs w:val="24"/>
                <w:highlight w:val="none"/>
                <w:lang w:val="en-US" w:eastAsia="zh-CN"/>
              </w:rPr>
              <w:t>刘荣英</w:t>
            </w:r>
            <w:r>
              <w:rPr>
                <w:rFonts w:hint="eastAsia" w:ascii="仿宋" w:hAnsi="仿宋" w:eastAsia="仿宋" w:cs="仿宋"/>
                <w:snapToGrid w:val="0"/>
                <w:color w:val="auto"/>
                <w:kern w:val="0"/>
                <w:sz w:val="24"/>
                <w:szCs w:val="24"/>
                <w:highlight w:val="none"/>
                <w:lang w:eastAsia="zh-CN"/>
              </w:rPr>
              <w:t>1</w:t>
            </w:r>
            <w:r>
              <w:rPr>
                <w:rFonts w:hint="eastAsia" w:ascii="仿宋" w:hAnsi="仿宋" w:eastAsia="仿宋" w:cs="仿宋"/>
                <w:snapToGrid w:val="0"/>
                <w:color w:val="auto"/>
                <w:kern w:val="0"/>
                <w:sz w:val="24"/>
                <w:szCs w:val="24"/>
                <w:highlight w:val="none"/>
                <w:lang w:val="en-US" w:eastAsia="zh-CN"/>
              </w:rPr>
              <w:t>8799952512</w:t>
            </w:r>
            <w:r>
              <w:rPr>
                <w:rFonts w:hint="eastAsia" w:ascii="仿宋" w:hAnsi="仿宋" w:eastAsia="仿宋" w:cs="仿宋"/>
                <w:snapToGrid w:val="0"/>
                <w:color w:val="auto"/>
                <w:kern w:val="0"/>
                <w:sz w:val="24"/>
                <w:szCs w:val="24"/>
                <w:highlight w:val="none"/>
                <w:lang w:eastAsia="zh-CN"/>
              </w:rPr>
              <w:t>或</w:t>
            </w:r>
            <w:r>
              <w:rPr>
                <w:rFonts w:hint="eastAsia" w:ascii="仿宋" w:hAnsi="仿宋" w:eastAsia="仿宋" w:cs="仿宋"/>
                <w:snapToGrid w:val="0"/>
                <w:color w:val="auto"/>
                <w:kern w:val="0"/>
                <w:sz w:val="24"/>
                <w:szCs w:val="24"/>
                <w:highlight w:val="none"/>
                <w:lang w:val="en-US" w:eastAsia="zh-CN"/>
              </w:rPr>
              <w:t>赵世昌15599778673</w:t>
            </w:r>
            <w:r>
              <w:rPr>
                <w:rFonts w:hint="eastAsia" w:ascii="仿宋" w:hAnsi="仿宋" w:eastAsia="仿宋" w:cs="仿宋"/>
                <w:snapToGrid w:val="0"/>
                <w:color w:val="auto"/>
                <w:kern w:val="0"/>
                <w:sz w:val="24"/>
                <w:szCs w:val="24"/>
                <w:highlight w:val="none"/>
                <w:lang w:eastAsia="zh-CN"/>
              </w:rPr>
              <w:t>收；同时将质疑文件扫描件发送至邮箱：</w:t>
            </w:r>
            <w:r>
              <w:rPr>
                <w:rFonts w:hint="eastAsia" w:ascii="仿宋" w:hAnsi="仿宋" w:eastAsia="仿宋" w:cs="仿宋"/>
                <w:snapToGrid w:val="0"/>
                <w:color w:val="auto"/>
                <w:kern w:val="0"/>
                <w:sz w:val="24"/>
                <w:szCs w:val="24"/>
                <w:highlight w:val="none"/>
                <w:lang w:eastAsia="zh-CN"/>
              </w:rPr>
              <w:fldChar w:fldCharType="begin"/>
            </w:r>
            <w:r>
              <w:rPr>
                <w:rFonts w:hint="eastAsia" w:ascii="仿宋" w:hAnsi="仿宋" w:eastAsia="仿宋" w:cs="仿宋"/>
                <w:snapToGrid w:val="0"/>
                <w:color w:val="auto"/>
                <w:kern w:val="0"/>
                <w:sz w:val="24"/>
                <w:szCs w:val="24"/>
                <w:highlight w:val="none"/>
                <w:lang w:eastAsia="zh-CN"/>
              </w:rPr>
              <w:instrText xml:space="preserve"> HYPERLINK "mailto:xjzy@xjzeyi.com）" </w:instrText>
            </w:r>
            <w:r>
              <w:rPr>
                <w:rFonts w:hint="eastAsia" w:ascii="仿宋" w:hAnsi="仿宋" w:eastAsia="仿宋" w:cs="仿宋"/>
                <w:snapToGrid w:val="0"/>
                <w:color w:val="auto"/>
                <w:kern w:val="0"/>
                <w:sz w:val="24"/>
                <w:szCs w:val="24"/>
                <w:highlight w:val="none"/>
                <w:lang w:eastAsia="zh-CN"/>
              </w:rPr>
              <w:fldChar w:fldCharType="separate"/>
            </w:r>
            <w:r>
              <w:rPr>
                <w:rFonts w:hint="eastAsia" w:ascii="仿宋" w:hAnsi="仿宋" w:eastAsia="仿宋" w:cs="仿宋"/>
                <w:snapToGrid w:val="0"/>
                <w:color w:val="auto"/>
                <w:kern w:val="0"/>
                <w:sz w:val="24"/>
                <w:szCs w:val="24"/>
                <w:highlight w:val="none"/>
                <w:lang w:eastAsia="zh-CN"/>
              </w:rPr>
              <w:t>295876479@qq.com</w:t>
            </w:r>
            <w:r>
              <w:rPr>
                <w:rFonts w:hint="eastAsia" w:ascii="仿宋" w:hAnsi="仿宋" w:eastAsia="仿宋" w:cs="仿宋"/>
                <w:snapToGrid w:val="0"/>
                <w:color w:val="auto"/>
                <w:kern w:val="0"/>
                <w:sz w:val="24"/>
                <w:szCs w:val="24"/>
                <w:highlight w:val="none"/>
                <w:lang w:eastAsia="zh-CN"/>
              </w:rPr>
              <w:fldChar w:fldCharType="end"/>
            </w:r>
            <w:r>
              <w:rPr>
                <w:rFonts w:hint="eastAsia" w:ascii="仿宋" w:hAnsi="仿宋" w:eastAsia="仿宋" w:cs="仿宋"/>
                <w:snapToGrid w:val="0"/>
                <w:color w:val="auto"/>
                <w:kern w:val="0"/>
                <w:sz w:val="24"/>
                <w:szCs w:val="24"/>
                <w:highlight w:val="none"/>
                <w:lang w:eastAsia="zh-CN"/>
              </w:rPr>
              <w:t>。</w:t>
            </w:r>
          </w:p>
        </w:tc>
      </w:tr>
    </w:tbl>
    <w:p w14:paraId="68D4DFBE">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p>
    <w:p w14:paraId="0133D4F9">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注：质疑函附件应提供营业执照扫描件、法</w:t>
      </w:r>
      <w:r>
        <w:rPr>
          <w:rFonts w:hint="eastAsia" w:ascii="仿宋" w:hAnsi="仿宋" w:eastAsia="仿宋" w:cs="仿宋"/>
          <w:snapToGrid w:val="0"/>
          <w:color w:val="auto"/>
          <w:kern w:val="0"/>
          <w:sz w:val="24"/>
          <w:szCs w:val="24"/>
          <w:highlight w:val="none"/>
          <w:lang w:val="en-US" w:eastAsia="zh-CN"/>
        </w:rPr>
        <w:t>定代表</w:t>
      </w:r>
      <w:r>
        <w:rPr>
          <w:rFonts w:hint="eastAsia" w:ascii="仿宋" w:hAnsi="仿宋" w:eastAsia="仿宋" w:cs="仿宋"/>
          <w:snapToGrid w:val="0"/>
          <w:color w:val="auto"/>
          <w:kern w:val="0"/>
          <w:sz w:val="24"/>
          <w:szCs w:val="24"/>
          <w:highlight w:val="none"/>
          <w:lang w:eastAsia="zh-CN"/>
        </w:rPr>
        <w:t>人身份证扫描件、授权委托人应附供应商授权委托书及被委托人身份证扫描件、获取</w:t>
      </w:r>
      <w:r>
        <w:rPr>
          <w:rFonts w:hint="eastAsia" w:ascii="仿宋" w:hAnsi="仿宋" w:eastAsia="仿宋" w:cs="仿宋"/>
          <w:snapToGrid w:val="0"/>
          <w:color w:val="auto"/>
          <w:kern w:val="0"/>
          <w:sz w:val="24"/>
          <w:szCs w:val="24"/>
          <w:highlight w:val="none"/>
          <w:lang w:val="en-US" w:eastAsia="zh-CN"/>
        </w:rPr>
        <w:t>磋商</w:t>
      </w:r>
      <w:r>
        <w:rPr>
          <w:rFonts w:hint="eastAsia" w:ascii="仿宋" w:hAnsi="仿宋" w:eastAsia="仿宋" w:cs="仿宋"/>
          <w:snapToGrid w:val="0"/>
          <w:color w:val="auto"/>
          <w:kern w:val="0"/>
          <w:sz w:val="24"/>
          <w:szCs w:val="24"/>
          <w:highlight w:val="none"/>
          <w:lang w:eastAsia="zh-CN"/>
        </w:rPr>
        <w:t>文件</w:t>
      </w:r>
      <w:r>
        <w:rPr>
          <w:rFonts w:hint="eastAsia" w:ascii="仿宋" w:hAnsi="仿宋" w:eastAsia="仿宋" w:cs="仿宋"/>
          <w:snapToGrid w:val="0"/>
          <w:color w:val="auto"/>
          <w:kern w:val="0"/>
          <w:sz w:val="24"/>
          <w:szCs w:val="24"/>
          <w:highlight w:val="none"/>
          <w:lang w:val="en-US" w:eastAsia="zh-CN"/>
        </w:rPr>
        <w:t>证明材料</w:t>
      </w:r>
      <w:r>
        <w:rPr>
          <w:rFonts w:hint="eastAsia" w:ascii="仿宋" w:hAnsi="仿宋" w:eastAsia="仿宋" w:cs="仿宋"/>
          <w:snapToGrid w:val="0"/>
          <w:color w:val="auto"/>
          <w:kern w:val="0"/>
          <w:sz w:val="24"/>
          <w:szCs w:val="24"/>
          <w:highlight w:val="none"/>
          <w:lang w:eastAsia="zh-CN"/>
        </w:rPr>
        <w:t>。</w:t>
      </w:r>
    </w:p>
    <w:p w14:paraId="4EA77A68">
      <w:pPr>
        <w:keepNext w:val="0"/>
        <w:keepLines w:val="0"/>
        <w:pageBreakBefore w:val="0"/>
        <w:widowControl/>
        <w:kinsoku w:val="0"/>
        <w:wordWrap/>
        <w:overflowPunct/>
        <w:topLinePunct w:val="0"/>
        <w:autoSpaceDE w:val="0"/>
        <w:autoSpaceDN w:val="0"/>
        <w:bidi w:val="0"/>
        <w:adjustRightInd w:val="0"/>
        <w:snapToGrid w:val="0"/>
        <w:spacing w:line="440" w:lineRule="exact"/>
        <w:ind w:firstLine="251" w:firstLineChars="100"/>
        <w:jc w:val="both"/>
        <w:textAlignment w:val="baseline"/>
        <w:outlineLvl w:val="9"/>
        <w:rPr>
          <w:rFonts w:hint="eastAsia" w:ascii="仿宋" w:hAnsi="仿宋" w:eastAsia="仿宋" w:cs="仿宋"/>
          <w:b/>
          <w:bCs/>
          <w:snapToGrid w:val="0"/>
          <w:color w:val="auto"/>
          <w:spacing w:val="5"/>
          <w:kern w:val="0"/>
          <w:sz w:val="24"/>
          <w:szCs w:val="24"/>
          <w:highlight w:val="none"/>
          <w:lang w:eastAsia="en-US"/>
        </w:rPr>
      </w:pPr>
    </w:p>
    <w:p w14:paraId="680ED614">
      <w:pPr>
        <w:spacing w:line="360" w:lineRule="auto"/>
        <w:ind w:firstLine="240" w:firstLineChars="100"/>
        <w:rPr>
          <w:rFonts w:hint="eastAsia" w:ascii="仿宋" w:hAnsi="仿宋" w:eastAsia="仿宋" w:cs="仿宋"/>
          <w:color w:val="auto"/>
          <w:sz w:val="24"/>
          <w:szCs w:val="24"/>
          <w:highlight w:val="none"/>
        </w:rPr>
        <w:sectPr>
          <w:footerReference r:id="rId9" w:type="default"/>
          <w:pgSz w:w="11906" w:h="16838"/>
          <w:pgMar w:top="1440" w:right="1080" w:bottom="1440" w:left="1080" w:header="851" w:footer="992" w:gutter="0"/>
          <w:pgNumType w:fmt="decimal" w:start="1"/>
          <w:cols w:space="720" w:num="1"/>
          <w:docGrid w:type="lines" w:linePitch="312" w:charSpace="0"/>
        </w:sectPr>
      </w:pPr>
    </w:p>
    <w:p w14:paraId="43251520">
      <w:pPr>
        <w:spacing w:after="240" w:afterLines="100" w:line="360" w:lineRule="auto"/>
        <w:jc w:val="center"/>
        <w:outlineLvl w:val="0"/>
        <w:rPr>
          <w:rFonts w:hint="eastAsia" w:ascii="仿宋" w:hAnsi="仿宋" w:eastAsia="仿宋" w:cs="仿宋"/>
          <w:b/>
          <w:bCs/>
          <w:color w:val="auto"/>
          <w:sz w:val="36"/>
          <w:szCs w:val="36"/>
          <w:highlight w:val="none"/>
        </w:rPr>
      </w:pPr>
      <w:bookmarkStart w:id="39" w:name="_Toc22591"/>
      <w:bookmarkStart w:id="40" w:name="_Toc19332"/>
      <w:r>
        <w:rPr>
          <w:rFonts w:hint="eastAsia" w:ascii="仿宋" w:hAnsi="仿宋" w:eastAsia="仿宋" w:cs="仿宋"/>
          <w:b/>
          <w:bCs/>
          <w:color w:val="auto"/>
          <w:sz w:val="36"/>
          <w:szCs w:val="36"/>
          <w:highlight w:val="none"/>
        </w:rPr>
        <w:t>第三章  采购需求</w:t>
      </w:r>
      <w:bookmarkEnd w:id="39"/>
      <w:bookmarkEnd w:id="40"/>
    </w:p>
    <w:p w14:paraId="6F2532F1">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b/>
          <w:bCs/>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一、技术要求</w:t>
      </w:r>
    </w:p>
    <w:p w14:paraId="66FE4E22">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lang w:eastAsia="en-US"/>
        </w:rPr>
        <w:t>1</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项目名称</w:t>
      </w:r>
      <w:r>
        <w:rPr>
          <w:rFonts w:hint="eastAsia" w:ascii="仿宋" w:hAnsi="仿宋" w:eastAsia="仿宋" w:cs="仿宋"/>
          <w:snapToGrid w:val="0"/>
          <w:color w:val="auto"/>
          <w:spacing w:val="1"/>
          <w:kern w:val="0"/>
          <w:sz w:val="28"/>
          <w:szCs w:val="28"/>
          <w:highlight w:val="none"/>
          <w:lang w:eastAsia="zh-CN"/>
        </w:rPr>
        <w:t>：新和县碳达峰碳中和规划（含煤炭消费控制总量、全县碳排放总量摸排）</w:t>
      </w:r>
    </w:p>
    <w:p w14:paraId="0BE93E98">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color w:val="auto"/>
          <w:spacing w:val="1"/>
          <w:sz w:val="28"/>
          <w:szCs w:val="28"/>
          <w:highlight w:val="none"/>
          <w:u w:val="single"/>
          <w:lang w:val="en-US" w:eastAsia="zh-CN"/>
        </w:rPr>
      </w:pPr>
      <w:r>
        <w:rPr>
          <w:rFonts w:hint="eastAsia" w:ascii="仿宋" w:hAnsi="仿宋" w:eastAsia="仿宋" w:cs="仿宋"/>
          <w:snapToGrid w:val="0"/>
          <w:color w:val="auto"/>
          <w:spacing w:val="1"/>
          <w:kern w:val="0"/>
          <w:sz w:val="28"/>
          <w:szCs w:val="28"/>
          <w:highlight w:val="none"/>
          <w:lang w:eastAsia="en-US"/>
        </w:rPr>
        <w:t>2</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项目背景</w:t>
      </w:r>
      <w:r>
        <w:rPr>
          <w:rFonts w:hint="eastAsia" w:ascii="仿宋" w:hAnsi="仿宋" w:eastAsia="仿宋" w:cs="仿宋"/>
          <w:snapToGrid w:val="0"/>
          <w:color w:val="auto"/>
          <w:spacing w:val="1"/>
          <w:kern w:val="0"/>
          <w:sz w:val="28"/>
          <w:szCs w:val="28"/>
          <w:highlight w:val="none"/>
          <w:lang w:eastAsia="zh-CN"/>
        </w:rPr>
        <w:t>：</w:t>
      </w:r>
      <w:r>
        <w:rPr>
          <w:rFonts w:hint="eastAsia" w:ascii="仿宋" w:hAnsi="仿宋" w:eastAsia="仿宋" w:cs="仿宋"/>
          <w:color w:val="auto"/>
          <w:spacing w:val="1"/>
          <w:sz w:val="28"/>
          <w:szCs w:val="28"/>
          <w:highlight w:val="none"/>
          <w:u w:val="single"/>
          <w:lang w:val="en-US" w:eastAsia="zh-CN"/>
        </w:rPr>
        <w:t>编制</w:t>
      </w:r>
      <w:r>
        <w:rPr>
          <w:rFonts w:hint="eastAsia" w:ascii="仿宋" w:hAnsi="仿宋" w:eastAsia="仿宋" w:cs="仿宋"/>
          <w:color w:val="auto"/>
          <w:spacing w:val="1"/>
          <w:sz w:val="28"/>
          <w:szCs w:val="28"/>
          <w:highlight w:val="none"/>
          <w:u w:val="single"/>
          <w:lang w:eastAsia="zh-CN"/>
        </w:rPr>
        <w:t>新和县碳达峰碳中和规划（含煤炭消费控制总量、全县碳排放总量摸排）</w:t>
      </w:r>
      <w:r>
        <w:rPr>
          <w:rFonts w:hint="eastAsia" w:ascii="仿宋" w:hAnsi="仿宋" w:eastAsia="仿宋" w:cs="仿宋"/>
          <w:color w:val="auto"/>
          <w:spacing w:val="1"/>
          <w:sz w:val="28"/>
          <w:szCs w:val="28"/>
          <w:highlight w:val="none"/>
          <w:u w:val="single"/>
          <w:lang w:val="en-US" w:eastAsia="zh-CN"/>
        </w:rPr>
        <w:t>，是落实“双碳”战略、践行绿色低碳发展理念的重要举措，也是推动新和县产业转型升级、培育高质量发展新动能、实现生态与经济协同发展的关键抓手</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snapToGrid w:val="0"/>
          <w:color w:val="auto"/>
          <w:spacing w:val="1"/>
          <w:kern w:val="0"/>
          <w:sz w:val="28"/>
          <w:szCs w:val="28"/>
          <w:highlight w:val="none"/>
          <w:lang w:eastAsia="en-US"/>
        </w:rPr>
        <w:t>本次最终提交成果为</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eastAsia="zh-CN"/>
        </w:rPr>
        <w:t>新和县</w:t>
      </w:r>
      <w:r>
        <w:rPr>
          <w:rFonts w:hint="default" w:ascii="仿宋" w:hAnsi="仿宋" w:eastAsia="仿宋" w:cs="仿宋"/>
          <w:color w:val="auto"/>
          <w:spacing w:val="1"/>
          <w:sz w:val="28"/>
          <w:szCs w:val="28"/>
          <w:highlight w:val="none"/>
          <w:u w:val="single"/>
          <w:lang w:eastAsia="en-US"/>
        </w:rPr>
        <w:t>碳达峰碳中和规划文本+图集+PPT+数据台账</w:t>
      </w:r>
      <w:r>
        <w:rPr>
          <w:rFonts w:hint="eastAsia" w:ascii="仿宋" w:hAnsi="仿宋" w:eastAsia="仿宋" w:cs="仿宋"/>
          <w:color w:val="auto"/>
          <w:spacing w:val="1"/>
          <w:sz w:val="28"/>
          <w:szCs w:val="28"/>
          <w:highlight w:val="none"/>
          <w:u w:val="single"/>
          <w:lang w:eastAsia="zh-CN"/>
        </w:rPr>
        <w:t>（含煤炭消费控制总量、碳排放总量摸排情况及碳预算管理方案）</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val="en-US" w:eastAsia="zh-CN"/>
        </w:rPr>
        <w:t>。</w:t>
      </w:r>
    </w:p>
    <w:p w14:paraId="036F2F4F">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 xml:space="preserve"> 3</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核心目标</w:t>
      </w:r>
      <w:r>
        <w:rPr>
          <w:rFonts w:hint="eastAsia" w:ascii="仿宋" w:hAnsi="仿宋" w:eastAsia="仿宋" w:cs="仿宋"/>
          <w:snapToGrid w:val="0"/>
          <w:color w:val="auto"/>
          <w:spacing w:val="1"/>
          <w:kern w:val="0"/>
          <w:sz w:val="28"/>
          <w:szCs w:val="28"/>
          <w:highlight w:val="none"/>
          <w:lang w:eastAsia="zh-CN"/>
        </w:rPr>
        <w:t>：</w:t>
      </w:r>
      <w:r>
        <w:rPr>
          <w:rFonts w:hint="eastAsia" w:ascii="仿宋" w:hAnsi="仿宋" w:eastAsia="仿宋" w:cs="仿宋"/>
          <w:snapToGrid w:val="0"/>
          <w:color w:val="auto"/>
          <w:spacing w:val="1"/>
          <w:kern w:val="0"/>
          <w:sz w:val="28"/>
          <w:szCs w:val="28"/>
          <w:highlight w:val="none"/>
          <w:lang w:eastAsia="en-US"/>
        </w:rPr>
        <w:t>采购具有相应资信与专业能力的咨询服务机构，编制完成一份立足县域实际、思路清晰、路径明确、举措扎实的</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eastAsia="zh-CN"/>
        </w:rPr>
        <w:t>新和县</w:t>
      </w:r>
      <w:r>
        <w:rPr>
          <w:rFonts w:hint="default" w:ascii="仿宋" w:hAnsi="仿宋" w:eastAsia="仿宋" w:cs="仿宋"/>
          <w:color w:val="auto"/>
          <w:spacing w:val="1"/>
          <w:sz w:val="28"/>
          <w:szCs w:val="28"/>
          <w:highlight w:val="none"/>
          <w:u w:val="single"/>
          <w:lang w:eastAsia="en-US"/>
        </w:rPr>
        <w:t>碳达峰碳中和规划文本+图集+PPT+数据台账</w:t>
      </w:r>
      <w:r>
        <w:rPr>
          <w:rFonts w:hint="eastAsia" w:ascii="仿宋" w:hAnsi="仿宋" w:eastAsia="仿宋" w:cs="仿宋"/>
          <w:color w:val="auto"/>
          <w:spacing w:val="1"/>
          <w:sz w:val="28"/>
          <w:szCs w:val="28"/>
          <w:highlight w:val="none"/>
          <w:u w:val="single"/>
          <w:lang w:eastAsia="zh-CN"/>
        </w:rPr>
        <w:t>（含煤炭消费控制总量、碳排放总量摸排情况及碳预算管理方案）</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eastAsia="zh-CN"/>
        </w:rPr>
        <w:t>，</w:t>
      </w:r>
      <w:r>
        <w:rPr>
          <w:rFonts w:hint="eastAsia" w:ascii="仿宋" w:hAnsi="仿宋" w:eastAsia="仿宋" w:cs="仿宋"/>
          <w:snapToGrid w:val="0"/>
          <w:color w:val="auto"/>
          <w:spacing w:val="1"/>
          <w:kern w:val="0"/>
          <w:sz w:val="28"/>
          <w:szCs w:val="28"/>
          <w:highlight w:val="none"/>
          <w:lang w:eastAsia="en-US"/>
        </w:rPr>
        <w:t>为县委、县政府相关决策提供科学依据和行动指引。</w:t>
      </w:r>
    </w:p>
    <w:p w14:paraId="5C0ADD0C">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b/>
          <w:bCs/>
          <w:snapToGrid w:val="0"/>
          <w:color w:val="auto"/>
          <w:spacing w:val="1"/>
          <w:kern w:val="0"/>
          <w:sz w:val="28"/>
          <w:szCs w:val="28"/>
          <w:highlight w:val="none"/>
          <w:lang w:val="en-US" w:eastAsia="zh-CN"/>
        </w:rPr>
        <w:t>二、</w:t>
      </w:r>
      <w:r>
        <w:rPr>
          <w:rFonts w:hint="eastAsia" w:ascii="仿宋" w:hAnsi="仿宋" w:eastAsia="仿宋" w:cs="仿宋"/>
          <w:b/>
          <w:bCs/>
          <w:snapToGrid w:val="0"/>
          <w:color w:val="auto"/>
          <w:spacing w:val="1"/>
          <w:kern w:val="0"/>
          <w:sz w:val="28"/>
          <w:szCs w:val="28"/>
          <w:highlight w:val="none"/>
          <w:lang w:eastAsia="en-US"/>
        </w:rPr>
        <w:t>其他要求</w:t>
      </w:r>
      <w:bookmarkStart w:id="41" w:name="_Hlk215750031"/>
    </w:p>
    <w:p w14:paraId="33BF7C4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1</w:t>
      </w:r>
      <w:bookmarkEnd w:id="41"/>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供应商需组建不少于</w:t>
      </w:r>
      <w:r>
        <w:rPr>
          <w:rFonts w:hint="eastAsia" w:ascii="仿宋" w:hAnsi="仿宋" w:eastAsia="仿宋" w:cs="仿宋"/>
          <w:color w:val="auto"/>
          <w:spacing w:val="1"/>
          <w:sz w:val="28"/>
          <w:szCs w:val="28"/>
          <w:highlight w:val="none"/>
          <w:u w:val="single"/>
          <w:lang w:val="en-US" w:eastAsia="zh-CN"/>
        </w:rPr>
        <w:t>5</w:t>
      </w:r>
      <w:r>
        <w:rPr>
          <w:rFonts w:hint="default" w:ascii="仿宋" w:hAnsi="仿宋" w:eastAsia="仿宋" w:cs="仿宋"/>
          <w:color w:val="auto"/>
          <w:spacing w:val="1"/>
          <w:sz w:val="28"/>
          <w:szCs w:val="28"/>
          <w:highlight w:val="none"/>
          <w:u w:val="single"/>
          <w:lang w:eastAsia="en-US"/>
        </w:rPr>
        <w:t>人</w:t>
      </w:r>
      <w:r>
        <w:rPr>
          <w:rFonts w:hint="eastAsia" w:ascii="仿宋" w:hAnsi="仿宋" w:eastAsia="仿宋" w:cs="仿宋"/>
          <w:snapToGrid w:val="0"/>
          <w:color w:val="auto"/>
          <w:spacing w:val="1"/>
          <w:kern w:val="0"/>
          <w:sz w:val="28"/>
          <w:szCs w:val="28"/>
          <w:highlight w:val="none"/>
          <w:lang w:eastAsia="en-US"/>
        </w:rPr>
        <w:t>的项目团队，团队成员需具有强大的技术力量和丰富的规划编制经历。其中项目负责人1人，负责与采购方对接项目需求和汇报项目进展、统筹安排项目团队分工、主持开展实地调研和座谈会，广泛</w:t>
      </w:r>
      <w:r>
        <w:rPr>
          <w:rFonts w:hint="eastAsia" w:ascii="仿宋" w:hAnsi="仿宋" w:eastAsia="仿宋" w:cs="仿宋"/>
          <w:snapToGrid w:val="0"/>
          <w:color w:val="auto"/>
          <w:spacing w:val="1"/>
          <w:kern w:val="0"/>
          <w:sz w:val="28"/>
          <w:szCs w:val="28"/>
          <w:highlight w:val="none"/>
          <w:lang w:eastAsia="zh-CN"/>
        </w:rPr>
        <w:t>开展</w:t>
      </w:r>
      <w:r>
        <w:rPr>
          <w:rFonts w:hint="eastAsia" w:ascii="仿宋" w:hAnsi="仿宋" w:eastAsia="仿宋" w:cs="仿宋"/>
          <w:snapToGrid w:val="0"/>
          <w:color w:val="auto"/>
          <w:spacing w:val="1"/>
          <w:kern w:val="0"/>
          <w:sz w:val="28"/>
          <w:szCs w:val="28"/>
          <w:highlight w:val="none"/>
          <w:lang w:eastAsia="en-US"/>
        </w:rPr>
        <w:t>意见征求、配合开展规划的上报工作；项目团队其他成员不少于</w:t>
      </w:r>
      <w:r>
        <w:rPr>
          <w:rFonts w:hint="eastAsia" w:ascii="仿宋" w:hAnsi="仿宋" w:eastAsia="仿宋" w:cs="仿宋"/>
          <w:snapToGrid w:val="0"/>
          <w:color w:val="auto"/>
          <w:spacing w:val="1"/>
          <w:kern w:val="0"/>
          <w:sz w:val="28"/>
          <w:szCs w:val="28"/>
          <w:highlight w:val="none"/>
          <w:lang w:val="en-US" w:eastAsia="zh-CN"/>
        </w:rPr>
        <w:t>4</w:t>
      </w:r>
      <w:r>
        <w:rPr>
          <w:rFonts w:hint="eastAsia" w:ascii="仿宋" w:hAnsi="仿宋" w:eastAsia="仿宋" w:cs="仿宋"/>
          <w:snapToGrid w:val="0"/>
          <w:color w:val="auto"/>
          <w:spacing w:val="1"/>
          <w:kern w:val="0"/>
          <w:sz w:val="28"/>
          <w:szCs w:val="28"/>
          <w:highlight w:val="none"/>
          <w:lang w:eastAsia="en-US"/>
        </w:rPr>
        <w:t>人，按照项目负责人安排，参与实地调研、意见征求、文本撰写等工作，文本主要撰写者</w:t>
      </w:r>
      <w:r>
        <w:rPr>
          <w:rFonts w:hint="eastAsia" w:ascii="仿宋" w:hAnsi="仿宋" w:eastAsia="仿宋" w:cs="仿宋"/>
          <w:snapToGrid w:val="0"/>
          <w:color w:val="auto"/>
          <w:spacing w:val="1"/>
          <w:kern w:val="0"/>
          <w:sz w:val="28"/>
          <w:szCs w:val="28"/>
          <w:highlight w:val="none"/>
          <w:lang w:eastAsia="zh-CN"/>
        </w:rPr>
        <w:t>须</w:t>
      </w:r>
      <w:r>
        <w:rPr>
          <w:rFonts w:hint="eastAsia" w:ascii="仿宋" w:hAnsi="仿宋" w:eastAsia="仿宋" w:cs="仿宋"/>
          <w:snapToGrid w:val="0"/>
          <w:color w:val="auto"/>
          <w:spacing w:val="1"/>
          <w:kern w:val="0"/>
          <w:sz w:val="28"/>
          <w:szCs w:val="28"/>
          <w:highlight w:val="none"/>
          <w:lang w:eastAsia="en-US"/>
        </w:rPr>
        <w:t>具有高级及以上职称，亲自参与规划文本的调研、编撰工作，不得挂名。</w:t>
      </w:r>
    </w:p>
    <w:p w14:paraId="4403AE8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val="en-US" w:eastAsia="en-US"/>
        </w:rPr>
        <w:t>2</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保密要求：成交供应商对采购人提供的业务资料、技术资料、调研数据等所有涉密信息（包括但不限于产业数据、企业信息、政策文件等）承担保密义务，</w:t>
      </w:r>
      <w:r>
        <w:rPr>
          <w:rFonts w:hint="default" w:ascii="仿宋" w:hAnsi="仿宋" w:eastAsia="仿宋" w:cs="仿宋"/>
          <w:color w:val="auto"/>
          <w:spacing w:val="1"/>
          <w:sz w:val="28"/>
          <w:szCs w:val="28"/>
          <w:highlight w:val="none"/>
          <w:u w:val="single"/>
          <w:lang w:eastAsia="en-US"/>
        </w:rPr>
        <w:t>涉密数据永久保密，非涉密数据保密期为合同履行完毕后3年</w:t>
      </w:r>
      <w:r>
        <w:rPr>
          <w:rFonts w:hint="eastAsia" w:ascii="仿宋" w:hAnsi="仿宋" w:eastAsia="仿宋" w:cs="仿宋"/>
          <w:snapToGrid w:val="0"/>
          <w:color w:val="auto"/>
          <w:spacing w:val="1"/>
          <w:kern w:val="0"/>
          <w:sz w:val="28"/>
          <w:szCs w:val="28"/>
          <w:highlight w:val="none"/>
          <w:lang w:eastAsia="en-US"/>
        </w:rPr>
        <w:t>；不得向任何第三方泄露、扩散，不得用于本项目以外的其他用途；若违反保密约定，需承担相应法律责任，并赔偿采购人因此造成的全部损失。</w:t>
      </w:r>
    </w:p>
    <w:p w14:paraId="3741E5AC">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val="en-US" w:eastAsia="en-US"/>
        </w:rPr>
        <w:t>3</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合同履行要求：成交供应商需严格按照合同约定的服务期限、服务内容、成果标准履行义务，不得迟延履行、不完全履行或擅自变更服务内容；若因供应商原因导致项目延期，每逾期1个工作日，</w:t>
      </w:r>
      <w:r>
        <w:rPr>
          <w:rFonts w:hint="default" w:ascii="仿宋" w:hAnsi="仿宋" w:eastAsia="仿宋" w:cs="仿宋"/>
          <w:color w:val="auto"/>
          <w:spacing w:val="1"/>
          <w:sz w:val="28"/>
          <w:szCs w:val="28"/>
          <w:highlight w:val="none"/>
          <w:u w:val="single"/>
          <w:lang w:eastAsia="en-US"/>
        </w:rPr>
        <w:t>按合同总价款的0.</w:t>
      </w:r>
      <w:r>
        <w:rPr>
          <w:rFonts w:hint="eastAsia" w:ascii="仿宋" w:hAnsi="仿宋" w:eastAsia="仿宋" w:cs="仿宋"/>
          <w:color w:val="auto"/>
          <w:spacing w:val="1"/>
          <w:sz w:val="28"/>
          <w:szCs w:val="28"/>
          <w:highlight w:val="none"/>
          <w:u w:val="single"/>
          <w:lang w:val="en-US" w:eastAsia="zh-CN"/>
        </w:rPr>
        <w:t>3</w:t>
      </w:r>
      <w:r>
        <w:rPr>
          <w:rFonts w:hint="default" w:ascii="仿宋" w:hAnsi="仿宋" w:eastAsia="仿宋" w:cs="仿宋"/>
          <w:color w:val="auto"/>
          <w:spacing w:val="1"/>
          <w:sz w:val="28"/>
          <w:szCs w:val="28"/>
          <w:highlight w:val="none"/>
          <w:u w:val="single"/>
          <w:lang w:eastAsia="en-US"/>
        </w:rPr>
        <w:t>‰支付违约金（累计违约金不超过合同总价款的</w:t>
      </w:r>
      <w:r>
        <w:rPr>
          <w:rFonts w:hint="eastAsia" w:ascii="仿宋" w:hAnsi="仿宋" w:eastAsia="仿宋" w:cs="仿宋"/>
          <w:color w:val="auto"/>
          <w:spacing w:val="1"/>
          <w:sz w:val="28"/>
          <w:szCs w:val="28"/>
          <w:highlight w:val="none"/>
          <w:u w:val="single"/>
          <w:lang w:val="en-US" w:eastAsia="zh-CN"/>
        </w:rPr>
        <w:t>5</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snapToGrid w:val="0"/>
          <w:color w:val="auto"/>
          <w:spacing w:val="1"/>
          <w:kern w:val="0"/>
          <w:sz w:val="28"/>
          <w:szCs w:val="28"/>
          <w:highlight w:val="none"/>
          <w:lang w:eastAsia="en-US"/>
        </w:rPr>
        <w:t>；逾期超过15个工作日，采购人有权解除合同，并追究供应商违约责任。</w:t>
      </w:r>
    </w:p>
    <w:p w14:paraId="59586783">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val="en-US" w:eastAsia="en-US"/>
        </w:rPr>
        <w:t>4</w:t>
      </w:r>
      <w:r>
        <w:rPr>
          <w:rFonts w:hint="eastAsia" w:ascii="仿宋" w:hAnsi="仿宋" w:eastAsia="仿宋" w:cs="仿宋"/>
          <w:snapToGrid w:val="0"/>
          <w:color w:val="auto"/>
          <w:spacing w:val="1"/>
          <w:kern w:val="0"/>
          <w:sz w:val="28"/>
          <w:szCs w:val="28"/>
          <w:highlight w:val="none"/>
          <w:lang w:val="en-US" w:eastAsia="zh-CN"/>
        </w:rPr>
        <w:t>.</w:t>
      </w:r>
      <w:r>
        <w:rPr>
          <w:rFonts w:hint="eastAsia" w:ascii="仿宋" w:hAnsi="仿宋" w:eastAsia="仿宋" w:cs="仿宋"/>
          <w:snapToGrid w:val="0"/>
          <w:color w:val="auto"/>
          <w:spacing w:val="1"/>
          <w:kern w:val="0"/>
          <w:sz w:val="28"/>
          <w:szCs w:val="28"/>
          <w:highlight w:val="none"/>
          <w:lang w:eastAsia="en-US"/>
        </w:rPr>
        <w:t>知识产权要求：本项目所有成果（包括但不限于规划报告、调研数据、文本资料、图表等）的知识产权归采购人独家所有，成交供应商不得擅自复制、传播或用于其他商业用途；未经采购人书面同意，供应商不得在任何场合引用本项目成果的核心内容。</w:t>
      </w:r>
    </w:p>
    <w:p w14:paraId="503E4CAB">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val="en-US" w:eastAsia="en-US"/>
        </w:rPr>
        <w:t>5</w:t>
      </w:r>
      <w:r>
        <w:rPr>
          <w:rFonts w:hint="eastAsia" w:ascii="仿宋" w:hAnsi="仿宋" w:eastAsia="仿宋" w:cs="仿宋"/>
          <w:snapToGrid w:val="0"/>
          <w:color w:val="auto"/>
          <w:spacing w:val="1"/>
          <w:kern w:val="0"/>
          <w:sz w:val="28"/>
          <w:szCs w:val="28"/>
          <w:highlight w:val="none"/>
          <w:lang w:val="en-US" w:eastAsia="zh-CN"/>
        </w:rPr>
        <w:t>.</w:t>
      </w:r>
      <w:r>
        <w:rPr>
          <w:rFonts w:hint="default" w:ascii="仿宋" w:hAnsi="仿宋" w:eastAsia="仿宋" w:cs="仿宋"/>
          <w:snapToGrid w:val="0"/>
          <w:color w:val="auto"/>
          <w:spacing w:val="1"/>
          <w:kern w:val="0"/>
          <w:sz w:val="28"/>
          <w:szCs w:val="28"/>
          <w:highlight w:val="none"/>
          <w:lang w:eastAsia="en-US"/>
        </w:rPr>
        <w:t>第三方协作要求：若成交供应商无法按时按承诺完成工作，采购人有权委托第三方完成剩余工作，所需全部费用由成交供应商承担，且采购人有权扣除相应合同价款；第三方服务成果的质量责任由成交供应商承担连带责任。</w:t>
      </w:r>
    </w:p>
    <w:p w14:paraId="26DA4830">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val="en-US" w:eastAsia="en-US"/>
        </w:rPr>
        <w:t>6</w:t>
      </w:r>
      <w:r>
        <w:rPr>
          <w:rFonts w:hint="eastAsia" w:ascii="仿宋" w:hAnsi="仿宋" w:eastAsia="仿宋" w:cs="仿宋"/>
          <w:snapToGrid w:val="0"/>
          <w:color w:val="auto"/>
          <w:spacing w:val="1"/>
          <w:kern w:val="0"/>
          <w:sz w:val="28"/>
          <w:szCs w:val="28"/>
          <w:highlight w:val="none"/>
          <w:lang w:val="en-US" w:eastAsia="zh-CN"/>
        </w:rPr>
        <w:t>.</w:t>
      </w:r>
      <w:r>
        <w:rPr>
          <w:rFonts w:hint="default" w:ascii="仿宋" w:hAnsi="仿宋" w:eastAsia="仿宋" w:cs="仿宋"/>
          <w:snapToGrid w:val="0"/>
          <w:color w:val="auto"/>
          <w:spacing w:val="1"/>
          <w:kern w:val="0"/>
          <w:sz w:val="28"/>
          <w:szCs w:val="28"/>
          <w:highlight w:val="none"/>
          <w:lang w:eastAsia="en-US"/>
        </w:rPr>
        <w:t>服务保障要求：成交供应商需建立专项服务保障机制，提供7×24小时应急联络服务，对采购方提出的咨询、修改意见等在24小时内响应，5个工作日内完成处理；在规划实施阶段，需提供为期1年的免费咨询服务，协助采购方解读规划、推进项目落地等。</w:t>
      </w:r>
    </w:p>
    <w:p w14:paraId="1210A70A">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b/>
          <w:bCs/>
          <w:snapToGrid w:val="0"/>
          <w:color w:val="auto"/>
          <w:spacing w:val="1"/>
          <w:kern w:val="0"/>
          <w:sz w:val="28"/>
          <w:szCs w:val="28"/>
          <w:highlight w:val="none"/>
          <w:lang w:eastAsia="en-US"/>
        </w:rPr>
      </w:pPr>
      <w:r>
        <w:rPr>
          <w:rFonts w:hint="eastAsia" w:ascii="仿宋" w:hAnsi="仿宋" w:eastAsia="仿宋" w:cs="仿宋"/>
          <w:b/>
          <w:bCs/>
          <w:snapToGrid w:val="0"/>
          <w:color w:val="auto"/>
          <w:spacing w:val="1"/>
          <w:kern w:val="0"/>
          <w:sz w:val="28"/>
          <w:szCs w:val="28"/>
          <w:highlight w:val="none"/>
          <w:lang w:val="en-US" w:eastAsia="zh-CN"/>
        </w:rPr>
        <w:t>三、</w:t>
      </w:r>
      <w:r>
        <w:rPr>
          <w:rFonts w:hint="default" w:ascii="仿宋" w:hAnsi="仿宋" w:eastAsia="仿宋" w:cs="仿宋"/>
          <w:b/>
          <w:bCs/>
          <w:snapToGrid w:val="0"/>
          <w:color w:val="auto"/>
          <w:spacing w:val="1"/>
          <w:kern w:val="0"/>
          <w:sz w:val="28"/>
          <w:szCs w:val="28"/>
          <w:highlight w:val="none"/>
          <w:lang w:eastAsia="en-US"/>
        </w:rPr>
        <w:t>验收</w:t>
      </w:r>
    </w:p>
    <w:p w14:paraId="2B029F3F">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bookmarkStart w:id="42" w:name="_Hlk215750097"/>
      <w:r>
        <w:rPr>
          <w:rFonts w:hint="default" w:ascii="仿宋" w:hAnsi="仿宋" w:eastAsia="仿宋" w:cs="仿宋"/>
          <w:snapToGrid w:val="0"/>
          <w:color w:val="auto"/>
          <w:spacing w:val="1"/>
          <w:kern w:val="0"/>
          <w:sz w:val="28"/>
          <w:szCs w:val="28"/>
          <w:highlight w:val="none"/>
          <w:lang w:eastAsia="en-US"/>
        </w:rPr>
        <w:t>1</w:t>
      </w:r>
      <w:r>
        <w:rPr>
          <w:rFonts w:hint="eastAsia" w:ascii="仿宋" w:hAnsi="仿宋" w:eastAsia="仿宋" w:cs="仿宋"/>
          <w:snapToGrid w:val="0"/>
          <w:color w:val="auto"/>
          <w:spacing w:val="1"/>
          <w:kern w:val="0"/>
          <w:sz w:val="28"/>
          <w:szCs w:val="28"/>
          <w:highlight w:val="none"/>
          <w:lang w:val="en-US" w:eastAsia="zh-CN"/>
        </w:rPr>
        <w:t>.</w:t>
      </w:r>
      <w:r>
        <w:rPr>
          <w:rFonts w:hint="default" w:ascii="仿宋" w:hAnsi="仿宋" w:eastAsia="仿宋" w:cs="仿宋"/>
          <w:snapToGrid w:val="0"/>
          <w:color w:val="auto"/>
          <w:spacing w:val="1"/>
          <w:kern w:val="0"/>
          <w:sz w:val="28"/>
          <w:szCs w:val="28"/>
          <w:highlight w:val="none"/>
          <w:lang w:eastAsia="en-US"/>
        </w:rPr>
        <w:t>验收组织：由采购人牵头组织验收，可邀请行业专家、相关政府部门代表组成验收小组，验收小组人数不少于3人（奇数）。</w:t>
      </w:r>
    </w:p>
    <w:p w14:paraId="0ACD35C7">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eastAsia="en-US"/>
        </w:rPr>
        <w:t>2</w:t>
      </w:r>
      <w:r>
        <w:rPr>
          <w:rFonts w:hint="eastAsia" w:ascii="仿宋" w:hAnsi="仿宋" w:eastAsia="仿宋" w:cs="仿宋"/>
          <w:snapToGrid w:val="0"/>
          <w:color w:val="auto"/>
          <w:spacing w:val="1"/>
          <w:kern w:val="0"/>
          <w:sz w:val="28"/>
          <w:szCs w:val="28"/>
          <w:highlight w:val="none"/>
          <w:lang w:val="en-US" w:eastAsia="zh-CN"/>
        </w:rPr>
        <w:t>.</w:t>
      </w:r>
      <w:r>
        <w:rPr>
          <w:rFonts w:hint="default" w:ascii="仿宋" w:hAnsi="仿宋" w:eastAsia="仿宋" w:cs="仿宋"/>
          <w:snapToGrid w:val="0"/>
          <w:color w:val="auto"/>
          <w:spacing w:val="1"/>
          <w:kern w:val="0"/>
          <w:sz w:val="28"/>
          <w:szCs w:val="28"/>
          <w:highlight w:val="none"/>
          <w:lang w:eastAsia="en-US"/>
        </w:rPr>
        <w:t>验收流程：</w:t>
      </w:r>
    </w:p>
    <w:p w14:paraId="54B8B73E">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eastAsia="en-US"/>
        </w:rPr>
        <w:t>供应商提交验收申请及全套成果资料；</w:t>
      </w:r>
    </w:p>
    <w:p w14:paraId="7BED4C39">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eastAsia="en-US"/>
        </w:rPr>
        <w:t>验收小组对成果资料的完整性、合规性、准确性进行审查；</w:t>
      </w:r>
    </w:p>
    <w:p w14:paraId="446A68B5">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eastAsia="en-US"/>
        </w:rPr>
        <w:t>召开验收评审会，供应商进行成果汇报，验收小组提出评审意见；</w:t>
      </w:r>
    </w:p>
    <w:p w14:paraId="7E3E71E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eastAsia="en-US"/>
        </w:rPr>
        <w:t>若成果符合验收标准，出具《验收合格通知书》；若需修改，供应商按要求完善后重新提交验收。</w:t>
      </w:r>
    </w:p>
    <w:p w14:paraId="1B67AE5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eastAsia="en-US"/>
        </w:rPr>
      </w:pPr>
      <w:r>
        <w:rPr>
          <w:rFonts w:hint="default" w:ascii="仿宋" w:hAnsi="仿宋" w:eastAsia="仿宋" w:cs="仿宋"/>
          <w:snapToGrid w:val="0"/>
          <w:color w:val="auto"/>
          <w:spacing w:val="1"/>
          <w:kern w:val="0"/>
          <w:sz w:val="28"/>
          <w:szCs w:val="28"/>
          <w:highlight w:val="none"/>
          <w:lang w:val="en-US" w:eastAsia="en-US"/>
        </w:rPr>
        <w:t>3</w:t>
      </w:r>
      <w:r>
        <w:rPr>
          <w:rFonts w:hint="eastAsia" w:ascii="仿宋" w:hAnsi="仿宋" w:eastAsia="仿宋" w:cs="仿宋"/>
          <w:snapToGrid w:val="0"/>
          <w:color w:val="auto"/>
          <w:spacing w:val="1"/>
          <w:kern w:val="0"/>
          <w:sz w:val="28"/>
          <w:szCs w:val="28"/>
          <w:highlight w:val="none"/>
          <w:lang w:val="en-US" w:eastAsia="zh-CN"/>
        </w:rPr>
        <w:t>.</w:t>
      </w:r>
      <w:r>
        <w:rPr>
          <w:rFonts w:hint="default" w:ascii="仿宋" w:hAnsi="仿宋" w:eastAsia="仿宋" w:cs="仿宋"/>
          <w:snapToGrid w:val="0"/>
          <w:color w:val="auto"/>
          <w:spacing w:val="1"/>
          <w:kern w:val="0"/>
          <w:sz w:val="28"/>
          <w:szCs w:val="28"/>
          <w:highlight w:val="none"/>
          <w:lang w:eastAsia="en-US"/>
        </w:rPr>
        <w:t>验收异议处理：若供应商对验收结果有异议，可在收到验收意见后3个工作日内向采购人提出书面复核申请，采购人在收到申请后7个工作日内组织复核，复核结果为最终验收结论。</w:t>
      </w:r>
      <w:bookmarkEnd w:id="42"/>
    </w:p>
    <w:p w14:paraId="0C9CA567">
      <w:pPr>
        <w:spacing w:after="240" w:afterLines="100" w:line="360" w:lineRule="auto"/>
        <w:jc w:val="center"/>
        <w:outlineLvl w:val="9"/>
        <w:rPr>
          <w:rFonts w:hint="eastAsia" w:ascii="仿宋" w:hAnsi="仿宋" w:eastAsia="仿宋" w:cs="仿宋"/>
          <w:b/>
          <w:bCs/>
          <w:color w:val="auto"/>
          <w:sz w:val="36"/>
          <w:szCs w:val="36"/>
          <w:highlight w:val="none"/>
        </w:rPr>
      </w:pPr>
    </w:p>
    <w:p w14:paraId="1682180A">
      <w:pPr>
        <w:pageBreakBefore/>
        <w:spacing w:after="240" w:afterLines="100" w:line="360" w:lineRule="auto"/>
        <w:jc w:val="center"/>
        <w:outlineLvl w:val="0"/>
        <w:rPr>
          <w:rFonts w:hint="eastAsia" w:ascii="仿宋" w:hAnsi="仿宋" w:eastAsia="仿宋" w:cs="仿宋"/>
          <w:b/>
          <w:bCs/>
          <w:color w:val="auto"/>
          <w:sz w:val="32"/>
          <w:szCs w:val="32"/>
          <w:highlight w:val="none"/>
        </w:rPr>
      </w:pPr>
      <w:bookmarkStart w:id="43" w:name="_Toc18974"/>
      <w:bookmarkStart w:id="44" w:name="_Toc24026"/>
      <w:r>
        <w:rPr>
          <w:rFonts w:hint="eastAsia" w:ascii="仿宋" w:hAnsi="仿宋" w:eastAsia="仿宋" w:cs="仿宋"/>
          <w:b/>
          <w:bCs/>
          <w:color w:val="auto"/>
          <w:sz w:val="36"/>
          <w:szCs w:val="36"/>
          <w:highlight w:val="none"/>
        </w:rPr>
        <w:t>第四章  评审办法</w:t>
      </w:r>
      <w:bookmarkEnd w:id="43"/>
      <w:bookmarkEnd w:id="44"/>
    </w:p>
    <w:p w14:paraId="7E5221A7">
      <w:pPr>
        <w:spacing w:after="120" w:afterLines="50" w:line="360" w:lineRule="auto"/>
        <w:rPr>
          <w:rFonts w:hint="eastAsia" w:ascii="仿宋" w:hAnsi="仿宋" w:eastAsia="仿宋" w:cs="仿宋"/>
          <w:color w:val="auto"/>
          <w:sz w:val="32"/>
          <w:szCs w:val="32"/>
          <w:highlight w:val="none"/>
        </w:rPr>
      </w:pPr>
      <w:bookmarkStart w:id="45" w:name="_Toc519082493"/>
      <w:bookmarkStart w:id="46" w:name="_Toc27827"/>
      <w:r>
        <w:rPr>
          <w:rFonts w:hint="eastAsia" w:ascii="仿宋" w:hAnsi="仿宋" w:eastAsia="仿宋" w:cs="仿宋"/>
          <w:color w:val="auto"/>
          <w:sz w:val="32"/>
          <w:szCs w:val="32"/>
          <w:highlight w:val="none"/>
        </w:rPr>
        <w:t>1.相关要求</w:t>
      </w:r>
      <w:bookmarkEnd w:id="45"/>
      <w:bookmarkEnd w:id="46"/>
    </w:p>
    <w:p w14:paraId="2E2DF9CA">
      <w:pPr>
        <w:spacing w:after="120" w:afterLines="50" w:line="360" w:lineRule="auto"/>
        <w:ind w:firstLine="560" w:firstLineChars="200"/>
        <w:rPr>
          <w:rFonts w:hint="eastAsia" w:ascii="仿宋" w:hAnsi="仿宋" w:eastAsia="仿宋" w:cs="仿宋"/>
          <w:color w:val="auto"/>
          <w:sz w:val="28"/>
          <w:szCs w:val="28"/>
          <w:highlight w:val="none"/>
        </w:rPr>
      </w:pPr>
      <w:bookmarkStart w:id="47" w:name="_Toc519082494"/>
      <w:bookmarkStart w:id="48" w:name="_Toc494455918"/>
      <w:r>
        <w:rPr>
          <w:rFonts w:hint="eastAsia" w:ascii="仿宋" w:hAnsi="仿宋" w:eastAsia="仿宋" w:cs="仿宋"/>
          <w:color w:val="auto"/>
          <w:sz w:val="28"/>
          <w:szCs w:val="28"/>
          <w:highlight w:val="none"/>
        </w:rPr>
        <w:t>1.经磋商确定最终采购需求和提交最后报价的供应商后，由磋商小组采用综合评分法对提交最后报价的供应商的响应文件和最后报价进行综合评分。</w:t>
      </w:r>
    </w:p>
    <w:p w14:paraId="3962F2A3">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综合评分法，是指响应文件满足磋商文件全部实质性要求且按评审因素的量化指标评审得分最高的供应商为成交候选供应商的评审方法。</w:t>
      </w:r>
    </w:p>
    <w:p w14:paraId="233D7AC0">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2.评审时，磋商小组各成员应当独立对每个有效响应的文件进行评价、打分，然后汇总每个供应商每项评分因素的得分。</w:t>
      </w:r>
    </w:p>
    <w:p w14:paraId="403A4CA0">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87C8473">
      <w:pPr>
        <w:spacing w:after="120" w:afterLines="50" w:line="360" w:lineRule="auto"/>
        <w:ind w:firstLine="640" w:firstLineChars="200"/>
        <w:rPr>
          <w:rFonts w:hint="eastAsia" w:ascii="仿宋" w:hAnsi="仿宋" w:eastAsia="仿宋" w:cs="仿宋"/>
          <w:color w:val="auto"/>
          <w:sz w:val="32"/>
          <w:szCs w:val="32"/>
          <w:highlight w:val="none"/>
        </w:rPr>
      </w:pPr>
      <w:bookmarkStart w:id="49" w:name="_Toc19450"/>
      <w:r>
        <w:rPr>
          <w:rFonts w:hint="eastAsia" w:ascii="仿宋" w:hAnsi="仿宋" w:eastAsia="仿宋" w:cs="仿宋"/>
          <w:color w:val="auto"/>
          <w:sz w:val="32"/>
          <w:szCs w:val="32"/>
          <w:highlight w:val="none"/>
        </w:rPr>
        <w:t>2.评分标准</w:t>
      </w:r>
      <w:bookmarkEnd w:id="47"/>
      <w:bookmarkEnd w:id="48"/>
      <w:bookmarkEnd w:id="49"/>
    </w:p>
    <w:p w14:paraId="3C85D7CB">
      <w:pPr>
        <w:spacing w:after="120" w:afterLines="50" w:line="360" w:lineRule="auto"/>
        <w:ind w:firstLine="560" w:firstLineChars="200"/>
        <w:rPr>
          <w:rFonts w:hint="eastAsia" w:ascii="仿宋" w:hAnsi="仿宋" w:eastAsia="仿宋" w:cs="仿宋"/>
          <w:color w:val="auto"/>
          <w:sz w:val="28"/>
          <w:szCs w:val="28"/>
          <w:highlight w:val="none"/>
        </w:rPr>
      </w:pPr>
      <w:bookmarkStart w:id="50" w:name="_Toc12926"/>
      <w:r>
        <w:rPr>
          <w:rFonts w:hint="eastAsia" w:ascii="仿宋" w:hAnsi="仿宋" w:eastAsia="仿宋" w:cs="仿宋"/>
          <w:color w:val="auto"/>
          <w:sz w:val="28"/>
          <w:szCs w:val="28"/>
          <w:highlight w:val="none"/>
        </w:rPr>
        <w:t>2.1评分因素以及分值</w:t>
      </w:r>
      <w:bookmarkEnd w:id="50"/>
    </w:p>
    <w:tbl>
      <w:tblPr>
        <w:tblStyle w:val="3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4C2C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89" w:type="dxa"/>
            <w:vAlign w:val="center"/>
          </w:tcPr>
          <w:p w14:paraId="4CF0FF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评分因素</w:t>
            </w:r>
          </w:p>
        </w:tc>
        <w:tc>
          <w:tcPr>
            <w:tcW w:w="2526" w:type="dxa"/>
            <w:vAlign w:val="center"/>
          </w:tcPr>
          <w:p w14:paraId="19A2E0E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报价部分</w:t>
            </w:r>
          </w:p>
        </w:tc>
        <w:tc>
          <w:tcPr>
            <w:tcW w:w="2554" w:type="dxa"/>
            <w:vAlign w:val="center"/>
          </w:tcPr>
          <w:p w14:paraId="2298133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商务技术部分</w:t>
            </w:r>
          </w:p>
        </w:tc>
        <w:tc>
          <w:tcPr>
            <w:tcW w:w="2369" w:type="dxa"/>
            <w:vAlign w:val="center"/>
          </w:tcPr>
          <w:p w14:paraId="7B12D2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总分</w:t>
            </w:r>
          </w:p>
        </w:tc>
      </w:tr>
      <w:tr w14:paraId="4D0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989" w:type="dxa"/>
            <w:vAlign w:val="center"/>
          </w:tcPr>
          <w:p w14:paraId="157D15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分值比重</w:t>
            </w:r>
          </w:p>
        </w:tc>
        <w:tc>
          <w:tcPr>
            <w:tcW w:w="2526" w:type="dxa"/>
            <w:vAlign w:val="center"/>
          </w:tcPr>
          <w:p w14:paraId="5677C85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2554" w:type="dxa"/>
            <w:vAlign w:val="center"/>
          </w:tcPr>
          <w:p w14:paraId="7515C9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分</w:t>
            </w:r>
          </w:p>
        </w:tc>
        <w:tc>
          <w:tcPr>
            <w:tcW w:w="2369" w:type="dxa"/>
            <w:vAlign w:val="center"/>
          </w:tcPr>
          <w:p w14:paraId="7ADA63D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100分</w:t>
            </w:r>
          </w:p>
        </w:tc>
      </w:tr>
    </w:tbl>
    <w:p w14:paraId="413ACD79">
      <w:pPr>
        <w:spacing w:after="120" w:afterLines="50" w:line="360" w:lineRule="auto"/>
        <w:ind w:firstLine="560" w:firstLineChars="200"/>
        <w:rPr>
          <w:rFonts w:hint="eastAsia" w:ascii="仿宋" w:hAnsi="仿宋" w:eastAsia="仿宋" w:cs="仿宋"/>
          <w:color w:val="auto"/>
          <w:sz w:val="28"/>
          <w:szCs w:val="28"/>
          <w:highlight w:val="none"/>
        </w:rPr>
      </w:pPr>
      <w:bookmarkStart w:id="51" w:name="_Toc381951225"/>
      <w:bookmarkStart w:id="52" w:name="_Toc391306856"/>
      <w:bookmarkStart w:id="53" w:name="_Toc9623"/>
      <w:r>
        <w:rPr>
          <w:rFonts w:hint="eastAsia" w:ascii="仿宋" w:hAnsi="仿宋" w:eastAsia="仿宋" w:cs="仿宋"/>
          <w:color w:val="auto"/>
          <w:sz w:val="28"/>
          <w:szCs w:val="28"/>
          <w:highlight w:val="none"/>
        </w:rPr>
        <w:t>2.2初步评审表</w:t>
      </w:r>
      <w:bookmarkEnd w:id="51"/>
      <w:bookmarkEnd w:id="52"/>
      <w:bookmarkEnd w:id="53"/>
    </w:p>
    <w:p w14:paraId="27210AEB">
      <w:pPr>
        <w:spacing w:after="120" w:afterLines="50" w:line="360" w:lineRule="auto"/>
        <w:ind w:firstLine="560" w:firstLineChars="200"/>
        <w:rPr>
          <w:rFonts w:hint="eastAsia" w:ascii="仿宋" w:hAnsi="仿宋" w:eastAsia="仿宋" w:cs="仿宋"/>
          <w:color w:val="auto"/>
          <w:sz w:val="28"/>
          <w:szCs w:val="28"/>
          <w:highlight w:val="none"/>
        </w:rPr>
      </w:pPr>
      <w:bookmarkStart w:id="54" w:name="_Toc32080"/>
      <w:r>
        <w:rPr>
          <w:rFonts w:hint="eastAsia" w:ascii="仿宋" w:hAnsi="仿宋" w:eastAsia="仿宋" w:cs="仿宋"/>
          <w:color w:val="auto"/>
          <w:sz w:val="28"/>
          <w:szCs w:val="28"/>
          <w:highlight w:val="none"/>
        </w:rPr>
        <w:t>2.2.1资格性审查</w:t>
      </w:r>
      <w:r>
        <w:rPr>
          <w:rFonts w:hint="eastAsia" w:ascii="仿宋" w:hAnsi="仿宋" w:eastAsia="仿宋" w:cs="仿宋"/>
          <w:b/>
          <w:bCs/>
          <w:color w:val="auto"/>
          <w:sz w:val="28"/>
          <w:szCs w:val="28"/>
          <w:highlight w:val="none"/>
        </w:rPr>
        <w:t>（由</w:t>
      </w:r>
      <w:r>
        <w:rPr>
          <w:rFonts w:hint="eastAsia" w:ascii="仿宋" w:hAnsi="仿宋" w:eastAsia="仿宋" w:cs="仿宋"/>
          <w:b/>
          <w:bCs/>
          <w:color w:val="auto"/>
          <w:sz w:val="28"/>
          <w:szCs w:val="28"/>
          <w:highlight w:val="none"/>
          <w:lang w:val="en-US" w:eastAsia="zh-CN"/>
        </w:rPr>
        <w:t>评审</w:t>
      </w:r>
      <w:r>
        <w:rPr>
          <w:rFonts w:hint="eastAsia" w:ascii="仿宋" w:hAnsi="仿宋" w:eastAsia="仿宋" w:cs="仿宋"/>
          <w:b/>
          <w:bCs/>
          <w:color w:val="auto"/>
          <w:sz w:val="28"/>
          <w:szCs w:val="28"/>
          <w:highlight w:val="none"/>
        </w:rPr>
        <w:t>小组进行资格审查）</w:t>
      </w:r>
      <w:r>
        <w:rPr>
          <w:rFonts w:hint="eastAsia" w:ascii="仿宋" w:hAnsi="仿宋" w:eastAsia="仿宋" w:cs="仿宋"/>
          <w:color w:val="auto"/>
          <w:sz w:val="28"/>
          <w:szCs w:val="28"/>
          <w:highlight w:val="none"/>
        </w:rPr>
        <w:t>：</w:t>
      </w:r>
      <w:bookmarkEnd w:id="54"/>
    </w:p>
    <w:tbl>
      <w:tblPr>
        <w:tblStyle w:val="111"/>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372"/>
        <w:gridCol w:w="4755"/>
        <w:gridCol w:w="1005"/>
        <w:gridCol w:w="840"/>
        <w:gridCol w:w="886"/>
      </w:tblGrid>
      <w:tr w14:paraId="6ED1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852" w:type="dxa"/>
            <w:gridSpan w:val="2"/>
            <w:vMerge w:val="restart"/>
            <w:tcBorders>
              <w:top w:val="single" w:color="auto" w:sz="4" w:space="0"/>
              <w:left w:val="single" w:color="auto" w:sz="4" w:space="0"/>
              <w:bottom w:val="single" w:color="auto" w:sz="4" w:space="0"/>
              <w:right w:val="single" w:color="auto" w:sz="4" w:space="0"/>
            </w:tcBorders>
            <w:vAlign w:val="center"/>
          </w:tcPr>
          <w:p w14:paraId="5E95094D">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评审内容</w:t>
            </w:r>
          </w:p>
        </w:tc>
        <w:tc>
          <w:tcPr>
            <w:tcW w:w="4755" w:type="dxa"/>
            <w:vMerge w:val="restart"/>
            <w:tcBorders>
              <w:top w:val="single" w:color="auto" w:sz="4" w:space="0"/>
              <w:left w:val="single" w:color="auto" w:sz="4" w:space="0"/>
              <w:bottom w:val="single" w:color="auto" w:sz="4" w:space="0"/>
              <w:right w:val="single" w:color="auto" w:sz="4" w:space="0"/>
            </w:tcBorders>
            <w:vAlign w:val="center"/>
          </w:tcPr>
          <w:p w14:paraId="530BA70F">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评审标准</w:t>
            </w:r>
          </w:p>
        </w:tc>
        <w:tc>
          <w:tcPr>
            <w:tcW w:w="2731" w:type="dxa"/>
            <w:gridSpan w:val="3"/>
            <w:tcBorders>
              <w:top w:val="single" w:color="auto" w:sz="4" w:space="0"/>
              <w:left w:val="single" w:color="auto" w:sz="4" w:space="0"/>
              <w:bottom w:val="single" w:color="auto" w:sz="4" w:space="0"/>
              <w:right w:val="single" w:color="auto" w:sz="4" w:space="0"/>
            </w:tcBorders>
            <w:vAlign w:val="center"/>
          </w:tcPr>
          <w:p w14:paraId="64500293">
            <w:pPr>
              <w:pStyle w:val="136"/>
              <w:adjustRightInd w:val="0"/>
              <w:spacing w:before="150" w:line="360" w:lineRule="auto"/>
              <w:ind w:left="178"/>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投标企业名称</w:t>
            </w:r>
          </w:p>
        </w:tc>
      </w:tr>
      <w:tr w14:paraId="64FC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852" w:type="dxa"/>
            <w:gridSpan w:val="2"/>
            <w:vMerge w:val="continue"/>
            <w:tcBorders>
              <w:top w:val="single" w:color="auto" w:sz="4" w:space="0"/>
              <w:left w:val="single" w:color="auto" w:sz="4" w:space="0"/>
              <w:bottom w:val="single" w:color="auto" w:sz="4" w:space="0"/>
              <w:right w:val="single" w:color="auto" w:sz="4" w:space="0"/>
            </w:tcBorders>
            <w:vAlign w:val="center"/>
          </w:tcPr>
          <w:p w14:paraId="45F8B19E">
            <w:pPr>
              <w:adjustRightInd w:val="0"/>
              <w:spacing w:line="360" w:lineRule="auto"/>
              <w:jc w:val="center"/>
              <w:rPr>
                <w:rFonts w:hint="eastAsia" w:ascii="仿宋" w:hAnsi="仿宋" w:eastAsia="仿宋" w:cs="仿宋"/>
                <w:color w:val="auto"/>
                <w:sz w:val="28"/>
                <w:szCs w:val="28"/>
                <w:highlight w:val="none"/>
              </w:rPr>
            </w:pPr>
          </w:p>
        </w:tc>
        <w:tc>
          <w:tcPr>
            <w:tcW w:w="4755" w:type="dxa"/>
            <w:vMerge w:val="continue"/>
            <w:tcBorders>
              <w:top w:val="single" w:color="auto" w:sz="4" w:space="0"/>
              <w:left w:val="single" w:color="auto" w:sz="4" w:space="0"/>
              <w:bottom w:val="single" w:color="auto" w:sz="4" w:space="0"/>
              <w:right w:val="single" w:color="auto" w:sz="4" w:space="0"/>
            </w:tcBorders>
            <w:vAlign w:val="center"/>
          </w:tcPr>
          <w:p w14:paraId="5B265E6B">
            <w:pPr>
              <w:adjustRightInd w:val="0"/>
              <w:spacing w:line="360" w:lineRule="auto"/>
              <w:jc w:val="center"/>
              <w:rPr>
                <w:rFonts w:hint="eastAsia" w:ascii="仿宋" w:hAnsi="仿宋" w:eastAsia="仿宋" w:cs="仿宋"/>
                <w:color w:val="auto"/>
                <w:sz w:val="28"/>
                <w:szCs w:val="2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C64714E">
            <w:pPr>
              <w:pStyle w:val="136"/>
              <w:adjustRightInd w:val="0"/>
              <w:spacing w:before="155" w:line="360" w:lineRule="auto"/>
              <w:ind w:left="2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40" w:type="dxa"/>
            <w:tcBorders>
              <w:top w:val="single" w:color="auto" w:sz="4" w:space="0"/>
              <w:left w:val="single" w:color="auto" w:sz="4" w:space="0"/>
              <w:bottom w:val="single" w:color="auto" w:sz="4" w:space="0"/>
              <w:right w:val="single" w:color="auto" w:sz="4" w:space="0"/>
            </w:tcBorders>
            <w:vAlign w:val="center"/>
          </w:tcPr>
          <w:p w14:paraId="45B61942">
            <w:pPr>
              <w:pStyle w:val="136"/>
              <w:adjustRightInd w:val="0"/>
              <w:spacing w:before="157" w:line="360" w:lineRule="auto"/>
              <w:ind w:left="22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86" w:type="dxa"/>
            <w:tcBorders>
              <w:top w:val="single" w:color="auto" w:sz="4" w:space="0"/>
              <w:left w:val="single" w:color="auto" w:sz="4" w:space="0"/>
              <w:bottom w:val="single" w:color="auto" w:sz="4" w:space="0"/>
              <w:right w:val="single" w:color="auto" w:sz="4" w:space="0"/>
            </w:tcBorders>
            <w:vAlign w:val="center"/>
          </w:tcPr>
          <w:p w14:paraId="3652299B">
            <w:pPr>
              <w:pStyle w:val="136"/>
              <w:adjustRightInd w:val="0"/>
              <w:spacing w:before="111" w:line="360" w:lineRule="auto"/>
              <w:ind w:left="183"/>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r>
      <w:tr w14:paraId="6738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5E6D479">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372" w:type="dxa"/>
            <w:tcBorders>
              <w:top w:val="single" w:color="auto" w:sz="4" w:space="0"/>
              <w:left w:val="single" w:color="auto" w:sz="4" w:space="0"/>
              <w:bottom w:val="single" w:color="auto" w:sz="4" w:space="0"/>
              <w:right w:val="single" w:color="auto" w:sz="4" w:space="0"/>
            </w:tcBorders>
            <w:vAlign w:val="center"/>
          </w:tcPr>
          <w:p w14:paraId="5EB3A0C1">
            <w:pPr>
              <w:pStyle w:val="136"/>
              <w:adjustRightInd w:val="0"/>
              <w:spacing w:before="160" w:line="360" w:lineRule="auto"/>
              <w:ind w:left="329" w:right="201" w:hanging="11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具有独立承担民</w:t>
            </w:r>
            <w:r>
              <w:rPr>
                <w:rFonts w:hint="eastAsia" w:ascii="仿宋" w:hAnsi="仿宋" w:eastAsia="仿宋" w:cs="仿宋"/>
                <w:color w:val="auto"/>
                <w:spacing w:val="-5"/>
                <w:sz w:val="28"/>
                <w:szCs w:val="28"/>
                <w:highlight w:val="none"/>
                <w:lang w:eastAsia="zh-CN"/>
              </w:rPr>
              <w:t>事责任的能力</w:t>
            </w:r>
          </w:p>
        </w:tc>
        <w:tc>
          <w:tcPr>
            <w:tcW w:w="4755" w:type="dxa"/>
            <w:tcBorders>
              <w:top w:val="single" w:color="auto" w:sz="4" w:space="0"/>
              <w:left w:val="single" w:color="auto" w:sz="4" w:space="0"/>
              <w:bottom w:val="single" w:color="auto" w:sz="4" w:space="0"/>
              <w:right w:val="single" w:color="auto" w:sz="4" w:space="0"/>
            </w:tcBorders>
            <w:vAlign w:val="center"/>
          </w:tcPr>
          <w:p w14:paraId="7ADB9BC5">
            <w:pPr>
              <w:pStyle w:val="136"/>
              <w:adjustRightInd w:val="0"/>
              <w:spacing w:before="159" w:line="360" w:lineRule="auto"/>
              <w:ind w:right="9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若投标人是企业（包括合伙企业）应提供有效的营业执照；若投标人是事业单位应提供有效的事业单位法人证书；若投标人是非企业机构的，应提供有效的“执业许可证”“登记证书”等证明文件；若投标人是个体工商户应提供个体工商户营业执照；若投标人是自然人应提供自然人身份证明</w:t>
            </w:r>
            <w:r>
              <w:rPr>
                <w:rFonts w:hint="eastAsia" w:ascii="仿宋" w:hAnsi="仿宋" w:eastAsia="仿宋" w:cs="仿宋"/>
                <w:color w:val="auto"/>
                <w:sz w:val="28"/>
                <w:szCs w:val="28"/>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4E43E057">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0D250D0">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40B5A9E">
            <w:pPr>
              <w:adjustRightInd w:val="0"/>
              <w:spacing w:line="360" w:lineRule="auto"/>
              <w:jc w:val="center"/>
              <w:rPr>
                <w:rFonts w:hint="eastAsia" w:ascii="仿宋" w:hAnsi="仿宋" w:eastAsia="仿宋" w:cs="仿宋"/>
                <w:color w:val="auto"/>
                <w:sz w:val="28"/>
                <w:szCs w:val="28"/>
                <w:highlight w:val="none"/>
              </w:rPr>
            </w:pPr>
          </w:p>
        </w:tc>
      </w:tr>
      <w:tr w14:paraId="73E4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4CAD94F">
            <w:pPr>
              <w:pStyle w:val="136"/>
              <w:adjustRightInd w:val="0"/>
              <w:spacing w:before="78" w:line="360" w:lineRule="auto"/>
              <w:ind w:left="18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372" w:type="dxa"/>
            <w:tcBorders>
              <w:top w:val="single" w:color="auto" w:sz="4" w:space="0"/>
              <w:left w:val="single" w:color="auto" w:sz="4" w:space="0"/>
              <w:bottom w:val="single" w:color="auto" w:sz="4" w:space="0"/>
              <w:right w:val="single" w:color="auto" w:sz="4" w:space="0"/>
            </w:tcBorders>
            <w:vAlign w:val="center"/>
          </w:tcPr>
          <w:p w14:paraId="4246638B">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lang w:eastAsia="zh-CN"/>
              </w:rPr>
              <w:t>具有良好的商业信誉和健全的财</w:t>
            </w:r>
            <w:r>
              <w:rPr>
                <w:rFonts w:hint="eastAsia" w:ascii="仿宋" w:hAnsi="仿宋" w:eastAsia="仿宋" w:cs="仿宋"/>
                <w:color w:val="auto"/>
                <w:spacing w:val="-6"/>
                <w:sz w:val="28"/>
                <w:szCs w:val="28"/>
                <w:highlight w:val="none"/>
              </w:rPr>
              <w:t>务会计制度</w:t>
            </w:r>
          </w:p>
        </w:tc>
        <w:tc>
          <w:tcPr>
            <w:tcW w:w="4755" w:type="dxa"/>
            <w:tcBorders>
              <w:top w:val="single" w:color="auto" w:sz="4" w:space="0"/>
              <w:left w:val="single" w:color="auto" w:sz="4" w:space="0"/>
              <w:bottom w:val="single" w:color="auto" w:sz="4" w:space="0"/>
              <w:right w:val="single" w:color="auto" w:sz="4" w:space="0"/>
            </w:tcBorders>
            <w:vAlign w:val="center"/>
          </w:tcPr>
          <w:p w14:paraId="765892B4">
            <w:pPr>
              <w:pStyle w:val="136"/>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需提供202</w:t>
            </w:r>
            <w:r>
              <w:rPr>
                <w:rFonts w:hint="eastAsia" w:ascii="仿宋" w:hAnsi="仿宋" w:eastAsia="仿宋" w:cs="仿宋"/>
                <w:color w:val="auto"/>
                <w:spacing w:val="-5"/>
                <w:sz w:val="28"/>
                <w:szCs w:val="28"/>
                <w:highlight w:val="none"/>
                <w:lang w:val="en-US" w:eastAsia="zh-CN"/>
              </w:rPr>
              <w:t>4</w:t>
            </w:r>
            <w:r>
              <w:rPr>
                <w:rFonts w:hint="eastAsia" w:ascii="仿宋" w:hAnsi="仿宋" w:eastAsia="仿宋" w:cs="仿宋"/>
                <w:color w:val="auto"/>
                <w:spacing w:val="-5"/>
                <w:sz w:val="28"/>
                <w:szCs w:val="28"/>
                <w:highlight w:val="none"/>
                <w:lang w:eastAsia="zh-CN"/>
              </w:rPr>
              <w:t>年或202</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highlight w:val="none"/>
                <w:lang w:eastAsia="zh-CN"/>
              </w:rPr>
              <w:t>年度财务审计报告或财务报表（包含现金流量表、资产负债表、利润表），或提供开户银行出具的资信证明；或提供财政部门认可的政府采购专业担保机构出具的投标担保函）；</w:t>
            </w:r>
          </w:p>
        </w:tc>
        <w:tc>
          <w:tcPr>
            <w:tcW w:w="1005" w:type="dxa"/>
            <w:tcBorders>
              <w:top w:val="single" w:color="auto" w:sz="4" w:space="0"/>
              <w:left w:val="single" w:color="auto" w:sz="4" w:space="0"/>
              <w:bottom w:val="single" w:color="auto" w:sz="4" w:space="0"/>
              <w:right w:val="single" w:color="auto" w:sz="4" w:space="0"/>
            </w:tcBorders>
            <w:vAlign w:val="center"/>
          </w:tcPr>
          <w:p w14:paraId="73371C2A">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18A8F30">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593ED509">
            <w:pPr>
              <w:adjustRightInd w:val="0"/>
              <w:spacing w:line="360" w:lineRule="auto"/>
              <w:jc w:val="center"/>
              <w:rPr>
                <w:rFonts w:hint="eastAsia" w:ascii="仿宋" w:hAnsi="仿宋" w:eastAsia="仿宋" w:cs="仿宋"/>
                <w:color w:val="auto"/>
                <w:sz w:val="28"/>
                <w:szCs w:val="28"/>
                <w:highlight w:val="none"/>
              </w:rPr>
            </w:pPr>
          </w:p>
        </w:tc>
      </w:tr>
      <w:tr w14:paraId="524A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AE5821E">
            <w:pPr>
              <w:pStyle w:val="136"/>
              <w:adjustRightInd w:val="0"/>
              <w:spacing w:before="78" w:line="360" w:lineRule="auto"/>
              <w:ind w:left="18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p>
        </w:tc>
        <w:tc>
          <w:tcPr>
            <w:tcW w:w="2372" w:type="dxa"/>
            <w:tcBorders>
              <w:top w:val="single" w:color="auto" w:sz="4" w:space="0"/>
              <w:left w:val="single" w:color="auto" w:sz="4" w:space="0"/>
              <w:bottom w:val="single" w:color="auto" w:sz="4" w:space="0"/>
              <w:right w:val="single" w:color="auto" w:sz="4" w:space="0"/>
            </w:tcBorders>
            <w:vAlign w:val="center"/>
          </w:tcPr>
          <w:p w14:paraId="0445C4AF">
            <w:pPr>
              <w:pStyle w:val="136"/>
              <w:adjustRightInd w:val="0"/>
              <w:spacing w:before="78" w:line="360" w:lineRule="auto"/>
              <w:jc w:val="center"/>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提供近期依法缴纳税收的证明</w:t>
            </w:r>
          </w:p>
        </w:tc>
        <w:tc>
          <w:tcPr>
            <w:tcW w:w="4755" w:type="dxa"/>
            <w:tcBorders>
              <w:top w:val="single" w:color="auto" w:sz="4" w:space="0"/>
              <w:left w:val="single" w:color="auto" w:sz="4" w:space="0"/>
              <w:bottom w:val="single" w:color="auto" w:sz="4" w:space="0"/>
              <w:right w:val="single" w:color="auto" w:sz="4" w:space="0"/>
            </w:tcBorders>
            <w:vAlign w:val="center"/>
          </w:tcPr>
          <w:p w14:paraId="69FF6FEE">
            <w:pPr>
              <w:pStyle w:val="136"/>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w:t>
            </w:r>
            <w:r>
              <w:rPr>
                <w:rFonts w:hint="eastAsia" w:ascii="仿宋" w:hAnsi="仿宋" w:eastAsia="仿宋" w:cs="仿宋"/>
                <w:color w:val="auto"/>
                <w:spacing w:val="-4"/>
                <w:sz w:val="28"/>
                <w:szCs w:val="28"/>
                <w:highlight w:val="none"/>
              </w:rPr>
              <w:t>年任意一个月的完税证明，</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5"/>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应提供相应证明文件证明其依法免税</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6073D94A">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4C06D9E1">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426E45D6">
            <w:pPr>
              <w:adjustRightInd w:val="0"/>
              <w:spacing w:line="360" w:lineRule="auto"/>
              <w:jc w:val="center"/>
              <w:rPr>
                <w:rFonts w:hint="eastAsia" w:ascii="仿宋" w:hAnsi="仿宋" w:eastAsia="仿宋" w:cs="仿宋"/>
                <w:color w:val="auto"/>
                <w:sz w:val="28"/>
                <w:szCs w:val="28"/>
                <w:highlight w:val="none"/>
              </w:rPr>
            </w:pPr>
          </w:p>
        </w:tc>
      </w:tr>
      <w:tr w14:paraId="75BE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3ACDFB85">
            <w:pPr>
              <w:pStyle w:val="136"/>
              <w:adjustRightInd w:val="0"/>
              <w:spacing w:before="78" w:line="360" w:lineRule="auto"/>
              <w:ind w:left="18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p>
        </w:tc>
        <w:tc>
          <w:tcPr>
            <w:tcW w:w="2372" w:type="dxa"/>
            <w:tcBorders>
              <w:top w:val="single" w:color="auto" w:sz="4" w:space="0"/>
              <w:left w:val="single" w:color="auto" w:sz="4" w:space="0"/>
              <w:bottom w:val="single" w:color="auto" w:sz="4" w:space="0"/>
              <w:right w:val="single" w:color="auto" w:sz="4" w:space="0"/>
            </w:tcBorders>
            <w:vAlign w:val="center"/>
          </w:tcPr>
          <w:p w14:paraId="018B7D32">
            <w:pPr>
              <w:pStyle w:val="136"/>
              <w:adjustRightInd w:val="0"/>
              <w:spacing w:before="78" w:line="360" w:lineRule="auto"/>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eastAsia="zh-CN"/>
              </w:rPr>
              <w:t>提供近期的依法缴纳社会保险的</w:t>
            </w:r>
            <w:r>
              <w:rPr>
                <w:rFonts w:hint="eastAsia" w:ascii="仿宋" w:hAnsi="仿宋" w:eastAsia="仿宋" w:cs="仿宋"/>
                <w:color w:val="auto"/>
                <w:spacing w:val="-6"/>
                <w:sz w:val="28"/>
                <w:szCs w:val="28"/>
                <w:highlight w:val="none"/>
              </w:rPr>
              <w:t>凭据</w:t>
            </w:r>
          </w:p>
        </w:tc>
        <w:tc>
          <w:tcPr>
            <w:tcW w:w="4755" w:type="dxa"/>
            <w:tcBorders>
              <w:top w:val="single" w:color="auto" w:sz="4" w:space="0"/>
              <w:left w:val="single" w:color="auto" w:sz="4" w:space="0"/>
              <w:bottom w:val="single" w:color="auto" w:sz="4" w:space="0"/>
              <w:right w:val="single" w:color="auto" w:sz="4" w:space="0"/>
            </w:tcBorders>
            <w:vAlign w:val="center"/>
          </w:tcPr>
          <w:p w14:paraId="305613E0">
            <w:pPr>
              <w:pStyle w:val="136"/>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近一年</w:t>
            </w:r>
            <w:r>
              <w:rPr>
                <w:rFonts w:hint="eastAsia" w:ascii="仿宋" w:hAnsi="仿宋" w:eastAsia="仿宋" w:cs="仿宋"/>
                <w:color w:val="auto"/>
                <w:spacing w:val="-4"/>
                <w:sz w:val="28"/>
                <w:szCs w:val="28"/>
                <w:highlight w:val="none"/>
              </w:rPr>
              <w:t>任意一个月的缴纳社会保险的专用收据或社会保险缴纳清单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3D6A725F">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97EE403">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7AFFD17E">
            <w:pPr>
              <w:adjustRightInd w:val="0"/>
              <w:spacing w:line="360" w:lineRule="auto"/>
              <w:jc w:val="center"/>
              <w:rPr>
                <w:rFonts w:hint="eastAsia" w:ascii="仿宋" w:hAnsi="仿宋" w:eastAsia="仿宋" w:cs="仿宋"/>
                <w:color w:val="auto"/>
                <w:sz w:val="28"/>
                <w:szCs w:val="28"/>
                <w:highlight w:val="none"/>
              </w:rPr>
            </w:pPr>
          </w:p>
        </w:tc>
      </w:tr>
      <w:tr w14:paraId="66809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CB4FE19">
            <w:pPr>
              <w:pStyle w:val="136"/>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p>
        </w:tc>
        <w:tc>
          <w:tcPr>
            <w:tcW w:w="2372" w:type="dxa"/>
            <w:tcBorders>
              <w:top w:val="single" w:color="auto" w:sz="4" w:space="0"/>
              <w:left w:val="single" w:color="auto" w:sz="4" w:space="0"/>
              <w:bottom w:val="single" w:color="auto" w:sz="4" w:space="0"/>
              <w:right w:val="single" w:color="auto" w:sz="4" w:space="0"/>
            </w:tcBorders>
            <w:vAlign w:val="center"/>
          </w:tcPr>
          <w:p w14:paraId="42C98E3D">
            <w:pPr>
              <w:pStyle w:val="136"/>
              <w:adjustRightInd w:val="0"/>
              <w:spacing w:before="190" w:line="360" w:lineRule="auto"/>
              <w:ind w:left="349" w:right="201" w:hanging="13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履行合同所必需的设备和能力</w:t>
            </w:r>
          </w:p>
        </w:tc>
        <w:tc>
          <w:tcPr>
            <w:tcW w:w="4755" w:type="dxa"/>
            <w:tcBorders>
              <w:top w:val="single" w:color="auto" w:sz="4" w:space="0"/>
              <w:left w:val="single" w:color="auto" w:sz="4" w:space="0"/>
              <w:bottom w:val="single" w:color="auto" w:sz="4" w:space="0"/>
              <w:right w:val="single" w:color="auto" w:sz="4" w:space="0"/>
            </w:tcBorders>
            <w:vAlign w:val="center"/>
          </w:tcPr>
          <w:p w14:paraId="0D02B325">
            <w:pPr>
              <w:pStyle w:val="136"/>
              <w:adjustRightInd w:val="0"/>
              <w:spacing w:before="189" w:line="360" w:lineRule="auto"/>
              <w:ind w:left="137" w:right="97" w:hanging="2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提供具有履行合同所必需的设备和专业技术能力相关证</w:t>
            </w:r>
            <w:r>
              <w:rPr>
                <w:rFonts w:hint="eastAsia" w:ascii="仿宋" w:hAnsi="仿宋" w:eastAsia="仿宋" w:cs="仿宋"/>
                <w:color w:val="auto"/>
                <w:spacing w:val="-8"/>
                <w:sz w:val="28"/>
                <w:szCs w:val="28"/>
                <w:highlight w:val="none"/>
              </w:rPr>
              <w:t>明材料或声明</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3F88CB8E">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C9BB72A">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2944A503">
            <w:pPr>
              <w:adjustRightInd w:val="0"/>
              <w:spacing w:line="360" w:lineRule="auto"/>
              <w:jc w:val="center"/>
              <w:rPr>
                <w:rFonts w:hint="eastAsia" w:ascii="仿宋" w:hAnsi="仿宋" w:eastAsia="仿宋" w:cs="仿宋"/>
                <w:color w:val="auto"/>
                <w:sz w:val="28"/>
                <w:szCs w:val="28"/>
                <w:highlight w:val="none"/>
              </w:rPr>
            </w:pPr>
          </w:p>
        </w:tc>
      </w:tr>
      <w:tr w14:paraId="133A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E9CCD52">
            <w:pPr>
              <w:pStyle w:val="136"/>
              <w:adjustRightInd w:val="0"/>
              <w:spacing w:before="78"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2372" w:type="dxa"/>
            <w:tcBorders>
              <w:top w:val="single" w:color="auto" w:sz="4" w:space="0"/>
              <w:left w:val="single" w:color="auto" w:sz="4" w:space="0"/>
              <w:bottom w:val="single" w:color="auto" w:sz="4" w:space="0"/>
              <w:right w:val="single" w:color="auto" w:sz="4" w:space="0"/>
            </w:tcBorders>
            <w:vAlign w:val="center"/>
          </w:tcPr>
          <w:p w14:paraId="3F2B27B7">
            <w:pPr>
              <w:pStyle w:val="136"/>
              <w:keepNext w:val="0"/>
              <w:keepLines w:val="0"/>
              <w:pageBreakBefore w:val="0"/>
              <w:kinsoku/>
              <w:wordWrap/>
              <w:overflowPunct w:val="0"/>
              <w:topLinePunct w:val="0"/>
              <w:bidi w:val="0"/>
              <w:adjustRightInd w:val="0"/>
              <w:spacing w:before="174" w:line="360" w:lineRule="auto"/>
              <w:ind w:right="201" w:rightChars="0"/>
              <w:jc w:val="center"/>
              <w:outlineLvl w:val="9"/>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pacing w:val="-5"/>
                <w:sz w:val="28"/>
                <w:szCs w:val="28"/>
                <w:highlight w:val="none"/>
              </w:rPr>
              <w:t>提供无重大违法记录声明书</w:t>
            </w:r>
          </w:p>
        </w:tc>
        <w:tc>
          <w:tcPr>
            <w:tcW w:w="4755" w:type="dxa"/>
            <w:tcBorders>
              <w:top w:val="single" w:color="auto" w:sz="4" w:space="0"/>
              <w:left w:val="single" w:color="auto" w:sz="4" w:space="0"/>
              <w:bottom w:val="single" w:color="auto" w:sz="4" w:space="0"/>
              <w:right w:val="single" w:color="auto" w:sz="4" w:space="0"/>
            </w:tcBorders>
            <w:vAlign w:val="center"/>
          </w:tcPr>
          <w:p w14:paraId="196383D1">
            <w:pPr>
              <w:pStyle w:val="136"/>
              <w:keepNext w:val="0"/>
              <w:keepLines w:val="0"/>
              <w:pageBreakBefore w:val="0"/>
              <w:kinsoku/>
              <w:wordWrap/>
              <w:overflowPunct w:val="0"/>
              <w:topLinePunct w:val="0"/>
              <w:bidi w:val="0"/>
              <w:adjustRightInd w:val="0"/>
              <w:spacing w:before="174" w:line="360" w:lineRule="auto"/>
              <w:ind w:left="115" w:leftChars="0" w:right="97" w:rightChars="0"/>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提供参加政府采购活动前三年内在经营活动中没有重大</w:t>
            </w:r>
            <w:r>
              <w:rPr>
                <w:rFonts w:hint="eastAsia" w:ascii="仿宋" w:hAnsi="仿宋" w:eastAsia="仿宋" w:cs="仿宋"/>
                <w:color w:val="auto"/>
                <w:spacing w:val="-5"/>
                <w:sz w:val="28"/>
                <w:szCs w:val="28"/>
                <w:highlight w:val="none"/>
              </w:rPr>
              <w:t>违法记录的书面声明</w:t>
            </w:r>
            <w:r>
              <w:rPr>
                <w:rFonts w:hint="eastAsia" w:ascii="仿宋" w:hAnsi="仿宋" w:eastAsia="仿宋" w:cs="仿宋"/>
                <w:color w:val="auto"/>
                <w:spacing w:val="-5"/>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5308A032">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426213E">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68FD9DF0">
            <w:pPr>
              <w:adjustRightInd w:val="0"/>
              <w:spacing w:line="360" w:lineRule="auto"/>
              <w:jc w:val="center"/>
              <w:rPr>
                <w:rFonts w:hint="eastAsia" w:ascii="仿宋" w:hAnsi="仿宋" w:eastAsia="仿宋" w:cs="仿宋"/>
                <w:color w:val="auto"/>
                <w:sz w:val="28"/>
                <w:szCs w:val="28"/>
                <w:highlight w:val="none"/>
              </w:rPr>
            </w:pPr>
          </w:p>
        </w:tc>
      </w:tr>
      <w:tr w14:paraId="5E47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480" w:type="dxa"/>
            <w:vAlign w:val="center"/>
          </w:tcPr>
          <w:p w14:paraId="4957B0A9">
            <w:pPr>
              <w:pStyle w:val="136"/>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2372" w:type="dxa"/>
            <w:vAlign w:val="center"/>
          </w:tcPr>
          <w:p w14:paraId="6E2B30BB">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特定资格要求</w:t>
            </w:r>
          </w:p>
        </w:tc>
        <w:tc>
          <w:tcPr>
            <w:tcW w:w="4755" w:type="dxa"/>
            <w:vAlign w:val="center"/>
          </w:tcPr>
          <w:p w14:paraId="212BE75D">
            <w:pPr>
              <w:pStyle w:val="136"/>
              <w:adjustRightInd w:val="0"/>
              <w:spacing w:before="43" w:line="360" w:lineRule="auto"/>
              <w:ind w:left="114" w:right="97"/>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val="en-US" w:eastAsia="zh-CN"/>
              </w:rPr>
              <w:t>无</w:t>
            </w:r>
          </w:p>
        </w:tc>
        <w:tc>
          <w:tcPr>
            <w:tcW w:w="1005" w:type="dxa"/>
            <w:vAlign w:val="center"/>
          </w:tcPr>
          <w:p w14:paraId="43F9884F">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137E6FFF">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1D7FFCCD">
            <w:pPr>
              <w:adjustRightInd w:val="0"/>
              <w:spacing w:line="360" w:lineRule="auto"/>
              <w:jc w:val="center"/>
              <w:rPr>
                <w:rFonts w:hint="eastAsia" w:ascii="仿宋" w:hAnsi="仿宋" w:eastAsia="仿宋" w:cs="仿宋"/>
                <w:color w:val="auto"/>
                <w:sz w:val="28"/>
                <w:szCs w:val="28"/>
                <w:highlight w:val="none"/>
              </w:rPr>
            </w:pPr>
          </w:p>
        </w:tc>
      </w:tr>
      <w:tr w14:paraId="3C842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4B442BB1">
            <w:pPr>
              <w:pStyle w:val="136"/>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2372" w:type="dxa"/>
            <w:vAlign w:val="center"/>
          </w:tcPr>
          <w:p w14:paraId="4541F3FD">
            <w:pPr>
              <w:pStyle w:val="136"/>
              <w:adjustRightInd w:val="0"/>
              <w:spacing w:before="78" w:line="360" w:lineRule="auto"/>
              <w:jc w:val="center"/>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其他</w:t>
            </w:r>
          </w:p>
        </w:tc>
        <w:tc>
          <w:tcPr>
            <w:tcW w:w="4755" w:type="dxa"/>
            <w:vAlign w:val="center"/>
          </w:tcPr>
          <w:p w14:paraId="7CD8A7B8">
            <w:pPr>
              <w:keepNext w:val="0"/>
              <w:keepLines w:val="0"/>
              <w:pageBreakBefore w:val="0"/>
              <w:numPr>
                <w:ilvl w:val="0"/>
                <w:numId w:val="0"/>
              </w:numPr>
              <w:kinsoku/>
              <w:wordWrap/>
              <w:overflowPunct w:val="0"/>
              <w:topLinePunct w:val="0"/>
              <w:autoSpaceDE w:val="0"/>
              <w:autoSpaceDN w:val="0"/>
              <w:bidi w:val="0"/>
              <w:adjustRightInd w:val="0"/>
              <w:snapToGrid w:val="0"/>
              <w:spacing w:before="43" w:line="360" w:lineRule="auto"/>
              <w:ind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w:t>
            </w:r>
            <w:r>
              <w:rPr>
                <w:rFonts w:hint="eastAsia" w:ascii="仿宋" w:hAnsi="仿宋" w:eastAsia="仿宋" w:cs="仿宋"/>
                <w:snapToGrid w:val="0"/>
                <w:color w:val="auto"/>
                <w:spacing w:val="-4"/>
                <w:kern w:val="0"/>
                <w:sz w:val="28"/>
                <w:szCs w:val="28"/>
                <w:highlight w:val="none"/>
                <w:lang w:val="en-US" w:eastAsia="en-US" w:bidi="ar-SA"/>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snapToGrid w:val="0"/>
                <w:color w:val="auto"/>
                <w:spacing w:val="-4"/>
                <w:kern w:val="0"/>
                <w:sz w:val="28"/>
                <w:szCs w:val="28"/>
                <w:highlight w:val="none"/>
                <w:lang w:val="en-US" w:eastAsia="zh-CN" w:bidi="ar-SA"/>
              </w:rPr>
              <w:t>。</w:t>
            </w:r>
          </w:p>
          <w:p w14:paraId="58AECB41">
            <w:pPr>
              <w:pStyle w:val="136"/>
              <w:numPr>
                <w:ilvl w:val="0"/>
                <w:numId w:val="0"/>
              </w:numPr>
              <w:adjustRightInd w:val="0"/>
              <w:spacing w:before="43" w:line="360" w:lineRule="auto"/>
              <w:ind w:left="114" w:leftChars="0" w:right="97" w:rightChars="0"/>
              <w:jc w:val="left"/>
              <w:rPr>
                <w:rFonts w:hint="eastAsia" w:ascii="仿宋" w:hAnsi="仿宋" w:eastAsia="仿宋" w:cs="仿宋"/>
                <w:color w:val="auto"/>
                <w:spacing w:val="-4"/>
                <w:sz w:val="28"/>
                <w:szCs w:val="28"/>
                <w:highlight w:val="none"/>
                <w:lang w:eastAsia="zh-CN"/>
              </w:rPr>
            </w:pPr>
            <w:r>
              <w:rPr>
                <w:rFonts w:hint="eastAsia" w:ascii="仿宋" w:hAnsi="仿宋" w:eastAsia="仿宋" w:cs="仿宋"/>
                <w:snapToGrid w:val="0"/>
                <w:color w:val="auto"/>
                <w:spacing w:val="-4"/>
                <w:kern w:val="0"/>
                <w:sz w:val="28"/>
                <w:szCs w:val="28"/>
                <w:highlight w:val="none"/>
                <w:lang w:val="en-US" w:eastAsia="zh-CN" w:bidi="ar-SA"/>
              </w:rPr>
              <w:t>2.</w:t>
            </w:r>
            <w:r>
              <w:rPr>
                <w:rFonts w:hint="eastAsia" w:ascii="仿宋" w:hAnsi="仿宋" w:eastAsia="仿宋" w:cs="仿宋"/>
                <w:snapToGrid w:val="0"/>
                <w:color w:val="auto"/>
                <w:spacing w:val="-4"/>
                <w:kern w:val="0"/>
                <w:sz w:val="28"/>
                <w:szCs w:val="28"/>
                <w:highlight w:val="none"/>
                <w:lang w:val="en-US" w:eastAsia="zh-CN" w:bidi="ar-SA"/>
              </w:rPr>
              <w:t>凡拟参加本次招标项目的投标人，如在“信用中国”网站（WWW.creditchina.gov.cn）、中国政府采购网（www.ccgp.gov.cn），被列入失信被执行人、重大税收违法案件当事人名单、政府采购严重违法失信行为记录名单的（尚在处罚期内的）， 将拒绝其参加本次政府采购活动。（由资格审查小组在评标系统中自行查询）</w:t>
            </w:r>
            <w:r>
              <w:rPr>
                <w:rFonts w:hint="eastAsia" w:ascii="仿宋" w:hAnsi="仿宋" w:eastAsia="仿宋" w:cs="仿宋"/>
                <w:color w:val="auto"/>
                <w:spacing w:val="-4"/>
                <w:sz w:val="28"/>
                <w:szCs w:val="28"/>
                <w:highlight w:val="none"/>
                <w:lang w:eastAsia="zh-CN"/>
              </w:rPr>
              <w:t>。</w:t>
            </w:r>
          </w:p>
        </w:tc>
        <w:tc>
          <w:tcPr>
            <w:tcW w:w="1005" w:type="dxa"/>
            <w:vAlign w:val="center"/>
          </w:tcPr>
          <w:p w14:paraId="62D76732">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0591BFAE">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4E4C4BF2">
            <w:pPr>
              <w:adjustRightInd w:val="0"/>
              <w:spacing w:line="360" w:lineRule="auto"/>
              <w:jc w:val="center"/>
              <w:rPr>
                <w:rFonts w:hint="eastAsia" w:ascii="仿宋" w:hAnsi="仿宋" w:eastAsia="仿宋" w:cs="仿宋"/>
                <w:color w:val="auto"/>
                <w:sz w:val="28"/>
                <w:szCs w:val="28"/>
                <w:highlight w:val="none"/>
              </w:rPr>
            </w:pPr>
          </w:p>
        </w:tc>
      </w:tr>
      <w:tr w14:paraId="40A9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7607" w:type="dxa"/>
            <w:gridSpan w:val="3"/>
            <w:vAlign w:val="center"/>
          </w:tcPr>
          <w:p w14:paraId="39A2E315">
            <w:pPr>
              <w:pStyle w:val="136"/>
              <w:adjustRightInd w:val="0"/>
              <w:spacing w:before="162"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资格审查结果</w:t>
            </w:r>
          </w:p>
        </w:tc>
        <w:tc>
          <w:tcPr>
            <w:tcW w:w="1005" w:type="dxa"/>
            <w:vAlign w:val="center"/>
          </w:tcPr>
          <w:p w14:paraId="6C39BAC4">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6436CAA2">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76FE3C49">
            <w:pPr>
              <w:adjustRightInd w:val="0"/>
              <w:spacing w:line="360" w:lineRule="auto"/>
              <w:jc w:val="center"/>
              <w:rPr>
                <w:rFonts w:hint="eastAsia" w:ascii="仿宋" w:hAnsi="仿宋" w:eastAsia="仿宋" w:cs="仿宋"/>
                <w:color w:val="auto"/>
                <w:sz w:val="28"/>
                <w:szCs w:val="28"/>
                <w:highlight w:val="none"/>
              </w:rPr>
            </w:pPr>
          </w:p>
        </w:tc>
      </w:tr>
      <w:tr w14:paraId="12E6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7607" w:type="dxa"/>
            <w:gridSpan w:val="3"/>
            <w:vAlign w:val="center"/>
          </w:tcPr>
          <w:p w14:paraId="71D2F0B9">
            <w:pPr>
              <w:pStyle w:val="136"/>
              <w:adjustRightInd w:val="0"/>
              <w:spacing w:before="174"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1005" w:type="dxa"/>
            <w:vAlign w:val="center"/>
          </w:tcPr>
          <w:p w14:paraId="750EC2B7">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54A218C7">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2A308E75">
            <w:pPr>
              <w:adjustRightInd w:val="0"/>
              <w:spacing w:line="360" w:lineRule="auto"/>
              <w:jc w:val="center"/>
              <w:rPr>
                <w:rFonts w:hint="eastAsia" w:ascii="仿宋" w:hAnsi="仿宋" w:eastAsia="仿宋" w:cs="仿宋"/>
                <w:color w:val="auto"/>
                <w:sz w:val="28"/>
                <w:szCs w:val="28"/>
                <w:highlight w:val="none"/>
              </w:rPr>
            </w:pPr>
          </w:p>
        </w:tc>
      </w:tr>
    </w:tbl>
    <w:p w14:paraId="21ED0CB1">
      <w:pPr>
        <w:pStyle w:val="8"/>
        <w:spacing w:line="360" w:lineRule="auto"/>
        <w:rPr>
          <w:color w:val="auto"/>
          <w:highlight w:val="none"/>
        </w:rPr>
      </w:pPr>
    </w:p>
    <w:p w14:paraId="26029219">
      <w:pPr>
        <w:spacing w:after="120" w:afterLines="50" w:line="360" w:lineRule="auto"/>
        <w:ind w:firstLine="560" w:firstLineChars="200"/>
        <w:rPr>
          <w:rFonts w:hint="eastAsia" w:ascii="仿宋" w:hAnsi="仿宋" w:eastAsia="仿宋" w:cs="仿宋"/>
          <w:color w:val="auto"/>
          <w:sz w:val="28"/>
          <w:szCs w:val="28"/>
          <w:highlight w:val="none"/>
        </w:rPr>
      </w:pPr>
      <w:bookmarkStart w:id="55" w:name="_Toc13388"/>
      <w:r>
        <w:rPr>
          <w:rFonts w:hint="eastAsia" w:ascii="仿宋" w:hAnsi="仿宋" w:eastAsia="仿宋" w:cs="仿宋"/>
          <w:color w:val="auto"/>
          <w:sz w:val="28"/>
          <w:szCs w:val="28"/>
          <w:highlight w:val="none"/>
        </w:rPr>
        <w:t>2.2.2符合性审查：</w:t>
      </w:r>
      <w:bookmarkEnd w:id="55"/>
    </w:p>
    <w:tbl>
      <w:tblPr>
        <w:tblStyle w:val="111"/>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181"/>
        <w:gridCol w:w="492"/>
        <w:gridCol w:w="576"/>
        <w:gridCol w:w="532"/>
      </w:tblGrid>
      <w:tr w14:paraId="774D2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59" w:type="dxa"/>
            <w:gridSpan w:val="2"/>
            <w:vMerge w:val="restart"/>
            <w:vAlign w:val="center"/>
          </w:tcPr>
          <w:p w14:paraId="1A8613FA">
            <w:pPr>
              <w:pStyle w:val="136"/>
              <w:adjustRightInd w:val="0"/>
              <w:spacing w:before="148" w:line="360" w:lineRule="auto"/>
              <w:ind w:left="114" w:right="225" w:firstLine="1"/>
              <w:jc w:val="center"/>
              <w:rPr>
                <w:rFonts w:hint="eastAsia" w:ascii="仿宋" w:hAnsi="仿宋" w:eastAsia="仿宋" w:cs="仿宋"/>
                <w:color w:val="auto"/>
                <w:spacing w:val="-5"/>
                <w:sz w:val="28"/>
                <w:szCs w:val="28"/>
                <w:highlight w:val="none"/>
              </w:rPr>
            </w:pPr>
            <w:r>
              <w:rPr>
                <w:rFonts w:hint="eastAsia" w:ascii="仿宋" w:hAnsi="仿宋" w:eastAsia="仿宋" w:cs="仿宋"/>
                <w:b/>
                <w:bCs/>
                <w:color w:val="auto"/>
                <w:spacing w:val="-7"/>
                <w:sz w:val="28"/>
                <w:szCs w:val="28"/>
                <w:highlight w:val="none"/>
              </w:rPr>
              <w:t>评审内容</w:t>
            </w:r>
          </w:p>
        </w:tc>
        <w:tc>
          <w:tcPr>
            <w:tcW w:w="1600" w:type="dxa"/>
            <w:gridSpan w:val="3"/>
          </w:tcPr>
          <w:p w14:paraId="300AD680">
            <w:pPr>
              <w:pStyle w:val="136"/>
              <w:adjustRightInd w:val="0"/>
              <w:spacing w:before="150" w:line="360" w:lineRule="auto"/>
              <w:jc w:val="center"/>
              <w:rPr>
                <w:rFonts w:hint="eastAsia" w:ascii="仿宋" w:hAnsi="仿宋" w:eastAsia="仿宋" w:cs="仿宋"/>
                <w:b/>
                <w:bCs/>
                <w:color w:val="auto"/>
                <w:spacing w:val="-3"/>
                <w:position w:val="3"/>
                <w:sz w:val="28"/>
                <w:szCs w:val="28"/>
                <w:highlight w:val="none"/>
              </w:rPr>
            </w:pPr>
            <w:r>
              <w:rPr>
                <w:rFonts w:hint="eastAsia" w:ascii="仿宋" w:hAnsi="仿宋" w:eastAsia="仿宋" w:cs="仿宋"/>
                <w:b/>
                <w:bCs/>
                <w:color w:val="auto"/>
                <w:spacing w:val="-7"/>
                <w:sz w:val="28"/>
                <w:szCs w:val="28"/>
                <w:highlight w:val="none"/>
              </w:rPr>
              <w:t>投标企业名称</w:t>
            </w:r>
          </w:p>
        </w:tc>
      </w:tr>
      <w:tr w14:paraId="345F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trPr>
        <w:tc>
          <w:tcPr>
            <w:tcW w:w="7759" w:type="dxa"/>
            <w:gridSpan w:val="2"/>
            <w:vMerge w:val="continue"/>
          </w:tcPr>
          <w:p w14:paraId="48F20D66">
            <w:pPr>
              <w:pStyle w:val="136"/>
              <w:adjustRightInd w:val="0"/>
              <w:spacing w:before="148" w:line="360" w:lineRule="auto"/>
              <w:ind w:left="114" w:right="225" w:firstLine="1"/>
              <w:rPr>
                <w:rFonts w:hint="eastAsia" w:ascii="仿宋" w:hAnsi="仿宋" w:eastAsia="仿宋" w:cs="仿宋"/>
                <w:color w:val="auto"/>
                <w:spacing w:val="-5"/>
                <w:sz w:val="28"/>
                <w:szCs w:val="28"/>
                <w:highlight w:val="none"/>
              </w:rPr>
            </w:pPr>
          </w:p>
        </w:tc>
        <w:tc>
          <w:tcPr>
            <w:tcW w:w="492" w:type="dxa"/>
          </w:tcPr>
          <w:p w14:paraId="75CE884A">
            <w:pPr>
              <w:pStyle w:val="136"/>
              <w:adjustRightInd w:val="0"/>
              <w:spacing w:before="155" w:line="360" w:lineRule="auto"/>
              <w:ind w:left="2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76" w:type="dxa"/>
          </w:tcPr>
          <w:p w14:paraId="5FF64933">
            <w:pPr>
              <w:pStyle w:val="136"/>
              <w:adjustRightInd w:val="0"/>
              <w:spacing w:before="157" w:line="360" w:lineRule="auto"/>
              <w:ind w:left="22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32" w:type="dxa"/>
          </w:tcPr>
          <w:p w14:paraId="4EC8CC66">
            <w:pPr>
              <w:pStyle w:val="136"/>
              <w:adjustRightInd w:val="0"/>
              <w:spacing w:before="111" w:line="360" w:lineRule="auto"/>
              <w:ind w:left="183"/>
              <w:rPr>
                <w:rFonts w:hint="eastAsia" w:ascii="仿宋" w:hAnsi="仿宋" w:eastAsia="仿宋" w:cs="仿宋"/>
                <w:b/>
                <w:bCs/>
                <w:color w:val="auto"/>
                <w:spacing w:val="-3"/>
                <w:position w:val="3"/>
                <w:sz w:val="28"/>
                <w:szCs w:val="28"/>
                <w:highlight w:val="none"/>
              </w:rPr>
            </w:pPr>
            <w:r>
              <w:rPr>
                <w:rFonts w:hint="eastAsia" w:ascii="仿宋" w:hAnsi="仿宋" w:eastAsia="仿宋" w:cs="仿宋"/>
                <w:color w:val="auto"/>
                <w:sz w:val="28"/>
                <w:szCs w:val="28"/>
                <w:highlight w:val="none"/>
              </w:rPr>
              <w:t>…</w:t>
            </w:r>
          </w:p>
        </w:tc>
      </w:tr>
      <w:tr w14:paraId="0819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Align w:val="center"/>
          </w:tcPr>
          <w:p w14:paraId="036667CA">
            <w:pPr>
              <w:pStyle w:val="136"/>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7181" w:type="dxa"/>
            <w:vAlign w:val="center"/>
          </w:tcPr>
          <w:p w14:paraId="1B4A0BDA">
            <w:pPr>
              <w:pStyle w:val="136"/>
              <w:adjustRightInd w:val="0"/>
              <w:spacing w:before="148" w:line="360" w:lineRule="auto"/>
              <w:ind w:left="114" w:right="225"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《磋商文件》中要求的法人代表或被授权代表签字处签字、投标单位加盖公章的；</w:t>
            </w:r>
          </w:p>
        </w:tc>
        <w:tc>
          <w:tcPr>
            <w:tcW w:w="492" w:type="dxa"/>
            <w:vAlign w:val="center"/>
          </w:tcPr>
          <w:p w14:paraId="2C5BC916">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4862666B">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71DB8096">
            <w:pPr>
              <w:adjustRightInd w:val="0"/>
              <w:spacing w:line="360" w:lineRule="auto"/>
              <w:jc w:val="left"/>
              <w:rPr>
                <w:rFonts w:hint="eastAsia" w:ascii="仿宋" w:hAnsi="仿宋" w:eastAsia="仿宋" w:cs="仿宋"/>
                <w:color w:val="auto"/>
                <w:sz w:val="28"/>
                <w:szCs w:val="28"/>
                <w:highlight w:val="none"/>
              </w:rPr>
            </w:pPr>
          </w:p>
          <w:p w14:paraId="4AEA4F47">
            <w:pPr>
              <w:pStyle w:val="136"/>
              <w:adjustRightInd w:val="0"/>
              <w:spacing w:before="65" w:line="360" w:lineRule="auto"/>
              <w:jc w:val="left"/>
              <w:rPr>
                <w:rFonts w:hint="eastAsia" w:ascii="仿宋" w:hAnsi="仿宋" w:eastAsia="仿宋" w:cs="仿宋"/>
                <w:color w:val="auto"/>
                <w:sz w:val="28"/>
                <w:szCs w:val="28"/>
                <w:highlight w:val="none"/>
                <w:lang w:eastAsia="zh-CN"/>
              </w:rPr>
            </w:pPr>
          </w:p>
        </w:tc>
      </w:tr>
      <w:tr w14:paraId="73AF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78" w:type="dxa"/>
            <w:vAlign w:val="center"/>
          </w:tcPr>
          <w:p w14:paraId="10956B1B">
            <w:pPr>
              <w:pStyle w:val="136"/>
              <w:adjustRightInd w:val="0"/>
              <w:spacing w:before="271"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p>
        </w:tc>
        <w:tc>
          <w:tcPr>
            <w:tcW w:w="7181" w:type="dxa"/>
            <w:vAlign w:val="center"/>
          </w:tcPr>
          <w:p w14:paraId="731CA17F">
            <w:pPr>
              <w:pStyle w:val="136"/>
              <w:adjustRightInd w:val="0"/>
              <w:spacing w:before="233"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《响应文件》按照《磋商文件》要求制作；</w:t>
            </w:r>
          </w:p>
        </w:tc>
        <w:tc>
          <w:tcPr>
            <w:tcW w:w="492" w:type="dxa"/>
            <w:vAlign w:val="center"/>
          </w:tcPr>
          <w:p w14:paraId="45F42373">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1A39ED2F">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2BD5A0DD">
            <w:pPr>
              <w:adjustRightInd w:val="0"/>
              <w:spacing w:line="360" w:lineRule="auto"/>
              <w:jc w:val="left"/>
              <w:rPr>
                <w:rFonts w:hint="eastAsia" w:ascii="仿宋" w:hAnsi="仿宋" w:eastAsia="仿宋" w:cs="仿宋"/>
                <w:color w:val="auto"/>
                <w:sz w:val="28"/>
                <w:szCs w:val="28"/>
                <w:highlight w:val="none"/>
              </w:rPr>
            </w:pPr>
          </w:p>
        </w:tc>
      </w:tr>
      <w:tr w14:paraId="41A5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78" w:type="dxa"/>
            <w:vAlign w:val="center"/>
          </w:tcPr>
          <w:p w14:paraId="23E8FE1C">
            <w:pPr>
              <w:pStyle w:val="136"/>
              <w:adjustRightInd w:val="0"/>
              <w:spacing w:before="264"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7181" w:type="dxa"/>
            <w:vAlign w:val="center"/>
          </w:tcPr>
          <w:p w14:paraId="58095823">
            <w:pPr>
              <w:pStyle w:val="136"/>
              <w:adjustRightInd w:val="0"/>
              <w:spacing w:before="226"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《响应文件》按照《磋商文件》规定要求签署、盖章的；</w:t>
            </w:r>
          </w:p>
        </w:tc>
        <w:tc>
          <w:tcPr>
            <w:tcW w:w="492" w:type="dxa"/>
            <w:vAlign w:val="center"/>
          </w:tcPr>
          <w:p w14:paraId="7C129875">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4753368A">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60B52772">
            <w:pPr>
              <w:adjustRightInd w:val="0"/>
              <w:spacing w:line="360" w:lineRule="auto"/>
              <w:jc w:val="left"/>
              <w:rPr>
                <w:rFonts w:hint="eastAsia" w:ascii="仿宋" w:hAnsi="仿宋" w:eastAsia="仿宋" w:cs="仿宋"/>
                <w:color w:val="auto"/>
                <w:sz w:val="28"/>
                <w:szCs w:val="28"/>
                <w:highlight w:val="none"/>
              </w:rPr>
            </w:pPr>
          </w:p>
        </w:tc>
      </w:tr>
      <w:tr w14:paraId="5EAB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50592839">
            <w:pPr>
              <w:pStyle w:val="136"/>
              <w:adjustRightInd w:val="0"/>
              <w:spacing w:before="251"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7181" w:type="dxa"/>
            <w:vAlign w:val="center"/>
          </w:tcPr>
          <w:p w14:paraId="38F4653F">
            <w:pPr>
              <w:pStyle w:val="136"/>
              <w:adjustRightInd w:val="0"/>
              <w:spacing w:before="211"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《响应文件》内容真实，未提供虚假证明文件、虚假技术参数的；</w:t>
            </w:r>
          </w:p>
        </w:tc>
        <w:tc>
          <w:tcPr>
            <w:tcW w:w="492" w:type="dxa"/>
            <w:vAlign w:val="center"/>
          </w:tcPr>
          <w:p w14:paraId="3ECE5C09">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31016EF1">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3E6518A8">
            <w:pPr>
              <w:adjustRightInd w:val="0"/>
              <w:spacing w:line="360" w:lineRule="auto"/>
              <w:jc w:val="left"/>
              <w:rPr>
                <w:rFonts w:hint="eastAsia" w:ascii="仿宋" w:hAnsi="仿宋" w:eastAsia="仿宋" w:cs="仿宋"/>
                <w:color w:val="auto"/>
                <w:sz w:val="28"/>
                <w:szCs w:val="28"/>
                <w:highlight w:val="none"/>
              </w:rPr>
            </w:pPr>
          </w:p>
        </w:tc>
      </w:tr>
      <w:tr w14:paraId="4574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0B98FA5C">
            <w:pPr>
              <w:pStyle w:val="136"/>
              <w:adjustRightInd w:val="0"/>
              <w:spacing w:before="249"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7181" w:type="dxa"/>
            <w:vAlign w:val="center"/>
          </w:tcPr>
          <w:p w14:paraId="6F1EA41B">
            <w:pPr>
              <w:pStyle w:val="136"/>
              <w:adjustRightInd w:val="0"/>
              <w:spacing w:before="211"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《响应文件》未附有采购人不能接受的条件；</w:t>
            </w:r>
          </w:p>
        </w:tc>
        <w:tc>
          <w:tcPr>
            <w:tcW w:w="492" w:type="dxa"/>
            <w:vAlign w:val="center"/>
          </w:tcPr>
          <w:p w14:paraId="5B16585B">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065A804A">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468A1AD3">
            <w:pPr>
              <w:adjustRightInd w:val="0"/>
              <w:spacing w:line="360" w:lineRule="auto"/>
              <w:jc w:val="left"/>
              <w:rPr>
                <w:rFonts w:hint="eastAsia" w:ascii="仿宋" w:hAnsi="仿宋" w:eastAsia="仿宋" w:cs="仿宋"/>
                <w:color w:val="auto"/>
                <w:sz w:val="28"/>
                <w:szCs w:val="28"/>
                <w:highlight w:val="none"/>
              </w:rPr>
            </w:pPr>
          </w:p>
        </w:tc>
      </w:tr>
      <w:tr w14:paraId="079E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44D5EFCF">
            <w:pPr>
              <w:pStyle w:val="136"/>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4"/>
                <w:sz w:val="28"/>
                <w:szCs w:val="28"/>
                <w:highlight w:val="none"/>
                <w:lang w:val="en-US" w:eastAsia="zh-CN"/>
              </w:rPr>
              <w:t>6</w:t>
            </w:r>
          </w:p>
        </w:tc>
        <w:tc>
          <w:tcPr>
            <w:tcW w:w="7181" w:type="dxa"/>
            <w:vAlign w:val="center"/>
          </w:tcPr>
          <w:p w14:paraId="11F972BC">
            <w:pPr>
              <w:pStyle w:val="136"/>
              <w:adjustRightInd w:val="0"/>
              <w:spacing w:before="151" w:line="360" w:lineRule="auto"/>
              <w:ind w:left="115" w:right="225"/>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投标人无不良记录的；</w:t>
            </w:r>
          </w:p>
        </w:tc>
        <w:tc>
          <w:tcPr>
            <w:tcW w:w="492" w:type="dxa"/>
            <w:vAlign w:val="center"/>
          </w:tcPr>
          <w:p w14:paraId="126387EF">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2DD0C69E">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6CDF22DE">
            <w:pPr>
              <w:adjustRightInd w:val="0"/>
              <w:spacing w:line="360" w:lineRule="auto"/>
              <w:jc w:val="left"/>
              <w:rPr>
                <w:rFonts w:hint="eastAsia" w:ascii="仿宋" w:hAnsi="仿宋" w:eastAsia="仿宋" w:cs="仿宋"/>
                <w:color w:val="auto"/>
                <w:sz w:val="28"/>
                <w:szCs w:val="28"/>
                <w:highlight w:val="none"/>
              </w:rPr>
            </w:pPr>
          </w:p>
        </w:tc>
      </w:tr>
      <w:tr w14:paraId="13F9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155FB2C5">
            <w:pPr>
              <w:pStyle w:val="136"/>
              <w:adjustRightInd w:val="0"/>
              <w:spacing w:before="78" w:line="360" w:lineRule="auto"/>
              <w:jc w:val="center"/>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lang w:val="en-US" w:eastAsia="zh-CN"/>
              </w:rPr>
              <w:t>7</w:t>
            </w:r>
          </w:p>
        </w:tc>
        <w:tc>
          <w:tcPr>
            <w:tcW w:w="7181" w:type="dxa"/>
            <w:vAlign w:val="center"/>
          </w:tcPr>
          <w:p w14:paraId="74895348">
            <w:pPr>
              <w:pStyle w:val="136"/>
              <w:adjustRightInd w:val="0"/>
              <w:spacing w:before="151" w:line="360" w:lineRule="auto"/>
              <w:ind w:left="115" w:right="225"/>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符合法律、法规和《磋商文件》中规定的其他实质性要求的。</w:t>
            </w:r>
          </w:p>
        </w:tc>
        <w:tc>
          <w:tcPr>
            <w:tcW w:w="492" w:type="dxa"/>
            <w:vAlign w:val="center"/>
          </w:tcPr>
          <w:p w14:paraId="163A530F">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101CBC37">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23DADCED">
            <w:pPr>
              <w:adjustRightInd w:val="0"/>
              <w:spacing w:line="360" w:lineRule="auto"/>
              <w:jc w:val="left"/>
              <w:rPr>
                <w:rFonts w:hint="eastAsia" w:ascii="仿宋" w:hAnsi="仿宋" w:eastAsia="仿宋" w:cs="仿宋"/>
                <w:color w:val="auto"/>
                <w:sz w:val="28"/>
                <w:szCs w:val="28"/>
                <w:highlight w:val="none"/>
              </w:rPr>
            </w:pPr>
          </w:p>
        </w:tc>
      </w:tr>
      <w:tr w14:paraId="1781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59" w:type="dxa"/>
            <w:gridSpan w:val="2"/>
          </w:tcPr>
          <w:p w14:paraId="09B7F54A">
            <w:pPr>
              <w:pStyle w:val="136"/>
              <w:adjustRightInd w:val="0"/>
              <w:spacing w:before="151" w:line="360" w:lineRule="auto"/>
              <w:ind w:left="3660"/>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审查结果</w:t>
            </w:r>
          </w:p>
        </w:tc>
        <w:tc>
          <w:tcPr>
            <w:tcW w:w="492" w:type="dxa"/>
          </w:tcPr>
          <w:p w14:paraId="067FF0CE">
            <w:pPr>
              <w:adjustRightInd w:val="0"/>
              <w:spacing w:line="360" w:lineRule="auto"/>
              <w:rPr>
                <w:rFonts w:hint="eastAsia" w:ascii="仿宋" w:hAnsi="仿宋" w:eastAsia="仿宋" w:cs="仿宋"/>
                <w:color w:val="auto"/>
                <w:sz w:val="28"/>
                <w:szCs w:val="28"/>
                <w:highlight w:val="none"/>
              </w:rPr>
            </w:pPr>
          </w:p>
        </w:tc>
        <w:tc>
          <w:tcPr>
            <w:tcW w:w="576" w:type="dxa"/>
          </w:tcPr>
          <w:p w14:paraId="3D7180CF">
            <w:pPr>
              <w:adjustRightInd w:val="0"/>
              <w:spacing w:line="360" w:lineRule="auto"/>
              <w:rPr>
                <w:rFonts w:hint="eastAsia" w:ascii="仿宋" w:hAnsi="仿宋" w:eastAsia="仿宋" w:cs="仿宋"/>
                <w:color w:val="auto"/>
                <w:sz w:val="28"/>
                <w:szCs w:val="28"/>
                <w:highlight w:val="none"/>
              </w:rPr>
            </w:pPr>
          </w:p>
        </w:tc>
        <w:tc>
          <w:tcPr>
            <w:tcW w:w="532" w:type="dxa"/>
          </w:tcPr>
          <w:p w14:paraId="7A614844">
            <w:pPr>
              <w:adjustRightInd w:val="0"/>
              <w:spacing w:line="360" w:lineRule="auto"/>
              <w:rPr>
                <w:rFonts w:hint="eastAsia" w:ascii="仿宋" w:hAnsi="仿宋" w:eastAsia="仿宋" w:cs="仿宋"/>
                <w:color w:val="auto"/>
                <w:sz w:val="28"/>
                <w:szCs w:val="28"/>
                <w:highlight w:val="none"/>
              </w:rPr>
            </w:pPr>
          </w:p>
        </w:tc>
      </w:tr>
      <w:tr w14:paraId="3F9F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759" w:type="dxa"/>
            <w:gridSpan w:val="2"/>
          </w:tcPr>
          <w:p w14:paraId="1CF71277">
            <w:pPr>
              <w:pStyle w:val="136"/>
              <w:adjustRightInd w:val="0"/>
              <w:spacing w:before="172" w:line="360" w:lineRule="auto"/>
              <w:ind w:left="3301"/>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492" w:type="dxa"/>
          </w:tcPr>
          <w:p w14:paraId="6F0F77BD">
            <w:pPr>
              <w:adjustRightInd w:val="0"/>
              <w:spacing w:line="360" w:lineRule="auto"/>
              <w:rPr>
                <w:rFonts w:hint="eastAsia" w:ascii="仿宋" w:hAnsi="仿宋" w:eastAsia="仿宋" w:cs="仿宋"/>
                <w:color w:val="auto"/>
                <w:sz w:val="28"/>
                <w:szCs w:val="28"/>
                <w:highlight w:val="none"/>
              </w:rPr>
            </w:pPr>
          </w:p>
        </w:tc>
        <w:tc>
          <w:tcPr>
            <w:tcW w:w="576" w:type="dxa"/>
          </w:tcPr>
          <w:p w14:paraId="1AF10E5D">
            <w:pPr>
              <w:adjustRightInd w:val="0"/>
              <w:spacing w:line="360" w:lineRule="auto"/>
              <w:rPr>
                <w:rFonts w:hint="eastAsia" w:ascii="仿宋" w:hAnsi="仿宋" w:eastAsia="仿宋" w:cs="仿宋"/>
                <w:color w:val="auto"/>
                <w:sz w:val="28"/>
                <w:szCs w:val="28"/>
                <w:highlight w:val="none"/>
              </w:rPr>
            </w:pPr>
          </w:p>
        </w:tc>
        <w:tc>
          <w:tcPr>
            <w:tcW w:w="532" w:type="dxa"/>
          </w:tcPr>
          <w:p w14:paraId="74AC344C">
            <w:pPr>
              <w:adjustRightInd w:val="0"/>
              <w:spacing w:line="360" w:lineRule="auto"/>
              <w:rPr>
                <w:rFonts w:hint="eastAsia" w:ascii="仿宋" w:hAnsi="仿宋" w:eastAsia="仿宋" w:cs="仿宋"/>
                <w:color w:val="auto"/>
                <w:sz w:val="28"/>
                <w:szCs w:val="28"/>
                <w:highlight w:val="none"/>
              </w:rPr>
            </w:pPr>
          </w:p>
        </w:tc>
      </w:tr>
    </w:tbl>
    <w:p w14:paraId="2D1609A3">
      <w:pPr>
        <w:spacing w:before="240" w:beforeLines="100" w:after="120" w:afterLines="50" w:line="360" w:lineRule="auto"/>
        <w:ind w:firstLine="560" w:firstLineChars="200"/>
        <w:rPr>
          <w:rFonts w:hint="eastAsia" w:ascii="仿宋" w:hAnsi="仿宋" w:eastAsia="仿宋" w:cs="仿宋"/>
          <w:color w:val="auto"/>
          <w:sz w:val="28"/>
          <w:szCs w:val="28"/>
          <w:highlight w:val="none"/>
        </w:rPr>
      </w:pPr>
      <w:bookmarkStart w:id="56" w:name="_Toc8526"/>
      <w:r>
        <w:rPr>
          <w:rFonts w:hint="eastAsia" w:ascii="仿宋" w:hAnsi="仿宋" w:eastAsia="仿宋" w:cs="仿宋"/>
          <w:color w:val="auto"/>
          <w:sz w:val="28"/>
          <w:szCs w:val="28"/>
          <w:highlight w:val="none"/>
        </w:rPr>
        <w:t>2.3报价部分</w:t>
      </w:r>
      <w:bookmarkEnd w:id="56"/>
    </w:p>
    <w:tbl>
      <w:tblPr>
        <w:tblStyle w:val="37"/>
        <w:tblW w:w="95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620"/>
        <w:gridCol w:w="6984"/>
      </w:tblGrid>
      <w:tr w14:paraId="3A8B9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1D250D3C">
            <w:pPr>
              <w:keepNext w:val="0"/>
              <w:keepLines w:val="0"/>
              <w:suppressLineNumbers w:val="0"/>
              <w:kinsoku/>
              <w:overflowPunct/>
              <w:topLinePunct w:val="0"/>
              <w:bidi w:val="0"/>
              <w:spacing w:before="0" w:beforeLines="3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6984" w:type="dxa"/>
            <w:tcBorders>
              <w:top w:val="single" w:color="auto" w:sz="4" w:space="0"/>
              <w:left w:val="single" w:color="auto" w:sz="4" w:space="0"/>
              <w:bottom w:val="single" w:color="auto" w:sz="4" w:space="0"/>
              <w:right w:val="single" w:color="auto" w:sz="4" w:space="0"/>
            </w:tcBorders>
            <w:noWrap w:val="0"/>
            <w:vAlign w:val="center"/>
          </w:tcPr>
          <w:p w14:paraId="48310ADD">
            <w:pPr>
              <w:keepNext w:val="0"/>
              <w:keepLines w:val="0"/>
              <w:suppressLineNumbers w:val="0"/>
              <w:kinsoku/>
              <w:overflowPunct/>
              <w:topLinePunct w:val="0"/>
              <w:bidi w:val="0"/>
              <w:spacing w:before="0" w:beforeLines="3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评审标准</w:t>
            </w:r>
          </w:p>
        </w:tc>
      </w:tr>
      <w:tr w14:paraId="35E30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4A3B77B">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2.3.1</w:t>
            </w:r>
          </w:p>
        </w:tc>
        <w:tc>
          <w:tcPr>
            <w:tcW w:w="1620" w:type="dxa"/>
            <w:tcBorders>
              <w:top w:val="single" w:color="auto" w:sz="4" w:space="0"/>
              <w:left w:val="nil"/>
              <w:bottom w:val="single" w:color="auto" w:sz="4" w:space="0"/>
              <w:right w:val="single" w:color="auto" w:sz="4" w:space="0"/>
            </w:tcBorders>
            <w:noWrap w:val="0"/>
            <w:vAlign w:val="center"/>
          </w:tcPr>
          <w:p w14:paraId="5675540A">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报价得分（</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tc>
        <w:tc>
          <w:tcPr>
            <w:tcW w:w="6984" w:type="dxa"/>
            <w:tcBorders>
              <w:top w:val="single" w:color="auto" w:sz="4" w:space="0"/>
              <w:left w:val="nil"/>
              <w:bottom w:val="single" w:color="auto" w:sz="4" w:space="0"/>
              <w:right w:val="single" w:color="auto" w:sz="4" w:space="0"/>
            </w:tcBorders>
            <w:noWrap w:val="0"/>
            <w:vAlign w:val="center"/>
          </w:tcPr>
          <w:p w14:paraId="7126DCF4">
            <w:pPr>
              <w:keepNext w:val="0"/>
              <w:keepLines w:val="0"/>
              <w:suppressLineNumbers w:val="0"/>
              <w:kinsoku/>
              <w:overflowPunct/>
              <w:topLinePunct w:val="0"/>
              <w:bidi w:val="0"/>
              <w:spacing w:before="93" w:beforeLines="30" w:beforeAutospacing="0" w:after="0" w:afterAutospacing="0" w:line="360" w:lineRule="auto"/>
              <w:ind w:left="0" w:right="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8"/>
                <w:szCs w:val="28"/>
                <w:highlight w:val="none"/>
                <w:lang w:val="en-US" w:eastAsia="zh-CN"/>
              </w:rPr>
              <w:t>磋商小组只对符合性检查合格的响应文件进行价格评议，报价分采用低价优先法计算，即满足磋商文件要求且最终报价最低的为评审基准价，其价格分为满分。其他供应商的价格分按照下列公式计算：</w:t>
            </w:r>
            <w:r>
              <w:rPr>
                <w:rFonts w:hint="eastAsia" w:ascii="仿宋" w:hAnsi="仿宋" w:eastAsia="仿宋" w:cs="仿宋"/>
                <w:b/>
                <w:bCs/>
                <w:color w:val="auto"/>
                <w:sz w:val="28"/>
                <w:szCs w:val="28"/>
                <w:highlight w:val="none"/>
                <w:lang w:val="en-US" w:eastAsia="zh-CN"/>
              </w:rPr>
              <w:t>磋商报价得分=(磋商基准价／最后磋商报价)×价格权值。</w:t>
            </w:r>
          </w:p>
        </w:tc>
      </w:tr>
    </w:tbl>
    <w:p w14:paraId="598302E4">
      <w:pPr>
        <w:spacing w:before="120" w:beforeLines="50" w:after="120" w:afterLines="50" w:line="360" w:lineRule="auto"/>
        <w:ind w:firstLine="560" w:firstLineChars="200"/>
        <w:rPr>
          <w:rFonts w:hint="eastAsia" w:ascii="仿宋" w:hAnsi="仿宋" w:eastAsia="仿宋" w:cs="仿宋"/>
          <w:color w:val="auto"/>
          <w:sz w:val="28"/>
          <w:szCs w:val="28"/>
          <w:highlight w:val="none"/>
        </w:rPr>
      </w:pPr>
      <w:bookmarkStart w:id="57" w:name="_Toc32532"/>
      <w:r>
        <w:rPr>
          <w:rFonts w:hint="eastAsia" w:ascii="仿宋" w:hAnsi="仿宋" w:eastAsia="仿宋" w:cs="仿宋"/>
          <w:color w:val="auto"/>
          <w:sz w:val="28"/>
          <w:szCs w:val="28"/>
          <w:highlight w:val="none"/>
        </w:rPr>
        <w:t>2.4商务技术部分</w:t>
      </w:r>
      <w:bookmarkEnd w:id="57"/>
    </w:p>
    <w:tbl>
      <w:tblPr>
        <w:tblStyle w:val="3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1920"/>
        <w:gridCol w:w="6677"/>
      </w:tblGrid>
      <w:tr w14:paraId="2EC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005" w:type="dxa"/>
            <w:noWrap w:val="0"/>
            <w:vAlign w:val="center"/>
          </w:tcPr>
          <w:p w14:paraId="4828CF92">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bookmarkStart w:id="58" w:name="_Toc10065"/>
            <w:bookmarkStart w:id="59" w:name="_Toc18281"/>
            <w:r>
              <w:rPr>
                <w:rFonts w:hint="eastAsia" w:ascii="仿宋" w:hAnsi="仿宋" w:eastAsia="仿宋" w:cs="仿宋"/>
                <w:b w:val="0"/>
                <w:bCs/>
                <w:color w:val="auto"/>
                <w:kern w:val="2"/>
                <w:sz w:val="28"/>
                <w:szCs w:val="28"/>
                <w:highlight w:val="none"/>
                <w:lang w:val="en-US" w:eastAsia="zh-CN" w:bidi="ar-SA"/>
              </w:rPr>
              <w:t>序号</w:t>
            </w:r>
          </w:p>
        </w:tc>
        <w:tc>
          <w:tcPr>
            <w:tcW w:w="1920" w:type="dxa"/>
            <w:noWrap w:val="0"/>
            <w:vAlign w:val="center"/>
          </w:tcPr>
          <w:p w14:paraId="651BACD4">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评分内容</w:t>
            </w:r>
          </w:p>
        </w:tc>
        <w:tc>
          <w:tcPr>
            <w:tcW w:w="6677" w:type="dxa"/>
            <w:noWrap w:val="0"/>
            <w:vAlign w:val="center"/>
          </w:tcPr>
          <w:p w14:paraId="03C87BFC">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评分方法</w:t>
            </w:r>
          </w:p>
        </w:tc>
      </w:tr>
      <w:tr w14:paraId="1F3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5" w:type="dxa"/>
            <w:noWrap w:val="0"/>
            <w:vAlign w:val="center"/>
          </w:tcPr>
          <w:p w14:paraId="4504B2B1">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2.4.1</w:t>
            </w:r>
          </w:p>
        </w:tc>
        <w:tc>
          <w:tcPr>
            <w:tcW w:w="1920" w:type="dxa"/>
            <w:noWrap w:val="0"/>
            <w:vAlign w:val="center"/>
          </w:tcPr>
          <w:p w14:paraId="25C8202F">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leftChars="0" w:right="0" w:right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业绩（4分）</w:t>
            </w:r>
          </w:p>
        </w:tc>
        <w:tc>
          <w:tcPr>
            <w:tcW w:w="6677" w:type="dxa"/>
            <w:noWrap w:val="0"/>
            <w:vAlign w:val="center"/>
          </w:tcPr>
          <w:p w14:paraId="1097C5DF">
            <w:pPr>
              <w:keepNext w:val="0"/>
              <w:keepLines w:val="0"/>
              <w:suppressLineNumbers w:val="0"/>
              <w:kinsoku/>
              <w:overflowPunct/>
              <w:topLinePunct w:val="0"/>
              <w:bidi w:val="0"/>
              <w:spacing w:before="93" w:beforeLines="30" w:beforeAutospacing="0" w:after="0" w:afterAutospacing="0" w:line="360" w:lineRule="auto"/>
              <w:ind w:left="0" w:leftChars="0" w:right="0" w:rightChars="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SA"/>
              </w:rPr>
              <w:t>供应商近三年（2023年01月01日至今）</w:t>
            </w:r>
            <w:r>
              <w:rPr>
                <w:rFonts w:hint="default" w:ascii="仿宋" w:hAnsi="仿宋" w:eastAsia="仿宋" w:cs="仿宋"/>
                <w:color w:val="auto"/>
                <w:spacing w:val="-1"/>
                <w:sz w:val="28"/>
                <w:szCs w:val="28"/>
                <w:highlight w:val="none"/>
                <w:u w:val="single"/>
                <w:lang w:val="en-US" w:eastAsia="zh-CN"/>
              </w:rPr>
              <w:t>碳达峰碳中和规划</w:t>
            </w:r>
            <w:r>
              <w:rPr>
                <w:rFonts w:hint="eastAsia" w:ascii="仿宋" w:hAnsi="仿宋" w:eastAsia="仿宋" w:cs="仿宋"/>
                <w:color w:val="auto"/>
                <w:spacing w:val="-1"/>
                <w:sz w:val="28"/>
                <w:szCs w:val="28"/>
                <w:highlight w:val="none"/>
                <w:u w:val="single"/>
                <w:lang w:val="en-US" w:eastAsia="zh-CN"/>
              </w:rPr>
              <w:t>、碳排放预算管理</w:t>
            </w:r>
            <w:r>
              <w:rPr>
                <w:rFonts w:hint="default" w:ascii="仿宋" w:hAnsi="仿宋" w:eastAsia="仿宋" w:cs="仿宋"/>
                <w:color w:val="auto"/>
                <w:spacing w:val="-1"/>
                <w:sz w:val="28"/>
                <w:szCs w:val="28"/>
                <w:highlight w:val="none"/>
                <w:u w:val="single"/>
                <w:lang w:val="en-US" w:eastAsia="zh-CN"/>
              </w:rPr>
              <w:t>业绩</w:t>
            </w:r>
            <w:r>
              <w:rPr>
                <w:rFonts w:hint="eastAsia" w:ascii="仿宋" w:hAnsi="仿宋" w:eastAsia="仿宋" w:cs="仿宋"/>
                <w:color w:val="auto"/>
                <w:spacing w:val="-1"/>
                <w:sz w:val="28"/>
                <w:szCs w:val="28"/>
                <w:highlight w:val="none"/>
                <w:u w:val="single"/>
                <w:lang w:val="en-US" w:eastAsia="zh-CN"/>
              </w:rPr>
              <w:t>，</w:t>
            </w:r>
            <w:r>
              <w:rPr>
                <w:rFonts w:hint="eastAsia" w:ascii="仿宋" w:hAnsi="仿宋" w:eastAsia="仿宋" w:cs="仿宋"/>
                <w:color w:val="auto"/>
                <w:kern w:val="2"/>
                <w:sz w:val="28"/>
                <w:szCs w:val="28"/>
                <w:highlight w:val="none"/>
                <w:lang w:val="en-US" w:eastAsia="zh-CN" w:bidi="ar-SA"/>
              </w:rPr>
              <w:t>每提供一项得2分，满分4分。以提供的中标通知书或合同为准（时间以合同签订时间为准），未提供证明资料的、提供证明材料不全、证明材料模糊无法辨认的，不计分。</w:t>
            </w:r>
          </w:p>
        </w:tc>
      </w:tr>
      <w:tr w14:paraId="1B1D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1005" w:type="dxa"/>
            <w:noWrap w:val="0"/>
            <w:vAlign w:val="center"/>
          </w:tcPr>
          <w:p w14:paraId="3313DD1E">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2.4.2</w:t>
            </w:r>
          </w:p>
        </w:tc>
        <w:tc>
          <w:tcPr>
            <w:tcW w:w="1920" w:type="dxa"/>
            <w:noWrap w:val="0"/>
            <w:vAlign w:val="center"/>
          </w:tcPr>
          <w:p w14:paraId="7F491BA7">
            <w:pPr>
              <w:pStyle w:val="136"/>
              <w:keepNext w:val="0"/>
              <w:keepLines w:val="0"/>
              <w:pageBreakBefore w:val="0"/>
              <w:suppressLineNumbers w:val="0"/>
              <w:kinsoku/>
              <w:wordWrap/>
              <w:overflowPunct w:val="0"/>
              <w:topLinePunct w:val="0"/>
              <w:bidi w:val="0"/>
              <w:adjustRightInd w:val="0"/>
              <w:spacing w:before="38" w:beforeAutospacing="0" w:after="0" w:afterAutospacing="0" w:line="360" w:lineRule="auto"/>
              <w:ind w:left="113" w:leftChars="0" w:right="107" w:rightChars="0" w:firstLine="3" w:firstLineChars="0"/>
              <w:jc w:val="center"/>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项目团队（15分）</w:t>
            </w:r>
          </w:p>
        </w:tc>
        <w:tc>
          <w:tcPr>
            <w:tcW w:w="6677" w:type="dxa"/>
            <w:noWrap w:val="0"/>
            <w:vAlign w:val="center"/>
          </w:tcPr>
          <w:p w14:paraId="1D41C4AA">
            <w:pPr>
              <w:pStyle w:val="136"/>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3" w:leftChars="0" w:right="107" w:rightChars="0" w:firstLine="3" w:firstLineChars="0"/>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sz w:val="28"/>
                <w:szCs w:val="28"/>
                <w:highlight w:val="none"/>
                <w:lang w:val="en-US" w:eastAsia="zh-CN"/>
              </w:rPr>
              <w:t>项目负责人具有相关专业高级职称的得5分，中级职称的得3分，其他不得分。</w:t>
            </w:r>
          </w:p>
          <w:p w14:paraId="77EBBCB0">
            <w:pPr>
              <w:pStyle w:val="136"/>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3" w:leftChars="0" w:right="107" w:rightChars="0" w:firstLine="3" w:firstLineChars="0"/>
              <w:outlineLvl w:val="9"/>
              <w:rPr>
                <w:rFonts w:hint="default" w:ascii="仿宋" w:hAnsi="仿宋" w:eastAsia="仿宋" w:cs="仿宋"/>
                <w:color w:val="auto"/>
                <w:sz w:val="28"/>
                <w:szCs w:val="28"/>
                <w:highlight w:val="none"/>
                <w:lang w:val="en-US" w:eastAsia="zh-CN"/>
              </w:rPr>
            </w:pPr>
            <w:r>
              <w:rPr>
                <w:rFonts w:hint="default" w:ascii="仿宋" w:hAnsi="仿宋" w:eastAsia="仿宋" w:cs="仿宋"/>
                <w:color w:val="auto"/>
                <w:kern w:val="2"/>
                <w:sz w:val="28"/>
                <w:szCs w:val="28"/>
                <w:highlight w:val="none"/>
                <w:lang w:val="en-US" w:eastAsia="zh-CN" w:bidi="ar-SA"/>
              </w:rPr>
              <w:t>2</w:t>
            </w:r>
            <w:r>
              <w:rPr>
                <w:rFonts w:hint="eastAsia" w:ascii="仿宋" w:hAnsi="仿宋" w:eastAsia="仿宋" w:cs="仿宋"/>
                <w:color w:val="auto"/>
                <w:kern w:val="2"/>
                <w:sz w:val="28"/>
                <w:szCs w:val="28"/>
                <w:highlight w:val="none"/>
                <w:lang w:val="en-US" w:eastAsia="zh-CN" w:bidi="ar-SA"/>
              </w:rPr>
              <w:t>.</w:t>
            </w:r>
            <w:r>
              <w:rPr>
                <w:rFonts w:hint="default" w:ascii="仿宋" w:hAnsi="仿宋" w:eastAsia="仿宋" w:cs="仿宋"/>
                <w:color w:val="auto"/>
                <w:sz w:val="28"/>
                <w:szCs w:val="28"/>
                <w:highlight w:val="none"/>
                <w:lang w:val="en-US" w:eastAsia="zh-CN"/>
              </w:rPr>
              <w:t>项目负责</w:t>
            </w:r>
            <w:r>
              <w:rPr>
                <w:rFonts w:hint="eastAsia" w:ascii="仿宋" w:hAnsi="仿宋" w:eastAsia="仿宋" w:cs="仿宋"/>
                <w:color w:val="auto"/>
                <w:sz w:val="28"/>
                <w:szCs w:val="28"/>
                <w:highlight w:val="none"/>
                <w:lang w:val="en-US" w:eastAsia="zh-CN"/>
              </w:rPr>
              <w:t>人自</w:t>
            </w:r>
            <w:r>
              <w:rPr>
                <w:rFonts w:hint="default" w:ascii="仿宋" w:hAnsi="仿宋" w:eastAsia="仿宋" w:cs="仿宋"/>
                <w:color w:val="auto"/>
                <w:sz w:val="28"/>
                <w:szCs w:val="28"/>
                <w:highlight w:val="none"/>
                <w:lang w:val="en-US" w:eastAsia="zh-CN"/>
              </w:rPr>
              <w:t>202</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年1月1日起至今，承担过类似业绩</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提供中标通知书或成交通知书或合同复印件，须加盖本单位公章</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每有1个得</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最高得</w:t>
            </w: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分。</w:t>
            </w:r>
          </w:p>
          <w:p w14:paraId="3DE70895">
            <w:pPr>
              <w:pStyle w:val="136"/>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3" w:leftChars="0" w:right="107" w:rightChars="0" w:firstLine="3" w:firstLineChars="0"/>
              <w:outlineLvl w:val="9"/>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val="en-US" w:eastAsia="zh-CN" w:bidi="ar"/>
              </w:rPr>
              <w:t>.</w:t>
            </w:r>
            <w:r>
              <w:rPr>
                <w:rFonts w:hint="default" w:ascii="仿宋" w:hAnsi="仿宋" w:eastAsia="仿宋" w:cs="仿宋"/>
                <w:color w:val="auto"/>
                <w:sz w:val="28"/>
                <w:szCs w:val="28"/>
                <w:highlight w:val="none"/>
                <w:lang w:val="en-US" w:eastAsia="zh-CN"/>
              </w:rPr>
              <w:t>拟投入本项目的项目组人员</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不包括项目负责人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不少于4人，</w:t>
            </w:r>
            <w:r>
              <w:rPr>
                <w:rFonts w:hint="default" w:ascii="仿宋" w:hAnsi="仿宋" w:eastAsia="仿宋" w:cs="仿宋"/>
                <w:color w:val="auto"/>
                <w:sz w:val="28"/>
                <w:szCs w:val="28"/>
                <w:highlight w:val="none"/>
                <w:lang w:val="en-US" w:eastAsia="zh-CN"/>
              </w:rPr>
              <w:t>每</w:t>
            </w:r>
            <w:r>
              <w:rPr>
                <w:rFonts w:hint="eastAsia" w:ascii="仿宋" w:hAnsi="仿宋" w:eastAsia="仿宋" w:cs="仿宋"/>
                <w:color w:val="auto"/>
                <w:sz w:val="28"/>
                <w:szCs w:val="28"/>
                <w:highlight w:val="none"/>
                <w:lang w:val="en-US" w:eastAsia="zh-CN"/>
              </w:rPr>
              <w:t>增加1人</w:t>
            </w:r>
            <w:r>
              <w:rPr>
                <w:rFonts w:hint="default" w:ascii="仿宋" w:hAnsi="仿宋" w:eastAsia="仿宋" w:cs="仿宋"/>
                <w:color w:val="auto"/>
                <w:sz w:val="28"/>
                <w:szCs w:val="28"/>
                <w:highlight w:val="none"/>
                <w:lang w:val="en-US" w:eastAsia="zh-CN"/>
              </w:rPr>
              <w:t>具有规划相关专业中级及以上职称的</w:t>
            </w:r>
            <w:r>
              <w:rPr>
                <w:rFonts w:hint="eastAsia" w:ascii="仿宋" w:hAnsi="仿宋" w:eastAsia="仿宋" w:cs="仿宋"/>
                <w:color w:val="auto"/>
                <w:sz w:val="28"/>
                <w:szCs w:val="28"/>
                <w:highlight w:val="none"/>
                <w:lang w:val="en-US" w:eastAsia="zh-CN"/>
              </w:rPr>
              <w:t>加</w:t>
            </w:r>
            <w:r>
              <w:rPr>
                <w:rFonts w:hint="default" w:ascii="仿宋" w:hAnsi="仿宋" w:eastAsia="仿宋" w:cs="仿宋"/>
                <w:color w:val="auto"/>
                <w:sz w:val="28"/>
                <w:szCs w:val="28"/>
                <w:highlight w:val="none"/>
                <w:lang w:val="en-US" w:eastAsia="zh-CN"/>
              </w:rPr>
              <w:t>2分，最多</w:t>
            </w:r>
            <w:r>
              <w:rPr>
                <w:rFonts w:hint="eastAsia" w:ascii="仿宋" w:hAnsi="仿宋" w:eastAsia="仿宋" w:cs="仿宋"/>
                <w:color w:val="auto"/>
                <w:sz w:val="28"/>
                <w:szCs w:val="28"/>
                <w:highlight w:val="none"/>
                <w:lang w:val="en-US" w:eastAsia="zh-CN"/>
              </w:rPr>
              <w:t>加</w:t>
            </w:r>
            <w:r>
              <w:rPr>
                <w:rFonts w:hint="default" w:ascii="仿宋" w:hAnsi="仿宋" w:eastAsia="仿宋" w:cs="仿宋"/>
                <w:color w:val="auto"/>
                <w:sz w:val="28"/>
                <w:szCs w:val="28"/>
                <w:highlight w:val="none"/>
                <w:lang w:val="en-US" w:eastAsia="zh-CN"/>
              </w:rPr>
              <w:t>6分。</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需提供人员相关证书、身份证、学历证及近三个月社保缴纳凭证扫描件加盖公章。证明材料不清晰或未提供的不得分，以上人员不重复计分。</w:t>
            </w:r>
            <w:r>
              <w:rPr>
                <w:rFonts w:hint="eastAsia" w:ascii="仿宋" w:hAnsi="仿宋" w:eastAsia="仿宋" w:cs="仿宋"/>
                <w:color w:val="auto"/>
                <w:sz w:val="28"/>
                <w:szCs w:val="28"/>
                <w:highlight w:val="none"/>
                <w:lang w:val="en-US" w:eastAsia="zh-CN"/>
              </w:rPr>
              <w:t>）</w:t>
            </w:r>
          </w:p>
        </w:tc>
      </w:tr>
      <w:tr w14:paraId="5108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1005" w:type="dxa"/>
            <w:vMerge w:val="restart"/>
            <w:noWrap w:val="0"/>
            <w:vAlign w:val="center"/>
          </w:tcPr>
          <w:p w14:paraId="2167A9DA">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2.4.3</w:t>
            </w:r>
          </w:p>
        </w:tc>
        <w:tc>
          <w:tcPr>
            <w:tcW w:w="1920" w:type="dxa"/>
            <w:vMerge w:val="restart"/>
            <w:noWrap w:val="0"/>
            <w:vAlign w:val="center"/>
          </w:tcPr>
          <w:p w14:paraId="2D79B7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项目实施方案（39分</w:t>
            </w:r>
            <w:r>
              <w:rPr>
                <w:rFonts w:hint="eastAsia" w:ascii="仿宋" w:hAnsi="仿宋" w:eastAsia="仿宋" w:cs="仿宋"/>
                <w:b w:val="0"/>
                <w:bCs w:val="0"/>
                <w:color w:val="auto"/>
                <w:kern w:val="2"/>
                <w:sz w:val="28"/>
                <w:szCs w:val="28"/>
                <w:highlight w:val="none"/>
                <w:lang w:val="en-US" w:eastAsia="zh-CN" w:bidi="ar-SA"/>
              </w:rPr>
              <w:t>）</w:t>
            </w:r>
          </w:p>
        </w:tc>
        <w:tc>
          <w:tcPr>
            <w:tcW w:w="6677" w:type="dxa"/>
            <w:noWrap w:val="0"/>
            <w:vAlign w:val="center"/>
          </w:tcPr>
          <w:p w14:paraId="5B5C67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u w:val="none"/>
                <w:lang w:val="en-US" w:eastAsia="zh-CN"/>
              </w:rPr>
            </w:pPr>
            <w:r>
              <w:rPr>
                <w:rFonts w:hint="eastAsia" w:ascii="仿宋" w:hAnsi="仿宋" w:eastAsia="仿宋" w:cs="仿宋"/>
                <w:b w:val="0"/>
                <w:bCs w:val="0"/>
                <w:color w:val="auto"/>
                <w:spacing w:val="-1"/>
                <w:sz w:val="28"/>
                <w:szCs w:val="28"/>
                <w:highlight w:val="none"/>
                <w:lang w:val="en-US" w:eastAsia="zh-CN"/>
              </w:rPr>
              <w:t>总</w:t>
            </w:r>
            <w:r>
              <w:rPr>
                <w:rFonts w:hint="eastAsia" w:ascii="仿宋" w:hAnsi="仿宋" w:eastAsia="仿宋" w:cs="仿宋"/>
                <w:b w:val="0"/>
                <w:bCs w:val="0"/>
                <w:color w:val="auto"/>
                <w:spacing w:val="-1"/>
                <w:sz w:val="28"/>
                <w:szCs w:val="28"/>
                <w:highlight w:val="none"/>
                <w:u w:val="none"/>
                <w:lang w:val="en-US" w:eastAsia="zh-CN"/>
              </w:rPr>
              <w:t>体思路包括但不限于：①</w:t>
            </w:r>
            <w:r>
              <w:rPr>
                <w:rFonts w:hint="eastAsia" w:ascii="仿宋" w:hAnsi="仿宋" w:eastAsia="仿宋" w:cs="仿宋"/>
                <w:b w:val="0"/>
                <w:bCs w:val="0"/>
                <w:color w:val="auto"/>
                <w:spacing w:val="-1"/>
                <w:sz w:val="28"/>
                <w:szCs w:val="28"/>
                <w:highlight w:val="none"/>
                <w:u w:val="none"/>
                <w:lang w:val="en-US" w:eastAsia="en-US"/>
              </w:rPr>
              <w:t>项目工作思路及工作内容</w:t>
            </w:r>
            <w:r>
              <w:rPr>
                <w:rFonts w:hint="eastAsia" w:ascii="仿宋" w:hAnsi="仿宋" w:eastAsia="仿宋" w:cs="仿宋"/>
                <w:b w:val="0"/>
                <w:bCs w:val="0"/>
                <w:color w:val="auto"/>
                <w:spacing w:val="-1"/>
                <w:sz w:val="28"/>
                <w:szCs w:val="28"/>
                <w:highlight w:val="none"/>
                <w:u w:val="none"/>
                <w:lang w:val="en-US" w:eastAsia="zh-CN"/>
              </w:rPr>
              <w:t>；②</w:t>
            </w:r>
            <w:r>
              <w:rPr>
                <w:rFonts w:hint="eastAsia" w:ascii="仿宋" w:hAnsi="仿宋" w:eastAsia="仿宋" w:cs="仿宋"/>
                <w:b w:val="0"/>
                <w:bCs w:val="0"/>
                <w:color w:val="auto"/>
                <w:spacing w:val="-1"/>
                <w:sz w:val="28"/>
                <w:szCs w:val="28"/>
                <w:highlight w:val="none"/>
                <w:u w:val="none"/>
                <w:lang w:val="en-US" w:eastAsia="en-US"/>
              </w:rPr>
              <w:t>项目调研工作方案</w:t>
            </w:r>
            <w:r>
              <w:rPr>
                <w:rFonts w:hint="eastAsia" w:ascii="仿宋" w:hAnsi="仿宋" w:eastAsia="仿宋" w:cs="仿宋"/>
                <w:b w:val="0"/>
                <w:bCs w:val="0"/>
                <w:color w:val="auto"/>
                <w:spacing w:val="-1"/>
                <w:sz w:val="28"/>
                <w:szCs w:val="28"/>
                <w:highlight w:val="none"/>
                <w:u w:val="none"/>
                <w:lang w:val="en-US" w:eastAsia="zh-CN"/>
              </w:rPr>
              <w:t>；③</w:t>
            </w:r>
            <w:r>
              <w:rPr>
                <w:rFonts w:hint="eastAsia" w:ascii="仿宋" w:hAnsi="仿宋" w:eastAsia="仿宋" w:cs="仿宋"/>
                <w:b w:val="0"/>
                <w:bCs w:val="0"/>
                <w:color w:val="auto"/>
                <w:spacing w:val="-1"/>
                <w:sz w:val="28"/>
                <w:szCs w:val="28"/>
                <w:highlight w:val="none"/>
                <w:u w:val="none"/>
                <w:lang w:val="en-US" w:eastAsia="en-US"/>
              </w:rPr>
              <w:t>编制成果大纲</w:t>
            </w:r>
            <w:r>
              <w:rPr>
                <w:rFonts w:hint="eastAsia" w:ascii="仿宋" w:hAnsi="仿宋" w:eastAsia="仿宋" w:cs="仿宋"/>
                <w:b w:val="0"/>
                <w:bCs w:val="0"/>
                <w:color w:val="auto"/>
                <w:spacing w:val="-1"/>
                <w:sz w:val="28"/>
                <w:szCs w:val="28"/>
                <w:highlight w:val="none"/>
                <w:u w:val="none"/>
                <w:lang w:val="en-US" w:eastAsia="zh-CN"/>
              </w:rPr>
              <w:t>；④</w:t>
            </w:r>
            <w:r>
              <w:rPr>
                <w:rFonts w:hint="eastAsia" w:ascii="仿宋" w:hAnsi="仿宋" w:eastAsia="仿宋" w:cs="仿宋"/>
                <w:b w:val="0"/>
                <w:bCs w:val="0"/>
                <w:color w:val="auto"/>
                <w:spacing w:val="-1"/>
                <w:sz w:val="28"/>
                <w:szCs w:val="28"/>
                <w:highlight w:val="none"/>
                <w:u w:val="none"/>
                <w:lang w:val="en-US" w:eastAsia="en-US"/>
              </w:rPr>
              <w:t>项目工作计划</w:t>
            </w:r>
            <w:r>
              <w:rPr>
                <w:rFonts w:hint="eastAsia" w:ascii="仿宋" w:hAnsi="仿宋" w:eastAsia="仿宋" w:cs="仿宋"/>
                <w:b w:val="0"/>
                <w:bCs w:val="0"/>
                <w:color w:val="auto"/>
                <w:spacing w:val="-1"/>
                <w:sz w:val="28"/>
                <w:szCs w:val="28"/>
                <w:highlight w:val="none"/>
                <w:u w:val="none"/>
                <w:lang w:val="en-US" w:eastAsia="zh-CN"/>
              </w:rPr>
              <w:t>；⑤</w:t>
            </w:r>
            <w:r>
              <w:rPr>
                <w:rFonts w:hint="eastAsia" w:ascii="仿宋" w:hAnsi="仿宋" w:eastAsia="仿宋" w:cs="仿宋"/>
                <w:b w:val="0"/>
                <w:bCs w:val="0"/>
                <w:color w:val="auto"/>
                <w:spacing w:val="-1"/>
                <w:sz w:val="28"/>
                <w:szCs w:val="28"/>
                <w:highlight w:val="none"/>
                <w:u w:val="none"/>
                <w:lang w:val="en-US" w:eastAsia="en-US"/>
              </w:rPr>
              <w:t>项目保障措施</w:t>
            </w:r>
            <w:r>
              <w:rPr>
                <w:rFonts w:hint="eastAsia" w:ascii="仿宋" w:hAnsi="仿宋" w:eastAsia="仿宋" w:cs="仿宋"/>
                <w:b w:val="0"/>
                <w:bCs w:val="0"/>
                <w:color w:val="auto"/>
                <w:spacing w:val="-1"/>
                <w:sz w:val="28"/>
                <w:szCs w:val="28"/>
                <w:highlight w:val="none"/>
                <w:u w:val="none"/>
                <w:lang w:val="en-US" w:eastAsia="zh-CN"/>
              </w:rPr>
              <w:t>；⑥风险管理及应急保障措施；⑦成果内容保障方案；⑧其他合理化建议。</w:t>
            </w:r>
          </w:p>
          <w:p w14:paraId="0B7179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val="0"/>
                <w:color w:val="auto"/>
                <w:spacing w:val="-1"/>
                <w:sz w:val="28"/>
                <w:szCs w:val="28"/>
                <w:highlight w:val="none"/>
                <w:u w:val="none"/>
                <w:lang w:val="en-US" w:eastAsia="en-US"/>
              </w:rPr>
              <w:t>满足以上要求得</w:t>
            </w:r>
            <w:r>
              <w:rPr>
                <w:rFonts w:hint="eastAsia" w:ascii="仿宋" w:hAnsi="仿宋" w:eastAsia="仿宋" w:cs="仿宋"/>
                <w:b w:val="0"/>
                <w:bCs w:val="0"/>
                <w:color w:val="auto"/>
                <w:spacing w:val="-1"/>
                <w:sz w:val="28"/>
                <w:szCs w:val="28"/>
                <w:highlight w:val="none"/>
                <w:u w:val="none"/>
                <w:lang w:val="en-US" w:eastAsia="zh-CN"/>
              </w:rPr>
              <w:t>24</w:t>
            </w:r>
            <w:r>
              <w:rPr>
                <w:rFonts w:hint="eastAsia" w:ascii="仿宋" w:hAnsi="仿宋" w:eastAsia="仿宋" w:cs="仿宋"/>
                <w:b w:val="0"/>
                <w:bCs w:val="0"/>
                <w:color w:val="auto"/>
                <w:spacing w:val="-1"/>
                <w:sz w:val="28"/>
                <w:szCs w:val="28"/>
                <w:highlight w:val="none"/>
                <w:u w:val="none"/>
                <w:lang w:val="en-US" w:eastAsia="en-US"/>
              </w:rPr>
              <w:t>分，每缺少一项内容扣</w:t>
            </w:r>
            <w:r>
              <w:rPr>
                <w:rFonts w:hint="eastAsia" w:ascii="仿宋" w:hAnsi="仿宋" w:eastAsia="仿宋" w:cs="仿宋"/>
                <w:b w:val="0"/>
                <w:bCs w:val="0"/>
                <w:color w:val="auto"/>
                <w:spacing w:val="-1"/>
                <w:sz w:val="28"/>
                <w:szCs w:val="28"/>
                <w:highlight w:val="none"/>
                <w:u w:val="none"/>
                <w:lang w:val="en-US" w:eastAsia="zh-CN"/>
              </w:rPr>
              <w:t>3</w:t>
            </w:r>
            <w:r>
              <w:rPr>
                <w:rFonts w:hint="eastAsia" w:ascii="仿宋" w:hAnsi="仿宋" w:eastAsia="仿宋" w:cs="仿宋"/>
                <w:b w:val="0"/>
                <w:bCs w:val="0"/>
                <w:color w:val="auto"/>
                <w:spacing w:val="-1"/>
                <w:sz w:val="28"/>
                <w:szCs w:val="28"/>
                <w:highlight w:val="none"/>
                <w:u w:val="none"/>
                <w:lang w:val="en-US" w:eastAsia="en-US"/>
              </w:rPr>
              <w:t>分，方案每</w:t>
            </w:r>
            <w:r>
              <w:rPr>
                <w:rFonts w:hint="eastAsia" w:ascii="仿宋" w:hAnsi="仿宋" w:eastAsia="仿宋" w:cs="仿宋"/>
                <w:b w:val="0"/>
                <w:bCs w:val="0"/>
                <w:color w:val="auto"/>
                <w:spacing w:val="-1"/>
                <w:sz w:val="28"/>
                <w:szCs w:val="28"/>
                <w:highlight w:val="none"/>
                <w:u w:val="none"/>
                <w:lang w:val="en-US" w:eastAsia="zh-CN"/>
              </w:rPr>
              <w:t>有</w:t>
            </w:r>
            <w:r>
              <w:rPr>
                <w:rFonts w:hint="eastAsia" w:ascii="仿宋" w:hAnsi="仿宋" w:eastAsia="仿宋" w:cs="仿宋"/>
                <w:b w:val="0"/>
                <w:bCs w:val="0"/>
                <w:color w:val="auto"/>
                <w:spacing w:val="-1"/>
                <w:sz w:val="28"/>
                <w:szCs w:val="28"/>
                <w:highlight w:val="none"/>
                <w:u w:val="none"/>
                <w:lang w:val="en-US" w:eastAsia="en-US"/>
              </w:rPr>
              <w:t>一处存在错误或瑕疵的扣</w:t>
            </w:r>
            <w:r>
              <w:rPr>
                <w:rFonts w:hint="eastAsia" w:ascii="仿宋" w:hAnsi="仿宋" w:eastAsia="仿宋" w:cs="仿宋"/>
                <w:b w:val="0"/>
                <w:bCs w:val="0"/>
                <w:color w:val="auto"/>
                <w:spacing w:val="-1"/>
                <w:sz w:val="28"/>
                <w:szCs w:val="28"/>
                <w:highlight w:val="none"/>
                <w:u w:val="none"/>
                <w:lang w:val="en-US" w:eastAsia="zh-CN"/>
              </w:rPr>
              <w:t>1.5</w:t>
            </w:r>
            <w:r>
              <w:rPr>
                <w:rFonts w:hint="eastAsia" w:ascii="仿宋" w:hAnsi="仿宋" w:eastAsia="仿宋" w:cs="仿宋"/>
                <w:b w:val="0"/>
                <w:bCs w:val="0"/>
                <w:color w:val="auto"/>
                <w:spacing w:val="-1"/>
                <w:sz w:val="28"/>
                <w:szCs w:val="28"/>
                <w:highlight w:val="none"/>
                <w:u w:val="none"/>
                <w:lang w:val="en-US" w:eastAsia="en-US"/>
              </w:rPr>
              <w:t>分，扣完为止。（缺陷是指：存在不适用项目实际情况的情形、凭空编造、内容前后不一致、前后逻辑错误、涉及的规范</w:t>
            </w:r>
            <w:r>
              <w:rPr>
                <w:rFonts w:hint="eastAsia" w:ascii="仿宋" w:hAnsi="仿宋" w:eastAsia="仿宋" w:cs="仿宋"/>
                <w:b w:val="0"/>
                <w:bCs w:val="0"/>
                <w:color w:val="auto"/>
                <w:spacing w:val="-1"/>
                <w:sz w:val="28"/>
                <w:szCs w:val="28"/>
                <w:highlight w:val="none"/>
                <w:lang w:val="en-US" w:eastAsia="en-US"/>
              </w:rPr>
              <w:t>及标准错误、地点区域错误、内容遗漏、不符合采购需求等）。</w:t>
            </w:r>
          </w:p>
        </w:tc>
      </w:tr>
      <w:tr w14:paraId="558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jc w:val="center"/>
        </w:trPr>
        <w:tc>
          <w:tcPr>
            <w:tcW w:w="1005" w:type="dxa"/>
            <w:vMerge w:val="continue"/>
            <w:noWrap w:val="0"/>
            <w:vAlign w:val="center"/>
          </w:tcPr>
          <w:p w14:paraId="1B221F90">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p>
        </w:tc>
        <w:tc>
          <w:tcPr>
            <w:tcW w:w="1920" w:type="dxa"/>
            <w:vMerge w:val="continue"/>
            <w:noWrap w:val="0"/>
            <w:vAlign w:val="center"/>
          </w:tcPr>
          <w:p w14:paraId="75D737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b w:val="0"/>
                <w:bCs/>
                <w:color w:val="auto"/>
                <w:kern w:val="2"/>
                <w:sz w:val="28"/>
                <w:szCs w:val="28"/>
                <w:highlight w:val="none"/>
                <w:lang w:val="en-US" w:eastAsia="zh-CN" w:bidi="ar-SA"/>
              </w:rPr>
            </w:pPr>
          </w:p>
        </w:tc>
        <w:tc>
          <w:tcPr>
            <w:tcW w:w="6677" w:type="dxa"/>
            <w:noWrap w:val="0"/>
            <w:vAlign w:val="center"/>
          </w:tcPr>
          <w:p w14:paraId="37F6A3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lang w:val="en-US" w:eastAsia="en-US"/>
              </w:rPr>
            </w:pPr>
            <w:r>
              <w:rPr>
                <w:rFonts w:hint="eastAsia" w:ascii="仿宋" w:hAnsi="仿宋" w:eastAsia="仿宋" w:cs="仿宋"/>
                <w:b w:val="0"/>
                <w:bCs w:val="0"/>
                <w:color w:val="auto"/>
                <w:spacing w:val="-1"/>
                <w:sz w:val="28"/>
                <w:szCs w:val="28"/>
                <w:highlight w:val="none"/>
                <w:lang w:val="en-US" w:eastAsia="en-US"/>
              </w:rPr>
              <w:t>质量保障及风险控制措施包括但不限于</w:t>
            </w:r>
            <w:r>
              <w:rPr>
                <w:rFonts w:hint="eastAsia" w:ascii="仿宋" w:hAnsi="仿宋" w:eastAsia="仿宋" w:cs="仿宋"/>
                <w:b w:val="0"/>
                <w:bCs w:val="0"/>
                <w:color w:val="auto"/>
                <w:spacing w:val="-1"/>
                <w:sz w:val="28"/>
                <w:szCs w:val="28"/>
                <w:highlight w:val="none"/>
                <w:lang w:val="en-US" w:eastAsia="zh-CN"/>
              </w:rPr>
              <w:t>：①</w:t>
            </w:r>
            <w:r>
              <w:rPr>
                <w:rFonts w:hint="eastAsia" w:ascii="仿宋" w:hAnsi="仿宋" w:eastAsia="仿宋" w:cs="仿宋"/>
                <w:b w:val="0"/>
                <w:bCs w:val="0"/>
                <w:color w:val="auto"/>
                <w:spacing w:val="-1"/>
                <w:sz w:val="28"/>
                <w:szCs w:val="28"/>
                <w:highlight w:val="none"/>
                <w:lang w:val="en-US" w:eastAsia="en-US"/>
              </w:rPr>
              <w:t>质量控制目标与承诺</w:t>
            </w:r>
            <w:r>
              <w:rPr>
                <w:rFonts w:hint="eastAsia" w:ascii="仿宋" w:hAnsi="仿宋" w:eastAsia="仿宋" w:cs="仿宋"/>
                <w:b w:val="0"/>
                <w:bCs w:val="0"/>
                <w:color w:val="auto"/>
                <w:spacing w:val="-1"/>
                <w:sz w:val="28"/>
                <w:szCs w:val="28"/>
                <w:highlight w:val="none"/>
                <w:lang w:val="en-US" w:eastAsia="zh-CN"/>
              </w:rPr>
              <w:t>；②</w:t>
            </w:r>
            <w:r>
              <w:rPr>
                <w:rFonts w:hint="eastAsia" w:ascii="仿宋" w:hAnsi="仿宋" w:eastAsia="仿宋" w:cs="仿宋"/>
                <w:b w:val="0"/>
                <w:bCs w:val="0"/>
                <w:color w:val="auto"/>
                <w:spacing w:val="-1"/>
                <w:sz w:val="28"/>
                <w:szCs w:val="28"/>
                <w:highlight w:val="none"/>
                <w:lang w:val="en-US" w:eastAsia="en-US"/>
              </w:rPr>
              <w:t>质量保障</w:t>
            </w:r>
            <w:r>
              <w:rPr>
                <w:rFonts w:hint="eastAsia" w:ascii="仿宋" w:hAnsi="仿宋" w:eastAsia="仿宋" w:cs="仿宋"/>
                <w:b w:val="0"/>
                <w:bCs w:val="0"/>
                <w:color w:val="auto"/>
                <w:spacing w:val="-1"/>
                <w:sz w:val="28"/>
                <w:szCs w:val="28"/>
                <w:highlight w:val="none"/>
                <w:lang w:val="en-US" w:eastAsia="zh-CN"/>
              </w:rPr>
              <w:t>及安全</w:t>
            </w:r>
            <w:r>
              <w:rPr>
                <w:rFonts w:hint="eastAsia" w:ascii="仿宋" w:hAnsi="仿宋" w:eastAsia="仿宋" w:cs="仿宋"/>
                <w:b w:val="0"/>
                <w:bCs w:val="0"/>
                <w:color w:val="auto"/>
                <w:spacing w:val="-1"/>
                <w:sz w:val="28"/>
                <w:szCs w:val="28"/>
                <w:highlight w:val="none"/>
                <w:lang w:val="en-US" w:eastAsia="en-US"/>
              </w:rPr>
              <w:t>措施。</w:t>
            </w:r>
          </w:p>
          <w:p w14:paraId="286D9B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val="0"/>
                <w:color w:val="auto"/>
                <w:spacing w:val="-1"/>
                <w:sz w:val="28"/>
                <w:szCs w:val="28"/>
                <w:highlight w:val="none"/>
                <w:lang w:val="en-US" w:eastAsia="en-US"/>
              </w:rPr>
              <w:t>满足以上要求得</w:t>
            </w:r>
            <w:r>
              <w:rPr>
                <w:rFonts w:hint="eastAsia" w:ascii="仿宋" w:hAnsi="仿宋" w:eastAsia="仿宋" w:cs="仿宋"/>
                <w:b w:val="0"/>
                <w:bCs w:val="0"/>
                <w:color w:val="auto"/>
                <w:spacing w:val="-1"/>
                <w:sz w:val="28"/>
                <w:szCs w:val="28"/>
                <w:highlight w:val="none"/>
                <w:lang w:val="en-US" w:eastAsia="zh-CN"/>
              </w:rPr>
              <w:t>8</w:t>
            </w:r>
            <w:r>
              <w:rPr>
                <w:rFonts w:hint="eastAsia" w:ascii="仿宋" w:hAnsi="仿宋" w:eastAsia="仿宋" w:cs="仿宋"/>
                <w:b w:val="0"/>
                <w:bCs w:val="0"/>
                <w:color w:val="auto"/>
                <w:spacing w:val="-1"/>
                <w:sz w:val="28"/>
                <w:szCs w:val="28"/>
                <w:highlight w:val="none"/>
                <w:lang w:val="en-US" w:eastAsia="en-US"/>
              </w:rPr>
              <w:t>分，每缺少一项内容扣4分，方案每</w:t>
            </w:r>
            <w:r>
              <w:rPr>
                <w:rFonts w:hint="eastAsia" w:ascii="仿宋" w:hAnsi="仿宋" w:eastAsia="仿宋" w:cs="仿宋"/>
                <w:b w:val="0"/>
                <w:bCs w:val="0"/>
                <w:color w:val="auto"/>
                <w:spacing w:val="-1"/>
                <w:sz w:val="28"/>
                <w:szCs w:val="28"/>
                <w:highlight w:val="none"/>
                <w:lang w:val="en-US" w:eastAsia="zh-CN"/>
              </w:rPr>
              <w:t>有</w:t>
            </w:r>
            <w:r>
              <w:rPr>
                <w:rFonts w:hint="eastAsia" w:ascii="仿宋" w:hAnsi="仿宋" w:eastAsia="仿宋" w:cs="仿宋"/>
                <w:b w:val="0"/>
                <w:bCs w:val="0"/>
                <w:color w:val="auto"/>
                <w:spacing w:val="-1"/>
                <w:sz w:val="28"/>
                <w:szCs w:val="28"/>
                <w:highlight w:val="none"/>
                <w:lang w:val="en-US" w:eastAsia="en-US"/>
              </w:rPr>
              <w:t>一处存在错误或瑕疵的扣2分，扣完为止。（缺陷是指：存在不适用项目实际情况的情形、凭空编造、内容前后不一致、前后逻辑错误、涉及的规范及标准错误、地点区域错误、内容遗漏、不符合采购需求等）。</w:t>
            </w:r>
          </w:p>
        </w:tc>
      </w:tr>
      <w:tr w14:paraId="5351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005" w:type="dxa"/>
            <w:vMerge w:val="continue"/>
            <w:noWrap w:val="0"/>
            <w:vAlign w:val="center"/>
          </w:tcPr>
          <w:p w14:paraId="05702BAF">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p>
        </w:tc>
        <w:tc>
          <w:tcPr>
            <w:tcW w:w="1920" w:type="dxa"/>
            <w:vMerge w:val="continue"/>
            <w:noWrap w:val="0"/>
            <w:vAlign w:val="center"/>
          </w:tcPr>
          <w:p w14:paraId="6FEFE0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p>
        </w:tc>
        <w:tc>
          <w:tcPr>
            <w:tcW w:w="6677" w:type="dxa"/>
            <w:noWrap w:val="0"/>
            <w:vAlign w:val="center"/>
          </w:tcPr>
          <w:p w14:paraId="10B95B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lang w:val="en-US" w:eastAsia="en-US"/>
              </w:rPr>
            </w:pPr>
            <w:r>
              <w:rPr>
                <w:rFonts w:hint="eastAsia" w:ascii="仿宋" w:hAnsi="仿宋" w:eastAsia="仿宋" w:cs="仿宋"/>
                <w:b w:val="0"/>
                <w:bCs w:val="0"/>
                <w:color w:val="auto"/>
                <w:spacing w:val="-1"/>
                <w:sz w:val="28"/>
                <w:szCs w:val="28"/>
                <w:highlight w:val="none"/>
                <w:lang w:val="en-US" w:eastAsia="en-US"/>
              </w:rPr>
              <w:t>实施进度计划及保障措施包括但不限于</w:t>
            </w:r>
            <w:r>
              <w:rPr>
                <w:rFonts w:hint="eastAsia" w:ascii="仿宋" w:hAnsi="仿宋" w:eastAsia="仿宋" w:cs="仿宋"/>
                <w:b w:val="0"/>
                <w:bCs w:val="0"/>
                <w:color w:val="auto"/>
                <w:spacing w:val="-1"/>
                <w:sz w:val="28"/>
                <w:szCs w:val="28"/>
                <w:highlight w:val="none"/>
                <w:lang w:val="en-US" w:eastAsia="zh-CN"/>
              </w:rPr>
              <w:t>：①</w:t>
            </w:r>
            <w:r>
              <w:rPr>
                <w:rFonts w:hint="eastAsia" w:ascii="仿宋" w:hAnsi="仿宋" w:eastAsia="仿宋" w:cs="仿宋"/>
                <w:b w:val="0"/>
                <w:bCs w:val="0"/>
                <w:color w:val="auto"/>
                <w:spacing w:val="-1"/>
                <w:sz w:val="28"/>
                <w:szCs w:val="28"/>
                <w:highlight w:val="none"/>
                <w:lang w:val="en-US" w:eastAsia="en-US"/>
              </w:rPr>
              <w:t>按时间进度计划的工作安排及阶段性成果</w:t>
            </w:r>
            <w:r>
              <w:rPr>
                <w:rFonts w:hint="eastAsia" w:ascii="仿宋" w:hAnsi="仿宋" w:eastAsia="仿宋" w:cs="仿宋"/>
                <w:b w:val="0"/>
                <w:bCs w:val="0"/>
                <w:color w:val="auto"/>
                <w:spacing w:val="-1"/>
                <w:sz w:val="28"/>
                <w:szCs w:val="28"/>
                <w:highlight w:val="none"/>
                <w:lang w:val="en-US" w:eastAsia="zh-CN"/>
              </w:rPr>
              <w:t>；②工作效率保证措施</w:t>
            </w:r>
            <w:r>
              <w:rPr>
                <w:rFonts w:hint="eastAsia" w:ascii="仿宋" w:hAnsi="仿宋" w:eastAsia="仿宋" w:cs="仿宋"/>
                <w:b w:val="0"/>
                <w:bCs w:val="0"/>
                <w:color w:val="auto"/>
                <w:spacing w:val="-1"/>
                <w:sz w:val="28"/>
                <w:szCs w:val="28"/>
                <w:highlight w:val="none"/>
                <w:lang w:val="en-US" w:eastAsia="en-US"/>
              </w:rPr>
              <w:t>。</w:t>
            </w:r>
          </w:p>
          <w:p w14:paraId="05224A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color w:val="auto"/>
                <w:highlight w:val="none"/>
                <w:lang w:val="en-US" w:eastAsia="zh-CN"/>
              </w:rPr>
            </w:pPr>
            <w:r>
              <w:rPr>
                <w:rFonts w:hint="eastAsia" w:ascii="仿宋" w:hAnsi="仿宋" w:eastAsia="仿宋" w:cs="仿宋"/>
                <w:b w:val="0"/>
                <w:bCs w:val="0"/>
                <w:color w:val="auto"/>
                <w:spacing w:val="-1"/>
                <w:sz w:val="28"/>
                <w:szCs w:val="28"/>
                <w:highlight w:val="none"/>
                <w:lang w:val="en-US" w:eastAsia="en-US"/>
              </w:rPr>
              <w:t>满足以上要求得</w:t>
            </w:r>
            <w:r>
              <w:rPr>
                <w:rFonts w:hint="eastAsia" w:ascii="仿宋" w:hAnsi="仿宋" w:eastAsia="仿宋" w:cs="仿宋"/>
                <w:b w:val="0"/>
                <w:bCs w:val="0"/>
                <w:color w:val="auto"/>
                <w:spacing w:val="-1"/>
                <w:sz w:val="28"/>
                <w:szCs w:val="28"/>
                <w:highlight w:val="none"/>
                <w:lang w:val="en-US" w:eastAsia="zh-CN"/>
              </w:rPr>
              <w:t>7</w:t>
            </w:r>
            <w:r>
              <w:rPr>
                <w:rFonts w:hint="eastAsia" w:ascii="仿宋" w:hAnsi="仿宋" w:eastAsia="仿宋" w:cs="仿宋"/>
                <w:b w:val="0"/>
                <w:bCs w:val="0"/>
                <w:color w:val="auto"/>
                <w:spacing w:val="-1"/>
                <w:sz w:val="28"/>
                <w:szCs w:val="28"/>
                <w:highlight w:val="none"/>
                <w:lang w:val="en-US" w:eastAsia="en-US"/>
              </w:rPr>
              <w:t>分，每缺少一项内容扣</w:t>
            </w:r>
            <w:r>
              <w:rPr>
                <w:rFonts w:hint="eastAsia" w:ascii="仿宋" w:hAnsi="仿宋" w:eastAsia="仿宋" w:cs="仿宋"/>
                <w:b w:val="0"/>
                <w:bCs w:val="0"/>
                <w:color w:val="auto"/>
                <w:spacing w:val="-1"/>
                <w:sz w:val="28"/>
                <w:szCs w:val="28"/>
                <w:highlight w:val="none"/>
                <w:lang w:val="en-US" w:eastAsia="zh-CN"/>
              </w:rPr>
              <w:t>3.5</w:t>
            </w:r>
            <w:r>
              <w:rPr>
                <w:rFonts w:hint="eastAsia" w:ascii="仿宋" w:hAnsi="仿宋" w:eastAsia="仿宋" w:cs="仿宋"/>
                <w:b w:val="0"/>
                <w:bCs w:val="0"/>
                <w:color w:val="auto"/>
                <w:spacing w:val="-1"/>
                <w:sz w:val="28"/>
                <w:szCs w:val="28"/>
                <w:highlight w:val="none"/>
                <w:lang w:val="en-US" w:eastAsia="en-US"/>
              </w:rPr>
              <w:t>分，方案每</w:t>
            </w:r>
            <w:r>
              <w:rPr>
                <w:rFonts w:hint="eastAsia" w:ascii="仿宋" w:hAnsi="仿宋" w:eastAsia="仿宋" w:cs="仿宋"/>
                <w:b w:val="0"/>
                <w:bCs w:val="0"/>
                <w:color w:val="auto"/>
                <w:spacing w:val="-1"/>
                <w:sz w:val="28"/>
                <w:szCs w:val="28"/>
                <w:highlight w:val="none"/>
                <w:lang w:val="en-US" w:eastAsia="zh-CN"/>
              </w:rPr>
              <w:t>有</w:t>
            </w:r>
            <w:r>
              <w:rPr>
                <w:rFonts w:hint="eastAsia" w:ascii="仿宋" w:hAnsi="仿宋" w:eastAsia="仿宋" w:cs="仿宋"/>
                <w:b w:val="0"/>
                <w:bCs w:val="0"/>
                <w:color w:val="auto"/>
                <w:spacing w:val="-1"/>
                <w:sz w:val="28"/>
                <w:szCs w:val="28"/>
                <w:highlight w:val="none"/>
                <w:lang w:val="en-US" w:eastAsia="en-US"/>
              </w:rPr>
              <w:t>一处存在错误或瑕疵的扣</w:t>
            </w:r>
            <w:r>
              <w:rPr>
                <w:rFonts w:hint="eastAsia" w:ascii="仿宋" w:hAnsi="仿宋" w:eastAsia="仿宋" w:cs="仿宋"/>
                <w:b w:val="0"/>
                <w:bCs w:val="0"/>
                <w:color w:val="auto"/>
                <w:spacing w:val="-1"/>
                <w:sz w:val="28"/>
                <w:szCs w:val="28"/>
                <w:highlight w:val="none"/>
                <w:lang w:val="en-US" w:eastAsia="zh-CN"/>
              </w:rPr>
              <w:t>1.75</w:t>
            </w:r>
            <w:r>
              <w:rPr>
                <w:rFonts w:hint="eastAsia" w:ascii="仿宋" w:hAnsi="仿宋" w:eastAsia="仿宋" w:cs="仿宋"/>
                <w:b w:val="0"/>
                <w:bCs w:val="0"/>
                <w:color w:val="auto"/>
                <w:spacing w:val="-1"/>
                <w:sz w:val="28"/>
                <w:szCs w:val="28"/>
                <w:highlight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1576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14CC3B3D">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2.4.4</w:t>
            </w:r>
          </w:p>
        </w:tc>
        <w:tc>
          <w:tcPr>
            <w:tcW w:w="1920" w:type="dxa"/>
            <w:noWrap w:val="0"/>
            <w:vAlign w:val="center"/>
          </w:tcPr>
          <w:p w14:paraId="79462D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对项目背景理解和认识（12分）</w:t>
            </w:r>
          </w:p>
        </w:tc>
        <w:tc>
          <w:tcPr>
            <w:tcW w:w="6677" w:type="dxa"/>
            <w:noWrap w:val="0"/>
            <w:vAlign w:val="center"/>
          </w:tcPr>
          <w:p w14:paraId="7213FE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对项目背景理解和认识</w:t>
            </w:r>
            <w:r>
              <w:rPr>
                <w:rFonts w:hint="eastAsia" w:ascii="仿宋" w:hAnsi="仿宋" w:eastAsia="仿宋" w:cs="仿宋"/>
                <w:b w:val="0"/>
                <w:bCs w:val="0"/>
                <w:color w:val="auto"/>
                <w:spacing w:val="-1"/>
                <w:sz w:val="28"/>
                <w:szCs w:val="28"/>
                <w:highlight w:val="none"/>
                <w:lang w:val="en-US" w:eastAsia="en-US"/>
              </w:rPr>
              <w:t>包括但不限于</w:t>
            </w:r>
            <w:r>
              <w:rPr>
                <w:rFonts w:hint="eastAsia" w:ascii="仿宋" w:hAnsi="仿宋" w:eastAsia="仿宋" w:cs="仿宋"/>
                <w:b w:val="0"/>
                <w:bCs w:val="0"/>
                <w:color w:val="auto"/>
                <w:spacing w:val="-1"/>
                <w:sz w:val="28"/>
                <w:szCs w:val="28"/>
                <w:highlight w:val="none"/>
                <w:lang w:val="en-US" w:eastAsia="zh-CN"/>
              </w:rPr>
              <w:t>：①</w:t>
            </w:r>
            <w:r>
              <w:rPr>
                <w:rFonts w:hint="eastAsia" w:ascii="仿宋" w:hAnsi="仿宋" w:eastAsia="仿宋" w:cs="仿宋"/>
                <w:b w:val="0"/>
                <w:bCs w:val="0"/>
                <w:color w:val="auto"/>
                <w:spacing w:val="-1"/>
                <w:sz w:val="28"/>
                <w:szCs w:val="28"/>
                <w:highlight w:val="none"/>
                <w:lang w:val="en-US" w:eastAsia="en-US"/>
              </w:rPr>
              <w:t>对规划背景熟悉</w:t>
            </w:r>
            <w:r>
              <w:rPr>
                <w:rFonts w:hint="eastAsia" w:ascii="仿宋" w:hAnsi="仿宋" w:eastAsia="仿宋" w:cs="仿宋"/>
                <w:b w:val="0"/>
                <w:bCs w:val="0"/>
                <w:color w:val="auto"/>
                <w:spacing w:val="-1"/>
                <w:sz w:val="28"/>
                <w:szCs w:val="28"/>
                <w:highlight w:val="none"/>
                <w:lang w:val="en-US" w:eastAsia="zh-CN"/>
              </w:rPr>
              <w:t>程度；②</w:t>
            </w:r>
            <w:r>
              <w:rPr>
                <w:rFonts w:hint="eastAsia" w:ascii="仿宋" w:hAnsi="仿宋" w:eastAsia="仿宋" w:cs="仿宋"/>
                <w:b w:val="0"/>
                <w:bCs w:val="0"/>
                <w:color w:val="auto"/>
                <w:spacing w:val="-1"/>
                <w:sz w:val="28"/>
                <w:szCs w:val="28"/>
                <w:highlight w:val="none"/>
                <w:lang w:val="en-US" w:eastAsia="en-US"/>
              </w:rPr>
              <w:t>定位把握</w:t>
            </w:r>
            <w:r>
              <w:rPr>
                <w:rFonts w:hint="eastAsia" w:ascii="仿宋" w:hAnsi="仿宋" w:eastAsia="仿宋" w:cs="仿宋"/>
                <w:b w:val="0"/>
                <w:bCs w:val="0"/>
                <w:color w:val="auto"/>
                <w:spacing w:val="-1"/>
                <w:sz w:val="28"/>
                <w:szCs w:val="28"/>
                <w:highlight w:val="none"/>
                <w:lang w:val="en-US" w:eastAsia="zh-CN"/>
              </w:rPr>
              <w:t>程度；③对</w:t>
            </w:r>
            <w:r>
              <w:rPr>
                <w:rFonts w:hint="eastAsia" w:ascii="仿宋" w:hAnsi="仿宋" w:eastAsia="仿宋" w:cs="仿宋"/>
                <w:b w:val="0"/>
                <w:bCs w:val="0"/>
                <w:color w:val="auto"/>
                <w:spacing w:val="-1"/>
                <w:sz w:val="28"/>
                <w:szCs w:val="28"/>
                <w:highlight w:val="none"/>
                <w:lang w:val="en-US" w:eastAsia="en-US"/>
              </w:rPr>
              <w:t>战略使命解读</w:t>
            </w:r>
            <w:r>
              <w:rPr>
                <w:rFonts w:hint="eastAsia" w:ascii="仿宋" w:hAnsi="仿宋" w:eastAsia="仿宋" w:cs="仿宋"/>
                <w:b w:val="0"/>
                <w:bCs w:val="0"/>
                <w:color w:val="auto"/>
                <w:spacing w:val="-1"/>
                <w:sz w:val="28"/>
                <w:szCs w:val="28"/>
                <w:highlight w:val="none"/>
                <w:lang w:val="en-US" w:eastAsia="zh-CN"/>
              </w:rPr>
              <w:t>；④</w:t>
            </w:r>
            <w:r>
              <w:rPr>
                <w:rFonts w:hint="eastAsia" w:ascii="仿宋" w:hAnsi="仿宋" w:eastAsia="仿宋" w:cs="仿宋"/>
                <w:b w:val="0"/>
                <w:bCs w:val="0"/>
                <w:color w:val="auto"/>
                <w:spacing w:val="-1"/>
                <w:sz w:val="28"/>
                <w:szCs w:val="28"/>
                <w:highlight w:val="none"/>
                <w:lang w:val="en-US" w:eastAsia="en-US"/>
              </w:rPr>
              <w:t>上位规划要求传导内容理解与落实</w:t>
            </w:r>
            <w:r>
              <w:rPr>
                <w:rFonts w:hint="eastAsia" w:ascii="仿宋" w:hAnsi="仿宋" w:eastAsia="仿宋" w:cs="仿宋"/>
                <w:b w:val="0"/>
                <w:bCs w:val="0"/>
                <w:color w:val="auto"/>
                <w:spacing w:val="-1"/>
                <w:sz w:val="28"/>
                <w:szCs w:val="28"/>
                <w:highlight w:val="none"/>
                <w:lang w:val="en-US" w:eastAsia="zh-CN"/>
              </w:rPr>
              <w:t>。</w:t>
            </w:r>
          </w:p>
          <w:p w14:paraId="6DF097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val="0"/>
                <w:bCs w:val="0"/>
                <w:color w:val="auto"/>
                <w:spacing w:val="-1"/>
                <w:sz w:val="28"/>
                <w:szCs w:val="28"/>
                <w:highlight w:val="none"/>
                <w:lang w:val="en-US" w:eastAsia="en-US"/>
              </w:rPr>
              <w:t>满足以上要求得</w:t>
            </w:r>
            <w:r>
              <w:rPr>
                <w:rFonts w:hint="eastAsia" w:ascii="仿宋" w:hAnsi="仿宋" w:eastAsia="仿宋" w:cs="仿宋"/>
                <w:b w:val="0"/>
                <w:bCs w:val="0"/>
                <w:color w:val="auto"/>
                <w:spacing w:val="-1"/>
                <w:sz w:val="28"/>
                <w:szCs w:val="28"/>
                <w:highlight w:val="none"/>
                <w:lang w:val="en-US" w:eastAsia="zh-CN"/>
              </w:rPr>
              <w:t>12</w:t>
            </w:r>
            <w:r>
              <w:rPr>
                <w:rFonts w:hint="eastAsia" w:ascii="仿宋" w:hAnsi="仿宋" w:eastAsia="仿宋" w:cs="仿宋"/>
                <w:b w:val="0"/>
                <w:bCs w:val="0"/>
                <w:color w:val="auto"/>
                <w:spacing w:val="-1"/>
                <w:sz w:val="28"/>
                <w:szCs w:val="28"/>
                <w:highlight w:val="none"/>
                <w:lang w:val="en-US" w:eastAsia="en-US"/>
              </w:rPr>
              <w:t>分，每缺少一项内容扣</w:t>
            </w:r>
            <w:r>
              <w:rPr>
                <w:rFonts w:hint="eastAsia" w:ascii="仿宋" w:hAnsi="仿宋" w:eastAsia="仿宋" w:cs="仿宋"/>
                <w:b w:val="0"/>
                <w:bCs w:val="0"/>
                <w:color w:val="auto"/>
                <w:spacing w:val="-1"/>
                <w:sz w:val="28"/>
                <w:szCs w:val="28"/>
                <w:highlight w:val="none"/>
                <w:lang w:val="en-US" w:eastAsia="zh-CN"/>
              </w:rPr>
              <w:t>3</w:t>
            </w:r>
            <w:r>
              <w:rPr>
                <w:rFonts w:hint="eastAsia" w:ascii="仿宋" w:hAnsi="仿宋" w:eastAsia="仿宋" w:cs="仿宋"/>
                <w:b w:val="0"/>
                <w:bCs w:val="0"/>
                <w:color w:val="auto"/>
                <w:spacing w:val="-1"/>
                <w:sz w:val="28"/>
                <w:szCs w:val="28"/>
                <w:highlight w:val="none"/>
                <w:lang w:val="en-US" w:eastAsia="en-US"/>
              </w:rPr>
              <w:t>分，方案每</w:t>
            </w:r>
            <w:r>
              <w:rPr>
                <w:rFonts w:hint="eastAsia" w:ascii="仿宋" w:hAnsi="仿宋" w:eastAsia="仿宋" w:cs="仿宋"/>
                <w:b w:val="0"/>
                <w:bCs w:val="0"/>
                <w:color w:val="auto"/>
                <w:spacing w:val="-1"/>
                <w:sz w:val="28"/>
                <w:szCs w:val="28"/>
                <w:highlight w:val="none"/>
                <w:lang w:val="en-US" w:eastAsia="zh-CN"/>
              </w:rPr>
              <w:t>有</w:t>
            </w:r>
            <w:r>
              <w:rPr>
                <w:rFonts w:hint="eastAsia" w:ascii="仿宋" w:hAnsi="仿宋" w:eastAsia="仿宋" w:cs="仿宋"/>
                <w:b w:val="0"/>
                <w:bCs w:val="0"/>
                <w:color w:val="auto"/>
                <w:spacing w:val="-1"/>
                <w:sz w:val="28"/>
                <w:szCs w:val="28"/>
                <w:highlight w:val="none"/>
                <w:lang w:val="en-US" w:eastAsia="en-US"/>
              </w:rPr>
              <w:t>一处存在错误或瑕疵的扣</w:t>
            </w:r>
            <w:r>
              <w:rPr>
                <w:rFonts w:hint="eastAsia" w:ascii="仿宋" w:hAnsi="仿宋" w:eastAsia="仿宋" w:cs="仿宋"/>
                <w:b w:val="0"/>
                <w:bCs w:val="0"/>
                <w:color w:val="auto"/>
                <w:spacing w:val="-1"/>
                <w:sz w:val="28"/>
                <w:szCs w:val="28"/>
                <w:highlight w:val="none"/>
                <w:lang w:val="en-US" w:eastAsia="zh-CN"/>
              </w:rPr>
              <w:t>1.5</w:t>
            </w:r>
            <w:r>
              <w:rPr>
                <w:rFonts w:hint="eastAsia" w:ascii="仿宋" w:hAnsi="仿宋" w:eastAsia="仿宋" w:cs="仿宋"/>
                <w:b w:val="0"/>
                <w:bCs w:val="0"/>
                <w:color w:val="auto"/>
                <w:spacing w:val="-1"/>
                <w:sz w:val="28"/>
                <w:szCs w:val="28"/>
                <w:highlight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67F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609752DD">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2.4.5</w:t>
            </w:r>
          </w:p>
        </w:tc>
        <w:tc>
          <w:tcPr>
            <w:tcW w:w="1920" w:type="dxa"/>
            <w:noWrap w:val="0"/>
            <w:vAlign w:val="center"/>
          </w:tcPr>
          <w:p w14:paraId="6B5AD4BB">
            <w:pPr>
              <w:pStyle w:val="136"/>
              <w:keepNext w:val="0"/>
              <w:keepLines w:val="0"/>
              <w:pageBreakBefore w:val="0"/>
              <w:suppressLineNumbers w:val="0"/>
              <w:kinsoku/>
              <w:wordWrap/>
              <w:overflowPunct w:val="0"/>
              <w:topLinePunct w:val="0"/>
              <w:bidi w:val="0"/>
              <w:adjustRightInd w:val="0"/>
              <w:spacing w:before="78" w:beforeAutospacing="0" w:after="0" w:afterAutospacing="0" w:line="360" w:lineRule="auto"/>
              <w:ind w:left="0" w:right="309" w:rightChars="0"/>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项目重点、难点分析及应对措施</w:t>
            </w:r>
            <w:r>
              <w:rPr>
                <w:rFonts w:hint="eastAsia" w:ascii="仿宋" w:hAnsi="仿宋" w:eastAsia="仿宋" w:cs="仿宋"/>
                <w:snapToGrid w:val="0"/>
                <w:color w:val="auto"/>
                <w:kern w:val="0"/>
                <w:sz w:val="28"/>
                <w:szCs w:val="28"/>
                <w:highlight w:val="none"/>
                <w:lang w:val="en-US" w:eastAsia="en-US" w:bidi="ar-SA"/>
              </w:rPr>
              <w:t>（</w:t>
            </w:r>
            <w:r>
              <w:rPr>
                <w:rFonts w:hint="eastAsia" w:ascii="仿宋" w:hAnsi="仿宋" w:eastAsia="仿宋" w:cs="仿宋"/>
                <w:snapToGrid w:val="0"/>
                <w:color w:val="auto"/>
                <w:kern w:val="0"/>
                <w:sz w:val="28"/>
                <w:szCs w:val="28"/>
                <w:highlight w:val="none"/>
                <w:lang w:val="en-US" w:eastAsia="zh-CN" w:bidi="ar-SA"/>
              </w:rPr>
              <w:t>8</w:t>
            </w:r>
            <w:r>
              <w:rPr>
                <w:rFonts w:hint="eastAsia" w:ascii="仿宋" w:hAnsi="仿宋" w:eastAsia="仿宋" w:cs="仿宋"/>
                <w:snapToGrid w:val="0"/>
                <w:color w:val="auto"/>
                <w:kern w:val="0"/>
                <w:sz w:val="28"/>
                <w:szCs w:val="28"/>
                <w:highlight w:val="none"/>
                <w:lang w:val="en-US" w:eastAsia="en-US" w:bidi="ar-SA"/>
              </w:rPr>
              <w:t>分）</w:t>
            </w:r>
          </w:p>
        </w:tc>
        <w:tc>
          <w:tcPr>
            <w:tcW w:w="6677" w:type="dxa"/>
            <w:noWrap w:val="0"/>
            <w:vAlign w:val="top"/>
          </w:tcPr>
          <w:p w14:paraId="3DCD06F6">
            <w:pPr>
              <w:pStyle w:val="136"/>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116" w:leftChars="0" w:right="107" w:rightChars="0" w:firstLine="0" w:firstLineChars="0"/>
              <w:outlineLvl w:val="9"/>
              <w:rPr>
                <w:rFonts w:hint="eastAsia" w:ascii="仿宋" w:hAnsi="仿宋" w:eastAsia="仿宋" w:cs="仿宋"/>
                <w:b w:val="0"/>
                <w:bCs w:val="0"/>
                <w:color w:val="auto"/>
                <w:spacing w:val="-1"/>
                <w:sz w:val="28"/>
                <w:szCs w:val="28"/>
                <w:highlight w:val="none"/>
                <w:lang w:val="en-US" w:eastAsia="zh-CN"/>
              </w:rPr>
            </w:pPr>
            <w:r>
              <w:rPr>
                <w:rFonts w:hint="eastAsia" w:ascii="仿宋" w:hAnsi="仿宋" w:eastAsia="仿宋" w:cs="仿宋"/>
                <w:b w:val="0"/>
                <w:bCs w:val="0"/>
                <w:color w:val="auto"/>
                <w:spacing w:val="-1"/>
                <w:sz w:val="28"/>
                <w:szCs w:val="28"/>
                <w:highlight w:val="none"/>
                <w:lang w:val="en-US" w:eastAsia="en-US"/>
              </w:rPr>
              <w:t>对项目的重点、难点分析及应对措施包括但不限于</w:t>
            </w:r>
            <w:r>
              <w:rPr>
                <w:rFonts w:hint="eastAsia" w:ascii="仿宋" w:hAnsi="仿宋" w:eastAsia="仿宋" w:cs="仿宋"/>
                <w:b w:val="0"/>
                <w:bCs w:val="0"/>
                <w:color w:val="auto"/>
                <w:spacing w:val="-1"/>
                <w:sz w:val="28"/>
                <w:szCs w:val="28"/>
                <w:highlight w:val="none"/>
                <w:lang w:val="en-US" w:eastAsia="zh-CN"/>
              </w:rPr>
              <w:t>：①</w:t>
            </w:r>
            <w:r>
              <w:rPr>
                <w:rFonts w:hint="eastAsia" w:ascii="仿宋" w:hAnsi="仿宋" w:eastAsia="仿宋" w:cs="仿宋"/>
                <w:b w:val="0"/>
                <w:bCs w:val="0"/>
                <w:color w:val="auto"/>
                <w:spacing w:val="-1"/>
                <w:sz w:val="28"/>
                <w:szCs w:val="28"/>
                <w:highlight w:val="none"/>
                <w:lang w:val="en-US" w:eastAsia="en-US"/>
              </w:rPr>
              <w:t>重点难点问题分析</w:t>
            </w:r>
            <w:r>
              <w:rPr>
                <w:rFonts w:hint="eastAsia" w:ascii="仿宋" w:hAnsi="仿宋" w:eastAsia="仿宋" w:cs="仿宋"/>
                <w:b w:val="0"/>
                <w:bCs w:val="0"/>
                <w:color w:val="auto"/>
                <w:spacing w:val="-1"/>
                <w:sz w:val="28"/>
                <w:szCs w:val="28"/>
                <w:highlight w:val="none"/>
                <w:lang w:val="en-US" w:eastAsia="zh-CN"/>
              </w:rPr>
              <w:t>；②</w:t>
            </w:r>
            <w:r>
              <w:rPr>
                <w:rFonts w:hint="eastAsia" w:ascii="仿宋" w:hAnsi="仿宋" w:eastAsia="仿宋" w:cs="仿宋"/>
                <w:b w:val="0"/>
                <w:bCs w:val="0"/>
                <w:color w:val="auto"/>
                <w:spacing w:val="-1"/>
                <w:sz w:val="28"/>
                <w:szCs w:val="28"/>
                <w:highlight w:val="none"/>
                <w:lang w:val="en-US" w:eastAsia="en-US"/>
              </w:rPr>
              <w:t>项目实施</w:t>
            </w:r>
            <w:r>
              <w:rPr>
                <w:rFonts w:hint="eastAsia" w:ascii="仿宋" w:hAnsi="仿宋" w:eastAsia="仿宋" w:cs="仿宋"/>
                <w:b w:val="0"/>
                <w:bCs w:val="0"/>
                <w:color w:val="auto"/>
                <w:spacing w:val="-1"/>
                <w:sz w:val="28"/>
                <w:szCs w:val="28"/>
                <w:highlight w:val="none"/>
                <w:lang w:val="en-US" w:eastAsia="zh-CN"/>
              </w:rPr>
              <w:t>过程中的</w:t>
            </w:r>
            <w:r>
              <w:rPr>
                <w:rFonts w:hint="eastAsia" w:ascii="仿宋" w:hAnsi="仿宋" w:eastAsia="仿宋" w:cs="仿宋"/>
                <w:b w:val="0"/>
                <w:bCs w:val="0"/>
                <w:color w:val="auto"/>
                <w:spacing w:val="-1"/>
                <w:sz w:val="28"/>
                <w:szCs w:val="28"/>
                <w:highlight w:val="none"/>
                <w:lang w:val="en-US" w:eastAsia="en-US"/>
              </w:rPr>
              <w:t>应对措施</w:t>
            </w:r>
            <w:r>
              <w:rPr>
                <w:rFonts w:hint="eastAsia" w:ascii="仿宋" w:hAnsi="仿宋" w:eastAsia="仿宋" w:cs="仿宋"/>
                <w:b w:val="0"/>
                <w:bCs w:val="0"/>
                <w:color w:val="auto"/>
                <w:spacing w:val="-1"/>
                <w:sz w:val="28"/>
                <w:szCs w:val="28"/>
                <w:highlight w:val="none"/>
                <w:lang w:val="en-US" w:eastAsia="zh-CN"/>
              </w:rPr>
              <w:t>。</w:t>
            </w:r>
          </w:p>
          <w:p w14:paraId="320B01F8">
            <w:pPr>
              <w:pStyle w:val="136"/>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116" w:leftChars="0" w:right="107" w:rightChars="0" w:firstLine="0" w:firstLineChars="0"/>
              <w:outlineLvl w:val="9"/>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b w:val="0"/>
                <w:bCs w:val="0"/>
                <w:color w:val="auto"/>
                <w:spacing w:val="-1"/>
                <w:sz w:val="28"/>
                <w:szCs w:val="28"/>
                <w:highlight w:val="none"/>
                <w:lang w:val="en-US" w:eastAsia="en-US"/>
              </w:rPr>
              <w:t>满足以上要求得</w:t>
            </w:r>
            <w:r>
              <w:rPr>
                <w:rFonts w:hint="eastAsia" w:ascii="仿宋" w:hAnsi="仿宋" w:eastAsia="仿宋" w:cs="仿宋"/>
                <w:b w:val="0"/>
                <w:bCs w:val="0"/>
                <w:color w:val="auto"/>
                <w:spacing w:val="-1"/>
                <w:sz w:val="28"/>
                <w:szCs w:val="28"/>
                <w:highlight w:val="none"/>
                <w:lang w:val="en-US" w:eastAsia="zh-CN"/>
              </w:rPr>
              <w:t>8</w:t>
            </w:r>
            <w:r>
              <w:rPr>
                <w:rFonts w:hint="eastAsia" w:ascii="仿宋" w:hAnsi="仿宋" w:eastAsia="仿宋" w:cs="仿宋"/>
                <w:b w:val="0"/>
                <w:bCs w:val="0"/>
                <w:color w:val="auto"/>
                <w:spacing w:val="-1"/>
                <w:sz w:val="28"/>
                <w:szCs w:val="28"/>
                <w:highlight w:val="none"/>
                <w:lang w:val="en-US" w:eastAsia="en-US"/>
              </w:rPr>
              <w:t>分，每缺少一项内容扣</w:t>
            </w:r>
            <w:r>
              <w:rPr>
                <w:rFonts w:hint="eastAsia" w:ascii="仿宋" w:hAnsi="仿宋" w:eastAsia="仿宋" w:cs="仿宋"/>
                <w:b w:val="0"/>
                <w:bCs w:val="0"/>
                <w:color w:val="auto"/>
                <w:spacing w:val="-1"/>
                <w:sz w:val="28"/>
                <w:szCs w:val="28"/>
                <w:highlight w:val="none"/>
                <w:lang w:val="en-US" w:eastAsia="zh-CN"/>
              </w:rPr>
              <w:t>4</w:t>
            </w:r>
            <w:r>
              <w:rPr>
                <w:rFonts w:hint="eastAsia" w:ascii="仿宋" w:hAnsi="仿宋" w:eastAsia="仿宋" w:cs="仿宋"/>
                <w:b w:val="0"/>
                <w:bCs w:val="0"/>
                <w:color w:val="auto"/>
                <w:spacing w:val="-1"/>
                <w:sz w:val="28"/>
                <w:szCs w:val="28"/>
                <w:highlight w:val="none"/>
                <w:lang w:val="en-US" w:eastAsia="en-US"/>
              </w:rPr>
              <w:t>分，方案每</w:t>
            </w:r>
            <w:r>
              <w:rPr>
                <w:rFonts w:hint="eastAsia" w:ascii="仿宋" w:hAnsi="仿宋" w:eastAsia="仿宋" w:cs="仿宋"/>
                <w:b w:val="0"/>
                <w:bCs w:val="0"/>
                <w:color w:val="auto"/>
                <w:spacing w:val="-1"/>
                <w:sz w:val="28"/>
                <w:szCs w:val="28"/>
                <w:highlight w:val="none"/>
                <w:lang w:val="en-US" w:eastAsia="zh-CN"/>
              </w:rPr>
              <w:t>有</w:t>
            </w:r>
            <w:r>
              <w:rPr>
                <w:rFonts w:hint="eastAsia" w:ascii="仿宋" w:hAnsi="仿宋" w:eastAsia="仿宋" w:cs="仿宋"/>
                <w:b w:val="0"/>
                <w:bCs w:val="0"/>
                <w:color w:val="auto"/>
                <w:spacing w:val="-1"/>
                <w:sz w:val="28"/>
                <w:szCs w:val="28"/>
                <w:highlight w:val="none"/>
                <w:lang w:val="en-US" w:eastAsia="en-US"/>
              </w:rPr>
              <w:t>一处存在错误或瑕疵的扣</w:t>
            </w:r>
            <w:r>
              <w:rPr>
                <w:rFonts w:hint="eastAsia" w:ascii="仿宋" w:hAnsi="仿宋" w:eastAsia="仿宋" w:cs="仿宋"/>
                <w:b w:val="0"/>
                <w:bCs w:val="0"/>
                <w:color w:val="auto"/>
                <w:spacing w:val="-1"/>
                <w:sz w:val="28"/>
                <w:szCs w:val="28"/>
                <w:highlight w:val="none"/>
                <w:lang w:val="en-US" w:eastAsia="zh-CN"/>
              </w:rPr>
              <w:t>2</w:t>
            </w:r>
            <w:r>
              <w:rPr>
                <w:rFonts w:hint="eastAsia" w:ascii="仿宋" w:hAnsi="仿宋" w:eastAsia="仿宋" w:cs="仿宋"/>
                <w:b w:val="0"/>
                <w:bCs w:val="0"/>
                <w:color w:val="auto"/>
                <w:spacing w:val="-1"/>
                <w:sz w:val="28"/>
                <w:szCs w:val="28"/>
                <w:highlight w:val="none"/>
                <w:lang w:val="en-US" w:eastAsia="en-US"/>
              </w:rPr>
              <w:t>分，扣完为止。（缺陷是指：存在不适用项目实际情况的情形、凭空编造、内容前后不一致、前后逻辑错误、涉及的规范及标准错误、地点区域错误、内容遗漏、不符合采购需求等）。</w:t>
            </w:r>
          </w:p>
        </w:tc>
      </w:tr>
      <w:tr w14:paraId="0244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5B13364E">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2.4.6</w:t>
            </w:r>
          </w:p>
        </w:tc>
        <w:tc>
          <w:tcPr>
            <w:tcW w:w="1920" w:type="dxa"/>
            <w:noWrap w:val="0"/>
            <w:vAlign w:val="center"/>
          </w:tcPr>
          <w:p w14:paraId="483FAD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售后服务方案</w:t>
            </w:r>
          </w:p>
          <w:p w14:paraId="673BE1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（12分）</w:t>
            </w:r>
          </w:p>
        </w:tc>
        <w:tc>
          <w:tcPr>
            <w:tcW w:w="6677" w:type="dxa"/>
            <w:noWrap w:val="0"/>
            <w:vAlign w:val="center"/>
          </w:tcPr>
          <w:p w14:paraId="74BBD6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lang w:val="en-US" w:eastAsia="zh-CN"/>
              </w:rPr>
            </w:pPr>
            <w:r>
              <w:rPr>
                <w:rFonts w:hint="eastAsia" w:ascii="仿宋" w:hAnsi="仿宋" w:eastAsia="仿宋" w:cs="仿宋"/>
                <w:b w:val="0"/>
                <w:bCs w:val="0"/>
                <w:color w:val="auto"/>
                <w:spacing w:val="-1"/>
                <w:sz w:val="28"/>
                <w:szCs w:val="28"/>
                <w:highlight w:val="none"/>
                <w:lang w:val="en-US" w:eastAsia="en-US"/>
              </w:rPr>
              <w:t>针对本项目的后续服务计划或方案</w:t>
            </w:r>
            <w:r>
              <w:rPr>
                <w:rFonts w:hint="eastAsia" w:ascii="仿宋" w:hAnsi="仿宋" w:eastAsia="仿宋" w:cs="仿宋"/>
                <w:b w:val="0"/>
                <w:bCs w:val="0"/>
                <w:color w:val="auto"/>
                <w:spacing w:val="-1"/>
                <w:sz w:val="28"/>
                <w:szCs w:val="28"/>
                <w:highlight w:val="none"/>
                <w:lang w:val="en-US" w:eastAsia="zh-CN"/>
              </w:rPr>
              <w:t>：①固定的</w:t>
            </w:r>
            <w:r>
              <w:rPr>
                <w:rFonts w:hint="eastAsia" w:ascii="仿宋" w:hAnsi="仿宋" w:eastAsia="仿宋" w:cs="仿宋"/>
                <w:b w:val="0"/>
                <w:bCs w:val="0"/>
                <w:color w:val="auto"/>
                <w:spacing w:val="-1"/>
                <w:sz w:val="28"/>
                <w:szCs w:val="28"/>
                <w:highlight w:val="none"/>
                <w:lang w:val="en-US" w:eastAsia="en-US"/>
              </w:rPr>
              <w:t>后续服务队伍人员配备情况</w:t>
            </w:r>
            <w:r>
              <w:rPr>
                <w:rFonts w:hint="eastAsia" w:ascii="仿宋" w:hAnsi="仿宋" w:eastAsia="仿宋" w:cs="仿宋"/>
                <w:b w:val="0"/>
                <w:bCs w:val="0"/>
                <w:color w:val="auto"/>
                <w:spacing w:val="-1"/>
                <w:sz w:val="28"/>
                <w:szCs w:val="28"/>
                <w:highlight w:val="none"/>
                <w:lang w:val="en-US" w:eastAsia="zh-CN"/>
              </w:rPr>
              <w:t>；②</w:t>
            </w:r>
            <w:r>
              <w:rPr>
                <w:rFonts w:hint="eastAsia" w:ascii="仿宋" w:hAnsi="仿宋" w:eastAsia="仿宋" w:cs="仿宋"/>
                <w:b w:val="0"/>
                <w:bCs w:val="0"/>
                <w:color w:val="auto"/>
                <w:spacing w:val="-1"/>
                <w:sz w:val="28"/>
                <w:szCs w:val="28"/>
                <w:highlight w:val="none"/>
                <w:lang w:val="en-US" w:eastAsia="en-US"/>
              </w:rPr>
              <w:t>后续服务响应时间</w:t>
            </w:r>
            <w:r>
              <w:rPr>
                <w:rFonts w:hint="eastAsia" w:ascii="仿宋" w:hAnsi="仿宋" w:eastAsia="仿宋" w:cs="仿宋"/>
                <w:b w:val="0"/>
                <w:bCs w:val="0"/>
                <w:color w:val="auto"/>
                <w:spacing w:val="-1"/>
                <w:sz w:val="28"/>
                <w:szCs w:val="28"/>
                <w:highlight w:val="none"/>
                <w:lang w:val="en-US" w:eastAsia="zh-CN"/>
              </w:rPr>
              <w:t>；③</w:t>
            </w:r>
            <w:r>
              <w:rPr>
                <w:rFonts w:hint="eastAsia" w:ascii="仿宋" w:hAnsi="仿宋" w:eastAsia="仿宋" w:cs="仿宋"/>
                <w:b w:val="0"/>
                <w:bCs w:val="0"/>
                <w:color w:val="auto"/>
                <w:spacing w:val="-1"/>
                <w:sz w:val="28"/>
                <w:szCs w:val="28"/>
                <w:highlight w:val="none"/>
                <w:lang w:val="en-US" w:eastAsia="en-US"/>
              </w:rPr>
              <w:t>后续修改、部门衔接承诺</w:t>
            </w:r>
            <w:r>
              <w:rPr>
                <w:rFonts w:hint="eastAsia" w:ascii="仿宋" w:hAnsi="仿宋" w:eastAsia="仿宋" w:cs="仿宋"/>
                <w:b w:val="0"/>
                <w:bCs w:val="0"/>
                <w:color w:val="auto"/>
                <w:spacing w:val="-1"/>
                <w:sz w:val="28"/>
                <w:szCs w:val="28"/>
                <w:highlight w:val="none"/>
                <w:lang w:val="en-US" w:eastAsia="zh-CN"/>
              </w:rPr>
              <w:t>。</w:t>
            </w:r>
          </w:p>
          <w:p w14:paraId="7A811C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b w:val="0"/>
                <w:bCs w:val="0"/>
                <w:color w:val="auto"/>
                <w:spacing w:val="-1"/>
                <w:sz w:val="28"/>
                <w:szCs w:val="28"/>
                <w:highlight w:val="none"/>
                <w:lang w:val="en-US" w:eastAsia="en-US"/>
              </w:rPr>
              <w:t>满足以上要求得</w:t>
            </w:r>
            <w:r>
              <w:rPr>
                <w:rFonts w:hint="eastAsia" w:ascii="仿宋" w:hAnsi="仿宋" w:eastAsia="仿宋" w:cs="仿宋"/>
                <w:b w:val="0"/>
                <w:bCs w:val="0"/>
                <w:color w:val="auto"/>
                <w:spacing w:val="-1"/>
                <w:sz w:val="28"/>
                <w:szCs w:val="28"/>
                <w:highlight w:val="none"/>
                <w:lang w:val="en-US" w:eastAsia="zh-CN"/>
              </w:rPr>
              <w:t>12</w:t>
            </w:r>
            <w:r>
              <w:rPr>
                <w:rFonts w:hint="eastAsia" w:ascii="仿宋" w:hAnsi="仿宋" w:eastAsia="仿宋" w:cs="仿宋"/>
                <w:b w:val="0"/>
                <w:bCs w:val="0"/>
                <w:color w:val="auto"/>
                <w:spacing w:val="-1"/>
                <w:sz w:val="28"/>
                <w:szCs w:val="28"/>
                <w:highlight w:val="none"/>
                <w:lang w:val="en-US" w:eastAsia="en-US"/>
              </w:rPr>
              <w:t>分，每缺少一项内容扣</w:t>
            </w:r>
            <w:r>
              <w:rPr>
                <w:rFonts w:hint="eastAsia" w:ascii="仿宋" w:hAnsi="仿宋" w:eastAsia="仿宋" w:cs="仿宋"/>
                <w:b w:val="0"/>
                <w:bCs w:val="0"/>
                <w:color w:val="auto"/>
                <w:spacing w:val="-1"/>
                <w:sz w:val="28"/>
                <w:szCs w:val="28"/>
                <w:highlight w:val="none"/>
                <w:lang w:val="en-US" w:eastAsia="zh-CN"/>
              </w:rPr>
              <w:t>4</w:t>
            </w:r>
            <w:r>
              <w:rPr>
                <w:rFonts w:hint="eastAsia" w:ascii="仿宋" w:hAnsi="仿宋" w:eastAsia="仿宋" w:cs="仿宋"/>
                <w:b w:val="0"/>
                <w:bCs w:val="0"/>
                <w:color w:val="auto"/>
                <w:spacing w:val="-1"/>
                <w:sz w:val="28"/>
                <w:szCs w:val="28"/>
                <w:highlight w:val="none"/>
                <w:lang w:val="en-US" w:eastAsia="en-US"/>
              </w:rPr>
              <w:t>分，方案每</w:t>
            </w:r>
            <w:r>
              <w:rPr>
                <w:rFonts w:hint="eastAsia" w:ascii="仿宋" w:hAnsi="仿宋" w:eastAsia="仿宋" w:cs="仿宋"/>
                <w:b w:val="0"/>
                <w:bCs w:val="0"/>
                <w:color w:val="auto"/>
                <w:spacing w:val="-1"/>
                <w:sz w:val="28"/>
                <w:szCs w:val="28"/>
                <w:highlight w:val="none"/>
                <w:lang w:val="en-US" w:eastAsia="zh-CN"/>
              </w:rPr>
              <w:t>有</w:t>
            </w:r>
            <w:r>
              <w:rPr>
                <w:rFonts w:hint="eastAsia" w:ascii="仿宋" w:hAnsi="仿宋" w:eastAsia="仿宋" w:cs="仿宋"/>
                <w:b w:val="0"/>
                <w:bCs w:val="0"/>
                <w:color w:val="auto"/>
                <w:spacing w:val="-1"/>
                <w:sz w:val="28"/>
                <w:szCs w:val="28"/>
                <w:highlight w:val="none"/>
                <w:lang w:val="en-US" w:eastAsia="en-US"/>
              </w:rPr>
              <w:t>一处存在错误或瑕疵的扣</w:t>
            </w:r>
            <w:r>
              <w:rPr>
                <w:rFonts w:hint="eastAsia" w:ascii="仿宋" w:hAnsi="仿宋" w:eastAsia="仿宋" w:cs="仿宋"/>
                <w:b w:val="0"/>
                <w:bCs w:val="0"/>
                <w:color w:val="auto"/>
                <w:spacing w:val="-1"/>
                <w:sz w:val="28"/>
                <w:szCs w:val="28"/>
                <w:highlight w:val="none"/>
                <w:lang w:val="en-US" w:eastAsia="zh-CN"/>
              </w:rPr>
              <w:t>2</w:t>
            </w:r>
            <w:r>
              <w:rPr>
                <w:rFonts w:hint="eastAsia" w:ascii="仿宋" w:hAnsi="仿宋" w:eastAsia="仿宋" w:cs="仿宋"/>
                <w:b w:val="0"/>
                <w:bCs w:val="0"/>
                <w:color w:val="auto"/>
                <w:spacing w:val="-1"/>
                <w:sz w:val="28"/>
                <w:szCs w:val="28"/>
                <w:highlight w:val="none"/>
                <w:lang w:val="en-US" w:eastAsia="en-US"/>
              </w:rPr>
              <w:t>分，扣完为止。（缺陷是指：存在不适用项目实际情况的情形、凭空编造、内容前后不一致、前后逻辑错误、涉及的规范及标准错误、地点区域错误、内容遗漏、不符合采购需求等）。</w:t>
            </w:r>
          </w:p>
        </w:tc>
      </w:tr>
    </w:tbl>
    <w:p w14:paraId="6C0C2998">
      <w:pPr>
        <w:spacing w:before="240" w:beforeLines="100" w:after="120" w:afterLines="50"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3.评审方法</w:t>
      </w:r>
      <w:bookmarkEnd w:id="58"/>
      <w:bookmarkEnd w:id="59"/>
    </w:p>
    <w:p w14:paraId="37C5D24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459A98EB">
      <w:pPr>
        <w:spacing w:before="240" w:beforeLines="100" w:after="120" w:afterLines="50" w:line="360" w:lineRule="auto"/>
        <w:ind w:firstLine="640" w:firstLineChars="200"/>
        <w:rPr>
          <w:rFonts w:hint="eastAsia" w:ascii="仿宋" w:hAnsi="仿宋" w:eastAsia="仿宋" w:cs="仿宋"/>
          <w:color w:val="auto"/>
          <w:sz w:val="32"/>
          <w:szCs w:val="32"/>
          <w:highlight w:val="none"/>
        </w:rPr>
      </w:pPr>
      <w:bookmarkStart w:id="60" w:name="_Toc6686"/>
      <w:bookmarkStart w:id="61" w:name="_Toc5327"/>
      <w:r>
        <w:rPr>
          <w:rFonts w:hint="eastAsia" w:ascii="仿宋" w:hAnsi="仿宋" w:eastAsia="仿宋" w:cs="仿宋"/>
          <w:color w:val="auto"/>
          <w:sz w:val="32"/>
          <w:szCs w:val="32"/>
          <w:highlight w:val="none"/>
        </w:rPr>
        <w:t>4.评审标准</w:t>
      </w:r>
      <w:bookmarkEnd w:id="60"/>
      <w:bookmarkEnd w:id="61"/>
    </w:p>
    <w:p w14:paraId="7F917508">
      <w:pPr>
        <w:spacing w:line="360" w:lineRule="auto"/>
        <w:ind w:firstLine="560" w:firstLineChars="200"/>
        <w:rPr>
          <w:rFonts w:hint="eastAsia" w:ascii="仿宋" w:hAnsi="仿宋" w:eastAsia="仿宋" w:cs="仿宋"/>
          <w:color w:val="auto"/>
          <w:sz w:val="28"/>
          <w:szCs w:val="28"/>
          <w:highlight w:val="none"/>
        </w:rPr>
      </w:pPr>
      <w:bookmarkStart w:id="62" w:name="_Toc11929"/>
      <w:r>
        <w:rPr>
          <w:rFonts w:hint="eastAsia" w:ascii="仿宋" w:hAnsi="仿宋" w:eastAsia="仿宋" w:cs="仿宋"/>
          <w:color w:val="auto"/>
          <w:sz w:val="28"/>
          <w:szCs w:val="28"/>
          <w:highlight w:val="none"/>
        </w:rPr>
        <w:t>4.1初步评审标准</w:t>
      </w:r>
      <w:bookmarkEnd w:id="62"/>
    </w:p>
    <w:p w14:paraId="39C1C98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4.1.1资格性审查：详见评审办法前附表；</w:t>
      </w:r>
    </w:p>
    <w:p w14:paraId="1546154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4.1.2符合性审查：详见评审办法前附表。</w:t>
      </w:r>
    </w:p>
    <w:p w14:paraId="2DE56F28">
      <w:pPr>
        <w:spacing w:line="360" w:lineRule="auto"/>
        <w:ind w:firstLine="560" w:firstLineChars="200"/>
        <w:rPr>
          <w:rFonts w:hint="eastAsia" w:ascii="仿宋" w:hAnsi="仿宋" w:eastAsia="仿宋" w:cs="仿宋"/>
          <w:color w:val="auto"/>
          <w:sz w:val="28"/>
          <w:szCs w:val="28"/>
          <w:highlight w:val="none"/>
        </w:rPr>
      </w:pPr>
      <w:bookmarkStart w:id="63" w:name="_Toc23606"/>
      <w:r>
        <w:rPr>
          <w:rFonts w:hint="eastAsia" w:ascii="仿宋" w:hAnsi="仿宋" w:eastAsia="仿宋" w:cs="仿宋"/>
          <w:color w:val="auto"/>
          <w:sz w:val="28"/>
          <w:szCs w:val="28"/>
          <w:highlight w:val="none"/>
        </w:rPr>
        <w:t>4.2分值构成与评分标准</w:t>
      </w:r>
      <w:bookmarkEnd w:id="63"/>
    </w:p>
    <w:p w14:paraId="48DA02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4.2.1分值构成：详见评审办法前附表。</w:t>
      </w:r>
    </w:p>
    <w:p w14:paraId="0118B6B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4.2.2评审基准价的确定：即满足采购要求且最终价格最低的报价为评审基准价，其价格分为满分。</w:t>
      </w:r>
    </w:p>
    <w:p w14:paraId="059F0D1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4.2.3报价的得分计算</w:t>
      </w:r>
    </w:p>
    <w:p w14:paraId="4ED1606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磋商报价得分=(磋商基准价／最后磋商报价)×价格权值。（结果保留两位小数，第三位小数按四舍五入取舍）。</w:t>
      </w:r>
    </w:p>
    <w:p w14:paraId="2B519A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4.2.4发包人有权接受或拒绝供应商在响应文件中提出偏离、保留。发包人不接受供应商在开标后提出的优惠条件。</w:t>
      </w:r>
    </w:p>
    <w:p w14:paraId="446D3B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4.2.5评分标准：详见评审附表。</w:t>
      </w:r>
    </w:p>
    <w:p w14:paraId="792CFE82">
      <w:pPr>
        <w:spacing w:before="240" w:beforeLines="100" w:after="120" w:afterLines="50" w:line="360" w:lineRule="auto"/>
        <w:ind w:firstLine="640" w:firstLineChars="200"/>
        <w:rPr>
          <w:rFonts w:hint="eastAsia" w:ascii="仿宋" w:hAnsi="仿宋" w:eastAsia="仿宋" w:cs="仿宋"/>
          <w:color w:val="auto"/>
          <w:sz w:val="32"/>
          <w:szCs w:val="32"/>
          <w:highlight w:val="none"/>
        </w:rPr>
      </w:pPr>
      <w:bookmarkStart w:id="64" w:name="_Toc28921"/>
      <w:bookmarkStart w:id="65" w:name="_Toc15653"/>
      <w:r>
        <w:rPr>
          <w:rFonts w:hint="eastAsia" w:ascii="仿宋" w:hAnsi="仿宋" w:eastAsia="仿宋" w:cs="仿宋"/>
          <w:color w:val="auto"/>
          <w:sz w:val="32"/>
          <w:szCs w:val="32"/>
          <w:highlight w:val="none"/>
        </w:rPr>
        <w:t>5.评审程序</w:t>
      </w:r>
      <w:bookmarkEnd w:id="64"/>
      <w:bookmarkEnd w:id="65"/>
    </w:p>
    <w:p w14:paraId="4B98EC33">
      <w:pPr>
        <w:spacing w:line="360" w:lineRule="auto"/>
        <w:ind w:firstLine="560" w:firstLineChars="200"/>
        <w:rPr>
          <w:rFonts w:hint="eastAsia" w:ascii="仿宋" w:hAnsi="仿宋" w:eastAsia="仿宋" w:cs="仿宋"/>
          <w:color w:val="auto"/>
          <w:sz w:val="28"/>
          <w:szCs w:val="28"/>
          <w:highlight w:val="none"/>
        </w:rPr>
      </w:pPr>
      <w:bookmarkStart w:id="66" w:name="_Toc7220"/>
      <w:r>
        <w:rPr>
          <w:rFonts w:hint="eastAsia" w:ascii="仿宋" w:hAnsi="仿宋" w:eastAsia="仿宋" w:cs="仿宋"/>
          <w:color w:val="auto"/>
          <w:sz w:val="28"/>
          <w:szCs w:val="28"/>
          <w:highlight w:val="none"/>
        </w:rPr>
        <w:t>5.1初步评审</w:t>
      </w:r>
      <w:bookmarkEnd w:id="66"/>
    </w:p>
    <w:p w14:paraId="2696B68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5.1.1磋商小组可以要求供应商提交第二章“供应商须知”第35.1项规定的有关证明和证件的原件，以便核验。磋商小组依据本章第2.1款规定的标准对响应文件进行初步评审。有一项不符合评审标准的，作废标处理。</w:t>
      </w:r>
    </w:p>
    <w:p w14:paraId="667F7E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5.1.2供应商有以下情形之一的，其投标作废标处理：</w:t>
      </w:r>
    </w:p>
    <w:p w14:paraId="253FA4C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（1）串通投标或弄虚作假或有其他违法行为的；</w:t>
      </w:r>
    </w:p>
    <w:p w14:paraId="336FFB4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（2）不按磋商小组要求澄清、说明或补正的。</w:t>
      </w:r>
    </w:p>
    <w:p w14:paraId="0E39B6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（3）报价函中报价与采购清单汇总价不一致时响应文件作废标处理。</w:t>
      </w:r>
    </w:p>
    <w:p w14:paraId="510EE8F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（4）提供虚假资料的其响应文件作废标处理。</w:t>
      </w:r>
    </w:p>
    <w:p w14:paraId="1AFA842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t>供应商在开标时资格审查时递交的法人授权委托书公证件</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，其内容应与资格预审、响应文件的内容一致，其中委托代理人均为同一人，不一致作废标处理。</w:t>
      </w:r>
    </w:p>
    <w:p w14:paraId="043D33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（6）磋商小组认定供应商以低于成本报价竞标的。</w:t>
      </w:r>
    </w:p>
    <w:p w14:paraId="4A590F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（7）供应商附有采购人不能接受的条件。</w:t>
      </w:r>
    </w:p>
    <w:p w14:paraId="0A8488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（8）响应文件偏离磋商文件实质性要求和条件的。</w:t>
      </w:r>
    </w:p>
    <w:p w14:paraId="0B48276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（9）一个供应商递交两份或多份内容不同的响应文件，或在一份响应文件中对同一招标项目有两个或多个报价，且未声明哪一个报价有效的。</w:t>
      </w:r>
    </w:p>
    <w:p w14:paraId="7B4A537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5.1.3报价有算术错误的，磋商小组按以下原则对报价进行修正，修正的价格经供应商书面确认后具有约束力。供应商不接受修正价格的，其投标作废标处理。</w:t>
      </w:r>
    </w:p>
    <w:p w14:paraId="159E0D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（1）响应文件中的大写金额与小写金额不一致的，以大写金额为准；</w:t>
      </w:r>
    </w:p>
    <w:p w14:paraId="4BB7E40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（2）总价金额与依据单价计算出的结果不一致的，以单价金额为准修正总价，但单价金额小数点有明显错误的除外。</w:t>
      </w:r>
    </w:p>
    <w:p w14:paraId="65378065">
      <w:pPr>
        <w:spacing w:line="360" w:lineRule="auto"/>
        <w:ind w:firstLine="560" w:firstLineChars="200"/>
        <w:rPr>
          <w:rFonts w:hint="eastAsia" w:ascii="仿宋" w:hAnsi="仿宋" w:eastAsia="仿宋" w:cs="仿宋"/>
          <w:color w:val="auto"/>
          <w:sz w:val="28"/>
          <w:szCs w:val="28"/>
          <w:highlight w:val="none"/>
        </w:rPr>
      </w:pPr>
      <w:bookmarkStart w:id="67" w:name="_Toc31711"/>
      <w:r>
        <w:rPr>
          <w:rFonts w:hint="eastAsia" w:ascii="仿宋" w:hAnsi="仿宋" w:eastAsia="仿宋" w:cs="仿宋"/>
          <w:color w:val="auto"/>
          <w:sz w:val="28"/>
          <w:szCs w:val="28"/>
          <w:highlight w:val="none"/>
        </w:rPr>
        <w:t>5.2详细评审</w:t>
      </w:r>
      <w:bookmarkEnd w:id="67"/>
    </w:p>
    <w:p w14:paraId="2E5570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磋商小组分别进行技术评审、商务评审和信用与业绩评审，在技术组评委技术评分表提交后，在进行商务评分汇总。</w:t>
      </w:r>
    </w:p>
    <w:p w14:paraId="1CFE7A8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报价部分由磋商小组与供应商进行磋商，供应商进行两轮报价。第一轮报价为响应文件内报价，第二轮报价所有供应商同时报价。以最后一轮的最终报价由低到高进行排序。</w:t>
      </w:r>
    </w:p>
    <w:p w14:paraId="06B237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磋商小组推荐综合得分由高到低的顺序推荐3名供应商为成交候选人推荐给采购人，由采购人确定一名供应商为成交供应商。</w:t>
      </w:r>
    </w:p>
    <w:p w14:paraId="78EAF48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5.2.1磋商小组按照本章第2.2款规定的量化因素和分值进行打分,计算出综合评分得分,供应商的总得分等于评委评分的算术和的平均值。</w:t>
      </w:r>
    </w:p>
    <w:p w14:paraId="0F3C1A4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（1）按本章规定的评审项目及内容对技术因素部分计算出得分∑1；</w:t>
      </w:r>
    </w:p>
    <w:p w14:paraId="10DA5B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（2）按本章规定的评审项目及内容对商务因素部分计算出∑2；</w:t>
      </w:r>
    </w:p>
    <w:p w14:paraId="6AA99E1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5.2.2评分分值计算保留小数点后两位，小数点后第三位按“四舍五入”;</w:t>
      </w:r>
    </w:p>
    <w:p w14:paraId="6A8619B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5.2.3供应商得分：∑1+∑2</w:t>
      </w:r>
    </w:p>
    <w:p w14:paraId="792989CF">
      <w:pPr>
        <w:spacing w:line="360" w:lineRule="auto"/>
        <w:ind w:firstLine="560" w:firstLineChars="200"/>
        <w:rPr>
          <w:rFonts w:hint="eastAsia" w:ascii="仿宋" w:hAnsi="仿宋" w:eastAsia="仿宋" w:cs="仿宋"/>
          <w:color w:val="auto"/>
          <w:sz w:val="28"/>
          <w:szCs w:val="28"/>
          <w:highlight w:val="none"/>
        </w:rPr>
      </w:pPr>
      <w:bookmarkStart w:id="68" w:name="_Toc7947"/>
      <w:r>
        <w:rPr>
          <w:rFonts w:hint="eastAsia" w:ascii="仿宋" w:hAnsi="仿宋" w:eastAsia="仿宋" w:cs="仿宋"/>
          <w:color w:val="auto"/>
          <w:sz w:val="28"/>
          <w:szCs w:val="28"/>
          <w:highlight w:val="none"/>
        </w:rPr>
        <w:t>5.3响应文件的澄清和补正</w:t>
      </w:r>
      <w:bookmarkEnd w:id="68"/>
    </w:p>
    <w:p w14:paraId="2600314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5.3.1在评审过程中，磋商小组可以书面形式要求供应商对所提交响应文件中不明确的内容进行书面澄清或说明，或者对细微偏差进行补正。磋商小组不接受供应商主动提出的澄清、说明或补正。</w:t>
      </w:r>
    </w:p>
    <w:p w14:paraId="0DBEEFB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5.3.2澄清、说明和补正不得改变响应文件的实质性内容（算术性错误修正的除外）。供应商的书面澄清、说明和补正属于响应文件的组成部分。</w:t>
      </w:r>
    </w:p>
    <w:p w14:paraId="0CF596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5.3.3磋商小组对供应商提交的澄清、说明或补正有疑问的，可以要求供应商进一步澄清、说明或补正，直至满足磋商小组的要求。</w:t>
      </w:r>
    </w:p>
    <w:p w14:paraId="01E7C151">
      <w:pPr>
        <w:spacing w:line="360" w:lineRule="auto"/>
        <w:ind w:firstLine="560" w:firstLineChars="200"/>
        <w:rPr>
          <w:rFonts w:hint="eastAsia" w:ascii="仿宋" w:hAnsi="仿宋" w:eastAsia="仿宋" w:cs="仿宋"/>
          <w:color w:val="auto"/>
          <w:sz w:val="28"/>
          <w:szCs w:val="28"/>
          <w:highlight w:val="none"/>
        </w:rPr>
      </w:pPr>
      <w:bookmarkStart w:id="69" w:name="_Toc1264"/>
      <w:r>
        <w:rPr>
          <w:rFonts w:hint="eastAsia" w:ascii="仿宋" w:hAnsi="仿宋" w:eastAsia="仿宋" w:cs="仿宋"/>
          <w:color w:val="auto"/>
          <w:sz w:val="28"/>
          <w:szCs w:val="28"/>
          <w:highlight w:val="none"/>
        </w:rPr>
        <w:t>5.4评审结果</w:t>
      </w:r>
      <w:bookmarkEnd w:id="69"/>
    </w:p>
    <w:p w14:paraId="18F9439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5.4.1磋商小组依据本章第评分标准进行评分，按评审办法前附表的约定计算供应商最终得分，根据得分由高到低的顺序推荐3名中标候选人，并标明推荐顺序。</w:t>
      </w:r>
    </w:p>
    <w:p w14:paraId="51DEAD9B">
      <w:pPr>
        <w:spacing w:line="360" w:lineRule="auto"/>
        <w:ind w:firstLine="560" w:firstLineChars="200"/>
        <w:rPr>
          <w:rFonts w:hint="eastAsia" w:ascii="仿宋" w:hAnsi="仿宋" w:eastAsia="仿宋" w:cs="仿宋"/>
          <w:b/>
          <w:bCs/>
          <w:color w:val="auto"/>
          <w:sz w:val="36"/>
          <w:szCs w:val="36"/>
          <w:highlight w:val="none"/>
        </w:rPr>
      </w:pPr>
      <w:r>
        <w:rPr>
          <w:rFonts w:hint="eastAsia" w:ascii="仿宋" w:hAnsi="仿宋" w:eastAsia="仿宋" w:cs="仿宋"/>
          <w:color w:val="auto"/>
          <w:sz w:val="28"/>
          <w:szCs w:val="28"/>
          <w:highlight w:val="none"/>
        </w:rPr>
        <w:t>5.4.2磋商小组完成评审后，应当向采购人提交书面评审报告。</w:t>
      </w:r>
      <w:bookmarkStart w:id="70" w:name="_Toc25396"/>
    </w:p>
    <w:p w14:paraId="02417D2C">
      <w:pPr>
        <w:rPr>
          <w:rFonts w:hint="eastAsia" w:ascii="仿宋" w:hAnsi="仿宋" w:eastAsia="仿宋" w:cs="仿宋"/>
          <w:b/>
          <w:bCs/>
          <w:color w:val="auto"/>
          <w:sz w:val="36"/>
          <w:szCs w:val="36"/>
          <w:highlight w:val="none"/>
        </w:rPr>
      </w:pPr>
      <w:bookmarkStart w:id="71" w:name="_Toc3935"/>
      <w:r>
        <w:rPr>
          <w:rFonts w:hint="eastAsia" w:ascii="仿宋" w:hAnsi="仿宋" w:eastAsia="仿宋" w:cs="仿宋"/>
          <w:b/>
          <w:bCs/>
          <w:color w:val="auto"/>
          <w:sz w:val="36"/>
          <w:szCs w:val="36"/>
          <w:highlight w:val="none"/>
        </w:rPr>
        <w:br w:type="page"/>
      </w:r>
    </w:p>
    <w:p w14:paraId="21213D2D">
      <w:pPr>
        <w:spacing w:after="120" w:afterLines="50" w:line="36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第五章  合同</w:t>
      </w:r>
      <w:bookmarkEnd w:id="70"/>
      <w:bookmarkEnd w:id="71"/>
    </w:p>
    <w:p w14:paraId="3AFF3DA3">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outlineLvl w:val="0"/>
        <w:rPr>
          <w:rFonts w:hint="eastAsia" w:ascii="仿宋" w:hAnsi="仿宋" w:eastAsia="仿宋" w:cs="仿宋"/>
          <w:snapToGrid/>
          <w:color w:val="auto"/>
          <w:kern w:val="2"/>
          <w:sz w:val="36"/>
          <w:szCs w:val="36"/>
          <w:highlight w:val="none"/>
          <w:u w:val="single"/>
          <w:lang w:eastAsia="zh-CN"/>
        </w:rPr>
      </w:pPr>
      <w:r>
        <w:rPr>
          <w:rFonts w:hint="eastAsia" w:ascii="仿宋" w:hAnsi="仿宋" w:eastAsia="仿宋" w:cs="仿宋"/>
          <w:snapToGrid/>
          <w:color w:val="auto"/>
          <w:kern w:val="2"/>
          <w:sz w:val="36"/>
          <w:szCs w:val="36"/>
          <w:highlight w:val="none"/>
          <w:lang w:eastAsia="zh-CN"/>
        </w:rPr>
        <w:t>技术咨询和服务合同书</w:t>
      </w:r>
    </w:p>
    <w:p w14:paraId="0CE3DEE8">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2B29217D">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27C1B063">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u w:val="single"/>
          <w:lang w:eastAsia="zh-CN"/>
        </w:rPr>
      </w:pPr>
    </w:p>
    <w:p w14:paraId="582D99E6">
      <w:pPr>
        <w:keepNext w:val="0"/>
        <w:keepLines w:val="0"/>
        <w:pageBreakBefore w:val="0"/>
        <w:widowControl w:val="0"/>
        <w:kinsoku/>
        <w:wordWrap/>
        <w:overflowPunct w:val="0"/>
        <w:topLinePunct w:val="0"/>
        <w:autoSpaceDE/>
        <w:autoSpaceDN/>
        <w:bidi w:val="0"/>
        <w:adjustRightInd/>
        <w:snapToGrid/>
        <w:spacing w:line="360" w:lineRule="auto"/>
        <w:ind w:left="1877" w:leftChars="0" w:hanging="1877" w:hangingChars="652"/>
        <w:jc w:val="left"/>
        <w:textAlignment w:val="auto"/>
        <w:outlineLvl w:val="0"/>
        <w:rPr>
          <w:rFonts w:hint="eastAsia" w:ascii="仿宋" w:hAnsi="仿宋" w:eastAsia="仿宋" w:cs="仿宋"/>
          <w:snapToGrid/>
          <w:color w:val="auto"/>
          <w:spacing w:val="4"/>
          <w:kern w:val="2"/>
          <w:sz w:val="28"/>
          <w:szCs w:val="28"/>
          <w:highlight w:val="none"/>
          <w:u w:val="single"/>
          <w:lang w:val="en-US" w:eastAsia="zh-CN"/>
        </w:rPr>
      </w:pPr>
      <w:r>
        <w:rPr>
          <w:rFonts w:hint="eastAsia" w:ascii="仿宋" w:hAnsi="仿宋" w:eastAsia="仿宋" w:cs="仿宋"/>
          <w:snapToGrid/>
          <w:color w:val="auto"/>
          <w:spacing w:val="4"/>
          <w:kern w:val="2"/>
          <w:sz w:val="28"/>
          <w:szCs w:val="28"/>
          <w:highlight w:val="none"/>
          <w:lang w:eastAsia="zh-CN"/>
        </w:rPr>
        <w:t>项 目 名 称：</w:t>
      </w:r>
      <w:r>
        <w:rPr>
          <w:rFonts w:hint="eastAsia" w:ascii="仿宋" w:hAnsi="仿宋" w:eastAsia="仿宋" w:cs="仿宋"/>
          <w:snapToGrid/>
          <w:color w:val="auto"/>
          <w:spacing w:val="4"/>
          <w:kern w:val="2"/>
          <w:sz w:val="28"/>
          <w:szCs w:val="28"/>
          <w:highlight w:val="none"/>
          <w:u w:val="single"/>
          <w:lang w:val="en-US" w:eastAsia="zh-CN"/>
        </w:rPr>
        <w:t xml:space="preserve">                           </w:t>
      </w:r>
    </w:p>
    <w:p w14:paraId="6503922A">
      <w:pPr>
        <w:keepNext w:val="0"/>
        <w:keepLines w:val="0"/>
        <w:pageBreakBefore w:val="0"/>
        <w:widowControl w:val="0"/>
        <w:tabs>
          <w:tab w:val="left" w:pos="7740"/>
        </w:tabs>
        <w:kinsoku/>
        <w:wordWrap/>
        <w:overflowPunct w:val="0"/>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spacing w:val="-20"/>
          <w:kern w:val="2"/>
          <w:sz w:val="28"/>
          <w:szCs w:val="28"/>
          <w:highlight w:val="none"/>
          <w:lang w:eastAsia="zh-CN"/>
        </w:rPr>
        <w:t>委托人（甲方）</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u w:val="single"/>
          <w:lang w:val="en-US" w:eastAsia="zh-CN"/>
        </w:rPr>
        <w:t xml:space="preserve">                          </w:t>
      </w:r>
    </w:p>
    <w:p w14:paraId="6925959E">
      <w:pPr>
        <w:keepNext w:val="0"/>
        <w:keepLines w:val="0"/>
        <w:pageBreakBefore w:val="0"/>
        <w:widowControl w:val="0"/>
        <w:tabs>
          <w:tab w:val="left" w:pos="7740"/>
        </w:tabs>
        <w:kinsoku/>
        <w:wordWrap/>
        <w:overflowPunct w:val="0"/>
        <w:topLinePunct w:val="0"/>
        <w:autoSpaceDE/>
        <w:autoSpaceDN/>
        <w:bidi w:val="0"/>
        <w:adjustRightInd/>
        <w:snapToGrid/>
        <w:spacing w:line="360" w:lineRule="auto"/>
        <w:ind w:left="2520" w:hanging="2160" w:hangingChars="90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spacing w:val="-20"/>
          <w:kern w:val="2"/>
          <w:sz w:val="28"/>
          <w:szCs w:val="28"/>
          <w:highlight w:val="none"/>
          <w:lang w:eastAsia="zh-CN"/>
        </w:rPr>
        <w:t>受托人（乙方）：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5196FBD7">
      <w:pPr>
        <w:keepNext w:val="0"/>
        <w:keepLines w:val="0"/>
        <w:pageBreakBefore w:val="0"/>
        <w:widowControl w:val="0"/>
        <w:kinsoku/>
        <w:wordWrap/>
        <w:overflowPunct w:val="0"/>
        <w:topLinePunct w:val="0"/>
        <w:autoSpaceDE/>
        <w:autoSpaceDN/>
        <w:bidi w:val="0"/>
        <w:adjustRightInd/>
        <w:snapToGrid/>
        <w:spacing w:line="360" w:lineRule="auto"/>
        <w:ind w:left="2380" w:hanging="2380" w:hangingChars="85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签 订 地 点：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spacing w:val="-20"/>
          <w:kern w:val="2"/>
          <w:sz w:val="28"/>
          <w:szCs w:val="28"/>
          <w:highlight w:val="none"/>
          <w:u w:val="single"/>
          <w:lang w:val="en-US" w:eastAsia="zh-CN"/>
        </w:rPr>
        <w:t xml:space="preserve">  </w:t>
      </w:r>
      <w:r>
        <w:rPr>
          <w:rFonts w:hint="eastAsia" w:ascii="仿宋" w:hAnsi="仿宋" w:eastAsia="仿宋" w:cs="仿宋"/>
          <w:snapToGrid/>
          <w:color w:val="auto"/>
          <w:spacing w:val="-20"/>
          <w:kern w:val="2"/>
          <w:sz w:val="28"/>
          <w:szCs w:val="28"/>
          <w:highlight w:val="none"/>
          <w:u w:val="single"/>
          <w:lang w:eastAsia="zh-CN"/>
        </w:rPr>
        <w:t xml:space="preserve"> </w:t>
      </w:r>
    </w:p>
    <w:p w14:paraId="32D696BA">
      <w:pPr>
        <w:keepNext w:val="0"/>
        <w:keepLines w:val="0"/>
        <w:pageBreakBefore w:val="0"/>
        <w:widowControl w:val="0"/>
        <w:kinsoku/>
        <w:wordWrap/>
        <w:overflowPunct w:val="0"/>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签 订 日 期：</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20</w:t>
      </w:r>
      <w:r>
        <w:rPr>
          <w:rFonts w:hint="eastAsia" w:ascii="仿宋" w:hAnsi="仿宋" w:eastAsia="仿宋" w:cs="仿宋"/>
          <w:snapToGrid/>
          <w:color w:val="auto"/>
          <w:kern w:val="2"/>
          <w:sz w:val="28"/>
          <w:szCs w:val="28"/>
          <w:highlight w:val="none"/>
          <w:u w:val="single"/>
          <w:lang w:val="en-US" w:eastAsia="zh-CN"/>
        </w:rPr>
        <w:t>26</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月  日        </w:t>
      </w:r>
    </w:p>
    <w:p w14:paraId="4233916E">
      <w:pPr>
        <w:keepNext w:val="0"/>
        <w:keepLines w:val="0"/>
        <w:pageBreakBefore w:val="0"/>
        <w:widowControl w:val="0"/>
        <w:kinsoku/>
        <w:wordWrap/>
        <w:overflowPunct w:val="0"/>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有 效 期 限：</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项目研究期间           </w:t>
      </w:r>
    </w:p>
    <w:p w14:paraId="07A92923">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3EECFA13">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3330BED0">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5184269F">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0501D94A">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542AC084">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7686C8B8">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8"/>
          <w:szCs w:val="28"/>
          <w:highlight w:val="none"/>
          <w:lang w:eastAsia="zh-CN"/>
        </w:rPr>
      </w:pPr>
    </w:p>
    <w:p w14:paraId="66065782">
      <w:pPr>
        <w:keepNext w:val="0"/>
        <w:keepLines w:val="0"/>
        <w:pageBreakBefore w:val="0"/>
        <w:widowControl w:val="0"/>
        <w:kinsoku/>
        <w:wordWrap/>
        <w:overflowPunct w:val="0"/>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sectPr>
          <w:footerReference r:id="rId10" w:type="default"/>
          <w:pgSz w:w="11905" w:h="16838" w:orient="landscape"/>
          <w:pgMar w:top="1304" w:right="1134" w:bottom="1304" w:left="1134" w:header="851" w:footer="992" w:gutter="0"/>
          <w:pgNumType w:fmt="decimal"/>
          <w:cols w:space="0" w:num="1"/>
          <w:docGrid w:type="lines" w:linePitch="316" w:charSpace="0"/>
        </w:sectPr>
      </w:pPr>
      <w:r>
        <w:rPr>
          <w:rFonts w:hint="eastAsia" w:ascii="仿宋" w:hAnsi="仿宋" w:eastAsia="仿宋" w:cs="仿宋"/>
          <w:snapToGrid/>
          <w:color w:val="auto"/>
          <w:kern w:val="2"/>
          <w:sz w:val="28"/>
          <w:szCs w:val="28"/>
          <w:highlight w:val="none"/>
          <w:lang w:eastAsia="zh-CN"/>
        </w:rPr>
        <w:t xml:space="preserve">         </w:t>
      </w:r>
    </w:p>
    <w:p w14:paraId="0A7CD836">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outlineLvl w:val="0"/>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委托方（甲方）：</w:t>
      </w:r>
      <w:r>
        <w:rPr>
          <w:rFonts w:hint="eastAsia" w:ascii="仿宋" w:hAnsi="仿宋" w:eastAsia="仿宋" w:cs="仿宋"/>
          <w:snapToGrid/>
          <w:color w:val="auto"/>
          <w:kern w:val="2"/>
          <w:sz w:val="28"/>
          <w:szCs w:val="28"/>
          <w:highlight w:val="none"/>
          <w:u w:val="single"/>
          <w:lang w:val="en-US" w:eastAsia="zh-CN"/>
        </w:rPr>
        <w:t xml:space="preserve">                                  </w:t>
      </w:r>
    </w:p>
    <w:p w14:paraId="798AB168">
      <w:pPr>
        <w:keepNext w:val="0"/>
        <w:keepLines w:val="0"/>
        <w:pageBreakBefore w:val="0"/>
        <w:widowControl w:val="0"/>
        <w:tabs>
          <w:tab w:val="left" w:pos="840"/>
          <w:tab w:val="left" w:pos="8100"/>
        </w:tabs>
        <w:kinsoku/>
        <w:wordWrap/>
        <w:overflowPunct w:val="0"/>
        <w:topLinePunct w:val="0"/>
        <w:autoSpaceDE/>
        <w:autoSpaceDN/>
        <w:bidi w:val="0"/>
        <w:adjustRightInd/>
        <w:snapToGrid/>
        <w:spacing w:line="360" w:lineRule="auto"/>
        <w:ind w:left="2145" w:leftChars="171" w:hanging="1786" w:hangingChars="638"/>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住  所  地： </w:t>
      </w:r>
      <w:r>
        <w:rPr>
          <w:rFonts w:hint="eastAsia" w:ascii="仿宋" w:hAnsi="仿宋" w:eastAsia="仿宋" w:cs="仿宋"/>
          <w:bCs/>
          <w:snapToGrid/>
          <w:color w:val="auto"/>
          <w:kern w:val="2"/>
          <w:sz w:val="28"/>
          <w:szCs w:val="28"/>
          <w:highlight w:val="none"/>
          <w:u w:val="single"/>
          <w:lang w:val="en-US" w:eastAsia="zh-CN"/>
        </w:rPr>
        <w:t xml:space="preserve">                                    </w:t>
      </w:r>
    </w:p>
    <w:p w14:paraId="2879A54E">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法定代表人：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23779F44">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项目联系人：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p>
    <w:p w14:paraId="1B035A07">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联系方式：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6CC749A2">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 xml:space="preserve">通讯地址：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p>
    <w:p w14:paraId="422EAB11">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    话：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传  真：</w:t>
      </w:r>
      <w:r>
        <w:rPr>
          <w:rFonts w:hint="eastAsia" w:ascii="仿宋" w:hAnsi="仿宋" w:eastAsia="仿宋" w:cs="仿宋"/>
          <w:snapToGrid/>
          <w:color w:val="auto"/>
          <w:kern w:val="2"/>
          <w:sz w:val="28"/>
          <w:szCs w:val="28"/>
          <w:highlight w:val="none"/>
          <w:u w:val="single"/>
          <w:lang w:val="en-US" w:eastAsia="zh-CN"/>
        </w:rPr>
        <w:t xml:space="preserve">               </w:t>
      </w:r>
    </w:p>
    <w:p w14:paraId="596BEE62">
      <w:pPr>
        <w:keepNext w:val="0"/>
        <w:keepLines w:val="0"/>
        <w:pageBreakBefore w:val="0"/>
        <w:widowControl w:val="0"/>
        <w:tabs>
          <w:tab w:val="left" w:pos="900"/>
        </w:tabs>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电子信箱：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p>
    <w:p w14:paraId="091A5410">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outlineLvl w:val="0"/>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受托方（乙方）：</w:t>
      </w:r>
      <w:r>
        <w:rPr>
          <w:rFonts w:hint="eastAsia" w:ascii="仿宋" w:hAnsi="仿宋" w:eastAsia="仿宋" w:cs="仿宋"/>
          <w:snapToGrid/>
          <w:color w:val="auto"/>
          <w:kern w:val="2"/>
          <w:sz w:val="28"/>
          <w:szCs w:val="28"/>
          <w:highlight w:val="none"/>
          <w:u w:val="single"/>
          <w:lang w:val="en-US" w:eastAsia="zh-CN"/>
        </w:rPr>
        <w:t xml:space="preserve">                                  </w:t>
      </w:r>
    </w:p>
    <w:p w14:paraId="21278A40">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outlineLvl w:val="0"/>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住  所  地： </w:t>
      </w:r>
      <w:r>
        <w:rPr>
          <w:rFonts w:hint="eastAsia" w:ascii="仿宋" w:hAnsi="仿宋" w:eastAsia="仿宋" w:cs="仿宋"/>
          <w:snapToGrid/>
          <w:color w:val="auto"/>
          <w:kern w:val="2"/>
          <w:sz w:val="28"/>
          <w:szCs w:val="28"/>
          <w:highlight w:val="none"/>
          <w:u w:val="single"/>
          <w:lang w:val="en-US" w:eastAsia="zh-CN"/>
        </w:rPr>
        <w:t xml:space="preserve">                                    </w:t>
      </w:r>
    </w:p>
    <w:p w14:paraId="667C05E2">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法定代表人：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58DB3C9B">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项目联系人：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p>
    <w:p w14:paraId="4A5E2EAB">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 xml:space="preserve">联系方式：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eastAsia="zh-CN"/>
        </w:rPr>
        <w:t xml:space="preserve">  </w:t>
      </w:r>
    </w:p>
    <w:p w14:paraId="5BA97D77">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 xml:space="preserve">通讯地址：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bCs/>
          <w:snapToGrid/>
          <w:color w:val="auto"/>
          <w:w w:val="90"/>
          <w:kern w:val="2"/>
          <w:sz w:val="28"/>
          <w:szCs w:val="28"/>
          <w:highlight w:val="none"/>
          <w:u w:val="single"/>
          <w:lang w:val="en-US" w:eastAsia="zh-CN"/>
        </w:rPr>
        <w:t xml:space="preserve">                                      </w:t>
      </w:r>
    </w:p>
    <w:p w14:paraId="2BC6C6D6">
      <w:pPr>
        <w:keepNext w:val="0"/>
        <w:keepLines w:val="0"/>
        <w:pageBreakBefore w:val="0"/>
        <w:widowControl w:val="0"/>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   话：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传 真：</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3098E379">
      <w:pPr>
        <w:keepNext w:val="0"/>
        <w:keepLines w:val="0"/>
        <w:pageBreakBefore w:val="0"/>
        <w:widowControl w:val="0"/>
        <w:tabs>
          <w:tab w:val="left" w:pos="900"/>
        </w:tabs>
        <w:kinsoku/>
        <w:wordWrap/>
        <w:overflowPunct w:val="0"/>
        <w:topLinePunct w:val="0"/>
        <w:autoSpaceDE/>
        <w:autoSpaceDN/>
        <w:bidi w:val="0"/>
        <w:adjustRightInd/>
        <w:snapToGrid/>
        <w:spacing w:line="360" w:lineRule="auto"/>
        <w:ind w:left="1868" w:leftChars="171" w:hanging="1509" w:hangingChars="539"/>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电子信箱：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7446A509">
      <w:pPr>
        <w:keepNext w:val="0"/>
        <w:keepLines w:val="0"/>
        <w:pageBreakBefore w:val="0"/>
        <w:widowControl w:val="0"/>
        <w:kinsoku/>
        <w:wordWrap/>
        <w:overflowPunct w:val="0"/>
        <w:topLinePunct w:val="0"/>
        <w:autoSpaceDE/>
        <w:autoSpaceDN/>
        <w:bidi w:val="0"/>
        <w:adjustRightInd/>
        <w:snapToGrid/>
        <w:spacing w:line="360" w:lineRule="auto"/>
        <w:ind w:left="0" w:leftChars="0" w:firstLine="638" w:firstLineChars="228"/>
        <w:jc w:val="left"/>
        <w:textAlignment w:val="auto"/>
        <w:outlineLvl w:val="0"/>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根据《中华人民共和国</w:t>
      </w:r>
      <w:r>
        <w:rPr>
          <w:rFonts w:hint="eastAsia" w:ascii="仿宋" w:hAnsi="仿宋" w:eastAsia="仿宋" w:cs="仿宋"/>
          <w:b w:val="0"/>
          <w:i w:val="0"/>
          <w:strike w:val="0"/>
          <w:snapToGrid/>
          <w:color w:val="auto"/>
          <w:kern w:val="2"/>
          <w:sz w:val="28"/>
          <w:szCs w:val="28"/>
          <w:highlight w:val="none"/>
          <w:u w:val="none"/>
          <w:lang w:eastAsia="zh-CN"/>
        </w:rPr>
        <w:t>民法典》</w:t>
      </w:r>
      <w:r>
        <w:rPr>
          <w:rFonts w:hint="eastAsia" w:ascii="仿宋" w:hAnsi="仿宋" w:eastAsia="仿宋" w:cs="仿宋"/>
          <w:snapToGrid/>
          <w:color w:val="auto"/>
          <w:kern w:val="2"/>
          <w:sz w:val="28"/>
          <w:szCs w:val="28"/>
          <w:highlight w:val="none"/>
          <w:lang w:eastAsia="zh-CN"/>
        </w:rPr>
        <w:t>的相关规定，经协商一致，合同双方就</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技术咨询服务签订本合同。为明确双方权利、义务，特议定如下条款，以资共同遵守。</w:t>
      </w:r>
    </w:p>
    <w:p w14:paraId="72728C52">
      <w:pPr>
        <w:keepNext w:val="0"/>
        <w:keepLines w:val="0"/>
        <w:pageBreakBefore w:val="0"/>
        <w:widowControl w:val="0"/>
        <w:kinsoku/>
        <w:wordWrap/>
        <w:overflowPunct w:val="0"/>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一、乙方进行技术咨询服务的内容、要求和方式</w:t>
      </w:r>
    </w:p>
    <w:p w14:paraId="51F43F16">
      <w:pPr>
        <w:keepNext w:val="0"/>
        <w:keepLines w:val="0"/>
        <w:pageBreakBefore w:val="0"/>
        <w:widowControl w:val="0"/>
        <w:kinsoku/>
        <w:wordWrap/>
        <w:overflowPunct w:val="0"/>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none"/>
          <w:lang w:eastAsia="zh-CN"/>
        </w:rPr>
      </w:pPr>
      <w:r>
        <w:rPr>
          <w:rFonts w:hint="eastAsia" w:ascii="仿宋" w:hAnsi="仿宋" w:eastAsia="仿宋" w:cs="仿宋"/>
          <w:bCs/>
          <w:snapToGrid/>
          <w:color w:val="auto"/>
          <w:kern w:val="2"/>
          <w:sz w:val="28"/>
          <w:szCs w:val="28"/>
          <w:highlight w:val="none"/>
          <w:u w:val="none"/>
          <w:lang w:eastAsia="zh-CN"/>
        </w:rPr>
        <w:t>1.内容：</w:t>
      </w:r>
    </w:p>
    <w:p w14:paraId="2B8E2C53">
      <w:pPr>
        <w:keepNext w:val="0"/>
        <w:keepLines w:val="0"/>
        <w:pageBreakBefore w:val="0"/>
        <w:widowControl w:val="0"/>
        <w:kinsoku/>
        <w:wordWrap/>
        <w:overflowPunct w:val="0"/>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single"/>
          <w:lang w:val="en-US" w:eastAsia="zh-CN"/>
        </w:rPr>
      </w:pPr>
      <w:r>
        <w:rPr>
          <w:rFonts w:hint="eastAsia" w:ascii="仿宋" w:hAnsi="仿宋" w:eastAsia="仿宋" w:cs="仿宋"/>
          <w:bCs/>
          <w:snapToGrid/>
          <w:color w:val="auto"/>
          <w:kern w:val="2"/>
          <w:sz w:val="28"/>
          <w:szCs w:val="28"/>
          <w:highlight w:val="none"/>
          <w:u w:val="none"/>
          <w:lang w:val="en-US" w:eastAsia="zh-CN"/>
        </w:rPr>
        <w:t>（1）</w:t>
      </w:r>
      <w:r>
        <w:rPr>
          <w:rFonts w:hint="eastAsia" w:ascii="仿宋" w:hAnsi="仿宋" w:eastAsia="仿宋" w:cs="仿宋"/>
          <w:bCs/>
          <w:snapToGrid/>
          <w:color w:val="auto"/>
          <w:kern w:val="2"/>
          <w:sz w:val="28"/>
          <w:szCs w:val="28"/>
          <w:highlight w:val="none"/>
          <w:u w:val="single"/>
          <w:lang w:val="en-US" w:eastAsia="zh-CN"/>
        </w:rPr>
        <w:t>编制</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eastAsia="zh-CN"/>
        </w:rPr>
        <w:t>新和县</w:t>
      </w:r>
      <w:r>
        <w:rPr>
          <w:rFonts w:hint="default" w:ascii="仿宋" w:hAnsi="仿宋" w:eastAsia="仿宋" w:cs="仿宋"/>
          <w:color w:val="auto"/>
          <w:spacing w:val="1"/>
          <w:sz w:val="28"/>
          <w:szCs w:val="28"/>
          <w:highlight w:val="none"/>
          <w:u w:val="single"/>
          <w:lang w:eastAsia="en-US"/>
        </w:rPr>
        <w:t>碳达峰碳中和规划文本+图集+PPT+数据台账</w:t>
      </w:r>
      <w:r>
        <w:rPr>
          <w:rFonts w:hint="eastAsia" w:ascii="仿宋" w:hAnsi="仿宋" w:eastAsia="仿宋" w:cs="仿宋"/>
          <w:color w:val="auto"/>
          <w:spacing w:val="1"/>
          <w:sz w:val="28"/>
          <w:szCs w:val="28"/>
          <w:highlight w:val="none"/>
          <w:u w:val="single"/>
          <w:lang w:eastAsia="zh-CN"/>
        </w:rPr>
        <w:t>（含煤炭消费控制总量、碳排放总量摸排情况及碳预算管理方案）</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bCs/>
          <w:snapToGrid/>
          <w:color w:val="auto"/>
          <w:kern w:val="2"/>
          <w:sz w:val="28"/>
          <w:szCs w:val="28"/>
          <w:highlight w:val="none"/>
          <w:u w:val="single"/>
          <w:lang w:val="en-US" w:eastAsia="zh-CN"/>
        </w:rPr>
        <w:t>，是落实“双碳”战略、践行绿色低碳发展理念的重要举措，也是推动新和县产业转型升级、培育高质量发展新动能、实现生态与经济协同发展的关键抓手</w:t>
      </w:r>
      <w:r>
        <w:rPr>
          <w:rFonts w:hint="eastAsia" w:ascii="仿宋" w:hAnsi="仿宋" w:eastAsia="仿宋" w:cs="仿宋"/>
          <w:snapToGrid/>
          <w:color w:val="auto"/>
          <w:kern w:val="2"/>
          <w:sz w:val="28"/>
          <w:szCs w:val="28"/>
          <w:highlight w:val="none"/>
          <w:u w:val="single"/>
          <w:lang w:val="en-US" w:eastAsia="zh-CN"/>
        </w:rPr>
        <w:t>。</w:t>
      </w:r>
    </w:p>
    <w:p w14:paraId="01BC6E3C">
      <w:pPr>
        <w:keepNext w:val="0"/>
        <w:keepLines w:val="0"/>
        <w:pageBreakBefore w:val="0"/>
        <w:widowControl w:val="0"/>
        <w:kinsoku/>
        <w:wordWrap/>
        <w:overflowPunct w:val="0"/>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bCs/>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2.要求：</w:t>
      </w:r>
      <w:r>
        <w:rPr>
          <w:rFonts w:hint="eastAsia" w:ascii="仿宋" w:hAnsi="仿宋" w:eastAsia="仿宋" w:cs="仿宋"/>
          <w:snapToGrid/>
          <w:color w:val="auto"/>
          <w:kern w:val="2"/>
          <w:sz w:val="28"/>
          <w:szCs w:val="28"/>
          <w:highlight w:val="none"/>
          <w:u w:val="single"/>
          <w:lang w:eastAsia="zh-CN"/>
        </w:rPr>
        <w:t>采购具有相应资信与专业能力的咨询服务机构，编制完成一份立足县域实际、思路清晰、路径明确、举措扎实的</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color w:val="auto"/>
          <w:spacing w:val="1"/>
          <w:sz w:val="28"/>
          <w:szCs w:val="28"/>
          <w:highlight w:val="none"/>
          <w:u w:val="single"/>
          <w:lang w:eastAsia="zh-CN"/>
        </w:rPr>
        <w:t>新和县</w:t>
      </w:r>
      <w:r>
        <w:rPr>
          <w:rFonts w:hint="default" w:ascii="仿宋" w:hAnsi="仿宋" w:eastAsia="仿宋" w:cs="仿宋"/>
          <w:color w:val="auto"/>
          <w:spacing w:val="1"/>
          <w:sz w:val="28"/>
          <w:szCs w:val="28"/>
          <w:highlight w:val="none"/>
          <w:u w:val="single"/>
          <w:lang w:eastAsia="en-US"/>
        </w:rPr>
        <w:t>碳达峰碳中和规划文本+图集+PPT+数据台账</w:t>
      </w:r>
      <w:r>
        <w:rPr>
          <w:rFonts w:hint="eastAsia" w:ascii="仿宋" w:hAnsi="仿宋" w:eastAsia="仿宋" w:cs="仿宋"/>
          <w:color w:val="auto"/>
          <w:spacing w:val="1"/>
          <w:sz w:val="28"/>
          <w:szCs w:val="28"/>
          <w:highlight w:val="none"/>
          <w:u w:val="single"/>
          <w:lang w:eastAsia="zh-CN"/>
        </w:rPr>
        <w:t>（含煤炭消费控制总量、碳排放总量摸排情况及碳预算管理方案）</w:t>
      </w:r>
      <w:r>
        <w:rPr>
          <w:rFonts w:hint="default" w:ascii="仿宋" w:hAnsi="仿宋" w:eastAsia="仿宋" w:cs="仿宋"/>
          <w:color w:val="auto"/>
          <w:spacing w:val="1"/>
          <w:sz w:val="28"/>
          <w:szCs w:val="28"/>
          <w:highlight w:val="none"/>
          <w:u w:val="single"/>
          <w:lang w:eastAsia="en-US"/>
        </w:rPr>
        <w:t>》</w:t>
      </w:r>
      <w:r>
        <w:rPr>
          <w:rFonts w:hint="eastAsia" w:ascii="仿宋" w:hAnsi="仿宋" w:eastAsia="仿宋" w:cs="仿宋"/>
          <w:snapToGrid/>
          <w:color w:val="auto"/>
          <w:kern w:val="2"/>
          <w:sz w:val="28"/>
          <w:szCs w:val="28"/>
          <w:highlight w:val="none"/>
          <w:u w:val="single"/>
          <w:lang w:eastAsia="zh-CN"/>
        </w:rPr>
        <w:t>，为县委、县政府相关决策提供科学依据和行动指引</w:t>
      </w:r>
      <w:r>
        <w:rPr>
          <w:rFonts w:hint="eastAsia" w:ascii="仿宋" w:hAnsi="仿宋" w:eastAsia="仿宋" w:cs="仿宋"/>
          <w:bCs/>
          <w:snapToGrid/>
          <w:color w:val="auto"/>
          <w:kern w:val="2"/>
          <w:sz w:val="28"/>
          <w:szCs w:val="28"/>
          <w:highlight w:val="none"/>
          <w:u w:val="single"/>
          <w:lang w:eastAsia="zh-CN"/>
        </w:rPr>
        <w:t>。</w:t>
      </w:r>
    </w:p>
    <w:p w14:paraId="2F922DF4">
      <w:pPr>
        <w:keepNext w:val="0"/>
        <w:keepLines w:val="0"/>
        <w:pageBreakBefore w:val="0"/>
        <w:widowControl w:val="0"/>
        <w:kinsoku/>
        <w:wordWrap/>
        <w:overflowPunct w:val="0"/>
        <w:topLinePunct w:val="0"/>
        <w:autoSpaceDE/>
        <w:autoSpaceDN/>
        <w:bidi w:val="0"/>
        <w:adjustRightInd/>
        <w:snapToGrid/>
        <w:spacing w:line="360" w:lineRule="auto"/>
        <w:ind w:right="38" w:rightChars="18" w:firstLine="630" w:firstLineChars="225"/>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3.方式：</w:t>
      </w:r>
      <w:r>
        <w:rPr>
          <w:rFonts w:hint="eastAsia" w:ascii="仿宋" w:hAnsi="仿宋" w:eastAsia="仿宋" w:cs="仿宋"/>
          <w:snapToGrid/>
          <w:color w:val="auto"/>
          <w:kern w:val="2"/>
          <w:sz w:val="28"/>
          <w:szCs w:val="28"/>
          <w:highlight w:val="none"/>
          <w:u w:val="single"/>
          <w:lang w:eastAsia="zh-CN"/>
        </w:rPr>
        <w:t>提交正式规划文本</w:t>
      </w:r>
    </w:p>
    <w:p w14:paraId="4E408FB4">
      <w:pPr>
        <w:keepNext w:val="0"/>
        <w:keepLines w:val="0"/>
        <w:pageBreakBefore w:val="0"/>
        <w:widowControl w:val="0"/>
        <w:kinsoku/>
        <w:wordWrap/>
        <w:overflowPunct w:val="0"/>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二、成果和要求</w:t>
      </w:r>
    </w:p>
    <w:p w14:paraId="7ECA7161">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乙方按本合同第三条约定的期限完成技术咨询和服务业务，其中提供规划</w:t>
      </w:r>
      <w:r>
        <w:rPr>
          <w:rFonts w:hint="eastAsia" w:ascii="仿宋" w:hAnsi="仿宋" w:eastAsia="仿宋" w:cs="仿宋"/>
          <w:snapToGrid/>
          <w:color w:val="auto"/>
          <w:kern w:val="2"/>
          <w:sz w:val="28"/>
          <w:szCs w:val="28"/>
          <w:highlight w:val="none"/>
          <w:lang w:val="en-US" w:eastAsia="zh-CN"/>
        </w:rPr>
        <w:t>文本</w:t>
      </w:r>
      <w:r>
        <w:rPr>
          <w:rFonts w:hint="eastAsia" w:ascii="仿宋" w:hAnsi="仿宋" w:eastAsia="仿宋" w:cs="仿宋"/>
          <w:snapToGrid/>
          <w:color w:val="auto"/>
          <w:kern w:val="2"/>
          <w:sz w:val="28"/>
          <w:szCs w:val="28"/>
          <w:highlight w:val="none"/>
          <w:u w:val="single"/>
          <w:lang w:eastAsia="zh-CN"/>
        </w:rPr>
        <w:t>10</w:t>
      </w:r>
      <w:r>
        <w:rPr>
          <w:rFonts w:hint="eastAsia" w:ascii="仿宋" w:hAnsi="仿宋" w:eastAsia="仿宋" w:cs="仿宋"/>
          <w:snapToGrid/>
          <w:color w:val="auto"/>
          <w:kern w:val="2"/>
          <w:sz w:val="28"/>
          <w:szCs w:val="28"/>
          <w:highlight w:val="none"/>
          <w:lang w:eastAsia="zh-CN"/>
        </w:rPr>
        <w:t>份，电子文档</w:t>
      </w:r>
      <w:r>
        <w:rPr>
          <w:rFonts w:hint="eastAsia" w:ascii="仿宋" w:hAnsi="仿宋" w:eastAsia="仿宋" w:cs="仿宋"/>
          <w:snapToGrid/>
          <w:color w:val="auto"/>
          <w:kern w:val="2"/>
          <w:sz w:val="28"/>
          <w:szCs w:val="28"/>
          <w:highlight w:val="none"/>
          <w:u w:val="single"/>
          <w:lang w:eastAsia="zh-CN"/>
        </w:rPr>
        <w:t>1</w:t>
      </w:r>
      <w:r>
        <w:rPr>
          <w:rFonts w:hint="eastAsia" w:ascii="仿宋" w:hAnsi="仿宋" w:eastAsia="仿宋" w:cs="仿宋"/>
          <w:snapToGrid/>
          <w:color w:val="auto"/>
          <w:kern w:val="2"/>
          <w:sz w:val="28"/>
          <w:szCs w:val="28"/>
          <w:highlight w:val="none"/>
          <w:lang w:eastAsia="zh-CN"/>
        </w:rPr>
        <w:t>份。</w:t>
      </w:r>
    </w:p>
    <w:p w14:paraId="313F4064">
      <w:pPr>
        <w:keepNext w:val="0"/>
        <w:keepLines w:val="0"/>
        <w:pageBreakBefore w:val="0"/>
        <w:widowControl w:val="0"/>
        <w:kinsoku/>
        <w:wordWrap/>
        <w:overflowPunct w:val="0"/>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三、履行期限</w:t>
      </w:r>
    </w:p>
    <w:p w14:paraId="2518ED7C">
      <w:pPr>
        <w:keepNext w:val="0"/>
        <w:keepLines w:val="0"/>
        <w:pageBreakBefore w:val="0"/>
        <w:widowControl w:val="0"/>
        <w:kinsoku/>
        <w:wordWrap/>
        <w:overflowPunct w:val="0"/>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甲方负责在</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none"/>
          <w:lang w:eastAsia="zh-CN"/>
        </w:rPr>
        <w:t>日</w:t>
      </w:r>
      <w:r>
        <w:rPr>
          <w:rFonts w:hint="eastAsia" w:ascii="仿宋" w:hAnsi="仿宋" w:eastAsia="仿宋" w:cs="仿宋"/>
          <w:snapToGrid/>
          <w:color w:val="auto"/>
          <w:kern w:val="2"/>
          <w:sz w:val="28"/>
          <w:szCs w:val="28"/>
          <w:highlight w:val="none"/>
          <w:lang w:eastAsia="zh-CN"/>
        </w:rPr>
        <w:t>前按乙方清单提供全部基础资料，乙方负责在</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none"/>
          <w:lang w:eastAsia="zh-CN"/>
        </w:rPr>
        <w:t>日</w:t>
      </w:r>
      <w:r>
        <w:rPr>
          <w:rFonts w:hint="eastAsia" w:ascii="仿宋" w:hAnsi="仿宋" w:eastAsia="仿宋" w:cs="仿宋"/>
          <w:snapToGrid/>
          <w:color w:val="auto"/>
          <w:kern w:val="2"/>
          <w:sz w:val="28"/>
          <w:szCs w:val="28"/>
          <w:highlight w:val="none"/>
          <w:lang w:eastAsia="zh-CN"/>
        </w:rPr>
        <w:t>前提交规划初稿，</w:t>
      </w:r>
      <w:r>
        <w:rPr>
          <w:rFonts w:hint="eastAsia" w:ascii="仿宋" w:hAnsi="仿宋" w:eastAsia="仿宋" w:cs="仿宋"/>
          <w:snapToGrid/>
          <w:color w:val="auto"/>
          <w:kern w:val="2"/>
          <w:sz w:val="28"/>
          <w:szCs w:val="28"/>
          <w:highlight w:val="none"/>
          <w:u w:val="single"/>
          <w:lang w:val="en-US" w:eastAsia="zh-CN"/>
        </w:rPr>
        <w:t xml:space="preserve">    年   月  日</w:t>
      </w:r>
      <w:r>
        <w:rPr>
          <w:rFonts w:hint="eastAsia" w:ascii="仿宋" w:hAnsi="仿宋" w:eastAsia="仿宋" w:cs="仿宋"/>
          <w:snapToGrid/>
          <w:color w:val="auto"/>
          <w:kern w:val="2"/>
          <w:sz w:val="28"/>
          <w:szCs w:val="28"/>
          <w:highlight w:val="none"/>
          <w:lang w:val="en-US" w:eastAsia="zh-CN"/>
        </w:rPr>
        <w:t>前</w:t>
      </w:r>
      <w:r>
        <w:rPr>
          <w:rFonts w:hint="eastAsia" w:ascii="仿宋" w:hAnsi="仿宋" w:eastAsia="仿宋" w:cs="仿宋"/>
          <w:snapToGrid/>
          <w:color w:val="auto"/>
          <w:kern w:val="2"/>
          <w:sz w:val="28"/>
          <w:szCs w:val="28"/>
          <w:highlight w:val="none"/>
          <w:lang w:eastAsia="zh-CN"/>
        </w:rPr>
        <w:t>提交规划</w:t>
      </w:r>
      <w:r>
        <w:rPr>
          <w:rFonts w:hint="eastAsia" w:ascii="仿宋" w:hAnsi="仿宋" w:eastAsia="仿宋" w:cs="仿宋"/>
          <w:snapToGrid/>
          <w:color w:val="auto"/>
          <w:kern w:val="2"/>
          <w:sz w:val="28"/>
          <w:szCs w:val="28"/>
          <w:highlight w:val="none"/>
          <w:lang w:val="en-US" w:eastAsia="zh-CN"/>
        </w:rPr>
        <w:t>编制文本（定稿）</w:t>
      </w:r>
      <w:r>
        <w:rPr>
          <w:rFonts w:hint="eastAsia" w:ascii="仿宋" w:hAnsi="仿宋" w:eastAsia="仿宋" w:cs="仿宋"/>
          <w:snapToGrid/>
          <w:color w:val="auto"/>
          <w:kern w:val="2"/>
          <w:sz w:val="28"/>
          <w:szCs w:val="28"/>
          <w:highlight w:val="none"/>
          <w:lang w:eastAsia="zh-CN"/>
        </w:rPr>
        <w:t>，完成咨询服务业务。</w:t>
      </w:r>
    </w:p>
    <w:p w14:paraId="7E7653BE">
      <w:pPr>
        <w:keepNext w:val="0"/>
        <w:keepLines w:val="0"/>
        <w:pageBreakBefore w:val="0"/>
        <w:widowControl w:val="0"/>
        <w:kinsoku/>
        <w:wordWrap/>
        <w:overflowPunct w:val="0"/>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四、技术咨询服务报酬及支付方式</w:t>
      </w:r>
    </w:p>
    <w:p w14:paraId="305F85D7">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1.技术咨询服务报酬总额为：</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w:t>
      </w:r>
    </w:p>
    <w:p w14:paraId="6B3B8F33">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eastAsia="zh-CN"/>
        </w:rPr>
        <w:t>2.支付方式：技术咨询服务费用由甲方向乙方支付，具体支付时间为：</w:t>
      </w:r>
      <w:r>
        <w:rPr>
          <w:rFonts w:hint="eastAsia" w:ascii="仿宋" w:hAnsi="仿宋" w:eastAsia="仿宋" w:cs="仿宋"/>
          <w:snapToGrid/>
          <w:color w:val="auto"/>
          <w:kern w:val="2"/>
          <w:sz w:val="28"/>
          <w:szCs w:val="28"/>
          <w:highlight w:val="none"/>
          <w:lang w:val="en-US" w:eastAsia="zh-CN"/>
        </w:rPr>
        <w:t>签订合同10日内，</w:t>
      </w:r>
      <w:r>
        <w:rPr>
          <w:rFonts w:hint="eastAsia" w:ascii="仿宋" w:hAnsi="仿宋" w:eastAsia="仿宋" w:cs="仿宋"/>
          <w:snapToGrid/>
          <w:color w:val="auto"/>
          <w:kern w:val="2"/>
          <w:sz w:val="28"/>
          <w:szCs w:val="28"/>
          <w:highlight w:val="none"/>
          <w:u w:val="single"/>
          <w:lang w:eastAsia="zh-CN"/>
        </w:rPr>
        <w:t>甲方向乙方支付合同总额的</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single"/>
          <w:lang w:eastAsia="zh-CN"/>
        </w:rPr>
        <w:t>%；完成规划文本（初稿），甲方向乙方支付合同总额的</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single"/>
          <w:lang w:eastAsia="zh-CN"/>
        </w:rPr>
        <w:t>%；规划文本通过审议</w:t>
      </w:r>
      <w:r>
        <w:rPr>
          <w:rFonts w:hint="eastAsia" w:ascii="仿宋" w:hAnsi="仿宋" w:eastAsia="仿宋" w:cs="仿宋"/>
          <w:snapToGrid/>
          <w:color w:val="auto"/>
          <w:kern w:val="2"/>
          <w:sz w:val="28"/>
          <w:szCs w:val="28"/>
          <w:highlight w:val="none"/>
          <w:u w:val="single"/>
          <w:lang w:val="en-US" w:eastAsia="zh-CN"/>
        </w:rPr>
        <w:t>后</w:t>
      </w:r>
      <w:r>
        <w:rPr>
          <w:rFonts w:hint="eastAsia" w:ascii="仿宋" w:hAnsi="仿宋" w:eastAsia="仿宋" w:cs="仿宋"/>
          <w:snapToGrid/>
          <w:color w:val="auto"/>
          <w:kern w:val="2"/>
          <w:sz w:val="28"/>
          <w:szCs w:val="28"/>
          <w:highlight w:val="none"/>
          <w:u w:val="single"/>
          <w:lang w:eastAsia="zh-CN"/>
        </w:rPr>
        <w:t>付清</w:t>
      </w:r>
      <w:r>
        <w:rPr>
          <w:rFonts w:hint="eastAsia" w:ascii="仿宋" w:hAnsi="仿宋" w:eastAsia="仿宋" w:cs="仿宋"/>
          <w:snapToGrid/>
          <w:color w:val="auto"/>
          <w:kern w:val="2"/>
          <w:sz w:val="28"/>
          <w:szCs w:val="28"/>
          <w:highlight w:val="none"/>
          <w:u w:val="single"/>
          <w:lang w:val="en-US" w:eastAsia="zh-CN"/>
        </w:rPr>
        <w:t>剩余40</w:t>
      </w:r>
      <w:r>
        <w:rPr>
          <w:rFonts w:hint="eastAsia" w:ascii="仿宋" w:hAnsi="仿宋" w:eastAsia="仿宋" w:cs="仿宋"/>
          <w:snapToGrid/>
          <w:color w:val="auto"/>
          <w:kern w:val="2"/>
          <w:sz w:val="28"/>
          <w:szCs w:val="28"/>
          <w:highlight w:val="none"/>
          <w:u w:val="single"/>
          <w:lang w:eastAsia="zh-CN"/>
        </w:rPr>
        <w:t>%。</w:t>
      </w:r>
    </w:p>
    <w:p w14:paraId="013AA3A3">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甲</w:t>
      </w:r>
      <w:r>
        <w:rPr>
          <w:rFonts w:hint="eastAsia" w:ascii="仿宋" w:hAnsi="仿宋" w:eastAsia="仿宋" w:cs="仿宋"/>
          <w:snapToGrid/>
          <w:color w:val="auto"/>
          <w:kern w:val="2"/>
          <w:sz w:val="28"/>
          <w:szCs w:val="28"/>
          <w:highlight w:val="none"/>
          <w:lang w:eastAsia="zh-CN"/>
        </w:rPr>
        <w:t>方开户银行名称、地址和账号为：</w:t>
      </w:r>
    </w:p>
    <w:p w14:paraId="4AD2F159">
      <w:pPr>
        <w:keepNext w:val="0"/>
        <w:keepLines w:val="0"/>
        <w:pageBreakBefore w:val="0"/>
        <w:widowControl w:val="0"/>
        <w:kinsoku/>
        <w:wordWrap/>
        <w:overflowPunct w:val="0"/>
        <w:topLinePunct w:val="0"/>
        <w:autoSpaceDE/>
        <w:autoSpaceDN/>
        <w:bidi w:val="0"/>
        <w:adjustRightInd/>
        <w:snapToGrid/>
        <w:spacing w:line="360" w:lineRule="auto"/>
        <w:ind w:left="1990" w:leftChars="260" w:right="143" w:rightChars="68" w:hanging="1444" w:hangingChars="51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单位名称：</w:t>
      </w:r>
      <w:r>
        <w:rPr>
          <w:rFonts w:hint="eastAsia" w:ascii="仿宋" w:hAnsi="仿宋" w:eastAsia="仿宋" w:cs="仿宋"/>
          <w:bCs/>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p>
    <w:p w14:paraId="006CE5E5">
      <w:pPr>
        <w:keepNext w:val="0"/>
        <w:keepLines w:val="0"/>
        <w:pageBreakBefore w:val="0"/>
        <w:widowControl w:val="0"/>
        <w:kinsoku/>
        <w:wordWrap/>
        <w:overflowPunct w:val="0"/>
        <w:topLinePunct w:val="0"/>
        <w:autoSpaceDE/>
        <w:autoSpaceDN/>
        <w:bidi w:val="0"/>
        <w:adjustRightInd/>
        <w:snapToGrid/>
        <w:spacing w:line="360" w:lineRule="auto"/>
        <w:ind w:left="1990" w:leftChars="260" w:right="143" w:rightChars="68" w:hanging="1444" w:hangingChars="51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税    号：</w:t>
      </w:r>
      <w:r>
        <w:rPr>
          <w:rFonts w:hint="eastAsia" w:ascii="仿宋" w:hAnsi="仿宋" w:eastAsia="仿宋" w:cs="仿宋"/>
          <w:bCs/>
          <w:snapToGrid/>
          <w:color w:val="auto"/>
          <w:kern w:val="2"/>
          <w:sz w:val="28"/>
          <w:szCs w:val="28"/>
          <w:highlight w:val="none"/>
          <w:u w:val="single"/>
          <w:lang w:val="en-US" w:eastAsia="zh-CN"/>
        </w:rPr>
        <w:t xml:space="preserve">                                           </w:t>
      </w:r>
    </w:p>
    <w:p w14:paraId="5AE546B4">
      <w:pPr>
        <w:keepNext w:val="0"/>
        <w:keepLines w:val="0"/>
        <w:pageBreakBefore w:val="0"/>
        <w:widowControl w:val="0"/>
        <w:tabs>
          <w:tab w:val="left" w:pos="840"/>
          <w:tab w:val="left" w:pos="8100"/>
        </w:tabs>
        <w:kinsoku/>
        <w:wordWrap/>
        <w:overflowPunct w:val="0"/>
        <w:topLinePunct w:val="0"/>
        <w:autoSpaceDE/>
        <w:autoSpaceDN/>
        <w:bidi w:val="0"/>
        <w:adjustRightInd/>
        <w:snapToGrid/>
        <w:spacing w:line="360" w:lineRule="auto"/>
        <w:ind w:left="2115" w:leftChars="266" w:hanging="1556" w:hangingChars="55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单位地址：</w:t>
      </w:r>
      <w:r>
        <w:rPr>
          <w:rFonts w:hint="eastAsia" w:ascii="仿宋" w:hAnsi="仿宋" w:eastAsia="仿宋" w:cs="仿宋"/>
          <w:bCs/>
          <w:snapToGrid/>
          <w:color w:val="auto"/>
          <w:kern w:val="2"/>
          <w:sz w:val="28"/>
          <w:szCs w:val="28"/>
          <w:highlight w:val="none"/>
          <w:u w:val="single"/>
          <w:lang w:val="en-US" w:eastAsia="zh-CN"/>
        </w:rPr>
        <w:t xml:space="preserve">                                           </w:t>
      </w:r>
    </w:p>
    <w:p w14:paraId="473FE52C">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开户银行：</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bCs/>
          <w:snapToGrid/>
          <w:color w:val="auto"/>
          <w:kern w:val="2"/>
          <w:sz w:val="28"/>
          <w:szCs w:val="28"/>
          <w:highlight w:val="none"/>
          <w:u w:val="single"/>
          <w:lang w:val="en-US" w:eastAsia="zh-CN"/>
        </w:rPr>
        <w:t xml:space="preserve">                                          </w:t>
      </w:r>
    </w:p>
    <w:p w14:paraId="75CB5DA5">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val="en-US" w:eastAsia="zh-CN"/>
        </w:rPr>
        <w:t>账    号：</w:t>
      </w:r>
      <w:r>
        <w:rPr>
          <w:rFonts w:hint="eastAsia" w:ascii="仿宋" w:hAnsi="仿宋" w:eastAsia="仿宋" w:cs="仿宋"/>
          <w:bCs/>
          <w:snapToGrid/>
          <w:color w:val="auto"/>
          <w:kern w:val="2"/>
          <w:sz w:val="28"/>
          <w:szCs w:val="28"/>
          <w:highlight w:val="none"/>
          <w:u w:val="single"/>
          <w:lang w:val="en-US" w:eastAsia="zh-CN"/>
        </w:rPr>
        <w:t xml:space="preserve">                                           </w:t>
      </w:r>
    </w:p>
    <w:p w14:paraId="025FF570">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乙方开户银行名称、地址和账号为：</w:t>
      </w:r>
    </w:p>
    <w:p w14:paraId="25639002">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开户银行：</w:t>
      </w:r>
      <w:r>
        <w:rPr>
          <w:rFonts w:hint="eastAsia" w:ascii="仿宋" w:hAnsi="仿宋" w:eastAsia="仿宋" w:cs="仿宋"/>
          <w:snapToGrid/>
          <w:color w:val="auto"/>
          <w:kern w:val="2"/>
          <w:sz w:val="28"/>
          <w:szCs w:val="28"/>
          <w:highlight w:val="none"/>
          <w:u w:val="single"/>
          <w:lang w:val="en-US" w:eastAsia="zh-CN"/>
        </w:rPr>
        <w:t xml:space="preserve">                                           </w:t>
      </w:r>
    </w:p>
    <w:p w14:paraId="1651622A">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default"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地    址：</w:t>
      </w:r>
      <w:r>
        <w:rPr>
          <w:rFonts w:hint="eastAsia" w:ascii="仿宋" w:hAnsi="仿宋" w:eastAsia="仿宋" w:cs="仿宋"/>
          <w:snapToGrid/>
          <w:color w:val="auto"/>
          <w:kern w:val="2"/>
          <w:sz w:val="28"/>
          <w:szCs w:val="28"/>
          <w:highlight w:val="none"/>
          <w:u w:val="single"/>
          <w:lang w:val="en-US" w:eastAsia="zh-CN"/>
        </w:rPr>
        <w:t xml:space="preserve">                                           </w:t>
      </w:r>
    </w:p>
    <w:p w14:paraId="01CC89BD">
      <w:pPr>
        <w:keepNext w:val="0"/>
        <w:keepLines w:val="0"/>
        <w:pageBreakBefore w:val="0"/>
        <w:widowControl w:val="0"/>
        <w:kinsoku/>
        <w:wordWrap/>
        <w:overflowPunct w:val="0"/>
        <w:topLinePunct w:val="0"/>
        <w:autoSpaceDE/>
        <w:autoSpaceDN/>
        <w:bidi w:val="0"/>
        <w:adjustRightInd/>
        <w:snapToGrid/>
        <w:spacing w:line="360" w:lineRule="auto"/>
        <w:ind w:right="143" w:rightChars="68" w:firstLine="548" w:firstLineChars="196"/>
        <w:jc w:val="both"/>
        <w:textAlignment w:val="auto"/>
        <w:rPr>
          <w:rFonts w:hint="eastAsia" w:ascii="仿宋" w:hAnsi="仿宋" w:eastAsia="仿宋" w:cs="仿宋"/>
          <w:snapToGrid/>
          <w:color w:val="auto"/>
          <w:kern w:val="2"/>
          <w:sz w:val="28"/>
          <w:szCs w:val="28"/>
          <w:highlight w:val="none"/>
          <w:u w:val="single"/>
          <w:lang w:val="en-US" w:eastAsia="zh-CN"/>
        </w:rPr>
      </w:pPr>
      <w:r>
        <w:rPr>
          <w:rFonts w:hint="eastAsia" w:ascii="仿宋" w:hAnsi="仿宋" w:eastAsia="仿宋" w:cs="仿宋"/>
          <w:snapToGrid/>
          <w:color w:val="auto"/>
          <w:kern w:val="2"/>
          <w:sz w:val="28"/>
          <w:szCs w:val="28"/>
          <w:highlight w:val="none"/>
          <w:lang w:val="en-US" w:eastAsia="zh-CN"/>
        </w:rPr>
        <w:t>账    号：</w:t>
      </w:r>
      <w:r>
        <w:rPr>
          <w:rFonts w:hint="eastAsia" w:ascii="仿宋" w:hAnsi="仿宋" w:eastAsia="仿宋" w:cs="仿宋"/>
          <w:snapToGrid/>
          <w:color w:val="auto"/>
          <w:kern w:val="2"/>
          <w:sz w:val="28"/>
          <w:szCs w:val="28"/>
          <w:highlight w:val="none"/>
          <w:u w:val="single"/>
          <w:lang w:val="en-US" w:eastAsia="zh-CN"/>
        </w:rPr>
        <w:t xml:space="preserve">                                           </w:t>
      </w:r>
    </w:p>
    <w:p w14:paraId="498E5BC0">
      <w:pPr>
        <w:keepNext w:val="0"/>
        <w:keepLines w:val="0"/>
        <w:pageBreakBefore w:val="0"/>
        <w:widowControl w:val="0"/>
        <w:kinsoku/>
        <w:wordWrap/>
        <w:overflowPunct w:val="0"/>
        <w:topLinePunct w:val="0"/>
        <w:autoSpaceDE/>
        <w:autoSpaceDN/>
        <w:bidi w:val="0"/>
        <w:adjustRightInd/>
        <w:snapToGrid/>
        <w:spacing w:line="360" w:lineRule="auto"/>
        <w:ind w:right="38" w:rightChars="18" w:firstLine="562" w:firstLineChars="200"/>
        <w:jc w:val="both"/>
        <w:textAlignment w:val="auto"/>
        <w:outlineLvl w:val="0"/>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五、双方责任</w:t>
      </w:r>
    </w:p>
    <w:p w14:paraId="556C1C4F">
      <w:pPr>
        <w:keepNext w:val="0"/>
        <w:keepLines w:val="0"/>
        <w:pageBreakBefore w:val="0"/>
        <w:widowControl w:val="0"/>
        <w:kinsoku/>
        <w:wordWrap/>
        <w:overflowPunct w:val="0"/>
        <w:topLinePunct w:val="0"/>
        <w:autoSpaceDE/>
        <w:autoSpaceDN/>
        <w:bidi w:val="0"/>
        <w:adjustRightInd/>
        <w:snapToGrid/>
        <w:spacing w:line="360" w:lineRule="auto"/>
        <w:ind w:firstLine="562" w:firstLineChars="200"/>
        <w:jc w:val="both"/>
        <w:textAlignment w:val="auto"/>
        <w:rPr>
          <w:rFonts w:hint="eastAsia" w:ascii="仿宋" w:hAnsi="仿宋" w:eastAsia="仿宋" w:cs="仿宋"/>
          <w:b/>
          <w:snapToGrid/>
          <w:color w:val="auto"/>
          <w:kern w:val="2"/>
          <w:sz w:val="28"/>
          <w:szCs w:val="28"/>
          <w:highlight w:val="none"/>
          <w:lang w:eastAsia="zh-CN"/>
        </w:rPr>
      </w:pPr>
      <w:r>
        <w:rPr>
          <w:rFonts w:hint="eastAsia" w:ascii="仿宋" w:hAnsi="仿宋" w:eastAsia="仿宋" w:cs="仿宋"/>
          <w:b/>
          <w:snapToGrid/>
          <w:color w:val="auto"/>
          <w:kern w:val="2"/>
          <w:sz w:val="28"/>
          <w:szCs w:val="28"/>
          <w:highlight w:val="none"/>
          <w:lang w:eastAsia="zh-CN"/>
        </w:rPr>
        <w:t>（一）乙方责任</w:t>
      </w:r>
    </w:p>
    <w:p w14:paraId="5CD0F443">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1.乙方于甲方支付技术咨询服务报酬之日起根据甲方提供的有效资料，遵循实事求是、客观公正的原则开展技术咨询服务，以维护双方的合法权益。</w:t>
      </w:r>
      <w:r>
        <w:rPr>
          <w:rFonts w:hint="eastAsia" w:ascii="仿宋" w:hAnsi="仿宋" w:eastAsia="仿宋" w:cs="仿宋"/>
          <w:b w:val="0"/>
          <w:i w:val="0"/>
          <w:strike w:val="0"/>
          <w:snapToGrid/>
          <w:color w:val="auto"/>
          <w:kern w:val="2"/>
          <w:sz w:val="28"/>
          <w:szCs w:val="28"/>
          <w:highlight w:val="none"/>
          <w:u w:val="none"/>
          <w:lang w:eastAsia="zh-CN"/>
        </w:rPr>
        <w:t>乙方在合同执行过程中应保持定期沟通与更新，向甲方报告工作进展，接受甲方的监督和指导，并积极响应甲方的合理要求和建议。</w:t>
      </w:r>
    </w:p>
    <w:p w14:paraId="2761D7D9">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2.乙方在本合同约定的期限内完成技术咨询服务业务并提交正式文本。乙方若未能在约定期限内提交规划报告的初稿或终稿，应每逾期一日向甲方支付合同总金额</w:t>
      </w:r>
      <w:r>
        <w:rPr>
          <w:rFonts w:hint="default" w:ascii="仿宋" w:hAnsi="仿宋" w:eastAsia="仿宋" w:cs="仿宋"/>
          <w:snapToGrid/>
          <w:color w:val="auto"/>
          <w:kern w:val="2"/>
          <w:sz w:val="28"/>
          <w:szCs w:val="28"/>
          <w:highlight w:val="none"/>
          <w:u w:val="single"/>
          <w:lang w:eastAsia="zh-CN"/>
        </w:rPr>
        <w:t>0.</w:t>
      </w:r>
      <w:r>
        <w:rPr>
          <w:rFonts w:hint="eastAsia" w:ascii="仿宋" w:hAnsi="仿宋" w:eastAsia="仿宋" w:cs="仿宋"/>
          <w:snapToGrid/>
          <w:color w:val="auto"/>
          <w:kern w:val="2"/>
          <w:sz w:val="28"/>
          <w:szCs w:val="28"/>
          <w:highlight w:val="none"/>
          <w:u w:val="single"/>
          <w:lang w:val="en-US" w:eastAsia="zh-CN"/>
        </w:rPr>
        <w:t>3</w:t>
      </w:r>
      <w:r>
        <w:rPr>
          <w:rFonts w:hint="default" w:ascii="仿宋" w:hAnsi="仿宋" w:eastAsia="仿宋" w:cs="仿宋"/>
          <w:snapToGrid/>
          <w:color w:val="auto"/>
          <w:kern w:val="2"/>
          <w:sz w:val="28"/>
          <w:szCs w:val="28"/>
          <w:highlight w:val="none"/>
          <w:u w:val="single"/>
          <w:lang w:eastAsia="zh-CN"/>
        </w:rPr>
        <w:t>‰</w:t>
      </w:r>
      <w:r>
        <w:rPr>
          <w:rFonts w:hint="eastAsia" w:ascii="仿宋" w:hAnsi="仿宋" w:eastAsia="仿宋" w:cs="仿宋"/>
          <w:snapToGrid/>
          <w:color w:val="auto"/>
          <w:kern w:val="2"/>
          <w:sz w:val="28"/>
          <w:szCs w:val="28"/>
          <w:highlight w:val="none"/>
          <w:lang w:eastAsia="zh-CN"/>
        </w:rPr>
        <w:t>的违约金；逾期履行超过</w:t>
      </w:r>
      <w:r>
        <w:rPr>
          <w:rFonts w:hint="eastAsia" w:ascii="仿宋" w:hAnsi="仿宋" w:eastAsia="仿宋" w:cs="仿宋"/>
          <w:snapToGrid/>
          <w:color w:val="auto"/>
          <w:kern w:val="2"/>
          <w:sz w:val="28"/>
          <w:szCs w:val="28"/>
          <w:highlight w:val="none"/>
          <w:lang w:val="en-US" w:eastAsia="zh-CN"/>
        </w:rPr>
        <w:t>30</w:t>
      </w:r>
      <w:r>
        <w:rPr>
          <w:rFonts w:hint="eastAsia" w:ascii="仿宋" w:hAnsi="仿宋" w:eastAsia="仿宋" w:cs="仿宋"/>
          <w:snapToGrid/>
          <w:color w:val="auto"/>
          <w:kern w:val="2"/>
          <w:sz w:val="28"/>
          <w:szCs w:val="28"/>
          <w:highlight w:val="none"/>
          <w:lang w:eastAsia="zh-CN"/>
        </w:rPr>
        <w:t>日，甲方有权解除合同，并要求乙方按照合同总金额</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lang w:eastAsia="zh-CN"/>
        </w:rPr>
        <w:t>%支付违约金。若违约金不足以弥补甲方实际损失，乙方仍应补足差额。</w:t>
      </w:r>
    </w:p>
    <w:p w14:paraId="19634903">
      <w:pPr>
        <w:keepNext w:val="0"/>
        <w:keepLines w:val="0"/>
        <w:pageBreakBefore w:val="0"/>
        <w:widowControl w:val="0"/>
        <w:kinsoku/>
        <w:wordWrap/>
        <w:overflowPunct w:val="0"/>
        <w:topLinePunct w:val="0"/>
        <w:autoSpaceDE/>
        <w:autoSpaceDN/>
        <w:bidi w:val="0"/>
        <w:adjustRightInd/>
        <w:snapToGrid/>
        <w:spacing w:line="360" w:lineRule="auto"/>
        <w:ind w:firstLine="562" w:firstLineChars="200"/>
        <w:jc w:val="both"/>
        <w:textAlignment w:val="auto"/>
        <w:rPr>
          <w:rFonts w:hint="eastAsia" w:ascii="仿宋" w:hAnsi="仿宋" w:eastAsia="仿宋" w:cs="仿宋"/>
          <w:b/>
          <w:snapToGrid/>
          <w:color w:val="auto"/>
          <w:kern w:val="2"/>
          <w:sz w:val="28"/>
          <w:szCs w:val="28"/>
          <w:highlight w:val="none"/>
          <w:lang w:eastAsia="zh-CN"/>
        </w:rPr>
      </w:pPr>
      <w:r>
        <w:rPr>
          <w:rFonts w:hint="eastAsia" w:ascii="仿宋" w:hAnsi="仿宋" w:eastAsia="仿宋" w:cs="仿宋"/>
          <w:b/>
          <w:snapToGrid/>
          <w:color w:val="auto"/>
          <w:kern w:val="2"/>
          <w:sz w:val="28"/>
          <w:szCs w:val="28"/>
          <w:highlight w:val="none"/>
          <w:lang w:eastAsia="zh-CN"/>
        </w:rPr>
        <w:t>（二）甲方责任</w:t>
      </w:r>
    </w:p>
    <w:p w14:paraId="526A090A">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1.甲方按本合同约定及时足额支付技术咨询服务报酬。</w:t>
      </w:r>
    </w:p>
    <w:p w14:paraId="487333AD">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2.甲方按照合同约定按时提供乙方所需的各类资料。</w:t>
      </w:r>
    </w:p>
    <w:p w14:paraId="4654F41C">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3.甲方负责本技术咨询服务的评审验收工作和相关费用。</w:t>
      </w:r>
    </w:p>
    <w:p w14:paraId="66563523">
      <w:pPr>
        <w:keepNext w:val="0"/>
        <w:keepLines w:val="0"/>
        <w:pageBreakBefore w:val="0"/>
        <w:widowControl w:val="0"/>
        <w:kinsoku/>
        <w:wordWrap/>
        <w:overflowPunct w:val="0"/>
        <w:topLinePunct w:val="0"/>
        <w:autoSpaceDE/>
        <w:autoSpaceDN/>
        <w:bidi w:val="0"/>
        <w:adjustRightInd/>
        <w:snapToGrid/>
        <w:spacing w:line="360" w:lineRule="auto"/>
        <w:ind w:firstLine="56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六、保密条款</w:t>
      </w:r>
    </w:p>
    <w:p w14:paraId="10FE6C39">
      <w:pPr>
        <w:keepNext w:val="0"/>
        <w:keepLines w:val="0"/>
        <w:pageBreakBefore w:val="0"/>
        <w:widowControl w:val="0"/>
        <w:kinsoku/>
        <w:wordWrap/>
        <w:overflowPunct w:val="0"/>
        <w:topLinePunct w:val="0"/>
        <w:autoSpaceDE/>
        <w:autoSpaceDN/>
        <w:bidi w:val="0"/>
        <w:adjustRightInd/>
        <w:snapToGrid/>
        <w:spacing w:line="360" w:lineRule="auto"/>
        <w:ind w:firstLine="48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双方约定与研究有关的任何含有商业秘密或保密信息的资料，未经资料提供方书面许可，不得向第三方泄露。乙方违反保密义务，应当向甲方支付合同总额10%作为违约金，且必须赔偿因违反保密义务给甲方带来的全部直接和间接损失。</w:t>
      </w:r>
    </w:p>
    <w:p w14:paraId="4167FFDA">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highlight w:val="none"/>
          <w:u w:val="none"/>
          <w:lang w:eastAsia="zh-CN"/>
        </w:rPr>
      </w:pPr>
      <w:r>
        <w:rPr>
          <w:rFonts w:hint="eastAsia" w:ascii="仿宋" w:hAnsi="仿宋" w:eastAsia="仿宋" w:cs="仿宋"/>
          <w:snapToGrid/>
          <w:color w:val="auto"/>
          <w:kern w:val="2"/>
          <w:sz w:val="28"/>
          <w:szCs w:val="28"/>
          <w:highlight w:val="none"/>
          <w:lang w:eastAsia="zh-CN"/>
        </w:rPr>
        <w:t>以上未尽事宜，双方协商解决。</w:t>
      </w:r>
      <w:r>
        <w:rPr>
          <w:rFonts w:hint="eastAsia" w:ascii="仿宋" w:hAnsi="仿宋" w:eastAsia="仿宋" w:cs="仿宋"/>
          <w:b w:val="0"/>
          <w:i w:val="0"/>
          <w:strike w:val="0"/>
          <w:snapToGrid/>
          <w:color w:val="auto"/>
          <w:kern w:val="2"/>
          <w:sz w:val="28"/>
          <w:szCs w:val="28"/>
          <w:highlight w:val="none"/>
          <w:u w:val="none"/>
          <w:lang w:eastAsia="zh-CN"/>
        </w:rPr>
        <w:t>协商不成的，甲方</w:t>
      </w:r>
      <w:r>
        <w:rPr>
          <w:rFonts w:hint="eastAsia" w:ascii="仿宋" w:hAnsi="仿宋" w:eastAsia="仿宋" w:cs="仿宋"/>
          <w:b w:val="0"/>
          <w:i w:val="0"/>
          <w:strike w:val="0"/>
          <w:snapToGrid/>
          <w:color w:val="auto"/>
          <w:kern w:val="2"/>
          <w:sz w:val="28"/>
          <w:szCs w:val="28"/>
          <w:highlight w:val="none"/>
          <w:u w:val="none"/>
          <w:lang w:val="en-US" w:eastAsia="zh-CN"/>
        </w:rPr>
        <w:t>可</w:t>
      </w:r>
      <w:r>
        <w:rPr>
          <w:rFonts w:hint="eastAsia" w:ascii="仿宋" w:hAnsi="仿宋" w:eastAsia="仿宋" w:cs="仿宋"/>
          <w:b w:val="0"/>
          <w:i w:val="0"/>
          <w:strike w:val="0"/>
          <w:snapToGrid/>
          <w:color w:val="auto"/>
          <w:kern w:val="2"/>
          <w:sz w:val="28"/>
          <w:szCs w:val="28"/>
          <w:highlight w:val="none"/>
          <w:u w:val="none"/>
          <w:lang w:eastAsia="zh-CN"/>
        </w:rPr>
        <w:t>选择以下方式解决：</w:t>
      </w:r>
    </w:p>
    <w:p w14:paraId="302182E1">
      <w:pPr>
        <w:keepNext w:val="0"/>
        <w:keepLines w:val="0"/>
        <w:pageBreakBefore w:val="0"/>
        <w:widowControl w:val="0"/>
        <w:numPr>
          <w:ilvl w:val="-1"/>
          <w:numId w:val="0"/>
        </w:numPr>
        <w:kinsoku/>
        <w:wordWrap/>
        <w:overflowPunct w:val="0"/>
        <w:topLinePunct w:val="0"/>
        <w:autoSpaceDE/>
        <w:autoSpaceDN/>
        <w:bidi w:val="0"/>
        <w:adjustRightInd/>
        <w:snapToGrid/>
        <w:spacing w:line="360" w:lineRule="auto"/>
        <w:ind w:left="0" w:leftChars="0" w:firstLine="420" w:firstLineChars="150"/>
        <w:jc w:val="both"/>
        <w:textAlignment w:val="auto"/>
        <w:rPr>
          <w:rFonts w:hint="eastAsia" w:ascii="仿宋" w:hAnsi="仿宋" w:eastAsia="仿宋" w:cs="仿宋"/>
          <w:b w:val="0"/>
          <w:i w:val="0"/>
          <w:strike w:val="0"/>
          <w:snapToGrid/>
          <w:color w:val="auto"/>
          <w:kern w:val="2"/>
          <w:sz w:val="28"/>
          <w:szCs w:val="28"/>
          <w:highlight w:val="none"/>
          <w:u w:val="none"/>
          <w:lang w:eastAsia="zh-CN"/>
        </w:rPr>
      </w:pPr>
      <w:r>
        <w:rPr>
          <w:rFonts w:hint="eastAsia" w:ascii="仿宋" w:hAnsi="仿宋" w:eastAsia="仿宋" w:cs="仿宋"/>
          <w:b w:val="0"/>
          <w:i w:val="0"/>
          <w:strike w:val="0"/>
          <w:snapToGrid/>
          <w:color w:val="auto"/>
          <w:kern w:val="2"/>
          <w:sz w:val="28"/>
          <w:szCs w:val="28"/>
          <w:highlight w:val="none"/>
          <w:u w:val="none"/>
          <w:lang w:eastAsia="zh-CN"/>
        </w:rPr>
        <w:t>（1）依法向</w:t>
      </w:r>
      <w:r>
        <w:rPr>
          <w:rFonts w:hint="eastAsia" w:ascii="仿宋" w:hAnsi="仿宋" w:eastAsia="仿宋" w:cs="仿宋"/>
          <w:b w:val="0"/>
          <w:i w:val="0"/>
          <w:strike w:val="0"/>
          <w:snapToGrid/>
          <w:color w:val="auto"/>
          <w:kern w:val="2"/>
          <w:sz w:val="28"/>
          <w:szCs w:val="28"/>
          <w:highlight w:val="none"/>
          <w:u w:val="none"/>
          <w:lang w:val="en-US" w:eastAsia="zh-CN"/>
        </w:rPr>
        <w:t>甲方所在地</w:t>
      </w:r>
      <w:r>
        <w:rPr>
          <w:rFonts w:hint="eastAsia" w:ascii="仿宋" w:hAnsi="仿宋" w:eastAsia="仿宋" w:cs="仿宋"/>
          <w:b w:val="0"/>
          <w:i w:val="0"/>
          <w:strike w:val="0"/>
          <w:snapToGrid/>
          <w:color w:val="auto"/>
          <w:kern w:val="2"/>
          <w:sz w:val="28"/>
          <w:szCs w:val="28"/>
          <w:highlight w:val="none"/>
          <w:u w:val="none"/>
          <w:lang w:eastAsia="zh-CN"/>
        </w:rPr>
        <w:t>人民法院起诉；</w:t>
      </w:r>
    </w:p>
    <w:p w14:paraId="62F1145E">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highlight w:val="none"/>
          <w:u w:val="none"/>
          <w:lang w:eastAsia="zh-CN"/>
        </w:rPr>
      </w:pPr>
      <w:r>
        <w:rPr>
          <w:rFonts w:hint="eastAsia" w:ascii="仿宋" w:hAnsi="仿宋" w:eastAsia="仿宋" w:cs="仿宋"/>
          <w:b w:val="0"/>
          <w:i w:val="0"/>
          <w:strike w:val="0"/>
          <w:snapToGrid/>
          <w:color w:val="auto"/>
          <w:kern w:val="2"/>
          <w:sz w:val="28"/>
          <w:szCs w:val="28"/>
          <w:highlight w:val="none"/>
          <w:u w:val="none"/>
          <w:lang w:eastAsia="zh-CN"/>
        </w:rPr>
        <w:t>双方合同载明的地址是对方邮寄文件、法院送达法律文书的有效送达地址，上述材料以邮寄文件签收日或自寄出之日起第三日视为送达日。如一方地址、电话、传真号码有变更，应在变更当日内书面通知对方，否则根据合同载明的地址按照前述方式进行送达仍视为有效送达。</w:t>
      </w:r>
    </w:p>
    <w:p w14:paraId="4C5C7BCE">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firstLine="480"/>
        <w:jc w:val="both"/>
        <w:textAlignment w:val="auto"/>
        <w:rPr>
          <w:rFonts w:hint="eastAsia" w:ascii="仿宋" w:hAnsi="仿宋" w:eastAsia="仿宋" w:cs="仿宋"/>
          <w:b w:val="0"/>
          <w:i w:val="0"/>
          <w:strike w:val="0"/>
          <w:snapToGrid/>
          <w:color w:val="auto"/>
          <w:kern w:val="2"/>
          <w:sz w:val="28"/>
          <w:szCs w:val="28"/>
          <w:highlight w:val="none"/>
          <w:u w:val="none"/>
          <w:lang w:eastAsia="zh-CN"/>
        </w:rPr>
      </w:pPr>
      <w:r>
        <w:rPr>
          <w:rFonts w:hint="eastAsia" w:ascii="仿宋" w:hAnsi="仿宋" w:eastAsia="仿宋" w:cs="仿宋"/>
          <w:b w:val="0"/>
          <w:i w:val="0"/>
          <w:strike w:val="0"/>
          <w:snapToGrid/>
          <w:color w:val="auto"/>
          <w:kern w:val="2"/>
          <w:sz w:val="28"/>
          <w:szCs w:val="28"/>
          <w:highlight w:val="none"/>
          <w:u w:val="none"/>
          <w:lang w:eastAsia="zh-CN"/>
        </w:rPr>
        <w:t>因不可抗力（包含政策原因）而不能履行或不能完全履行本协议时，受到不可抗力影响的一方可以免除违约责任，但该方应当立即以书面形式通知对方，并采取有效措施避免损失扩大。甲乙双方根据不可抗力对履行本协议的影响程度，协商确定部分履行、延期履行或解除合同。</w:t>
      </w:r>
    </w:p>
    <w:p w14:paraId="003D3167">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十、</w:t>
      </w:r>
      <w:r>
        <w:rPr>
          <w:rFonts w:hint="eastAsia" w:ascii="仿宋" w:hAnsi="仿宋" w:eastAsia="仿宋" w:cs="仿宋"/>
          <w:snapToGrid/>
          <w:color w:val="auto"/>
          <w:kern w:val="2"/>
          <w:sz w:val="28"/>
          <w:szCs w:val="28"/>
          <w:highlight w:val="none"/>
          <w:lang w:eastAsia="zh-CN"/>
        </w:rPr>
        <w:t>本合同一式</w:t>
      </w:r>
      <w:r>
        <w:rPr>
          <w:rFonts w:hint="eastAsia" w:ascii="仿宋" w:hAnsi="仿宋" w:eastAsia="仿宋" w:cs="仿宋"/>
          <w:snapToGrid/>
          <w:color w:val="auto"/>
          <w:kern w:val="2"/>
          <w:sz w:val="28"/>
          <w:szCs w:val="28"/>
          <w:highlight w:val="none"/>
          <w:u w:val="single"/>
          <w:lang w:eastAsia="zh-CN"/>
        </w:rPr>
        <w:t>6</w:t>
      </w:r>
      <w:r>
        <w:rPr>
          <w:rFonts w:hint="eastAsia" w:ascii="仿宋" w:hAnsi="仿宋" w:eastAsia="仿宋" w:cs="仿宋"/>
          <w:snapToGrid/>
          <w:color w:val="auto"/>
          <w:kern w:val="2"/>
          <w:sz w:val="28"/>
          <w:szCs w:val="28"/>
          <w:highlight w:val="none"/>
          <w:lang w:eastAsia="zh-CN"/>
        </w:rPr>
        <w:t>份，双方各执</w:t>
      </w:r>
      <w:r>
        <w:rPr>
          <w:rFonts w:hint="eastAsia" w:ascii="仿宋" w:hAnsi="仿宋" w:eastAsia="仿宋" w:cs="仿宋"/>
          <w:snapToGrid/>
          <w:color w:val="auto"/>
          <w:kern w:val="2"/>
          <w:sz w:val="28"/>
          <w:szCs w:val="28"/>
          <w:highlight w:val="none"/>
          <w:u w:val="single"/>
          <w:lang w:eastAsia="zh-CN"/>
        </w:rPr>
        <w:t>3</w:t>
      </w:r>
      <w:r>
        <w:rPr>
          <w:rFonts w:hint="eastAsia" w:ascii="仿宋" w:hAnsi="仿宋" w:eastAsia="仿宋" w:cs="仿宋"/>
          <w:snapToGrid/>
          <w:color w:val="auto"/>
          <w:kern w:val="2"/>
          <w:sz w:val="28"/>
          <w:szCs w:val="28"/>
          <w:highlight w:val="none"/>
          <w:lang w:eastAsia="zh-CN"/>
        </w:rPr>
        <w:t>份。本合同经双方负责人签字、盖章后生效执行。</w:t>
      </w:r>
      <w:r>
        <w:rPr>
          <w:rFonts w:hint="eastAsia" w:ascii="仿宋" w:hAnsi="仿宋" w:eastAsia="仿宋" w:cs="仿宋"/>
          <w:b w:val="0"/>
          <w:i w:val="0"/>
          <w:strike w:val="0"/>
          <w:snapToGrid/>
          <w:color w:val="auto"/>
          <w:kern w:val="2"/>
          <w:sz w:val="28"/>
          <w:szCs w:val="28"/>
          <w:highlight w:val="none"/>
          <w:u w:val="none"/>
          <w:lang w:eastAsia="zh-CN"/>
        </w:rPr>
        <w:cr/>
      </w:r>
    </w:p>
    <w:p w14:paraId="73EF8C70">
      <w:pPr>
        <w:keepNext w:val="0"/>
        <w:keepLines w:val="0"/>
        <w:pageBreakBefore w:val="0"/>
        <w:widowControl w:val="0"/>
        <w:kinsoku/>
        <w:wordWrap/>
        <w:overflowPunct w:val="0"/>
        <w:topLinePunct w:val="0"/>
        <w:autoSpaceDE/>
        <w:autoSpaceDN/>
        <w:bidi w:val="0"/>
        <w:adjustRightInd/>
        <w:snapToGrid/>
        <w:spacing w:line="360" w:lineRule="auto"/>
        <w:ind w:left="6160" w:right="143" w:rightChars="68" w:hanging="6160" w:hangingChars="2200"/>
        <w:jc w:val="left"/>
        <w:textAlignment w:val="auto"/>
        <w:outlineLvl w:val="0"/>
        <w:rPr>
          <w:rFonts w:hint="eastAsia" w:ascii="仿宋" w:hAnsi="仿宋" w:eastAsia="仿宋" w:cs="仿宋"/>
          <w:b/>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甲 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（盖章）</w:t>
      </w:r>
    </w:p>
    <w:p w14:paraId="2208F7F6">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法定代表人/委托代理人：</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（签名）</w:t>
      </w:r>
    </w:p>
    <w:p w14:paraId="6D915E52">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20</w:t>
      </w:r>
      <w:r>
        <w:rPr>
          <w:rFonts w:hint="eastAsia" w:ascii="仿宋" w:hAnsi="仿宋" w:eastAsia="仿宋" w:cs="仿宋"/>
          <w:snapToGrid/>
          <w:color w:val="auto"/>
          <w:kern w:val="2"/>
          <w:sz w:val="28"/>
          <w:szCs w:val="28"/>
          <w:highlight w:val="none"/>
          <w:lang w:val="en-US" w:eastAsia="zh-CN"/>
        </w:rPr>
        <w:t>26</w:t>
      </w:r>
      <w:r>
        <w:rPr>
          <w:rFonts w:hint="eastAsia" w:ascii="仿宋" w:hAnsi="仿宋" w:eastAsia="仿宋" w:cs="仿宋"/>
          <w:snapToGrid/>
          <w:color w:val="auto"/>
          <w:kern w:val="2"/>
          <w:sz w:val="28"/>
          <w:szCs w:val="28"/>
          <w:highlight w:val="none"/>
          <w:lang w:eastAsia="zh-CN"/>
        </w:rPr>
        <w:t>年  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日</w:t>
      </w:r>
    </w:p>
    <w:p w14:paraId="1C16C326">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outlineLvl w:val="0"/>
        <w:rPr>
          <w:rFonts w:hint="eastAsia" w:ascii="仿宋" w:hAnsi="仿宋" w:eastAsia="仿宋" w:cs="仿宋"/>
          <w:b/>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乙 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（盖章）</w:t>
      </w:r>
    </w:p>
    <w:p w14:paraId="0A29C0F5">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法定代表人/委托代理人：</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（签名）</w:t>
      </w:r>
    </w:p>
    <w:p w14:paraId="7800B477">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20</w:t>
      </w:r>
      <w:r>
        <w:rPr>
          <w:rFonts w:hint="eastAsia" w:ascii="仿宋" w:hAnsi="仿宋" w:eastAsia="仿宋" w:cs="仿宋"/>
          <w:snapToGrid/>
          <w:color w:val="auto"/>
          <w:kern w:val="2"/>
          <w:sz w:val="28"/>
          <w:szCs w:val="28"/>
          <w:highlight w:val="none"/>
          <w:lang w:val="en-US" w:eastAsia="zh-CN"/>
        </w:rPr>
        <w:t>26</w:t>
      </w:r>
      <w:r>
        <w:rPr>
          <w:rFonts w:hint="eastAsia" w:ascii="仿宋" w:hAnsi="仿宋" w:eastAsia="仿宋" w:cs="仿宋"/>
          <w:snapToGrid/>
          <w:color w:val="auto"/>
          <w:kern w:val="2"/>
          <w:sz w:val="28"/>
          <w:szCs w:val="28"/>
          <w:highlight w:val="none"/>
          <w:lang w:eastAsia="zh-CN"/>
        </w:rPr>
        <w:t xml:space="preserve">年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月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26CD7E00">
      <w:pPr>
        <w:widowControl w:val="0"/>
        <w:tabs>
          <w:tab w:val="center" w:pos="4909"/>
        </w:tabs>
        <w:kinsoku/>
        <w:autoSpaceDE/>
        <w:autoSpaceDN/>
        <w:adjustRightInd/>
        <w:snapToGrid/>
        <w:spacing w:line="600" w:lineRule="exact"/>
        <w:jc w:val="left"/>
        <w:textAlignment w:val="auto"/>
        <w:rPr>
          <w:rFonts w:hint="eastAsia" w:ascii="宋体" w:hAnsi="宋体" w:eastAsia="宋体" w:cs="宋体"/>
          <w:snapToGrid/>
          <w:color w:val="auto"/>
          <w:spacing w:val="-3"/>
          <w:kern w:val="2"/>
          <w:sz w:val="24"/>
          <w:szCs w:val="24"/>
          <w:highlight w:val="none"/>
          <w:lang w:eastAsia="zh-CN"/>
        </w:rPr>
      </w:pPr>
    </w:p>
    <w:p w14:paraId="46EA8D8C">
      <w:pPr>
        <w:keepNext w:val="0"/>
        <w:keepLines w:val="0"/>
        <w:pageBreakBefore w:val="0"/>
        <w:widowControl w:val="0"/>
        <w:tabs>
          <w:tab w:val="center" w:pos="4909"/>
        </w:tabs>
        <w:kinsoku/>
        <w:wordWrap/>
        <w:overflowPunct/>
        <w:topLinePunct w:val="0"/>
        <w:bidi w:val="0"/>
        <w:spacing w:after="0" w:line="360" w:lineRule="auto"/>
        <w:ind w:firstLine="548" w:firstLineChars="200"/>
        <w:jc w:val="left"/>
        <w:textAlignment w:val="auto"/>
        <w:rPr>
          <w:rFonts w:hint="eastAsia" w:ascii="仿宋" w:hAnsi="仿宋" w:eastAsia="仿宋" w:cs="仿宋"/>
          <w:color w:val="auto"/>
          <w:spacing w:val="-3"/>
          <w:sz w:val="28"/>
          <w:szCs w:val="28"/>
          <w:highlight w:val="none"/>
          <w:lang w:val="en-US" w:eastAsia="zh-CN"/>
        </w:rPr>
      </w:pPr>
    </w:p>
    <w:p w14:paraId="74DABCFA">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49E34623">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16E21F3D">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1EC8FEDB">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6E47AD95">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45B1145D">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4323DE17">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13964431">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4587B8A4">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70B80B9B">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1ADC81D4">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2FBAF4F5">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6AFB0F87">
      <w:pPr>
        <w:spacing w:before="55" w:line="360" w:lineRule="auto"/>
        <w:ind w:left="-180" w:leftChars="-95" w:hanging="19"/>
        <w:jc w:val="center"/>
        <w:rPr>
          <w:rFonts w:hint="eastAsia" w:ascii="仿宋" w:hAnsi="仿宋" w:eastAsia="仿宋" w:cs="仿宋"/>
          <w:b/>
          <w:bCs/>
          <w:color w:val="auto"/>
          <w:spacing w:val="4"/>
          <w:sz w:val="48"/>
          <w:szCs w:val="48"/>
          <w:highlight w:val="none"/>
        </w:rPr>
      </w:pPr>
    </w:p>
    <w:p w14:paraId="5BDBE6D2">
      <w:pPr>
        <w:spacing w:after="158" w:afterLines="50" w:line="360" w:lineRule="auto"/>
        <w:jc w:val="center"/>
        <w:outlineLvl w:val="0"/>
        <w:rPr>
          <w:rFonts w:hint="eastAsia" w:ascii="仿宋" w:hAnsi="仿宋" w:eastAsia="仿宋" w:cs="仿宋"/>
          <w:b/>
          <w:bCs/>
          <w:color w:val="auto"/>
          <w:sz w:val="36"/>
          <w:szCs w:val="36"/>
          <w:highlight w:val="none"/>
        </w:rPr>
      </w:pPr>
      <w:bookmarkStart w:id="72" w:name="_Toc494455695"/>
      <w:bookmarkStart w:id="73" w:name="_Toc9546"/>
      <w:bookmarkStart w:id="74" w:name="_Toc24063"/>
      <w:bookmarkStart w:id="75" w:name="_Toc26430"/>
      <w:r>
        <w:rPr>
          <w:rFonts w:hint="eastAsia" w:ascii="仿宋" w:hAnsi="仿宋" w:eastAsia="仿宋" w:cs="仿宋"/>
          <w:b/>
          <w:bCs/>
          <w:color w:val="auto"/>
          <w:sz w:val="36"/>
          <w:szCs w:val="36"/>
          <w:highlight w:val="none"/>
        </w:rPr>
        <w:t>第六章</w:t>
      </w:r>
      <w:bookmarkEnd w:id="72"/>
      <w:r>
        <w:rPr>
          <w:rFonts w:hint="eastAsia" w:ascii="仿宋" w:hAnsi="仿宋" w:eastAsia="仿宋" w:cs="仿宋"/>
          <w:b/>
          <w:bCs/>
          <w:color w:val="auto"/>
          <w:sz w:val="36"/>
          <w:szCs w:val="36"/>
          <w:highlight w:val="none"/>
        </w:rPr>
        <w:t xml:space="preserve">  响应文件格式</w:t>
      </w:r>
      <w:bookmarkEnd w:id="73"/>
      <w:bookmarkEnd w:id="74"/>
      <w:bookmarkEnd w:id="75"/>
    </w:p>
    <w:p w14:paraId="3C71191A">
      <w:pPr>
        <w:spacing w:after="158" w:afterLines="50"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36"/>
          <w:szCs w:val="36"/>
          <w:highlight w:val="none"/>
        </w:rPr>
        <w:t>（响应文件标书封皮）</w:t>
      </w:r>
    </w:p>
    <w:p w14:paraId="657095EF">
      <w:pPr>
        <w:spacing w:line="360" w:lineRule="auto"/>
        <w:jc w:val="right"/>
        <w:rPr>
          <w:rFonts w:hint="eastAsia" w:ascii="仿宋" w:hAnsi="仿宋" w:eastAsia="仿宋" w:cs="仿宋"/>
          <w:color w:val="auto"/>
          <w:sz w:val="22"/>
          <w:szCs w:val="24"/>
          <w:highlight w:val="none"/>
        </w:rPr>
      </w:pPr>
      <w:r>
        <w:rPr>
          <w:rFonts w:hint="eastAsia" w:ascii="仿宋" w:hAnsi="仿宋" w:eastAsia="仿宋" w:cs="仿宋"/>
          <w:color w:val="auto"/>
          <w:kern w:val="1"/>
          <w:sz w:val="40"/>
          <w:szCs w:val="40"/>
          <w:highlight w:val="none"/>
        </w:rPr>
        <w:t>正（副）本</w:t>
      </w:r>
    </w:p>
    <w:p w14:paraId="298B9427">
      <w:pPr>
        <w:spacing w:line="360" w:lineRule="auto"/>
        <w:rPr>
          <w:rFonts w:hint="eastAsia" w:ascii="仿宋" w:hAnsi="仿宋" w:eastAsia="仿宋" w:cs="仿宋"/>
          <w:color w:val="auto"/>
          <w:sz w:val="22"/>
          <w:szCs w:val="24"/>
          <w:highlight w:val="none"/>
        </w:rPr>
      </w:pPr>
    </w:p>
    <w:p w14:paraId="645760C7">
      <w:pPr>
        <w:spacing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56"/>
          <w:szCs w:val="56"/>
          <w:highlight w:val="none"/>
          <w:u w:val="single"/>
        </w:rPr>
        <w:t xml:space="preserve">****          </w:t>
      </w:r>
      <w:r>
        <w:rPr>
          <w:rFonts w:hint="eastAsia" w:ascii="仿宋" w:hAnsi="仿宋" w:eastAsia="仿宋" w:cs="仿宋"/>
          <w:color w:val="auto"/>
          <w:sz w:val="56"/>
          <w:szCs w:val="56"/>
          <w:highlight w:val="none"/>
        </w:rPr>
        <w:t>项目</w:t>
      </w:r>
    </w:p>
    <w:p w14:paraId="4BB22BA5">
      <w:pPr>
        <w:spacing w:line="360" w:lineRule="auto"/>
        <w:jc w:val="center"/>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项目编号：</w:t>
      </w:r>
    </w:p>
    <w:p w14:paraId="754C1F46">
      <w:pPr>
        <w:spacing w:line="360" w:lineRule="auto"/>
        <w:rPr>
          <w:rFonts w:hint="eastAsia" w:ascii="仿宋" w:hAnsi="仿宋" w:eastAsia="仿宋" w:cs="仿宋"/>
          <w:color w:val="auto"/>
          <w:sz w:val="22"/>
          <w:szCs w:val="24"/>
          <w:highlight w:val="none"/>
        </w:rPr>
      </w:pPr>
    </w:p>
    <w:p w14:paraId="1463D46A">
      <w:pPr>
        <w:spacing w:line="360" w:lineRule="auto"/>
        <w:rPr>
          <w:rFonts w:hint="eastAsia" w:ascii="仿宋" w:hAnsi="仿宋" w:eastAsia="仿宋" w:cs="仿宋"/>
          <w:color w:val="auto"/>
          <w:sz w:val="22"/>
          <w:szCs w:val="24"/>
          <w:highlight w:val="none"/>
        </w:rPr>
      </w:pPr>
    </w:p>
    <w:p w14:paraId="467146BD">
      <w:pPr>
        <w:spacing w:line="360" w:lineRule="auto"/>
        <w:rPr>
          <w:rFonts w:hint="eastAsia" w:ascii="仿宋" w:hAnsi="仿宋" w:eastAsia="仿宋" w:cs="仿宋"/>
          <w:color w:val="auto"/>
          <w:sz w:val="22"/>
          <w:szCs w:val="24"/>
          <w:highlight w:val="none"/>
        </w:rPr>
      </w:pPr>
    </w:p>
    <w:p w14:paraId="40500A30">
      <w:pPr>
        <w:spacing w:line="360" w:lineRule="auto"/>
        <w:rPr>
          <w:rFonts w:hint="eastAsia" w:ascii="仿宋" w:hAnsi="仿宋" w:eastAsia="仿宋" w:cs="仿宋"/>
          <w:color w:val="auto"/>
          <w:sz w:val="22"/>
          <w:szCs w:val="24"/>
          <w:highlight w:val="none"/>
        </w:rPr>
      </w:pPr>
    </w:p>
    <w:p w14:paraId="5DB70234">
      <w:pPr>
        <w:spacing w:line="360" w:lineRule="auto"/>
        <w:rPr>
          <w:rFonts w:hint="eastAsia" w:ascii="仿宋" w:hAnsi="仿宋" w:eastAsia="仿宋" w:cs="仿宋"/>
          <w:color w:val="auto"/>
          <w:sz w:val="22"/>
          <w:szCs w:val="24"/>
          <w:highlight w:val="none"/>
        </w:rPr>
      </w:pPr>
    </w:p>
    <w:p w14:paraId="65EDBB8D">
      <w:pPr>
        <w:spacing w:line="360" w:lineRule="auto"/>
        <w:rPr>
          <w:rFonts w:hint="eastAsia" w:ascii="仿宋" w:hAnsi="仿宋" w:eastAsia="仿宋" w:cs="仿宋"/>
          <w:color w:val="auto"/>
          <w:sz w:val="22"/>
          <w:szCs w:val="24"/>
          <w:highlight w:val="none"/>
        </w:rPr>
      </w:pPr>
    </w:p>
    <w:p w14:paraId="6D32C78B">
      <w:pPr>
        <w:spacing w:line="360" w:lineRule="auto"/>
        <w:rPr>
          <w:rFonts w:hint="eastAsia" w:ascii="仿宋" w:hAnsi="仿宋" w:eastAsia="仿宋" w:cs="仿宋"/>
          <w:color w:val="auto"/>
          <w:sz w:val="22"/>
          <w:szCs w:val="24"/>
          <w:highlight w:val="none"/>
        </w:rPr>
      </w:pPr>
    </w:p>
    <w:p w14:paraId="307ABB9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96"/>
          <w:szCs w:val="160"/>
          <w:highlight w:val="none"/>
        </w:rPr>
        <w:t>响 应 文 件</w:t>
      </w:r>
    </w:p>
    <w:p w14:paraId="6BE1159B">
      <w:pPr>
        <w:spacing w:line="360" w:lineRule="auto"/>
        <w:rPr>
          <w:rFonts w:hint="eastAsia" w:ascii="仿宋" w:hAnsi="仿宋" w:eastAsia="仿宋" w:cs="仿宋"/>
          <w:color w:val="auto"/>
          <w:sz w:val="32"/>
          <w:szCs w:val="32"/>
          <w:highlight w:val="none"/>
        </w:rPr>
      </w:pPr>
    </w:p>
    <w:p w14:paraId="7E44D60D">
      <w:pPr>
        <w:spacing w:line="360" w:lineRule="auto"/>
        <w:rPr>
          <w:rFonts w:hint="eastAsia" w:ascii="仿宋" w:hAnsi="仿宋" w:eastAsia="仿宋" w:cs="仿宋"/>
          <w:color w:val="auto"/>
          <w:sz w:val="32"/>
          <w:szCs w:val="32"/>
          <w:highlight w:val="none"/>
        </w:rPr>
      </w:pPr>
    </w:p>
    <w:p w14:paraId="1A51FA44">
      <w:pPr>
        <w:spacing w:line="360" w:lineRule="auto"/>
        <w:rPr>
          <w:rFonts w:hint="eastAsia" w:ascii="仿宋" w:hAnsi="仿宋" w:eastAsia="仿宋" w:cs="仿宋"/>
          <w:color w:val="auto"/>
          <w:sz w:val="32"/>
          <w:szCs w:val="32"/>
          <w:highlight w:val="none"/>
        </w:rPr>
      </w:pPr>
    </w:p>
    <w:p w14:paraId="1B98072C">
      <w:pPr>
        <w:spacing w:line="360" w:lineRule="auto"/>
        <w:rPr>
          <w:rFonts w:hint="eastAsia" w:ascii="仿宋" w:hAnsi="仿宋" w:eastAsia="仿宋" w:cs="仿宋"/>
          <w:color w:val="auto"/>
          <w:sz w:val="32"/>
          <w:szCs w:val="32"/>
          <w:highlight w:val="none"/>
        </w:rPr>
      </w:pPr>
    </w:p>
    <w:p w14:paraId="699ACA72">
      <w:pPr>
        <w:spacing w:line="360" w:lineRule="auto"/>
        <w:rPr>
          <w:rFonts w:hint="eastAsia" w:ascii="仿宋" w:hAnsi="仿宋" w:eastAsia="仿宋" w:cs="仿宋"/>
          <w:color w:val="auto"/>
          <w:sz w:val="32"/>
          <w:szCs w:val="32"/>
          <w:highlight w:val="none"/>
        </w:rPr>
      </w:pPr>
    </w:p>
    <w:p w14:paraId="74B1C86A">
      <w:pPr>
        <w:spacing w:line="360" w:lineRule="auto"/>
        <w:rPr>
          <w:rFonts w:hint="eastAsia" w:ascii="仿宋" w:hAnsi="仿宋" w:eastAsia="仿宋" w:cs="仿宋"/>
          <w:color w:val="auto"/>
          <w:sz w:val="32"/>
          <w:szCs w:val="32"/>
          <w:highlight w:val="none"/>
        </w:rPr>
      </w:pPr>
      <w:bookmarkStart w:id="76" w:name="_Toc17052"/>
      <w:r>
        <w:rPr>
          <w:rFonts w:hint="eastAsia" w:ascii="仿宋" w:hAnsi="仿宋" w:eastAsia="仿宋" w:cs="仿宋"/>
          <w:color w:val="auto"/>
          <w:sz w:val="32"/>
          <w:szCs w:val="32"/>
          <w:highlight w:val="none"/>
        </w:rPr>
        <w:t>供应商名称：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（盖章）</w:t>
      </w:r>
      <w:bookmarkEnd w:id="76"/>
    </w:p>
    <w:p w14:paraId="08FEB867">
      <w:pPr>
        <w:spacing w:line="360" w:lineRule="auto"/>
        <w:rPr>
          <w:rFonts w:hint="eastAsia" w:ascii="仿宋" w:hAnsi="仿宋" w:eastAsia="仿宋" w:cs="仿宋"/>
          <w:color w:val="auto"/>
          <w:sz w:val="32"/>
          <w:szCs w:val="32"/>
          <w:highlight w:val="none"/>
        </w:rPr>
      </w:pPr>
      <w:bookmarkStart w:id="77" w:name="_Toc21270"/>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bookmarkEnd w:id="77"/>
    </w:p>
    <w:p w14:paraId="5757A213">
      <w:pPr>
        <w:widowControl/>
        <w:autoSpaceDE w:val="0"/>
        <w:autoSpaceDN w:val="0"/>
        <w:adjustRightInd w:val="0"/>
        <w:spacing w:line="360" w:lineRule="auto"/>
        <w:ind w:firstLine="1280" w:firstLineChars="400"/>
        <w:jc w:val="center"/>
        <w:rPr>
          <w:rFonts w:hint="eastAsia" w:ascii="仿宋" w:hAnsi="仿宋" w:eastAsia="仿宋" w:cs="仿宋"/>
          <w:color w:val="auto"/>
          <w:kern w:val="1"/>
          <w:sz w:val="36"/>
          <w:szCs w:val="36"/>
          <w:highlight w:val="none"/>
        </w:rPr>
      </w:pPr>
      <w:bookmarkStart w:id="78" w:name="_Toc26551"/>
      <w:r>
        <w:rPr>
          <w:rFonts w:hint="eastAsia" w:ascii="仿宋" w:hAnsi="仿宋" w:eastAsia="仿宋" w:cs="仿宋"/>
          <w:color w:val="auto"/>
          <w:sz w:val="32"/>
          <w:szCs w:val="32"/>
          <w:highlight w:val="none"/>
        </w:rPr>
        <w:t>年     月     日</w:t>
      </w:r>
      <w:bookmarkEnd w:id="78"/>
    </w:p>
    <w:p w14:paraId="226FCB97">
      <w:pPr>
        <w:widowControl/>
        <w:autoSpaceDE w:val="0"/>
        <w:autoSpaceDN w:val="0"/>
        <w:adjustRightInd w:val="0"/>
        <w:spacing w:before="260" w:after="260" w:line="360" w:lineRule="auto"/>
        <w:ind w:right="-482"/>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32"/>
          <w:szCs w:val="32"/>
          <w:highlight w:val="none"/>
        </w:rPr>
        <w:br w:type="page"/>
      </w:r>
      <w:r>
        <w:rPr>
          <w:rFonts w:hint="eastAsia" w:ascii="仿宋" w:hAnsi="仿宋" w:eastAsia="仿宋" w:cs="仿宋"/>
          <w:color w:val="auto"/>
          <w:kern w:val="1"/>
          <w:sz w:val="32"/>
          <w:szCs w:val="32"/>
          <w:highlight w:val="none"/>
        </w:rPr>
        <w:t>目 录</w:t>
      </w:r>
    </w:p>
    <w:p w14:paraId="600D0CAA">
      <w:pPr>
        <w:widowControl/>
        <w:autoSpaceDE w:val="0"/>
        <w:autoSpaceDN w:val="0"/>
        <w:adjustRightInd w:val="0"/>
        <w:spacing w:line="360" w:lineRule="auto"/>
        <w:ind w:right="-482"/>
        <w:rPr>
          <w:rStyle w:val="72"/>
          <w:rFonts w:hint="eastAsia" w:cs="仿宋"/>
          <w:color w:val="auto"/>
          <w:sz w:val="28"/>
          <w:szCs w:val="28"/>
          <w:highlight w:val="none"/>
        </w:rPr>
      </w:pPr>
      <w:r>
        <w:rPr>
          <w:rStyle w:val="72"/>
          <w:rFonts w:hint="eastAsia" w:cs="仿宋"/>
          <w:color w:val="auto"/>
          <w:sz w:val="28"/>
          <w:szCs w:val="28"/>
          <w:highlight w:val="none"/>
        </w:rPr>
        <w:t>一、报价函</w:t>
      </w:r>
    </w:p>
    <w:p w14:paraId="718F4F38">
      <w:pPr>
        <w:widowControl/>
        <w:autoSpaceDE w:val="0"/>
        <w:autoSpaceDN w:val="0"/>
        <w:adjustRightInd w:val="0"/>
        <w:spacing w:line="360" w:lineRule="auto"/>
        <w:ind w:right="-482"/>
        <w:rPr>
          <w:rStyle w:val="72"/>
          <w:rFonts w:hint="eastAsia" w:cs="仿宋"/>
          <w:color w:val="auto"/>
          <w:sz w:val="28"/>
          <w:szCs w:val="28"/>
          <w:highlight w:val="none"/>
        </w:rPr>
      </w:pPr>
      <w:r>
        <w:rPr>
          <w:rStyle w:val="72"/>
          <w:rFonts w:hint="eastAsia" w:cs="仿宋"/>
          <w:color w:val="auto"/>
          <w:sz w:val="28"/>
          <w:szCs w:val="28"/>
          <w:highlight w:val="none"/>
        </w:rPr>
        <w:t>二、响应报价一览表</w:t>
      </w:r>
    </w:p>
    <w:p w14:paraId="00A33D00">
      <w:pPr>
        <w:widowControl/>
        <w:autoSpaceDE w:val="0"/>
        <w:autoSpaceDN w:val="0"/>
        <w:adjustRightInd w:val="0"/>
        <w:spacing w:line="360" w:lineRule="auto"/>
        <w:ind w:right="-482"/>
        <w:rPr>
          <w:rStyle w:val="72"/>
          <w:rFonts w:hint="eastAsia" w:cs="仿宋"/>
          <w:color w:val="auto"/>
          <w:sz w:val="28"/>
          <w:szCs w:val="28"/>
          <w:highlight w:val="none"/>
        </w:rPr>
      </w:pPr>
      <w:r>
        <w:rPr>
          <w:rFonts w:hint="eastAsia" w:ascii="仿宋" w:hAnsi="仿宋" w:eastAsia="仿宋" w:cs="仿宋"/>
          <w:color w:val="auto"/>
          <w:kern w:val="1"/>
          <w:sz w:val="28"/>
          <w:szCs w:val="28"/>
          <w:highlight w:val="none"/>
          <w:lang w:val="en-US" w:eastAsia="zh-CN"/>
        </w:rPr>
        <w:t>三、</w:t>
      </w:r>
      <w:r>
        <w:rPr>
          <w:rFonts w:hint="eastAsia" w:ascii="仿宋" w:hAnsi="仿宋" w:eastAsia="仿宋" w:cs="仿宋"/>
          <w:color w:val="auto"/>
          <w:kern w:val="1"/>
          <w:sz w:val="28"/>
          <w:szCs w:val="28"/>
          <w:highlight w:val="none"/>
        </w:rPr>
        <w:t>法定代表人身份证明或</w:t>
      </w:r>
      <w:r>
        <w:rPr>
          <w:rStyle w:val="72"/>
          <w:rFonts w:hint="eastAsia" w:cs="仿宋"/>
          <w:color w:val="auto"/>
          <w:sz w:val="28"/>
          <w:szCs w:val="28"/>
          <w:highlight w:val="none"/>
        </w:rPr>
        <w:t>法定代表人授权委托书</w:t>
      </w:r>
    </w:p>
    <w:p w14:paraId="659A9EAE">
      <w:pPr>
        <w:widowControl/>
        <w:autoSpaceDE w:val="0"/>
        <w:autoSpaceDN w:val="0"/>
        <w:adjustRightInd w:val="0"/>
        <w:spacing w:line="360" w:lineRule="auto"/>
        <w:ind w:right="-482"/>
        <w:rPr>
          <w:rStyle w:val="72"/>
          <w:rFonts w:hint="eastAsia" w:cs="仿宋"/>
          <w:color w:val="auto"/>
          <w:sz w:val="28"/>
          <w:szCs w:val="28"/>
          <w:highlight w:val="none"/>
        </w:rPr>
      </w:pPr>
      <w:r>
        <w:rPr>
          <w:rStyle w:val="72"/>
          <w:rFonts w:hint="eastAsia" w:eastAsia="仿宋" w:cs="仿宋"/>
          <w:color w:val="auto"/>
          <w:sz w:val="28"/>
          <w:szCs w:val="28"/>
          <w:highlight w:val="none"/>
          <w:lang w:val="en-US" w:eastAsia="zh-CN"/>
        </w:rPr>
        <w:t>四</w:t>
      </w:r>
      <w:r>
        <w:rPr>
          <w:rStyle w:val="72"/>
          <w:rFonts w:hint="eastAsia" w:cs="仿宋"/>
          <w:color w:val="auto"/>
          <w:sz w:val="28"/>
          <w:szCs w:val="28"/>
          <w:highlight w:val="none"/>
        </w:rPr>
        <w:t>、供应商基本情况表</w:t>
      </w:r>
    </w:p>
    <w:p w14:paraId="7BF9C57D">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五</w:t>
      </w:r>
      <w:r>
        <w:rPr>
          <w:rFonts w:hint="eastAsia" w:ascii="仿宋" w:hAnsi="仿宋" w:eastAsia="仿宋" w:cs="仿宋"/>
          <w:color w:val="auto"/>
          <w:kern w:val="1"/>
          <w:sz w:val="28"/>
          <w:szCs w:val="28"/>
          <w:highlight w:val="none"/>
        </w:rPr>
        <w:t>、项目拟投入的人员一览表</w:t>
      </w:r>
    </w:p>
    <w:p w14:paraId="56EED670">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六</w:t>
      </w:r>
      <w:r>
        <w:rPr>
          <w:rFonts w:hint="eastAsia" w:ascii="仿宋" w:hAnsi="仿宋" w:eastAsia="仿宋" w:cs="仿宋"/>
          <w:color w:val="auto"/>
          <w:kern w:val="1"/>
          <w:sz w:val="28"/>
          <w:szCs w:val="28"/>
          <w:highlight w:val="none"/>
        </w:rPr>
        <w:t>、在经营活动中没有重大违法记录的书面声明</w:t>
      </w:r>
    </w:p>
    <w:p w14:paraId="46EAA5FB">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28"/>
          <w:szCs w:val="28"/>
          <w:highlight w:val="none"/>
        </w:rPr>
        <w:t>、不参与围标串标承诺书</w:t>
      </w:r>
    </w:p>
    <w:p w14:paraId="22D4B9B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、中小企业声明函</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如有</w:t>
      </w:r>
      <w:r>
        <w:rPr>
          <w:rFonts w:hint="eastAsia" w:ascii="仿宋" w:hAnsi="仿宋" w:eastAsia="仿宋" w:cs="仿宋"/>
          <w:color w:val="auto"/>
          <w:kern w:val="1"/>
          <w:sz w:val="28"/>
          <w:szCs w:val="28"/>
          <w:highlight w:val="none"/>
          <w:lang w:eastAsia="zh-CN"/>
        </w:rPr>
        <w:t>）</w:t>
      </w:r>
    </w:p>
    <w:p w14:paraId="06F80FC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九</w:t>
      </w:r>
      <w:r>
        <w:rPr>
          <w:rFonts w:hint="eastAsia" w:ascii="仿宋" w:hAnsi="仿宋" w:eastAsia="仿宋" w:cs="仿宋"/>
          <w:color w:val="auto"/>
          <w:kern w:val="1"/>
          <w:sz w:val="28"/>
          <w:szCs w:val="28"/>
          <w:highlight w:val="none"/>
        </w:rPr>
        <w:t>、商务条款偏离表</w:t>
      </w:r>
    </w:p>
    <w:p w14:paraId="6B48E23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十、商务</w:t>
      </w:r>
      <w:r>
        <w:rPr>
          <w:rFonts w:hint="eastAsia" w:ascii="仿宋" w:hAnsi="仿宋" w:eastAsia="仿宋" w:cs="仿宋"/>
          <w:color w:val="auto"/>
          <w:kern w:val="1"/>
          <w:sz w:val="28"/>
          <w:szCs w:val="28"/>
          <w:highlight w:val="none"/>
          <w:lang w:val="en-US" w:eastAsia="zh-CN"/>
        </w:rPr>
        <w:t>技术</w:t>
      </w:r>
      <w:r>
        <w:rPr>
          <w:rFonts w:hint="eastAsia" w:ascii="仿宋" w:hAnsi="仿宋" w:eastAsia="仿宋" w:cs="仿宋"/>
          <w:color w:val="auto"/>
          <w:kern w:val="1"/>
          <w:sz w:val="28"/>
          <w:szCs w:val="28"/>
          <w:highlight w:val="none"/>
        </w:rPr>
        <w:t>文件（可根据评审办法自行补充，格式自拟）</w:t>
      </w:r>
    </w:p>
    <w:p w14:paraId="057C4A70">
      <w:pPr>
        <w:widowControl/>
        <w:autoSpaceDE w:val="0"/>
        <w:autoSpaceDN w:val="0"/>
        <w:adjustRightInd w:val="0"/>
        <w:spacing w:line="360" w:lineRule="auto"/>
        <w:ind w:right="-481"/>
        <w:rPr>
          <w:rFonts w:hint="eastAsia" w:ascii="仿宋" w:hAnsi="仿宋" w:eastAsia="仿宋" w:cs="仿宋"/>
          <w:color w:val="auto"/>
          <w:kern w:val="1"/>
          <w:sz w:val="36"/>
          <w:szCs w:val="36"/>
          <w:highlight w:val="none"/>
        </w:rPr>
      </w:pPr>
      <w:r>
        <w:rPr>
          <w:rFonts w:hint="eastAsia" w:ascii="仿宋" w:hAnsi="仿宋" w:eastAsia="仿宋" w:cs="仿宋"/>
          <w:color w:val="auto"/>
          <w:kern w:val="1"/>
          <w:sz w:val="28"/>
          <w:szCs w:val="28"/>
          <w:highlight w:val="none"/>
        </w:rPr>
        <w:t>十</w:t>
      </w:r>
      <w:r>
        <w:rPr>
          <w:rFonts w:hint="eastAsia" w:ascii="仿宋" w:hAnsi="仿宋" w:eastAsia="仿宋" w:cs="仿宋"/>
          <w:color w:val="auto"/>
          <w:kern w:val="1"/>
          <w:sz w:val="28"/>
          <w:szCs w:val="28"/>
          <w:highlight w:val="none"/>
          <w:lang w:val="en-US" w:eastAsia="zh-CN"/>
        </w:rPr>
        <w:t>一</w:t>
      </w:r>
      <w:r>
        <w:rPr>
          <w:rFonts w:hint="eastAsia" w:ascii="仿宋" w:hAnsi="仿宋" w:eastAsia="仿宋" w:cs="仿宋"/>
          <w:color w:val="auto"/>
          <w:kern w:val="1"/>
          <w:sz w:val="28"/>
          <w:szCs w:val="28"/>
          <w:highlight w:val="none"/>
        </w:rPr>
        <w:t>、投标人认为的其他资料（格式自拟）</w:t>
      </w:r>
    </w:p>
    <w:p w14:paraId="70ABDBFB">
      <w:pPr>
        <w:widowControl/>
        <w:autoSpaceDE w:val="0"/>
        <w:autoSpaceDN w:val="0"/>
        <w:adjustRightInd w:val="0"/>
        <w:spacing w:before="120" w:after="120" w:line="360" w:lineRule="auto"/>
        <w:ind w:right="-481"/>
        <w:jc w:val="center"/>
        <w:rPr>
          <w:rFonts w:hint="eastAsia" w:ascii="仿宋" w:hAnsi="仿宋" w:eastAsia="仿宋" w:cs="仿宋"/>
          <w:color w:val="auto"/>
          <w:kern w:val="1"/>
          <w:sz w:val="28"/>
          <w:szCs w:val="28"/>
          <w:highlight w:val="none"/>
          <w:u w:val="single"/>
        </w:rPr>
      </w:pPr>
      <w:r>
        <w:rPr>
          <w:rFonts w:hint="eastAsia" w:ascii="仿宋" w:hAnsi="仿宋" w:eastAsia="仿宋" w:cs="仿宋"/>
          <w:color w:val="auto"/>
          <w:kern w:val="1"/>
          <w:sz w:val="32"/>
          <w:szCs w:val="32"/>
          <w:highlight w:val="none"/>
        </w:rPr>
        <w:br w:type="page"/>
      </w:r>
      <w:r>
        <w:rPr>
          <w:rFonts w:hint="eastAsia" w:ascii="仿宋" w:hAnsi="仿宋" w:eastAsia="仿宋" w:cs="仿宋"/>
          <w:color w:val="auto"/>
          <w:kern w:val="1"/>
          <w:sz w:val="32"/>
          <w:szCs w:val="32"/>
          <w:highlight w:val="none"/>
        </w:rPr>
        <w:t>一、报价函</w:t>
      </w:r>
    </w:p>
    <w:p w14:paraId="3AA4EB2A">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（采购人）</w:t>
      </w:r>
      <w:r>
        <w:rPr>
          <w:rStyle w:val="72"/>
          <w:rFonts w:hint="eastAsia" w:cs="仿宋"/>
          <w:color w:val="auto"/>
          <w:sz w:val="28"/>
          <w:szCs w:val="28"/>
          <w:highlight w:val="none"/>
        </w:rPr>
        <w:t>：</w:t>
      </w:r>
    </w:p>
    <w:p w14:paraId="75588BF0">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（供应商名称）</w:t>
      </w:r>
      <w:r>
        <w:rPr>
          <w:rStyle w:val="72"/>
          <w:rFonts w:hint="eastAsia" w:cs="仿宋"/>
          <w:color w:val="auto"/>
          <w:sz w:val="28"/>
          <w:szCs w:val="28"/>
          <w:highlight w:val="none"/>
        </w:rPr>
        <w:t>系中华人民共和国合法企业，经营地址</w:t>
      </w:r>
      <w:r>
        <w:rPr>
          <w:rFonts w:hint="eastAsia" w:ascii="仿宋" w:hAnsi="仿宋" w:eastAsia="仿宋" w:cs="仿宋"/>
          <w:color w:val="auto"/>
          <w:kern w:val="1"/>
          <w:sz w:val="28"/>
          <w:szCs w:val="28"/>
          <w:highlight w:val="none"/>
          <w:u w:val="single"/>
        </w:rPr>
        <w:t xml:space="preserve">          </w:t>
      </w:r>
      <w:r>
        <w:rPr>
          <w:rStyle w:val="72"/>
          <w:rFonts w:hint="eastAsia" w:cs="仿宋"/>
          <w:color w:val="auto"/>
          <w:sz w:val="28"/>
          <w:szCs w:val="28"/>
          <w:highlight w:val="none"/>
        </w:rPr>
        <w:t>。</w:t>
      </w:r>
      <w:r>
        <w:rPr>
          <w:rFonts w:hint="eastAsia" w:ascii="仿宋" w:hAnsi="仿宋" w:eastAsia="仿宋" w:cs="仿宋"/>
          <w:color w:val="auto"/>
          <w:kern w:val="1"/>
          <w:sz w:val="28"/>
          <w:szCs w:val="28"/>
          <w:highlight w:val="none"/>
          <w:u w:val="single"/>
        </w:rPr>
        <w:t>（姓名）</w:t>
      </w:r>
      <w:r>
        <w:rPr>
          <w:rStyle w:val="72"/>
          <w:rFonts w:hint="eastAsia" w:cs="仿宋"/>
          <w:color w:val="auto"/>
          <w:sz w:val="28"/>
          <w:szCs w:val="28"/>
          <w:highlight w:val="none"/>
        </w:rPr>
        <w:t>系</w:t>
      </w:r>
      <w:r>
        <w:rPr>
          <w:rFonts w:hint="eastAsia" w:ascii="仿宋" w:hAnsi="仿宋" w:eastAsia="仿宋" w:cs="仿宋"/>
          <w:color w:val="auto"/>
          <w:kern w:val="1"/>
          <w:sz w:val="28"/>
          <w:szCs w:val="28"/>
          <w:highlight w:val="none"/>
          <w:u w:val="single"/>
        </w:rPr>
        <w:t>（供应商名称）</w:t>
      </w:r>
      <w:r>
        <w:rPr>
          <w:rStyle w:val="72"/>
          <w:rFonts w:hint="eastAsia" w:cs="仿宋"/>
          <w:color w:val="auto"/>
          <w:sz w:val="28"/>
          <w:szCs w:val="28"/>
          <w:highlight w:val="none"/>
        </w:rPr>
        <w:t>的法定代表人，我方愿意参加贵方组织的</w:t>
      </w:r>
      <w:r>
        <w:rPr>
          <w:rFonts w:hint="eastAsia" w:ascii="仿宋" w:hAnsi="仿宋" w:eastAsia="仿宋" w:cs="仿宋"/>
          <w:color w:val="auto"/>
          <w:kern w:val="1"/>
          <w:sz w:val="28"/>
          <w:szCs w:val="28"/>
          <w:highlight w:val="none"/>
          <w:u w:val="single"/>
        </w:rPr>
        <w:t>（项目名称：      、项目编号：       ）</w:t>
      </w:r>
      <w:r>
        <w:rPr>
          <w:rStyle w:val="72"/>
          <w:rFonts w:hint="eastAsia" w:cs="仿宋"/>
          <w:color w:val="auto"/>
          <w:sz w:val="28"/>
          <w:szCs w:val="28"/>
          <w:highlight w:val="none"/>
        </w:rPr>
        <w:t>的投标，为此，我方就本次投标有关事项郑重声明如下：</w:t>
      </w:r>
    </w:p>
    <w:p w14:paraId="2B897187">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1、我方已详细审查全部招标文件，同意招标文件的各项要求。</w:t>
      </w:r>
    </w:p>
    <w:p w14:paraId="03DFE9AF">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2、我方向贵方提交的所有响应文件、资料都是准确的和真实的。</w:t>
      </w:r>
    </w:p>
    <w:p w14:paraId="4F0F09CA">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3、若中标，我方将按照招标文件规定履行合同责任和义务。</w:t>
      </w:r>
    </w:p>
    <w:p w14:paraId="40450848">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4、我方不是采购人的附属机构；在获知本项目采购信息后，与采购人聘请的为此项目提供咨询服务的公司以及其附属机构没有任何联系。</w:t>
      </w:r>
    </w:p>
    <w:p w14:paraId="486BC0F5">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2"/>
          <w:rFonts w:hint="eastAsia" w:cs="仿宋"/>
          <w:color w:val="auto"/>
          <w:sz w:val="28"/>
          <w:szCs w:val="28"/>
          <w:highlight w:val="none"/>
        </w:rPr>
        <w:t>5、响应文件自开标日起有效期为</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日历日。</w:t>
      </w:r>
    </w:p>
    <w:p w14:paraId="08741D7D">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6、以上事项如有虚假或者隐瞒，我方愿意承担一切后果。</w:t>
      </w:r>
    </w:p>
    <w:p w14:paraId="7FC69E1B">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3B52BA72">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5B53CD95">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690B266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0D5FB23">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14316DC">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678843B">
      <w:pPr>
        <w:spacing w:before="100" w:beforeAutospacing="1" w:after="100" w:afterAutospacing="1" w:line="360" w:lineRule="auto"/>
        <w:jc w:val="center"/>
        <w:rPr>
          <w:rFonts w:hint="eastAsia" w:ascii="仿宋" w:hAnsi="仿宋" w:eastAsia="仿宋" w:cs="仿宋"/>
          <w:color w:val="auto"/>
          <w:kern w:val="1"/>
          <w:sz w:val="28"/>
          <w:szCs w:val="28"/>
          <w:highlight w:val="none"/>
          <w:u w:val="single"/>
        </w:rPr>
      </w:pPr>
      <w:r>
        <w:rPr>
          <w:rFonts w:hint="eastAsia" w:ascii="仿宋" w:hAnsi="仿宋" w:eastAsia="仿宋" w:cs="仿宋"/>
          <w:color w:val="auto"/>
          <w:kern w:val="1"/>
          <w:sz w:val="28"/>
          <w:szCs w:val="28"/>
          <w:highlight w:val="none"/>
          <w:u w:val="single"/>
        </w:rPr>
        <w:br w:type="page"/>
      </w:r>
      <w:r>
        <w:rPr>
          <w:rFonts w:hint="eastAsia" w:ascii="仿宋" w:hAnsi="仿宋" w:eastAsia="仿宋" w:cs="仿宋"/>
          <w:color w:val="auto"/>
          <w:kern w:val="1"/>
          <w:sz w:val="32"/>
          <w:szCs w:val="32"/>
          <w:highlight w:val="none"/>
        </w:rPr>
        <w:t>二、响应报价一览表</w:t>
      </w:r>
    </w:p>
    <w:tbl>
      <w:tblPr>
        <w:tblStyle w:val="3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4D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0B51C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600" w:type="dxa"/>
            <w:vAlign w:val="center"/>
          </w:tcPr>
          <w:p w14:paraId="5E4DAC6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1DB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00A05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600" w:type="dxa"/>
          </w:tcPr>
          <w:p w14:paraId="3FA2F8B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7D1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4D42BD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7600" w:type="dxa"/>
          </w:tcPr>
          <w:p w14:paraId="5CC38E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D1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63885D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w:t>
            </w:r>
          </w:p>
        </w:tc>
        <w:tc>
          <w:tcPr>
            <w:tcW w:w="7600" w:type="dxa"/>
            <w:vAlign w:val="center"/>
          </w:tcPr>
          <w:p w14:paraId="5B11C5D7">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p>
        </w:tc>
      </w:tr>
      <w:tr w14:paraId="54F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2CE207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标准</w:t>
            </w:r>
          </w:p>
        </w:tc>
        <w:tc>
          <w:tcPr>
            <w:tcW w:w="7600" w:type="dxa"/>
            <w:vAlign w:val="center"/>
          </w:tcPr>
          <w:p w14:paraId="38E94D83">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2EC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488A2A6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报价（元）</w:t>
            </w:r>
          </w:p>
        </w:tc>
        <w:tc>
          <w:tcPr>
            <w:tcW w:w="7600" w:type="dxa"/>
            <w:vAlign w:val="center"/>
          </w:tcPr>
          <w:p w14:paraId="6F5C9DBC">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p>
          <w:p w14:paraId="4739A885">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p>
        </w:tc>
      </w:tr>
      <w:tr w14:paraId="4AAB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072365A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600" w:type="dxa"/>
          </w:tcPr>
          <w:p w14:paraId="268005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bl>
    <w:p w14:paraId="027E39DB">
      <w:pPr>
        <w:spacing w:line="360" w:lineRule="auto"/>
        <w:rPr>
          <w:rFonts w:hint="eastAsia" w:ascii="仿宋" w:hAnsi="仿宋" w:eastAsia="仿宋" w:cs="仿宋"/>
          <w:color w:val="auto"/>
          <w:sz w:val="28"/>
          <w:szCs w:val="28"/>
          <w:highlight w:val="none"/>
        </w:rPr>
      </w:pPr>
    </w:p>
    <w:p w14:paraId="7C855DBD">
      <w:pPr>
        <w:spacing w:line="360" w:lineRule="auto"/>
        <w:rPr>
          <w:rFonts w:hint="eastAsia" w:ascii="仿宋" w:hAnsi="仿宋" w:eastAsia="仿宋" w:cs="仿宋"/>
          <w:color w:val="auto"/>
          <w:sz w:val="28"/>
          <w:szCs w:val="28"/>
          <w:highlight w:val="none"/>
        </w:rPr>
      </w:pPr>
    </w:p>
    <w:p w14:paraId="14CD3CB7">
      <w:pPr>
        <w:spacing w:line="360" w:lineRule="auto"/>
        <w:jc w:val="right"/>
        <w:rPr>
          <w:rFonts w:hint="eastAsia" w:ascii="仿宋" w:hAnsi="仿宋" w:eastAsia="仿宋" w:cs="仿宋"/>
          <w:color w:val="auto"/>
          <w:sz w:val="28"/>
          <w:szCs w:val="28"/>
          <w:highlight w:val="none"/>
        </w:rPr>
      </w:pPr>
    </w:p>
    <w:p w14:paraId="18FDDB9B">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B831DB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2487B5B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A647813">
      <w:pPr>
        <w:spacing w:before="100" w:beforeAutospacing="1" w:after="100" w:afterAutospacing="1" w:line="360" w:lineRule="auto"/>
        <w:rPr>
          <w:rFonts w:hint="eastAsia" w:ascii="仿宋" w:hAnsi="仿宋" w:eastAsia="仿宋" w:cs="仿宋"/>
          <w:color w:val="auto"/>
          <w:sz w:val="32"/>
          <w:szCs w:val="21"/>
          <w:highlight w:val="none"/>
        </w:rPr>
      </w:pPr>
    </w:p>
    <w:p w14:paraId="27E3B03C">
      <w:pPr>
        <w:spacing w:before="100" w:beforeAutospacing="1" w:after="100" w:afterAutospacing="1" w:line="360" w:lineRule="auto"/>
        <w:jc w:val="center"/>
        <w:rPr>
          <w:rFonts w:hint="eastAsia" w:ascii="仿宋" w:hAnsi="仿宋" w:eastAsia="仿宋" w:cs="仿宋"/>
          <w:color w:val="auto"/>
          <w:sz w:val="32"/>
          <w:szCs w:val="21"/>
          <w:highlight w:val="none"/>
          <w:lang w:val="zh-CN"/>
        </w:rPr>
      </w:pPr>
      <w:r>
        <w:rPr>
          <w:rFonts w:hint="eastAsia" w:ascii="仿宋" w:hAnsi="仿宋" w:eastAsia="仿宋" w:cs="仿宋"/>
          <w:color w:val="auto"/>
          <w:sz w:val="32"/>
          <w:szCs w:val="21"/>
          <w:highlight w:val="none"/>
          <w:lang w:val="en-US" w:eastAsia="zh-CN"/>
        </w:rPr>
        <w:t>三</w:t>
      </w:r>
      <w:r>
        <w:rPr>
          <w:rFonts w:hint="eastAsia" w:ascii="仿宋" w:hAnsi="仿宋" w:eastAsia="仿宋" w:cs="仿宋"/>
          <w:color w:val="auto"/>
          <w:sz w:val="32"/>
          <w:szCs w:val="21"/>
          <w:highlight w:val="none"/>
          <w:lang w:val="zh-CN"/>
        </w:rPr>
        <w:t>、法定代表人身份证明</w:t>
      </w:r>
    </w:p>
    <w:p w14:paraId="6D7E5FB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AAAC3D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7739D14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2AE60B6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359C07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72156C61">
      <w:pPr>
        <w:spacing w:line="360" w:lineRule="auto"/>
        <w:rPr>
          <w:rFonts w:hint="eastAsia" w:ascii="仿宋" w:hAnsi="仿宋" w:eastAsia="仿宋" w:cs="仿宋"/>
          <w:color w:val="auto"/>
          <w:sz w:val="28"/>
          <w:szCs w:val="28"/>
          <w:highlight w:val="none"/>
        </w:rPr>
      </w:pPr>
    </w:p>
    <w:p w14:paraId="57C248E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6DA1CD2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（供应商名称）的法定代表人。</w:t>
      </w:r>
    </w:p>
    <w:p w14:paraId="7002839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2CD0D788">
      <w:pPr>
        <w:spacing w:line="360" w:lineRule="auto"/>
        <w:rPr>
          <w:rFonts w:hint="eastAsia" w:ascii="仿宋" w:hAnsi="仿宋" w:eastAsia="仿宋" w:cs="仿宋"/>
          <w:color w:val="auto"/>
          <w:sz w:val="28"/>
          <w:szCs w:val="28"/>
          <w:highlight w:val="none"/>
        </w:rPr>
      </w:pPr>
    </w:p>
    <w:p w14:paraId="2243477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附：法定代表人身份证复印件。</w:t>
      </w:r>
    </w:p>
    <w:p w14:paraId="2614BDA6">
      <w:pPr>
        <w:spacing w:line="360" w:lineRule="auto"/>
        <w:rPr>
          <w:rFonts w:hint="eastAsia" w:ascii="仿宋" w:hAnsi="仿宋" w:eastAsia="仿宋" w:cs="仿宋"/>
          <w:color w:val="auto"/>
          <w:sz w:val="28"/>
          <w:szCs w:val="28"/>
          <w:highlight w:val="none"/>
        </w:rPr>
      </w:pPr>
    </w:p>
    <w:p w14:paraId="71B2FB2E">
      <w:pPr>
        <w:spacing w:line="360" w:lineRule="auto"/>
        <w:rPr>
          <w:rFonts w:hint="eastAsia" w:ascii="仿宋" w:hAnsi="仿宋" w:eastAsia="仿宋" w:cs="仿宋"/>
          <w:color w:val="auto"/>
          <w:sz w:val="28"/>
          <w:szCs w:val="28"/>
          <w:highlight w:val="none"/>
        </w:rPr>
      </w:pPr>
    </w:p>
    <w:p w14:paraId="41CDD6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45C73376">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03680700">
      <w:pPr>
        <w:spacing w:line="360" w:lineRule="auto"/>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注：1、法定代表人参加本次投标的应签署本文件并附本人身份证复印件；</w:t>
      </w:r>
    </w:p>
    <w:p w14:paraId="5B2391A6">
      <w:pPr>
        <w:spacing w:line="360" w:lineRule="auto"/>
        <w:ind w:firstLine="442" w:firstLineChars="200"/>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2、如法定代表人不参加本次投标，应签署《法定代表人授权委托书及法人身份证明》。</w:t>
      </w:r>
    </w:p>
    <w:p w14:paraId="690A832F">
      <w:pPr>
        <w:spacing w:before="100" w:beforeAutospacing="1" w:after="100" w:afterAutospacing="1" w:line="360" w:lineRule="auto"/>
        <w:jc w:val="left"/>
        <w:rPr>
          <w:rFonts w:ascii="仿宋" w:hAnsi="仿宋" w:eastAsia="仿宋" w:cs="仿宋"/>
          <w:color w:val="auto"/>
          <w:kern w:val="1"/>
          <w:sz w:val="28"/>
          <w:szCs w:val="28"/>
          <w:highlight w:val="none"/>
        </w:rPr>
      </w:pPr>
    </w:p>
    <w:p w14:paraId="79EDD4C7">
      <w:pPr>
        <w:spacing w:before="100" w:beforeAutospacing="1" w:after="100" w:afterAutospacing="1" w:line="360" w:lineRule="auto"/>
        <w:jc w:val="left"/>
        <w:rPr>
          <w:rFonts w:hint="eastAsia" w:ascii="仿宋" w:hAnsi="仿宋" w:eastAsia="仿宋" w:cs="仿宋"/>
          <w:color w:val="auto"/>
          <w:kern w:val="1"/>
          <w:sz w:val="28"/>
          <w:szCs w:val="28"/>
          <w:highlight w:val="none"/>
        </w:rPr>
      </w:pPr>
    </w:p>
    <w:p w14:paraId="1A6DECA8">
      <w:pPr>
        <w:widowControl/>
        <w:autoSpaceDE w:val="0"/>
        <w:autoSpaceDN w:val="0"/>
        <w:adjustRightInd w:val="0"/>
        <w:spacing w:line="360" w:lineRule="auto"/>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32"/>
          <w:szCs w:val="32"/>
          <w:highlight w:val="none"/>
        </w:rPr>
        <w:t>法定代表人授权委托书</w:t>
      </w:r>
    </w:p>
    <w:p w14:paraId="62EB29DD">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 xml:space="preserve">   （采购人）  </w:t>
      </w:r>
      <w:r>
        <w:rPr>
          <w:rStyle w:val="72"/>
          <w:rFonts w:hint="eastAsia" w:cs="仿宋"/>
          <w:color w:val="auto"/>
          <w:sz w:val="28"/>
          <w:szCs w:val="28"/>
          <w:highlight w:val="none"/>
        </w:rPr>
        <w:t>：</w:t>
      </w:r>
    </w:p>
    <w:p w14:paraId="4901AA2C">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2"/>
          <w:rFonts w:hint="eastAsia" w:cs="仿宋"/>
          <w:color w:val="auto"/>
          <w:sz w:val="28"/>
          <w:szCs w:val="28"/>
          <w:highlight w:val="none"/>
        </w:rPr>
        <w:t>我</w:t>
      </w:r>
      <w:r>
        <w:rPr>
          <w:rFonts w:hint="eastAsia" w:ascii="仿宋" w:hAnsi="仿宋" w:eastAsia="仿宋" w:cs="仿宋"/>
          <w:color w:val="auto"/>
          <w:kern w:val="1"/>
          <w:sz w:val="28"/>
          <w:szCs w:val="28"/>
          <w:highlight w:val="none"/>
          <w:u w:val="single"/>
        </w:rPr>
        <w:t xml:space="preserve">   （姓名） </w:t>
      </w:r>
      <w:r>
        <w:rPr>
          <w:rStyle w:val="72"/>
          <w:rFonts w:hint="eastAsia" w:cs="仿宋"/>
          <w:color w:val="auto"/>
          <w:sz w:val="28"/>
          <w:szCs w:val="28"/>
          <w:highlight w:val="none"/>
        </w:rPr>
        <w:t>系</w:t>
      </w:r>
      <w:r>
        <w:rPr>
          <w:rFonts w:hint="eastAsia" w:ascii="仿宋" w:hAnsi="仿宋" w:eastAsia="仿宋" w:cs="仿宋"/>
          <w:color w:val="auto"/>
          <w:kern w:val="1"/>
          <w:sz w:val="28"/>
          <w:szCs w:val="28"/>
          <w:highlight w:val="none"/>
          <w:u w:val="single"/>
        </w:rPr>
        <w:t xml:space="preserve">    （供应商名称）</w:t>
      </w:r>
      <w:r>
        <w:rPr>
          <w:rStyle w:val="72"/>
          <w:rFonts w:hint="eastAsia" w:cs="仿宋"/>
          <w:color w:val="auto"/>
          <w:sz w:val="28"/>
          <w:szCs w:val="28"/>
          <w:highlight w:val="none"/>
        </w:rPr>
        <w:t>法定代表人，现授权委托我公司的</w:t>
      </w:r>
      <w:r>
        <w:rPr>
          <w:rFonts w:hint="eastAsia" w:ascii="仿宋" w:hAnsi="仿宋" w:eastAsia="仿宋" w:cs="仿宋"/>
          <w:color w:val="auto"/>
          <w:kern w:val="1"/>
          <w:sz w:val="28"/>
          <w:szCs w:val="28"/>
          <w:highlight w:val="none"/>
          <w:u w:val="single"/>
        </w:rPr>
        <w:t xml:space="preserve">  （姓名、职务或者职称）</w:t>
      </w:r>
      <w:r>
        <w:rPr>
          <w:rStyle w:val="72"/>
          <w:rFonts w:hint="eastAsia" w:cs="仿宋"/>
          <w:color w:val="auto"/>
          <w:sz w:val="28"/>
          <w:szCs w:val="28"/>
          <w:highlight w:val="none"/>
        </w:rPr>
        <w:t>为我公司本次</w:t>
      </w:r>
      <w:r>
        <w:rPr>
          <w:rFonts w:hint="eastAsia" w:ascii="仿宋" w:hAnsi="仿宋" w:eastAsia="仿宋" w:cs="仿宋"/>
          <w:color w:val="auto"/>
          <w:kern w:val="1"/>
          <w:sz w:val="28"/>
          <w:szCs w:val="28"/>
          <w:highlight w:val="none"/>
          <w:u w:val="single"/>
        </w:rPr>
        <w:t xml:space="preserve">             </w:t>
      </w:r>
      <w:r>
        <w:rPr>
          <w:rStyle w:val="72"/>
          <w:rFonts w:hint="eastAsia" w:cs="仿宋"/>
          <w:color w:val="auto"/>
          <w:sz w:val="28"/>
          <w:szCs w:val="28"/>
          <w:highlight w:val="none"/>
        </w:rPr>
        <w:t>项目的授权代表，代表我方办理本次投标、签约等相关事宜，签署全部有关的文件、协议、合同并具有法律效力。</w:t>
      </w:r>
    </w:p>
    <w:p w14:paraId="71507F54">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在我方未发出撤销授权委托书的书面通知以前，本授权委托书一直有效。被授权人签署的所有文件（在授权书有效期内签署的）不因授权撤销而失效。</w:t>
      </w:r>
    </w:p>
    <w:p w14:paraId="4B0FE4F0">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被授权代表无权转让委托权。特此授权。</w:t>
      </w:r>
    </w:p>
    <w:p w14:paraId="5E377F86">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2"/>
          <w:rFonts w:hint="eastAsia" w:cs="仿宋"/>
          <w:color w:val="auto"/>
          <w:sz w:val="28"/>
          <w:szCs w:val="28"/>
          <w:highlight w:val="none"/>
        </w:rPr>
        <w:t>本授权委托书于</w:t>
      </w:r>
      <w:r>
        <w:rPr>
          <w:rFonts w:hint="eastAsia" w:ascii="仿宋" w:hAnsi="仿宋" w:eastAsia="仿宋" w:cs="仿宋"/>
          <w:color w:val="auto"/>
          <w:kern w:val="1"/>
          <w:sz w:val="28"/>
          <w:szCs w:val="28"/>
          <w:highlight w:val="none"/>
          <w:u w:val="single"/>
        </w:rPr>
        <w:t xml:space="preserve">        </w:t>
      </w:r>
      <w:r>
        <w:rPr>
          <w:rStyle w:val="72"/>
          <w:rFonts w:hint="eastAsia" w:cs="仿宋"/>
          <w:color w:val="auto"/>
          <w:sz w:val="28"/>
          <w:szCs w:val="28"/>
          <w:highlight w:val="none"/>
        </w:rPr>
        <w:t>年</w:t>
      </w:r>
      <w:r>
        <w:rPr>
          <w:rFonts w:hint="eastAsia" w:ascii="仿宋" w:hAnsi="仿宋" w:eastAsia="仿宋" w:cs="仿宋"/>
          <w:color w:val="auto"/>
          <w:kern w:val="1"/>
          <w:sz w:val="28"/>
          <w:szCs w:val="28"/>
          <w:highlight w:val="none"/>
          <w:u w:val="single"/>
        </w:rPr>
        <w:t xml:space="preserve">        </w:t>
      </w:r>
      <w:r>
        <w:rPr>
          <w:rStyle w:val="72"/>
          <w:rFonts w:hint="eastAsia" w:cs="仿宋"/>
          <w:color w:val="auto"/>
          <w:sz w:val="28"/>
          <w:szCs w:val="28"/>
          <w:highlight w:val="none"/>
        </w:rPr>
        <w:t>月</w:t>
      </w:r>
      <w:r>
        <w:rPr>
          <w:rFonts w:hint="eastAsia" w:ascii="仿宋" w:hAnsi="仿宋" w:eastAsia="仿宋" w:cs="仿宋"/>
          <w:color w:val="auto"/>
          <w:kern w:val="1"/>
          <w:sz w:val="28"/>
          <w:szCs w:val="28"/>
          <w:highlight w:val="none"/>
          <w:u w:val="single"/>
        </w:rPr>
        <w:t xml:space="preserve">        </w:t>
      </w:r>
      <w:r>
        <w:rPr>
          <w:rStyle w:val="72"/>
          <w:rFonts w:hint="eastAsia" w:cs="仿宋"/>
          <w:color w:val="auto"/>
          <w:sz w:val="28"/>
          <w:szCs w:val="28"/>
          <w:highlight w:val="none"/>
        </w:rPr>
        <w:t>日签字生效,特此声明。</w:t>
      </w:r>
    </w:p>
    <w:p w14:paraId="5B13D049">
      <w:pPr>
        <w:widowControl/>
        <w:autoSpaceDE w:val="0"/>
        <w:autoSpaceDN w:val="0"/>
        <w:adjustRightInd w:val="0"/>
        <w:spacing w:line="360" w:lineRule="auto"/>
        <w:rPr>
          <w:rFonts w:hint="eastAsia" w:ascii="仿宋" w:hAnsi="仿宋" w:eastAsia="仿宋" w:cs="仿宋"/>
          <w:color w:val="auto"/>
          <w:kern w:val="1"/>
          <w:sz w:val="28"/>
          <w:szCs w:val="28"/>
          <w:highlight w:val="none"/>
        </w:rPr>
      </w:pPr>
    </w:p>
    <w:p w14:paraId="2CD6A6BE">
      <w:pPr>
        <w:widowControl/>
        <w:autoSpaceDE w:val="0"/>
        <w:autoSpaceDN w:val="0"/>
        <w:adjustRightInd w:val="0"/>
        <w:spacing w:line="360" w:lineRule="auto"/>
        <w:ind w:right="-481"/>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(附法人代表身份证以及被授权代表身份证复印件)</w:t>
      </w:r>
    </w:p>
    <w:p w14:paraId="7B17D535">
      <w:pPr>
        <w:widowControl/>
        <w:autoSpaceDE w:val="0"/>
        <w:autoSpaceDN w:val="0"/>
        <w:adjustRightInd w:val="0"/>
        <w:spacing w:line="360" w:lineRule="auto"/>
        <w:ind w:right="-481"/>
        <w:rPr>
          <w:rFonts w:hint="eastAsia" w:ascii="仿宋" w:hAnsi="仿宋" w:eastAsia="仿宋" w:cs="仿宋"/>
          <w:color w:val="auto"/>
          <w:kern w:val="1"/>
          <w:sz w:val="28"/>
          <w:szCs w:val="28"/>
          <w:highlight w:val="none"/>
        </w:rPr>
      </w:pPr>
    </w:p>
    <w:p w14:paraId="30E7B39C">
      <w:pPr>
        <w:widowControl/>
        <w:autoSpaceDE w:val="0"/>
        <w:autoSpaceDN w:val="0"/>
        <w:adjustRightInd w:val="0"/>
        <w:spacing w:line="360" w:lineRule="auto"/>
        <w:ind w:right="-481"/>
        <w:rPr>
          <w:rStyle w:val="72"/>
          <w:rFonts w:hint="eastAsia" w:cs="仿宋"/>
          <w:color w:val="auto"/>
          <w:sz w:val="28"/>
          <w:szCs w:val="28"/>
          <w:highlight w:val="none"/>
        </w:rPr>
      </w:pPr>
      <w:r>
        <w:rPr>
          <w:rStyle w:val="72"/>
          <w:rFonts w:hint="eastAsia" w:cs="仿宋"/>
          <w:color w:val="auto"/>
          <w:sz w:val="28"/>
          <w:szCs w:val="28"/>
          <w:highlight w:val="none"/>
        </w:rPr>
        <w:t>被授权代表姓名：             性 别：              年 龄：</w:t>
      </w:r>
    </w:p>
    <w:p w14:paraId="799FC8CB">
      <w:pPr>
        <w:widowControl/>
        <w:autoSpaceDE w:val="0"/>
        <w:autoSpaceDN w:val="0"/>
        <w:adjustRightInd w:val="0"/>
        <w:spacing w:line="360" w:lineRule="auto"/>
        <w:ind w:right="-481"/>
        <w:rPr>
          <w:rStyle w:val="72"/>
          <w:rFonts w:hint="eastAsia" w:cs="仿宋"/>
          <w:color w:val="auto"/>
          <w:sz w:val="28"/>
          <w:szCs w:val="28"/>
          <w:highlight w:val="none"/>
        </w:rPr>
      </w:pPr>
      <w:r>
        <w:rPr>
          <w:rStyle w:val="72"/>
          <w:rFonts w:hint="eastAsia" w:cs="仿宋"/>
          <w:color w:val="auto"/>
          <w:sz w:val="28"/>
          <w:szCs w:val="28"/>
          <w:highlight w:val="none"/>
        </w:rPr>
        <w:t>联系电话：                   部 门：              职 务：</w:t>
      </w:r>
    </w:p>
    <w:p w14:paraId="5A2E62DC">
      <w:pPr>
        <w:widowControl/>
        <w:autoSpaceDE w:val="0"/>
        <w:autoSpaceDN w:val="0"/>
        <w:adjustRightInd w:val="0"/>
        <w:spacing w:line="360" w:lineRule="auto"/>
        <w:ind w:right="-481"/>
        <w:rPr>
          <w:rFonts w:hint="eastAsia" w:ascii="仿宋" w:hAnsi="仿宋" w:eastAsia="仿宋" w:cs="仿宋"/>
          <w:color w:val="auto"/>
          <w:kern w:val="1"/>
          <w:sz w:val="28"/>
          <w:szCs w:val="28"/>
          <w:highlight w:val="none"/>
        </w:rPr>
      </w:pPr>
    </w:p>
    <w:p w14:paraId="4492FEB6">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6778291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719DC6E">
      <w:pPr>
        <w:wordWrap w:val="0"/>
        <w:spacing w:before="100" w:beforeAutospacing="1" w:after="100" w:afterAutospacing="1"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C8BC8B5">
      <w:pPr>
        <w:spacing w:after="317" w:afterLines="100" w:line="360" w:lineRule="auto"/>
        <w:jc w:val="center"/>
        <w:rPr>
          <w:rFonts w:hint="eastAsia" w:ascii="仿宋" w:hAnsi="仿宋" w:eastAsia="仿宋" w:cs="仿宋"/>
          <w:color w:val="auto"/>
          <w:kern w:val="1"/>
          <w:sz w:val="32"/>
          <w:szCs w:val="32"/>
          <w:highlight w:val="none"/>
        </w:rPr>
      </w:pPr>
    </w:p>
    <w:p w14:paraId="25B962B6">
      <w:pPr>
        <w:spacing w:after="317" w:afterLines="10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kern w:val="1"/>
          <w:sz w:val="32"/>
          <w:szCs w:val="32"/>
          <w:highlight w:val="none"/>
          <w:lang w:val="en-US" w:eastAsia="zh-CN"/>
        </w:rPr>
        <w:t>四</w:t>
      </w:r>
      <w:r>
        <w:rPr>
          <w:rFonts w:hint="eastAsia" w:ascii="仿宋" w:hAnsi="仿宋" w:eastAsia="仿宋" w:cs="仿宋"/>
          <w:color w:val="auto"/>
          <w:kern w:val="1"/>
          <w:sz w:val="32"/>
          <w:szCs w:val="32"/>
          <w:highlight w:val="none"/>
        </w:rPr>
        <w:t>、</w:t>
      </w:r>
      <w:r>
        <w:rPr>
          <w:rFonts w:hint="eastAsia" w:ascii="仿宋" w:hAnsi="仿宋" w:eastAsia="仿宋" w:cs="仿宋"/>
          <w:color w:val="auto"/>
          <w:sz w:val="32"/>
          <w:szCs w:val="32"/>
          <w:highlight w:val="none"/>
        </w:rPr>
        <w:t>供应商基本情况表</w:t>
      </w:r>
    </w:p>
    <w:tbl>
      <w:tblPr>
        <w:tblStyle w:val="3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3A71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60319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7947" w:type="dxa"/>
            <w:gridSpan w:val="6"/>
            <w:vAlign w:val="center"/>
          </w:tcPr>
          <w:p w14:paraId="34D7BBD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CD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07B3C3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894" w:type="dxa"/>
            <w:gridSpan w:val="3"/>
            <w:vAlign w:val="center"/>
          </w:tcPr>
          <w:p w14:paraId="46F8904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52DEDEE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627" w:type="dxa"/>
            <w:gridSpan w:val="2"/>
            <w:vAlign w:val="center"/>
          </w:tcPr>
          <w:p w14:paraId="700ECD5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E2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03EBEE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50" w:type="dxa"/>
            <w:vAlign w:val="center"/>
          </w:tcPr>
          <w:p w14:paraId="427BDDB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544" w:type="dxa"/>
            <w:gridSpan w:val="2"/>
            <w:vAlign w:val="center"/>
          </w:tcPr>
          <w:p w14:paraId="2C309E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0417121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627" w:type="dxa"/>
            <w:gridSpan w:val="2"/>
            <w:vAlign w:val="center"/>
          </w:tcPr>
          <w:p w14:paraId="48016AB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7674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28F508D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350" w:type="dxa"/>
            <w:vAlign w:val="center"/>
          </w:tcPr>
          <w:p w14:paraId="76E6A2D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544" w:type="dxa"/>
            <w:gridSpan w:val="2"/>
            <w:vAlign w:val="center"/>
          </w:tcPr>
          <w:p w14:paraId="546117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68BB0F4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627" w:type="dxa"/>
            <w:gridSpan w:val="2"/>
            <w:vAlign w:val="center"/>
          </w:tcPr>
          <w:p w14:paraId="4D2EB4C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448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1E4B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350" w:type="dxa"/>
            <w:vAlign w:val="center"/>
          </w:tcPr>
          <w:p w14:paraId="6539A7A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138" w:type="dxa"/>
            <w:vAlign w:val="center"/>
          </w:tcPr>
          <w:p w14:paraId="667FBA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Align w:val="center"/>
          </w:tcPr>
          <w:p w14:paraId="0D93F3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1426" w:type="dxa"/>
            <w:vAlign w:val="center"/>
          </w:tcPr>
          <w:p w14:paraId="62CEA86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059" w:type="dxa"/>
            <w:vAlign w:val="center"/>
          </w:tcPr>
          <w:p w14:paraId="26024C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68" w:type="dxa"/>
            <w:vAlign w:val="center"/>
          </w:tcPr>
          <w:p w14:paraId="490C8C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61D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773AAA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7947" w:type="dxa"/>
            <w:gridSpan w:val="6"/>
            <w:vAlign w:val="center"/>
          </w:tcPr>
          <w:p w14:paraId="527DE0F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3A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6735FC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2488" w:type="dxa"/>
            <w:gridSpan w:val="2"/>
            <w:vAlign w:val="center"/>
          </w:tcPr>
          <w:p w14:paraId="3E96E05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restart"/>
            <w:vAlign w:val="center"/>
          </w:tcPr>
          <w:p w14:paraId="03E30CB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企业人员</w:t>
            </w:r>
          </w:p>
        </w:tc>
        <w:tc>
          <w:tcPr>
            <w:tcW w:w="1426" w:type="dxa"/>
            <w:vAlign w:val="center"/>
          </w:tcPr>
          <w:p w14:paraId="5A0555D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63FD39C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511E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205AC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2488" w:type="dxa"/>
            <w:gridSpan w:val="2"/>
            <w:vAlign w:val="center"/>
          </w:tcPr>
          <w:p w14:paraId="45E92F9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3C3C000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0EC9E07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63869B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FEF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390E05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2488" w:type="dxa"/>
            <w:gridSpan w:val="2"/>
            <w:vAlign w:val="center"/>
          </w:tcPr>
          <w:p w14:paraId="76728F7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10B1712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7A91416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74D159A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7FC5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FCF2A2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488" w:type="dxa"/>
            <w:gridSpan w:val="2"/>
            <w:vAlign w:val="center"/>
          </w:tcPr>
          <w:p w14:paraId="73831CF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791894A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6EEF3E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245C9B9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576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392A75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947" w:type="dxa"/>
            <w:gridSpan w:val="6"/>
            <w:vAlign w:val="center"/>
          </w:tcPr>
          <w:p w14:paraId="3267BD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317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0F31C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947" w:type="dxa"/>
            <w:gridSpan w:val="6"/>
            <w:vAlign w:val="center"/>
          </w:tcPr>
          <w:p w14:paraId="7CEC2F0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bl>
    <w:p w14:paraId="6A5DFAA2">
      <w:pPr>
        <w:spacing w:before="158" w:beforeLines="5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rPr>
        <w:t>本表后应附营业执照、磋商文件要求的其他资格材料，</w:t>
      </w:r>
      <w:r>
        <w:rPr>
          <w:rFonts w:hint="eastAsia" w:ascii="仿宋" w:hAnsi="仿宋" w:eastAsia="仿宋" w:cs="仿宋"/>
          <w:color w:val="auto"/>
          <w:sz w:val="28"/>
          <w:szCs w:val="28"/>
          <w:highlight w:val="none"/>
        </w:rPr>
        <w:t>供应商可根据本表自行编制。</w:t>
      </w:r>
    </w:p>
    <w:p w14:paraId="4FB339DB">
      <w:pPr>
        <w:spacing w:before="100" w:beforeAutospacing="1" w:after="100" w:afterAutospacing="1" w:line="360" w:lineRule="auto"/>
        <w:rPr>
          <w:rFonts w:hint="eastAsia" w:ascii="仿宋" w:hAnsi="仿宋" w:eastAsia="仿宋" w:cs="仿宋"/>
          <w:color w:val="auto"/>
          <w:sz w:val="32"/>
          <w:szCs w:val="32"/>
          <w:highlight w:val="none"/>
        </w:rPr>
      </w:pPr>
    </w:p>
    <w:p w14:paraId="651637B7">
      <w:pPr>
        <w:spacing w:before="100" w:beforeAutospacing="1" w:after="100" w:afterAutospacing="1" w:line="360" w:lineRule="auto"/>
        <w:rPr>
          <w:rFonts w:hint="eastAsia" w:ascii="仿宋" w:hAnsi="仿宋" w:eastAsia="仿宋" w:cs="仿宋"/>
          <w:color w:val="auto"/>
          <w:sz w:val="32"/>
          <w:szCs w:val="32"/>
          <w:highlight w:val="none"/>
        </w:rPr>
      </w:pPr>
    </w:p>
    <w:p w14:paraId="63D45F04">
      <w:pPr>
        <w:numPr>
          <w:ilvl w:val="0"/>
          <w:numId w:val="0"/>
        </w:numPr>
        <w:spacing w:before="100" w:beforeAutospacing="1" w:after="100" w:afterAutospacing="1"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五、</w:t>
      </w:r>
      <w:r>
        <w:rPr>
          <w:rFonts w:hint="eastAsia" w:ascii="仿宋" w:hAnsi="仿宋" w:eastAsia="仿宋" w:cs="仿宋"/>
          <w:color w:val="auto"/>
          <w:sz w:val="32"/>
          <w:szCs w:val="32"/>
          <w:highlight w:val="none"/>
        </w:rPr>
        <w:t>项目拟投入的人员一览表</w:t>
      </w:r>
    </w:p>
    <w:tbl>
      <w:tblPr>
        <w:tblStyle w:val="111"/>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710"/>
        <w:gridCol w:w="930"/>
        <w:gridCol w:w="960"/>
        <w:gridCol w:w="1050"/>
        <w:gridCol w:w="1860"/>
        <w:gridCol w:w="1783"/>
      </w:tblGrid>
      <w:tr w14:paraId="2801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877" w:type="dxa"/>
            <w:tcBorders>
              <w:left w:val="single" w:color="000000" w:sz="10" w:space="0"/>
            </w:tcBorders>
            <w:vAlign w:val="center"/>
          </w:tcPr>
          <w:p w14:paraId="63FD864A">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710" w:type="dxa"/>
            <w:tcBorders>
              <w:right w:val="single" w:color="000000" w:sz="4" w:space="0"/>
            </w:tcBorders>
            <w:vAlign w:val="center"/>
          </w:tcPr>
          <w:p w14:paraId="5F061F1B">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姓</w:t>
            </w:r>
            <w:r>
              <w:rPr>
                <w:rFonts w:hint="eastAsia" w:ascii="仿宋" w:hAnsi="仿宋" w:eastAsia="仿宋" w:cs="仿宋"/>
                <w:color w:val="auto"/>
                <w:spacing w:val="4"/>
                <w:sz w:val="24"/>
                <w:szCs w:val="24"/>
                <w:highlight w:val="none"/>
              </w:rPr>
              <w:t>名</w:t>
            </w:r>
          </w:p>
        </w:tc>
        <w:tc>
          <w:tcPr>
            <w:tcW w:w="930" w:type="dxa"/>
            <w:tcBorders>
              <w:left w:val="single" w:color="000000" w:sz="4" w:space="0"/>
              <w:right w:val="single" w:color="000000" w:sz="4" w:space="0"/>
            </w:tcBorders>
            <w:vAlign w:val="center"/>
          </w:tcPr>
          <w:p w14:paraId="0BF44591">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性别</w:t>
            </w:r>
          </w:p>
        </w:tc>
        <w:tc>
          <w:tcPr>
            <w:tcW w:w="960" w:type="dxa"/>
            <w:tcBorders>
              <w:left w:val="single" w:color="000000" w:sz="4" w:space="0"/>
              <w:right w:val="single" w:color="000000" w:sz="4" w:space="0"/>
            </w:tcBorders>
            <w:vAlign w:val="center"/>
          </w:tcPr>
          <w:p w14:paraId="30535467">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1050" w:type="dxa"/>
            <w:tcBorders>
              <w:left w:val="single" w:color="000000" w:sz="4" w:space="0"/>
              <w:right w:val="single" w:color="000000" w:sz="4" w:space="0"/>
            </w:tcBorders>
            <w:vAlign w:val="center"/>
          </w:tcPr>
          <w:p w14:paraId="376354BD">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学</w:t>
            </w:r>
            <w:r>
              <w:rPr>
                <w:rFonts w:hint="eastAsia" w:ascii="仿宋" w:hAnsi="仿宋" w:eastAsia="仿宋" w:cs="仿宋"/>
                <w:color w:val="auto"/>
                <w:spacing w:val="2"/>
                <w:sz w:val="24"/>
                <w:szCs w:val="24"/>
                <w:highlight w:val="none"/>
              </w:rPr>
              <w:t>历</w:t>
            </w:r>
          </w:p>
        </w:tc>
        <w:tc>
          <w:tcPr>
            <w:tcW w:w="1860" w:type="dxa"/>
            <w:tcBorders>
              <w:left w:val="single" w:color="000000" w:sz="4" w:space="0"/>
              <w:right w:val="single" w:color="000000" w:sz="4" w:space="0"/>
            </w:tcBorders>
            <w:vAlign w:val="center"/>
          </w:tcPr>
          <w:p w14:paraId="1392A95A">
            <w:pPr>
              <w:spacing w:before="181" w:line="360" w:lineRule="auto"/>
              <w:jc w:val="center"/>
              <w:rPr>
                <w:rFonts w:hint="eastAsia" w:ascii="仿宋" w:hAnsi="仿宋" w:eastAsia="仿宋" w:cs="仿宋"/>
                <w:color w:val="auto"/>
                <w:spacing w:val="7"/>
                <w:position w:val="16"/>
                <w:sz w:val="24"/>
                <w:szCs w:val="24"/>
                <w:highlight w:val="none"/>
              </w:rPr>
            </w:pPr>
            <w:r>
              <w:rPr>
                <w:rFonts w:hint="eastAsia" w:ascii="仿宋" w:hAnsi="仿宋" w:eastAsia="仿宋" w:cs="仿宋"/>
                <w:color w:val="auto"/>
                <w:spacing w:val="9"/>
                <w:position w:val="16"/>
                <w:sz w:val="24"/>
                <w:szCs w:val="24"/>
                <w:highlight w:val="none"/>
              </w:rPr>
              <w:t>在</w:t>
            </w:r>
            <w:r>
              <w:rPr>
                <w:rFonts w:hint="eastAsia" w:ascii="仿宋" w:hAnsi="仿宋" w:eastAsia="仿宋" w:cs="仿宋"/>
                <w:color w:val="auto"/>
                <w:spacing w:val="7"/>
                <w:position w:val="16"/>
                <w:sz w:val="24"/>
                <w:szCs w:val="24"/>
                <w:highlight w:val="none"/>
              </w:rPr>
              <w:t>本项目</w:t>
            </w:r>
          </w:p>
          <w:p w14:paraId="2A6679F2">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w:t>
            </w:r>
            <w:r>
              <w:rPr>
                <w:rFonts w:hint="eastAsia" w:ascii="仿宋" w:hAnsi="仿宋" w:eastAsia="仿宋" w:cs="仿宋"/>
                <w:color w:val="auto"/>
                <w:spacing w:val="7"/>
                <w:sz w:val="24"/>
                <w:szCs w:val="24"/>
                <w:highlight w:val="none"/>
              </w:rPr>
              <w:t>任职务</w:t>
            </w:r>
          </w:p>
        </w:tc>
        <w:tc>
          <w:tcPr>
            <w:tcW w:w="1783" w:type="dxa"/>
            <w:tcBorders>
              <w:left w:val="single" w:color="000000" w:sz="4" w:space="0"/>
              <w:right w:val="single" w:color="000000" w:sz="10" w:space="0"/>
            </w:tcBorders>
            <w:vAlign w:val="center"/>
          </w:tcPr>
          <w:p w14:paraId="4155B8C4">
            <w:pPr>
              <w:spacing w:before="18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3DAE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77" w:type="dxa"/>
            <w:tcBorders>
              <w:left w:val="single" w:color="000000" w:sz="10" w:space="0"/>
            </w:tcBorders>
          </w:tcPr>
          <w:p w14:paraId="200360D3">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10D759CF">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A0A0F5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65FC2E8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22FF9B0E">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DD86C03">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2D719E17">
            <w:pPr>
              <w:spacing w:line="360" w:lineRule="auto"/>
              <w:rPr>
                <w:rFonts w:hint="eastAsia" w:ascii="仿宋" w:hAnsi="仿宋" w:eastAsia="仿宋" w:cs="仿宋"/>
                <w:color w:val="auto"/>
                <w:sz w:val="28"/>
                <w:szCs w:val="32"/>
                <w:highlight w:val="none"/>
              </w:rPr>
            </w:pPr>
          </w:p>
        </w:tc>
      </w:tr>
      <w:tr w14:paraId="4393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77" w:type="dxa"/>
            <w:tcBorders>
              <w:left w:val="single" w:color="000000" w:sz="10" w:space="0"/>
            </w:tcBorders>
          </w:tcPr>
          <w:p w14:paraId="760D5E0E">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22B5428A">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A23DDA4">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1CC9B54B">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1F2CAD8A">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D6B07D8">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2A909776">
            <w:pPr>
              <w:spacing w:line="360" w:lineRule="auto"/>
              <w:rPr>
                <w:rFonts w:hint="eastAsia" w:ascii="仿宋" w:hAnsi="仿宋" w:eastAsia="仿宋" w:cs="仿宋"/>
                <w:color w:val="auto"/>
                <w:sz w:val="28"/>
                <w:szCs w:val="32"/>
                <w:highlight w:val="none"/>
              </w:rPr>
            </w:pPr>
          </w:p>
        </w:tc>
      </w:tr>
      <w:tr w14:paraId="41FA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77" w:type="dxa"/>
            <w:tcBorders>
              <w:left w:val="single" w:color="000000" w:sz="10" w:space="0"/>
            </w:tcBorders>
          </w:tcPr>
          <w:p w14:paraId="76DC7D8A">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6784C7E">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5E39F9BC">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759E97B">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512975E">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2A4A1DF1">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7F030956">
            <w:pPr>
              <w:spacing w:line="360" w:lineRule="auto"/>
              <w:rPr>
                <w:rFonts w:hint="eastAsia" w:ascii="仿宋" w:hAnsi="仿宋" w:eastAsia="仿宋" w:cs="仿宋"/>
                <w:color w:val="auto"/>
                <w:sz w:val="28"/>
                <w:szCs w:val="32"/>
                <w:highlight w:val="none"/>
              </w:rPr>
            </w:pPr>
          </w:p>
        </w:tc>
      </w:tr>
      <w:tr w14:paraId="0B58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77" w:type="dxa"/>
            <w:tcBorders>
              <w:left w:val="single" w:color="000000" w:sz="10" w:space="0"/>
            </w:tcBorders>
          </w:tcPr>
          <w:p w14:paraId="105A540D">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0F4AAC9">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0BD440B3">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51E000BD">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F4C85F0">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B63A35B">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E47E9F4">
            <w:pPr>
              <w:spacing w:line="360" w:lineRule="auto"/>
              <w:rPr>
                <w:rFonts w:hint="eastAsia" w:ascii="仿宋" w:hAnsi="仿宋" w:eastAsia="仿宋" w:cs="仿宋"/>
                <w:color w:val="auto"/>
                <w:sz w:val="28"/>
                <w:szCs w:val="32"/>
                <w:highlight w:val="none"/>
              </w:rPr>
            </w:pPr>
          </w:p>
        </w:tc>
      </w:tr>
      <w:tr w14:paraId="0B94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0CA8A9A1">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531DF77">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036F157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1F6E35B0">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5605BCDD">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478FFB1">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7D3C6C3D">
            <w:pPr>
              <w:spacing w:line="360" w:lineRule="auto"/>
              <w:rPr>
                <w:rFonts w:hint="eastAsia" w:ascii="仿宋" w:hAnsi="仿宋" w:eastAsia="仿宋" w:cs="仿宋"/>
                <w:color w:val="auto"/>
                <w:sz w:val="28"/>
                <w:szCs w:val="32"/>
                <w:highlight w:val="none"/>
              </w:rPr>
            </w:pPr>
          </w:p>
        </w:tc>
      </w:tr>
      <w:tr w14:paraId="1612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0B101423">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7E010BB">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2D9AB1D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3891114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548F0A3">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C996CD6">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3F21CC5D">
            <w:pPr>
              <w:spacing w:line="360" w:lineRule="auto"/>
              <w:rPr>
                <w:rFonts w:hint="eastAsia" w:ascii="仿宋" w:hAnsi="仿宋" w:eastAsia="仿宋" w:cs="仿宋"/>
                <w:color w:val="auto"/>
                <w:sz w:val="28"/>
                <w:szCs w:val="32"/>
                <w:highlight w:val="none"/>
              </w:rPr>
            </w:pPr>
          </w:p>
        </w:tc>
      </w:tr>
      <w:tr w14:paraId="552D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6D31CD0A">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724ECB7E">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1DCEBD1E">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60893113">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693048E6">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7FE1C0E9">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98C6310">
            <w:pPr>
              <w:spacing w:line="360" w:lineRule="auto"/>
              <w:rPr>
                <w:rFonts w:hint="eastAsia" w:ascii="仿宋" w:hAnsi="仿宋" w:eastAsia="仿宋" w:cs="仿宋"/>
                <w:color w:val="auto"/>
                <w:sz w:val="28"/>
                <w:szCs w:val="32"/>
                <w:highlight w:val="none"/>
              </w:rPr>
            </w:pPr>
          </w:p>
        </w:tc>
      </w:tr>
      <w:tr w14:paraId="7C4E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877" w:type="dxa"/>
            <w:tcBorders>
              <w:left w:val="single" w:color="000000" w:sz="10" w:space="0"/>
            </w:tcBorders>
          </w:tcPr>
          <w:p w14:paraId="5082A7A6">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8336AB3">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0B73C70">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5CA7602">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6CFB730B">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73C014F0">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09475B1">
            <w:pPr>
              <w:spacing w:line="360" w:lineRule="auto"/>
              <w:rPr>
                <w:rFonts w:hint="eastAsia" w:ascii="仿宋" w:hAnsi="仿宋" w:eastAsia="仿宋" w:cs="仿宋"/>
                <w:color w:val="auto"/>
                <w:sz w:val="28"/>
                <w:szCs w:val="32"/>
                <w:highlight w:val="none"/>
              </w:rPr>
            </w:pPr>
          </w:p>
        </w:tc>
      </w:tr>
      <w:tr w14:paraId="7664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4A05CDB0">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3BEAD13B">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4F2E07D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322D76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74146A32">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053B98EE">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47E760A6">
            <w:pPr>
              <w:spacing w:line="360" w:lineRule="auto"/>
              <w:rPr>
                <w:rFonts w:hint="eastAsia" w:ascii="仿宋" w:hAnsi="仿宋" w:eastAsia="仿宋" w:cs="仿宋"/>
                <w:color w:val="auto"/>
                <w:sz w:val="28"/>
                <w:szCs w:val="32"/>
                <w:highlight w:val="none"/>
              </w:rPr>
            </w:pPr>
          </w:p>
        </w:tc>
      </w:tr>
      <w:tr w14:paraId="74782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77F7B364">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27F0D609">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6B14D714">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8542B5C">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A99D9CF">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6D3FB46">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1A3B9BFF">
            <w:pPr>
              <w:spacing w:line="360" w:lineRule="auto"/>
              <w:rPr>
                <w:rFonts w:hint="eastAsia" w:ascii="仿宋" w:hAnsi="仿宋" w:eastAsia="仿宋" w:cs="仿宋"/>
                <w:color w:val="auto"/>
                <w:sz w:val="28"/>
                <w:szCs w:val="32"/>
                <w:highlight w:val="none"/>
              </w:rPr>
            </w:pPr>
          </w:p>
        </w:tc>
      </w:tr>
      <w:tr w14:paraId="0740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170096C0">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05855E7A">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3C48A81C">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72A78323">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7FC363FD">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55BC9EE">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1477E4C5">
            <w:pPr>
              <w:spacing w:line="360" w:lineRule="auto"/>
              <w:rPr>
                <w:rFonts w:hint="eastAsia" w:ascii="仿宋" w:hAnsi="仿宋" w:eastAsia="仿宋" w:cs="仿宋"/>
                <w:color w:val="auto"/>
                <w:sz w:val="28"/>
                <w:szCs w:val="32"/>
                <w:highlight w:val="none"/>
              </w:rPr>
            </w:pPr>
          </w:p>
        </w:tc>
      </w:tr>
    </w:tbl>
    <w:p w14:paraId="62260DA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要求：后附相关人员身份证、劳务合同等磋商文件要求的相关资料复印件加盖鲜章。</w:t>
      </w:r>
    </w:p>
    <w:p w14:paraId="5C214F70">
      <w:pPr>
        <w:spacing w:line="360" w:lineRule="auto"/>
        <w:ind w:firstLine="3640" w:firstLineChars="1300"/>
        <w:rPr>
          <w:rFonts w:hint="eastAsia" w:ascii="仿宋" w:hAnsi="仿宋" w:eastAsia="仿宋" w:cs="仿宋"/>
          <w:color w:val="auto"/>
          <w:sz w:val="28"/>
          <w:szCs w:val="28"/>
          <w:highlight w:val="none"/>
        </w:rPr>
      </w:pPr>
    </w:p>
    <w:p w14:paraId="7ABAD51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1762472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41C52833">
      <w:pPr>
        <w:spacing w:before="100" w:beforeAutospacing="1" w:after="100" w:afterAutospacing="1"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7762667">
      <w:pPr>
        <w:spacing w:before="100" w:beforeAutospacing="1" w:after="100" w:afterAutospacing="1"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、在经营活动中没有重大违法记录的书面声明</w:t>
      </w:r>
    </w:p>
    <w:p w14:paraId="38401D1D">
      <w:pPr>
        <w:spacing w:line="360" w:lineRule="auto"/>
        <w:jc w:val="center"/>
        <w:rPr>
          <w:rFonts w:hint="eastAsia" w:ascii="仿宋" w:hAnsi="仿宋" w:eastAsia="仿宋" w:cs="仿宋"/>
          <w:color w:val="auto"/>
          <w:sz w:val="28"/>
          <w:szCs w:val="28"/>
          <w:highlight w:val="none"/>
        </w:rPr>
      </w:pPr>
    </w:p>
    <w:p w14:paraId="5F53BC7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我方在参加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（项目名称）政府采购活动前3年内，</w:t>
      </w:r>
    </w:p>
    <w:p w14:paraId="7204E6B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我方被公开披露或查处的违法违规行为有：</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，但在经营活动中没有重大违法记录（重大违法记录指</w:t>
      </w:r>
      <w:r>
        <w:rPr>
          <w:rFonts w:hint="eastAsia" w:ascii="仿宋" w:hAnsi="仿宋" w:eastAsia="仿宋" w:cs="仿宋"/>
          <w:color w:val="auto"/>
          <w:kern w:val="0"/>
          <w:sz w:val="28"/>
          <w:szCs w:val="28"/>
          <w:highlight w:val="none"/>
        </w:rPr>
        <w:t>供应商因违法经营受到刑事处罚或者责令停产停业、吊销许可证或者执照、较大数额罚款等行政处罚）</w:t>
      </w:r>
      <w:r>
        <w:rPr>
          <w:rFonts w:hint="eastAsia" w:ascii="仿宋" w:hAnsi="仿宋" w:eastAsia="仿宋" w:cs="仿宋"/>
          <w:color w:val="auto"/>
          <w:sz w:val="28"/>
          <w:szCs w:val="28"/>
          <w:highlight w:val="none"/>
        </w:rPr>
        <w:t>。</w:t>
      </w:r>
    </w:p>
    <w:p w14:paraId="76D97779">
      <w:pPr>
        <w:spacing w:line="360" w:lineRule="auto"/>
        <w:ind w:firstLine="560" w:firstLineChars="200"/>
        <w:rPr>
          <w:rFonts w:hint="eastAsia" w:ascii="仿宋" w:hAnsi="仿宋" w:eastAsia="仿宋" w:cs="仿宋"/>
          <w:color w:val="auto"/>
          <w:sz w:val="28"/>
          <w:szCs w:val="28"/>
          <w:highlight w:val="none"/>
        </w:rPr>
      </w:pPr>
    </w:p>
    <w:p w14:paraId="638B0108">
      <w:pPr>
        <w:spacing w:line="360" w:lineRule="auto"/>
        <w:ind w:firstLine="560" w:firstLineChars="200"/>
        <w:jc w:val="right"/>
        <w:rPr>
          <w:rFonts w:hint="eastAsia" w:ascii="仿宋" w:hAnsi="仿宋" w:eastAsia="仿宋" w:cs="仿宋"/>
          <w:color w:val="auto"/>
          <w:sz w:val="28"/>
          <w:szCs w:val="28"/>
          <w:highlight w:val="none"/>
        </w:rPr>
      </w:pPr>
    </w:p>
    <w:p w14:paraId="77BE290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69EACF">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BD7A431">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602FE22">
      <w:pPr>
        <w:spacing w:line="360" w:lineRule="auto"/>
        <w:ind w:firstLine="560" w:firstLineChars="200"/>
        <w:rPr>
          <w:rFonts w:hint="eastAsia" w:ascii="仿宋" w:hAnsi="仿宋" w:eastAsia="仿宋" w:cs="仿宋"/>
          <w:color w:val="auto"/>
          <w:sz w:val="28"/>
          <w:szCs w:val="28"/>
          <w:highlight w:val="none"/>
        </w:rPr>
      </w:pPr>
    </w:p>
    <w:p w14:paraId="6BB8FEFD">
      <w:pPr>
        <w:spacing w:line="360" w:lineRule="auto"/>
        <w:ind w:firstLine="560" w:firstLineChars="200"/>
        <w:rPr>
          <w:rFonts w:hint="eastAsia" w:ascii="仿宋" w:hAnsi="仿宋" w:eastAsia="仿宋" w:cs="仿宋"/>
          <w:color w:val="auto"/>
          <w:sz w:val="28"/>
          <w:szCs w:val="28"/>
          <w:highlight w:val="none"/>
        </w:rPr>
      </w:pPr>
    </w:p>
    <w:p w14:paraId="25929F60">
      <w:pPr>
        <w:spacing w:line="360" w:lineRule="auto"/>
        <w:ind w:firstLine="560" w:firstLineChars="200"/>
        <w:rPr>
          <w:rFonts w:hint="eastAsia" w:ascii="仿宋" w:hAnsi="仿宋" w:eastAsia="仿宋" w:cs="仿宋"/>
          <w:color w:val="auto"/>
          <w:sz w:val="28"/>
          <w:szCs w:val="28"/>
          <w:highlight w:val="none"/>
        </w:rPr>
      </w:pPr>
    </w:p>
    <w:p w14:paraId="3EAB6FEA">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备注：供应商没有被公开披露或查处违法违规行为的，注明“无”即可。</w:t>
      </w:r>
    </w:p>
    <w:p w14:paraId="2E354919">
      <w:pPr>
        <w:widowControl/>
        <w:autoSpaceDE w:val="0"/>
        <w:autoSpaceDN w:val="0"/>
        <w:adjustRightInd w:val="0"/>
        <w:spacing w:line="360" w:lineRule="auto"/>
        <w:ind w:right="-481"/>
        <w:jc w:val="left"/>
        <w:rPr>
          <w:rStyle w:val="72"/>
          <w:rFonts w:hint="eastAsia" w:cs="仿宋"/>
          <w:color w:val="auto"/>
          <w:sz w:val="28"/>
          <w:szCs w:val="28"/>
          <w:highlight w:val="none"/>
        </w:rPr>
      </w:pPr>
    </w:p>
    <w:p w14:paraId="068A6B42">
      <w:pPr>
        <w:widowControl/>
        <w:autoSpaceDE w:val="0"/>
        <w:autoSpaceDN w:val="0"/>
        <w:adjustRightIn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color w:val="auto"/>
          <w:kern w:val="1"/>
          <w:sz w:val="28"/>
          <w:szCs w:val="28"/>
          <w:highlight w:val="none"/>
        </w:rPr>
        <w:br w:type="page"/>
      </w: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32"/>
          <w:szCs w:val="32"/>
          <w:highlight w:val="none"/>
        </w:rPr>
        <w:t>、</w:t>
      </w:r>
      <w:r>
        <w:rPr>
          <w:rFonts w:hint="eastAsia" w:ascii="仿宋" w:hAnsi="仿宋" w:eastAsia="仿宋" w:cs="仿宋"/>
          <w:bCs/>
          <w:color w:val="auto"/>
          <w:sz w:val="32"/>
          <w:szCs w:val="32"/>
          <w:highlight w:val="none"/>
        </w:rPr>
        <w:t>不参与围标串标承诺书</w:t>
      </w:r>
    </w:p>
    <w:p w14:paraId="74F1694D">
      <w:pPr>
        <w:pStyle w:val="31"/>
        <w:spacing w:line="360" w:lineRule="auto"/>
        <w:rPr>
          <w:rFonts w:hint="eastAsia" w:ascii="仿宋" w:hAnsi="仿宋" w:eastAsia="仿宋" w:cs="仿宋"/>
          <w:b/>
          <w:color w:val="auto"/>
          <w:sz w:val="28"/>
          <w:szCs w:val="28"/>
          <w:highlight w:val="none"/>
        </w:rPr>
      </w:pPr>
    </w:p>
    <w:p w14:paraId="4F89F13C">
      <w:pPr>
        <w:pStyle w:val="10"/>
        <w:spacing w:line="360" w:lineRule="auto"/>
        <w:rPr>
          <w:color w:val="auto"/>
          <w:highlight w:val="none"/>
        </w:rPr>
      </w:pPr>
    </w:p>
    <w:p w14:paraId="66D8BCF6">
      <w:pPr>
        <w:pStyle w:val="13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本人作为</w:t>
      </w:r>
      <w:r>
        <w:rPr>
          <w:rFonts w:hint="eastAsia" w:ascii="仿宋" w:hAnsi="仿宋" w:eastAsia="仿宋" w:cs="仿宋"/>
          <w:color w:val="auto"/>
          <w:sz w:val="28"/>
          <w:szCs w:val="28"/>
          <w:highlight w:val="none"/>
          <w:u w:val="single"/>
        </w:rPr>
        <w:t xml:space="preserve">（单位名称）                      </w:t>
      </w:r>
      <w:r>
        <w:rPr>
          <w:rFonts w:hint="eastAsia" w:ascii="仿宋" w:hAnsi="仿宋" w:eastAsia="仿宋" w:cs="仿宋"/>
          <w:color w:val="auto"/>
          <w:sz w:val="28"/>
          <w:szCs w:val="28"/>
          <w:highlight w:val="none"/>
        </w:rPr>
        <w:t>的法人，清楚知晓我公司本项目投标活动，对以下事项作出承诺：</w:t>
      </w:r>
    </w:p>
    <w:p w14:paraId="27F7A36B">
      <w:pPr>
        <w:pStyle w:val="13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一、我单位遵循公开、公平、公正、诚实守信的原则，依法依规参与本项目竞标。</w:t>
      </w:r>
    </w:p>
    <w:p w14:paraId="08F77FB5">
      <w:pPr>
        <w:pStyle w:val="139"/>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二、我单位在本项目招标投标活动中，未参与围标串标。</w:t>
      </w:r>
    </w:p>
    <w:p w14:paraId="5F189656">
      <w:pPr>
        <w:pStyle w:val="139"/>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04A18FC4">
      <w:pPr>
        <w:pStyle w:val="139"/>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A2DC9B7">
      <w:pPr>
        <w:pStyle w:val="139"/>
        <w:spacing w:line="360" w:lineRule="auto"/>
        <w:jc w:val="left"/>
        <w:rPr>
          <w:rFonts w:hint="eastAsia" w:ascii="仿宋" w:hAnsi="仿宋" w:eastAsia="仿宋" w:cs="仿宋"/>
          <w:color w:val="auto"/>
          <w:sz w:val="28"/>
          <w:szCs w:val="28"/>
          <w:highlight w:val="none"/>
        </w:rPr>
      </w:pPr>
    </w:p>
    <w:p w14:paraId="170AF511">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62BA25AD">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0FA7D7B8">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317B64C">
      <w:pPr>
        <w:widowControl/>
        <w:autoSpaceDE w:val="0"/>
        <w:autoSpaceDN w:val="0"/>
        <w:adjustRightInd w:val="0"/>
        <w:spacing w:line="360" w:lineRule="auto"/>
        <w:rPr>
          <w:rStyle w:val="72"/>
          <w:rFonts w:hint="eastAsia" w:cs="仿宋"/>
          <w:color w:val="auto"/>
          <w:sz w:val="28"/>
          <w:szCs w:val="28"/>
          <w:highlight w:val="none"/>
        </w:rPr>
      </w:pPr>
    </w:p>
    <w:p w14:paraId="7C3F4110">
      <w:pPr>
        <w:widowControl/>
        <w:autoSpaceDE w:val="0"/>
        <w:autoSpaceDN w:val="0"/>
        <w:adjustRightInd w:val="0"/>
        <w:spacing w:line="360" w:lineRule="auto"/>
        <w:rPr>
          <w:rStyle w:val="72"/>
          <w:rFonts w:hint="eastAsia" w:cs="仿宋"/>
          <w:color w:val="auto"/>
          <w:sz w:val="28"/>
          <w:szCs w:val="28"/>
          <w:highlight w:val="none"/>
        </w:rPr>
      </w:pPr>
    </w:p>
    <w:p w14:paraId="2CEFD06F">
      <w:pPr>
        <w:widowControl/>
        <w:autoSpaceDE w:val="0"/>
        <w:autoSpaceDN w:val="0"/>
        <w:adjustRightInd w:val="0"/>
        <w:spacing w:line="360" w:lineRule="auto"/>
        <w:rPr>
          <w:rStyle w:val="72"/>
          <w:rFonts w:hint="eastAsia" w:cs="仿宋"/>
          <w:color w:val="auto"/>
          <w:sz w:val="28"/>
          <w:szCs w:val="28"/>
          <w:highlight w:val="none"/>
        </w:rPr>
      </w:pPr>
    </w:p>
    <w:p w14:paraId="5378EF3A">
      <w:pPr>
        <w:widowControl/>
        <w:autoSpaceDE w:val="0"/>
        <w:autoSpaceDN w:val="0"/>
        <w:adjustRightInd w:val="0"/>
        <w:spacing w:line="360" w:lineRule="auto"/>
        <w:rPr>
          <w:rStyle w:val="72"/>
          <w:rFonts w:hint="eastAsia" w:cs="仿宋"/>
          <w:color w:val="auto"/>
          <w:sz w:val="28"/>
          <w:szCs w:val="28"/>
          <w:highlight w:val="none"/>
        </w:rPr>
      </w:pPr>
    </w:p>
    <w:p w14:paraId="36AB96E0">
      <w:pPr>
        <w:widowControl/>
        <w:autoSpaceDE w:val="0"/>
        <w:autoSpaceDN w:val="0"/>
        <w:adjustRightInd w:val="0"/>
        <w:spacing w:line="360" w:lineRule="auto"/>
        <w:rPr>
          <w:rStyle w:val="72"/>
          <w:rFonts w:hint="eastAsia" w:cs="仿宋"/>
          <w:color w:val="auto"/>
          <w:sz w:val="28"/>
          <w:szCs w:val="28"/>
          <w:highlight w:val="none"/>
        </w:rPr>
      </w:pPr>
    </w:p>
    <w:p w14:paraId="5AE62670">
      <w:pPr>
        <w:widowControl/>
        <w:autoSpaceDE w:val="0"/>
        <w:autoSpaceDN w:val="0"/>
        <w:adjustRightInd w:val="0"/>
        <w:spacing w:line="360" w:lineRule="auto"/>
        <w:rPr>
          <w:rStyle w:val="72"/>
          <w:rFonts w:hint="eastAsia" w:cs="仿宋"/>
          <w:color w:val="auto"/>
          <w:sz w:val="28"/>
          <w:szCs w:val="28"/>
          <w:highlight w:val="none"/>
        </w:rPr>
      </w:pPr>
    </w:p>
    <w:p w14:paraId="38311BC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承诺书</w:t>
      </w:r>
    </w:p>
    <w:p w14:paraId="0093EF1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w:t>
      </w:r>
    </w:p>
    <w:p w14:paraId="1DFB631E">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我公司积极参加_______________________项目投标，现将有关事项向贵单位郑重承诺如下:</w:t>
      </w:r>
    </w:p>
    <w:p w14:paraId="678011B7">
      <w:pPr>
        <w:spacing w:line="360" w:lineRule="auto"/>
        <w:ind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b/>
          <w:bCs/>
          <w:color w:val="auto"/>
          <w:sz w:val="28"/>
          <w:szCs w:val="28"/>
          <w:highlight w:val="none"/>
        </w:rPr>
        <w:t>不行贿： </w:t>
      </w:r>
      <w:r>
        <w:rPr>
          <w:rFonts w:hint="eastAsia" w:ascii="仿宋" w:hAnsi="仿宋" w:eastAsia="仿宋" w:cs="仿宋"/>
          <w:color w:val="auto"/>
          <w:sz w:val="28"/>
          <w:szCs w:val="28"/>
          <w:highlight w:val="none"/>
        </w:rPr>
        <w:t>在项目建设过程中，我们将严格遵守国家法律法规，坚决杜绝任何形式的行贿行为。我们将秉持公正、公平、公开的原则，与各方合作伙伴保持良好的合作关系。</w:t>
      </w:r>
    </w:p>
    <w:p w14:paraId="6CA8FE4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2. </w:t>
      </w:r>
      <w:r>
        <w:rPr>
          <w:rFonts w:hint="eastAsia" w:ascii="仿宋" w:hAnsi="仿宋" w:eastAsia="仿宋" w:cs="仿宋"/>
          <w:b/>
          <w:bCs/>
          <w:color w:val="auto"/>
          <w:sz w:val="28"/>
          <w:szCs w:val="28"/>
          <w:highlight w:val="none"/>
        </w:rPr>
        <w:t>不出现“双拖欠”：</w:t>
      </w:r>
      <w:r>
        <w:rPr>
          <w:rFonts w:hint="eastAsia" w:ascii="仿宋" w:hAnsi="仿宋" w:eastAsia="仿宋" w:cs="仿宋"/>
          <w:color w:val="auto"/>
          <w:sz w:val="28"/>
          <w:szCs w:val="28"/>
          <w:highlight w:val="none"/>
        </w:rPr>
        <w:t>我公司将建立健全的财务管理制度，确保资金的合理使用和及时支付，保证按照合同约定，按时足额支付工人工资和供应商款项，绝不出现拖欠工资和工程款的现象。</w:t>
      </w:r>
    </w:p>
    <w:p w14:paraId="72BA8FE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3. </w:t>
      </w:r>
      <w:r>
        <w:rPr>
          <w:rFonts w:hint="eastAsia" w:ascii="仿宋" w:hAnsi="仿宋" w:eastAsia="仿宋" w:cs="仿宋"/>
          <w:b/>
          <w:bCs/>
          <w:color w:val="auto"/>
          <w:sz w:val="28"/>
          <w:szCs w:val="28"/>
          <w:highlight w:val="none"/>
        </w:rPr>
        <w:t>不违法转包、非法分包： </w:t>
      </w:r>
      <w:r>
        <w:rPr>
          <w:rFonts w:hint="eastAsia" w:ascii="仿宋" w:hAnsi="仿宋" w:eastAsia="仿宋" w:cs="仿宋"/>
          <w:color w:val="auto"/>
          <w:sz w:val="28"/>
          <w:szCs w:val="28"/>
          <w:highlight w:val="none"/>
        </w:rPr>
        <w:t>我们将严格遵守合同约定，保证按照投标文件约定的班组成员进驻施工现场，绝不违法转包、非法分包，确保工程质量和进度。</w:t>
      </w:r>
    </w:p>
    <w:p w14:paraId="5DF305C8">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4. </w:t>
      </w:r>
      <w:r>
        <w:rPr>
          <w:rFonts w:hint="eastAsia" w:ascii="仿宋" w:hAnsi="仿宋" w:eastAsia="仿宋" w:cs="仿宋"/>
          <w:b/>
          <w:bCs/>
          <w:color w:val="auto"/>
          <w:sz w:val="28"/>
          <w:szCs w:val="28"/>
          <w:highlight w:val="none"/>
        </w:rPr>
        <w:t>良好工程建设信誉：</w:t>
      </w:r>
      <w:r>
        <w:rPr>
          <w:rFonts w:hint="eastAsia" w:ascii="仿宋" w:hAnsi="仿宋" w:eastAsia="仿宋" w:cs="仿宋"/>
          <w:color w:val="auto"/>
          <w:sz w:val="28"/>
          <w:szCs w:val="28"/>
          <w:highlight w:val="none"/>
        </w:rPr>
        <w:t>我们郑重承诺，在本地区具有良好的工程建设信誉，承诺安全文明施工并提供高质量的工程建设。致力于建立良好的工程建设信誉，信守承诺，为地区经济建设和社会事业发展贡献力量。</w:t>
      </w:r>
    </w:p>
    <w:p w14:paraId="592A1C3F">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如有违反上述承诺，我们愿意承担相应的法律责任和经济赔偿责任，同时，积极配合有关部门的调查和处理，接受社会监督。</w:t>
      </w:r>
    </w:p>
    <w:p w14:paraId="3EB578CD">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承诺单位： </w:t>
      </w:r>
    </w:p>
    <w:p w14:paraId="60F15DB2">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721CF419">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0FA6F281">
      <w:pPr>
        <w:widowControl/>
        <w:autoSpaceDE w:val="0"/>
        <w:autoSpaceDN w:val="0"/>
        <w:adjustRightInd w:val="0"/>
        <w:spacing w:line="360" w:lineRule="auto"/>
        <w:ind w:firstLine="504"/>
        <w:jc w:val="center"/>
        <w:rPr>
          <w:rFonts w:hint="eastAsia" w:ascii="仿宋" w:hAnsi="仿宋" w:eastAsia="仿宋" w:cs="仿宋"/>
          <w:color w:val="auto"/>
          <w:kern w:val="1"/>
          <w:sz w:val="28"/>
          <w:szCs w:val="28"/>
          <w:highlight w:val="none"/>
          <w:lang w:val="en-US" w:eastAsia="zh-CN"/>
        </w:rPr>
      </w:pPr>
    </w:p>
    <w:p w14:paraId="5CB313C1">
      <w:pPr>
        <w:widowControl/>
        <w:autoSpaceDE w:val="0"/>
        <w:autoSpaceDN w:val="0"/>
        <w:adjustRightInd w:val="0"/>
        <w:spacing w:line="360" w:lineRule="auto"/>
        <w:ind w:firstLine="504"/>
        <w:jc w:val="center"/>
        <w:rPr>
          <w:rFonts w:hint="eastAsia" w:ascii="仿宋" w:hAnsi="仿宋" w:eastAsia="仿宋" w:cs="仿宋"/>
          <w:color w:val="auto"/>
          <w:kern w:val="1"/>
          <w:sz w:val="28"/>
          <w:szCs w:val="28"/>
          <w:highlight w:val="none"/>
          <w:lang w:val="en-US" w:eastAsia="zh-CN"/>
        </w:rPr>
      </w:pPr>
    </w:p>
    <w:p w14:paraId="706772E0">
      <w:pPr>
        <w:widowControl/>
        <w:autoSpaceDE w:val="0"/>
        <w:autoSpaceDN w:val="0"/>
        <w:adjustRightInd w:val="0"/>
        <w:spacing w:line="360" w:lineRule="auto"/>
        <w:ind w:firstLine="504"/>
        <w:jc w:val="center"/>
        <w:rPr>
          <w:rFonts w:hint="eastAsia" w:ascii="仿宋" w:hAnsi="仿宋" w:eastAsia="仿宋" w:cs="仿宋"/>
          <w:color w:val="auto"/>
          <w:kern w:val="1"/>
          <w:sz w:val="32"/>
          <w:szCs w:val="32"/>
          <w:highlight w:val="none"/>
          <w:lang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、中小</w:t>
      </w:r>
      <w:r>
        <w:rPr>
          <w:rFonts w:hint="eastAsia" w:ascii="仿宋" w:hAnsi="仿宋" w:eastAsia="仿宋" w:cs="仿宋"/>
          <w:color w:val="auto"/>
          <w:kern w:val="1"/>
          <w:sz w:val="32"/>
          <w:szCs w:val="32"/>
          <w:highlight w:val="none"/>
        </w:rPr>
        <w:t>企业声明函</w:t>
      </w:r>
      <w:r>
        <w:rPr>
          <w:rFonts w:hint="eastAsia" w:ascii="仿宋" w:hAnsi="仿宋" w:eastAsia="仿宋" w:cs="仿宋"/>
          <w:color w:val="auto"/>
          <w:kern w:val="1"/>
          <w:sz w:val="32"/>
          <w:szCs w:val="32"/>
          <w:highlight w:val="none"/>
          <w:lang w:eastAsia="zh-CN"/>
        </w:rPr>
        <w:t>（</w:t>
      </w:r>
      <w:r>
        <w:rPr>
          <w:rFonts w:hint="eastAsia" w:ascii="仿宋" w:hAnsi="仿宋" w:eastAsia="仿宋" w:cs="仿宋"/>
          <w:color w:val="auto"/>
          <w:kern w:val="1"/>
          <w:sz w:val="32"/>
          <w:szCs w:val="32"/>
          <w:highlight w:val="none"/>
          <w:lang w:val="en-US" w:eastAsia="zh-CN"/>
        </w:rPr>
        <w:t>如有</w:t>
      </w:r>
      <w:r>
        <w:rPr>
          <w:rFonts w:hint="eastAsia" w:ascii="仿宋" w:hAnsi="仿宋" w:eastAsia="仿宋" w:cs="仿宋"/>
          <w:color w:val="auto"/>
          <w:kern w:val="1"/>
          <w:sz w:val="32"/>
          <w:szCs w:val="32"/>
          <w:highlight w:val="none"/>
          <w:lang w:eastAsia="zh-CN"/>
        </w:rPr>
        <w:t>）</w:t>
      </w:r>
    </w:p>
    <w:p w14:paraId="31F4AA78">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本公司（联合体）郑重声明，根据《政府采购促进中小企业发展管理办法》（财库﹝2020﹞46 号）的规定，本公司（联合体）参加</w:t>
      </w:r>
      <w:r>
        <w:rPr>
          <w:rStyle w:val="72"/>
          <w:rFonts w:hint="eastAsia" w:eastAsia="仿宋" w:cs="仿宋"/>
          <w:color w:val="auto"/>
          <w:sz w:val="28"/>
          <w:szCs w:val="28"/>
          <w:highlight w:val="none"/>
          <w:u w:val="single"/>
          <w:lang w:val="en-US" w:eastAsia="zh-CN"/>
        </w:rPr>
        <w:t xml:space="preserve"> </w:t>
      </w:r>
      <w:r>
        <w:rPr>
          <w:rStyle w:val="72"/>
          <w:rFonts w:hint="eastAsia" w:cs="仿宋"/>
          <w:color w:val="auto"/>
          <w:sz w:val="28"/>
          <w:szCs w:val="28"/>
          <w:highlight w:val="none"/>
          <w:u w:val="single"/>
          <w:lang w:eastAsia="zh-CN"/>
        </w:rPr>
        <w:t>新和县发展和改革委员会</w:t>
      </w:r>
      <w:r>
        <w:rPr>
          <w:rStyle w:val="72"/>
          <w:rFonts w:hint="eastAsia" w:cs="仿宋"/>
          <w:color w:val="auto"/>
          <w:sz w:val="28"/>
          <w:szCs w:val="28"/>
          <w:highlight w:val="none"/>
          <w:u w:val="single"/>
          <w:lang w:val="en-US" w:eastAsia="zh-CN"/>
        </w:rPr>
        <w:t xml:space="preserve"> </w:t>
      </w:r>
      <w:r>
        <w:rPr>
          <w:rStyle w:val="72"/>
          <w:rFonts w:hint="eastAsia" w:cs="仿宋"/>
          <w:color w:val="auto"/>
          <w:sz w:val="28"/>
          <w:szCs w:val="28"/>
          <w:highlight w:val="none"/>
        </w:rPr>
        <w:t>的</w:t>
      </w:r>
      <w:r>
        <w:rPr>
          <w:rStyle w:val="72"/>
          <w:rFonts w:hint="eastAsia" w:eastAsia="仿宋" w:cs="仿宋"/>
          <w:color w:val="auto"/>
          <w:sz w:val="28"/>
          <w:szCs w:val="28"/>
          <w:highlight w:val="none"/>
          <w:u w:val="single"/>
          <w:lang w:val="en-US" w:eastAsia="zh-CN"/>
        </w:rPr>
        <w:t xml:space="preserve"> </w:t>
      </w:r>
      <w:r>
        <w:rPr>
          <w:rStyle w:val="72"/>
          <w:rFonts w:hint="eastAsia" w:cs="仿宋"/>
          <w:color w:val="auto"/>
          <w:sz w:val="28"/>
          <w:szCs w:val="28"/>
          <w:highlight w:val="none"/>
          <w:u w:val="single"/>
          <w:lang w:val="en-US" w:eastAsia="zh-CN"/>
        </w:rPr>
        <w:t>新和县碳达峰碳中和规划（含煤炭消费控制总量、全县碳排放总量摸排）</w:t>
      </w:r>
      <w:r>
        <w:rPr>
          <w:rStyle w:val="72"/>
          <w:rFonts w:hint="eastAsia" w:eastAsia="仿宋" w:cs="仿宋"/>
          <w:color w:val="auto"/>
          <w:sz w:val="28"/>
          <w:szCs w:val="28"/>
          <w:highlight w:val="none"/>
          <w:u w:val="single"/>
          <w:lang w:val="en-US" w:eastAsia="zh-CN"/>
        </w:rPr>
        <w:t xml:space="preserve"> </w:t>
      </w:r>
      <w:r>
        <w:rPr>
          <w:rStyle w:val="72"/>
          <w:rFonts w:hint="eastAsia" w:cs="仿宋"/>
          <w:color w:val="auto"/>
          <w:sz w:val="28"/>
          <w:szCs w:val="28"/>
          <w:highlight w:val="none"/>
        </w:rPr>
        <w:t>采购活动，服务全部为符合政策要求的中小企业承接。相关企业（含联合体中的中小企业、签订分包意向协议的中小企业） 的具体情况如下：</w:t>
      </w:r>
    </w:p>
    <w:p w14:paraId="49C7D26C">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1.</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u w:val="single"/>
          <w:lang w:val="en-US" w:eastAsia="zh-CN"/>
        </w:rPr>
        <w:t>新和县碳达峰碳中和规划（含煤炭消费控制总量、全县碳排放总量摸排）</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，属于</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u w:val="single"/>
          <w:lang w:val="en-US" w:eastAsia="zh-CN"/>
        </w:rPr>
        <w:t>其他未列明行业</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；承建（承接）企业为</w:t>
      </w:r>
      <w:r>
        <w:rPr>
          <w:rStyle w:val="72"/>
          <w:rFonts w:hint="eastAsia" w:cs="仿宋"/>
          <w:color w:val="auto"/>
          <w:sz w:val="28"/>
          <w:szCs w:val="28"/>
          <w:highlight w:val="none"/>
          <w:u w:val="single"/>
        </w:rPr>
        <w:t>（企业名称）</w:t>
      </w:r>
      <w:r>
        <w:rPr>
          <w:rStyle w:val="72"/>
          <w:rFonts w:hint="eastAsia" w:cs="仿宋"/>
          <w:color w:val="auto"/>
          <w:sz w:val="28"/>
          <w:szCs w:val="28"/>
          <w:highlight w:val="none"/>
        </w:rPr>
        <w:t>，从业人员</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人，营业收入为</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万元，资产总额为</w:t>
      </w:r>
      <w:r>
        <w:rPr>
          <w:rStyle w:val="72"/>
          <w:rFonts w:hint="eastAsia" w:cs="仿宋"/>
          <w:color w:val="auto"/>
          <w:sz w:val="28"/>
          <w:szCs w:val="28"/>
          <w:highlight w:val="none"/>
          <w:u w:val="single"/>
        </w:rPr>
        <w:t xml:space="preserve">    </w:t>
      </w:r>
      <w:r>
        <w:rPr>
          <w:rStyle w:val="72"/>
          <w:rFonts w:hint="eastAsia" w:cs="仿宋"/>
          <w:color w:val="auto"/>
          <w:sz w:val="28"/>
          <w:szCs w:val="28"/>
          <w:highlight w:val="none"/>
        </w:rPr>
        <w:t>万元，属于</w:t>
      </w:r>
      <w:r>
        <w:rPr>
          <w:rStyle w:val="72"/>
          <w:rFonts w:hint="eastAsia" w:cs="仿宋"/>
          <w:color w:val="auto"/>
          <w:sz w:val="28"/>
          <w:szCs w:val="28"/>
          <w:highlight w:val="none"/>
          <w:u w:val="single"/>
        </w:rPr>
        <w:t xml:space="preserve"> （中型企业、小型企业、微型企业）</w:t>
      </w:r>
      <w:r>
        <w:rPr>
          <w:rStyle w:val="72"/>
          <w:rFonts w:hint="eastAsia" w:cs="仿宋"/>
          <w:color w:val="auto"/>
          <w:sz w:val="28"/>
          <w:szCs w:val="28"/>
          <w:highlight w:val="none"/>
        </w:rPr>
        <w:t>；</w:t>
      </w:r>
    </w:p>
    <w:p w14:paraId="0EDD7491">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w:t>
      </w:r>
    </w:p>
    <w:p w14:paraId="7E0A393D">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以上企业，不属于中大企业的分支机构，不存在控股股东为中大企业的情形，也不存在与大企业的负责人为同一人的情形。</w:t>
      </w:r>
    </w:p>
    <w:p w14:paraId="500B04D1">
      <w:pPr>
        <w:widowControl/>
        <w:autoSpaceDE w:val="0"/>
        <w:autoSpaceDN w:val="0"/>
        <w:adjustRightInd w:val="0"/>
        <w:spacing w:line="360" w:lineRule="auto"/>
        <w:ind w:firstLine="480"/>
        <w:rPr>
          <w:rStyle w:val="72"/>
          <w:rFonts w:hint="eastAsia" w:cs="仿宋"/>
          <w:color w:val="auto"/>
          <w:sz w:val="28"/>
          <w:szCs w:val="28"/>
          <w:highlight w:val="none"/>
        </w:rPr>
      </w:pPr>
      <w:r>
        <w:rPr>
          <w:rStyle w:val="72"/>
          <w:rFonts w:hint="eastAsia" w:cs="仿宋"/>
          <w:color w:val="auto"/>
          <w:sz w:val="28"/>
          <w:szCs w:val="28"/>
          <w:highlight w:val="none"/>
        </w:rPr>
        <w:t>本企业对上述声明内容的真实性负责。如有虚假，将依法承担相应责任。</w:t>
      </w:r>
    </w:p>
    <w:p w14:paraId="55496413">
      <w:pPr>
        <w:widowControl/>
        <w:autoSpaceDE w:val="0"/>
        <w:autoSpaceDN w:val="0"/>
        <w:adjustRightInd w:val="0"/>
        <w:spacing w:line="360" w:lineRule="auto"/>
        <w:ind w:firstLine="480"/>
        <w:jc w:val="center"/>
        <w:rPr>
          <w:rStyle w:val="72"/>
          <w:rFonts w:hint="eastAsia" w:cs="仿宋"/>
          <w:color w:val="auto"/>
          <w:sz w:val="28"/>
          <w:szCs w:val="28"/>
          <w:highlight w:val="none"/>
        </w:rPr>
      </w:pPr>
    </w:p>
    <w:p w14:paraId="4BDFA41B">
      <w:pPr>
        <w:widowControl/>
        <w:autoSpaceDE w:val="0"/>
        <w:autoSpaceDN w:val="0"/>
        <w:adjustRightInd w:val="0"/>
        <w:spacing w:line="360" w:lineRule="auto"/>
        <w:ind w:firstLine="480"/>
        <w:jc w:val="center"/>
        <w:rPr>
          <w:rStyle w:val="72"/>
          <w:rFonts w:hint="eastAsia" w:cs="仿宋"/>
          <w:color w:val="auto"/>
          <w:sz w:val="28"/>
          <w:szCs w:val="28"/>
          <w:highlight w:val="none"/>
        </w:rPr>
      </w:pPr>
      <w:r>
        <w:rPr>
          <w:rStyle w:val="72"/>
          <w:rFonts w:hint="eastAsia" w:eastAsia="仿宋" w:cs="仿宋"/>
          <w:color w:val="auto"/>
          <w:sz w:val="28"/>
          <w:szCs w:val="28"/>
          <w:highlight w:val="none"/>
          <w:lang w:val="en-US" w:eastAsia="zh-CN"/>
        </w:rPr>
        <w:t xml:space="preserve">           </w:t>
      </w:r>
      <w:r>
        <w:rPr>
          <w:rStyle w:val="72"/>
          <w:rFonts w:hint="eastAsia" w:cs="仿宋"/>
          <w:color w:val="auto"/>
          <w:sz w:val="28"/>
          <w:szCs w:val="28"/>
          <w:highlight w:val="none"/>
        </w:rPr>
        <w:t>企业名称（盖章）：</w:t>
      </w:r>
    </w:p>
    <w:p w14:paraId="12BE2ADC">
      <w:pPr>
        <w:widowControl/>
        <w:autoSpaceDE w:val="0"/>
        <w:autoSpaceDN w:val="0"/>
        <w:adjustRightInd w:val="0"/>
        <w:spacing w:line="360" w:lineRule="auto"/>
        <w:ind w:firstLine="480"/>
        <w:jc w:val="center"/>
        <w:rPr>
          <w:rStyle w:val="72"/>
          <w:rFonts w:hint="eastAsia" w:cs="仿宋"/>
          <w:color w:val="auto"/>
          <w:sz w:val="28"/>
          <w:szCs w:val="28"/>
          <w:highlight w:val="none"/>
        </w:rPr>
      </w:pPr>
      <w:r>
        <w:rPr>
          <w:rStyle w:val="72"/>
          <w:rFonts w:hint="eastAsia" w:cs="仿宋"/>
          <w:color w:val="auto"/>
          <w:sz w:val="28"/>
          <w:szCs w:val="28"/>
          <w:highlight w:val="none"/>
        </w:rPr>
        <w:t xml:space="preserve">日 期：   </w:t>
      </w:r>
    </w:p>
    <w:p w14:paraId="76A0A311">
      <w:pPr>
        <w:pStyle w:val="109"/>
        <w:spacing w:line="360" w:lineRule="auto"/>
        <w:jc w:val="center"/>
        <w:rPr>
          <w:rStyle w:val="72"/>
          <w:rFonts w:hint="eastAsia" w:cs="仿宋"/>
          <w:color w:val="auto"/>
          <w:sz w:val="28"/>
          <w:szCs w:val="28"/>
          <w:highlight w:val="none"/>
        </w:rPr>
      </w:pPr>
    </w:p>
    <w:p w14:paraId="6C8643A7">
      <w:pPr>
        <w:pStyle w:val="109"/>
        <w:spacing w:line="360" w:lineRule="auto"/>
        <w:jc w:val="center"/>
        <w:rPr>
          <w:rStyle w:val="72"/>
          <w:rFonts w:hint="eastAsia" w:cs="仿宋"/>
          <w:color w:val="auto"/>
          <w:sz w:val="28"/>
          <w:szCs w:val="28"/>
          <w:highlight w:val="none"/>
        </w:rPr>
      </w:pPr>
    </w:p>
    <w:p w14:paraId="48938CBD">
      <w:pPr>
        <w:pStyle w:val="109"/>
        <w:spacing w:line="360" w:lineRule="auto"/>
        <w:jc w:val="center"/>
        <w:rPr>
          <w:rStyle w:val="72"/>
          <w:rFonts w:hint="eastAsia" w:cs="仿宋"/>
          <w:color w:val="auto"/>
          <w:sz w:val="28"/>
          <w:szCs w:val="28"/>
          <w:highlight w:val="none"/>
        </w:rPr>
      </w:pPr>
    </w:p>
    <w:p w14:paraId="7F9CC7D2">
      <w:pPr>
        <w:pStyle w:val="109"/>
        <w:spacing w:line="360" w:lineRule="auto"/>
        <w:jc w:val="both"/>
        <w:rPr>
          <w:rStyle w:val="72"/>
          <w:rFonts w:hint="eastAsia" w:cs="仿宋"/>
          <w:color w:val="auto"/>
          <w:sz w:val="28"/>
          <w:szCs w:val="28"/>
          <w:highlight w:val="none"/>
        </w:rPr>
      </w:pPr>
    </w:p>
    <w:p w14:paraId="66987EEC">
      <w:pPr>
        <w:pStyle w:val="109"/>
        <w:spacing w:line="360" w:lineRule="auto"/>
        <w:jc w:val="both"/>
        <w:rPr>
          <w:rStyle w:val="72"/>
          <w:rFonts w:hint="eastAsia" w:cs="仿宋"/>
          <w:color w:val="auto"/>
          <w:sz w:val="28"/>
          <w:szCs w:val="28"/>
          <w:highlight w:val="none"/>
        </w:rPr>
      </w:pPr>
    </w:p>
    <w:p w14:paraId="67160514">
      <w:pPr>
        <w:pStyle w:val="109"/>
        <w:spacing w:line="360" w:lineRule="auto"/>
        <w:jc w:val="center"/>
        <w:rPr>
          <w:rFonts w:hint="eastAsia" w:ascii="仿宋" w:hAnsi="仿宋" w:eastAsia="仿宋" w:cs="仿宋"/>
          <w:color w:val="auto"/>
          <w:spacing w:val="6"/>
          <w:szCs w:val="32"/>
          <w:highlight w:val="none"/>
        </w:rPr>
      </w:pPr>
      <w:r>
        <w:rPr>
          <w:rStyle w:val="72"/>
          <w:rFonts w:hint="eastAsia" w:cs="仿宋"/>
          <w:color w:val="auto"/>
          <w:sz w:val="28"/>
          <w:szCs w:val="28"/>
          <w:highlight w:val="none"/>
        </w:rPr>
        <w:t xml:space="preserve"> </w:t>
      </w:r>
      <w:r>
        <w:rPr>
          <w:rFonts w:hint="eastAsia" w:ascii="仿宋" w:hAnsi="仿宋" w:eastAsia="仿宋" w:cs="仿宋"/>
          <w:b w:val="0"/>
          <w:bCs/>
          <w:color w:val="auto"/>
          <w:sz w:val="36"/>
          <w:szCs w:val="28"/>
          <w:highlight w:val="none"/>
        </w:rPr>
        <w:t>残疾人福利性单位声明函（若有）</w:t>
      </w:r>
    </w:p>
    <w:p w14:paraId="639EA32D">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2E3A33F6">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本单位在本次政府采购活动中提供的残疾人福利单位产品报价合计为人民币（大写）</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圆整（￥：     ）。</w:t>
      </w:r>
    </w:p>
    <w:p w14:paraId="7EB365E3">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本单位对上述声明的真实性负责。如有虚假，将依法承担相应责任。</w:t>
      </w:r>
    </w:p>
    <w:p w14:paraId="5A036E18">
      <w:pPr>
        <w:spacing w:before="158" w:beforeLines="50" w:after="158" w:afterLines="50" w:line="360" w:lineRule="auto"/>
        <w:ind w:firstLine="560" w:firstLineChars="200"/>
        <w:rPr>
          <w:rFonts w:hint="eastAsia" w:ascii="仿宋" w:hAnsi="仿宋" w:eastAsia="仿宋" w:cs="仿宋"/>
          <w:color w:val="auto"/>
          <w:sz w:val="28"/>
          <w:szCs w:val="24"/>
          <w:highlight w:val="none"/>
        </w:rPr>
      </w:pPr>
    </w:p>
    <w:p w14:paraId="22F4499E">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（备注：1、供应商如不提供此声明函，价格将不做相应扣除。2、中标供应商为残疾人福利单位的，此声明函将随中标结果同时公告，接受社会监督）</w:t>
      </w:r>
    </w:p>
    <w:p w14:paraId="745994A6">
      <w:pPr>
        <w:spacing w:before="158" w:beforeLines="50" w:after="158" w:afterLines="50" w:line="360" w:lineRule="auto"/>
        <w:ind w:firstLine="664" w:firstLineChars="200"/>
        <w:rPr>
          <w:rFonts w:hint="eastAsia" w:ascii="仿宋" w:hAnsi="仿宋" w:eastAsia="仿宋" w:cs="仿宋"/>
          <w:color w:val="auto"/>
          <w:spacing w:val="6"/>
          <w:sz w:val="32"/>
          <w:szCs w:val="32"/>
          <w:highlight w:val="none"/>
        </w:rPr>
      </w:pPr>
    </w:p>
    <w:p w14:paraId="05489D40">
      <w:pPr>
        <w:spacing w:before="158" w:beforeLines="50" w:after="158" w:afterLines="50" w:line="360" w:lineRule="auto"/>
        <w:ind w:firstLine="498" w:firstLineChars="150"/>
        <w:jc w:val="right"/>
        <w:rPr>
          <w:rFonts w:hint="eastAsia" w:ascii="仿宋" w:hAnsi="仿宋" w:eastAsia="仿宋" w:cs="仿宋"/>
          <w:color w:val="auto"/>
          <w:sz w:val="28"/>
          <w:szCs w:val="24"/>
          <w:highlight w:val="none"/>
        </w:rPr>
      </w:pPr>
      <w:r>
        <w:rPr>
          <w:rFonts w:hint="eastAsia" w:ascii="仿宋" w:hAnsi="仿宋" w:eastAsia="仿宋" w:cs="仿宋"/>
          <w:color w:val="auto"/>
          <w:spacing w:val="6"/>
          <w:sz w:val="32"/>
          <w:szCs w:val="32"/>
          <w:highlight w:val="none"/>
        </w:rPr>
        <w:t xml:space="preserve">             </w:t>
      </w:r>
      <w:r>
        <w:rPr>
          <w:rFonts w:hint="eastAsia" w:ascii="仿宋" w:hAnsi="仿宋" w:eastAsia="仿宋" w:cs="仿宋"/>
          <w:color w:val="auto"/>
          <w:sz w:val="28"/>
          <w:szCs w:val="24"/>
          <w:highlight w:val="none"/>
        </w:rPr>
        <w:t xml:space="preserve">              企业名称（公章）：</w:t>
      </w:r>
    </w:p>
    <w:p w14:paraId="2011E473">
      <w:pPr>
        <w:spacing w:before="158" w:beforeLines="50" w:after="158" w:afterLines="50" w:line="360" w:lineRule="auto"/>
        <w:ind w:right="480"/>
        <w:jc w:val="right"/>
        <w:rPr>
          <w:rStyle w:val="72"/>
          <w:rFonts w:hint="eastAsia" w:cs="仿宋"/>
          <w:color w:val="auto"/>
          <w:sz w:val="32"/>
          <w:szCs w:val="32"/>
          <w:highlight w:val="none"/>
        </w:rPr>
      </w:pPr>
      <w:r>
        <w:rPr>
          <w:rFonts w:hint="eastAsia" w:ascii="仿宋" w:hAnsi="仿宋" w:eastAsia="仿宋" w:cs="仿宋"/>
          <w:color w:val="auto"/>
          <w:sz w:val="28"/>
          <w:szCs w:val="24"/>
          <w:highlight w:val="none"/>
        </w:rPr>
        <w:t>日  期：</w:t>
      </w:r>
    </w:p>
    <w:p w14:paraId="09A743DF">
      <w:pPr>
        <w:spacing w:line="600" w:lineRule="exact"/>
        <w:jc w:val="center"/>
        <w:rPr>
          <w:rFonts w:hint="eastAsia" w:ascii="仿宋" w:hAnsi="仿宋" w:eastAsia="仿宋" w:cs="仿宋"/>
          <w:color w:val="auto"/>
          <w:kern w:val="0"/>
          <w:sz w:val="32"/>
          <w:szCs w:val="32"/>
          <w:highlight w:val="none"/>
          <w:lang w:val="en-US" w:eastAsia="zh-CN"/>
        </w:rPr>
      </w:pPr>
    </w:p>
    <w:p w14:paraId="28B72C8F">
      <w:pPr>
        <w:spacing w:line="600" w:lineRule="exact"/>
        <w:jc w:val="center"/>
        <w:rPr>
          <w:rFonts w:hint="eastAsia" w:ascii="仿宋" w:hAnsi="仿宋" w:eastAsia="仿宋" w:cs="仿宋"/>
          <w:color w:val="auto"/>
          <w:kern w:val="0"/>
          <w:sz w:val="32"/>
          <w:szCs w:val="32"/>
          <w:highlight w:val="none"/>
          <w:lang w:val="en-US" w:eastAsia="zh-CN"/>
        </w:rPr>
      </w:pPr>
    </w:p>
    <w:p w14:paraId="1702AE01">
      <w:pPr>
        <w:spacing w:line="600" w:lineRule="exact"/>
        <w:jc w:val="center"/>
        <w:rPr>
          <w:rFonts w:hint="eastAsia" w:ascii="仿宋" w:hAnsi="仿宋" w:eastAsia="仿宋" w:cs="仿宋"/>
          <w:color w:val="auto"/>
          <w:kern w:val="0"/>
          <w:sz w:val="32"/>
          <w:szCs w:val="32"/>
          <w:highlight w:val="none"/>
          <w:lang w:val="en-US" w:eastAsia="zh-CN"/>
        </w:rPr>
      </w:pPr>
    </w:p>
    <w:p w14:paraId="4D28F892">
      <w:pPr>
        <w:widowControl/>
        <w:autoSpaceDE w:val="0"/>
        <w:autoSpaceDN w:val="0"/>
        <w:adjustRightInd w:val="0"/>
        <w:spacing w:line="360" w:lineRule="auto"/>
        <w:ind w:firstLine="504"/>
        <w:jc w:val="center"/>
        <w:rPr>
          <w:rFonts w:hint="eastAsia" w:ascii="仿宋" w:hAnsi="仿宋" w:eastAsia="仿宋" w:cs="仿宋"/>
          <w:color w:val="auto"/>
          <w:kern w:val="1"/>
          <w:sz w:val="32"/>
          <w:szCs w:val="32"/>
          <w:highlight w:val="none"/>
          <w:lang w:val="en-US" w:eastAsia="zh-CN"/>
        </w:rPr>
      </w:pPr>
    </w:p>
    <w:p w14:paraId="21B67534">
      <w:pPr>
        <w:keepNext w:val="0"/>
        <w:keepLines w:val="0"/>
        <w:pageBreakBefore w:val="0"/>
        <w:widowControl/>
        <w:kinsoku/>
        <w:overflowPunct/>
        <w:topLinePunct w:val="0"/>
        <w:autoSpaceDE w:val="0"/>
        <w:autoSpaceDN w:val="0"/>
        <w:bidi w:val="0"/>
        <w:adjustRightInd w:val="0"/>
        <w:snapToGrid/>
        <w:spacing w:line="360" w:lineRule="auto"/>
        <w:ind w:firstLine="504"/>
        <w:jc w:val="center"/>
        <w:rPr>
          <w:rFonts w:hint="eastAsia" w:ascii="仿宋" w:hAnsi="仿宋" w:eastAsia="仿宋" w:cs="仿宋"/>
          <w:color w:val="auto"/>
          <w:kern w:val="1"/>
          <w:sz w:val="32"/>
          <w:szCs w:val="32"/>
          <w:highlight w:val="none"/>
          <w:lang w:val="en-US" w:eastAsia="zh-CN"/>
        </w:rPr>
      </w:pPr>
      <w:r>
        <w:rPr>
          <w:rFonts w:hint="eastAsia" w:ascii="仿宋" w:hAnsi="仿宋" w:eastAsia="仿宋" w:cs="仿宋"/>
          <w:color w:val="auto"/>
          <w:kern w:val="1"/>
          <w:sz w:val="32"/>
          <w:szCs w:val="32"/>
          <w:highlight w:val="none"/>
          <w:lang w:val="en-US" w:eastAsia="zh-CN"/>
        </w:rPr>
        <w:t>关于符合本国产品标准的声明函（如有）</w:t>
      </w:r>
    </w:p>
    <w:p w14:paraId="5EBC8D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Style w:val="72"/>
          <w:rFonts w:hint="eastAsia" w:ascii="仿宋" w:hAnsi="仿宋" w:eastAsia="仿宋" w:cs="仿宋"/>
          <w:color w:val="auto"/>
          <w:sz w:val="28"/>
          <w:szCs w:val="28"/>
          <w:highlight w:val="none"/>
          <w:lang w:val="en-US" w:eastAsia="en-US" w:bidi="ar-SA"/>
        </w:rPr>
      </w:pPr>
      <w:r>
        <w:rPr>
          <w:rStyle w:val="72"/>
          <w:rFonts w:hint="eastAsia" w:ascii="仿宋" w:hAnsi="仿宋" w:eastAsia="仿宋" w:cs="仿宋"/>
          <w:color w:val="auto"/>
          <w:sz w:val="28"/>
          <w:szCs w:val="28"/>
          <w:highlight w:val="none"/>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14898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¹，生产厂为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²，厂址为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³。</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⁴在中国境内生产。</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⁵在中国境内完成。</w:t>
      </w:r>
    </w:p>
    <w:p w14:paraId="691AD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zh-CN" w:bidi="ar-SA"/>
        </w:rPr>
        <w:t>2.</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在中国境内生产。</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在中国境内完成</w:t>
      </w:r>
      <w:r>
        <w:rPr>
          <w:rFonts w:hint="eastAsia" w:ascii="仿宋" w:hAnsi="仿宋" w:eastAsia="仿宋" w:cs="仿宋"/>
          <w:color w:val="auto"/>
          <w:kern w:val="2"/>
          <w:sz w:val="28"/>
          <w:szCs w:val="28"/>
          <w:highlight w:val="none"/>
          <w:lang w:val="en-US" w:eastAsia="en-US" w:bidi="ar-SA"/>
        </w:rPr>
        <w:t>。</w:t>
      </w:r>
    </w:p>
    <w:p w14:paraId="2CE92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w:t>
      </w:r>
    </w:p>
    <w:p w14:paraId="515FA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本公司（单位）对上述声明内容的真实性负责。如有虚假，愿承担相应法律责任。</w:t>
      </w:r>
    </w:p>
    <w:p w14:paraId="12A11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公司（单位）名称（盖章）：　        </w:t>
      </w:r>
    </w:p>
    <w:p w14:paraId="42EBFE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center"/>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en-US" w:bidi="ar-SA"/>
        </w:rPr>
        <w:t>日期：　  年　  月　  日 </w:t>
      </w:r>
    </w:p>
    <w:p w14:paraId="7B5E8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__________________</w:t>
      </w:r>
    </w:p>
    <w:p w14:paraId="70565A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1.产品如有型号，请在“产品名称”栏一并填写。</w:t>
      </w:r>
    </w:p>
    <w:p w14:paraId="790FA1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2.生产厂名与厂址应与生产厂营业执照载明的相关信息保持一致。</w:t>
      </w:r>
    </w:p>
    <w:p w14:paraId="37F96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3.该产品的中国境内生产的组件成本占比相关要求实施前，“规定比例”栏可不填，下同。</w:t>
      </w:r>
    </w:p>
    <w:p w14:paraId="61ACF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4.该产品的关键组件要求实施前，“关键组件”栏可不填，下同。</w:t>
      </w:r>
    </w:p>
    <w:p w14:paraId="533B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2"/>
          <w:sz w:val="28"/>
          <w:szCs w:val="28"/>
          <w:highlight w:val="none"/>
          <w:lang w:val="en-US" w:eastAsia="en-US" w:bidi="ar-SA"/>
        </w:rPr>
        <w:t>5.该产品的关键工序要求实施前，“关键工序”栏可不填，下同。</w:t>
      </w:r>
    </w:p>
    <w:p w14:paraId="46C057B9">
      <w:pPr>
        <w:spacing w:line="60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九</w:t>
      </w:r>
      <w:r>
        <w:rPr>
          <w:rFonts w:hint="eastAsia" w:ascii="仿宋" w:hAnsi="仿宋" w:eastAsia="仿宋" w:cs="仿宋"/>
          <w:color w:val="auto"/>
          <w:kern w:val="0"/>
          <w:sz w:val="32"/>
          <w:szCs w:val="32"/>
          <w:highlight w:val="none"/>
        </w:rPr>
        <w:t>、商务条款偏离表</w:t>
      </w:r>
    </w:p>
    <w:p w14:paraId="1C05509F">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投标人名称：</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07A3D7F3">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486F0164">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43475E18">
      <w:pPr>
        <w:autoSpaceDE w:val="0"/>
        <w:autoSpaceDN w:val="0"/>
        <w:adjustRightInd w:val="0"/>
        <w:snapToGrid w:val="0"/>
        <w:spacing w:line="600" w:lineRule="exact"/>
        <w:rPr>
          <w:rFonts w:hint="eastAsia" w:ascii="仿宋" w:hAnsi="仿宋" w:eastAsia="仿宋" w:cs="仿宋"/>
          <w:color w:val="auto"/>
          <w:kern w:val="0"/>
          <w:sz w:val="28"/>
          <w:szCs w:val="28"/>
          <w:highlight w:val="none"/>
        </w:rPr>
      </w:pPr>
    </w:p>
    <w:tbl>
      <w:tblPr>
        <w:tblStyle w:val="3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454"/>
        <w:gridCol w:w="1800"/>
        <w:gridCol w:w="2040"/>
        <w:gridCol w:w="1901"/>
      </w:tblGrid>
      <w:tr w14:paraId="056E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48AED7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序号</w:t>
            </w:r>
          </w:p>
        </w:tc>
        <w:tc>
          <w:tcPr>
            <w:tcW w:w="2454" w:type="dxa"/>
            <w:vAlign w:val="center"/>
          </w:tcPr>
          <w:p w14:paraId="6FB1C43A">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磋商文件的商务条款</w:t>
            </w:r>
          </w:p>
        </w:tc>
        <w:tc>
          <w:tcPr>
            <w:tcW w:w="1800" w:type="dxa"/>
            <w:vAlign w:val="center"/>
          </w:tcPr>
          <w:p w14:paraId="2D7A3C16">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响应文件的商务条款</w:t>
            </w:r>
          </w:p>
        </w:tc>
        <w:tc>
          <w:tcPr>
            <w:tcW w:w="2040" w:type="dxa"/>
            <w:vAlign w:val="center"/>
          </w:tcPr>
          <w:p w14:paraId="7C1512A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正偏离/负偏离/无偏离</w:t>
            </w:r>
          </w:p>
        </w:tc>
        <w:tc>
          <w:tcPr>
            <w:tcW w:w="1901" w:type="dxa"/>
            <w:vAlign w:val="center"/>
          </w:tcPr>
          <w:p w14:paraId="21219CB6">
            <w:pPr>
              <w:pStyle w:val="136"/>
              <w:keepNext w:val="0"/>
              <w:keepLines w:val="0"/>
              <w:pageBreakBefore w:val="0"/>
              <w:suppressLineNumbers w:val="0"/>
              <w:wordWrap/>
              <w:overflowPunct/>
              <w:topLinePunct w:val="0"/>
              <w:bidi w:val="0"/>
              <w:adjustRightInd w:val="0"/>
              <w:spacing w:before="65" w:beforeAutospacing="0" w:after="0" w:afterAutospacing="0" w:line="360" w:lineRule="auto"/>
              <w:ind w:left="0" w:right="0"/>
              <w:jc w:val="center"/>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投标文件中证明材料页码</w:t>
            </w:r>
          </w:p>
        </w:tc>
      </w:tr>
      <w:tr w14:paraId="450C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FB4CC0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454" w:type="dxa"/>
            <w:vAlign w:val="center"/>
          </w:tcPr>
          <w:p w14:paraId="6A83134E">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w:t>
            </w:r>
          </w:p>
        </w:tc>
        <w:tc>
          <w:tcPr>
            <w:tcW w:w="1800" w:type="dxa"/>
            <w:vAlign w:val="center"/>
          </w:tcPr>
          <w:p w14:paraId="54A3429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17A10E5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7BBE1F7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第   页</w:t>
            </w:r>
          </w:p>
        </w:tc>
      </w:tr>
      <w:tr w14:paraId="6B9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939B3C3">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2454" w:type="dxa"/>
            <w:vAlign w:val="center"/>
          </w:tcPr>
          <w:p w14:paraId="462E63E0">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default" w:ascii="仿宋" w:hAnsi="仿宋" w:eastAsia="仿宋" w:cs="仿宋"/>
                <w:color w:val="auto"/>
                <w:kern w:val="0"/>
                <w:sz w:val="28"/>
                <w:szCs w:val="28"/>
                <w:highlight w:val="none"/>
                <w:lang w:val="en-US" w:eastAsia="zh-CN"/>
              </w:rPr>
            </w:pPr>
          </w:p>
        </w:tc>
        <w:tc>
          <w:tcPr>
            <w:tcW w:w="1800" w:type="dxa"/>
            <w:vAlign w:val="center"/>
          </w:tcPr>
          <w:p w14:paraId="01A3335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073CD5B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00B9625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第   页</w:t>
            </w:r>
          </w:p>
        </w:tc>
      </w:tr>
      <w:tr w14:paraId="7D20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E82E7F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2454" w:type="dxa"/>
            <w:vAlign w:val="center"/>
          </w:tcPr>
          <w:p w14:paraId="3D38F14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6DD462E3">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1B4274E2">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2F90EC09">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r w14:paraId="25D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5840E16">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2454" w:type="dxa"/>
            <w:vAlign w:val="center"/>
          </w:tcPr>
          <w:p w14:paraId="20D4B91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50626A3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66317CB5">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5360F21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r w14:paraId="3EB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E7C194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2454" w:type="dxa"/>
            <w:vAlign w:val="center"/>
          </w:tcPr>
          <w:p w14:paraId="6953C09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067E516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0856FD6E">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3BC3CF41">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bl>
    <w:p w14:paraId="23CEAEC1">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注：投标单位填写商务规格偏离表时严格按照投标文件真实内容如实填写。</w:t>
      </w:r>
    </w:p>
    <w:p w14:paraId="1A4E5851">
      <w:pPr>
        <w:spacing w:line="600" w:lineRule="exact"/>
        <w:rPr>
          <w:rFonts w:hint="eastAsia" w:ascii="仿宋" w:hAnsi="仿宋" w:eastAsia="仿宋" w:cs="仿宋"/>
          <w:color w:val="auto"/>
          <w:sz w:val="28"/>
          <w:szCs w:val="28"/>
          <w:highlight w:val="none"/>
        </w:rPr>
      </w:pPr>
    </w:p>
    <w:p w14:paraId="24804525">
      <w:pPr>
        <w:spacing w:line="600" w:lineRule="exact"/>
        <w:rPr>
          <w:rFonts w:hint="eastAsia" w:ascii="仿宋" w:hAnsi="仿宋" w:eastAsia="仿宋" w:cs="仿宋"/>
          <w:color w:val="auto"/>
          <w:sz w:val="28"/>
          <w:szCs w:val="28"/>
          <w:highlight w:val="none"/>
        </w:rPr>
      </w:pPr>
    </w:p>
    <w:p w14:paraId="6B9E3423">
      <w:pPr>
        <w:spacing w:line="600" w:lineRule="exact"/>
        <w:ind w:firstLine="4690" w:firstLineChars="16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投标单位： </w:t>
      </w:r>
    </w:p>
    <w:p w14:paraId="5E7985F0">
      <w:pPr>
        <w:spacing w:line="600" w:lineRule="exact"/>
        <w:ind w:firstLine="4690" w:firstLineChars="16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08E1A2CA">
      <w:pPr>
        <w:spacing w:line="600" w:lineRule="exact"/>
        <w:jc w:val="center"/>
        <w:rPr>
          <w:rFonts w:hint="eastAsia" w:ascii="仿宋" w:hAnsi="仿宋" w:eastAsia="仿宋" w:cs="仿宋"/>
          <w:b/>
          <w:bCs/>
          <w:color w:val="auto"/>
          <w:kern w:val="0"/>
          <w:sz w:val="28"/>
          <w:szCs w:val="28"/>
          <w:highlight w:val="none"/>
        </w:rPr>
      </w:pPr>
    </w:p>
    <w:p w14:paraId="6B82BE9A">
      <w:pPr>
        <w:spacing w:line="600" w:lineRule="exact"/>
        <w:jc w:val="center"/>
        <w:rPr>
          <w:rFonts w:hint="eastAsia" w:ascii="宋体" w:hAnsi="宋体" w:cs="宋体"/>
          <w:b/>
          <w:bCs/>
          <w:color w:val="auto"/>
          <w:kern w:val="0"/>
          <w:sz w:val="28"/>
          <w:szCs w:val="28"/>
          <w:highlight w:val="none"/>
        </w:rPr>
      </w:pPr>
    </w:p>
    <w:p w14:paraId="547E0384">
      <w:pPr>
        <w:spacing w:line="600" w:lineRule="exact"/>
        <w:jc w:val="center"/>
        <w:rPr>
          <w:rFonts w:hint="eastAsia" w:ascii="宋体" w:hAnsi="宋体" w:cs="宋体"/>
          <w:b/>
          <w:bCs/>
          <w:color w:val="auto"/>
          <w:kern w:val="0"/>
          <w:sz w:val="28"/>
          <w:szCs w:val="28"/>
          <w:highlight w:val="none"/>
        </w:rPr>
      </w:pPr>
    </w:p>
    <w:p w14:paraId="470D1F01">
      <w:pPr>
        <w:spacing w:line="600" w:lineRule="exact"/>
        <w:jc w:val="center"/>
        <w:rPr>
          <w:rFonts w:hint="eastAsia" w:ascii="宋体" w:hAnsi="宋体" w:cs="宋体"/>
          <w:b/>
          <w:bCs/>
          <w:color w:val="auto"/>
          <w:kern w:val="0"/>
          <w:sz w:val="28"/>
          <w:szCs w:val="28"/>
          <w:highlight w:val="none"/>
        </w:rPr>
      </w:pPr>
    </w:p>
    <w:p w14:paraId="1B3575FB">
      <w:pPr>
        <w:widowControl/>
        <w:autoSpaceDE w:val="0"/>
        <w:autoSpaceDN w:val="0"/>
        <w:adjustRightInd w:val="0"/>
        <w:spacing w:line="360" w:lineRule="auto"/>
        <w:jc w:val="center"/>
        <w:rPr>
          <w:rStyle w:val="72"/>
          <w:rFonts w:hint="eastAsia" w:cs="仿宋"/>
          <w:color w:val="auto"/>
          <w:sz w:val="32"/>
          <w:szCs w:val="32"/>
          <w:highlight w:val="none"/>
        </w:rPr>
      </w:pPr>
    </w:p>
    <w:p w14:paraId="435EB3BF">
      <w:pPr>
        <w:widowControl/>
        <w:autoSpaceDE w:val="0"/>
        <w:autoSpaceDN w:val="0"/>
        <w:adjustRightInd w:val="0"/>
        <w:spacing w:line="360" w:lineRule="auto"/>
        <w:jc w:val="center"/>
        <w:rPr>
          <w:rStyle w:val="72"/>
          <w:rFonts w:hint="eastAsia" w:cs="仿宋"/>
          <w:color w:val="auto"/>
          <w:sz w:val="32"/>
          <w:szCs w:val="32"/>
          <w:highlight w:val="none"/>
        </w:rPr>
      </w:pPr>
      <w:r>
        <w:rPr>
          <w:rStyle w:val="72"/>
          <w:rFonts w:hint="eastAsia" w:cs="仿宋"/>
          <w:color w:val="auto"/>
          <w:sz w:val="32"/>
          <w:szCs w:val="32"/>
          <w:highlight w:val="none"/>
        </w:rPr>
        <w:t>十、商务文件（可根据评审办法自行补充，格式自拟）</w:t>
      </w:r>
    </w:p>
    <w:p w14:paraId="51C4D1C6">
      <w:pPr>
        <w:widowControl/>
        <w:autoSpaceDE w:val="0"/>
        <w:autoSpaceDN w:val="0"/>
        <w:adjustRightInd w:val="0"/>
        <w:spacing w:line="360" w:lineRule="auto"/>
        <w:rPr>
          <w:rFonts w:hint="eastAsia" w:ascii="仿宋" w:hAnsi="仿宋" w:eastAsia="仿宋" w:cs="仿宋"/>
          <w:color w:val="auto"/>
          <w:kern w:val="1"/>
          <w:sz w:val="32"/>
          <w:szCs w:val="32"/>
          <w:highlight w:val="none"/>
        </w:rPr>
      </w:pPr>
    </w:p>
    <w:p w14:paraId="5157D164">
      <w:pPr>
        <w:pStyle w:val="56"/>
        <w:spacing w:line="360" w:lineRule="auto"/>
        <w:ind w:firstLine="640"/>
        <w:rPr>
          <w:rFonts w:hint="eastAsia" w:ascii="仿宋" w:hAnsi="仿宋" w:eastAsia="仿宋" w:cs="仿宋"/>
          <w:color w:val="auto"/>
          <w:kern w:val="1"/>
          <w:sz w:val="32"/>
          <w:szCs w:val="32"/>
          <w:highlight w:val="none"/>
        </w:rPr>
      </w:pPr>
    </w:p>
    <w:p w14:paraId="5E667756">
      <w:pPr>
        <w:spacing w:line="360" w:lineRule="auto"/>
        <w:rPr>
          <w:rFonts w:hint="eastAsia" w:ascii="仿宋" w:hAnsi="仿宋" w:eastAsia="仿宋" w:cs="仿宋"/>
          <w:color w:val="auto"/>
          <w:kern w:val="1"/>
          <w:sz w:val="32"/>
          <w:szCs w:val="32"/>
          <w:highlight w:val="none"/>
        </w:rPr>
      </w:pPr>
    </w:p>
    <w:p w14:paraId="1586C422">
      <w:pPr>
        <w:pStyle w:val="56"/>
        <w:spacing w:line="360" w:lineRule="auto"/>
        <w:ind w:firstLine="640"/>
        <w:rPr>
          <w:rFonts w:hint="eastAsia" w:ascii="仿宋" w:hAnsi="仿宋" w:eastAsia="仿宋" w:cs="仿宋"/>
          <w:color w:val="auto"/>
          <w:kern w:val="1"/>
          <w:sz w:val="32"/>
          <w:szCs w:val="32"/>
          <w:highlight w:val="none"/>
        </w:rPr>
      </w:pPr>
    </w:p>
    <w:p w14:paraId="6E4EAC10">
      <w:pPr>
        <w:spacing w:line="360" w:lineRule="auto"/>
        <w:rPr>
          <w:rFonts w:hint="eastAsia" w:ascii="仿宋" w:hAnsi="仿宋" w:eastAsia="仿宋" w:cs="仿宋"/>
          <w:color w:val="auto"/>
          <w:kern w:val="1"/>
          <w:sz w:val="32"/>
          <w:szCs w:val="32"/>
          <w:highlight w:val="none"/>
        </w:rPr>
      </w:pPr>
    </w:p>
    <w:p w14:paraId="59FC4E45">
      <w:pPr>
        <w:pStyle w:val="56"/>
        <w:spacing w:line="360" w:lineRule="auto"/>
        <w:ind w:firstLine="640"/>
        <w:rPr>
          <w:rFonts w:hint="eastAsia" w:ascii="仿宋" w:hAnsi="仿宋" w:eastAsia="仿宋" w:cs="仿宋"/>
          <w:color w:val="auto"/>
          <w:kern w:val="1"/>
          <w:sz w:val="32"/>
          <w:szCs w:val="32"/>
          <w:highlight w:val="none"/>
        </w:rPr>
      </w:pPr>
    </w:p>
    <w:p w14:paraId="5EB11533">
      <w:pPr>
        <w:spacing w:line="360" w:lineRule="auto"/>
        <w:rPr>
          <w:rFonts w:hint="eastAsia" w:ascii="仿宋" w:hAnsi="仿宋" w:eastAsia="仿宋" w:cs="仿宋"/>
          <w:color w:val="auto"/>
          <w:kern w:val="1"/>
          <w:sz w:val="32"/>
          <w:szCs w:val="32"/>
          <w:highlight w:val="none"/>
        </w:rPr>
      </w:pPr>
    </w:p>
    <w:p w14:paraId="26AA5E0F">
      <w:pPr>
        <w:pStyle w:val="56"/>
        <w:spacing w:line="360" w:lineRule="auto"/>
        <w:ind w:firstLine="640"/>
        <w:rPr>
          <w:rFonts w:hint="eastAsia" w:ascii="仿宋" w:hAnsi="仿宋" w:eastAsia="仿宋" w:cs="仿宋"/>
          <w:color w:val="auto"/>
          <w:kern w:val="1"/>
          <w:sz w:val="32"/>
          <w:szCs w:val="32"/>
          <w:highlight w:val="none"/>
        </w:rPr>
      </w:pPr>
    </w:p>
    <w:p w14:paraId="5EF359EE">
      <w:pPr>
        <w:spacing w:line="360" w:lineRule="auto"/>
        <w:rPr>
          <w:rFonts w:hint="eastAsia" w:ascii="仿宋" w:hAnsi="仿宋" w:eastAsia="仿宋" w:cs="仿宋"/>
          <w:color w:val="auto"/>
          <w:kern w:val="1"/>
          <w:sz w:val="32"/>
          <w:szCs w:val="32"/>
          <w:highlight w:val="none"/>
        </w:rPr>
      </w:pPr>
    </w:p>
    <w:p w14:paraId="12551920">
      <w:pPr>
        <w:pStyle w:val="56"/>
        <w:spacing w:line="360" w:lineRule="auto"/>
        <w:ind w:firstLine="640"/>
        <w:rPr>
          <w:rFonts w:hint="eastAsia" w:ascii="仿宋" w:hAnsi="仿宋" w:eastAsia="仿宋" w:cs="仿宋"/>
          <w:color w:val="auto"/>
          <w:kern w:val="1"/>
          <w:sz w:val="32"/>
          <w:szCs w:val="32"/>
          <w:highlight w:val="none"/>
        </w:rPr>
      </w:pPr>
    </w:p>
    <w:p w14:paraId="5B74ACDE">
      <w:pPr>
        <w:spacing w:line="360" w:lineRule="auto"/>
        <w:rPr>
          <w:rFonts w:hint="eastAsia" w:ascii="仿宋" w:hAnsi="仿宋" w:eastAsia="仿宋" w:cs="仿宋"/>
          <w:color w:val="auto"/>
          <w:kern w:val="1"/>
          <w:sz w:val="32"/>
          <w:szCs w:val="32"/>
          <w:highlight w:val="none"/>
        </w:rPr>
      </w:pPr>
    </w:p>
    <w:p w14:paraId="4EFE2BFA">
      <w:pPr>
        <w:pStyle w:val="56"/>
        <w:spacing w:line="360" w:lineRule="auto"/>
        <w:ind w:firstLine="640"/>
        <w:rPr>
          <w:rFonts w:hint="eastAsia" w:ascii="仿宋" w:hAnsi="仿宋" w:eastAsia="仿宋" w:cs="仿宋"/>
          <w:color w:val="auto"/>
          <w:kern w:val="1"/>
          <w:sz w:val="32"/>
          <w:szCs w:val="32"/>
          <w:highlight w:val="none"/>
        </w:rPr>
      </w:pPr>
    </w:p>
    <w:p w14:paraId="2C8369D5">
      <w:pPr>
        <w:spacing w:line="360" w:lineRule="auto"/>
        <w:rPr>
          <w:rFonts w:hint="eastAsia" w:ascii="仿宋" w:hAnsi="仿宋" w:eastAsia="仿宋" w:cs="仿宋"/>
          <w:color w:val="auto"/>
          <w:kern w:val="1"/>
          <w:sz w:val="32"/>
          <w:szCs w:val="32"/>
          <w:highlight w:val="none"/>
        </w:rPr>
      </w:pPr>
    </w:p>
    <w:p w14:paraId="60D491E7">
      <w:pPr>
        <w:pStyle w:val="56"/>
        <w:spacing w:line="360" w:lineRule="auto"/>
        <w:ind w:firstLine="640"/>
        <w:rPr>
          <w:rFonts w:hint="eastAsia" w:ascii="仿宋" w:hAnsi="仿宋" w:eastAsia="仿宋" w:cs="仿宋"/>
          <w:color w:val="auto"/>
          <w:kern w:val="1"/>
          <w:sz w:val="32"/>
          <w:szCs w:val="32"/>
          <w:highlight w:val="none"/>
        </w:rPr>
      </w:pPr>
    </w:p>
    <w:p w14:paraId="119017F3">
      <w:pPr>
        <w:spacing w:line="360" w:lineRule="auto"/>
        <w:rPr>
          <w:rFonts w:hint="eastAsia" w:ascii="仿宋" w:hAnsi="仿宋" w:eastAsia="仿宋" w:cs="仿宋"/>
          <w:color w:val="auto"/>
          <w:kern w:val="1"/>
          <w:sz w:val="32"/>
          <w:szCs w:val="32"/>
          <w:highlight w:val="none"/>
        </w:rPr>
      </w:pPr>
    </w:p>
    <w:p w14:paraId="3A4C9F1E">
      <w:pPr>
        <w:pStyle w:val="56"/>
        <w:spacing w:line="360" w:lineRule="auto"/>
        <w:ind w:firstLine="640"/>
        <w:rPr>
          <w:rFonts w:hint="eastAsia" w:ascii="仿宋" w:hAnsi="仿宋" w:eastAsia="仿宋" w:cs="仿宋"/>
          <w:color w:val="auto"/>
          <w:kern w:val="1"/>
          <w:sz w:val="32"/>
          <w:szCs w:val="32"/>
          <w:highlight w:val="none"/>
        </w:rPr>
      </w:pPr>
    </w:p>
    <w:p w14:paraId="58A541AB">
      <w:pPr>
        <w:spacing w:line="360" w:lineRule="auto"/>
        <w:rPr>
          <w:rFonts w:hint="eastAsia" w:ascii="仿宋" w:hAnsi="仿宋" w:eastAsia="仿宋" w:cs="仿宋"/>
          <w:color w:val="auto"/>
          <w:kern w:val="1"/>
          <w:sz w:val="32"/>
          <w:szCs w:val="32"/>
          <w:highlight w:val="none"/>
        </w:rPr>
      </w:pPr>
    </w:p>
    <w:p w14:paraId="5FEBF169">
      <w:pPr>
        <w:pStyle w:val="56"/>
        <w:spacing w:line="360" w:lineRule="auto"/>
        <w:ind w:firstLine="640"/>
        <w:rPr>
          <w:rFonts w:hint="eastAsia" w:ascii="仿宋" w:hAnsi="仿宋" w:eastAsia="仿宋" w:cs="仿宋"/>
          <w:color w:val="auto"/>
          <w:kern w:val="1"/>
          <w:sz w:val="32"/>
          <w:szCs w:val="32"/>
          <w:highlight w:val="none"/>
        </w:rPr>
      </w:pPr>
    </w:p>
    <w:p w14:paraId="67E91715">
      <w:pPr>
        <w:spacing w:line="360" w:lineRule="auto"/>
        <w:rPr>
          <w:rFonts w:hint="eastAsia" w:ascii="仿宋" w:hAnsi="仿宋" w:eastAsia="仿宋" w:cs="仿宋"/>
          <w:color w:val="auto"/>
          <w:kern w:val="1"/>
          <w:sz w:val="32"/>
          <w:szCs w:val="32"/>
          <w:highlight w:val="none"/>
        </w:rPr>
      </w:pPr>
    </w:p>
    <w:p w14:paraId="5964AE0F">
      <w:pPr>
        <w:pStyle w:val="56"/>
        <w:spacing w:line="360" w:lineRule="auto"/>
        <w:ind w:firstLine="640"/>
        <w:rPr>
          <w:rFonts w:hint="eastAsia" w:ascii="仿宋" w:hAnsi="仿宋" w:eastAsia="仿宋" w:cs="仿宋"/>
          <w:color w:val="auto"/>
          <w:kern w:val="1"/>
          <w:sz w:val="32"/>
          <w:szCs w:val="32"/>
          <w:highlight w:val="none"/>
        </w:rPr>
      </w:pPr>
    </w:p>
    <w:p w14:paraId="0B68E674">
      <w:pPr>
        <w:spacing w:line="360" w:lineRule="auto"/>
        <w:rPr>
          <w:color w:val="auto"/>
          <w:highlight w:val="none"/>
        </w:rPr>
      </w:pPr>
    </w:p>
    <w:p w14:paraId="7C5178EE">
      <w:pPr>
        <w:widowControl/>
        <w:autoSpaceDE w:val="0"/>
        <w:autoSpaceDN w:val="0"/>
        <w:adjustRightInd w:val="0"/>
        <w:spacing w:line="360" w:lineRule="auto"/>
        <w:jc w:val="center"/>
        <w:rPr>
          <w:rStyle w:val="72"/>
          <w:rFonts w:hint="eastAsia" w:cs="仿宋"/>
          <w:color w:val="auto"/>
          <w:sz w:val="32"/>
          <w:szCs w:val="32"/>
          <w:highlight w:val="none"/>
        </w:rPr>
      </w:pPr>
      <w:r>
        <w:rPr>
          <w:rStyle w:val="72"/>
          <w:rFonts w:hint="eastAsia" w:cs="仿宋"/>
          <w:color w:val="auto"/>
          <w:sz w:val="32"/>
          <w:szCs w:val="32"/>
          <w:highlight w:val="none"/>
        </w:rPr>
        <w:t>十</w:t>
      </w:r>
      <w:r>
        <w:rPr>
          <w:rStyle w:val="72"/>
          <w:rFonts w:hint="eastAsia" w:eastAsia="仿宋" w:cs="仿宋"/>
          <w:color w:val="auto"/>
          <w:sz w:val="32"/>
          <w:szCs w:val="32"/>
          <w:highlight w:val="none"/>
          <w:lang w:val="en-US" w:eastAsia="zh-CN"/>
        </w:rPr>
        <w:t>一</w:t>
      </w:r>
      <w:r>
        <w:rPr>
          <w:rStyle w:val="72"/>
          <w:rFonts w:hint="eastAsia" w:cs="仿宋"/>
          <w:color w:val="auto"/>
          <w:sz w:val="32"/>
          <w:szCs w:val="32"/>
          <w:highlight w:val="none"/>
        </w:rPr>
        <w:t>、投标人认为的其他资料</w:t>
      </w:r>
      <w:r>
        <w:rPr>
          <w:rStyle w:val="72"/>
          <w:rFonts w:hint="eastAsia" w:cs="仿宋"/>
          <w:color w:val="auto"/>
          <w:sz w:val="32"/>
          <w:szCs w:val="32"/>
          <w:highlight w:val="none"/>
          <w:lang w:val="zh-CN"/>
        </w:rPr>
        <w:t>（</w:t>
      </w:r>
      <w:r>
        <w:rPr>
          <w:rStyle w:val="72"/>
          <w:rFonts w:hint="eastAsia" w:cs="仿宋"/>
          <w:color w:val="auto"/>
          <w:sz w:val="32"/>
          <w:szCs w:val="32"/>
          <w:highlight w:val="none"/>
        </w:rPr>
        <w:t>格式自拟）</w:t>
      </w:r>
    </w:p>
    <w:p w14:paraId="10C20D6C">
      <w:pPr>
        <w:widowControl/>
        <w:autoSpaceDE w:val="0"/>
        <w:autoSpaceDN w:val="0"/>
        <w:adjustRightInd w:val="0"/>
        <w:spacing w:line="360" w:lineRule="auto"/>
        <w:rPr>
          <w:rFonts w:hint="eastAsia" w:ascii="仿宋" w:hAnsi="仿宋" w:eastAsia="仿宋" w:cs="仿宋"/>
          <w:color w:val="auto"/>
          <w:sz w:val="22"/>
          <w:szCs w:val="24"/>
          <w:highlight w:val="none"/>
        </w:rPr>
      </w:pPr>
    </w:p>
    <w:p w14:paraId="7BC0748D">
      <w:pPr>
        <w:pStyle w:val="67"/>
        <w:spacing w:line="360" w:lineRule="auto"/>
        <w:ind w:firstLine="0" w:firstLineChars="0"/>
        <w:rPr>
          <w:rFonts w:hint="eastAsia" w:ascii="仿宋" w:hAnsi="仿宋" w:eastAsia="仿宋" w:cs="仿宋"/>
          <w:color w:val="auto"/>
          <w:sz w:val="32"/>
          <w:szCs w:val="24"/>
          <w:highlight w:val="none"/>
        </w:rPr>
      </w:pPr>
    </w:p>
    <w:p w14:paraId="309FB251">
      <w:pPr>
        <w:pStyle w:val="67"/>
        <w:spacing w:line="360" w:lineRule="auto"/>
        <w:ind w:firstLine="0" w:firstLineChars="0"/>
        <w:rPr>
          <w:rFonts w:hint="eastAsia" w:ascii="仿宋" w:hAnsi="仿宋" w:eastAsia="仿宋" w:cs="仿宋"/>
          <w:color w:val="auto"/>
          <w:sz w:val="32"/>
          <w:szCs w:val="24"/>
          <w:highlight w:val="none"/>
        </w:rPr>
      </w:pPr>
    </w:p>
    <w:p w14:paraId="7FE5E66F">
      <w:pPr>
        <w:pStyle w:val="67"/>
        <w:spacing w:line="360" w:lineRule="auto"/>
        <w:ind w:firstLine="0" w:firstLineChars="0"/>
        <w:rPr>
          <w:rFonts w:hint="eastAsia" w:ascii="仿宋" w:hAnsi="仿宋" w:eastAsia="仿宋" w:cs="仿宋"/>
          <w:color w:val="auto"/>
          <w:sz w:val="32"/>
          <w:szCs w:val="24"/>
          <w:highlight w:val="none"/>
        </w:rPr>
      </w:pPr>
    </w:p>
    <w:p w14:paraId="72887B6F">
      <w:pPr>
        <w:pStyle w:val="67"/>
        <w:spacing w:line="360" w:lineRule="auto"/>
        <w:ind w:firstLine="0" w:firstLineChars="0"/>
        <w:rPr>
          <w:rFonts w:hint="eastAsia" w:ascii="仿宋" w:hAnsi="仿宋" w:eastAsia="仿宋" w:cs="仿宋"/>
          <w:color w:val="auto"/>
          <w:sz w:val="32"/>
          <w:szCs w:val="24"/>
          <w:highlight w:val="none"/>
        </w:rPr>
      </w:pPr>
    </w:p>
    <w:p w14:paraId="6479B20E">
      <w:pPr>
        <w:pStyle w:val="67"/>
        <w:spacing w:line="360" w:lineRule="auto"/>
        <w:ind w:firstLine="0" w:firstLineChars="0"/>
        <w:rPr>
          <w:rFonts w:hint="eastAsia" w:ascii="仿宋" w:hAnsi="仿宋" w:eastAsia="仿宋" w:cs="仿宋"/>
          <w:color w:val="auto"/>
          <w:sz w:val="32"/>
          <w:szCs w:val="24"/>
          <w:highlight w:val="none"/>
        </w:rPr>
      </w:pPr>
    </w:p>
    <w:p w14:paraId="7191D253">
      <w:pPr>
        <w:pStyle w:val="67"/>
        <w:spacing w:line="360" w:lineRule="auto"/>
        <w:ind w:firstLine="0" w:firstLineChars="0"/>
        <w:rPr>
          <w:rFonts w:hint="eastAsia" w:ascii="仿宋" w:hAnsi="仿宋" w:eastAsia="仿宋" w:cs="仿宋"/>
          <w:color w:val="auto"/>
          <w:sz w:val="32"/>
          <w:szCs w:val="24"/>
          <w:highlight w:val="none"/>
        </w:rPr>
      </w:pPr>
    </w:p>
    <w:p w14:paraId="3ABD96A5">
      <w:pPr>
        <w:pStyle w:val="67"/>
        <w:spacing w:line="360" w:lineRule="auto"/>
        <w:ind w:firstLine="0" w:firstLineChars="0"/>
        <w:rPr>
          <w:rFonts w:hint="eastAsia" w:ascii="仿宋" w:hAnsi="仿宋" w:eastAsia="仿宋" w:cs="仿宋"/>
          <w:color w:val="auto"/>
          <w:sz w:val="32"/>
          <w:szCs w:val="24"/>
          <w:highlight w:val="none"/>
        </w:rPr>
      </w:pPr>
    </w:p>
    <w:p w14:paraId="2E3C7287">
      <w:pPr>
        <w:pStyle w:val="67"/>
        <w:spacing w:line="360" w:lineRule="auto"/>
        <w:ind w:firstLine="0" w:firstLineChars="0"/>
        <w:rPr>
          <w:rFonts w:hint="eastAsia" w:ascii="仿宋" w:hAnsi="仿宋" w:eastAsia="仿宋" w:cs="仿宋"/>
          <w:color w:val="auto"/>
          <w:sz w:val="32"/>
          <w:szCs w:val="24"/>
          <w:highlight w:val="none"/>
        </w:rPr>
      </w:pPr>
    </w:p>
    <w:p w14:paraId="5A8BCEAE">
      <w:pPr>
        <w:pStyle w:val="67"/>
        <w:spacing w:line="360" w:lineRule="auto"/>
        <w:ind w:firstLine="0" w:firstLineChars="0"/>
        <w:rPr>
          <w:rFonts w:hint="eastAsia" w:ascii="仿宋" w:hAnsi="仿宋" w:eastAsia="仿宋" w:cs="仿宋"/>
          <w:color w:val="auto"/>
          <w:sz w:val="32"/>
          <w:szCs w:val="24"/>
          <w:highlight w:val="none"/>
        </w:rPr>
      </w:pPr>
    </w:p>
    <w:p w14:paraId="6F398825">
      <w:pPr>
        <w:pStyle w:val="67"/>
        <w:spacing w:line="360" w:lineRule="auto"/>
        <w:ind w:firstLine="0" w:firstLineChars="0"/>
        <w:rPr>
          <w:rFonts w:hint="eastAsia" w:ascii="仿宋" w:hAnsi="仿宋" w:eastAsia="仿宋" w:cs="仿宋"/>
          <w:color w:val="auto"/>
          <w:sz w:val="32"/>
          <w:szCs w:val="24"/>
          <w:highlight w:val="none"/>
        </w:rPr>
      </w:pPr>
    </w:p>
    <w:p w14:paraId="759CA5C5">
      <w:pPr>
        <w:pStyle w:val="67"/>
        <w:spacing w:line="360" w:lineRule="auto"/>
        <w:ind w:firstLine="0" w:firstLineChars="0"/>
        <w:rPr>
          <w:rFonts w:hint="eastAsia" w:ascii="仿宋" w:hAnsi="仿宋" w:eastAsia="仿宋" w:cs="仿宋"/>
          <w:color w:val="auto"/>
          <w:sz w:val="32"/>
          <w:szCs w:val="24"/>
          <w:highlight w:val="none"/>
        </w:rPr>
      </w:pPr>
    </w:p>
    <w:p w14:paraId="504D40FF">
      <w:pPr>
        <w:pStyle w:val="67"/>
        <w:spacing w:line="360" w:lineRule="auto"/>
        <w:ind w:firstLine="0" w:firstLineChars="0"/>
        <w:rPr>
          <w:rFonts w:hint="eastAsia" w:ascii="仿宋" w:hAnsi="仿宋" w:eastAsia="仿宋" w:cs="仿宋"/>
          <w:color w:val="auto"/>
          <w:sz w:val="32"/>
          <w:szCs w:val="24"/>
          <w:highlight w:val="none"/>
        </w:rPr>
      </w:pPr>
    </w:p>
    <w:p w14:paraId="2A70A186">
      <w:pPr>
        <w:pStyle w:val="67"/>
        <w:spacing w:line="360" w:lineRule="auto"/>
        <w:ind w:firstLine="0" w:firstLineChars="0"/>
        <w:rPr>
          <w:rFonts w:hint="eastAsia" w:ascii="仿宋" w:hAnsi="仿宋" w:eastAsia="仿宋" w:cs="仿宋"/>
          <w:color w:val="auto"/>
          <w:sz w:val="32"/>
          <w:szCs w:val="24"/>
          <w:highlight w:val="none"/>
        </w:rPr>
      </w:pPr>
    </w:p>
    <w:p w14:paraId="5B63041F">
      <w:pPr>
        <w:pStyle w:val="67"/>
        <w:spacing w:line="360" w:lineRule="auto"/>
        <w:ind w:firstLine="0" w:firstLineChars="0"/>
        <w:rPr>
          <w:rFonts w:hint="eastAsia" w:ascii="仿宋" w:hAnsi="仿宋" w:eastAsia="仿宋" w:cs="仿宋"/>
          <w:color w:val="auto"/>
          <w:sz w:val="32"/>
          <w:szCs w:val="24"/>
          <w:highlight w:val="none"/>
        </w:rPr>
      </w:pPr>
    </w:p>
    <w:p w14:paraId="0AD89A76">
      <w:pPr>
        <w:pStyle w:val="67"/>
        <w:spacing w:line="360" w:lineRule="auto"/>
        <w:ind w:firstLine="0" w:firstLineChars="0"/>
        <w:rPr>
          <w:rFonts w:hint="eastAsia" w:ascii="仿宋" w:hAnsi="仿宋" w:eastAsia="仿宋" w:cs="仿宋"/>
          <w:color w:val="auto"/>
          <w:sz w:val="32"/>
          <w:szCs w:val="24"/>
          <w:highlight w:val="none"/>
        </w:rPr>
      </w:pPr>
    </w:p>
    <w:p w14:paraId="30D8C59B">
      <w:pPr>
        <w:pStyle w:val="67"/>
        <w:spacing w:line="360" w:lineRule="auto"/>
        <w:ind w:firstLine="0" w:firstLineChars="0"/>
        <w:rPr>
          <w:rFonts w:hint="eastAsia" w:ascii="仿宋" w:hAnsi="仿宋" w:eastAsia="仿宋" w:cs="仿宋"/>
          <w:color w:val="auto"/>
          <w:sz w:val="32"/>
          <w:szCs w:val="24"/>
          <w:highlight w:val="none"/>
        </w:rPr>
      </w:pPr>
    </w:p>
    <w:p w14:paraId="51264F36">
      <w:pPr>
        <w:pStyle w:val="67"/>
        <w:spacing w:line="360" w:lineRule="auto"/>
        <w:ind w:firstLine="0" w:firstLineChars="0"/>
        <w:rPr>
          <w:rFonts w:hint="eastAsia" w:ascii="仿宋" w:hAnsi="仿宋" w:eastAsia="仿宋" w:cs="仿宋"/>
          <w:color w:val="auto"/>
          <w:sz w:val="32"/>
          <w:szCs w:val="24"/>
          <w:highlight w:val="none"/>
        </w:rPr>
      </w:pPr>
    </w:p>
    <w:p w14:paraId="1FB481D8">
      <w:pPr>
        <w:pStyle w:val="67"/>
        <w:spacing w:line="360" w:lineRule="auto"/>
        <w:ind w:firstLine="0" w:firstLineChars="0"/>
        <w:rPr>
          <w:rFonts w:hint="eastAsia" w:ascii="仿宋" w:hAnsi="仿宋" w:eastAsia="仿宋" w:cs="仿宋"/>
          <w:color w:val="auto"/>
          <w:sz w:val="32"/>
          <w:szCs w:val="24"/>
          <w:highlight w:val="none"/>
        </w:rPr>
      </w:pPr>
    </w:p>
    <w:p w14:paraId="38721436">
      <w:pPr>
        <w:pStyle w:val="67"/>
        <w:spacing w:line="360" w:lineRule="auto"/>
        <w:ind w:firstLine="0" w:firstLineChars="0"/>
        <w:rPr>
          <w:rFonts w:hint="eastAsia" w:ascii="仿宋" w:hAnsi="仿宋" w:eastAsia="仿宋" w:cs="仿宋"/>
          <w:color w:val="auto"/>
          <w:sz w:val="32"/>
          <w:szCs w:val="24"/>
          <w:highlight w:val="none"/>
        </w:rPr>
      </w:pPr>
    </w:p>
    <w:p w14:paraId="51E3C7BA">
      <w:pPr>
        <w:pStyle w:val="67"/>
        <w:spacing w:line="360" w:lineRule="auto"/>
        <w:ind w:firstLine="0" w:firstLineChars="0"/>
        <w:rPr>
          <w:rFonts w:hint="eastAsia" w:ascii="仿宋" w:hAnsi="仿宋" w:eastAsia="仿宋" w:cs="仿宋"/>
          <w:color w:val="auto"/>
          <w:sz w:val="32"/>
          <w:szCs w:val="24"/>
          <w:highlight w:val="none"/>
        </w:rPr>
      </w:pPr>
    </w:p>
    <w:p w14:paraId="03B2453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rPr>
        <w:t>中小企业划型标准规定（工信部联企业〔2011〕300号）</w:t>
      </w:r>
    </w:p>
    <w:tbl>
      <w:tblPr>
        <w:tblStyle w:val="37"/>
        <w:tblW w:w="11062" w:type="dxa"/>
        <w:jc w:val="center"/>
        <w:tblLayout w:type="fixed"/>
        <w:tblCellMar>
          <w:top w:w="15" w:type="dxa"/>
          <w:left w:w="15" w:type="dxa"/>
          <w:bottom w:w="15" w:type="dxa"/>
          <w:right w:w="15" w:type="dxa"/>
        </w:tblCellMar>
      </w:tblPr>
      <w:tblGrid>
        <w:gridCol w:w="1911"/>
        <w:gridCol w:w="602"/>
        <w:gridCol w:w="829"/>
        <w:gridCol w:w="715"/>
        <w:gridCol w:w="882"/>
        <w:gridCol w:w="929"/>
        <w:gridCol w:w="734"/>
        <w:gridCol w:w="780"/>
        <w:gridCol w:w="780"/>
        <w:gridCol w:w="697"/>
        <w:gridCol w:w="792"/>
        <w:gridCol w:w="709"/>
        <w:gridCol w:w="702"/>
      </w:tblGrid>
      <w:tr w14:paraId="0DA4146A">
        <w:tblPrEx>
          <w:tblCellMar>
            <w:top w:w="15" w:type="dxa"/>
            <w:left w:w="15" w:type="dxa"/>
            <w:bottom w:w="15" w:type="dxa"/>
            <w:right w:w="15" w:type="dxa"/>
          </w:tblCellMar>
        </w:tblPrEx>
        <w:trPr>
          <w:trHeight w:val="90" w:hRule="atLeast"/>
          <w:jc w:val="center"/>
        </w:trPr>
        <w:tc>
          <w:tcPr>
            <w:tcW w:w="1911" w:type="dxa"/>
            <w:vMerge w:val="restart"/>
            <w:tcBorders>
              <w:top w:val="single" w:color="000000" w:sz="12" w:space="0"/>
              <w:left w:val="single" w:color="000000" w:sz="12" w:space="0"/>
              <w:bottom w:val="single" w:color="000000" w:sz="4" w:space="0"/>
              <w:right w:val="single" w:color="000000" w:sz="4" w:space="0"/>
            </w:tcBorders>
            <w:vAlign w:val="center"/>
          </w:tcPr>
          <w:p w14:paraId="70C9E52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行业</w:t>
            </w:r>
          </w:p>
        </w:tc>
        <w:tc>
          <w:tcPr>
            <w:tcW w:w="2146" w:type="dxa"/>
            <w:gridSpan w:val="3"/>
            <w:tcBorders>
              <w:top w:val="single" w:color="000000" w:sz="12" w:space="0"/>
              <w:left w:val="single" w:color="000000" w:sz="4" w:space="0"/>
              <w:bottom w:val="single" w:color="000000" w:sz="4" w:space="0"/>
              <w:right w:val="single" w:color="000000" w:sz="4" w:space="0"/>
            </w:tcBorders>
            <w:vAlign w:val="center"/>
          </w:tcPr>
          <w:p w14:paraId="6AEBA79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中小微型企业（或</w:t>
            </w:r>
            <w:r>
              <w:rPr>
                <w:rStyle w:val="108"/>
                <w:rFonts w:hint="default"/>
                <w:color w:val="auto"/>
                <w:sz w:val="20"/>
                <w:szCs w:val="20"/>
                <w:highlight w:val="none"/>
                <w:lang w:bidi="ar"/>
              </w:rPr>
              <w:t>）</w:t>
            </w:r>
          </w:p>
        </w:tc>
        <w:tc>
          <w:tcPr>
            <w:tcW w:w="2545" w:type="dxa"/>
            <w:gridSpan w:val="3"/>
            <w:tcBorders>
              <w:top w:val="single" w:color="000000" w:sz="12" w:space="0"/>
              <w:left w:val="single" w:color="000000" w:sz="4" w:space="0"/>
              <w:bottom w:val="single" w:color="000000" w:sz="4" w:space="0"/>
              <w:right w:val="single" w:color="000000" w:sz="4" w:space="0"/>
            </w:tcBorders>
            <w:vAlign w:val="center"/>
          </w:tcPr>
          <w:p w14:paraId="53BB0D4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中型企业（且</w:t>
            </w:r>
            <w:r>
              <w:rPr>
                <w:rStyle w:val="108"/>
                <w:rFonts w:hint="default"/>
                <w:color w:val="auto"/>
                <w:sz w:val="20"/>
                <w:szCs w:val="20"/>
                <w:highlight w:val="none"/>
                <w:lang w:bidi="ar"/>
              </w:rPr>
              <w:t>）</w:t>
            </w:r>
          </w:p>
        </w:tc>
        <w:tc>
          <w:tcPr>
            <w:tcW w:w="2257" w:type="dxa"/>
            <w:gridSpan w:val="3"/>
            <w:tcBorders>
              <w:top w:val="single" w:color="000000" w:sz="12" w:space="0"/>
              <w:left w:val="single" w:color="000000" w:sz="4" w:space="0"/>
              <w:bottom w:val="single" w:color="000000" w:sz="4" w:space="0"/>
              <w:right w:val="single" w:color="000000" w:sz="4" w:space="0"/>
            </w:tcBorders>
            <w:vAlign w:val="center"/>
          </w:tcPr>
          <w:p w14:paraId="5E462A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小型企业（且</w:t>
            </w:r>
            <w:r>
              <w:rPr>
                <w:rStyle w:val="108"/>
                <w:rFonts w:hint="default"/>
                <w:color w:val="auto"/>
                <w:sz w:val="20"/>
                <w:szCs w:val="20"/>
                <w:highlight w:val="none"/>
                <w:lang w:bidi="ar"/>
              </w:rPr>
              <w:t>）</w:t>
            </w:r>
          </w:p>
        </w:tc>
        <w:tc>
          <w:tcPr>
            <w:tcW w:w="2203" w:type="dxa"/>
            <w:gridSpan w:val="3"/>
            <w:tcBorders>
              <w:top w:val="single" w:color="000000" w:sz="12" w:space="0"/>
              <w:left w:val="single" w:color="000000" w:sz="4" w:space="0"/>
              <w:bottom w:val="single" w:color="000000" w:sz="4" w:space="0"/>
              <w:right w:val="single" w:color="000000" w:sz="12" w:space="0"/>
            </w:tcBorders>
            <w:vAlign w:val="center"/>
          </w:tcPr>
          <w:p w14:paraId="72E2B65D">
            <w:pPr>
              <w:keepNext w:val="0"/>
              <w:keepLines w:val="0"/>
              <w:widowControl/>
              <w:suppressLineNumbers w:val="0"/>
              <w:spacing w:before="0" w:beforeAutospacing="0" w:after="0" w:afterAutospacing="0" w:line="360" w:lineRule="auto"/>
              <w:ind w:left="0" w:right="-99" w:rightChars="-47"/>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微型企业（或</w:t>
            </w:r>
            <w:r>
              <w:rPr>
                <w:rStyle w:val="108"/>
                <w:rFonts w:hint="default"/>
                <w:color w:val="auto"/>
                <w:sz w:val="20"/>
                <w:szCs w:val="20"/>
                <w:highlight w:val="none"/>
                <w:lang w:bidi="ar"/>
              </w:rPr>
              <w:t>）</w:t>
            </w:r>
          </w:p>
        </w:tc>
      </w:tr>
      <w:tr w14:paraId="7663423D">
        <w:tblPrEx>
          <w:tblCellMar>
            <w:top w:w="15" w:type="dxa"/>
            <w:left w:w="15" w:type="dxa"/>
            <w:bottom w:w="15" w:type="dxa"/>
            <w:right w:w="15" w:type="dxa"/>
          </w:tblCellMar>
        </w:tblPrEx>
        <w:trPr>
          <w:trHeight w:val="90" w:hRule="atLeast"/>
          <w:jc w:val="center"/>
        </w:trPr>
        <w:tc>
          <w:tcPr>
            <w:tcW w:w="1911" w:type="dxa"/>
            <w:vMerge w:val="continue"/>
            <w:tcBorders>
              <w:top w:val="single" w:color="000000" w:sz="12" w:space="0"/>
              <w:left w:val="single" w:color="000000" w:sz="12" w:space="0"/>
              <w:bottom w:val="single" w:color="000000" w:sz="4" w:space="0"/>
              <w:right w:val="single" w:color="000000" w:sz="4" w:space="0"/>
            </w:tcBorders>
            <w:vAlign w:val="center"/>
          </w:tcPr>
          <w:p w14:paraId="61A9CFB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0"/>
                <w:szCs w:val="20"/>
                <w:highlight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2FA761B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829" w:type="dxa"/>
            <w:tcBorders>
              <w:top w:val="single" w:color="000000" w:sz="4" w:space="0"/>
              <w:left w:val="single" w:color="000000" w:sz="4" w:space="0"/>
              <w:bottom w:val="single" w:color="000000" w:sz="4" w:space="0"/>
              <w:right w:val="single" w:color="000000" w:sz="4" w:space="0"/>
            </w:tcBorders>
            <w:vAlign w:val="center"/>
          </w:tcPr>
          <w:p w14:paraId="062CE3B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15" w:type="dxa"/>
            <w:tcBorders>
              <w:top w:val="single" w:color="000000" w:sz="4" w:space="0"/>
              <w:left w:val="single" w:color="000000" w:sz="4" w:space="0"/>
              <w:bottom w:val="single" w:color="000000" w:sz="4" w:space="0"/>
              <w:right w:val="single" w:color="000000" w:sz="4" w:space="0"/>
            </w:tcBorders>
            <w:vAlign w:val="center"/>
          </w:tcPr>
          <w:p w14:paraId="53591AD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882" w:type="dxa"/>
            <w:tcBorders>
              <w:top w:val="single" w:color="000000" w:sz="4" w:space="0"/>
              <w:left w:val="single" w:color="000000" w:sz="4" w:space="0"/>
              <w:bottom w:val="single" w:color="000000" w:sz="4" w:space="0"/>
              <w:right w:val="single" w:color="000000" w:sz="4" w:space="0"/>
            </w:tcBorders>
            <w:vAlign w:val="center"/>
          </w:tcPr>
          <w:p w14:paraId="4DD957F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929" w:type="dxa"/>
            <w:tcBorders>
              <w:top w:val="single" w:color="000000" w:sz="4" w:space="0"/>
              <w:left w:val="single" w:color="000000" w:sz="4" w:space="0"/>
              <w:bottom w:val="single" w:color="000000" w:sz="4" w:space="0"/>
              <w:right w:val="single" w:color="000000" w:sz="4" w:space="0"/>
            </w:tcBorders>
            <w:vAlign w:val="center"/>
          </w:tcPr>
          <w:p w14:paraId="120C6A5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34" w:type="dxa"/>
            <w:tcBorders>
              <w:top w:val="single" w:color="000000" w:sz="4" w:space="0"/>
              <w:left w:val="single" w:color="000000" w:sz="4" w:space="0"/>
              <w:bottom w:val="single" w:color="000000" w:sz="4" w:space="0"/>
              <w:right w:val="single" w:color="000000" w:sz="4" w:space="0"/>
            </w:tcBorders>
            <w:vAlign w:val="center"/>
          </w:tcPr>
          <w:p w14:paraId="2D0E054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780" w:type="dxa"/>
            <w:tcBorders>
              <w:top w:val="single" w:color="000000" w:sz="4" w:space="0"/>
              <w:left w:val="single" w:color="000000" w:sz="4" w:space="0"/>
              <w:bottom w:val="single" w:color="000000" w:sz="4" w:space="0"/>
              <w:right w:val="single" w:color="000000" w:sz="4" w:space="0"/>
            </w:tcBorders>
            <w:vAlign w:val="center"/>
          </w:tcPr>
          <w:p w14:paraId="77DE570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780" w:type="dxa"/>
            <w:tcBorders>
              <w:top w:val="single" w:color="000000" w:sz="4" w:space="0"/>
              <w:left w:val="single" w:color="000000" w:sz="4" w:space="0"/>
              <w:bottom w:val="single" w:color="000000" w:sz="4" w:space="0"/>
              <w:right w:val="single" w:color="000000" w:sz="4" w:space="0"/>
            </w:tcBorders>
            <w:vAlign w:val="center"/>
          </w:tcPr>
          <w:p w14:paraId="596A28A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697" w:type="dxa"/>
            <w:tcBorders>
              <w:top w:val="single" w:color="000000" w:sz="4" w:space="0"/>
              <w:left w:val="single" w:color="000000" w:sz="4" w:space="0"/>
              <w:bottom w:val="single" w:color="000000" w:sz="4" w:space="0"/>
              <w:right w:val="single" w:color="000000" w:sz="4" w:space="0"/>
            </w:tcBorders>
            <w:vAlign w:val="center"/>
          </w:tcPr>
          <w:p w14:paraId="46F1FC3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792" w:type="dxa"/>
            <w:tcBorders>
              <w:top w:val="single" w:color="000000" w:sz="4" w:space="0"/>
              <w:left w:val="single" w:color="000000" w:sz="4" w:space="0"/>
              <w:bottom w:val="single" w:color="000000" w:sz="4" w:space="0"/>
              <w:right w:val="single" w:color="000000" w:sz="4" w:space="0"/>
            </w:tcBorders>
            <w:vAlign w:val="center"/>
          </w:tcPr>
          <w:p w14:paraId="48C4720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709" w:type="dxa"/>
            <w:tcBorders>
              <w:top w:val="single" w:color="000000" w:sz="4" w:space="0"/>
              <w:left w:val="single" w:color="000000" w:sz="4" w:space="0"/>
              <w:bottom w:val="single" w:color="000000" w:sz="4" w:space="0"/>
              <w:right w:val="single" w:color="000000" w:sz="4" w:space="0"/>
            </w:tcBorders>
            <w:vAlign w:val="center"/>
          </w:tcPr>
          <w:p w14:paraId="1C0F793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02" w:type="dxa"/>
            <w:tcBorders>
              <w:top w:val="single" w:color="000000" w:sz="4" w:space="0"/>
              <w:left w:val="single" w:color="000000" w:sz="4" w:space="0"/>
              <w:bottom w:val="single" w:color="000000" w:sz="4" w:space="0"/>
              <w:right w:val="single" w:color="000000" w:sz="12" w:space="0"/>
            </w:tcBorders>
            <w:vAlign w:val="center"/>
          </w:tcPr>
          <w:p w14:paraId="5B8428E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r>
      <w:tr w14:paraId="4348600B">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FD28C7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农、林、牧、渔业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27C77B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34487F8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20000万元</w:t>
            </w:r>
          </w:p>
          <w:p w14:paraId="4044091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29FB66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874820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5A3BC19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86D813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F02D2B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BF8E89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9335F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16E8C5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63EAC0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8A7E4D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2A1DE28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FDD2DC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F85034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5D65A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40000万元</w:t>
            </w:r>
          </w:p>
          <w:p w14:paraId="78452C9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AA7C616">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895D5E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A27938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A1BB7B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28CD85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BED1C1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1388D7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BE25F2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6EF137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8C1465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1EF7543F">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66445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建筑业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014FEB2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244FFDC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80000万元</w:t>
            </w:r>
          </w:p>
          <w:p w14:paraId="65C791A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C93698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2F6C99C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436964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A4EE4B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AFEA7F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472FA2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E08BDE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90B899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C3CA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5331CB7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r>
      <w:tr w14:paraId="6870FA2E">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9A78E4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批发业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E6A76B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3D30BE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40000万元</w:t>
            </w:r>
          </w:p>
          <w:p w14:paraId="505ABBB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FEDBFF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468B8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F02F62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838D6F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229840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65E5854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447AEB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7A7892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D9B13C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2A2092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6E80EEB0">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D6EBA1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零售业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628019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5755386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20000万元</w:t>
            </w:r>
          </w:p>
          <w:p w14:paraId="4E1BBEF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67D17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239D53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6088AC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10021AAA">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B31C93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68458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15024C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35F59F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23C89F4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872358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1CBCB5D7">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38651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vAlign w:val="center"/>
          </w:tcPr>
          <w:p w14:paraId="6F8001B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B6BA91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30000万元</w:t>
            </w:r>
          </w:p>
          <w:p w14:paraId="07B6865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042D03E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740A529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4831CD0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15C1AB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5220FA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BF0A1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0D4066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619EAB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21E1AA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95CED5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1D7AB01">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35B5012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仓储业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915044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831BAA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1648A7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FA8C9C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1854E4F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4EFFF7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C0493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471948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D1ED00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3D70DA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A1B3C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D96D18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3F184A4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0EEC6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邮政业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8B258C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0A929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F51FF4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5FAE32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473C5D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3BCE03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2215B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70F6F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6789AEC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0F51C1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EFE91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3A8C44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7990690">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030B4F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住宿业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2FC97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F47DB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AE6E02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001244E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3B469A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8B87AD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F342FF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482304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CE364B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0E9CA0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6BE214F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04D093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267D606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5284FF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餐饮业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425C0B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70ED34D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06ABBB7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A551F4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EF9506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D4235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9A0BA4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BB6D0A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A4A376B">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365484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35FC2F0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82AD3E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34369D5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2CC532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信息传输业（包括电信、互联网和相关服务）</w:t>
            </w:r>
          </w:p>
        </w:tc>
        <w:tc>
          <w:tcPr>
            <w:tcW w:w="602" w:type="dxa"/>
            <w:tcBorders>
              <w:top w:val="single" w:color="000000" w:sz="4" w:space="0"/>
              <w:left w:val="single" w:color="000000" w:sz="4" w:space="0"/>
              <w:bottom w:val="single" w:color="000000" w:sz="4" w:space="0"/>
              <w:right w:val="single" w:color="000000" w:sz="4" w:space="0"/>
            </w:tcBorders>
            <w:vAlign w:val="center"/>
          </w:tcPr>
          <w:p w14:paraId="4CB0E5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B939B2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2DA2993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38CF37E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7EAB90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30487A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80B2F2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7858D35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21EFE3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D0324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0BC665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768296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7E919E3">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F1F39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软件和信息技术服务业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40A4D5D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09A9547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CB516B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9980A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171F79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D8086C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76081F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1BE6E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23D5BD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CDF618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6CA9EDD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02EEDDE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584F7C8F">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A7A555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房地产开发经营</w:t>
            </w:r>
          </w:p>
        </w:tc>
        <w:tc>
          <w:tcPr>
            <w:tcW w:w="602" w:type="dxa"/>
            <w:tcBorders>
              <w:top w:val="single" w:color="000000" w:sz="4" w:space="0"/>
              <w:left w:val="single" w:color="000000" w:sz="4" w:space="0"/>
              <w:bottom w:val="single" w:color="000000" w:sz="4" w:space="0"/>
              <w:right w:val="single" w:color="000000" w:sz="4" w:space="0"/>
            </w:tcBorders>
            <w:vAlign w:val="center"/>
          </w:tcPr>
          <w:p w14:paraId="2C55845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200000万元以下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4D6B06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8A9E77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44C876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37D0946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8E030F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F8B215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25473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D24065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EF5C93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FC2A9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DC7371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2000万元以下</w:t>
            </w:r>
          </w:p>
        </w:tc>
      </w:tr>
      <w:tr w14:paraId="77FAAD42">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5E4C19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物业管理</w:t>
            </w:r>
          </w:p>
        </w:tc>
        <w:tc>
          <w:tcPr>
            <w:tcW w:w="602" w:type="dxa"/>
            <w:tcBorders>
              <w:top w:val="single" w:color="000000" w:sz="4" w:space="0"/>
              <w:left w:val="single" w:color="000000" w:sz="4" w:space="0"/>
              <w:bottom w:val="single" w:color="000000" w:sz="4" w:space="0"/>
              <w:right w:val="single" w:color="000000" w:sz="4" w:space="0"/>
            </w:tcBorders>
            <w:vAlign w:val="center"/>
          </w:tcPr>
          <w:p w14:paraId="3C9536E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2740D05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2BE800D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3F28184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AC63DF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6E0930A">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505577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1C61B3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40A6847B">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BE8F51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2315FDC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9F33BF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0339CCBA">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95B849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租赁和商务服务业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509A80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06FC0F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14:paraId="18C669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6440BB9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C0E0EB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6E6AC9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4AF35D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BDBB8A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697" w:type="dxa"/>
            <w:tcBorders>
              <w:top w:val="single" w:color="000000" w:sz="4" w:space="0"/>
              <w:left w:val="single" w:color="000000" w:sz="4" w:space="0"/>
              <w:bottom w:val="single" w:color="000000" w:sz="4" w:space="0"/>
              <w:right w:val="single" w:color="000000" w:sz="4" w:space="0"/>
            </w:tcBorders>
            <w:vAlign w:val="center"/>
          </w:tcPr>
          <w:p w14:paraId="7D83682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CCA1F7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0CF5DC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2" w:type="dxa"/>
            <w:tcBorders>
              <w:top w:val="single" w:color="000000" w:sz="4" w:space="0"/>
              <w:left w:val="single" w:color="000000" w:sz="4" w:space="0"/>
              <w:bottom w:val="single" w:color="000000" w:sz="4" w:space="0"/>
              <w:right w:val="single" w:color="000000" w:sz="12" w:space="0"/>
            </w:tcBorders>
            <w:vAlign w:val="center"/>
          </w:tcPr>
          <w:p w14:paraId="491115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r>
      <w:tr w14:paraId="4CF2BE25">
        <w:tblPrEx>
          <w:tblCellMar>
            <w:top w:w="15" w:type="dxa"/>
            <w:left w:w="15" w:type="dxa"/>
            <w:bottom w:w="15" w:type="dxa"/>
            <w:right w:w="15" w:type="dxa"/>
          </w:tblCellMar>
        </w:tblPrEx>
        <w:trPr>
          <w:trHeight w:val="1345" w:hRule="atLeast"/>
          <w:jc w:val="center"/>
        </w:trPr>
        <w:tc>
          <w:tcPr>
            <w:tcW w:w="1911" w:type="dxa"/>
            <w:tcBorders>
              <w:top w:val="single" w:color="000000" w:sz="4" w:space="0"/>
              <w:left w:val="single" w:color="000000" w:sz="12" w:space="0"/>
              <w:bottom w:val="single" w:color="000000" w:sz="12" w:space="0"/>
              <w:right w:val="single" w:color="000000" w:sz="4" w:space="0"/>
            </w:tcBorders>
            <w:vAlign w:val="center"/>
          </w:tcPr>
          <w:p w14:paraId="1FCB74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其他未列明行业（包括科学研究和技术服务业，水利、环境和公共设施管理业，居民服务、修理和其他服务业，社会工作，文化、体育和娱乐业等）</w:t>
            </w:r>
          </w:p>
        </w:tc>
        <w:tc>
          <w:tcPr>
            <w:tcW w:w="602" w:type="dxa"/>
            <w:tcBorders>
              <w:top w:val="single" w:color="000000" w:sz="4" w:space="0"/>
              <w:left w:val="single" w:color="000000" w:sz="4" w:space="0"/>
              <w:bottom w:val="single" w:color="000000" w:sz="12" w:space="0"/>
              <w:right w:val="single" w:color="000000" w:sz="4" w:space="0"/>
            </w:tcBorders>
            <w:vAlign w:val="center"/>
          </w:tcPr>
          <w:p w14:paraId="32AF0DA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12" w:space="0"/>
              <w:right w:val="single" w:color="000000" w:sz="4" w:space="0"/>
            </w:tcBorders>
            <w:vAlign w:val="center"/>
          </w:tcPr>
          <w:p w14:paraId="0C1E48E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15" w:type="dxa"/>
            <w:tcBorders>
              <w:top w:val="single" w:color="000000" w:sz="4" w:space="0"/>
              <w:left w:val="single" w:color="000000" w:sz="4" w:space="0"/>
              <w:bottom w:val="single" w:color="000000" w:sz="12" w:space="0"/>
              <w:right w:val="single" w:color="000000" w:sz="4" w:space="0"/>
            </w:tcBorders>
            <w:vAlign w:val="center"/>
          </w:tcPr>
          <w:p w14:paraId="246AF27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12" w:space="0"/>
              <w:right w:val="single" w:color="000000" w:sz="4" w:space="0"/>
            </w:tcBorders>
            <w:vAlign w:val="center"/>
          </w:tcPr>
          <w:p w14:paraId="5CDD5C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12" w:space="0"/>
              <w:right w:val="single" w:color="000000" w:sz="4" w:space="0"/>
            </w:tcBorders>
            <w:vAlign w:val="center"/>
          </w:tcPr>
          <w:p w14:paraId="1B4F955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34" w:type="dxa"/>
            <w:tcBorders>
              <w:top w:val="single" w:color="000000" w:sz="4" w:space="0"/>
              <w:left w:val="single" w:color="000000" w:sz="4" w:space="0"/>
              <w:bottom w:val="single" w:color="000000" w:sz="12" w:space="0"/>
              <w:right w:val="single" w:color="000000" w:sz="4" w:space="0"/>
            </w:tcBorders>
            <w:vAlign w:val="center"/>
          </w:tcPr>
          <w:p w14:paraId="785846A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12" w:space="0"/>
              <w:right w:val="single" w:color="000000" w:sz="4" w:space="0"/>
            </w:tcBorders>
            <w:vAlign w:val="center"/>
          </w:tcPr>
          <w:p w14:paraId="4775EFC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12" w:space="0"/>
              <w:right w:val="single" w:color="000000" w:sz="4" w:space="0"/>
            </w:tcBorders>
            <w:vAlign w:val="center"/>
          </w:tcPr>
          <w:p w14:paraId="1916D93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697" w:type="dxa"/>
            <w:tcBorders>
              <w:top w:val="single" w:color="000000" w:sz="4" w:space="0"/>
              <w:left w:val="single" w:color="000000" w:sz="4" w:space="0"/>
              <w:bottom w:val="single" w:color="000000" w:sz="12" w:space="0"/>
              <w:right w:val="single" w:color="000000" w:sz="4" w:space="0"/>
            </w:tcBorders>
            <w:vAlign w:val="center"/>
          </w:tcPr>
          <w:p w14:paraId="368EF63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12" w:space="0"/>
              <w:right w:val="single" w:color="000000" w:sz="4" w:space="0"/>
            </w:tcBorders>
            <w:vAlign w:val="center"/>
          </w:tcPr>
          <w:p w14:paraId="74F2D89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12" w:space="0"/>
              <w:right w:val="single" w:color="000000" w:sz="4" w:space="0"/>
            </w:tcBorders>
            <w:vAlign w:val="center"/>
          </w:tcPr>
          <w:p w14:paraId="68173B5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2" w:type="dxa"/>
            <w:tcBorders>
              <w:top w:val="single" w:color="000000" w:sz="4" w:space="0"/>
              <w:left w:val="single" w:color="000000" w:sz="4" w:space="0"/>
              <w:bottom w:val="single" w:color="000000" w:sz="12" w:space="0"/>
              <w:right w:val="single" w:color="000000" w:sz="12" w:space="0"/>
            </w:tcBorders>
            <w:vAlign w:val="center"/>
          </w:tcPr>
          <w:p w14:paraId="6067911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bl>
    <w:p w14:paraId="54D91C77">
      <w:pPr>
        <w:widowControl/>
        <w:autoSpaceDE w:val="0"/>
        <w:autoSpaceDN w:val="0"/>
        <w:adjustRightInd w:val="0"/>
        <w:spacing w:line="360" w:lineRule="auto"/>
        <w:rPr>
          <w:rFonts w:hint="eastAsia" w:ascii="仿宋" w:hAnsi="仿宋" w:eastAsia="仿宋" w:cs="仿宋"/>
          <w:color w:val="auto"/>
          <w:kern w:val="1"/>
          <w:sz w:val="32"/>
          <w:szCs w:val="32"/>
          <w:highlight w:val="none"/>
        </w:rPr>
      </w:pPr>
    </w:p>
    <w:sectPr>
      <w:headerReference r:id="rId11" w:type="default"/>
      <w:footerReference r:id="rId12" w:type="default"/>
      <w:pgSz w:w="11906" w:h="16838"/>
      <w:pgMar w:top="1440" w:right="1080" w:bottom="1440" w:left="108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4667">
    <w:pPr>
      <w:pStyle w:val="27"/>
      <w:framePr w:wrap="around" w:vAnchor="text" w:hAnchor="margin" w:xAlign="center" w:y="1"/>
      <w:rPr>
        <w:rStyle w:val="41"/>
      </w:rPr>
    </w:pPr>
    <w:r>
      <w:fldChar w:fldCharType="begin"/>
    </w:r>
    <w:r>
      <w:rPr>
        <w:rStyle w:val="41"/>
      </w:rPr>
      <w:instrText xml:space="preserve">PAGE  </w:instrText>
    </w:r>
    <w:r>
      <w:fldChar w:fldCharType="end"/>
    </w:r>
  </w:p>
  <w:p w14:paraId="7D73E5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245B">
    <w:pPr>
      <w:pStyle w:val="2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645B">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CCC4">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0A6D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80A6D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88E6">
    <w:pPr>
      <w:widowControl w:val="0"/>
      <w:tabs>
        <w:tab w:val="center" w:pos="4153"/>
        <w:tab w:val="right" w:pos="8306"/>
      </w:tabs>
      <w:kinsoku w:val="0"/>
      <w:autoSpaceDE w:val="0"/>
      <w:autoSpaceDN w:val="0"/>
      <w:adjustRightInd w:val="0"/>
      <w:snapToGrid w:val="0"/>
      <w:spacing w:line="240" w:lineRule="auto"/>
      <w:ind w:right="360"/>
      <w:jc w:val="left"/>
      <w:textAlignment w:val="baseline"/>
      <w:rPr>
        <w:rFonts w:ascii="Times New Roman" w:hAnsi="Times New Roman" w:eastAsia="宋体" w:cs="Times New Roman"/>
        <w:snapToGrid w:val="0"/>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77DDC">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377DDC">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483">
    <w:pPr>
      <w:pStyle w:val="27"/>
      <w:jc w:val="center"/>
      <w:rPr>
        <w:rFonts w:hint="eastAsia"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A3B57">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A3B57">
                    <w:pPr>
                      <w:pStyle w:val="27"/>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23091">
                          <w:pPr>
                            <w:pStyle w:val="27"/>
                            <w:jc w:val="center"/>
                          </w:pP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FT0MQBAACQ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UBy74xYHfv754/zrz/n3d7Ks&#10;3rzOCvUBaky8DZiahvd+wL2Z/YDOTHxQ0eYvUiIYR31PF33lkIjIj1bL1arCkMDYfEF8dv88REgf&#10;pLckGw2NOMCiKz9+gjSmzim5mvM32pgyROP+cyBm9rDc+9hjttKwGyZCO9+ekE+Ps2+ow1WnxHx0&#10;KG1ek9mIs7GbjFwDwrtDwsKln4w6Qk3FcFCF0bRUeRP+vZes+x9p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oFT0MQBAACQAwAADgAAAAAAAAABACAAAAAeAQAAZHJzL2Uyb0RvYy54bWxQ&#10;SwUGAAAAAAYABgBZAQAAVAUAAAAA&#10;">
              <v:fill on="f" focussize="0,0"/>
              <v:stroke on="f"/>
              <v:imagedata o:title=""/>
              <o:lock v:ext="edit" aspectratio="f"/>
              <v:textbox inset="0mm,0mm,0mm,0mm" style="mso-fit-shape-to-text:t;">
                <w:txbxContent>
                  <w:p w14:paraId="09323091">
                    <w:pPr>
                      <w:pStyle w:val="27"/>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866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4710">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07BB">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3F5C">
    <w:pPr>
      <w:pStyle w:val="29"/>
      <w:pBdr>
        <w:bottom w:val="none" w:color="auto" w:sz="0" w:space="4"/>
      </w:pBdr>
      <w:wordWrap w:val="0"/>
      <w:ind w:firstLine="174"/>
      <w:jc w:val="right"/>
      <w:rPr>
        <w:rFonts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1F376"/>
    <w:multiLevelType w:val="singleLevel"/>
    <w:tmpl w:val="F861F376"/>
    <w:lvl w:ilvl="0" w:tentative="0">
      <w:start w:val="5"/>
      <w:numFmt w:val="chineseCounting"/>
      <w:suff w:val="nothing"/>
      <w:lvlText w:val="%1、"/>
      <w:lvlJc w:val="left"/>
      <w:rPr>
        <w:rFonts w:hint="eastAsia"/>
      </w:rPr>
    </w:lvl>
  </w:abstractNum>
  <w:abstractNum w:abstractNumId="1">
    <w:nsid w:val="0000000E"/>
    <w:multiLevelType w:val="multilevel"/>
    <w:tmpl w:val="0000000E"/>
    <w:lvl w:ilvl="0" w:tentative="0">
      <w:start w:val="1"/>
      <w:numFmt w:val="bullet"/>
      <w:pStyle w:val="5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32F6D8CD"/>
    <w:multiLevelType w:val="singleLevel"/>
    <w:tmpl w:val="32F6D8CD"/>
    <w:lvl w:ilvl="0" w:tentative="0">
      <w:start w:val="1"/>
      <w:numFmt w:val="chineseCounting"/>
      <w:suff w:val="space"/>
      <w:lvlText w:val="第%1章"/>
      <w:lvlJc w:val="left"/>
      <w:rPr>
        <w:rFonts w:hint="eastAsia"/>
      </w:rPr>
    </w:lvl>
  </w:abstractNum>
  <w:abstractNum w:abstractNumId="3">
    <w:nsid w:val="4E5E48FB"/>
    <w:multiLevelType w:val="singleLevel"/>
    <w:tmpl w:val="4E5E48FB"/>
    <w:lvl w:ilvl="0" w:tentative="0">
      <w:start w:val="7"/>
      <w:numFmt w:val="chineseCounting"/>
      <w:suff w:val="nothing"/>
      <w:lvlText w:val="%1、"/>
      <w:lvlJc w:val="left"/>
      <w:rPr>
        <w:rFonts w:hint="eastAsia"/>
      </w:rPr>
    </w:lvl>
  </w:abstractNum>
  <w:abstractNum w:abstractNumId="4">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11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OGU5N2JlMDQ4ZGJmNzcyZDA4ODRiZjQzNGExZjg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B7000"/>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5C27"/>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4959"/>
    <w:rsid w:val="00294DFC"/>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4FAC"/>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58B0"/>
    <w:rsid w:val="00677A1C"/>
    <w:rsid w:val="00682872"/>
    <w:rsid w:val="00683427"/>
    <w:rsid w:val="00684BBD"/>
    <w:rsid w:val="00685202"/>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1B9"/>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0A1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3ABE"/>
    <w:rsid w:val="00984B3B"/>
    <w:rsid w:val="00984CB0"/>
    <w:rsid w:val="009853DE"/>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0191"/>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442"/>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2FFF"/>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1A33BE"/>
    <w:rsid w:val="012C5E7A"/>
    <w:rsid w:val="01462B10"/>
    <w:rsid w:val="015A009B"/>
    <w:rsid w:val="016D6D7D"/>
    <w:rsid w:val="01732390"/>
    <w:rsid w:val="017D7FFC"/>
    <w:rsid w:val="01A26771"/>
    <w:rsid w:val="01A8224C"/>
    <w:rsid w:val="02056B18"/>
    <w:rsid w:val="022C509A"/>
    <w:rsid w:val="023B51AA"/>
    <w:rsid w:val="02942B41"/>
    <w:rsid w:val="02A21639"/>
    <w:rsid w:val="02AE7397"/>
    <w:rsid w:val="02B43770"/>
    <w:rsid w:val="036D63C4"/>
    <w:rsid w:val="03791753"/>
    <w:rsid w:val="037E630A"/>
    <w:rsid w:val="03980858"/>
    <w:rsid w:val="03984734"/>
    <w:rsid w:val="03B87DC4"/>
    <w:rsid w:val="03BA09C3"/>
    <w:rsid w:val="03D0218C"/>
    <w:rsid w:val="03D16EA4"/>
    <w:rsid w:val="03D917DF"/>
    <w:rsid w:val="03E150D7"/>
    <w:rsid w:val="041731B3"/>
    <w:rsid w:val="04176A8B"/>
    <w:rsid w:val="0430173E"/>
    <w:rsid w:val="043A5115"/>
    <w:rsid w:val="04496A0F"/>
    <w:rsid w:val="04681ADA"/>
    <w:rsid w:val="048A13ED"/>
    <w:rsid w:val="049F7695"/>
    <w:rsid w:val="04C354A8"/>
    <w:rsid w:val="04E416CE"/>
    <w:rsid w:val="04E84422"/>
    <w:rsid w:val="04EA2147"/>
    <w:rsid w:val="04EE6107"/>
    <w:rsid w:val="04F059E4"/>
    <w:rsid w:val="04FD7190"/>
    <w:rsid w:val="052E7A9E"/>
    <w:rsid w:val="0537073D"/>
    <w:rsid w:val="05560531"/>
    <w:rsid w:val="055842CB"/>
    <w:rsid w:val="056C54C0"/>
    <w:rsid w:val="05716330"/>
    <w:rsid w:val="05732C9C"/>
    <w:rsid w:val="057C2E46"/>
    <w:rsid w:val="05881BAA"/>
    <w:rsid w:val="05B344C4"/>
    <w:rsid w:val="05DF2A5D"/>
    <w:rsid w:val="05F27BDF"/>
    <w:rsid w:val="06274D10"/>
    <w:rsid w:val="066F6E3E"/>
    <w:rsid w:val="0678342E"/>
    <w:rsid w:val="0689473C"/>
    <w:rsid w:val="06B34335"/>
    <w:rsid w:val="07172095"/>
    <w:rsid w:val="071C0413"/>
    <w:rsid w:val="074D1ECF"/>
    <w:rsid w:val="075D42CF"/>
    <w:rsid w:val="075E2C7E"/>
    <w:rsid w:val="077F5F2C"/>
    <w:rsid w:val="078307B9"/>
    <w:rsid w:val="078D176F"/>
    <w:rsid w:val="07AF070D"/>
    <w:rsid w:val="07D91ACA"/>
    <w:rsid w:val="07F07496"/>
    <w:rsid w:val="07FA3EBB"/>
    <w:rsid w:val="080A7229"/>
    <w:rsid w:val="0820515C"/>
    <w:rsid w:val="082B5129"/>
    <w:rsid w:val="08391410"/>
    <w:rsid w:val="08422524"/>
    <w:rsid w:val="084E4D47"/>
    <w:rsid w:val="088074C0"/>
    <w:rsid w:val="08BF01B1"/>
    <w:rsid w:val="08E56288"/>
    <w:rsid w:val="08E80985"/>
    <w:rsid w:val="08EE491E"/>
    <w:rsid w:val="08F31B2A"/>
    <w:rsid w:val="08F63D74"/>
    <w:rsid w:val="092A1587"/>
    <w:rsid w:val="093C5D75"/>
    <w:rsid w:val="093E54CD"/>
    <w:rsid w:val="0956505C"/>
    <w:rsid w:val="097B0684"/>
    <w:rsid w:val="097E2E0C"/>
    <w:rsid w:val="09827B29"/>
    <w:rsid w:val="09941D92"/>
    <w:rsid w:val="09B940D6"/>
    <w:rsid w:val="09C02D09"/>
    <w:rsid w:val="09C67218"/>
    <w:rsid w:val="09ED723D"/>
    <w:rsid w:val="09F2400E"/>
    <w:rsid w:val="09F312CF"/>
    <w:rsid w:val="09FB7366"/>
    <w:rsid w:val="0A6618A3"/>
    <w:rsid w:val="0AA42880"/>
    <w:rsid w:val="0ACA5E68"/>
    <w:rsid w:val="0AD07B2F"/>
    <w:rsid w:val="0AD656DD"/>
    <w:rsid w:val="0AF70A72"/>
    <w:rsid w:val="0B234F5A"/>
    <w:rsid w:val="0B3237D9"/>
    <w:rsid w:val="0B333B77"/>
    <w:rsid w:val="0B355BE5"/>
    <w:rsid w:val="0B4169EF"/>
    <w:rsid w:val="0B432509"/>
    <w:rsid w:val="0B7E25B5"/>
    <w:rsid w:val="0B8A2CB3"/>
    <w:rsid w:val="0B9B0062"/>
    <w:rsid w:val="0BA650A1"/>
    <w:rsid w:val="0BA8646A"/>
    <w:rsid w:val="0BCC1B13"/>
    <w:rsid w:val="0BF96A12"/>
    <w:rsid w:val="0C042DA1"/>
    <w:rsid w:val="0C116D7F"/>
    <w:rsid w:val="0C2205C1"/>
    <w:rsid w:val="0C442EFA"/>
    <w:rsid w:val="0C7D46B6"/>
    <w:rsid w:val="0C827C0C"/>
    <w:rsid w:val="0CAF3791"/>
    <w:rsid w:val="0CB67EC8"/>
    <w:rsid w:val="0CC72F11"/>
    <w:rsid w:val="0CC75655"/>
    <w:rsid w:val="0CC9497E"/>
    <w:rsid w:val="0CCB1E07"/>
    <w:rsid w:val="0CCC5CF6"/>
    <w:rsid w:val="0CDD2D53"/>
    <w:rsid w:val="0CE43180"/>
    <w:rsid w:val="0CE92097"/>
    <w:rsid w:val="0CEC74C9"/>
    <w:rsid w:val="0D0A319C"/>
    <w:rsid w:val="0D1C64B8"/>
    <w:rsid w:val="0D2B15BD"/>
    <w:rsid w:val="0D3E1061"/>
    <w:rsid w:val="0D567119"/>
    <w:rsid w:val="0D6969B4"/>
    <w:rsid w:val="0DAC75E3"/>
    <w:rsid w:val="0DB40A8C"/>
    <w:rsid w:val="0DDC2C15"/>
    <w:rsid w:val="0E122ED0"/>
    <w:rsid w:val="0E284126"/>
    <w:rsid w:val="0E384845"/>
    <w:rsid w:val="0E410A3C"/>
    <w:rsid w:val="0E52401F"/>
    <w:rsid w:val="0E7357E5"/>
    <w:rsid w:val="0E7E46B5"/>
    <w:rsid w:val="0E813BB2"/>
    <w:rsid w:val="0E8E27CE"/>
    <w:rsid w:val="0E9A65E0"/>
    <w:rsid w:val="0E9D25FD"/>
    <w:rsid w:val="0EC84537"/>
    <w:rsid w:val="0ED01DF8"/>
    <w:rsid w:val="0EE236AA"/>
    <w:rsid w:val="0EE62F86"/>
    <w:rsid w:val="0EF8296B"/>
    <w:rsid w:val="0F0A1BB3"/>
    <w:rsid w:val="0F1467D4"/>
    <w:rsid w:val="0F2A6955"/>
    <w:rsid w:val="0F3275E7"/>
    <w:rsid w:val="0F6B6BE4"/>
    <w:rsid w:val="0F774736"/>
    <w:rsid w:val="0F8A2D95"/>
    <w:rsid w:val="0FAC07E0"/>
    <w:rsid w:val="0FAD3CBB"/>
    <w:rsid w:val="0FAE7A55"/>
    <w:rsid w:val="0FC01A45"/>
    <w:rsid w:val="0FC63F72"/>
    <w:rsid w:val="0FCC02E3"/>
    <w:rsid w:val="0FE65C79"/>
    <w:rsid w:val="0FFB60F5"/>
    <w:rsid w:val="10126D11"/>
    <w:rsid w:val="102A0145"/>
    <w:rsid w:val="10524DB4"/>
    <w:rsid w:val="10600E0C"/>
    <w:rsid w:val="106E02BC"/>
    <w:rsid w:val="109C4CD3"/>
    <w:rsid w:val="10A91E1C"/>
    <w:rsid w:val="10BF5218"/>
    <w:rsid w:val="10DE4D65"/>
    <w:rsid w:val="10E51D58"/>
    <w:rsid w:val="10E9792A"/>
    <w:rsid w:val="11021556"/>
    <w:rsid w:val="110C1381"/>
    <w:rsid w:val="11182685"/>
    <w:rsid w:val="112767D9"/>
    <w:rsid w:val="112C6B84"/>
    <w:rsid w:val="116632E8"/>
    <w:rsid w:val="1179156C"/>
    <w:rsid w:val="11883381"/>
    <w:rsid w:val="11902B78"/>
    <w:rsid w:val="119470CD"/>
    <w:rsid w:val="119E337E"/>
    <w:rsid w:val="11C27E61"/>
    <w:rsid w:val="11E409D6"/>
    <w:rsid w:val="11EF2F7B"/>
    <w:rsid w:val="12093DD9"/>
    <w:rsid w:val="121037B1"/>
    <w:rsid w:val="12343A26"/>
    <w:rsid w:val="123F4F6B"/>
    <w:rsid w:val="124F4CBA"/>
    <w:rsid w:val="12577A05"/>
    <w:rsid w:val="126B3A9E"/>
    <w:rsid w:val="129368AA"/>
    <w:rsid w:val="12D20BF5"/>
    <w:rsid w:val="12E03771"/>
    <w:rsid w:val="132743FA"/>
    <w:rsid w:val="13314F49"/>
    <w:rsid w:val="133A5F70"/>
    <w:rsid w:val="133E0C8A"/>
    <w:rsid w:val="13775618"/>
    <w:rsid w:val="13A658C6"/>
    <w:rsid w:val="13A97624"/>
    <w:rsid w:val="13B91FA7"/>
    <w:rsid w:val="13C475D7"/>
    <w:rsid w:val="13CD4A9E"/>
    <w:rsid w:val="13DA15C5"/>
    <w:rsid w:val="13F13588"/>
    <w:rsid w:val="143C5C8D"/>
    <w:rsid w:val="1455106E"/>
    <w:rsid w:val="14942891"/>
    <w:rsid w:val="14944B5E"/>
    <w:rsid w:val="149D55F1"/>
    <w:rsid w:val="14D25DF9"/>
    <w:rsid w:val="14E80ED9"/>
    <w:rsid w:val="150F6AC7"/>
    <w:rsid w:val="152D6842"/>
    <w:rsid w:val="15487A1C"/>
    <w:rsid w:val="1555228B"/>
    <w:rsid w:val="158D55DC"/>
    <w:rsid w:val="158E3F63"/>
    <w:rsid w:val="1599665D"/>
    <w:rsid w:val="159D7625"/>
    <w:rsid w:val="15B95413"/>
    <w:rsid w:val="15CB122C"/>
    <w:rsid w:val="15CE70AB"/>
    <w:rsid w:val="160B2EED"/>
    <w:rsid w:val="162134DD"/>
    <w:rsid w:val="162C0F27"/>
    <w:rsid w:val="16302F58"/>
    <w:rsid w:val="164B4BA3"/>
    <w:rsid w:val="164E547D"/>
    <w:rsid w:val="165E0373"/>
    <w:rsid w:val="1662509E"/>
    <w:rsid w:val="16745CBB"/>
    <w:rsid w:val="168530AE"/>
    <w:rsid w:val="16BB23E9"/>
    <w:rsid w:val="16C836FB"/>
    <w:rsid w:val="16C94DCD"/>
    <w:rsid w:val="16E51210"/>
    <w:rsid w:val="16E65002"/>
    <w:rsid w:val="16E8344A"/>
    <w:rsid w:val="172E4B7D"/>
    <w:rsid w:val="178B3236"/>
    <w:rsid w:val="17964E8B"/>
    <w:rsid w:val="179A2144"/>
    <w:rsid w:val="179B4CB5"/>
    <w:rsid w:val="17A25A76"/>
    <w:rsid w:val="17AD6EF3"/>
    <w:rsid w:val="17BC00B4"/>
    <w:rsid w:val="17D81B6E"/>
    <w:rsid w:val="17DD036F"/>
    <w:rsid w:val="17E3215D"/>
    <w:rsid w:val="17EC76DC"/>
    <w:rsid w:val="17F40AE4"/>
    <w:rsid w:val="17F43C71"/>
    <w:rsid w:val="17F465B2"/>
    <w:rsid w:val="1838753A"/>
    <w:rsid w:val="18567AC2"/>
    <w:rsid w:val="185B6D4A"/>
    <w:rsid w:val="185D1BA5"/>
    <w:rsid w:val="18664544"/>
    <w:rsid w:val="1871202B"/>
    <w:rsid w:val="18734675"/>
    <w:rsid w:val="187B0B24"/>
    <w:rsid w:val="187F6984"/>
    <w:rsid w:val="18831638"/>
    <w:rsid w:val="18896EDC"/>
    <w:rsid w:val="18AA7E43"/>
    <w:rsid w:val="18D262D8"/>
    <w:rsid w:val="18D650A9"/>
    <w:rsid w:val="18DD2E62"/>
    <w:rsid w:val="18F45607"/>
    <w:rsid w:val="19035CA3"/>
    <w:rsid w:val="190B3606"/>
    <w:rsid w:val="19160641"/>
    <w:rsid w:val="191645F3"/>
    <w:rsid w:val="19243DF0"/>
    <w:rsid w:val="192C2716"/>
    <w:rsid w:val="193F15D9"/>
    <w:rsid w:val="194946A8"/>
    <w:rsid w:val="196117B4"/>
    <w:rsid w:val="19690268"/>
    <w:rsid w:val="19753B84"/>
    <w:rsid w:val="198630E6"/>
    <w:rsid w:val="198A2250"/>
    <w:rsid w:val="199F6505"/>
    <w:rsid w:val="19D75B7C"/>
    <w:rsid w:val="19D95C5C"/>
    <w:rsid w:val="19EB5AD1"/>
    <w:rsid w:val="19EE4F84"/>
    <w:rsid w:val="19F44ED5"/>
    <w:rsid w:val="1A0658CD"/>
    <w:rsid w:val="1A194823"/>
    <w:rsid w:val="1A2C3198"/>
    <w:rsid w:val="1A65226C"/>
    <w:rsid w:val="1A6B3D70"/>
    <w:rsid w:val="1A7555D6"/>
    <w:rsid w:val="1A7F43B6"/>
    <w:rsid w:val="1AB50AFB"/>
    <w:rsid w:val="1ABE5F44"/>
    <w:rsid w:val="1AD9312D"/>
    <w:rsid w:val="1ADF26D1"/>
    <w:rsid w:val="1AF20DD0"/>
    <w:rsid w:val="1AF87157"/>
    <w:rsid w:val="1B071C52"/>
    <w:rsid w:val="1B27095E"/>
    <w:rsid w:val="1B412CDA"/>
    <w:rsid w:val="1B79633D"/>
    <w:rsid w:val="1B813443"/>
    <w:rsid w:val="1B915D30"/>
    <w:rsid w:val="1BCB6F32"/>
    <w:rsid w:val="1BDC637D"/>
    <w:rsid w:val="1BE46360"/>
    <w:rsid w:val="1BFE6324"/>
    <w:rsid w:val="1C11469D"/>
    <w:rsid w:val="1C3B11F5"/>
    <w:rsid w:val="1C4B3066"/>
    <w:rsid w:val="1C5E77AB"/>
    <w:rsid w:val="1C5F1677"/>
    <w:rsid w:val="1C6219EA"/>
    <w:rsid w:val="1C6301E9"/>
    <w:rsid w:val="1C655C22"/>
    <w:rsid w:val="1C6C7A21"/>
    <w:rsid w:val="1C7672B7"/>
    <w:rsid w:val="1C845676"/>
    <w:rsid w:val="1CC45CDD"/>
    <w:rsid w:val="1CD84944"/>
    <w:rsid w:val="1CE9309A"/>
    <w:rsid w:val="1D0E2AE9"/>
    <w:rsid w:val="1D1C7962"/>
    <w:rsid w:val="1D2F4D1F"/>
    <w:rsid w:val="1D445DC0"/>
    <w:rsid w:val="1D55214D"/>
    <w:rsid w:val="1D5D5DF9"/>
    <w:rsid w:val="1D706EE7"/>
    <w:rsid w:val="1D8D6BE8"/>
    <w:rsid w:val="1D9723B1"/>
    <w:rsid w:val="1D9C0E4F"/>
    <w:rsid w:val="1DAD6772"/>
    <w:rsid w:val="1DDE2DCF"/>
    <w:rsid w:val="1E1B01B5"/>
    <w:rsid w:val="1E6F45C8"/>
    <w:rsid w:val="1EAA1D5B"/>
    <w:rsid w:val="1EB00F5C"/>
    <w:rsid w:val="1EB4629D"/>
    <w:rsid w:val="1EC21AE1"/>
    <w:rsid w:val="1EDE1FF8"/>
    <w:rsid w:val="1F175729"/>
    <w:rsid w:val="1F293323"/>
    <w:rsid w:val="1F437290"/>
    <w:rsid w:val="1F4C0FC7"/>
    <w:rsid w:val="1F5D2748"/>
    <w:rsid w:val="1F9E6060"/>
    <w:rsid w:val="1FBE2F77"/>
    <w:rsid w:val="1FC343F9"/>
    <w:rsid w:val="1FCE16E2"/>
    <w:rsid w:val="1FD942D2"/>
    <w:rsid w:val="1FD9740A"/>
    <w:rsid w:val="1FE318CA"/>
    <w:rsid w:val="1FE32749"/>
    <w:rsid w:val="20020C8A"/>
    <w:rsid w:val="202049E6"/>
    <w:rsid w:val="203717E0"/>
    <w:rsid w:val="205A6E58"/>
    <w:rsid w:val="208013C7"/>
    <w:rsid w:val="20825F8E"/>
    <w:rsid w:val="208D405C"/>
    <w:rsid w:val="20915724"/>
    <w:rsid w:val="209B3B6D"/>
    <w:rsid w:val="20A61B7A"/>
    <w:rsid w:val="20AB1E51"/>
    <w:rsid w:val="20D47F0D"/>
    <w:rsid w:val="20E340E3"/>
    <w:rsid w:val="20E37937"/>
    <w:rsid w:val="21034898"/>
    <w:rsid w:val="21132D8F"/>
    <w:rsid w:val="213273B1"/>
    <w:rsid w:val="213D5CCA"/>
    <w:rsid w:val="21426901"/>
    <w:rsid w:val="21487E19"/>
    <w:rsid w:val="216547D9"/>
    <w:rsid w:val="217735C8"/>
    <w:rsid w:val="217E09FE"/>
    <w:rsid w:val="21AE7B3E"/>
    <w:rsid w:val="21BE221A"/>
    <w:rsid w:val="21DE074D"/>
    <w:rsid w:val="220767BA"/>
    <w:rsid w:val="22383B96"/>
    <w:rsid w:val="223E18A9"/>
    <w:rsid w:val="22487477"/>
    <w:rsid w:val="224A40CC"/>
    <w:rsid w:val="2261107D"/>
    <w:rsid w:val="2277154F"/>
    <w:rsid w:val="22884A01"/>
    <w:rsid w:val="228D6B72"/>
    <w:rsid w:val="22B52617"/>
    <w:rsid w:val="22DF03C0"/>
    <w:rsid w:val="22E04970"/>
    <w:rsid w:val="22FF4C25"/>
    <w:rsid w:val="23121A71"/>
    <w:rsid w:val="2314708E"/>
    <w:rsid w:val="233D2346"/>
    <w:rsid w:val="234A2498"/>
    <w:rsid w:val="23554AEF"/>
    <w:rsid w:val="237802CC"/>
    <w:rsid w:val="23B8370B"/>
    <w:rsid w:val="24057BF7"/>
    <w:rsid w:val="244F0582"/>
    <w:rsid w:val="245328DE"/>
    <w:rsid w:val="2484228F"/>
    <w:rsid w:val="248D6F09"/>
    <w:rsid w:val="249508C1"/>
    <w:rsid w:val="24964F84"/>
    <w:rsid w:val="24973A46"/>
    <w:rsid w:val="24A442E4"/>
    <w:rsid w:val="24A5546C"/>
    <w:rsid w:val="24CA6B4D"/>
    <w:rsid w:val="24CD3E83"/>
    <w:rsid w:val="24DA5CBE"/>
    <w:rsid w:val="253367DF"/>
    <w:rsid w:val="25366D4B"/>
    <w:rsid w:val="254D5BFC"/>
    <w:rsid w:val="25512F47"/>
    <w:rsid w:val="257B0531"/>
    <w:rsid w:val="258D6706"/>
    <w:rsid w:val="259512A1"/>
    <w:rsid w:val="25DF59A7"/>
    <w:rsid w:val="26100460"/>
    <w:rsid w:val="26150B05"/>
    <w:rsid w:val="26183230"/>
    <w:rsid w:val="26217B6C"/>
    <w:rsid w:val="26220A86"/>
    <w:rsid w:val="262F4B27"/>
    <w:rsid w:val="264A34F5"/>
    <w:rsid w:val="26526108"/>
    <w:rsid w:val="266555FC"/>
    <w:rsid w:val="269E3530"/>
    <w:rsid w:val="26A80797"/>
    <w:rsid w:val="26A93400"/>
    <w:rsid w:val="26FB054E"/>
    <w:rsid w:val="272022AD"/>
    <w:rsid w:val="273679AD"/>
    <w:rsid w:val="273D0F07"/>
    <w:rsid w:val="273D3751"/>
    <w:rsid w:val="27473793"/>
    <w:rsid w:val="275F0072"/>
    <w:rsid w:val="2798370D"/>
    <w:rsid w:val="279E2502"/>
    <w:rsid w:val="279F3EB0"/>
    <w:rsid w:val="27B432D8"/>
    <w:rsid w:val="27C95C85"/>
    <w:rsid w:val="27F16C4E"/>
    <w:rsid w:val="27F72B72"/>
    <w:rsid w:val="27FA7312"/>
    <w:rsid w:val="280D5AAA"/>
    <w:rsid w:val="28117944"/>
    <w:rsid w:val="28155ABF"/>
    <w:rsid w:val="28173165"/>
    <w:rsid w:val="281A71EE"/>
    <w:rsid w:val="286E4D4F"/>
    <w:rsid w:val="28926D84"/>
    <w:rsid w:val="28A52B98"/>
    <w:rsid w:val="28D04226"/>
    <w:rsid w:val="28E556D6"/>
    <w:rsid w:val="28EA2937"/>
    <w:rsid w:val="296711A1"/>
    <w:rsid w:val="298A01C0"/>
    <w:rsid w:val="29931CB6"/>
    <w:rsid w:val="29BC6C29"/>
    <w:rsid w:val="29E706BE"/>
    <w:rsid w:val="29F209AB"/>
    <w:rsid w:val="2A0E5F96"/>
    <w:rsid w:val="2A1D1E50"/>
    <w:rsid w:val="2A286672"/>
    <w:rsid w:val="2A4576B8"/>
    <w:rsid w:val="2A4F1627"/>
    <w:rsid w:val="2A6C24A4"/>
    <w:rsid w:val="2A704DAF"/>
    <w:rsid w:val="2A7455FC"/>
    <w:rsid w:val="2A773B08"/>
    <w:rsid w:val="2A7D46AD"/>
    <w:rsid w:val="2A80366F"/>
    <w:rsid w:val="2A833E08"/>
    <w:rsid w:val="2A8E5A66"/>
    <w:rsid w:val="2ABC7DF2"/>
    <w:rsid w:val="2AC628F6"/>
    <w:rsid w:val="2ACC0FD7"/>
    <w:rsid w:val="2AFE0C13"/>
    <w:rsid w:val="2B0E623C"/>
    <w:rsid w:val="2B247EFA"/>
    <w:rsid w:val="2B5C7A0C"/>
    <w:rsid w:val="2B763942"/>
    <w:rsid w:val="2B7B3355"/>
    <w:rsid w:val="2B7C64D3"/>
    <w:rsid w:val="2BA70CA4"/>
    <w:rsid w:val="2BB409C6"/>
    <w:rsid w:val="2BD445AA"/>
    <w:rsid w:val="2BE578D9"/>
    <w:rsid w:val="2C0C2E89"/>
    <w:rsid w:val="2C153C69"/>
    <w:rsid w:val="2C167BD8"/>
    <w:rsid w:val="2C1F2C01"/>
    <w:rsid w:val="2C385230"/>
    <w:rsid w:val="2C6D0AD3"/>
    <w:rsid w:val="2C785723"/>
    <w:rsid w:val="2C843E39"/>
    <w:rsid w:val="2C8D2EC2"/>
    <w:rsid w:val="2CAF30EE"/>
    <w:rsid w:val="2CB26854"/>
    <w:rsid w:val="2CBB7DBF"/>
    <w:rsid w:val="2CBC5D7E"/>
    <w:rsid w:val="2CE81AF5"/>
    <w:rsid w:val="2CFB17F3"/>
    <w:rsid w:val="2D350959"/>
    <w:rsid w:val="2D3D3F6F"/>
    <w:rsid w:val="2D655F5F"/>
    <w:rsid w:val="2D7325CD"/>
    <w:rsid w:val="2D8E15E9"/>
    <w:rsid w:val="2D9B4B6E"/>
    <w:rsid w:val="2D9D0CB0"/>
    <w:rsid w:val="2DBB27E5"/>
    <w:rsid w:val="2DC96EC0"/>
    <w:rsid w:val="2DD8173F"/>
    <w:rsid w:val="2DDA1628"/>
    <w:rsid w:val="2DEC7FDD"/>
    <w:rsid w:val="2E190F86"/>
    <w:rsid w:val="2E422968"/>
    <w:rsid w:val="2E481BA1"/>
    <w:rsid w:val="2E591AEE"/>
    <w:rsid w:val="2E695CDD"/>
    <w:rsid w:val="2E8D286B"/>
    <w:rsid w:val="2E9B3EF4"/>
    <w:rsid w:val="2EA60799"/>
    <w:rsid w:val="2F0526A0"/>
    <w:rsid w:val="2F0A75FB"/>
    <w:rsid w:val="2F10764D"/>
    <w:rsid w:val="2F38429F"/>
    <w:rsid w:val="2F4004D3"/>
    <w:rsid w:val="2F405993"/>
    <w:rsid w:val="2F4773E1"/>
    <w:rsid w:val="2F8715A0"/>
    <w:rsid w:val="2F876B8C"/>
    <w:rsid w:val="2FA314D1"/>
    <w:rsid w:val="2FA51648"/>
    <w:rsid w:val="2FD05B1A"/>
    <w:rsid w:val="2FD42211"/>
    <w:rsid w:val="2FE35D90"/>
    <w:rsid w:val="2FEA48F2"/>
    <w:rsid w:val="300E29DF"/>
    <w:rsid w:val="301A1555"/>
    <w:rsid w:val="301A2FA9"/>
    <w:rsid w:val="30944973"/>
    <w:rsid w:val="309A73D8"/>
    <w:rsid w:val="30B70A65"/>
    <w:rsid w:val="30B871F5"/>
    <w:rsid w:val="30C17983"/>
    <w:rsid w:val="30C4009A"/>
    <w:rsid w:val="30DA0825"/>
    <w:rsid w:val="30DD0A80"/>
    <w:rsid w:val="30E77798"/>
    <w:rsid w:val="30EF2970"/>
    <w:rsid w:val="30F1059C"/>
    <w:rsid w:val="30F249AC"/>
    <w:rsid w:val="30F73B34"/>
    <w:rsid w:val="311C1645"/>
    <w:rsid w:val="312F0BDD"/>
    <w:rsid w:val="314B3C98"/>
    <w:rsid w:val="316F6302"/>
    <w:rsid w:val="31F505D1"/>
    <w:rsid w:val="320D7387"/>
    <w:rsid w:val="321B5283"/>
    <w:rsid w:val="32326551"/>
    <w:rsid w:val="3239279E"/>
    <w:rsid w:val="32416A13"/>
    <w:rsid w:val="32672481"/>
    <w:rsid w:val="32895429"/>
    <w:rsid w:val="329A0978"/>
    <w:rsid w:val="329A1048"/>
    <w:rsid w:val="32B27A7F"/>
    <w:rsid w:val="32BB25F4"/>
    <w:rsid w:val="32BE69EE"/>
    <w:rsid w:val="32D25971"/>
    <w:rsid w:val="32E560C1"/>
    <w:rsid w:val="32EB43FE"/>
    <w:rsid w:val="32F5618B"/>
    <w:rsid w:val="33152997"/>
    <w:rsid w:val="33667AB8"/>
    <w:rsid w:val="33945269"/>
    <w:rsid w:val="33A44E48"/>
    <w:rsid w:val="33E558B5"/>
    <w:rsid w:val="33F15440"/>
    <w:rsid w:val="34035185"/>
    <w:rsid w:val="34061641"/>
    <w:rsid w:val="341113B0"/>
    <w:rsid w:val="34303DD1"/>
    <w:rsid w:val="344F5FBD"/>
    <w:rsid w:val="345E53F8"/>
    <w:rsid w:val="346473FD"/>
    <w:rsid w:val="34660C65"/>
    <w:rsid w:val="3468342D"/>
    <w:rsid w:val="34AB151F"/>
    <w:rsid w:val="34EE512E"/>
    <w:rsid w:val="34FC6928"/>
    <w:rsid w:val="350A50D7"/>
    <w:rsid w:val="350D13FC"/>
    <w:rsid w:val="35282517"/>
    <w:rsid w:val="352A1D3E"/>
    <w:rsid w:val="352F3FAA"/>
    <w:rsid w:val="353361FC"/>
    <w:rsid w:val="353362FE"/>
    <w:rsid w:val="355233A6"/>
    <w:rsid w:val="35583753"/>
    <w:rsid w:val="356B44E9"/>
    <w:rsid w:val="3572104C"/>
    <w:rsid w:val="3588387C"/>
    <w:rsid w:val="35E45408"/>
    <w:rsid w:val="35EB5AE4"/>
    <w:rsid w:val="35F95086"/>
    <w:rsid w:val="36057C6A"/>
    <w:rsid w:val="362D4E42"/>
    <w:rsid w:val="36322A62"/>
    <w:rsid w:val="3639699D"/>
    <w:rsid w:val="36665435"/>
    <w:rsid w:val="366B1374"/>
    <w:rsid w:val="366D6898"/>
    <w:rsid w:val="367204B7"/>
    <w:rsid w:val="367D7C87"/>
    <w:rsid w:val="36A673A2"/>
    <w:rsid w:val="36B10BBD"/>
    <w:rsid w:val="36E56963"/>
    <w:rsid w:val="37061630"/>
    <w:rsid w:val="37296A11"/>
    <w:rsid w:val="373158C6"/>
    <w:rsid w:val="375752FB"/>
    <w:rsid w:val="377A78C2"/>
    <w:rsid w:val="377E7D14"/>
    <w:rsid w:val="37917167"/>
    <w:rsid w:val="37B333AC"/>
    <w:rsid w:val="37D02456"/>
    <w:rsid w:val="37D07EB8"/>
    <w:rsid w:val="3800003F"/>
    <w:rsid w:val="38192AB7"/>
    <w:rsid w:val="38234726"/>
    <w:rsid w:val="38734B8D"/>
    <w:rsid w:val="38777BC6"/>
    <w:rsid w:val="38D76E5F"/>
    <w:rsid w:val="38E31258"/>
    <w:rsid w:val="3910227F"/>
    <w:rsid w:val="39335925"/>
    <w:rsid w:val="39360168"/>
    <w:rsid w:val="394E5228"/>
    <w:rsid w:val="394F7221"/>
    <w:rsid w:val="395767D6"/>
    <w:rsid w:val="39633374"/>
    <w:rsid w:val="396E092F"/>
    <w:rsid w:val="39795861"/>
    <w:rsid w:val="39817525"/>
    <w:rsid w:val="399D39D2"/>
    <w:rsid w:val="399E17DB"/>
    <w:rsid w:val="39A50CC5"/>
    <w:rsid w:val="39CC320D"/>
    <w:rsid w:val="39D118D3"/>
    <w:rsid w:val="39E0589A"/>
    <w:rsid w:val="39E34252"/>
    <w:rsid w:val="39E377F4"/>
    <w:rsid w:val="3A105E98"/>
    <w:rsid w:val="3A1C1DCD"/>
    <w:rsid w:val="3A2E6C7B"/>
    <w:rsid w:val="3A4F3321"/>
    <w:rsid w:val="3A837F15"/>
    <w:rsid w:val="3A9446D2"/>
    <w:rsid w:val="3AB467C6"/>
    <w:rsid w:val="3ABD3750"/>
    <w:rsid w:val="3AC4224E"/>
    <w:rsid w:val="3AD769E3"/>
    <w:rsid w:val="3ADD023E"/>
    <w:rsid w:val="3AF15BB9"/>
    <w:rsid w:val="3AFB5870"/>
    <w:rsid w:val="3B057ED8"/>
    <w:rsid w:val="3B2E5733"/>
    <w:rsid w:val="3B4E419C"/>
    <w:rsid w:val="3B5554A1"/>
    <w:rsid w:val="3B6378A1"/>
    <w:rsid w:val="3B697EAB"/>
    <w:rsid w:val="3B6F4A8D"/>
    <w:rsid w:val="3B816896"/>
    <w:rsid w:val="3B8F130D"/>
    <w:rsid w:val="3B9520D3"/>
    <w:rsid w:val="3BEE5FF0"/>
    <w:rsid w:val="3C0122EE"/>
    <w:rsid w:val="3C17607D"/>
    <w:rsid w:val="3C21415B"/>
    <w:rsid w:val="3C2C26DE"/>
    <w:rsid w:val="3C2D2B00"/>
    <w:rsid w:val="3C581FC4"/>
    <w:rsid w:val="3C8E2C30"/>
    <w:rsid w:val="3C8F5D3A"/>
    <w:rsid w:val="3CC9476E"/>
    <w:rsid w:val="3CCE1755"/>
    <w:rsid w:val="3CCF1BAB"/>
    <w:rsid w:val="3CE706D9"/>
    <w:rsid w:val="3D0D79D2"/>
    <w:rsid w:val="3D1609C4"/>
    <w:rsid w:val="3D191E37"/>
    <w:rsid w:val="3D2E518A"/>
    <w:rsid w:val="3D5C06B2"/>
    <w:rsid w:val="3D5F61C9"/>
    <w:rsid w:val="3D65512A"/>
    <w:rsid w:val="3D8F3346"/>
    <w:rsid w:val="3DA46371"/>
    <w:rsid w:val="3DAB0CDE"/>
    <w:rsid w:val="3DAF3624"/>
    <w:rsid w:val="3DBC118F"/>
    <w:rsid w:val="3DBE21D9"/>
    <w:rsid w:val="3DC4595C"/>
    <w:rsid w:val="3DCC3276"/>
    <w:rsid w:val="3DD73329"/>
    <w:rsid w:val="3DE511B8"/>
    <w:rsid w:val="3E2A6AE1"/>
    <w:rsid w:val="3E3968CB"/>
    <w:rsid w:val="3E6E5309"/>
    <w:rsid w:val="3EB4449F"/>
    <w:rsid w:val="3F0846C4"/>
    <w:rsid w:val="3F252ABB"/>
    <w:rsid w:val="3F2A7462"/>
    <w:rsid w:val="3F2C061D"/>
    <w:rsid w:val="3F4E00C5"/>
    <w:rsid w:val="3F5F4A03"/>
    <w:rsid w:val="3F873970"/>
    <w:rsid w:val="3F8F2313"/>
    <w:rsid w:val="3F9436C2"/>
    <w:rsid w:val="3FA12803"/>
    <w:rsid w:val="3FA970BE"/>
    <w:rsid w:val="3FAC760F"/>
    <w:rsid w:val="3FC56726"/>
    <w:rsid w:val="3FD302BB"/>
    <w:rsid w:val="3FDD3E71"/>
    <w:rsid w:val="3FDD7948"/>
    <w:rsid w:val="3FF41CDB"/>
    <w:rsid w:val="40010D73"/>
    <w:rsid w:val="400246A5"/>
    <w:rsid w:val="402504B9"/>
    <w:rsid w:val="40356521"/>
    <w:rsid w:val="405C66B7"/>
    <w:rsid w:val="41152B3C"/>
    <w:rsid w:val="4116723C"/>
    <w:rsid w:val="41444C67"/>
    <w:rsid w:val="414D2852"/>
    <w:rsid w:val="415637CF"/>
    <w:rsid w:val="41694A6F"/>
    <w:rsid w:val="41707413"/>
    <w:rsid w:val="419A1A2C"/>
    <w:rsid w:val="41A77B0F"/>
    <w:rsid w:val="41B3303E"/>
    <w:rsid w:val="41C55588"/>
    <w:rsid w:val="41D61543"/>
    <w:rsid w:val="41DA1726"/>
    <w:rsid w:val="41E12E46"/>
    <w:rsid w:val="41F31376"/>
    <w:rsid w:val="42240501"/>
    <w:rsid w:val="42383CD8"/>
    <w:rsid w:val="42440A82"/>
    <w:rsid w:val="424707EC"/>
    <w:rsid w:val="425807E3"/>
    <w:rsid w:val="428E5298"/>
    <w:rsid w:val="42A258CA"/>
    <w:rsid w:val="42A32E9A"/>
    <w:rsid w:val="42BA1DFC"/>
    <w:rsid w:val="42E24856"/>
    <w:rsid w:val="430A5C63"/>
    <w:rsid w:val="431B58A0"/>
    <w:rsid w:val="433F136A"/>
    <w:rsid w:val="434E7724"/>
    <w:rsid w:val="437841EB"/>
    <w:rsid w:val="438A03E4"/>
    <w:rsid w:val="43926902"/>
    <w:rsid w:val="439E2D40"/>
    <w:rsid w:val="444D2771"/>
    <w:rsid w:val="44537501"/>
    <w:rsid w:val="445579CD"/>
    <w:rsid w:val="446729CE"/>
    <w:rsid w:val="446B7904"/>
    <w:rsid w:val="446E021C"/>
    <w:rsid w:val="448359BB"/>
    <w:rsid w:val="44944266"/>
    <w:rsid w:val="44981154"/>
    <w:rsid w:val="449E7A1A"/>
    <w:rsid w:val="44A41DE0"/>
    <w:rsid w:val="44C23B41"/>
    <w:rsid w:val="44CD138E"/>
    <w:rsid w:val="44D906CE"/>
    <w:rsid w:val="44FF7716"/>
    <w:rsid w:val="450C363B"/>
    <w:rsid w:val="450F1F1D"/>
    <w:rsid w:val="45322AF0"/>
    <w:rsid w:val="455716BF"/>
    <w:rsid w:val="45591443"/>
    <w:rsid w:val="45634F1C"/>
    <w:rsid w:val="45684415"/>
    <w:rsid w:val="4585533A"/>
    <w:rsid w:val="45895A67"/>
    <w:rsid w:val="45A100BA"/>
    <w:rsid w:val="45A22D2E"/>
    <w:rsid w:val="45C65EB9"/>
    <w:rsid w:val="45DA25CD"/>
    <w:rsid w:val="45E623D5"/>
    <w:rsid w:val="45E65EEA"/>
    <w:rsid w:val="45F6370D"/>
    <w:rsid w:val="461F6DC0"/>
    <w:rsid w:val="463D530C"/>
    <w:rsid w:val="465A6BDA"/>
    <w:rsid w:val="46630C80"/>
    <w:rsid w:val="46673759"/>
    <w:rsid w:val="466D0934"/>
    <w:rsid w:val="46800978"/>
    <w:rsid w:val="46C22596"/>
    <w:rsid w:val="46C9176C"/>
    <w:rsid w:val="46D73436"/>
    <w:rsid w:val="46DC574F"/>
    <w:rsid w:val="47264843"/>
    <w:rsid w:val="47302AA8"/>
    <w:rsid w:val="47566A6E"/>
    <w:rsid w:val="475D498C"/>
    <w:rsid w:val="477074CB"/>
    <w:rsid w:val="478B6E25"/>
    <w:rsid w:val="479715A4"/>
    <w:rsid w:val="479D3E32"/>
    <w:rsid w:val="47A02870"/>
    <w:rsid w:val="47A03A32"/>
    <w:rsid w:val="47AA29B5"/>
    <w:rsid w:val="47C0465C"/>
    <w:rsid w:val="47CC5CA9"/>
    <w:rsid w:val="47CC6765"/>
    <w:rsid w:val="47E81FD1"/>
    <w:rsid w:val="47F72214"/>
    <w:rsid w:val="47F72821"/>
    <w:rsid w:val="48055C38"/>
    <w:rsid w:val="481C346D"/>
    <w:rsid w:val="48267067"/>
    <w:rsid w:val="48830AFE"/>
    <w:rsid w:val="48832C2C"/>
    <w:rsid w:val="48967825"/>
    <w:rsid w:val="48E61892"/>
    <w:rsid w:val="48EB265F"/>
    <w:rsid w:val="490F4BE5"/>
    <w:rsid w:val="49107672"/>
    <w:rsid w:val="491D214E"/>
    <w:rsid w:val="49565CEB"/>
    <w:rsid w:val="49586DC0"/>
    <w:rsid w:val="495E1A1D"/>
    <w:rsid w:val="495E3A86"/>
    <w:rsid w:val="49652146"/>
    <w:rsid w:val="497342EF"/>
    <w:rsid w:val="498521CD"/>
    <w:rsid w:val="49C43949"/>
    <w:rsid w:val="49E40EC4"/>
    <w:rsid w:val="4A062D35"/>
    <w:rsid w:val="4A2171D0"/>
    <w:rsid w:val="4A24296B"/>
    <w:rsid w:val="4A2E7945"/>
    <w:rsid w:val="4A4520BC"/>
    <w:rsid w:val="4A6A28F7"/>
    <w:rsid w:val="4A7814C5"/>
    <w:rsid w:val="4A84395B"/>
    <w:rsid w:val="4AA53350"/>
    <w:rsid w:val="4AA8716D"/>
    <w:rsid w:val="4AB23491"/>
    <w:rsid w:val="4ACA5A74"/>
    <w:rsid w:val="4AF77BFA"/>
    <w:rsid w:val="4B0D14A5"/>
    <w:rsid w:val="4B0D68F8"/>
    <w:rsid w:val="4B1F3F5B"/>
    <w:rsid w:val="4B247053"/>
    <w:rsid w:val="4B376EC8"/>
    <w:rsid w:val="4B48639E"/>
    <w:rsid w:val="4B8769F6"/>
    <w:rsid w:val="4BBB0536"/>
    <w:rsid w:val="4BDD5A2A"/>
    <w:rsid w:val="4C431ECB"/>
    <w:rsid w:val="4C46730F"/>
    <w:rsid w:val="4C4F59D3"/>
    <w:rsid w:val="4C5A23F1"/>
    <w:rsid w:val="4C8B5B9F"/>
    <w:rsid w:val="4CA60CF0"/>
    <w:rsid w:val="4CE07653"/>
    <w:rsid w:val="4CE22E2F"/>
    <w:rsid w:val="4D062B42"/>
    <w:rsid w:val="4D1513AE"/>
    <w:rsid w:val="4D182CDB"/>
    <w:rsid w:val="4D257C7E"/>
    <w:rsid w:val="4D325BF2"/>
    <w:rsid w:val="4D632C15"/>
    <w:rsid w:val="4D6A0DBC"/>
    <w:rsid w:val="4D8602C2"/>
    <w:rsid w:val="4D8C31C1"/>
    <w:rsid w:val="4DCB114D"/>
    <w:rsid w:val="4DCD32D4"/>
    <w:rsid w:val="4DD157BA"/>
    <w:rsid w:val="4DE12880"/>
    <w:rsid w:val="4DF0757F"/>
    <w:rsid w:val="4DFB3E6E"/>
    <w:rsid w:val="4E2F512D"/>
    <w:rsid w:val="4E30015A"/>
    <w:rsid w:val="4E476912"/>
    <w:rsid w:val="4E5B4021"/>
    <w:rsid w:val="4E7C109E"/>
    <w:rsid w:val="4E882381"/>
    <w:rsid w:val="4E8E3A1F"/>
    <w:rsid w:val="4E920EE8"/>
    <w:rsid w:val="4EF101B9"/>
    <w:rsid w:val="4F140197"/>
    <w:rsid w:val="4F5C2946"/>
    <w:rsid w:val="4F5E3BA5"/>
    <w:rsid w:val="4F624430"/>
    <w:rsid w:val="4F711D9F"/>
    <w:rsid w:val="4F813A05"/>
    <w:rsid w:val="4F8C236E"/>
    <w:rsid w:val="4F931C05"/>
    <w:rsid w:val="4FA262C6"/>
    <w:rsid w:val="503144B2"/>
    <w:rsid w:val="506D5C22"/>
    <w:rsid w:val="509352E7"/>
    <w:rsid w:val="5094186F"/>
    <w:rsid w:val="509E0EDA"/>
    <w:rsid w:val="50AA1957"/>
    <w:rsid w:val="50B2641A"/>
    <w:rsid w:val="50B45146"/>
    <w:rsid w:val="50BF2F8B"/>
    <w:rsid w:val="50C778DC"/>
    <w:rsid w:val="50E20FC9"/>
    <w:rsid w:val="50E37ED1"/>
    <w:rsid w:val="50F96FFC"/>
    <w:rsid w:val="50FB7E33"/>
    <w:rsid w:val="5110480D"/>
    <w:rsid w:val="51121E6C"/>
    <w:rsid w:val="511F5AE8"/>
    <w:rsid w:val="5125437C"/>
    <w:rsid w:val="51735D92"/>
    <w:rsid w:val="51737144"/>
    <w:rsid w:val="51795FFE"/>
    <w:rsid w:val="517B2107"/>
    <w:rsid w:val="51882731"/>
    <w:rsid w:val="518F04AA"/>
    <w:rsid w:val="51B46913"/>
    <w:rsid w:val="51CC64BF"/>
    <w:rsid w:val="51D9439A"/>
    <w:rsid w:val="51E212C0"/>
    <w:rsid w:val="51E56866"/>
    <w:rsid w:val="51EE4687"/>
    <w:rsid w:val="51EF78DC"/>
    <w:rsid w:val="51FA3CDD"/>
    <w:rsid w:val="52001516"/>
    <w:rsid w:val="52006F09"/>
    <w:rsid w:val="52060922"/>
    <w:rsid w:val="52082745"/>
    <w:rsid w:val="521D0417"/>
    <w:rsid w:val="52335FE5"/>
    <w:rsid w:val="5235712A"/>
    <w:rsid w:val="5247582E"/>
    <w:rsid w:val="526A4AA3"/>
    <w:rsid w:val="526B4F13"/>
    <w:rsid w:val="527D2A3C"/>
    <w:rsid w:val="52A133B9"/>
    <w:rsid w:val="52B911DE"/>
    <w:rsid w:val="52BE17E7"/>
    <w:rsid w:val="52C92E63"/>
    <w:rsid w:val="52D3751A"/>
    <w:rsid w:val="52E437CD"/>
    <w:rsid w:val="52E47398"/>
    <w:rsid w:val="5337315F"/>
    <w:rsid w:val="53516580"/>
    <w:rsid w:val="535850CE"/>
    <w:rsid w:val="536D0ABA"/>
    <w:rsid w:val="53A546FB"/>
    <w:rsid w:val="53A56533"/>
    <w:rsid w:val="53AD76F3"/>
    <w:rsid w:val="53B54FE5"/>
    <w:rsid w:val="53D478D7"/>
    <w:rsid w:val="53D9777D"/>
    <w:rsid w:val="53E5447A"/>
    <w:rsid w:val="53E70701"/>
    <w:rsid w:val="53F96128"/>
    <w:rsid w:val="540A09C6"/>
    <w:rsid w:val="5415176D"/>
    <w:rsid w:val="542F3CD5"/>
    <w:rsid w:val="54420A21"/>
    <w:rsid w:val="54555F8D"/>
    <w:rsid w:val="54743F65"/>
    <w:rsid w:val="548A16DC"/>
    <w:rsid w:val="548D5E07"/>
    <w:rsid w:val="54BD3CDD"/>
    <w:rsid w:val="55175CFB"/>
    <w:rsid w:val="552972C8"/>
    <w:rsid w:val="553352B2"/>
    <w:rsid w:val="5533743C"/>
    <w:rsid w:val="553837B9"/>
    <w:rsid w:val="553F6E21"/>
    <w:rsid w:val="5567563E"/>
    <w:rsid w:val="55694DB0"/>
    <w:rsid w:val="559A4FB0"/>
    <w:rsid w:val="55B812E9"/>
    <w:rsid w:val="55BA3D6D"/>
    <w:rsid w:val="55F714C3"/>
    <w:rsid w:val="5621713C"/>
    <w:rsid w:val="562F7199"/>
    <w:rsid w:val="56343DA5"/>
    <w:rsid w:val="56641B9F"/>
    <w:rsid w:val="566514EE"/>
    <w:rsid w:val="56B412E7"/>
    <w:rsid w:val="56DE0939"/>
    <w:rsid w:val="56E01BDA"/>
    <w:rsid w:val="56E04E77"/>
    <w:rsid w:val="56FA1A92"/>
    <w:rsid w:val="57047FE2"/>
    <w:rsid w:val="57081D47"/>
    <w:rsid w:val="570E6996"/>
    <w:rsid w:val="5711183C"/>
    <w:rsid w:val="571A180C"/>
    <w:rsid w:val="572D7C39"/>
    <w:rsid w:val="57360273"/>
    <w:rsid w:val="5749280A"/>
    <w:rsid w:val="57551B3D"/>
    <w:rsid w:val="575F6807"/>
    <w:rsid w:val="579606EF"/>
    <w:rsid w:val="57A35F14"/>
    <w:rsid w:val="57A85B85"/>
    <w:rsid w:val="57B0525D"/>
    <w:rsid w:val="57B1418D"/>
    <w:rsid w:val="57B70554"/>
    <w:rsid w:val="57D67D31"/>
    <w:rsid w:val="57DD2023"/>
    <w:rsid w:val="57FB4944"/>
    <w:rsid w:val="583A37BC"/>
    <w:rsid w:val="585525E5"/>
    <w:rsid w:val="58643330"/>
    <w:rsid w:val="5875165E"/>
    <w:rsid w:val="5878114F"/>
    <w:rsid w:val="58A17B12"/>
    <w:rsid w:val="58B24661"/>
    <w:rsid w:val="58C35CC6"/>
    <w:rsid w:val="58CC53D1"/>
    <w:rsid w:val="58D86507"/>
    <w:rsid w:val="58ED4C4F"/>
    <w:rsid w:val="592F76EF"/>
    <w:rsid w:val="594C44D8"/>
    <w:rsid w:val="595027C8"/>
    <w:rsid w:val="59543C67"/>
    <w:rsid w:val="59593153"/>
    <w:rsid w:val="5965680C"/>
    <w:rsid w:val="598C677A"/>
    <w:rsid w:val="59C07F60"/>
    <w:rsid w:val="59D21519"/>
    <w:rsid w:val="59D52E71"/>
    <w:rsid w:val="59DE5CBA"/>
    <w:rsid w:val="5A155C3B"/>
    <w:rsid w:val="5A291912"/>
    <w:rsid w:val="5A3162D9"/>
    <w:rsid w:val="5A461E7F"/>
    <w:rsid w:val="5A5C0A6F"/>
    <w:rsid w:val="5A75650F"/>
    <w:rsid w:val="5A7C2576"/>
    <w:rsid w:val="5A963A4D"/>
    <w:rsid w:val="5AC7512E"/>
    <w:rsid w:val="5ADF7263"/>
    <w:rsid w:val="5B0825BD"/>
    <w:rsid w:val="5B111CDD"/>
    <w:rsid w:val="5B3B207F"/>
    <w:rsid w:val="5B3D04AB"/>
    <w:rsid w:val="5B5D3F79"/>
    <w:rsid w:val="5B745CBD"/>
    <w:rsid w:val="5B806CB3"/>
    <w:rsid w:val="5B833261"/>
    <w:rsid w:val="5B987D76"/>
    <w:rsid w:val="5BA378CF"/>
    <w:rsid w:val="5C0C4987"/>
    <w:rsid w:val="5C1779C9"/>
    <w:rsid w:val="5C246A7E"/>
    <w:rsid w:val="5C41093C"/>
    <w:rsid w:val="5C631F31"/>
    <w:rsid w:val="5C7C0CE4"/>
    <w:rsid w:val="5C7C24AA"/>
    <w:rsid w:val="5C7E4DE2"/>
    <w:rsid w:val="5CC30CA4"/>
    <w:rsid w:val="5CE40048"/>
    <w:rsid w:val="5CF50FC0"/>
    <w:rsid w:val="5CF9044C"/>
    <w:rsid w:val="5D0D47EC"/>
    <w:rsid w:val="5D1D4C3B"/>
    <w:rsid w:val="5D1E569A"/>
    <w:rsid w:val="5D297EFE"/>
    <w:rsid w:val="5D4A3460"/>
    <w:rsid w:val="5D503330"/>
    <w:rsid w:val="5D52508E"/>
    <w:rsid w:val="5D7E1208"/>
    <w:rsid w:val="5DD17638"/>
    <w:rsid w:val="5DD90613"/>
    <w:rsid w:val="5DDA3044"/>
    <w:rsid w:val="5DE53557"/>
    <w:rsid w:val="5DF54FC3"/>
    <w:rsid w:val="5DFD7CC9"/>
    <w:rsid w:val="5E2733FB"/>
    <w:rsid w:val="5E2D729B"/>
    <w:rsid w:val="5E4C21C3"/>
    <w:rsid w:val="5E7062EB"/>
    <w:rsid w:val="5E76511E"/>
    <w:rsid w:val="5EAC38D8"/>
    <w:rsid w:val="5EBB2215"/>
    <w:rsid w:val="5EC15BF4"/>
    <w:rsid w:val="5ECB026C"/>
    <w:rsid w:val="5ED42C07"/>
    <w:rsid w:val="5ED7714D"/>
    <w:rsid w:val="5EE3343E"/>
    <w:rsid w:val="5EE4753E"/>
    <w:rsid w:val="5EE8016A"/>
    <w:rsid w:val="5EF44D87"/>
    <w:rsid w:val="5EF75CAA"/>
    <w:rsid w:val="5F395951"/>
    <w:rsid w:val="5F5942CA"/>
    <w:rsid w:val="5F7D4E73"/>
    <w:rsid w:val="5F8E2211"/>
    <w:rsid w:val="5F9C7E10"/>
    <w:rsid w:val="5FB57559"/>
    <w:rsid w:val="5FB962D5"/>
    <w:rsid w:val="5FDA5DB9"/>
    <w:rsid w:val="5FE341E6"/>
    <w:rsid w:val="600F4F99"/>
    <w:rsid w:val="604467F0"/>
    <w:rsid w:val="605F7B92"/>
    <w:rsid w:val="606D0CE5"/>
    <w:rsid w:val="608A2BC5"/>
    <w:rsid w:val="60956D42"/>
    <w:rsid w:val="60C74FC7"/>
    <w:rsid w:val="60CC3325"/>
    <w:rsid w:val="60D632A1"/>
    <w:rsid w:val="60DF56A8"/>
    <w:rsid w:val="60F61989"/>
    <w:rsid w:val="60FB13A7"/>
    <w:rsid w:val="611A3E84"/>
    <w:rsid w:val="61433CBA"/>
    <w:rsid w:val="61614E67"/>
    <w:rsid w:val="61781673"/>
    <w:rsid w:val="617B35E6"/>
    <w:rsid w:val="618F623E"/>
    <w:rsid w:val="61A11716"/>
    <w:rsid w:val="61B71137"/>
    <w:rsid w:val="61D55C79"/>
    <w:rsid w:val="62074160"/>
    <w:rsid w:val="62271E36"/>
    <w:rsid w:val="62324E3A"/>
    <w:rsid w:val="62512C3B"/>
    <w:rsid w:val="62643A48"/>
    <w:rsid w:val="626B260E"/>
    <w:rsid w:val="627A3DFC"/>
    <w:rsid w:val="628F26B7"/>
    <w:rsid w:val="62D06210"/>
    <w:rsid w:val="6301099A"/>
    <w:rsid w:val="63032AD5"/>
    <w:rsid w:val="630A4A3B"/>
    <w:rsid w:val="63362343"/>
    <w:rsid w:val="633B7BA7"/>
    <w:rsid w:val="634A1245"/>
    <w:rsid w:val="634A4160"/>
    <w:rsid w:val="63524A51"/>
    <w:rsid w:val="63683016"/>
    <w:rsid w:val="637748D3"/>
    <w:rsid w:val="6379301D"/>
    <w:rsid w:val="63A3701C"/>
    <w:rsid w:val="63A67827"/>
    <w:rsid w:val="63F94F62"/>
    <w:rsid w:val="641E63C8"/>
    <w:rsid w:val="641F3FDC"/>
    <w:rsid w:val="644B72CC"/>
    <w:rsid w:val="6451242C"/>
    <w:rsid w:val="64597225"/>
    <w:rsid w:val="645C1568"/>
    <w:rsid w:val="647A2AFF"/>
    <w:rsid w:val="647D1C63"/>
    <w:rsid w:val="64814CF4"/>
    <w:rsid w:val="64992C28"/>
    <w:rsid w:val="64BF112B"/>
    <w:rsid w:val="64EF231F"/>
    <w:rsid w:val="64F36F89"/>
    <w:rsid w:val="64FA0767"/>
    <w:rsid w:val="65176ABF"/>
    <w:rsid w:val="65213B17"/>
    <w:rsid w:val="65294406"/>
    <w:rsid w:val="653A4311"/>
    <w:rsid w:val="65514C52"/>
    <w:rsid w:val="656E3972"/>
    <w:rsid w:val="65717A08"/>
    <w:rsid w:val="659074B1"/>
    <w:rsid w:val="65B16214"/>
    <w:rsid w:val="65CF1C21"/>
    <w:rsid w:val="65DB6FB6"/>
    <w:rsid w:val="65FA3C5B"/>
    <w:rsid w:val="66251D10"/>
    <w:rsid w:val="662C1A7D"/>
    <w:rsid w:val="662E27BF"/>
    <w:rsid w:val="66464964"/>
    <w:rsid w:val="66B11F5F"/>
    <w:rsid w:val="66B33EB2"/>
    <w:rsid w:val="66B5770E"/>
    <w:rsid w:val="66BA20FC"/>
    <w:rsid w:val="66E060F4"/>
    <w:rsid w:val="6727606A"/>
    <w:rsid w:val="67357960"/>
    <w:rsid w:val="6768232B"/>
    <w:rsid w:val="6769698C"/>
    <w:rsid w:val="677B2B32"/>
    <w:rsid w:val="677C238B"/>
    <w:rsid w:val="678307BC"/>
    <w:rsid w:val="67885D92"/>
    <w:rsid w:val="67FB7BF3"/>
    <w:rsid w:val="67FC3CC5"/>
    <w:rsid w:val="681E3E62"/>
    <w:rsid w:val="6829106D"/>
    <w:rsid w:val="683D5DA9"/>
    <w:rsid w:val="686D26CD"/>
    <w:rsid w:val="68A047E8"/>
    <w:rsid w:val="68E57927"/>
    <w:rsid w:val="68F335C5"/>
    <w:rsid w:val="69205616"/>
    <w:rsid w:val="69575654"/>
    <w:rsid w:val="6969315D"/>
    <w:rsid w:val="69762D3B"/>
    <w:rsid w:val="69963D61"/>
    <w:rsid w:val="69C01D1E"/>
    <w:rsid w:val="69C4690F"/>
    <w:rsid w:val="69CE1907"/>
    <w:rsid w:val="69CF4947"/>
    <w:rsid w:val="69D72BFA"/>
    <w:rsid w:val="6A124830"/>
    <w:rsid w:val="6A2E5B11"/>
    <w:rsid w:val="6A2F1585"/>
    <w:rsid w:val="6A386990"/>
    <w:rsid w:val="6A4E26A9"/>
    <w:rsid w:val="6A61537D"/>
    <w:rsid w:val="6A6257BB"/>
    <w:rsid w:val="6A6B3FF1"/>
    <w:rsid w:val="6A715F7C"/>
    <w:rsid w:val="6AA00D80"/>
    <w:rsid w:val="6AB9187F"/>
    <w:rsid w:val="6AC846A1"/>
    <w:rsid w:val="6AD53F9A"/>
    <w:rsid w:val="6B0E455B"/>
    <w:rsid w:val="6B120185"/>
    <w:rsid w:val="6B291F6A"/>
    <w:rsid w:val="6B49605B"/>
    <w:rsid w:val="6B4B67A4"/>
    <w:rsid w:val="6B5D78BE"/>
    <w:rsid w:val="6B7627A3"/>
    <w:rsid w:val="6B80239C"/>
    <w:rsid w:val="6B9C244D"/>
    <w:rsid w:val="6B9E6954"/>
    <w:rsid w:val="6BA047ED"/>
    <w:rsid w:val="6BAD7331"/>
    <w:rsid w:val="6BD32102"/>
    <w:rsid w:val="6BDD2067"/>
    <w:rsid w:val="6BF208B2"/>
    <w:rsid w:val="6BF35B9F"/>
    <w:rsid w:val="6BFF23F3"/>
    <w:rsid w:val="6C01477D"/>
    <w:rsid w:val="6C1C54F5"/>
    <w:rsid w:val="6C1F70EA"/>
    <w:rsid w:val="6C5B09E3"/>
    <w:rsid w:val="6C6A2EFE"/>
    <w:rsid w:val="6C6C63DE"/>
    <w:rsid w:val="6C735994"/>
    <w:rsid w:val="6C7E0419"/>
    <w:rsid w:val="6C8657B8"/>
    <w:rsid w:val="6C9305EC"/>
    <w:rsid w:val="6C97315D"/>
    <w:rsid w:val="6C995FFB"/>
    <w:rsid w:val="6CC94211"/>
    <w:rsid w:val="6CD40841"/>
    <w:rsid w:val="6D032C9A"/>
    <w:rsid w:val="6D1C4351"/>
    <w:rsid w:val="6D3D25DE"/>
    <w:rsid w:val="6D3F16C8"/>
    <w:rsid w:val="6D597306"/>
    <w:rsid w:val="6D701D51"/>
    <w:rsid w:val="6D763336"/>
    <w:rsid w:val="6D7D1423"/>
    <w:rsid w:val="6D875EF5"/>
    <w:rsid w:val="6D8D161E"/>
    <w:rsid w:val="6D934B65"/>
    <w:rsid w:val="6D9E6B0A"/>
    <w:rsid w:val="6DC24EEE"/>
    <w:rsid w:val="6DD5114B"/>
    <w:rsid w:val="6DD93D5F"/>
    <w:rsid w:val="6DDF2A6F"/>
    <w:rsid w:val="6E011EFD"/>
    <w:rsid w:val="6E2C6AC6"/>
    <w:rsid w:val="6E3851B0"/>
    <w:rsid w:val="6E5319B7"/>
    <w:rsid w:val="6E534E6A"/>
    <w:rsid w:val="6E553353"/>
    <w:rsid w:val="6E582610"/>
    <w:rsid w:val="6E623D2B"/>
    <w:rsid w:val="6E733D06"/>
    <w:rsid w:val="6E836BE0"/>
    <w:rsid w:val="6E9817AB"/>
    <w:rsid w:val="6EB45696"/>
    <w:rsid w:val="6EE31BD8"/>
    <w:rsid w:val="6EE40E94"/>
    <w:rsid w:val="6F197A42"/>
    <w:rsid w:val="6F2C09BA"/>
    <w:rsid w:val="6F4047B8"/>
    <w:rsid w:val="6F4A7707"/>
    <w:rsid w:val="6F6F1FEC"/>
    <w:rsid w:val="6F805D62"/>
    <w:rsid w:val="6F8D6525"/>
    <w:rsid w:val="6F9C0BD2"/>
    <w:rsid w:val="6FA27DFF"/>
    <w:rsid w:val="6FAD552A"/>
    <w:rsid w:val="6FC00314"/>
    <w:rsid w:val="6FC94230"/>
    <w:rsid w:val="70076FCF"/>
    <w:rsid w:val="704A434C"/>
    <w:rsid w:val="705211BD"/>
    <w:rsid w:val="7053162E"/>
    <w:rsid w:val="7087486B"/>
    <w:rsid w:val="708F140A"/>
    <w:rsid w:val="70955726"/>
    <w:rsid w:val="70A46B2D"/>
    <w:rsid w:val="70DF4323"/>
    <w:rsid w:val="70EA3A58"/>
    <w:rsid w:val="70FE351F"/>
    <w:rsid w:val="71014508"/>
    <w:rsid w:val="711B364C"/>
    <w:rsid w:val="712B605D"/>
    <w:rsid w:val="71366E01"/>
    <w:rsid w:val="7169790F"/>
    <w:rsid w:val="71881CE7"/>
    <w:rsid w:val="718F2F20"/>
    <w:rsid w:val="719679BC"/>
    <w:rsid w:val="71C9522E"/>
    <w:rsid w:val="71E373C4"/>
    <w:rsid w:val="71F939C0"/>
    <w:rsid w:val="71FD25B7"/>
    <w:rsid w:val="72097E55"/>
    <w:rsid w:val="722241AD"/>
    <w:rsid w:val="722E01E3"/>
    <w:rsid w:val="723319F7"/>
    <w:rsid w:val="72421314"/>
    <w:rsid w:val="725579FB"/>
    <w:rsid w:val="728E0020"/>
    <w:rsid w:val="728E0764"/>
    <w:rsid w:val="729B1F79"/>
    <w:rsid w:val="72A5093A"/>
    <w:rsid w:val="72D43E6E"/>
    <w:rsid w:val="72E30BD5"/>
    <w:rsid w:val="72F2012F"/>
    <w:rsid w:val="730E2034"/>
    <w:rsid w:val="73100A0F"/>
    <w:rsid w:val="73273748"/>
    <w:rsid w:val="73334AF0"/>
    <w:rsid w:val="734966BC"/>
    <w:rsid w:val="734D1961"/>
    <w:rsid w:val="73680E90"/>
    <w:rsid w:val="737E27D6"/>
    <w:rsid w:val="738946DF"/>
    <w:rsid w:val="73983ECA"/>
    <w:rsid w:val="73AD42B5"/>
    <w:rsid w:val="73C53042"/>
    <w:rsid w:val="73C97FE1"/>
    <w:rsid w:val="73E7275A"/>
    <w:rsid w:val="73F160ED"/>
    <w:rsid w:val="73FA25F3"/>
    <w:rsid w:val="7400051E"/>
    <w:rsid w:val="742B3D29"/>
    <w:rsid w:val="7447035C"/>
    <w:rsid w:val="745353AF"/>
    <w:rsid w:val="746F2AD5"/>
    <w:rsid w:val="747F351C"/>
    <w:rsid w:val="74877EFB"/>
    <w:rsid w:val="74916C89"/>
    <w:rsid w:val="74960029"/>
    <w:rsid w:val="74BD4E0D"/>
    <w:rsid w:val="74C5126D"/>
    <w:rsid w:val="74C810A2"/>
    <w:rsid w:val="74CA6769"/>
    <w:rsid w:val="74F210F1"/>
    <w:rsid w:val="750142D6"/>
    <w:rsid w:val="75530228"/>
    <w:rsid w:val="75585F01"/>
    <w:rsid w:val="756B2277"/>
    <w:rsid w:val="756F682D"/>
    <w:rsid w:val="7577371D"/>
    <w:rsid w:val="757D233F"/>
    <w:rsid w:val="758D7341"/>
    <w:rsid w:val="758F1B5A"/>
    <w:rsid w:val="75A001EF"/>
    <w:rsid w:val="75A15136"/>
    <w:rsid w:val="75AA1252"/>
    <w:rsid w:val="75AC392E"/>
    <w:rsid w:val="75B55AC7"/>
    <w:rsid w:val="75C97E0C"/>
    <w:rsid w:val="75CF1532"/>
    <w:rsid w:val="75D222C7"/>
    <w:rsid w:val="75EB18AF"/>
    <w:rsid w:val="75F018CB"/>
    <w:rsid w:val="76013D57"/>
    <w:rsid w:val="76027BDD"/>
    <w:rsid w:val="760452E0"/>
    <w:rsid w:val="76064188"/>
    <w:rsid w:val="76071C98"/>
    <w:rsid w:val="76456A76"/>
    <w:rsid w:val="7680603C"/>
    <w:rsid w:val="76880357"/>
    <w:rsid w:val="76AD6D71"/>
    <w:rsid w:val="76CB6DD5"/>
    <w:rsid w:val="76CF2B2C"/>
    <w:rsid w:val="77217110"/>
    <w:rsid w:val="772553F1"/>
    <w:rsid w:val="7732037F"/>
    <w:rsid w:val="7741682B"/>
    <w:rsid w:val="77560D84"/>
    <w:rsid w:val="777B4767"/>
    <w:rsid w:val="77941573"/>
    <w:rsid w:val="77B2701F"/>
    <w:rsid w:val="77CC5B9A"/>
    <w:rsid w:val="77DA230B"/>
    <w:rsid w:val="77E97A72"/>
    <w:rsid w:val="77F009D8"/>
    <w:rsid w:val="7809661D"/>
    <w:rsid w:val="78197E01"/>
    <w:rsid w:val="78402892"/>
    <w:rsid w:val="7871743B"/>
    <w:rsid w:val="788E6C9C"/>
    <w:rsid w:val="788F04BD"/>
    <w:rsid w:val="78B004E4"/>
    <w:rsid w:val="78BB73BA"/>
    <w:rsid w:val="78DD64C1"/>
    <w:rsid w:val="791430C3"/>
    <w:rsid w:val="791A7D5B"/>
    <w:rsid w:val="792E10FE"/>
    <w:rsid w:val="79321DBD"/>
    <w:rsid w:val="7944628F"/>
    <w:rsid w:val="79484FF8"/>
    <w:rsid w:val="79492919"/>
    <w:rsid w:val="79575D10"/>
    <w:rsid w:val="79677CD0"/>
    <w:rsid w:val="798B66E6"/>
    <w:rsid w:val="7990228F"/>
    <w:rsid w:val="79AB7A47"/>
    <w:rsid w:val="79B35AB5"/>
    <w:rsid w:val="79DA62E3"/>
    <w:rsid w:val="79E27A58"/>
    <w:rsid w:val="79F00B9B"/>
    <w:rsid w:val="7A1346F7"/>
    <w:rsid w:val="7A42735D"/>
    <w:rsid w:val="7A4738F6"/>
    <w:rsid w:val="7A4837D7"/>
    <w:rsid w:val="7A5C6DBB"/>
    <w:rsid w:val="7A615477"/>
    <w:rsid w:val="7A705595"/>
    <w:rsid w:val="7A792BFE"/>
    <w:rsid w:val="7A847C21"/>
    <w:rsid w:val="7A9B3335"/>
    <w:rsid w:val="7A9F3B9B"/>
    <w:rsid w:val="7AB7651C"/>
    <w:rsid w:val="7AC6465B"/>
    <w:rsid w:val="7ACF29F8"/>
    <w:rsid w:val="7AD4272E"/>
    <w:rsid w:val="7ADE1C5E"/>
    <w:rsid w:val="7AFA4287"/>
    <w:rsid w:val="7B0A5513"/>
    <w:rsid w:val="7B1474FB"/>
    <w:rsid w:val="7B4927AB"/>
    <w:rsid w:val="7B5D421B"/>
    <w:rsid w:val="7B727AC4"/>
    <w:rsid w:val="7B733DAA"/>
    <w:rsid w:val="7B793BD1"/>
    <w:rsid w:val="7B7A6D1A"/>
    <w:rsid w:val="7BAB2053"/>
    <w:rsid w:val="7BC16692"/>
    <w:rsid w:val="7BD43AAD"/>
    <w:rsid w:val="7BE509A7"/>
    <w:rsid w:val="7C1B6899"/>
    <w:rsid w:val="7C2536B3"/>
    <w:rsid w:val="7C366D43"/>
    <w:rsid w:val="7C5E0D7C"/>
    <w:rsid w:val="7C7F76EB"/>
    <w:rsid w:val="7C977546"/>
    <w:rsid w:val="7C9C14A6"/>
    <w:rsid w:val="7CD44806"/>
    <w:rsid w:val="7CE65DD7"/>
    <w:rsid w:val="7CE85827"/>
    <w:rsid w:val="7CFF2DC1"/>
    <w:rsid w:val="7D071E2D"/>
    <w:rsid w:val="7D075A44"/>
    <w:rsid w:val="7D16430A"/>
    <w:rsid w:val="7D1C27F3"/>
    <w:rsid w:val="7D2C49C8"/>
    <w:rsid w:val="7D4C17C9"/>
    <w:rsid w:val="7D5A4E62"/>
    <w:rsid w:val="7D6E25FF"/>
    <w:rsid w:val="7D7075F8"/>
    <w:rsid w:val="7DA804CB"/>
    <w:rsid w:val="7DBC1875"/>
    <w:rsid w:val="7DBE0B05"/>
    <w:rsid w:val="7E0822AB"/>
    <w:rsid w:val="7E1E3241"/>
    <w:rsid w:val="7E2673BB"/>
    <w:rsid w:val="7E430CD8"/>
    <w:rsid w:val="7EDA7929"/>
    <w:rsid w:val="7EF2707E"/>
    <w:rsid w:val="7F12651F"/>
    <w:rsid w:val="7F234279"/>
    <w:rsid w:val="7F3B68C6"/>
    <w:rsid w:val="7F3E593C"/>
    <w:rsid w:val="7F664509"/>
    <w:rsid w:val="7FA34D68"/>
    <w:rsid w:val="7FB470DE"/>
    <w:rsid w:val="7FB57E1E"/>
    <w:rsid w:val="7FBD1AD9"/>
    <w:rsid w:val="7FD76C73"/>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59"/>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1"/>
    <w:pPr>
      <w:ind w:left="440"/>
      <w:outlineLvl w:val="3"/>
    </w:pPr>
    <w:rPr>
      <w:rFonts w:ascii="宋体" w:hAnsi="宋体" w:cs="宋体"/>
      <w:sz w:val="30"/>
      <w:szCs w:val="30"/>
      <w:lang w:val="zh-CN" w:bidi="zh-CN"/>
    </w:rPr>
  </w:style>
  <w:style w:type="paragraph" w:styleId="6">
    <w:name w:val="heading 5"/>
    <w:basedOn w:val="1"/>
    <w:next w:val="1"/>
    <w:qFormat/>
    <w:uiPriority w:val="1"/>
    <w:pPr>
      <w:jc w:val="center"/>
      <w:outlineLvl w:val="4"/>
    </w:pPr>
    <w:rPr>
      <w:rFonts w:ascii="Microsoft JhengHei" w:hAnsi="Microsoft JhengHei" w:eastAsia="Microsoft JhengHei" w:cs="Microsoft JhengHei"/>
      <w:b/>
      <w:bCs/>
      <w:sz w:val="28"/>
      <w:szCs w:val="28"/>
      <w:lang w:val="zh-CN" w:bidi="zh-CN"/>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3"/>
    <w:basedOn w:val="1"/>
    <w:qFormat/>
    <w:uiPriority w:val="0"/>
    <w:pPr>
      <w:ind w:left="1260" w:hanging="420"/>
    </w:pPr>
    <w:rPr>
      <w:szCs w:val="20"/>
    </w:rPr>
  </w:style>
  <w:style w:type="paragraph" w:styleId="8">
    <w:name w:val="Normal Indent"/>
    <w:basedOn w:val="1"/>
    <w:next w:val="9"/>
    <w:unhideWhenUsed/>
    <w:qFormat/>
    <w:uiPriority w:val="0"/>
    <w:pPr>
      <w:ind w:firstLine="420" w:firstLineChars="200"/>
    </w:pPr>
  </w:style>
  <w:style w:type="paragraph" w:styleId="9">
    <w:name w:val="toa heading"/>
    <w:basedOn w:val="1"/>
    <w:next w:val="1"/>
    <w:semiHidden/>
    <w:qFormat/>
    <w:uiPriority w:val="0"/>
    <w:pPr>
      <w:spacing w:before="120"/>
    </w:pPr>
    <w:rPr>
      <w:rFonts w:ascii="Arial" w:hAnsi="Arial" w:cs="Arial"/>
      <w:sz w:val="24"/>
      <w:szCs w:val="24"/>
    </w:rPr>
  </w:style>
  <w:style w:type="paragraph" w:styleId="10">
    <w:name w:val="index 5"/>
    <w:basedOn w:val="11"/>
    <w:next w:val="11"/>
    <w:qFormat/>
    <w:uiPriority w:val="0"/>
    <w:pPr>
      <w:ind w:left="1680"/>
    </w:pPr>
  </w:style>
  <w:style w:type="paragraph" w:customStyle="1" w:styleId="11">
    <w:name w:val="正文1"/>
    <w:basedOn w:val="12"/>
    <w:next w:val="16"/>
    <w:qFormat/>
    <w:uiPriority w:val="0"/>
    <w:rPr>
      <w:szCs w:val="22"/>
    </w:rPr>
  </w:style>
  <w:style w:type="paragraph" w:customStyle="1" w:styleId="12">
    <w:name w:val="正文_0"/>
    <w:basedOn w:val="13"/>
    <w:next w:val="15"/>
    <w:qFormat/>
    <w:uiPriority w:val="0"/>
    <w:rPr>
      <w:szCs w:val="24"/>
    </w:rPr>
  </w:style>
  <w:style w:type="paragraph" w:customStyle="1" w:styleId="13">
    <w:name w:val="正文_1"/>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列表_0"/>
    <w:basedOn w:val="13"/>
    <w:semiHidden/>
    <w:qFormat/>
    <w:locked/>
    <w:uiPriority w:val="0"/>
    <w:pPr>
      <w:ind w:left="200" w:hanging="200" w:hangingChars="200"/>
    </w:pPr>
  </w:style>
  <w:style w:type="paragraph" w:styleId="15">
    <w:name w:val="List"/>
    <w:basedOn w:val="1"/>
    <w:qFormat/>
    <w:uiPriority w:val="99"/>
    <w:pPr>
      <w:jc w:val="center"/>
    </w:pPr>
  </w:style>
  <w:style w:type="paragraph" w:customStyle="1" w:styleId="16">
    <w:name w:val="脚注文本1"/>
    <w:basedOn w:val="11"/>
    <w:qFormat/>
    <w:uiPriority w:val="0"/>
    <w:pPr>
      <w:snapToGrid w:val="0"/>
      <w:jc w:val="left"/>
    </w:pPr>
    <w:rPr>
      <w:sz w:val="18"/>
      <w:szCs w:val="18"/>
    </w:rPr>
  </w:style>
  <w:style w:type="paragraph" w:styleId="17">
    <w:name w:val="Document Map"/>
    <w:basedOn w:val="1"/>
    <w:qFormat/>
    <w:uiPriority w:val="0"/>
    <w:pPr>
      <w:shd w:val="clear" w:color="auto" w:fill="000080"/>
    </w:pPr>
    <w:rPr>
      <w:rFonts w:ascii="Cambria" w:hAnsi="Cambria"/>
      <w:sz w:val="24"/>
      <w:szCs w:val="24"/>
    </w:rPr>
  </w:style>
  <w:style w:type="paragraph" w:styleId="18">
    <w:name w:val="annotation text"/>
    <w:basedOn w:val="1"/>
    <w:link w:val="61"/>
    <w:unhideWhenUsed/>
    <w:qFormat/>
    <w:uiPriority w:val="99"/>
    <w:pPr>
      <w:jc w:val="left"/>
    </w:pPr>
  </w:style>
  <w:style w:type="paragraph" w:styleId="19">
    <w:name w:val="Body Text"/>
    <w:basedOn w:val="1"/>
    <w:next w:val="20"/>
    <w:semiHidden/>
    <w:qFormat/>
    <w:uiPriority w:val="0"/>
    <w:pPr>
      <w:autoSpaceDE w:val="0"/>
      <w:autoSpaceDN w:val="0"/>
      <w:adjustRightInd w:val="0"/>
      <w:spacing w:before="40" w:after="40" w:line="320" w:lineRule="atLeast"/>
      <w:ind w:firstLine="357"/>
      <w:textAlignment w:val="baseline"/>
    </w:pPr>
    <w:rPr>
      <w:sz w:val="18"/>
    </w:rPr>
  </w:style>
  <w:style w:type="paragraph" w:customStyle="1" w:styleId="2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1">
    <w:name w:val="Body Text Indent"/>
    <w:basedOn w:val="1"/>
    <w:next w:val="22"/>
    <w:qFormat/>
    <w:uiPriority w:val="0"/>
    <w:pPr>
      <w:spacing w:after="120"/>
      <w:ind w:left="420" w:leftChars="200"/>
    </w:pPr>
    <w:rPr>
      <w:rFonts w:eastAsia="Times New Roman"/>
      <w:kern w:val="0"/>
      <w:sz w:val="20"/>
      <w:szCs w:val="21"/>
    </w:rPr>
  </w:style>
  <w:style w:type="paragraph" w:styleId="22">
    <w:name w:val="toc 5"/>
    <w:basedOn w:val="1"/>
    <w:next w:val="1"/>
    <w:qFormat/>
    <w:uiPriority w:val="0"/>
    <w:pPr>
      <w:autoSpaceDE w:val="0"/>
      <w:autoSpaceDN w:val="0"/>
      <w:ind w:left="840"/>
    </w:pPr>
    <w:rPr>
      <w:rFonts w:ascii="Calibri" w:hAnsi="Calibri" w:cs="宋体"/>
      <w:sz w:val="18"/>
      <w:szCs w:val="18"/>
      <w:lang w:val="zh-CN" w:bidi="zh-CN"/>
    </w:rPr>
  </w:style>
  <w:style w:type="paragraph" w:styleId="23">
    <w:name w:val="toc 3"/>
    <w:basedOn w:val="1"/>
    <w:next w:val="1"/>
    <w:unhideWhenUsed/>
    <w:qFormat/>
    <w:uiPriority w:val="39"/>
    <w:pPr>
      <w:spacing w:line="380" w:lineRule="exact"/>
      <w:ind w:left="400" w:leftChars="400"/>
      <w:jc w:val="distribute"/>
    </w:pPr>
  </w:style>
  <w:style w:type="paragraph" w:styleId="24">
    <w:name w:val="Plain Text"/>
    <w:basedOn w:val="1"/>
    <w:next w:val="1"/>
    <w:qFormat/>
    <w:uiPriority w:val="0"/>
    <w:rPr>
      <w:rFonts w:ascii="宋体" w:hAnsi="Courier New"/>
      <w:szCs w:val="20"/>
    </w:rPr>
  </w:style>
  <w:style w:type="paragraph" w:styleId="25">
    <w:name w:val="Date"/>
    <w:basedOn w:val="1"/>
    <w:next w:val="1"/>
    <w:link w:val="62"/>
    <w:unhideWhenUsed/>
    <w:qFormat/>
    <w:uiPriority w:val="99"/>
    <w:pPr>
      <w:ind w:left="100" w:leftChars="2500"/>
    </w:pPr>
  </w:style>
  <w:style w:type="paragraph" w:styleId="26">
    <w:name w:val="Balloon Text"/>
    <w:basedOn w:val="1"/>
    <w:link w:val="63"/>
    <w:unhideWhenUsed/>
    <w:qFormat/>
    <w:uiPriority w:val="99"/>
    <w:rPr>
      <w:sz w:val="18"/>
      <w:szCs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envelope return"/>
    <w:basedOn w:val="1"/>
    <w:qFormat/>
    <w:uiPriority w:val="0"/>
    <w:pPr>
      <w:snapToGrid w:val="0"/>
      <w:spacing w:line="240" w:lineRule="atLeast"/>
    </w:pPr>
    <w:rPr>
      <w:rFonts w:ascii="Arial" w:hAnsi="Arial" w:cs="Arial"/>
      <w:szCs w:val="21"/>
    </w:rPr>
  </w:style>
  <w:style w:type="paragraph" w:styleId="2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line="380" w:lineRule="exact"/>
      <w:jc w:val="distribute"/>
    </w:pPr>
    <w:rPr>
      <w:rFonts w:eastAsia="黑体"/>
    </w:rPr>
  </w:style>
  <w:style w:type="paragraph" w:styleId="31">
    <w:name w:val="footnote text"/>
    <w:basedOn w:val="1"/>
    <w:next w:val="10"/>
    <w:qFormat/>
    <w:uiPriority w:val="0"/>
    <w:pPr>
      <w:widowControl/>
      <w:snapToGrid w:val="0"/>
      <w:jc w:val="left"/>
    </w:pPr>
    <w:rPr>
      <w:rFonts w:ascii="宋体"/>
      <w:kern w:val="0"/>
      <w:sz w:val="18"/>
      <w:szCs w:val="18"/>
    </w:rPr>
  </w:style>
  <w:style w:type="paragraph" w:styleId="32">
    <w:name w:val="toc 2"/>
    <w:basedOn w:val="1"/>
    <w:next w:val="1"/>
    <w:unhideWhenUsed/>
    <w:qFormat/>
    <w:uiPriority w:val="39"/>
    <w:pPr>
      <w:spacing w:line="380" w:lineRule="exact"/>
      <w:ind w:left="200" w:leftChars="200"/>
      <w:jc w:val="distribute"/>
    </w:pPr>
  </w:style>
  <w:style w:type="paragraph" w:styleId="33">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34">
    <w:name w:val="annotation subject"/>
    <w:basedOn w:val="18"/>
    <w:next w:val="18"/>
    <w:link w:val="66"/>
    <w:unhideWhenUsed/>
    <w:qFormat/>
    <w:uiPriority w:val="99"/>
    <w:rPr>
      <w:b/>
      <w:bCs/>
    </w:rPr>
  </w:style>
  <w:style w:type="paragraph" w:styleId="35">
    <w:name w:val="Body Text First Indent"/>
    <w:basedOn w:val="19"/>
    <w:qFormat/>
    <w:uiPriority w:val="0"/>
    <w:pPr>
      <w:ind w:firstLine="420" w:firstLineChars="100"/>
    </w:pPr>
    <w:rPr>
      <w:rFonts w:ascii="Arial" w:hAnsi="Arial"/>
    </w:rPr>
  </w:style>
  <w:style w:type="paragraph" w:styleId="36">
    <w:name w:val="Body Text First Indent 2"/>
    <w:basedOn w:val="21"/>
    <w:next w:val="1"/>
    <w:qFormat/>
    <w:uiPriority w:val="0"/>
    <w:pPr>
      <w:ind w:left="0" w:leftChars="0" w:firstLine="210"/>
    </w:pPr>
    <w:rPr>
      <w:szCs w:val="20"/>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42"/>
    <w:unhideWhenUsed/>
    <w:qFormat/>
    <w:uiPriority w:val="0"/>
    <w:rPr>
      <w:rFonts w:cs="Times New Roman"/>
    </w:rPr>
  </w:style>
  <w:style w:type="character" w:customStyle="1" w:styleId="42">
    <w:name w:val="默认段落字体1"/>
    <w:qFormat/>
    <w:uiPriority w:val="0"/>
  </w:style>
  <w:style w:type="character" w:styleId="43">
    <w:name w:val="FollowedHyperlink"/>
    <w:basedOn w:val="39"/>
    <w:qFormat/>
    <w:uiPriority w:val="0"/>
    <w:rPr>
      <w:color w:val="800080"/>
      <w:u w:val="none"/>
    </w:rPr>
  </w:style>
  <w:style w:type="character" w:styleId="44">
    <w:name w:val="Emphasis"/>
    <w:basedOn w:val="39"/>
    <w:qFormat/>
    <w:uiPriority w:val="20"/>
    <w:rPr>
      <w:i/>
    </w:rPr>
  </w:style>
  <w:style w:type="character" w:styleId="45">
    <w:name w:val="HTML Definition"/>
    <w:basedOn w:val="39"/>
    <w:unhideWhenUsed/>
    <w:qFormat/>
    <w:uiPriority w:val="99"/>
  </w:style>
  <w:style w:type="character" w:styleId="46">
    <w:name w:val="HTML Typewriter"/>
    <w:basedOn w:val="39"/>
    <w:unhideWhenUsed/>
    <w:qFormat/>
    <w:uiPriority w:val="99"/>
    <w:rPr>
      <w:rFonts w:hint="default" w:ascii="monospace" w:hAnsi="monospace" w:eastAsia="monospace" w:cs="monospace"/>
      <w:sz w:val="20"/>
    </w:rPr>
  </w:style>
  <w:style w:type="character" w:styleId="47">
    <w:name w:val="HTML Acronym"/>
    <w:basedOn w:val="39"/>
    <w:unhideWhenUsed/>
    <w:qFormat/>
    <w:uiPriority w:val="99"/>
  </w:style>
  <w:style w:type="character" w:styleId="48">
    <w:name w:val="HTML Variable"/>
    <w:basedOn w:val="39"/>
    <w:unhideWhenUsed/>
    <w:qFormat/>
    <w:uiPriority w:val="99"/>
  </w:style>
  <w:style w:type="character" w:styleId="49">
    <w:name w:val="Hyperlink"/>
    <w:basedOn w:val="39"/>
    <w:unhideWhenUsed/>
    <w:qFormat/>
    <w:uiPriority w:val="99"/>
    <w:rPr>
      <w:color w:val="0563C1"/>
      <w:u w:val="single"/>
    </w:rPr>
  </w:style>
  <w:style w:type="character" w:styleId="50">
    <w:name w:val="HTML Code"/>
    <w:basedOn w:val="39"/>
    <w:unhideWhenUsed/>
    <w:qFormat/>
    <w:uiPriority w:val="99"/>
    <w:rPr>
      <w:rFonts w:ascii="monospace" w:hAnsi="monospace" w:eastAsia="monospace" w:cs="monospace"/>
      <w:sz w:val="20"/>
    </w:rPr>
  </w:style>
  <w:style w:type="character" w:styleId="51">
    <w:name w:val="annotation reference"/>
    <w:unhideWhenUsed/>
    <w:qFormat/>
    <w:uiPriority w:val="99"/>
    <w:rPr>
      <w:sz w:val="21"/>
      <w:szCs w:val="21"/>
    </w:rPr>
  </w:style>
  <w:style w:type="character" w:styleId="52">
    <w:name w:val="HTML Cite"/>
    <w:basedOn w:val="39"/>
    <w:unhideWhenUsed/>
    <w:qFormat/>
    <w:uiPriority w:val="99"/>
  </w:style>
  <w:style w:type="character" w:styleId="53">
    <w:name w:val="HTML Keyboard"/>
    <w:basedOn w:val="39"/>
    <w:unhideWhenUsed/>
    <w:qFormat/>
    <w:uiPriority w:val="99"/>
    <w:rPr>
      <w:rFonts w:hint="default" w:ascii="monospace" w:hAnsi="monospace" w:eastAsia="monospace" w:cs="monospace"/>
      <w:sz w:val="20"/>
    </w:rPr>
  </w:style>
  <w:style w:type="character" w:styleId="54">
    <w:name w:val="HTML Sample"/>
    <w:basedOn w:val="39"/>
    <w:qFormat/>
    <w:uiPriority w:val="0"/>
    <w:rPr>
      <w:rFonts w:hint="default" w:ascii="monospace" w:hAnsi="monospace" w:eastAsia="monospace" w:cs="monospace"/>
    </w:rPr>
  </w:style>
  <w:style w:type="paragraph" w:customStyle="1" w:styleId="55">
    <w:name w:val="Char"/>
    <w:basedOn w:val="1"/>
    <w:qFormat/>
    <w:uiPriority w:val="0"/>
    <w:pPr>
      <w:tabs>
        <w:tab w:val="left" w:pos="432"/>
      </w:tabs>
      <w:spacing w:before="156" w:beforeLines="50" w:after="156" w:afterLines="50"/>
      <w:ind w:left="432" w:hanging="432"/>
    </w:pPr>
  </w:style>
  <w:style w:type="paragraph" w:customStyle="1" w:styleId="56">
    <w:name w:val="_Style 2"/>
    <w:basedOn w:val="1"/>
    <w:next w:val="1"/>
    <w:qFormat/>
    <w:uiPriority w:val="0"/>
    <w:pPr>
      <w:ind w:firstLine="200" w:firstLineChars="200"/>
    </w:pPr>
    <w:rPr>
      <w:rFonts w:ascii="Calibri" w:hAnsi="Calibri"/>
      <w:sz w:val="28"/>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首行缩进"/>
    <w:basedOn w:val="1"/>
    <w:next w:val="24"/>
    <w:qFormat/>
    <w:uiPriority w:val="0"/>
    <w:pPr>
      <w:numPr>
        <w:ilvl w:val="0"/>
        <w:numId w:val="1"/>
      </w:numPr>
      <w:spacing w:line="360" w:lineRule="auto"/>
    </w:pPr>
    <w:rPr>
      <w:rFonts w:eastAsia="仿宋_GB2312"/>
    </w:rPr>
  </w:style>
  <w:style w:type="character" w:customStyle="1" w:styleId="59">
    <w:name w:val="标题 3 字符"/>
    <w:link w:val="4"/>
    <w:qFormat/>
    <w:uiPriority w:val="0"/>
    <w:rPr>
      <w:b/>
      <w:bCs/>
      <w:sz w:val="32"/>
      <w:szCs w:val="32"/>
    </w:rPr>
  </w:style>
  <w:style w:type="character" w:customStyle="1" w:styleId="60">
    <w:name w:val="标题 2 字符"/>
    <w:link w:val="3"/>
    <w:qFormat/>
    <w:uiPriority w:val="0"/>
    <w:rPr>
      <w:rFonts w:ascii="Arial" w:hAnsi="Arial" w:eastAsia="黑体"/>
      <w:b/>
      <w:bCs/>
      <w:sz w:val="52"/>
      <w:szCs w:val="32"/>
    </w:rPr>
  </w:style>
  <w:style w:type="character" w:customStyle="1" w:styleId="61">
    <w:name w:val="批注文字 字符"/>
    <w:link w:val="18"/>
    <w:semiHidden/>
    <w:qFormat/>
    <w:uiPriority w:val="99"/>
    <w:rPr>
      <w:kern w:val="2"/>
      <w:sz w:val="21"/>
      <w:szCs w:val="22"/>
    </w:rPr>
  </w:style>
  <w:style w:type="character" w:customStyle="1" w:styleId="62">
    <w:name w:val="日期 字符"/>
    <w:link w:val="25"/>
    <w:semiHidden/>
    <w:qFormat/>
    <w:uiPriority w:val="99"/>
    <w:rPr>
      <w:kern w:val="2"/>
      <w:sz w:val="21"/>
      <w:szCs w:val="22"/>
    </w:rPr>
  </w:style>
  <w:style w:type="character" w:customStyle="1" w:styleId="63">
    <w:name w:val="批注框文本 字符"/>
    <w:link w:val="26"/>
    <w:semiHidden/>
    <w:qFormat/>
    <w:uiPriority w:val="99"/>
    <w:rPr>
      <w:kern w:val="2"/>
      <w:sz w:val="18"/>
      <w:szCs w:val="18"/>
    </w:rPr>
  </w:style>
  <w:style w:type="character" w:customStyle="1" w:styleId="64">
    <w:name w:val="页脚 字符"/>
    <w:link w:val="27"/>
    <w:qFormat/>
    <w:uiPriority w:val="99"/>
    <w:rPr>
      <w:kern w:val="2"/>
      <w:sz w:val="18"/>
      <w:szCs w:val="18"/>
    </w:rPr>
  </w:style>
  <w:style w:type="character" w:customStyle="1" w:styleId="65">
    <w:name w:val="页眉 字符"/>
    <w:link w:val="29"/>
    <w:qFormat/>
    <w:uiPriority w:val="99"/>
    <w:rPr>
      <w:kern w:val="2"/>
      <w:sz w:val="18"/>
      <w:szCs w:val="18"/>
    </w:rPr>
  </w:style>
  <w:style w:type="character" w:customStyle="1" w:styleId="66">
    <w:name w:val="批注主题 字符"/>
    <w:link w:val="34"/>
    <w:semiHidden/>
    <w:qFormat/>
    <w:uiPriority w:val="99"/>
    <w:rPr>
      <w:b/>
      <w:bCs/>
      <w:kern w:val="2"/>
      <w:sz w:val="21"/>
      <w:szCs w:val="22"/>
    </w:rPr>
  </w:style>
  <w:style w:type="paragraph" w:customStyle="1" w:styleId="67">
    <w:name w:val="BodyText1I2"/>
    <w:basedOn w:val="68"/>
    <w:qFormat/>
    <w:uiPriority w:val="0"/>
    <w:pPr>
      <w:spacing w:after="0"/>
      <w:ind w:left="0" w:leftChars="0" w:firstLine="200" w:firstLineChars="200"/>
    </w:pPr>
    <w:rPr>
      <w:sz w:val="28"/>
    </w:rPr>
  </w:style>
  <w:style w:type="paragraph" w:customStyle="1" w:styleId="68">
    <w:name w:val="BodyTextIndent"/>
    <w:basedOn w:val="1"/>
    <w:qFormat/>
    <w:uiPriority w:val="0"/>
    <w:pPr>
      <w:spacing w:after="120"/>
      <w:ind w:left="420" w:leftChars="200"/>
      <w:textAlignment w:val="baseline"/>
    </w:pPr>
  </w:style>
  <w:style w:type="character" w:customStyle="1" w:styleId="69">
    <w:name w:val="l_span"/>
    <w:qFormat/>
    <w:uiPriority w:val="0"/>
  </w:style>
  <w:style w:type="character" w:customStyle="1" w:styleId="70">
    <w:name w:val="right_span"/>
    <w:qFormat/>
    <w:uiPriority w:val="0"/>
  </w:style>
  <w:style w:type="character" w:customStyle="1" w:styleId="71">
    <w:name w:val="font51"/>
    <w:basedOn w:val="39"/>
    <w:qFormat/>
    <w:uiPriority w:val="0"/>
    <w:rPr>
      <w:rFonts w:ascii="Arial" w:hAnsi="Arial" w:cs="Arial"/>
      <w:color w:val="000000"/>
      <w:sz w:val="20"/>
      <w:szCs w:val="20"/>
      <w:u w:val="none"/>
    </w:rPr>
  </w:style>
  <w:style w:type="character" w:customStyle="1" w:styleId="72">
    <w:name w:val="样式 仿宋"/>
    <w:qFormat/>
    <w:uiPriority w:val="0"/>
    <w:rPr>
      <w:rFonts w:ascii="仿宋" w:hAnsi="仿宋" w:eastAsia="仿宋"/>
      <w:kern w:val="1"/>
    </w:rPr>
  </w:style>
  <w:style w:type="character" w:customStyle="1" w:styleId="73">
    <w:name w:val="正文文本缩进 Char1"/>
    <w:qFormat/>
    <w:uiPriority w:val="0"/>
    <w:rPr>
      <w:rFonts w:ascii="Cambria" w:hAnsi="Cambria"/>
      <w:kern w:val="2"/>
      <w:sz w:val="24"/>
      <w:szCs w:val="24"/>
    </w:rPr>
  </w:style>
  <w:style w:type="character" w:customStyle="1" w:styleId="74">
    <w:name w:val="r_span"/>
    <w:qFormat/>
    <w:uiPriority w:val="0"/>
  </w:style>
  <w:style w:type="character" w:customStyle="1" w:styleId="75">
    <w:name w:val="font71"/>
    <w:basedOn w:val="39"/>
    <w:qFormat/>
    <w:uiPriority w:val="0"/>
    <w:rPr>
      <w:rFonts w:hint="eastAsia" w:ascii="仿宋" w:hAnsi="仿宋" w:eastAsia="仿宋" w:cs="仿宋"/>
      <w:color w:val="000000"/>
      <w:sz w:val="20"/>
      <w:szCs w:val="20"/>
      <w:u w:val="none"/>
    </w:rPr>
  </w:style>
  <w:style w:type="character" w:customStyle="1" w:styleId="76">
    <w:name w:val="楷体 (中文) 楷体"/>
    <w:qFormat/>
    <w:uiPriority w:val="0"/>
    <w:rPr>
      <w:rFonts w:ascii="楷体" w:hAnsi="楷体" w:eastAsia="楷体"/>
      <w:kern w:val="1"/>
      <w:sz w:val="28"/>
    </w:rPr>
  </w:style>
  <w:style w:type="character" w:customStyle="1" w:styleId="77">
    <w:name w:val="left_span"/>
    <w:qFormat/>
    <w:uiPriority w:val="0"/>
  </w:style>
  <w:style w:type="character" w:customStyle="1" w:styleId="78">
    <w:name w:val="16"/>
    <w:basedOn w:val="39"/>
    <w:qFormat/>
    <w:uiPriority w:val="0"/>
    <w:rPr>
      <w:rFonts w:hint="default" w:ascii="Calibri" w:hAnsi="Calibri"/>
    </w:rPr>
  </w:style>
  <w:style w:type="character" w:customStyle="1" w:styleId="79">
    <w:name w:val="20"/>
    <w:basedOn w:val="39"/>
    <w:qFormat/>
    <w:uiPriority w:val="0"/>
    <w:rPr>
      <w:rFonts w:hint="eastAsia" w:ascii="仿宋" w:hAnsi="仿宋" w:eastAsia="仿宋"/>
      <w:kern w:val="2"/>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paragraph" w:customStyle="1" w:styleId="81">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82">
    <w:name w:val="6'"/>
    <w:basedOn w:val="1"/>
    <w:qFormat/>
    <w:uiPriority w:val="0"/>
    <w:pPr>
      <w:autoSpaceDE w:val="0"/>
      <w:autoSpaceDN w:val="0"/>
      <w:adjustRightInd w:val="0"/>
      <w:snapToGrid w:val="0"/>
      <w:spacing w:line="320" w:lineRule="exact"/>
      <w:textAlignment w:val="baseline"/>
    </w:pPr>
    <w:rPr>
      <w:spacing w:val="20"/>
      <w:kern w:val="28"/>
      <w:szCs w:val="20"/>
    </w:rPr>
  </w:style>
  <w:style w:type="paragraph" w:customStyle="1" w:styleId="83">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3"/>
    <w:basedOn w:val="2"/>
    <w:qFormat/>
    <w:uiPriority w:val="0"/>
    <w:rPr>
      <w:kern w:val="1"/>
      <w:sz w:val="30"/>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样式 仿宋 行距: 1.5 倍行距"/>
    <w:basedOn w:val="1"/>
    <w:qFormat/>
    <w:uiPriority w:val="0"/>
    <w:pPr>
      <w:spacing w:line="360" w:lineRule="auto"/>
    </w:pPr>
    <w:rPr>
      <w:rFonts w:ascii="仿宋" w:hAnsi="仿宋" w:eastAsia="仿宋" w:cs="宋体"/>
      <w:sz w:val="24"/>
      <w:szCs w:val="2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styleId="89">
    <w:name w:val="List Paragraph"/>
    <w:basedOn w:val="1"/>
    <w:qFormat/>
    <w:uiPriority w:val="0"/>
    <w:pPr>
      <w:ind w:firstLine="420" w:firstLineChars="200"/>
    </w:pPr>
    <w:rPr>
      <w:szCs w:val="21"/>
    </w:rPr>
  </w:style>
  <w:style w:type="paragraph" w:customStyle="1" w:styleId="90">
    <w:name w:val="Char Char Char Char"/>
    <w:basedOn w:val="1"/>
    <w:qFormat/>
    <w:uiPriority w:val="0"/>
    <w:rPr>
      <w:szCs w:val="20"/>
    </w:rPr>
  </w:style>
  <w:style w:type="paragraph" w:customStyle="1" w:styleId="91">
    <w:name w:val="Normal Indent1"/>
    <w:basedOn w:val="1"/>
    <w:unhideWhenUsed/>
    <w:qFormat/>
    <w:uiPriority w:val="99"/>
    <w:pPr>
      <w:ind w:firstLine="420" w:firstLineChars="200"/>
    </w:pPr>
  </w:style>
  <w:style w:type="paragraph" w:customStyle="1" w:styleId="9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93">
    <w:name w:val="正文缩进1"/>
    <w:basedOn w:val="1"/>
    <w:qFormat/>
    <w:uiPriority w:val="0"/>
    <w:pPr>
      <w:autoSpaceDE w:val="0"/>
      <w:autoSpaceDN w:val="0"/>
      <w:adjustRightInd w:val="0"/>
      <w:ind w:firstLine="420"/>
      <w:jc w:val="left"/>
    </w:pPr>
    <w:rPr>
      <w:rFonts w:ascii="宋体"/>
      <w:kern w:val="0"/>
      <w:szCs w:val="20"/>
    </w:rPr>
  </w:style>
  <w:style w:type="paragraph" w:customStyle="1" w:styleId="94">
    <w:name w:val="Table Paragraph"/>
    <w:basedOn w:val="1"/>
    <w:qFormat/>
    <w:uiPriority w:val="1"/>
    <w:rPr>
      <w:rFonts w:ascii="宋体" w:hAnsi="宋体" w:cs="宋体"/>
      <w:lang w:val="zh-CN" w:bidi="zh-CN"/>
    </w:rPr>
  </w:style>
  <w:style w:type="paragraph" w:customStyle="1" w:styleId="9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6">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98">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99">
    <w:name w:val="样式 样式 标题 1 + (西文) 黑体 (中文) 黑体 小三 蓝色 + 非加粗 居中"/>
    <w:basedOn w:val="100"/>
    <w:qFormat/>
    <w:uiPriority w:val="0"/>
    <w:pPr>
      <w:jc w:val="center"/>
    </w:pPr>
    <w:rPr>
      <w:rFonts w:cs="宋体"/>
      <w:b w:val="0"/>
      <w:bCs w:val="0"/>
      <w:szCs w:val="20"/>
    </w:rPr>
  </w:style>
  <w:style w:type="paragraph" w:customStyle="1" w:styleId="100">
    <w:name w:val="样式 标题 1 + (西文) 黑体 (中文) 黑体 小三 蓝色"/>
    <w:basedOn w:val="2"/>
    <w:qFormat/>
    <w:uiPriority w:val="0"/>
    <w:rPr>
      <w:rFonts w:ascii="黑体" w:hAnsi="黑体" w:eastAsia="黑体"/>
      <w:sz w:val="30"/>
      <w:u w:color="0000FF"/>
    </w:rPr>
  </w:style>
  <w:style w:type="paragraph" w:customStyle="1" w:styleId="10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102">
    <w:name w:val="样式１"/>
    <w:basedOn w:val="2"/>
    <w:qFormat/>
    <w:uiPriority w:val="0"/>
    <w:pPr>
      <w:jc w:val="center"/>
    </w:pPr>
    <w:rPr>
      <w:kern w:val="1"/>
      <w:sz w:val="30"/>
    </w:rPr>
  </w:style>
  <w:style w:type="paragraph" w:customStyle="1" w:styleId="10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04">
    <w:name w:val="纯文本1"/>
    <w:basedOn w:val="1"/>
    <w:qFormat/>
    <w:uiPriority w:val="0"/>
    <w:rPr>
      <w:rFonts w:ascii="宋体" w:hAnsi="Courier New"/>
      <w:kern w:val="0"/>
      <w:sz w:val="20"/>
      <w:szCs w:val="20"/>
    </w:rPr>
  </w:style>
  <w:style w:type="paragraph" w:customStyle="1" w:styleId="105">
    <w:name w:val="Char Char Char Char Char Char Char"/>
    <w:basedOn w:val="1"/>
    <w:qFormat/>
    <w:uiPriority w:val="0"/>
    <w:pPr>
      <w:spacing w:line="240" w:lineRule="atLeast"/>
      <w:ind w:left="420" w:firstLine="420"/>
    </w:pPr>
    <w:rPr>
      <w:kern w:val="0"/>
      <w:szCs w:val="21"/>
    </w:rPr>
  </w:style>
  <w:style w:type="paragraph" w:customStyle="1" w:styleId="106">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7">
    <w:name w:val="无间隔1"/>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08">
    <w:name w:val="font61"/>
    <w:basedOn w:val="39"/>
    <w:qFormat/>
    <w:uiPriority w:val="0"/>
    <w:rPr>
      <w:rFonts w:hint="eastAsia" w:ascii="仿宋" w:hAnsi="仿宋" w:eastAsia="仿宋" w:cs="仿宋"/>
      <w:color w:val="000000"/>
      <w:sz w:val="16"/>
      <w:szCs w:val="16"/>
      <w:u w:val="none"/>
    </w:rPr>
  </w:style>
  <w:style w:type="paragraph" w:customStyle="1" w:styleId="109">
    <w:name w:val="Normal_11"/>
    <w:qFormat/>
    <w:uiPriority w:val="0"/>
    <w:rPr>
      <w:rFonts w:ascii="黑体" w:hAnsi="黑体" w:eastAsia="黑体" w:cs="Times New Roman"/>
      <w:b/>
      <w:sz w:val="32"/>
      <w:szCs w:val="24"/>
      <w:lang w:val="en-US" w:eastAsia="zh-CN" w:bidi="ar-SA"/>
    </w:rPr>
  </w:style>
  <w:style w:type="paragraph" w:customStyle="1" w:styleId="110">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table" w:customStyle="1" w:styleId="111">
    <w:name w:val="Table Normal"/>
    <w:semiHidden/>
    <w:unhideWhenUsed/>
    <w:qFormat/>
    <w:uiPriority w:val="0"/>
    <w:tblPr>
      <w:tblCellMar>
        <w:top w:w="0" w:type="dxa"/>
        <w:left w:w="0" w:type="dxa"/>
        <w:bottom w:w="0" w:type="dxa"/>
        <w:right w:w="0" w:type="dxa"/>
      </w:tblCellMar>
    </w:tblPr>
  </w:style>
  <w:style w:type="paragraph" w:styleId="112">
    <w:name w:val="No Spacing"/>
    <w:basedOn w:val="1"/>
    <w:qFormat/>
    <w:uiPriority w:val="0"/>
  </w:style>
  <w:style w:type="paragraph" w:customStyle="1" w:styleId="113">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14">
    <w:name w:val="（符号）三标题1.1"/>
    <w:basedOn w:val="1"/>
    <w:qFormat/>
    <w:uiPriority w:val="0"/>
    <w:pPr>
      <w:numPr>
        <w:ilvl w:val="1"/>
        <w:numId w:val="2"/>
      </w:numPr>
      <w:spacing w:line="500" w:lineRule="exact"/>
    </w:pPr>
    <w:rPr>
      <w:rFonts w:ascii="宋体" w:hAnsi="宋体"/>
      <w:sz w:val="24"/>
    </w:rPr>
  </w:style>
  <w:style w:type="character" w:customStyle="1" w:styleId="115">
    <w:name w:val="font11"/>
    <w:basedOn w:val="39"/>
    <w:qFormat/>
    <w:uiPriority w:val="0"/>
    <w:rPr>
      <w:rFonts w:hint="default" w:ascii="Calibri" w:hAnsi="Calibri" w:cs="Calibri"/>
      <w:color w:val="000000"/>
      <w:sz w:val="20"/>
      <w:szCs w:val="20"/>
      <w:u w:val="none"/>
    </w:rPr>
  </w:style>
  <w:style w:type="character" w:customStyle="1" w:styleId="116">
    <w:name w:val="font21"/>
    <w:basedOn w:val="39"/>
    <w:qFormat/>
    <w:uiPriority w:val="0"/>
    <w:rPr>
      <w:rFonts w:hint="eastAsia" w:ascii="宋体" w:hAnsi="宋体" w:eastAsia="宋体" w:cs="宋体"/>
      <w:color w:val="000000"/>
      <w:sz w:val="20"/>
      <w:szCs w:val="20"/>
      <w:u w:val="none"/>
    </w:rPr>
  </w:style>
  <w:style w:type="paragraph" w:customStyle="1" w:styleId="117">
    <w:name w:val="正文段"/>
    <w:basedOn w:val="1"/>
    <w:qFormat/>
    <w:uiPriority w:val="0"/>
    <w:pPr>
      <w:widowControl/>
      <w:snapToGrid w:val="0"/>
      <w:spacing w:afterLines="50"/>
      <w:ind w:firstLine="200" w:firstLineChars="200"/>
    </w:pPr>
    <w:rPr>
      <w:kern w:val="0"/>
      <w:sz w:val="24"/>
    </w:rPr>
  </w:style>
  <w:style w:type="character" w:customStyle="1" w:styleId="118">
    <w:name w:val="font91"/>
    <w:basedOn w:val="39"/>
    <w:qFormat/>
    <w:uiPriority w:val="0"/>
    <w:rPr>
      <w:rFonts w:hint="eastAsia" w:ascii="宋体" w:hAnsi="宋体" w:eastAsia="宋体" w:cs="宋体"/>
      <w:color w:val="000000"/>
      <w:sz w:val="20"/>
      <w:szCs w:val="20"/>
      <w:u w:val="none"/>
      <w:vertAlign w:val="superscript"/>
    </w:rPr>
  </w:style>
  <w:style w:type="character" w:customStyle="1" w:styleId="119">
    <w:name w:val="font81"/>
    <w:basedOn w:val="39"/>
    <w:qFormat/>
    <w:uiPriority w:val="0"/>
    <w:rPr>
      <w:rFonts w:ascii="方正书宋_GBK" w:hAnsi="方正书宋_GBK" w:eastAsia="方正书宋_GBK" w:cs="方正书宋_GBK"/>
      <w:color w:val="000000"/>
      <w:sz w:val="20"/>
      <w:szCs w:val="20"/>
      <w:u w:val="none"/>
    </w:rPr>
  </w:style>
  <w:style w:type="character" w:customStyle="1" w:styleId="120">
    <w:name w:val="font101"/>
    <w:basedOn w:val="39"/>
    <w:qFormat/>
    <w:uiPriority w:val="0"/>
    <w:rPr>
      <w:rFonts w:hint="eastAsia" w:ascii="宋体" w:hAnsi="宋体" w:eastAsia="宋体" w:cs="宋体"/>
      <w:color w:val="000000"/>
      <w:sz w:val="20"/>
      <w:szCs w:val="20"/>
      <w:u w:val="none"/>
      <w:vertAlign w:val="subscript"/>
    </w:rPr>
  </w:style>
  <w:style w:type="character" w:customStyle="1" w:styleId="121">
    <w:name w:val="font41"/>
    <w:basedOn w:val="39"/>
    <w:qFormat/>
    <w:uiPriority w:val="0"/>
    <w:rPr>
      <w:rFonts w:hint="eastAsia" w:ascii="宋体" w:hAnsi="宋体" w:eastAsia="宋体" w:cs="宋体"/>
      <w:color w:val="000000"/>
      <w:sz w:val="20"/>
      <w:szCs w:val="20"/>
      <w:u w:val="none"/>
    </w:rPr>
  </w:style>
  <w:style w:type="character" w:customStyle="1" w:styleId="122">
    <w:name w:val="font121"/>
    <w:basedOn w:val="39"/>
    <w:qFormat/>
    <w:uiPriority w:val="0"/>
    <w:rPr>
      <w:rFonts w:hint="eastAsia" w:ascii="宋体" w:hAnsi="宋体" w:eastAsia="宋体" w:cs="宋体"/>
      <w:color w:val="000000"/>
      <w:sz w:val="20"/>
      <w:szCs w:val="20"/>
      <w:u w:val="none"/>
      <w:vertAlign w:val="subscript"/>
    </w:rPr>
  </w:style>
  <w:style w:type="character" w:customStyle="1" w:styleId="123">
    <w:name w:val="font131"/>
    <w:basedOn w:val="39"/>
    <w:qFormat/>
    <w:uiPriority w:val="0"/>
    <w:rPr>
      <w:rFonts w:hint="eastAsia" w:ascii="宋体" w:hAnsi="宋体" w:eastAsia="宋体" w:cs="宋体"/>
      <w:color w:val="000000"/>
      <w:sz w:val="20"/>
      <w:szCs w:val="20"/>
      <w:u w:val="none"/>
      <w:vertAlign w:val="superscript"/>
    </w:rPr>
  </w:style>
  <w:style w:type="character" w:customStyle="1" w:styleId="124">
    <w:name w:val="font141"/>
    <w:basedOn w:val="39"/>
    <w:qFormat/>
    <w:uiPriority w:val="0"/>
    <w:rPr>
      <w:rFonts w:ascii="Arial" w:hAnsi="Arial" w:cs="Arial"/>
      <w:color w:val="000000"/>
      <w:sz w:val="20"/>
      <w:szCs w:val="20"/>
      <w:u w:val="none"/>
    </w:rPr>
  </w:style>
  <w:style w:type="character" w:customStyle="1" w:styleId="125">
    <w:name w:val="font151"/>
    <w:basedOn w:val="39"/>
    <w:qFormat/>
    <w:uiPriority w:val="0"/>
    <w:rPr>
      <w:rFonts w:ascii="MingLiU" w:hAnsi="MingLiU" w:eastAsia="MingLiU" w:cs="MingLiU"/>
      <w:color w:val="000000"/>
      <w:sz w:val="20"/>
      <w:szCs w:val="20"/>
      <w:u w:val="none"/>
    </w:rPr>
  </w:style>
  <w:style w:type="character" w:customStyle="1" w:styleId="126">
    <w:name w:val="font171"/>
    <w:basedOn w:val="39"/>
    <w:qFormat/>
    <w:uiPriority w:val="0"/>
    <w:rPr>
      <w:rFonts w:hint="eastAsia" w:ascii="MingLiU" w:hAnsi="MingLiU" w:eastAsia="MingLiU" w:cs="MingLiU"/>
      <w:color w:val="000000"/>
      <w:sz w:val="20"/>
      <w:szCs w:val="20"/>
      <w:u w:val="none"/>
      <w:vertAlign w:val="subscript"/>
    </w:rPr>
  </w:style>
  <w:style w:type="character" w:customStyle="1" w:styleId="127">
    <w:name w:val="font181"/>
    <w:basedOn w:val="39"/>
    <w:qFormat/>
    <w:uiPriority w:val="0"/>
    <w:rPr>
      <w:rFonts w:hint="default" w:ascii="Arial" w:hAnsi="Arial" w:cs="Arial"/>
      <w:color w:val="000000"/>
      <w:sz w:val="20"/>
      <w:szCs w:val="20"/>
      <w:u w:val="none"/>
      <w:vertAlign w:val="subscript"/>
    </w:rPr>
  </w:style>
  <w:style w:type="character" w:customStyle="1" w:styleId="128">
    <w:name w:val="font161"/>
    <w:basedOn w:val="39"/>
    <w:qFormat/>
    <w:uiPriority w:val="0"/>
    <w:rPr>
      <w:rFonts w:hint="default" w:ascii="Times New Roman" w:hAnsi="Times New Roman" w:cs="Times New Roman"/>
      <w:color w:val="000000"/>
      <w:sz w:val="20"/>
      <w:szCs w:val="20"/>
      <w:u w:val="none"/>
      <w:vertAlign w:val="subscript"/>
    </w:rPr>
  </w:style>
  <w:style w:type="character" w:customStyle="1" w:styleId="129">
    <w:name w:val="font112"/>
    <w:basedOn w:val="39"/>
    <w:qFormat/>
    <w:uiPriority w:val="0"/>
    <w:rPr>
      <w:rFonts w:hint="default" w:ascii="Times New Roman" w:hAnsi="Times New Roman" w:cs="Times New Roman"/>
      <w:color w:val="000000"/>
      <w:sz w:val="28"/>
      <w:szCs w:val="28"/>
      <w:u w:val="none"/>
    </w:rPr>
  </w:style>
  <w:style w:type="paragraph" w:customStyle="1" w:styleId="130">
    <w:name w:val="BodyText"/>
    <w:basedOn w:val="1"/>
    <w:next w:val="131"/>
    <w:qFormat/>
    <w:uiPriority w:val="0"/>
    <w:pPr>
      <w:spacing w:line="300" w:lineRule="auto"/>
      <w:jc w:val="center"/>
      <w:textAlignment w:val="baseline"/>
    </w:pPr>
    <w:rPr>
      <w:rFonts w:ascii="宋体" w:hAnsi="宋体"/>
      <w:sz w:val="24"/>
      <w:szCs w:val="24"/>
    </w:rPr>
  </w:style>
  <w:style w:type="paragraph" w:customStyle="1" w:styleId="131">
    <w:name w:val="TOC2"/>
    <w:basedOn w:val="1"/>
    <w:next w:val="1"/>
    <w:qFormat/>
    <w:uiPriority w:val="0"/>
    <w:pPr>
      <w:spacing w:line="413" w:lineRule="auto"/>
      <w:ind w:left="240" w:leftChars="100"/>
      <w:textAlignment w:val="baseline"/>
    </w:pPr>
    <w:rPr>
      <w:rFonts w:ascii="Calibri" w:hAnsi="Calibri" w:eastAsia="仿宋"/>
      <w:sz w:val="24"/>
      <w:szCs w:val="24"/>
    </w:rPr>
  </w:style>
  <w:style w:type="paragraph" w:customStyle="1" w:styleId="132">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133">
    <w:name w:val="正文文本1"/>
    <w:basedOn w:val="1"/>
    <w:qFormat/>
    <w:uiPriority w:val="0"/>
    <w:pPr>
      <w:ind w:left="700" w:hanging="700" w:hangingChars="250"/>
    </w:pPr>
    <w:rPr>
      <w:rFonts w:ascii="Verdana" w:hAnsi="楷体" w:eastAsia="Times New Roman" w:cs="Verdana"/>
      <w:color w:val="000000"/>
      <w:sz w:val="28"/>
      <w:szCs w:val="28"/>
    </w:rPr>
  </w:style>
  <w:style w:type="paragraph" w:customStyle="1" w:styleId="134">
    <w:name w:val="Default Tex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135">
    <w:name w:val="Bid_正文"/>
    <w:basedOn w:val="8"/>
    <w:qFormat/>
    <w:uiPriority w:val="0"/>
    <w:pPr>
      <w:spacing w:afterLines="50" w:line="360" w:lineRule="auto"/>
      <w:ind w:firstLine="480"/>
    </w:pPr>
  </w:style>
  <w:style w:type="paragraph" w:customStyle="1" w:styleId="136">
    <w:name w:val="Table Text"/>
    <w:basedOn w:val="1"/>
    <w:semiHidden/>
    <w:qFormat/>
    <w:uiPriority w:val="0"/>
    <w:rPr>
      <w:rFonts w:ascii="宋体" w:hAnsi="宋体" w:cs="宋体"/>
      <w:sz w:val="24"/>
      <w:szCs w:val="24"/>
      <w:lang w:eastAsia="en-US"/>
    </w:rPr>
  </w:style>
  <w:style w:type="paragraph" w:customStyle="1" w:styleId="137">
    <w:name w:val="Normal_0"/>
    <w:basedOn w:val="138"/>
    <w:next w:val="31"/>
    <w:qFormat/>
    <w:uiPriority w:val="0"/>
    <w:rPr>
      <w:rFonts w:eastAsia="Times New Roman"/>
      <w:sz w:val="24"/>
      <w:szCs w:val="24"/>
    </w:rPr>
  </w:style>
  <w:style w:type="paragraph" w:customStyle="1" w:styleId="138">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首行缩进 2_0"/>
    <w:qFormat/>
    <w:uiPriority w:val="99"/>
    <w:pPr>
      <w:widowControl w:val="0"/>
      <w:spacing w:before="240" w:line="360" w:lineRule="auto"/>
      <w:ind w:firstLine="420" w:firstLineChars="200"/>
      <w:jc w:val="both"/>
    </w:pPr>
    <w:rPr>
      <w:rFonts w:ascii="宋体" w:hAnsi="宋体" w:eastAsia="宋体" w:cs="Times New Roman"/>
      <w:kern w:val="2"/>
      <w:sz w:val="21"/>
      <w:szCs w:val="20"/>
      <w:lang w:val="en-US" w:eastAsia="zh-CN" w:bidi="ar-SA"/>
    </w:rPr>
  </w:style>
  <w:style w:type="paragraph" w:customStyle="1" w:styleId="142">
    <w:name w:val="_Style 6_0"/>
    <w:next w:val="84"/>
    <w:qFormat/>
    <w:uiPriority w:val="0"/>
    <w:pPr>
      <w:keepNext/>
      <w:keepLines/>
      <w:widowControl w:val="0"/>
      <w:spacing w:line="360" w:lineRule="auto"/>
      <w:jc w:val="both"/>
      <w:outlineLvl w:val="9"/>
    </w:pPr>
    <w:rPr>
      <w:rFonts w:ascii="Times New Roman" w:hAnsi="Times New Roman" w:eastAsia="黑体" w:cs="Times New Roman"/>
      <w:b/>
      <w:bCs/>
      <w:kern w:val="44"/>
      <w:sz w:val="32"/>
      <w:szCs w:val="44"/>
      <w:lang w:val="en-US" w:eastAsia="zh-CN" w:bidi="ar-SA"/>
    </w:rPr>
  </w:style>
  <w:style w:type="paragraph" w:customStyle="1" w:styleId="143">
    <w:name w:val="标题 2_0"/>
    <w:next w:val="84"/>
    <w:qFormat/>
    <w:uiPriority w:val="0"/>
    <w:pPr>
      <w:keepNext/>
      <w:keepLines/>
      <w:widowControl w:val="0"/>
      <w:spacing w:before="60" w:after="60" w:line="413" w:lineRule="auto"/>
      <w:jc w:val="both"/>
      <w:outlineLvl w:val="1"/>
    </w:pPr>
    <w:rPr>
      <w:rFonts w:ascii="Arial" w:hAnsi="Arial" w:eastAsia="黑体" w:cs="Times New Roman"/>
      <w:b/>
      <w:bCs/>
      <w:kern w:val="2"/>
      <w:sz w:val="21"/>
      <w:szCs w:val="32"/>
      <w:lang w:val="en-US" w:eastAsia="zh-CN" w:bidi="ar-SA"/>
    </w:rPr>
  </w:style>
  <w:style w:type="paragraph" w:customStyle="1" w:styleId="144">
    <w:name w:val="标题 3_1"/>
    <w:next w:val="84"/>
    <w:qFormat/>
    <w:uiPriority w:val="0"/>
    <w:pPr>
      <w:keepNext/>
      <w:keepLines/>
      <w:widowControl w:val="0"/>
      <w:spacing w:line="360" w:lineRule="auto"/>
      <w:jc w:val="both"/>
      <w:outlineLvl w:val="2"/>
    </w:pPr>
    <w:rPr>
      <w:rFonts w:ascii="Times New Roman" w:hAnsi="Times New Roman" w:eastAsia="黑体" w:cs="Times New Roman"/>
      <w:b/>
      <w:bCs/>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19536</Words>
  <Characters>21417</Characters>
  <Lines>252</Lines>
  <Paragraphs>71</Paragraphs>
  <TotalTime>28</TotalTime>
  <ScaleCrop>false</ScaleCrop>
  <LinksUpToDate>false</LinksUpToDate>
  <CharactersWithSpaces>22753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2025-11-18T11:16:00Z</dcterms:created>
  <dc:creator>Administrator</dc:creator>
  <cp:lastModifiedBy>asus</cp:lastModifiedBy>
  <cp:lastPrinted>2025-12-30T09:45:00Z</cp:lastPrinted>
  <dcterms:modified xsi:type="dcterms:W3CDTF">2026-04-24T02:44:13Z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3B2035B5290347B9802758E3F896DE6D_13</vt:lpwstr>
  </property>
  <property fmtid="{D5CDD505-2E9C-101B-9397-08002B2CF9AE}" pid="4" name="KSOTemplateDocerSaveRecord">
    <vt:lpwstr>eyJoZGlkIjoiM2Q0NzUyMGM3YjBlZDBiOTc0ZDA2MDE2MmMzYjIxOGEiLCJ1c2VySWQiOiIzNzI1MDE1MDEifQ==</vt:lpwstr>
  </property>
</Properties>
</file>