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E3ED83">
      <w:pPr>
        <w:pageBreakBefore w:val="0"/>
        <w:wordWrap/>
        <w:overflowPunct/>
        <w:topLinePunct w:val="0"/>
        <w:bidi w:val="0"/>
        <w:snapToGrid w:val="0"/>
        <w:spacing w:line="560" w:lineRule="exact"/>
        <w:ind w:left="0" w:leftChars="0" w:right="0" w:rightChars="0"/>
        <w:jc w:val="left"/>
        <w:rPr>
          <w:rFonts w:hint="eastAsia" w:ascii="宋体" w:hAnsi="宋体" w:eastAsia="宋体" w:cs="宋体"/>
          <w:color w:val="auto"/>
          <w:sz w:val="24"/>
          <w:szCs w:val="24"/>
          <w:highlight w:val="none"/>
        </w:rPr>
      </w:pPr>
    </w:p>
    <w:p w14:paraId="3F5D14D4">
      <w:pPr>
        <w:keepNext/>
        <w:keepLines/>
        <w:pageBreakBefore w:val="0"/>
        <w:widowControl w:val="0"/>
        <w:numPr>
          <w:ilvl w:val="3"/>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color w:val="auto"/>
          <w:sz w:val="24"/>
          <w:szCs w:val="24"/>
          <w:highlight w:val="none"/>
        </w:rPr>
      </w:pPr>
    </w:p>
    <w:p w14:paraId="2BFF160D">
      <w:pPr>
        <w:pStyle w:val="3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7448B66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56CCA6F">
      <w:pPr>
        <w:pStyle w:val="39"/>
        <w:pageBreakBefore w:val="0"/>
        <w:wordWrap/>
        <w:overflowPunct/>
        <w:topLinePunct w:val="0"/>
        <w:bidi w:val="0"/>
        <w:spacing w:line="560" w:lineRule="exact"/>
        <w:ind w:left="0" w:leftChars="0" w:right="0" w:rightChars="0"/>
        <w:rPr>
          <w:rFonts w:hint="eastAsia"/>
          <w:color w:val="auto"/>
          <w:highlight w:val="none"/>
        </w:rPr>
      </w:pPr>
    </w:p>
    <w:p w14:paraId="55FF3BFD">
      <w:pPr>
        <w:pageBreakBefore w:val="0"/>
        <w:wordWrap/>
        <w:overflowPunct/>
        <w:topLinePunct w:val="0"/>
        <w:bidi w:val="0"/>
        <w:snapToGrid w:val="0"/>
        <w:spacing w:line="240" w:lineRule="auto"/>
        <w:ind w:left="0" w:leftChars="0" w:right="0" w:rightChars="0"/>
        <w:jc w:val="center"/>
        <w:rPr>
          <w:rStyle w:val="44"/>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招 标 文 件</w:t>
      </w:r>
    </w:p>
    <w:p w14:paraId="44EDC022">
      <w:pPr>
        <w:pStyle w:val="3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0704423">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FEA773F">
      <w:pPr>
        <w:pStyle w:val="3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05DE375">
      <w:pPr>
        <w:pageBreakBefore w:val="0"/>
        <w:wordWrap/>
        <w:overflowPunct/>
        <w:topLinePunct w:val="0"/>
        <w:bidi w:val="0"/>
        <w:spacing w:line="560" w:lineRule="exact"/>
        <w:ind w:left="0" w:leftChars="0" w:right="0" w:rightChars="0"/>
        <w:rPr>
          <w:rFonts w:hint="eastAsia"/>
          <w:color w:val="auto"/>
          <w:highlight w:val="none"/>
        </w:rPr>
      </w:pPr>
    </w:p>
    <w:p w14:paraId="30A04C6C">
      <w:pPr>
        <w:pageBreakBefore w:val="0"/>
        <w:wordWrap/>
        <w:overflowPunct/>
        <w:topLinePunct w:val="0"/>
        <w:bidi w:val="0"/>
        <w:snapToGrid w:val="0"/>
        <w:spacing w:line="560" w:lineRule="exact"/>
        <w:ind w:left="0" w:leftChars="0" w:right="0" w:rightChars="0" w:firstLine="357"/>
        <w:rPr>
          <w:rStyle w:val="42"/>
          <w:rFonts w:hint="eastAsia" w:ascii="宋体" w:hAnsi="宋体" w:eastAsia="宋体" w:cs="宋体"/>
          <w:bCs/>
          <w:color w:val="auto"/>
          <w:sz w:val="24"/>
          <w:szCs w:val="24"/>
          <w:highlight w:val="none"/>
        </w:rPr>
      </w:pPr>
    </w:p>
    <w:p w14:paraId="3D25B57D">
      <w:pPr>
        <w:spacing w:line="360" w:lineRule="auto"/>
        <w:outlineLvl w:val="1"/>
        <w:rPr>
          <w:rFonts w:hint="eastAsia" w:ascii="仿宋" w:hAnsi="仿宋" w:eastAsia="仿宋" w:cs="仿宋"/>
          <w:b/>
          <w:sz w:val="28"/>
          <w:szCs w:val="28"/>
          <w:lang w:eastAsia="zh-CN"/>
        </w:rPr>
      </w:pPr>
      <w:bookmarkStart w:id="0" w:name="_Toc31371"/>
      <w:r>
        <w:rPr>
          <w:rFonts w:hint="eastAsia" w:ascii="仿宋" w:hAnsi="仿宋" w:eastAsia="仿宋" w:cs="仿宋"/>
          <w:b/>
          <w:sz w:val="28"/>
          <w:szCs w:val="28"/>
        </w:rPr>
        <w:t>项目名称：</w:t>
      </w:r>
      <w:r>
        <w:rPr>
          <w:rFonts w:hint="eastAsia" w:ascii="仿宋" w:hAnsi="仿宋" w:eastAsia="仿宋" w:cs="仿宋"/>
          <w:b/>
          <w:sz w:val="28"/>
          <w:szCs w:val="28"/>
          <w:lang w:eastAsia="zh-CN"/>
        </w:rPr>
        <w:t>新疆维吾尔自治区中医医院监控设备采购安装项目</w:t>
      </w:r>
    </w:p>
    <w:p w14:paraId="7FD62A4C">
      <w:pPr>
        <w:spacing w:line="360" w:lineRule="auto"/>
        <w:outlineLvl w:val="1"/>
        <w:rPr>
          <w:rFonts w:hint="eastAsia" w:ascii="仿宋" w:hAnsi="仿宋" w:eastAsia="仿宋" w:cs="仿宋"/>
          <w:b/>
          <w:sz w:val="28"/>
          <w:szCs w:val="28"/>
          <w:lang w:eastAsia="zh-CN"/>
        </w:rPr>
      </w:pPr>
      <w:r>
        <w:rPr>
          <w:rFonts w:hint="eastAsia" w:ascii="仿宋" w:hAnsi="仿宋" w:eastAsia="仿宋" w:cs="仿宋"/>
          <w:b/>
          <w:spacing w:val="71"/>
          <w:kern w:val="0"/>
          <w:sz w:val="28"/>
          <w:szCs w:val="28"/>
          <w:fitText w:val="1124" w:id="723518616"/>
        </w:rPr>
        <w:t>联系</w:t>
      </w:r>
      <w:r>
        <w:rPr>
          <w:rFonts w:hint="eastAsia" w:ascii="仿宋" w:hAnsi="仿宋" w:eastAsia="仿宋" w:cs="仿宋"/>
          <w:b/>
          <w:spacing w:val="0"/>
          <w:kern w:val="0"/>
          <w:sz w:val="28"/>
          <w:szCs w:val="28"/>
          <w:fitText w:val="1124" w:id="723518616"/>
        </w:rPr>
        <w:t>人</w:t>
      </w:r>
      <w:r>
        <w:rPr>
          <w:rFonts w:hint="eastAsia" w:ascii="仿宋" w:hAnsi="仿宋" w:eastAsia="仿宋" w:cs="仿宋"/>
          <w:b/>
          <w:sz w:val="28"/>
          <w:szCs w:val="28"/>
        </w:rPr>
        <w:t>：</w:t>
      </w:r>
      <w:r>
        <w:rPr>
          <w:rFonts w:hint="eastAsia" w:ascii="仿宋" w:hAnsi="仿宋" w:eastAsia="仿宋" w:cs="仿宋"/>
          <w:b/>
          <w:sz w:val="28"/>
          <w:szCs w:val="28"/>
          <w:lang w:eastAsia="zh-CN"/>
        </w:rPr>
        <w:t>吕老师</w:t>
      </w:r>
    </w:p>
    <w:p w14:paraId="7C10460C">
      <w:pPr>
        <w:spacing w:line="360" w:lineRule="auto"/>
        <w:outlineLvl w:val="1"/>
        <w:rPr>
          <w:rFonts w:hint="eastAsia" w:ascii="仿宋" w:hAnsi="仿宋" w:eastAsia="仿宋" w:cs="仿宋"/>
          <w:b/>
          <w:sz w:val="28"/>
          <w:szCs w:val="28"/>
          <w:lang w:eastAsia="zh-CN"/>
        </w:rPr>
      </w:pPr>
      <w:r>
        <w:rPr>
          <w:rFonts w:hint="eastAsia" w:ascii="仿宋" w:hAnsi="仿宋" w:eastAsia="仿宋" w:cs="仿宋"/>
          <w:b/>
          <w:sz w:val="28"/>
          <w:szCs w:val="28"/>
          <w:lang w:eastAsia="zh-CN"/>
        </w:rPr>
        <w:t>项目编号：ZZ2026-048</w:t>
      </w:r>
      <w:r>
        <w:rPr>
          <w:rFonts w:hint="eastAsia" w:ascii="仿宋" w:hAnsi="仿宋" w:eastAsia="仿宋" w:cs="仿宋"/>
          <w:b/>
          <w:sz w:val="28"/>
          <w:szCs w:val="28"/>
          <w:lang w:val="en-US" w:eastAsia="zh-CN"/>
        </w:rPr>
        <w:t xml:space="preserve"> </w:t>
      </w:r>
    </w:p>
    <w:p w14:paraId="3C9ECF41">
      <w:pPr>
        <w:spacing w:line="360" w:lineRule="auto"/>
        <w:outlineLvl w:val="1"/>
        <w:rPr>
          <w:rFonts w:hint="eastAsia" w:ascii="仿宋" w:hAnsi="仿宋" w:eastAsia="仿宋" w:cs="仿宋"/>
          <w:b/>
          <w:sz w:val="28"/>
          <w:szCs w:val="28"/>
        </w:rPr>
      </w:pPr>
      <w:r>
        <w:rPr>
          <w:rFonts w:hint="eastAsia" w:ascii="仿宋" w:hAnsi="仿宋" w:eastAsia="仿宋" w:cs="仿宋"/>
          <w:b/>
          <w:spacing w:val="71"/>
          <w:kern w:val="0"/>
          <w:sz w:val="28"/>
          <w:szCs w:val="28"/>
          <w:fitText w:val="1124" w:id="495399379"/>
        </w:rPr>
        <w:t>采购</w:t>
      </w:r>
      <w:r>
        <w:rPr>
          <w:rFonts w:hint="eastAsia" w:ascii="仿宋" w:hAnsi="仿宋" w:eastAsia="仿宋" w:cs="仿宋"/>
          <w:b/>
          <w:spacing w:val="0"/>
          <w:kern w:val="0"/>
          <w:sz w:val="28"/>
          <w:szCs w:val="28"/>
          <w:fitText w:val="1124" w:id="495399379"/>
        </w:rPr>
        <w:t>人</w:t>
      </w:r>
      <w:r>
        <w:rPr>
          <w:rFonts w:hint="eastAsia" w:ascii="仿宋" w:hAnsi="仿宋" w:eastAsia="仿宋" w:cs="仿宋"/>
          <w:b/>
          <w:sz w:val="28"/>
          <w:szCs w:val="28"/>
        </w:rPr>
        <w:t>：新疆维吾尔自治区中医医院</w:t>
      </w:r>
    </w:p>
    <w:p w14:paraId="63DE2FE5">
      <w:pPr>
        <w:spacing w:line="360" w:lineRule="auto"/>
        <w:outlineLvl w:val="1"/>
        <w:rPr>
          <w:rFonts w:hint="eastAsia" w:ascii="仿宋" w:hAnsi="仿宋" w:eastAsia="仿宋" w:cs="仿宋"/>
          <w:b/>
          <w:sz w:val="28"/>
          <w:szCs w:val="28"/>
        </w:rPr>
      </w:pPr>
      <w:r>
        <w:rPr>
          <w:rFonts w:hint="eastAsia" w:ascii="仿宋" w:hAnsi="仿宋" w:eastAsia="仿宋" w:cs="仿宋"/>
          <w:b/>
          <w:sz w:val="28"/>
          <w:szCs w:val="28"/>
        </w:rPr>
        <w:t>联系电话：0991-5883168</w:t>
      </w:r>
    </w:p>
    <w:p w14:paraId="18853484">
      <w:pPr>
        <w:pStyle w:val="14"/>
        <w:rPr>
          <w:rFonts w:hint="eastAsia" w:ascii="仿宋" w:hAnsi="仿宋" w:eastAsia="仿宋" w:cs="仿宋"/>
          <w:b/>
          <w:bCs/>
          <w:sz w:val="32"/>
          <w:szCs w:val="32"/>
        </w:rPr>
      </w:pPr>
      <w:r>
        <w:rPr>
          <w:rFonts w:hint="eastAsia" w:ascii="仿宋" w:hAnsi="仿宋" w:eastAsia="仿宋" w:cs="仿宋"/>
          <w:sz w:val="32"/>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59055</wp:posOffset>
                </wp:positionV>
                <wp:extent cx="565975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597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pt;margin-top:4.65pt;height:0.05pt;width:445.65pt;z-index:251661312;mso-width-relative:page;mso-height-relative:page;" filled="f" stroked="t" coordsize="21600,21600" o:gfxdata="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rEPi1AAAAAUBAAAPAAAAAAAAAAEAIAAAACIAAABkcnMvZG93bnJldi54bWxQSwECFAAU&#10;AAAACACHTuJAHn3BD/UBAADmAwAADgAAAAAAAAABACAAAAAjAQAAZHJzL2Uyb0RvYy54bWxQSwUG&#10;AAAAAAYABgBZAQAAigUAAAAA&#10;">
                <v:fill on="f" focussize="0,0"/>
                <v:stroke color="#000000" joinstyle="round"/>
                <v:imagedata o:title=""/>
                <o:lock v:ext="edit" aspectratio="f"/>
              </v:line>
            </w:pict>
          </mc:Fallback>
        </mc:AlternateContent>
      </w:r>
    </w:p>
    <w:p w14:paraId="50200BD1">
      <w:pPr>
        <w:spacing w:line="360" w:lineRule="auto"/>
        <w:outlineLvl w:val="1"/>
        <w:rPr>
          <w:rFonts w:hint="eastAsia" w:ascii="仿宋" w:hAnsi="仿宋" w:eastAsia="仿宋" w:cs="仿宋"/>
          <w:b/>
          <w:sz w:val="28"/>
          <w:szCs w:val="28"/>
        </w:rPr>
      </w:pPr>
      <w:r>
        <w:rPr>
          <w:rFonts w:hint="eastAsia" w:ascii="仿宋" w:hAnsi="仿宋" w:eastAsia="仿宋" w:cs="仿宋"/>
          <w:b/>
          <w:sz w:val="28"/>
          <w:szCs w:val="28"/>
        </w:rPr>
        <w:t>招标代理机构（盖章）：新疆中咨建设项目管理有限公司</w:t>
      </w:r>
    </w:p>
    <w:p w14:paraId="7A2F7A16">
      <w:pPr>
        <w:spacing w:line="360" w:lineRule="auto"/>
        <w:outlineLvl w:val="1"/>
        <w:rPr>
          <w:rFonts w:hint="eastAsia" w:ascii="仿宋" w:hAnsi="仿宋" w:eastAsia="仿宋" w:cs="仿宋"/>
          <w:b/>
          <w:sz w:val="28"/>
          <w:szCs w:val="28"/>
        </w:rPr>
      </w:pPr>
      <w:r>
        <w:rPr>
          <w:rFonts w:hint="eastAsia" w:ascii="仿宋" w:hAnsi="仿宋" w:eastAsia="仿宋" w:cs="仿宋"/>
          <w:b/>
          <w:sz w:val="28"/>
          <w:szCs w:val="28"/>
        </w:rPr>
        <w:t>联 系 人：</w:t>
      </w:r>
      <w:r>
        <w:rPr>
          <w:rFonts w:hint="eastAsia" w:ascii="仿宋" w:hAnsi="仿宋" w:eastAsia="仿宋" w:cs="仿宋"/>
          <w:b/>
          <w:sz w:val="28"/>
          <w:szCs w:val="28"/>
          <w:lang w:val="en-US" w:eastAsia="zh-CN"/>
        </w:rPr>
        <w:t>李工</w:t>
      </w:r>
    </w:p>
    <w:p w14:paraId="7F503AE5">
      <w:pPr>
        <w:spacing w:line="360" w:lineRule="auto"/>
        <w:outlineLvl w:val="1"/>
        <w:rPr>
          <w:rFonts w:hint="eastAsia" w:ascii="仿宋" w:hAnsi="仿宋" w:eastAsia="仿宋" w:cs="仿宋"/>
          <w:b/>
          <w:sz w:val="28"/>
          <w:szCs w:val="28"/>
          <w:lang w:val="en-US" w:eastAsia="zh-CN"/>
        </w:rPr>
      </w:pPr>
      <w:r>
        <w:rPr>
          <w:rFonts w:hint="eastAsia" w:ascii="仿宋" w:hAnsi="仿宋" w:eastAsia="仿宋" w:cs="仿宋"/>
          <w:b/>
          <w:sz w:val="28"/>
          <w:szCs w:val="28"/>
        </w:rPr>
        <w:t>电    话：</w:t>
      </w:r>
      <w:r>
        <w:rPr>
          <w:rFonts w:hint="eastAsia" w:ascii="仿宋" w:hAnsi="仿宋" w:eastAsia="仿宋" w:cs="仿宋"/>
          <w:b/>
          <w:sz w:val="28"/>
          <w:szCs w:val="28"/>
          <w:lang w:eastAsia="zh-CN"/>
        </w:rPr>
        <w:t>18082896561</w:t>
      </w:r>
    </w:p>
    <w:p w14:paraId="759FA2CD">
      <w:pPr>
        <w:spacing w:line="360" w:lineRule="auto"/>
        <w:outlineLvl w:val="1"/>
        <w:rPr>
          <w:rFonts w:hint="eastAsia" w:ascii="仿宋" w:hAnsi="仿宋" w:eastAsia="仿宋" w:cs="仿宋"/>
          <w:b/>
          <w:sz w:val="28"/>
          <w:szCs w:val="28"/>
          <w:lang w:eastAsia="zh-CN"/>
        </w:rPr>
      </w:pPr>
      <w:r>
        <w:rPr>
          <w:rFonts w:hint="eastAsia" w:ascii="仿宋" w:hAnsi="仿宋" w:eastAsia="仿宋" w:cs="仿宋"/>
          <w:b/>
          <w:sz w:val="28"/>
          <w:szCs w:val="28"/>
        </w:rPr>
        <w:t>详细地址：</w:t>
      </w:r>
      <w:r>
        <w:rPr>
          <w:rFonts w:hint="eastAsia" w:ascii="仿宋" w:hAnsi="仿宋" w:eastAsia="仿宋" w:cs="仿宋"/>
          <w:b/>
          <w:sz w:val="28"/>
          <w:szCs w:val="28"/>
          <w:lang w:eastAsia="zh-CN"/>
        </w:rPr>
        <w:t>乌鲁木齐水磨沟区会展大道555号星耀天都4号楼B座403</w:t>
      </w:r>
    </w:p>
    <w:p w14:paraId="6184CB7B">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0083D34">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    录</w:t>
      </w:r>
      <w:bookmarkEnd w:id="0"/>
    </w:p>
    <w:p w14:paraId="69CD0AA2">
      <w:pPr>
        <w:pStyle w:val="20"/>
        <w:pageBreakBefore w:val="0"/>
        <w:tabs>
          <w:tab w:val="right" w:leader="dot" w:pos="8959"/>
        </w:tabs>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E22475A">
      <w:pPr>
        <w:pStyle w:val="20"/>
        <w:tabs>
          <w:tab w:val="right" w:leader="dot" w:pos="8307"/>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_Toc1264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DE02C07">
      <w:pPr>
        <w:pStyle w:val="20"/>
        <w:tabs>
          <w:tab w:val="right" w:leader="dot" w:pos="8307"/>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8D44051">
      <w:pPr>
        <w:pStyle w:val="20"/>
        <w:tabs>
          <w:tab w:val="right" w:leader="dot" w:pos="8307"/>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_Toc7178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第三章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A78C27B">
      <w:pPr>
        <w:pStyle w:val="20"/>
        <w:tabs>
          <w:tab w:val="right" w:leader="dot" w:pos="8307"/>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_Toc11726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2"/>
          <w:szCs w:val="24"/>
          <w:highlight w:val="none"/>
          <w:lang w:eastAsia="zh-CN"/>
        </w:rPr>
        <w:t>第四章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6539E61">
      <w:pPr>
        <w:pStyle w:val="20"/>
        <w:tabs>
          <w:tab w:val="right" w:leader="dot" w:pos="8307"/>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_Toc3313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4"/>
          <w:highlight w:val="none"/>
          <w:lang w:eastAsia="zh-CN"/>
        </w:rPr>
        <w:t>第五章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70AEA51">
      <w:pPr>
        <w:pStyle w:val="20"/>
        <w:tabs>
          <w:tab w:val="right" w:leader="dot" w:pos="8307"/>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_Toc5378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拟签订的合同文本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_Toc5378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67</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41BDB1F">
      <w:pPr>
        <w:pStyle w:val="20"/>
        <w:tabs>
          <w:tab w:val="right" w:leader="dot" w:pos="8307"/>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_Toc30479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eastAsia="en-US"/>
        </w:rPr>
        <w:t>附件</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en-US"/>
        </w:rPr>
        <w:t>政府采购促进中小企业发展管理办法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_Toc30479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74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1899E99">
      <w:pPr>
        <w:pStyle w:val="20"/>
        <w:tabs>
          <w:tab w:val="right" w:leader="dot" w:pos="8307"/>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_Toc25114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eastAsia="en-US"/>
        </w:rPr>
        <w:t>附件</w:t>
      </w:r>
      <w:r>
        <w:rPr>
          <w:rFonts w:hint="eastAsia" w:ascii="宋体" w:hAnsi="宋体" w:eastAsia="宋体" w:cs="宋体"/>
          <w:color w:val="auto"/>
          <w:szCs w:val="24"/>
          <w:highlight w:val="none"/>
          <w:lang w:val="en-US" w:eastAsia="zh-CN"/>
        </w:rPr>
        <w:t>2：关于进一步加大政府采购支持中小企业力度的通知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_Toc25114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80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AC8B120">
      <w:pPr>
        <w:pStyle w:val="20"/>
        <w:tabs>
          <w:tab w:val="right" w:leader="dot" w:pos="8307"/>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_Toc11667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附件3：关于印发中小企业划型标准规定的通知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_Toc11667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82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6AF3353">
      <w:pPr>
        <w:pStyle w:val="10"/>
        <w:pageBreakBefore w:val="0"/>
        <w:wordWrap/>
        <w:overflowPunct/>
        <w:topLinePunct w:val="0"/>
        <w:bidi w:val="0"/>
        <w:spacing w:after="0" w:line="560" w:lineRule="exact"/>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color w:val="auto"/>
          <w:szCs w:val="24"/>
          <w:highlight w:val="none"/>
        </w:rPr>
        <w:fldChar w:fldCharType="end"/>
      </w:r>
    </w:p>
    <w:p w14:paraId="7A672B74">
      <w:pPr>
        <w:pStyle w:val="2"/>
        <w:pageBreakBefore w:val="0"/>
        <w:wordWrap/>
        <w:overflowPunct/>
        <w:topLinePunct w:val="0"/>
        <w:bidi w:val="0"/>
        <w:spacing w:before="0" w:after="0" w:line="560" w:lineRule="exact"/>
        <w:ind w:left="0" w:leftChars="0" w:right="0" w:rightChars="0"/>
        <w:rPr>
          <w:rFonts w:hint="eastAsia" w:ascii="宋体" w:hAnsi="宋体" w:eastAsia="宋体" w:cs="宋体"/>
          <w:bCs w:val="0"/>
          <w:color w:val="auto"/>
          <w:sz w:val="24"/>
          <w:szCs w:val="24"/>
          <w:highlight w:val="none"/>
        </w:rPr>
        <w:sectPr>
          <w:pgSz w:w="11907" w:h="16840"/>
          <w:pgMar w:top="1440" w:right="1800" w:bottom="1440" w:left="1800" w:header="851" w:footer="992" w:gutter="0"/>
          <w:pgNumType w:fmt="decimal" w:start="1"/>
          <w:cols w:space="720" w:num="1"/>
          <w:docGrid w:linePitch="312" w:charSpace="0"/>
        </w:sectPr>
      </w:pPr>
    </w:p>
    <w:p w14:paraId="2CB15519">
      <w:pPr>
        <w:pStyle w:val="2"/>
        <w:pageBreakBefore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b/>
          <w:bCs/>
          <w:color w:val="auto"/>
          <w:sz w:val="24"/>
          <w:szCs w:val="24"/>
          <w:highlight w:val="none"/>
        </w:rPr>
      </w:pPr>
      <w:bookmarkStart w:id="1" w:name="_Toc647_WPSOffice_Level1"/>
      <w:bookmarkStart w:id="2" w:name="_Toc1264"/>
      <w:r>
        <w:rPr>
          <w:rFonts w:hint="eastAsia" w:ascii="宋体" w:hAnsi="宋体" w:eastAsia="宋体" w:cs="宋体"/>
          <w:b/>
          <w:bCs/>
          <w:color w:val="auto"/>
          <w:sz w:val="24"/>
          <w:szCs w:val="24"/>
          <w:highlight w:val="none"/>
        </w:rPr>
        <w:t xml:space="preserve">第一章  </w:t>
      </w:r>
      <w:bookmarkEnd w:id="1"/>
      <w:r>
        <w:rPr>
          <w:rFonts w:hint="eastAsia" w:ascii="宋体" w:hAnsi="宋体" w:eastAsia="宋体" w:cs="宋体"/>
          <w:b/>
          <w:bCs/>
          <w:color w:val="auto"/>
          <w:sz w:val="24"/>
          <w:szCs w:val="24"/>
          <w:highlight w:val="none"/>
        </w:rPr>
        <w:t>招标公告</w:t>
      </w:r>
      <w:bookmarkEnd w:id="2"/>
    </w:p>
    <w:p w14:paraId="2F88080A">
      <w:pPr>
        <w:pageBreakBefore w:val="0"/>
        <w:kinsoku/>
        <w:wordWrap/>
        <w:overflowPunct/>
        <w:topLinePunct w:val="0"/>
        <w:bidi w:val="0"/>
        <w:spacing w:line="560" w:lineRule="exact"/>
        <w:ind w:left="0" w:leftChars="0" w:right="0" w:rightChars="0"/>
        <w:textAlignment w:val="auto"/>
        <w:rPr>
          <w:rFonts w:hint="eastAsia"/>
          <w:color w:val="auto"/>
          <w:highlight w:val="none"/>
        </w:rPr>
      </w:pPr>
    </w:p>
    <w:p w14:paraId="292B08E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bookmarkStart w:id="3" w:name="_Toc213397009"/>
      <w:bookmarkStart w:id="4" w:name="_Toc213396759"/>
      <w:bookmarkStart w:id="5" w:name="_Toc213396945"/>
      <w:bookmarkStart w:id="6" w:name="_Toc213496267"/>
      <w:bookmarkStart w:id="7" w:name="_Toc217446031"/>
      <w:bookmarkStart w:id="8" w:name="_Toc856_WPSOffice_Level1"/>
      <w:r>
        <w:rPr>
          <w:rFonts w:hint="eastAsia" w:ascii="宋体" w:hAnsi="宋体" w:eastAsia="宋体" w:cs="宋体"/>
          <w:color w:val="auto"/>
          <w:sz w:val="24"/>
          <w:szCs w:val="24"/>
          <w:highlight w:val="none"/>
        </w:rPr>
        <w:t>项目概况</w:t>
      </w:r>
    </w:p>
    <w:p w14:paraId="6E4474D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新疆维吾尔自治区中医医院监控设备采购安装项目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点00分（</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60219739">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9" w:name="_Toc35393621"/>
      <w:bookmarkStart w:id="10" w:name="_Toc35393790"/>
      <w:bookmarkStart w:id="11" w:name="_Toc28359079"/>
      <w:bookmarkStart w:id="12" w:name="_Toc28359002"/>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p w14:paraId="52359690">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项目编号：ZZ2026-048</w:t>
      </w:r>
    </w:p>
    <w:p w14:paraId="656DBF1D">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End w:id="13"/>
      <w:r>
        <w:rPr>
          <w:rStyle w:val="42"/>
          <w:rFonts w:hint="eastAsia" w:ascii="宋体" w:hAnsi="宋体" w:cs="宋体"/>
          <w:bCs/>
          <w:color w:val="auto"/>
          <w:sz w:val="24"/>
          <w:szCs w:val="24"/>
          <w:highlight w:val="none"/>
          <w:lang w:eastAsia="zh-CN"/>
        </w:rPr>
        <w:t>新疆维吾尔自治区中医医院监控设备采购安装项目</w:t>
      </w:r>
    </w:p>
    <w:p w14:paraId="55A0B716">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76万元</w:t>
      </w:r>
    </w:p>
    <w:p w14:paraId="41E0D208">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最高限价：</w:t>
      </w:r>
      <w:r>
        <w:rPr>
          <w:rFonts w:hint="eastAsia" w:ascii="宋体" w:hAnsi="宋体" w:cs="宋体"/>
          <w:color w:val="auto"/>
          <w:sz w:val="24"/>
          <w:szCs w:val="24"/>
          <w:highlight w:val="none"/>
          <w:lang w:val="en-US" w:eastAsia="zh-CN"/>
        </w:rPr>
        <w:t>详见招标文件</w:t>
      </w:r>
    </w:p>
    <w:p w14:paraId="17FA6131">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标项名称:</w:t>
      </w:r>
      <w:r>
        <w:rPr>
          <w:rStyle w:val="42"/>
          <w:rFonts w:hint="eastAsia" w:ascii="宋体" w:hAnsi="宋体" w:cs="宋体"/>
          <w:bCs/>
          <w:color w:val="auto"/>
          <w:sz w:val="24"/>
          <w:szCs w:val="24"/>
          <w:highlight w:val="none"/>
          <w:lang w:eastAsia="zh-CN"/>
        </w:rPr>
        <w:t>新疆维吾尔自治区中医医院监控设备采购安装项目</w:t>
      </w:r>
    </w:p>
    <w:p w14:paraId="3594297F">
      <w:pPr>
        <w:pageBreakBefore w:val="0"/>
        <w:kinsoku/>
        <w:wordWrap/>
        <w:overflowPunct/>
        <w:topLinePunct w:val="0"/>
        <w:autoSpaceDE/>
        <w:autoSpaceDN/>
        <w:bidi w:val="0"/>
        <w:adjustRightInd/>
        <w:snapToGrid/>
        <w:spacing w:line="560" w:lineRule="exact"/>
        <w:ind w:left="0" w:leftChars="0" w:right="0" w:rightChars="0" w:firstLine="960" w:firstLineChars="4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数量:</w:t>
      </w:r>
      <w:r>
        <w:rPr>
          <w:rFonts w:hint="eastAsia" w:ascii="宋体" w:hAnsi="宋体" w:cs="宋体"/>
          <w:color w:val="auto"/>
          <w:sz w:val="24"/>
          <w:szCs w:val="24"/>
          <w:highlight w:val="none"/>
          <w:lang w:val="en-US" w:eastAsia="zh-CN"/>
        </w:rPr>
        <w:t>1批</w:t>
      </w:r>
    </w:p>
    <w:p w14:paraId="0962B0DB">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760000.00</w:t>
      </w:r>
    </w:p>
    <w:p w14:paraId="0969ECB7">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监控</w:t>
      </w:r>
      <w:r>
        <w:rPr>
          <w:rFonts w:hint="eastAsia" w:ascii="宋体" w:hAnsi="宋体" w:cs="宋体"/>
          <w:color w:val="auto"/>
          <w:sz w:val="24"/>
          <w:szCs w:val="24"/>
          <w:highlight w:val="none"/>
          <w:lang w:eastAsia="zh-CN"/>
        </w:rPr>
        <w:t>设备</w:t>
      </w:r>
      <w:r>
        <w:rPr>
          <w:rFonts w:hint="eastAsia" w:ascii="宋体" w:hAnsi="宋体" w:eastAsia="宋体" w:cs="宋体"/>
          <w:color w:val="auto"/>
          <w:sz w:val="24"/>
          <w:szCs w:val="24"/>
          <w:highlight w:val="none"/>
          <w:shd w:val="clear" w:color="auto" w:fill="FFFFFF"/>
          <w:lang w:eastAsia="zh-CN"/>
        </w:rPr>
        <w:t>的供应、运输、安装、验收及售后服务等</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具体内容详见招标文件项目采购需求</w:t>
      </w:r>
      <w:r>
        <w:rPr>
          <w:rFonts w:hint="eastAsia" w:ascii="宋体" w:hAnsi="宋体" w:eastAsia="宋体" w:cs="宋体"/>
          <w:color w:val="auto"/>
          <w:sz w:val="24"/>
          <w:szCs w:val="24"/>
          <w:highlight w:val="none"/>
          <w:shd w:val="clear" w:color="auto" w:fill="FFFFFF"/>
        </w:rPr>
        <w:t>）</w:t>
      </w:r>
    </w:p>
    <w:p w14:paraId="5B4D6A38">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p w14:paraId="435CDCDA">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合同签订后20天</w:t>
      </w:r>
      <w:r>
        <w:rPr>
          <w:rFonts w:hint="eastAsia" w:ascii="宋体" w:hAnsi="宋体" w:cs="宋体"/>
          <w:color w:val="auto"/>
          <w:sz w:val="24"/>
          <w:szCs w:val="24"/>
          <w:highlight w:val="none"/>
          <w:lang w:val="en-US" w:eastAsia="zh-CN"/>
        </w:rPr>
        <w:t>。</w:t>
      </w:r>
    </w:p>
    <w:p w14:paraId="7491275E">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u w:val="none"/>
        </w:rPr>
        <w:t>联</w:t>
      </w:r>
      <w:r>
        <w:rPr>
          <w:rFonts w:hint="eastAsia" w:ascii="宋体" w:hAnsi="宋体" w:eastAsia="宋体" w:cs="宋体"/>
          <w:color w:val="auto"/>
          <w:sz w:val="24"/>
          <w:szCs w:val="24"/>
          <w:highlight w:val="none"/>
        </w:rPr>
        <w:t>合体投标。</w:t>
      </w:r>
    </w:p>
    <w:p w14:paraId="0D85DC9D">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14" w:name="_Toc35393791"/>
      <w:bookmarkStart w:id="15" w:name="_Toc28359003"/>
      <w:bookmarkStart w:id="16" w:name="_Toc35393622"/>
      <w:bookmarkStart w:id="17" w:name="_Toc28359080"/>
      <w:r>
        <w:rPr>
          <w:rFonts w:hint="eastAsia" w:ascii="宋体" w:hAnsi="宋体" w:eastAsia="宋体" w:cs="宋体"/>
          <w:b/>
          <w:bCs/>
          <w:color w:val="auto"/>
          <w:sz w:val="24"/>
          <w:szCs w:val="24"/>
          <w:highlight w:val="none"/>
        </w:rPr>
        <w:t>二、申请人的资格要求：</w:t>
      </w:r>
      <w:bookmarkEnd w:id="14"/>
      <w:bookmarkEnd w:id="15"/>
      <w:bookmarkEnd w:id="16"/>
      <w:bookmarkEnd w:id="17"/>
    </w:p>
    <w:p w14:paraId="41C615D8">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4623AAD">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bookmarkStart w:id="18" w:name="_Toc28359081"/>
      <w:bookmarkStart w:id="19" w:name="_Toc28359004"/>
      <w:r>
        <w:rPr>
          <w:rFonts w:hint="eastAsia" w:ascii="宋体" w:hAnsi="宋体" w:eastAsia="宋体" w:cs="宋体"/>
          <w:color w:val="auto"/>
          <w:sz w:val="24"/>
          <w:szCs w:val="24"/>
          <w:highlight w:val="none"/>
        </w:rPr>
        <w:t>2.落实政府采购政策需满足的资格要求：本项目为</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rPr>
        <w:t>专门面向中小企业（含中型、小型、微型企业）采购项目，根据《政府采购促进中小企业发展管理办法》（财库[2020]46号）的规定，执行价格评审优惠的扶持政策</w:t>
      </w:r>
      <w:r>
        <w:rPr>
          <w:rFonts w:hint="eastAsia" w:ascii="宋体" w:hAnsi="宋体" w:cs="宋体"/>
          <w:color w:val="auto"/>
          <w:sz w:val="24"/>
          <w:szCs w:val="24"/>
          <w:highlight w:val="none"/>
          <w:lang w:val="en-US" w:eastAsia="zh-CN"/>
        </w:rPr>
        <w:t>。</w:t>
      </w:r>
    </w:p>
    <w:p w14:paraId="74BF256D">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105D2C24">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3FF1B1BA">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14:paraId="0F32703A">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20" w:name="_Toc35393792"/>
      <w:bookmarkStart w:id="21" w:name="_Toc35393623"/>
      <w:r>
        <w:rPr>
          <w:rFonts w:hint="eastAsia" w:ascii="宋体" w:hAnsi="宋体" w:eastAsia="宋体" w:cs="宋体"/>
          <w:b/>
          <w:bCs/>
          <w:color w:val="auto"/>
          <w:sz w:val="24"/>
          <w:szCs w:val="24"/>
          <w:highlight w:val="none"/>
        </w:rPr>
        <w:t>三、获取招标文件</w:t>
      </w:r>
      <w:bookmarkEnd w:id="18"/>
      <w:bookmarkEnd w:id="19"/>
      <w:bookmarkEnd w:id="20"/>
      <w:bookmarkEnd w:id="21"/>
    </w:p>
    <w:p w14:paraId="5DCD954F">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日，每天上午00:00至23：59（北京时间，线上获取法定节假日均可）；</w:t>
      </w:r>
    </w:p>
    <w:p w14:paraId="61AE9BD4">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地点：投标人</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政采云平台http://www.zcygov.cn/，在线申请获取招标文件（登录政府采购云平台→项目采购→获取招标文件→申请</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可下载招标文件，如有操作性问题，可与政采云在线客服进行咨询，咨询电话：95763）。</w:t>
      </w:r>
    </w:p>
    <w:p w14:paraId="18AD0B21">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方式：投标人登录新疆政府采购云平台https://www.zcygov.cn/在线申请获取招标文件（登录政府采购云平台→项目采购→获取招标文件→下载招标文件）</w:t>
      </w:r>
    </w:p>
    <w:p w14:paraId="11891A9D">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5EF7C426">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22" w:name="_Toc28359005"/>
      <w:bookmarkStart w:id="23" w:name="_Toc28359082"/>
      <w:bookmarkStart w:id="24" w:name="_Toc35393624"/>
      <w:bookmarkStart w:id="25" w:name="_Toc35393793"/>
      <w:r>
        <w:rPr>
          <w:rFonts w:hint="eastAsia" w:ascii="宋体" w:hAnsi="宋体" w:eastAsia="宋体" w:cs="宋体"/>
          <w:b/>
          <w:bCs/>
          <w:color w:val="auto"/>
          <w:sz w:val="24"/>
          <w:szCs w:val="24"/>
          <w:highlight w:val="none"/>
        </w:rPr>
        <w:t>四、提交投标文件</w:t>
      </w:r>
      <w:bookmarkEnd w:id="22"/>
      <w:bookmarkEnd w:id="23"/>
      <w:r>
        <w:rPr>
          <w:rFonts w:hint="eastAsia" w:ascii="宋体" w:hAnsi="宋体" w:eastAsia="宋体" w:cs="宋体"/>
          <w:b/>
          <w:bCs/>
          <w:color w:val="auto"/>
          <w:sz w:val="24"/>
          <w:szCs w:val="24"/>
          <w:highlight w:val="none"/>
        </w:rPr>
        <w:t>截止时间、开标时间和地点</w:t>
      </w:r>
      <w:bookmarkEnd w:id="24"/>
      <w:bookmarkEnd w:id="25"/>
    </w:p>
    <w:p w14:paraId="4FAC8D57">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00F84CA0">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2B5575F7">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6" w:name="_Toc35393794"/>
      <w:bookmarkStart w:id="27" w:name="_Toc28359007"/>
      <w:bookmarkStart w:id="28" w:name="_Toc28359084"/>
      <w:bookmarkStart w:id="29" w:name="_Toc35393625"/>
      <w:r>
        <w:rPr>
          <w:rFonts w:hint="eastAsia" w:ascii="宋体" w:hAnsi="宋体" w:eastAsia="宋体" w:cs="宋体"/>
          <w:color w:val="auto"/>
          <w:sz w:val="24"/>
          <w:szCs w:val="24"/>
          <w:highlight w:val="none"/>
        </w:rPr>
        <w:t>政采云平台http://www.zcygov.cn/</w:t>
      </w:r>
    </w:p>
    <w:p w14:paraId="61E5D0CE">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6"/>
      <w:bookmarkEnd w:id="27"/>
      <w:bookmarkEnd w:id="28"/>
      <w:bookmarkEnd w:id="29"/>
    </w:p>
    <w:p w14:paraId="58128F89">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9816D0E">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30" w:name="_Toc35393795"/>
      <w:bookmarkStart w:id="31" w:name="_Toc35393626"/>
      <w:r>
        <w:rPr>
          <w:rFonts w:hint="eastAsia" w:ascii="宋体" w:hAnsi="宋体" w:eastAsia="宋体" w:cs="宋体"/>
          <w:b/>
          <w:bCs/>
          <w:color w:val="auto"/>
          <w:sz w:val="24"/>
          <w:szCs w:val="24"/>
          <w:highlight w:val="none"/>
        </w:rPr>
        <w:t>六、其他补充事宜</w:t>
      </w:r>
      <w:bookmarkEnd w:id="30"/>
      <w:bookmarkEnd w:id="31"/>
    </w:p>
    <w:p w14:paraId="2950B411">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5A8B3F2A">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75E4D979">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自动弃标；</w:t>
      </w:r>
    </w:p>
    <w:p w14:paraId="59061395">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将生成的“电子加密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294C9AAF">
      <w:pPr>
        <w:pStyle w:val="45"/>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开标时登录政采云平台，在“项目采购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开标评审”功能中，使用制作加密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在规定时间内因自身原因导致无法正常解密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2C1AB35C">
      <w:pPr>
        <w:pStyle w:val="45"/>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登录政采云平台，在开标时间后30分钟内用“项目采购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开标评审”功能进行解密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 CA。</w:t>
      </w:r>
    </w:p>
    <w:p w14:paraId="32E0DF83">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p w14:paraId="73F4402F">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1、采购限额标准以上，200万元以下的货物和服务采购项目、400万元以下的工程采购项目，适宜由中小企业提供的，采购人应当专门面向中小企业采购。</w:t>
      </w:r>
    </w:p>
    <w:p w14:paraId="685A3397">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2、超过200万元的货物和服务采购项目，预留该部分采购项目预算总额的30%以上专门面向中小企业采购，其中预留给小微企业的比例不低于60%。</w:t>
      </w:r>
    </w:p>
    <w:p w14:paraId="1FE91C4C">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47AEED12">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20%（工程项目为3%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5%作为其价格分。</w:t>
      </w:r>
    </w:p>
    <w:p w14:paraId="2BBEA897">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6%（工程项目为1%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2%作为其价格分。</w:t>
      </w:r>
    </w:p>
    <w:p w14:paraId="121067E2">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32" w:name="_Toc35393627"/>
      <w:bookmarkStart w:id="33" w:name="_Toc35393796"/>
      <w:bookmarkStart w:id="34" w:name="_Toc28359085"/>
      <w:bookmarkStart w:id="35" w:name="_Toc28359008"/>
      <w:r>
        <w:rPr>
          <w:rFonts w:hint="eastAsia" w:ascii="宋体" w:hAnsi="宋体" w:eastAsia="宋体" w:cs="宋体"/>
          <w:b/>
          <w:bCs/>
          <w:color w:val="auto"/>
          <w:sz w:val="24"/>
          <w:szCs w:val="24"/>
          <w:highlight w:val="none"/>
        </w:rPr>
        <w:t>七、对本次招标提出询问，请按以下方式联系</w:t>
      </w:r>
      <w:bookmarkEnd w:id="32"/>
      <w:bookmarkEnd w:id="33"/>
      <w:bookmarkEnd w:id="34"/>
      <w:bookmarkEnd w:id="35"/>
      <w:r>
        <w:rPr>
          <w:rFonts w:hint="eastAsia" w:ascii="宋体" w:hAnsi="宋体" w:eastAsia="宋体" w:cs="宋体"/>
          <w:b/>
          <w:bCs/>
          <w:color w:val="auto"/>
          <w:sz w:val="24"/>
          <w:szCs w:val="24"/>
          <w:highlight w:val="none"/>
        </w:rPr>
        <w:t>：</w:t>
      </w:r>
    </w:p>
    <w:p w14:paraId="39305AAF">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BDFCCA0">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 xml:space="preserve"> 新疆维吾尔自治区中医医院</w:t>
      </w:r>
    </w:p>
    <w:p w14:paraId="0FD92718">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新疆维吾尔自治区乌鲁木齐市黄河路116号</w:t>
      </w:r>
    </w:p>
    <w:p w14:paraId="1B0BDF3C">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0991-5883168</w:t>
      </w:r>
    </w:p>
    <w:p w14:paraId="4A4F55BB">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36" w:name="_Toc28359086"/>
      <w:bookmarkStart w:id="37" w:name="_Toc28359009"/>
      <w:r>
        <w:rPr>
          <w:rFonts w:hint="eastAsia" w:ascii="宋体" w:hAnsi="宋体" w:eastAsia="宋体" w:cs="宋体"/>
          <w:color w:val="auto"/>
          <w:sz w:val="24"/>
          <w:szCs w:val="24"/>
          <w:highlight w:val="none"/>
        </w:rPr>
        <w:t>2.采购代理机构信息</w:t>
      </w:r>
      <w:bookmarkEnd w:id="36"/>
      <w:bookmarkEnd w:id="37"/>
    </w:p>
    <w:p w14:paraId="642E58E2">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招标代理机构（盖章）：新疆中咨建设项目管理有限公司</w:t>
      </w:r>
    </w:p>
    <w:p w14:paraId="35062E83">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李工</w:t>
      </w:r>
    </w:p>
    <w:p w14:paraId="50897BB8">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18082896561</w:t>
      </w:r>
    </w:p>
    <w:p w14:paraId="7C42BC34">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详细地址：</w:t>
      </w:r>
      <w:r>
        <w:rPr>
          <w:rFonts w:hint="eastAsia" w:ascii="宋体" w:hAnsi="宋体" w:eastAsia="宋体" w:cs="宋体"/>
          <w:color w:val="auto"/>
          <w:sz w:val="24"/>
          <w:szCs w:val="24"/>
          <w:highlight w:val="none"/>
          <w:lang w:eastAsia="zh-CN"/>
        </w:rPr>
        <w:t>乌鲁木齐水磨沟区会展大道555号星耀天都4号楼B座403</w:t>
      </w:r>
    </w:p>
    <w:p w14:paraId="75E187A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E5C2F88">
      <w:pPr>
        <w:pStyle w:val="2"/>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bookmarkStart w:id="38" w:name="_Toc27314"/>
      <w:r>
        <w:rPr>
          <w:rFonts w:hint="eastAsia" w:ascii="宋体" w:hAnsi="宋体" w:eastAsia="宋体" w:cs="宋体"/>
          <w:b/>
          <w:bCs/>
          <w:color w:val="auto"/>
          <w:sz w:val="24"/>
          <w:szCs w:val="24"/>
          <w:highlight w:val="none"/>
        </w:rPr>
        <w:t>第二章  投标人须知</w:t>
      </w:r>
      <w:bookmarkEnd w:id="3"/>
      <w:bookmarkEnd w:id="4"/>
      <w:bookmarkEnd w:id="5"/>
      <w:bookmarkEnd w:id="6"/>
      <w:bookmarkEnd w:id="7"/>
      <w:bookmarkEnd w:id="8"/>
      <w:bookmarkEnd w:id="38"/>
    </w:p>
    <w:p w14:paraId="62C77B14">
      <w:pPr>
        <w:keepNext/>
        <w:keepLines/>
        <w:pageBreakBefore w:val="0"/>
        <w:kinsoku/>
        <w:wordWrap/>
        <w:overflowPunct/>
        <w:topLinePunct w:val="0"/>
        <w:autoSpaceDE/>
        <w:autoSpaceDN/>
        <w:bidi w:val="0"/>
        <w:spacing w:line="560" w:lineRule="exact"/>
        <w:ind w:left="0" w:leftChars="0" w:right="0" w:rightChars="0" w:firstLine="0" w:firstLineChars="0"/>
        <w:jc w:val="center"/>
        <w:textAlignment w:val="auto"/>
        <w:outlineLvl w:val="1"/>
        <w:rPr>
          <w:rFonts w:hint="eastAsia" w:ascii="宋体" w:hAnsi="宋体" w:eastAsia="宋体" w:cs="宋体"/>
          <w:b/>
          <w:bCs/>
          <w:color w:val="auto"/>
          <w:sz w:val="24"/>
          <w:szCs w:val="24"/>
          <w:highlight w:val="none"/>
        </w:rPr>
      </w:pPr>
      <w:bookmarkStart w:id="39" w:name="_Toc213396946"/>
      <w:bookmarkStart w:id="40" w:name="_Toc213396760"/>
      <w:bookmarkStart w:id="41" w:name="_Toc213397010"/>
      <w:bookmarkStart w:id="42" w:name="_Toc213496268"/>
      <w:bookmarkStart w:id="43" w:name="_Toc217446032"/>
      <w:bookmarkStart w:id="44" w:name="_Toc189727030"/>
      <w:r>
        <w:rPr>
          <w:rFonts w:hint="eastAsia" w:ascii="宋体" w:hAnsi="宋体" w:eastAsia="宋体" w:cs="宋体"/>
          <w:b/>
          <w:bCs/>
          <w:color w:val="auto"/>
          <w:sz w:val="24"/>
          <w:szCs w:val="24"/>
          <w:highlight w:val="none"/>
        </w:rPr>
        <w:t>一、投标人须知前附表</w:t>
      </w:r>
      <w:bookmarkEnd w:id="39"/>
      <w:bookmarkEnd w:id="40"/>
      <w:bookmarkEnd w:id="41"/>
      <w:bookmarkEnd w:id="42"/>
      <w:bookmarkEnd w:id="43"/>
      <w:bookmarkEnd w:id="44"/>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672"/>
        <w:gridCol w:w="1374"/>
        <w:gridCol w:w="1"/>
        <w:gridCol w:w="6470"/>
        <w:gridCol w:w="1"/>
      </w:tblGrid>
      <w:tr w14:paraId="6EA0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3B76429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5" w:type="dxa"/>
            <w:gridSpan w:val="2"/>
            <w:vAlign w:val="center"/>
          </w:tcPr>
          <w:p w14:paraId="2DD0228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471" w:type="dxa"/>
            <w:gridSpan w:val="2"/>
            <w:vAlign w:val="center"/>
          </w:tcPr>
          <w:p w14:paraId="664A8BA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5413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850" w:hRule="atLeast"/>
          <w:jc w:val="center"/>
        </w:trPr>
        <w:tc>
          <w:tcPr>
            <w:tcW w:w="672" w:type="dxa"/>
            <w:vAlign w:val="center"/>
          </w:tcPr>
          <w:p w14:paraId="133861C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5" w:type="dxa"/>
            <w:gridSpan w:val="2"/>
            <w:vAlign w:val="center"/>
          </w:tcPr>
          <w:p w14:paraId="0082DB4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471" w:type="dxa"/>
            <w:gridSpan w:val="2"/>
            <w:vAlign w:val="center"/>
          </w:tcPr>
          <w:p w14:paraId="3D222397">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新疆维吾尔自治区中医医院</w:t>
            </w:r>
          </w:p>
          <w:p w14:paraId="52B19F5D">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新疆维吾尔自治区乌鲁木齐市黄河路116号</w:t>
            </w:r>
          </w:p>
          <w:p w14:paraId="77470B09">
            <w:pPr>
              <w:pageBreakBefore w:val="0"/>
              <w:kinsoku/>
              <w:wordWrap/>
              <w:overflowPunct/>
              <w:topLinePunct w:val="0"/>
              <w:autoSpaceDE/>
              <w:autoSpaceDN/>
              <w:bidi w:val="0"/>
              <w:spacing w:line="560" w:lineRule="exact"/>
              <w:ind w:left="0" w:leftChars="0" w:right="0" w:rightChars="0" w:firstLine="0" w:firstLineChars="0"/>
              <w:textAlignment w:val="auto"/>
              <w:rPr>
                <w:rStyle w:val="42"/>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联系人：</w:t>
            </w:r>
            <w:r>
              <w:rPr>
                <w:rStyle w:val="42"/>
                <w:rFonts w:hint="eastAsia" w:ascii="宋体" w:hAnsi="宋体" w:cs="宋体"/>
                <w:bCs/>
                <w:color w:val="auto"/>
                <w:sz w:val="24"/>
                <w:szCs w:val="24"/>
                <w:highlight w:val="none"/>
                <w:lang w:eastAsia="zh-CN"/>
              </w:rPr>
              <w:t>吕老师</w:t>
            </w:r>
          </w:p>
          <w:p w14:paraId="3AD50C98">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cs="宋体"/>
                <w:color w:val="auto"/>
                <w:sz w:val="24"/>
                <w:szCs w:val="24"/>
                <w:highlight w:val="none"/>
                <w:lang w:eastAsia="zh-CN"/>
              </w:rPr>
              <w:t>0991-5883168</w:t>
            </w:r>
          </w:p>
        </w:tc>
      </w:tr>
      <w:tr w14:paraId="55C1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6FFB0CA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5" w:type="dxa"/>
            <w:gridSpan w:val="2"/>
            <w:vAlign w:val="center"/>
          </w:tcPr>
          <w:p w14:paraId="43D0F98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471" w:type="dxa"/>
            <w:gridSpan w:val="2"/>
            <w:vAlign w:val="center"/>
          </w:tcPr>
          <w:p w14:paraId="5EBA52D1">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招标代理机构（盖章）：新疆中咨建设项目管理有限公司</w:t>
            </w:r>
          </w:p>
          <w:p w14:paraId="296C4BAF">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人：李工</w:t>
            </w:r>
          </w:p>
          <w:p w14:paraId="3AA152C2">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话：18082896561</w:t>
            </w:r>
          </w:p>
          <w:p w14:paraId="7DCB44D3">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详细地址：乌鲁木齐水磨沟区会展大道555号星耀天都4号楼B座403</w:t>
            </w:r>
          </w:p>
        </w:tc>
      </w:tr>
      <w:tr w14:paraId="7E57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2" w:hRule="atLeast"/>
          <w:jc w:val="center"/>
        </w:trPr>
        <w:tc>
          <w:tcPr>
            <w:tcW w:w="672" w:type="dxa"/>
            <w:vAlign w:val="center"/>
          </w:tcPr>
          <w:p w14:paraId="7C73BC0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5" w:type="dxa"/>
            <w:gridSpan w:val="2"/>
            <w:vAlign w:val="center"/>
          </w:tcPr>
          <w:p w14:paraId="3EDDD5C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71" w:type="dxa"/>
            <w:gridSpan w:val="2"/>
            <w:vAlign w:val="center"/>
          </w:tcPr>
          <w:p w14:paraId="249E9E36">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新疆维吾尔自治区中医医院监控设备采购安装项目</w:t>
            </w:r>
          </w:p>
        </w:tc>
      </w:tr>
      <w:tr w14:paraId="5450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507EFDF8">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5" w:type="dxa"/>
            <w:gridSpan w:val="2"/>
            <w:vAlign w:val="center"/>
          </w:tcPr>
          <w:p w14:paraId="6455A428">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71" w:type="dxa"/>
            <w:gridSpan w:val="2"/>
            <w:vAlign w:val="center"/>
          </w:tcPr>
          <w:p w14:paraId="3E2C4571">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ZZ2026-048</w:t>
            </w:r>
          </w:p>
        </w:tc>
      </w:tr>
      <w:tr w14:paraId="5455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2" w:type="dxa"/>
            <w:vAlign w:val="center"/>
          </w:tcPr>
          <w:p w14:paraId="2821729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75" w:type="dxa"/>
            <w:gridSpan w:val="2"/>
            <w:vAlign w:val="center"/>
          </w:tcPr>
          <w:p w14:paraId="259ECEC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471" w:type="dxa"/>
            <w:gridSpan w:val="2"/>
            <w:vAlign w:val="center"/>
          </w:tcPr>
          <w:p w14:paraId="176C8F1C">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：总价不得超过</w:t>
            </w:r>
            <w:r>
              <w:rPr>
                <w:rFonts w:hint="eastAsia" w:ascii="宋体" w:hAnsi="宋体" w:eastAsia="宋体" w:cs="宋体"/>
                <w:color w:val="auto"/>
                <w:sz w:val="24"/>
                <w:szCs w:val="24"/>
                <w:highlight w:val="none"/>
                <w:lang w:val="en-US" w:eastAsia="zh-CN"/>
              </w:rPr>
              <w:t>757970元</w:t>
            </w:r>
            <w:r>
              <w:rPr>
                <w:rFonts w:hint="eastAsia" w:ascii="宋体" w:hAnsi="宋体" w:cs="宋体"/>
                <w:color w:val="auto"/>
                <w:sz w:val="24"/>
                <w:szCs w:val="24"/>
                <w:highlight w:val="none"/>
                <w:lang w:val="en-US" w:eastAsia="zh-CN"/>
              </w:rPr>
              <w:t>，单价不得超过设备报价清单中的单价。</w:t>
            </w:r>
          </w:p>
          <w:p w14:paraId="305D2700">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注：高于最高限价作废标处理。</w:t>
            </w:r>
          </w:p>
        </w:tc>
      </w:tr>
      <w:tr w14:paraId="06A6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02" w:hRule="atLeast"/>
          <w:jc w:val="center"/>
        </w:trPr>
        <w:tc>
          <w:tcPr>
            <w:tcW w:w="672" w:type="dxa"/>
            <w:vAlign w:val="center"/>
          </w:tcPr>
          <w:p w14:paraId="47ABC13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75" w:type="dxa"/>
            <w:gridSpan w:val="2"/>
            <w:vAlign w:val="center"/>
          </w:tcPr>
          <w:p w14:paraId="6402B14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471" w:type="dxa"/>
            <w:gridSpan w:val="2"/>
            <w:vAlign w:val="center"/>
          </w:tcPr>
          <w:p w14:paraId="01EE8978">
            <w:pPr>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Style w:val="42"/>
                <w:rFonts w:hint="eastAsia" w:ascii="宋体" w:hAnsi="宋体" w:cs="宋体"/>
                <w:bCs/>
                <w:color w:val="auto"/>
                <w:sz w:val="24"/>
                <w:szCs w:val="24"/>
                <w:highlight w:val="none"/>
                <w:lang w:eastAsia="zh-CN"/>
              </w:rPr>
              <w:t>安防设备采购项目</w:t>
            </w:r>
            <w:r>
              <w:rPr>
                <w:rFonts w:hint="eastAsia" w:ascii="宋体" w:hAnsi="宋体" w:eastAsia="宋体" w:cs="宋体"/>
                <w:color w:val="auto"/>
                <w:sz w:val="24"/>
                <w:szCs w:val="24"/>
                <w:highlight w:val="none"/>
                <w:shd w:val="clear" w:color="auto" w:fill="FFFFFF"/>
                <w:lang w:eastAsia="zh-CN"/>
              </w:rPr>
              <w:t>的供应、运输、安装、验收及售后服务等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rPr>
              <w:t>具体内容详见招标文件</w:t>
            </w:r>
            <w:r>
              <w:rPr>
                <w:rFonts w:hint="eastAsia" w:ascii="宋体" w:hAnsi="宋体" w:eastAsia="宋体" w:cs="宋体"/>
                <w:color w:val="auto"/>
                <w:sz w:val="24"/>
                <w:szCs w:val="24"/>
                <w:highlight w:val="none"/>
                <w:shd w:val="clear" w:color="auto" w:fill="FFFFFF"/>
                <w:lang w:eastAsia="zh-CN"/>
              </w:rPr>
              <w:t>项目采购需求</w:t>
            </w:r>
          </w:p>
        </w:tc>
      </w:tr>
      <w:tr w14:paraId="349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32" w:hRule="atLeast"/>
          <w:jc w:val="center"/>
        </w:trPr>
        <w:tc>
          <w:tcPr>
            <w:tcW w:w="672" w:type="dxa"/>
            <w:vAlign w:val="center"/>
          </w:tcPr>
          <w:p w14:paraId="0DEE6AA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75" w:type="dxa"/>
            <w:gridSpan w:val="2"/>
            <w:vAlign w:val="center"/>
          </w:tcPr>
          <w:p w14:paraId="5ADA596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供货期</w:t>
            </w:r>
          </w:p>
        </w:tc>
        <w:tc>
          <w:tcPr>
            <w:tcW w:w="6471" w:type="dxa"/>
            <w:gridSpan w:val="2"/>
            <w:vAlign w:val="center"/>
          </w:tcPr>
          <w:p w14:paraId="70A0632C">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合同签订后20天内</w:t>
            </w:r>
          </w:p>
        </w:tc>
      </w:tr>
      <w:tr w14:paraId="25EB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77" w:hRule="atLeast"/>
          <w:jc w:val="center"/>
        </w:trPr>
        <w:tc>
          <w:tcPr>
            <w:tcW w:w="672" w:type="dxa"/>
            <w:vAlign w:val="center"/>
          </w:tcPr>
          <w:p w14:paraId="1F898FD7">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75" w:type="dxa"/>
            <w:gridSpan w:val="2"/>
            <w:vAlign w:val="center"/>
          </w:tcPr>
          <w:p w14:paraId="17DC3A4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质量标准</w:t>
            </w:r>
          </w:p>
        </w:tc>
        <w:tc>
          <w:tcPr>
            <w:tcW w:w="6471" w:type="dxa"/>
            <w:gridSpan w:val="2"/>
            <w:vAlign w:val="center"/>
          </w:tcPr>
          <w:p w14:paraId="7CFF4D93">
            <w:pPr>
              <w:pageBreakBefore w:val="0"/>
              <w:kinsoku/>
              <w:wordWrap/>
              <w:overflowPunct/>
              <w:topLinePunct w:val="0"/>
              <w:autoSpaceDE/>
              <w:autoSpaceDN/>
              <w:bidi w:val="0"/>
              <w:spacing w:line="560" w:lineRule="exact"/>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Cs/>
                <w:color w:val="auto"/>
                <w:kern w:val="11"/>
                <w:sz w:val="24"/>
                <w:szCs w:val="24"/>
                <w:highlight w:val="none"/>
                <w:lang w:val="en-US" w:eastAsia="zh-CN"/>
              </w:rPr>
              <w:t>合格（符合国家行业标准及业主要求）</w:t>
            </w:r>
          </w:p>
        </w:tc>
      </w:tr>
      <w:tr w14:paraId="44D3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1E0C0C5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75" w:type="dxa"/>
            <w:gridSpan w:val="2"/>
            <w:vAlign w:val="center"/>
          </w:tcPr>
          <w:p w14:paraId="59D698C7">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p>
        </w:tc>
        <w:tc>
          <w:tcPr>
            <w:tcW w:w="6471" w:type="dxa"/>
            <w:gridSpan w:val="2"/>
            <w:vAlign w:val="center"/>
          </w:tcPr>
          <w:p w14:paraId="73836713">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采购人指定地点</w:t>
            </w:r>
          </w:p>
        </w:tc>
      </w:tr>
      <w:tr w14:paraId="5B45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31" w:hRule="atLeast"/>
          <w:jc w:val="center"/>
        </w:trPr>
        <w:tc>
          <w:tcPr>
            <w:tcW w:w="672" w:type="dxa"/>
            <w:vAlign w:val="center"/>
          </w:tcPr>
          <w:p w14:paraId="34DBFF5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75" w:type="dxa"/>
            <w:gridSpan w:val="2"/>
            <w:vAlign w:val="center"/>
          </w:tcPr>
          <w:p w14:paraId="779D5D0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投标人资格要求</w:t>
            </w:r>
          </w:p>
        </w:tc>
        <w:tc>
          <w:tcPr>
            <w:tcW w:w="6471" w:type="dxa"/>
            <w:gridSpan w:val="2"/>
            <w:vAlign w:val="center"/>
          </w:tcPr>
          <w:p w14:paraId="50D5C780">
            <w:pPr>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54767BC">
            <w:pPr>
              <w:pageBreakBefore w:val="0"/>
              <w:kinsoku/>
              <w:wordWrap/>
              <w:overflowPunct/>
              <w:topLinePunct w:val="0"/>
              <w:autoSpaceDE/>
              <w:autoSpaceDN/>
              <w:bidi w:val="0"/>
              <w:adjustRightInd/>
              <w:snapToGrid/>
              <w:spacing w:line="560" w:lineRule="exact"/>
              <w:ind w:right="0" w:rightChars="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2.落实政府采购政策需满足的资格要求：本项目为</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rPr>
              <w:t>专门面向中小企业（含中型、小型、微型企业）采购项目，根据《政府采购促进中小企业发展管理办法》（财库[2020]46号）的规定，执行价格评审优惠的扶持政策</w:t>
            </w:r>
            <w:r>
              <w:rPr>
                <w:rFonts w:hint="eastAsia" w:ascii="宋体" w:hAnsi="宋体" w:cs="宋体"/>
                <w:color w:val="auto"/>
                <w:sz w:val="24"/>
                <w:szCs w:val="24"/>
                <w:highlight w:val="none"/>
                <w:lang w:val="en-US" w:eastAsia="zh-CN"/>
              </w:rPr>
              <w:t>。</w:t>
            </w:r>
          </w:p>
          <w:p w14:paraId="5E72C938">
            <w:pPr>
              <w:pageBreakBefore w:val="0"/>
              <w:kinsoku/>
              <w:wordWrap/>
              <w:overflowPunct/>
              <w:topLinePunct w:val="0"/>
              <w:autoSpaceDE/>
              <w:autoSpaceDN/>
              <w:bidi w:val="0"/>
              <w:adjustRightInd/>
              <w:snapToGrid/>
              <w:spacing w:line="560" w:lineRule="exact"/>
              <w:ind w:right="0" w:rightChars="0"/>
              <w:textAlignment w:val="auto"/>
              <w:rPr>
                <w:rStyle w:val="33"/>
                <w:rFonts w:hint="eastAsia"/>
                <w:b w:val="0"/>
                <w:color w:val="FF0000"/>
                <w:lang w:val="en-US" w:eastAsia="zh-CN"/>
              </w:rPr>
            </w:pPr>
            <w:r>
              <w:rPr>
                <w:rFonts w:hint="eastAsia" w:ascii="宋体" w:hAnsi="宋体" w:cs="宋体"/>
                <w:b/>
                <w:bCs/>
                <w:color w:val="auto"/>
                <w:sz w:val="24"/>
                <w:szCs w:val="24"/>
                <w:highlight w:val="none"/>
                <w:lang w:val="en-US" w:eastAsia="zh-CN"/>
              </w:rPr>
              <w:t>本项目所属行业为：工业</w:t>
            </w:r>
          </w:p>
          <w:p w14:paraId="249FF083">
            <w:pPr>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5DDEE118">
            <w:pPr>
              <w:keepNext w:val="0"/>
              <w:keepLines w:val="0"/>
              <w:pageBreakBefore w:val="0"/>
              <w:widowControl/>
              <w:kinsoku/>
              <w:wordWrap/>
              <w:overflowPunct/>
              <w:topLinePunct w:val="0"/>
              <w:autoSpaceDE/>
              <w:autoSpaceDN/>
              <w:bidi w:val="0"/>
              <w:adjustRightInd/>
              <w:snapToGrid/>
              <w:spacing w:line="560" w:lineRule="exact"/>
              <w:ind w:right="0" w:righ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62308055">
            <w:pPr>
              <w:pStyle w:val="45"/>
              <w:pageBreakBefore w:val="0"/>
              <w:widowControl/>
              <w:kinsoku/>
              <w:wordWrap/>
              <w:overflowPunct/>
              <w:topLinePunct w:val="0"/>
              <w:autoSpaceDE/>
              <w:autoSpaceDN/>
              <w:bidi w:val="0"/>
              <w:spacing w:line="560" w:lineRule="exact"/>
              <w:ind w:left="0" w:leftChars="0" w:right="0" w:rightChars="0" w:firstLine="0" w:firstLineChars="0"/>
              <w:jc w:val="left"/>
              <w:textAlignment w:val="auto"/>
              <w:rPr>
                <w:rFonts w:hint="default" w:eastAsia="宋体"/>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tc>
      </w:tr>
      <w:tr w14:paraId="7F26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54" w:hRule="atLeast"/>
          <w:jc w:val="center"/>
        </w:trPr>
        <w:tc>
          <w:tcPr>
            <w:tcW w:w="672" w:type="dxa"/>
            <w:vAlign w:val="center"/>
          </w:tcPr>
          <w:p w14:paraId="490293D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75" w:type="dxa"/>
            <w:gridSpan w:val="2"/>
            <w:vAlign w:val="center"/>
          </w:tcPr>
          <w:p w14:paraId="5BFF34C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71" w:type="dxa"/>
            <w:gridSpan w:val="2"/>
            <w:vAlign w:val="center"/>
          </w:tcPr>
          <w:p w14:paraId="7BD23677">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投标保证金的金额：</w:t>
            </w:r>
            <w:r>
              <w:rPr>
                <w:rFonts w:hint="eastAsia" w:ascii="宋体" w:hAnsi="宋体" w:cs="宋体"/>
                <w:color w:val="auto"/>
                <w:sz w:val="24"/>
                <w:szCs w:val="24"/>
                <w:highlight w:val="none"/>
                <w:lang w:val="en-US" w:eastAsia="zh-CN"/>
              </w:rPr>
              <w:t>7600元（柒仟陆佰元）</w:t>
            </w:r>
          </w:p>
          <w:p w14:paraId="64BF34BE">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缴纳：</w:t>
            </w:r>
          </w:p>
          <w:p w14:paraId="40C2CBB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应当以电汇、网银、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3065014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2.缴纳</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时需备注项目名称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如字数超限，可简写</w:t>
            </w:r>
            <w:r>
              <w:rPr>
                <w:rFonts w:hint="eastAsia" w:ascii="宋体" w:hAnsi="宋体" w:eastAsia="宋体" w:cs="宋体"/>
                <w:color w:val="auto"/>
                <w:kern w:val="0"/>
                <w:sz w:val="24"/>
                <w:szCs w:val="24"/>
                <w:highlight w:val="none"/>
              </w:rPr>
              <w:t>；</w:t>
            </w:r>
          </w:p>
          <w:p w14:paraId="7049EEF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426859E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缴纳账户：</w:t>
            </w:r>
          </w:p>
          <w:p w14:paraId="0A9EB7B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开户单位名称：新疆中咨建设项目管理有限公司乌鲁木齐二分公司</w:t>
            </w:r>
          </w:p>
          <w:p w14:paraId="6C1505CF">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开户银行：招商银行股份有限公司乌鲁木齐南湖东路支行</w:t>
            </w:r>
          </w:p>
          <w:p w14:paraId="3C482F9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账号：991904389610902</w:t>
            </w:r>
          </w:p>
          <w:p w14:paraId="6DC8C00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行号：308881029139</w:t>
            </w:r>
          </w:p>
          <w:p w14:paraId="09F4553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退还：</w:t>
            </w:r>
          </w:p>
          <w:p w14:paraId="355C2E06">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将在成交通知书发出后5个工作日内退还。</w:t>
            </w:r>
          </w:p>
          <w:p w14:paraId="3930EE4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与采购人签订合同，并将合同递交至采购代理后5个工作日内，无息退还。</w:t>
            </w:r>
          </w:p>
          <w:p w14:paraId="1FF8E2C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 xml:space="preserve">不予退还：详见总则第15.5条。 </w:t>
            </w:r>
          </w:p>
          <w:p w14:paraId="6A4B062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4C234E1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投标人无需前往代理公司换取收据，仅需将</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缴纳凭证，装订在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14358776">
            <w:pPr>
              <w:pStyle w:val="2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未按照</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要求缴纳</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的，</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无效。</w:t>
            </w:r>
          </w:p>
        </w:tc>
      </w:tr>
      <w:tr w14:paraId="7077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2" w:type="dxa"/>
            <w:vAlign w:val="center"/>
          </w:tcPr>
          <w:p w14:paraId="543A426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75" w:type="dxa"/>
            <w:gridSpan w:val="2"/>
            <w:vAlign w:val="center"/>
          </w:tcPr>
          <w:p w14:paraId="0E99CFBB">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471" w:type="dxa"/>
            <w:gridSpan w:val="2"/>
            <w:vAlign w:val="center"/>
          </w:tcPr>
          <w:p w14:paraId="4120BFC7">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2F4D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097A343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74" w:type="dxa"/>
            <w:vAlign w:val="center"/>
          </w:tcPr>
          <w:p w14:paraId="6E6CDA9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471" w:type="dxa"/>
            <w:gridSpan w:val="2"/>
            <w:vAlign w:val="center"/>
          </w:tcPr>
          <w:p w14:paraId="5B7C2D9C">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721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1141590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74" w:type="dxa"/>
            <w:vAlign w:val="center"/>
          </w:tcPr>
          <w:p w14:paraId="3B94551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val="en-US" w:eastAsia="zh-CN"/>
              </w:rPr>
              <w:t>份数、</w:t>
            </w:r>
            <w:r>
              <w:rPr>
                <w:rFonts w:hint="eastAsia" w:ascii="宋体" w:hAnsi="宋体" w:eastAsia="宋体" w:cs="宋体"/>
                <w:b w:val="0"/>
                <w:bCs/>
                <w:color w:val="auto"/>
                <w:sz w:val="24"/>
                <w:szCs w:val="24"/>
                <w:highlight w:val="none"/>
              </w:rPr>
              <w:t>上传截止时间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地点</w:t>
            </w:r>
          </w:p>
        </w:tc>
        <w:tc>
          <w:tcPr>
            <w:tcW w:w="6471" w:type="dxa"/>
            <w:gridSpan w:val="2"/>
            <w:vAlign w:val="center"/>
          </w:tcPr>
          <w:p w14:paraId="16B6086D">
            <w:pPr>
              <w:pStyle w:val="45"/>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电子加密投标文件1份，无正副本区别，仅需</w:t>
            </w:r>
            <w:r>
              <w:rPr>
                <w:rFonts w:hint="eastAsia" w:ascii="宋体" w:hAnsi="宋体" w:eastAsia="宋体" w:cs="宋体"/>
                <w:b w:val="0"/>
                <w:bCs/>
                <w:color w:val="auto"/>
                <w:kern w:val="0"/>
                <w:sz w:val="24"/>
                <w:szCs w:val="24"/>
                <w:highlight w:val="none"/>
                <w:lang w:val="en-US" w:eastAsia="zh-CN"/>
              </w:rPr>
              <w:t>在规定时间内向政采云系统</w:t>
            </w:r>
            <w:r>
              <w:rPr>
                <w:rFonts w:hint="eastAsia" w:ascii="宋体" w:hAnsi="宋体" w:eastAsia="宋体" w:cs="宋体"/>
                <w:b w:val="0"/>
                <w:bCs/>
                <w:color w:val="auto"/>
                <w:kern w:val="0"/>
                <w:sz w:val="24"/>
                <w:szCs w:val="24"/>
                <w:highlight w:val="none"/>
                <w:lang w:eastAsia="zh-CN"/>
              </w:rPr>
              <w:t>上传即可）。</w:t>
            </w:r>
          </w:p>
          <w:p w14:paraId="42A5C82B">
            <w:pPr>
              <w:pStyle w:val="4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上传截止时间：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点00分</w:t>
            </w:r>
            <w:r>
              <w:rPr>
                <w:rFonts w:hint="eastAsia" w:ascii="宋体" w:hAnsi="宋体" w:eastAsia="宋体" w:cs="宋体"/>
                <w:b w:val="0"/>
                <w:bCs/>
                <w:color w:val="auto"/>
                <w:kern w:val="0"/>
                <w:sz w:val="24"/>
                <w:szCs w:val="24"/>
                <w:highlight w:val="none"/>
              </w:rPr>
              <w:t>（北京时间）</w:t>
            </w:r>
          </w:p>
          <w:p w14:paraId="2ED3AA3F">
            <w:pPr>
              <w:pageBreakBefore w:val="0"/>
              <w:widowControl/>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上传地点：在</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截止时间前将电子加密</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成功上传至“政府采购云平台”</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lang w:eastAsia="zh-CN"/>
              </w:rPr>
              <w:t>成功上传电子加密投标文件后，可自行打印投标文件接收回执</w:t>
            </w:r>
            <w:r>
              <w:rPr>
                <w:rFonts w:hint="eastAsia" w:ascii="宋体" w:hAnsi="宋体" w:eastAsia="宋体" w:cs="宋体"/>
                <w:b w:val="0"/>
                <w:bCs/>
                <w:color w:val="auto"/>
                <w:sz w:val="24"/>
                <w:szCs w:val="24"/>
                <w:highlight w:val="none"/>
              </w:rPr>
              <w:t>。</w:t>
            </w:r>
          </w:p>
          <w:p w14:paraId="0DAD6789">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）电子投标文件包括“电子加密投标文件”和“备份投标文件”，在投标文件编制完成后同时生成。</w:t>
            </w:r>
          </w:p>
          <w:p w14:paraId="11C4053F">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eastAsia="zh-CN"/>
              </w:rPr>
              <w:t>“电子加密投标文件（“.jmbs”格式）”是指通过“政采云电子交易客户端”完成投标文件编制后生成并加密的数据电文形式的投标文件。</w:t>
            </w:r>
          </w:p>
          <w:p w14:paraId="5CA6D37D">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eastAsia="zh-CN"/>
              </w:rPr>
              <w:t>“备份投标文件（“.bfbs”格式）”是指与“电子加密投标文件”同时生成的数据电文形式的电子文件（备份标书，用于投标人标书解密异常时应急使用），其他方式编制的备份投标文件视为无效备份投标文件。</w:t>
            </w:r>
          </w:p>
        </w:tc>
      </w:tr>
      <w:tr w14:paraId="2859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6DB036F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74" w:type="dxa"/>
            <w:vAlign w:val="center"/>
          </w:tcPr>
          <w:p w14:paraId="2141FDA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重要说明</w:t>
            </w:r>
          </w:p>
        </w:tc>
        <w:tc>
          <w:tcPr>
            <w:tcW w:w="6471" w:type="dxa"/>
            <w:gridSpan w:val="2"/>
            <w:vAlign w:val="center"/>
          </w:tcPr>
          <w:p w14:paraId="50D5D8ED">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1、电子招投标情况说明：</w:t>
            </w:r>
          </w:p>
          <w:p w14:paraId="2A950508">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70CD1E52">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投标准备</w:t>
            </w:r>
            <w:r>
              <w:rPr>
                <w:rFonts w:hint="eastAsia" w:ascii="宋体" w:hAnsi="宋体" w:eastAsia="宋体" w:cs="宋体"/>
                <w:color w:val="auto"/>
                <w:sz w:val="24"/>
                <w:szCs w:val="24"/>
                <w:highlight w:val="none"/>
              </w:rPr>
              <w:t>：注册账号--点击“商家入驻”，进行政府采购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资料填写；申领CA数字证书---申领流程详见“</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政府采购网-下载专区-电子交易客户端-CA驱动和申领流程”；安装“政采云电子交易客户端”----前往“</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客户端”进行下载并安装。</w:t>
            </w:r>
          </w:p>
          <w:p w14:paraId="42CD501A">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color w:val="auto"/>
                <w:sz w:val="24"/>
                <w:szCs w:val="24"/>
                <w:highlight w:val="none"/>
              </w:rPr>
              <w:t>采购文件的获取</w:t>
            </w:r>
            <w:r>
              <w:rPr>
                <w:rFonts w:hint="eastAsia" w:ascii="宋体" w:hAnsi="宋体" w:eastAsia="宋体" w:cs="宋体"/>
                <w:color w:val="auto"/>
                <w:sz w:val="24"/>
                <w:szCs w:val="24"/>
                <w:highlight w:val="none"/>
              </w:rPr>
              <w:t>：使用账号登录或者</w:t>
            </w:r>
            <w:r>
              <w:rPr>
                <w:rFonts w:hint="eastAsia" w:ascii="宋体" w:hAnsi="宋体" w:eastAsia="宋体" w:cs="宋体"/>
                <w:color w:val="auto"/>
                <w:sz w:val="24"/>
                <w:szCs w:val="24"/>
                <w:highlight w:val="none"/>
                <w:lang w:bidi="zh-CN"/>
              </w:rPr>
              <w:t>短信验证码</w:t>
            </w:r>
            <w:r>
              <w:rPr>
                <w:rFonts w:hint="eastAsia" w:ascii="宋体" w:hAnsi="宋体" w:eastAsia="宋体" w:cs="宋体"/>
                <w:color w:val="auto"/>
                <w:sz w:val="24"/>
                <w:szCs w:val="24"/>
                <w:highlight w:val="none"/>
              </w:rPr>
              <w:t>或者使用CA登录政采云平台；进入“项目采购”应用，在获取采购文件菜单中选择项目，获取采购文件。</w:t>
            </w:r>
          </w:p>
          <w:p w14:paraId="7F1EC7CF">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投标文件的制作</w:t>
            </w:r>
            <w:r>
              <w:rPr>
                <w:rFonts w:hint="eastAsia" w:ascii="宋体" w:hAnsi="宋体" w:eastAsia="宋体" w:cs="宋体"/>
                <w:color w:val="auto"/>
                <w:sz w:val="24"/>
                <w:szCs w:val="24"/>
                <w:highlight w:val="none"/>
              </w:rPr>
              <w:t>：在“政采云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客户端”中完成“填写基本信息”、“导入投标文件”、“标书关联”、“标书检查”、“电子签名”、“生成电子标书”等操作。</w:t>
            </w:r>
          </w:p>
          <w:p w14:paraId="5BF2C6F1">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b/>
                <w:color w:val="auto"/>
                <w:sz w:val="24"/>
                <w:szCs w:val="24"/>
                <w:highlight w:val="none"/>
              </w:rPr>
              <w:t>投标文件的递交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在投标截止时间前将加密的投标文件上传至政府采购云平台</w:t>
            </w:r>
            <w:r>
              <w:rPr>
                <w:rFonts w:hint="eastAsia" w:ascii="宋体" w:hAnsi="宋体" w:cs="宋体"/>
                <w:color w:val="auto"/>
                <w:sz w:val="24"/>
                <w:szCs w:val="24"/>
                <w:highlight w:val="none"/>
                <w:lang w:eastAsia="zh-CN"/>
              </w:rPr>
              <w:t>。</w:t>
            </w:r>
          </w:p>
          <w:p w14:paraId="64511417">
            <w:pPr>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投标文件的解密</w:t>
            </w:r>
            <w:r>
              <w:rPr>
                <w:rFonts w:hint="eastAsia" w:ascii="宋体" w:hAnsi="宋体" w:eastAsia="宋体" w:cs="宋体"/>
                <w:color w:val="auto"/>
                <w:sz w:val="24"/>
                <w:szCs w:val="24"/>
                <w:highlight w:val="none"/>
              </w:rPr>
              <w:t>：投标文件解密时间30分钟，开标前需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用CA证书登录政采云平台开标大厅签到，在30分钟解密时间内输入CA证书PIN码解密投标文件。在30分钟解密时间内未进行解密的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将导致投标无效。（解密时间开始时政采云平台将以短信形式向投标人在政采云平台预留的手机号发送短信通知，请投标人及时关注。）</w:t>
            </w:r>
          </w:p>
          <w:p w14:paraId="5184E55D">
            <w:pPr>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rPr>
              <w:t>投标人报价CA签字确认：</w:t>
            </w:r>
            <w:r>
              <w:rPr>
                <w:rFonts w:hint="eastAsia" w:ascii="宋体" w:hAnsi="宋体" w:eastAsia="宋体" w:cs="宋体"/>
                <w:color w:val="auto"/>
                <w:sz w:val="24"/>
                <w:szCs w:val="24"/>
                <w:highlight w:val="none"/>
              </w:rPr>
              <w:t>报价文件开启后将开启签字时段，投标人须在20分钟内用CA证书对报价进行签字确认。</w:t>
            </w:r>
          </w:p>
          <w:p w14:paraId="0400192E">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具</w:t>
            </w:r>
            <w:r>
              <w:rPr>
                <w:rFonts w:hint="eastAsia" w:ascii="宋体" w:hAnsi="宋体" w:eastAsia="宋体" w:cs="宋体"/>
                <w:b/>
                <w:color w:val="auto"/>
                <w:sz w:val="24"/>
                <w:szCs w:val="24"/>
                <w:highlight w:val="none"/>
              </w:rPr>
              <w:t>体操作指南</w:t>
            </w:r>
            <w:r>
              <w:rPr>
                <w:rFonts w:hint="eastAsia" w:ascii="宋体" w:hAnsi="宋体" w:eastAsia="宋体" w:cs="宋体"/>
                <w:color w:val="auto"/>
                <w:sz w:val="24"/>
                <w:szCs w:val="24"/>
                <w:highlight w:val="none"/>
              </w:rPr>
              <w:t>：详见政采云平台“服务中心-帮助文档-项目采购-操作流程-电子招投标-政府采购项目电子交易管理操作指南-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0A6EC658">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"http://www.zcygov.cn/"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14:paraId="4B9E96C3">
            <w:pPr>
              <w:pageBreakBefore w:val="0"/>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14:paraId="1711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29F987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74" w:type="dxa"/>
            <w:vAlign w:val="center"/>
          </w:tcPr>
          <w:p w14:paraId="2D0D425B">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471" w:type="dxa"/>
            <w:gridSpan w:val="2"/>
            <w:vAlign w:val="center"/>
          </w:tcPr>
          <w:p w14:paraId="7478C6C5">
            <w:pPr>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报价包括所投货物相关</w:t>
            </w:r>
            <w:r>
              <w:rPr>
                <w:rFonts w:hint="eastAsia" w:ascii="宋体" w:hAnsi="宋体" w:eastAsia="宋体" w:cs="宋体"/>
                <w:color w:val="auto"/>
                <w:sz w:val="24"/>
                <w:szCs w:val="24"/>
                <w:highlight w:val="none"/>
              </w:rPr>
              <w:t>培训</w:t>
            </w:r>
            <w:r>
              <w:rPr>
                <w:rFonts w:hint="eastAsia" w:ascii="宋体" w:hAnsi="宋体" w:eastAsia="宋体" w:cs="宋体"/>
                <w:color w:val="auto"/>
                <w:sz w:val="24"/>
                <w:szCs w:val="24"/>
                <w:highlight w:val="none"/>
                <w:lang w:eastAsia="zh-CN"/>
              </w:rPr>
              <w:t>等所有技术费用</w:t>
            </w:r>
            <w:r>
              <w:rPr>
                <w:rFonts w:hint="eastAsia" w:ascii="宋体" w:hAnsi="宋体" w:eastAsia="宋体" w:cs="宋体"/>
                <w:color w:val="auto"/>
                <w:sz w:val="24"/>
                <w:szCs w:val="24"/>
                <w:highlight w:val="none"/>
                <w:lang w:val="en-US" w:eastAsia="zh-CN"/>
              </w:rPr>
              <w:t>的总价。</w:t>
            </w:r>
          </w:p>
          <w:p w14:paraId="2525E254">
            <w:pPr>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rPr>
              <w:t>投标人的报价明显低于其他通过符合性审查投标人的报价，有可能影响货物质量或者不能诚信履约的，应当要求其在评标现场合理的时间内提供</w:t>
            </w:r>
            <w:r>
              <w:rPr>
                <w:rFonts w:hint="eastAsia" w:ascii="宋体" w:hAnsi="宋体" w:cs="宋体"/>
                <w:color w:val="auto"/>
                <w:sz w:val="24"/>
                <w:szCs w:val="24"/>
                <w:highlight w:val="none"/>
                <w:lang w:val="en-US" w:eastAsia="zh-CN"/>
              </w:rPr>
              <w:t>报价合理性</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投标人不能证明其报价合理性的，评标委员会将其作为无效投标处理，自行承担相关责任。</w:t>
            </w:r>
          </w:p>
        </w:tc>
      </w:tr>
      <w:tr w14:paraId="6522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1D1E577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74" w:type="dxa"/>
            <w:vAlign w:val="center"/>
          </w:tcPr>
          <w:p w14:paraId="7C51EDA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471" w:type="dxa"/>
            <w:gridSpan w:val="2"/>
            <w:vAlign w:val="center"/>
          </w:tcPr>
          <w:p w14:paraId="1D65141C">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color w:val="auto"/>
                <w:highlight w:val="none"/>
              </w:rPr>
            </w:pP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2E54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11" w:hRule="atLeast"/>
          <w:jc w:val="center"/>
        </w:trPr>
        <w:tc>
          <w:tcPr>
            <w:tcW w:w="673" w:type="dxa"/>
            <w:gridSpan w:val="2"/>
            <w:vAlign w:val="center"/>
          </w:tcPr>
          <w:p w14:paraId="092439A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74" w:type="dxa"/>
            <w:vAlign w:val="center"/>
          </w:tcPr>
          <w:p w14:paraId="26D6CA36">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6471" w:type="dxa"/>
            <w:gridSpan w:val="2"/>
            <w:vAlign w:val="center"/>
          </w:tcPr>
          <w:p w14:paraId="63984CC0">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r>
              <w:rPr>
                <w:rFonts w:hint="eastAsia" w:ascii="宋体" w:hAnsi="宋体" w:cs="宋体"/>
                <w:color w:val="auto"/>
                <w:sz w:val="24"/>
                <w:szCs w:val="24"/>
                <w:highlight w:val="none"/>
                <w:lang w:eastAsia="zh-CN"/>
              </w:rPr>
              <w:t>。</w:t>
            </w:r>
          </w:p>
        </w:tc>
      </w:tr>
      <w:tr w14:paraId="282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69A5241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374" w:type="dxa"/>
            <w:vAlign w:val="center"/>
          </w:tcPr>
          <w:p w14:paraId="70876CA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6471" w:type="dxa"/>
            <w:gridSpan w:val="2"/>
            <w:vAlign w:val="center"/>
          </w:tcPr>
          <w:p w14:paraId="1EEB9CBA">
            <w:pPr>
              <w:pStyle w:val="24"/>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近6个月内任意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个月银行资信证明或</w:t>
            </w:r>
            <w:r>
              <w:rPr>
                <w:rFonts w:hint="eastAsia" w:ascii="宋体" w:hAnsi="宋体" w:eastAsia="宋体" w:cs="宋体"/>
                <w:color w:val="auto"/>
                <w:sz w:val="24"/>
                <w:szCs w:val="24"/>
                <w:highlight w:val="none"/>
                <w:lang w:val="en-US" w:eastAsia="zh-CN"/>
              </w:rPr>
              <w:t>上一年度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2023年度</w:t>
            </w:r>
            <w:r>
              <w:rPr>
                <w:rFonts w:hint="eastAsia" w:ascii="宋体" w:hAnsi="宋体" w:eastAsia="宋体" w:cs="宋体"/>
                <w:color w:val="auto"/>
                <w:sz w:val="24"/>
                <w:szCs w:val="24"/>
                <w:highlight w:val="none"/>
              </w:rPr>
              <w:t>）经审计的审计报告（提供任一项即可，自然人无需提供）。</w:t>
            </w:r>
          </w:p>
          <w:p w14:paraId="49F2B15E">
            <w:pPr>
              <w:pStyle w:val="24"/>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新成立企业仅需提供近6个月内任意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个月银行资信证明即可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新成立企业是指：营业执照申领时间至</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未满一年的企业</w:t>
            </w:r>
            <w:r>
              <w:rPr>
                <w:rFonts w:hint="eastAsia" w:ascii="宋体" w:hAnsi="宋体" w:eastAsia="宋体" w:cs="宋体"/>
                <w:color w:val="auto"/>
                <w:sz w:val="24"/>
                <w:szCs w:val="24"/>
                <w:highlight w:val="none"/>
                <w:lang w:eastAsia="zh-CN"/>
              </w:rPr>
              <w:t>。</w:t>
            </w:r>
          </w:p>
        </w:tc>
      </w:tr>
      <w:tr w14:paraId="502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47AFCA8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374" w:type="dxa"/>
            <w:vAlign w:val="center"/>
          </w:tcPr>
          <w:p w14:paraId="1F84990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投标有效期</w:t>
            </w:r>
          </w:p>
        </w:tc>
        <w:tc>
          <w:tcPr>
            <w:tcW w:w="6471" w:type="dxa"/>
            <w:gridSpan w:val="2"/>
            <w:vAlign w:val="center"/>
          </w:tcPr>
          <w:p w14:paraId="65DC5101">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从提交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文件的截止之日起</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天</w:t>
            </w:r>
          </w:p>
        </w:tc>
      </w:tr>
      <w:tr w14:paraId="2A5C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4919330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374" w:type="dxa"/>
            <w:vAlign w:val="center"/>
          </w:tcPr>
          <w:p w14:paraId="15A17D9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471" w:type="dxa"/>
            <w:gridSpan w:val="2"/>
            <w:vAlign w:val="center"/>
          </w:tcPr>
          <w:p w14:paraId="27E45662">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3D8AE326">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评标专家确定方式：经济、技术专家不少于评标委员会组成人员的三分之二，</w:t>
            </w:r>
            <w:r>
              <w:rPr>
                <w:rFonts w:hint="eastAsia" w:ascii="宋体" w:hAnsi="宋体" w:cs="宋体"/>
                <w:color w:val="auto"/>
                <w:sz w:val="24"/>
                <w:szCs w:val="24"/>
                <w:highlight w:val="none"/>
                <w:lang w:val="en-US" w:eastAsia="zh-CN"/>
              </w:rPr>
              <w:t>除业主专家以外</w:t>
            </w:r>
            <w:r>
              <w:rPr>
                <w:rFonts w:hint="eastAsia" w:ascii="宋体" w:hAnsi="宋体" w:eastAsia="宋体" w:cs="宋体"/>
                <w:color w:val="auto"/>
                <w:sz w:val="24"/>
                <w:szCs w:val="24"/>
                <w:highlight w:val="none"/>
              </w:rPr>
              <w:t>按相关规定从政府采购专家库中随机抽取。</w:t>
            </w:r>
          </w:p>
        </w:tc>
      </w:tr>
      <w:tr w14:paraId="62B4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5311B0F8">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375" w:type="dxa"/>
            <w:gridSpan w:val="2"/>
            <w:vAlign w:val="center"/>
          </w:tcPr>
          <w:p w14:paraId="237F235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471" w:type="dxa"/>
            <w:gridSpan w:val="2"/>
            <w:vAlign w:val="center"/>
          </w:tcPr>
          <w:p w14:paraId="39B7A9B0">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2A3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12CF3A3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375" w:type="dxa"/>
            <w:gridSpan w:val="2"/>
            <w:vAlign w:val="center"/>
          </w:tcPr>
          <w:p w14:paraId="20F278E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471" w:type="dxa"/>
            <w:gridSpan w:val="2"/>
            <w:vAlign w:val="center"/>
          </w:tcPr>
          <w:p w14:paraId="18EE2F99">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名中标候选人。</w:t>
            </w:r>
          </w:p>
        </w:tc>
      </w:tr>
      <w:tr w14:paraId="5471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79C178A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374" w:type="dxa"/>
            <w:vAlign w:val="center"/>
          </w:tcPr>
          <w:p w14:paraId="4D7ED32D">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质保期</w:t>
            </w:r>
          </w:p>
        </w:tc>
        <w:tc>
          <w:tcPr>
            <w:tcW w:w="6471" w:type="dxa"/>
            <w:gridSpan w:val="2"/>
            <w:vAlign w:val="center"/>
          </w:tcPr>
          <w:p w14:paraId="20B079EE">
            <w:pPr>
              <w:pageBreakBefore w:val="0"/>
              <w:kinsoku/>
              <w:wordWrap/>
              <w:overflowPunct/>
              <w:topLinePunct w:val="0"/>
              <w:autoSpaceDE/>
              <w:autoSpaceDN/>
              <w:bidi w:val="0"/>
              <w:spacing w:line="560" w:lineRule="exact"/>
              <w:ind w:left="0" w:leftChars="0" w:right="0" w:rightChars="0" w:firstLine="0" w:firstLineChars="0"/>
              <w:textAlignment w:val="auto"/>
              <w:rPr>
                <w:rFonts w:hint="default"/>
                <w:highlight w:val="none"/>
                <w:lang w:val="en-US" w:eastAsia="zh-CN"/>
              </w:rPr>
            </w:pPr>
            <w:r>
              <w:rPr>
                <w:rFonts w:hint="eastAsia" w:ascii="宋体" w:hAnsi="宋体" w:cs="宋体"/>
                <w:color w:val="auto"/>
                <w:sz w:val="24"/>
                <w:szCs w:val="24"/>
                <w:highlight w:val="none"/>
                <w:lang w:val="en-US" w:eastAsia="zh-CN"/>
              </w:rPr>
              <w:t xml:space="preserve"> 设备质保3年</w:t>
            </w:r>
          </w:p>
        </w:tc>
      </w:tr>
      <w:tr w14:paraId="1DAA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ACF918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374" w:type="dxa"/>
            <w:vAlign w:val="center"/>
          </w:tcPr>
          <w:p w14:paraId="141C5F8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471" w:type="dxa"/>
            <w:gridSpan w:val="2"/>
            <w:vAlign w:val="center"/>
          </w:tcPr>
          <w:p w14:paraId="7AF8F87C">
            <w:pPr>
              <w:pStyle w:val="98"/>
              <w:pageBreakBefore w:val="0"/>
              <w:widowControl/>
              <w:kinsoku/>
              <w:wordWrap/>
              <w:overflowPunct/>
              <w:topLinePunct w:val="0"/>
              <w:autoSpaceDE/>
              <w:autoSpaceDN/>
              <w:bidi w:val="0"/>
              <w:spacing w:line="560" w:lineRule="exact"/>
              <w:ind w:left="0" w:leftChars="0" w:right="0" w:righ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合同签订后支付合同金额的30%，货到安装并验收合格后支付合同金额的65%，剩余5%质保期后无息支付。</w:t>
            </w:r>
            <w:r>
              <w:rPr>
                <w:rFonts w:hint="eastAsia" w:ascii="宋体" w:hAnsi="宋体" w:cs="宋体"/>
                <w:b/>
                <w:bCs/>
                <w:color w:val="auto"/>
                <w:sz w:val="24"/>
                <w:szCs w:val="24"/>
                <w:highlight w:val="none"/>
                <w:lang w:val="en-US" w:eastAsia="zh-CN"/>
              </w:rPr>
              <w:t>最终付款方式以和甲方单位签订为准。</w:t>
            </w:r>
          </w:p>
        </w:tc>
      </w:tr>
      <w:tr w14:paraId="44EE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294DDEC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1374" w:type="dxa"/>
            <w:vAlign w:val="center"/>
          </w:tcPr>
          <w:p w14:paraId="0176B6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招标代理服务费</w:t>
            </w:r>
          </w:p>
        </w:tc>
        <w:tc>
          <w:tcPr>
            <w:tcW w:w="6471" w:type="dxa"/>
            <w:gridSpan w:val="2"/>
            <w:vAlign w:val="center"/>
          </w:tcPr>
          <w:p w14:paraId="3DD81B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参照原国家发展计划委员会文件（计价格[2002]1980号文）和（发改办价格[2003]857号文件），所规定标准</w:t>
            </w:r>
            <w:r>
              <w:rPr>
                <w:rFonts w:hint="eastAsia" w:ascii="宋体" w:hAnsi="宋体" w:cs="宋体"/>
                <w:color w:val="auto"/>
                <w:sz w:val="24"/>
                <w:highlight w:val="none"/>
                <w:lang w:val="en-US" w:eastAsia="zh-CN"/>
              </w:rPr>
              <w:t>下浮50%</w:t>
            </w:r>
            <w:r>
              <w:rPr>
                <w:rFonts w:hint="eastAsia" w:ascii="宋体" w:hAnsi="宋体" w:eastAsia="宋体" w:cs="宋体"/>
                <w:color w:val="auto"/>
                <w:sz w:val="24"/>
                <w:highlight w:val="none"/>
              </w:rPr>
              <w:t>由中标人向招标代理机构支付,</w:t>
            </w:r>
            <w:r>
              <w:rPr>
                <w:rFonts w:hint="eastAsia" w:ascii="宋体" w:hAnsi="宋体" w:eastAsia="宋体" w:cs="宋体"/>
                <w:b w:val="0"/>
                <w:bCs w:val="0"/>
                <w:color w:val="auto"/>
                <w:sz w:val="24"/>
                <w:highlight w:val="none"/>
              </w:rPr>
              <w:t>投标人的投标报价应包含招标代理服务费用。</w:t>
            </w:r>
          </w:p>
        </w:tc>
      </w:tr>
      <w:tr w14:paraId="772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38AD05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1374" w:type="dxa"/>
            <w:vAlign w:val="center"/>
          </w:tcPr>
          <w:p w14:paraId="16528C2B">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71" w:type="dxa"/>
            <w:gridSpan w:val="2"/>
            <w:vAlign w:val="center"/>
          </w:tcPr>
          <w:p w14:paraId="351E92A1">
            <w:pPr>
              <w:pageBreakBefore w:val="0"/>
              <w:numPr>
                <w:ilvl w:val="0"/>
                <w:numId w:val="6"/>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本次招标如有变更、澄清或其他通知将在发布招标公告的网站</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上公布。</w:t>
            </w:r>
          </w:p>
          <w:p w14:paraId="08BA4E9D">
            <w:pPr>
              <w:pageBreakBefore w:val="0"/>
              <w:numPr>
                <w:ilvl w:val="0"/>
                <w:numId w:val="6"/>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重要说明：①本项目采用全流程不见面电子开评标，投标人需要使用CA加密设备，投标人可通过新疆数字证书认证中心官网（https://www.xjca.com.cn/）或下载“新疆政务通”APP自行进行申领。</w:t>
            </w:r>
          </w:p>
          <w:p w14:paraId="6DEFEFB7">
            <w:pPr>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②本项目实行网上投标，采用加密电子投标文件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投标人须使用CA加密设备通过政采云电子投标客户端制作投标文件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。若投标人参与投标，自行承担投标一切费用。</w:t>
            </w:r>
          </w:p>
          <w:p w14:paraId="42BF32E6">
            <w:pPr>
              <w:pageBreakBefore w:val="0"/>
              <w:numPr>
                <w:ilvl w:val="0"/>
                <w:numId w:val="6"/>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投标人使用相同IP地址的，一经发现，相关部门将进一步核实，查实后按串通投标处理。</w:t>
            </w:r>
          </w:p>
        </w:tc>
      </w:tr>
      <w:tr w14:paraId="042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23883786">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1374" w:type="dxa"/>
            <w:vAlign w:val="center"/>
          </w:tcPr>
          <w:p w14:paraId="5C62D85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b/>
                <w:bCs/>
                <w:color w:val="auto"/>
                <w:sz w:val="24"/>
                <w:highlight w:val="none"/>
                <w:lang w:val="en-US" w:eastAsia="zh-CN"/>
              </w:rPr>
              <w:t>低于成本价不正当竞争预防措施</w:t>
            </w:r>
          </w:p>
        </w:tc>
        <w:tc>
          <w:tcPr>
            <w:tcW w:w="6471" w:type="dxa"/>
            <w:gridSpan w:val="2"/>
            <w:vAlign w:val="center"/>
          </w:tcPr>
          <w:p w14:paraId="4BEDF561">
            <w:pPr>
              <w:numPr>
                <w:ilvl w:val="0"/>
                <w:numId w:val="0"/>
              </w:num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低于成本价不正当竞争预防措施（实质性要求）： </w:t>
            </w:r>
          </w:p>
          <w:p w14:paraId="1C61D4AF">
            <w:pPr>
              <w:numPr>
                <w:ilvl w:val="0"/>
                <w:numId w:val="0"/>
              </w:num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1.在评审过程中，评审委员会认为投标供应商投标价低于成本价，有可能影响产品质量或者不能诚信履约的，评审小组应当要求其在开标现场合理的时间内提供书面说明，并提交相关证明材料，投标供应商不能证明其报价合理性的，评审小组应当将其作为无效处理。投标供应商的书面说明材料应当按照国家财务会计制度的规定要求，逐项就投标供应商提供的货物、工程和服务的主营业务成本、税金及附加、销售费用、管理费用、财务费用等成本构成事项详细陈述）。 </w:t>
            </w:r>
          </w:p>
          <w:p w14:paraId="258CEBDC">
            <w:pPr>
              <w:numPr>
                <w:ilvl w:val="0"/>
                <w:numId w:val="0"/>
              </w:num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2.投标供应商书面说明应当签字确认或者加盖公章，否则无效。书面说明的签字确认，由其法定代表人/主要负责人/本人或者其授权代表签字确认。 </w:t>
            </w:r>
          </w:p>
          <w:p w14:paraId="7996BBA1">
            <w:pPr>
              <w:pageBreakBefore w:val="0"/>
              <w:numPr>
                <w:ilvl w:val="0"/>
                <w:numId w:val="0"/>
              </w:numPr>
              <w:kinsoku/>
              <w:wordWrap/>
              <w:overflowPunct/>
              <w:topLinePunct w:val="0"/>
              <w:autoSpaceDE/>
              <w:autoSpaceDN/>
              <w:bidi w:val="0"/>
              <w:spacing w:line="56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b/>
                <w:bCs/>
                <w:color w:val="auto"/>
                <w:sz w:val="24"/>
                <w:highlight w:val="none"/>
                <w:lang w:val="en-US" w:eastAsia="zh-CN"/>
              </w:rPr>
              <w:t>3.投标供应商提供书面说明后，评标小组应当结合采购项目采购需求、专业实际情况、投标供应商财务状况报告、与其他投标供应商比较情况等就投标供应商书面说明进行审查评价。投标供应商拒绝或者变相拒绝提供有效书面说明或者书面说明不能证明其报价合理性的或未在规定时间内递交有效书面说明书的，评标小组应当将其响应文件作为无效处理。</w:t>
            </w:r>
          </w:p>
        </w:tc>
      </w:tr>
    </w:tbl>
    <w:p w14:paraId="4817E482">
      <w:pPr>
        <w:pStyle w:val="3"/>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0C4EB6A1">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5" w:name="_Toc183682342"/>
      <w:bookmarkStart w:id="46" w:name="_Toc183582205"/>
      <w:bookmarkStart w:id="47" w:name="_Toc217446034"/>
      <w:r>
        <w:rPr>
          <w:rFonts w:hint="eastAsia" w:ascii="宋体" w:hAnsi="宋体" w:eastAsia="宋体" w:cs="宋体"/>
          <w:b/>
          <w:bCs/>
          <w:color w:val="auto"/>
          <w:sz w:val="24"/>
          <w:szCs w:val="24"/>
          <w:highlight w:val="none"/>
        </w:rPr>
        <w:t>1.</w:t>
      </w:r>
      <w:bookmarkEnd w:id="45"/>
      <w:bookmarkEnd w:id="46"/>
      <w:r>
        <w:rPr>
          <w:rFonts w:hint="eastAsia" w:ascii="宋体" w:hAnsi="宋体" w:eastAsia="宋体" w:cs="宋体"/>
          <w:b/>
          <w:bCs/>
          <w:color w:val="auto"/>
          <w:sz w:val="24"/>
          <w:szCs w:val="24"/>
          <w:highlight w:val="none"/>
        </w:rPr>
        <w:t xml:space="preserve"> 适用范围</w:t>
      </w:r>
      <w:bookmarkEnd w:id="47"/>
    </w:p>
    <w:p w14:paraId="4931024B">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3986448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8" w:name="_Toc183582206"/>
      <w:bookmarkStart w:id="49" w:name="_Toc183682343"/>
      <w:bookmarkStart w:id="50" w:name="_Toc217446035"/>
      <w:r>
        <w:rPr>
          <w:rFonts w:hint="eastAsia" w:ascii="宋体" w:hAnsi="宋体" w:eastAsia="宋体" w:cs="宋体"/>
          <w:b/>
          <w:bCs/>
          <w:color w:val="auto"/>
          <w:sz w:val="24"/>
          <w:szCs w:val="24"/>
          <w:highlight w:val="none"/>
        </w:rPr>
        <w:t xml:space="preserve">2. </w:t>
      </w:r>
      <w:bookmarkEnd w:id="48"/>
      <w:bookmarkEnd w:id="49"/>
      <w:r>
        <w:rPr>
          <w:rFonts w:hint="eastAsia" w:ascii="宋体" w:hAnsi="宋体" w:eastAsia="宋体" w:cs="宋体"/>
          <w:b/>
          <w:bCs/>
          <w:color w:val="auto"/>
          <w:sz w:val="24"/>
          <w:szCs w:val="24"/>
          <w:highlight w:val="none"/>
        </w:rPr>
        <w:t>有关定义</w:t>
      </w:r>
      <w:bookmarkEnd w:id="50"/>
    </w:p>
    <w:p w14:paraId="636EB92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eastAsia="zh-CN"/>
        </w:rPr>
        <w:t xml:space="preserve"> 新疆维吾尔自治区中医医院</w:t>
      </w:r>
      <w:r>
        <w:rPr>
          <w:rFonts w:hint="eastAsia" w:ascii="宋体" w:hAnsi="宋体" w:eastAsia="宋体" w:cs="宋体"/>
          <w:color w:val="auto"/>
          <w:sz w:val="24"/>
          <w:szCs w:val="24"/>
          <w:highlight w:val="none"/>
        </w:rPr>
        <w:t>。</w:t>
      </w:r>
    </w:p>
    <w:p w14:paraId="116C138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cs="宋体"/>
          <w:color w:val="auto"/>
          <w:sz w:val="24"/>
          <w:szCs w:val="24"/>
          <w:highlight w:val="none"/>
          <w:u w:val="single"/>
          <w:lang w:eastAsia="zh-CN"/>
        </w:rPr>
        <w:t xml:space="preserve"> 新疆中咨建设项目管理有限公司</w:t>
      </w:r>
      <w:r>
        <w:rPr>
          <w:rFonts w:hint="eastAsia" w:ascii="宋体" w:hAnsi="宋体" w:eastAsia="宋体" w:cs="宋体"/>
          <w:color w:val="auto"/>
          <w:sz w:val="24"/>
          <w:szCs w:val="24"/>
          <w:highlight w:val="none"/>
          <w:u w:val="single"/>
        </w:rPr>
        <w:t>。</w:t>
      </w:r>
    </w:p>
    <w:p w14:paraId="4B976742">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100CC2DB">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“投标人”指下载了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文件拟参加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和向采购人提供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p>
    <w:p w14:paraId="190EAEE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1" w:name="_Toc183682344"/>
      <w:bookmarkStart w:id="52" w:name="_Toc217390843"/>
      <w:bookmarkStart w:id="53" w:name="_Toc183582207"/>
      <w:bookmarkStart w:id="54" w:name="_Toc217446036"/>
      <w:r>
        <w:rPr>
          <w:rFonts w:hint="eastAsia" w:ascii="宋体" w:hAnsi="宋体" w:eastAsia="宋体" w:cs="宋体"/>
          <w:b/>
          <w:bCs/>
          <w:color w:val="auto"/>
          <w:sz w:val="24"/>
          <w:szCs w:val="24"/>
          <w:highlight w:val="none"/>
        </w:rPr>
        <w:t>3. 合格的</w:t>
      </w:r>
      <w:bookmarkEnd w:id="51"/>
      <w:bookmarkEnd w:id="52"/>
      <w:bookmarkEnd w:id="53"/>
      <w:bookmarkEnd w:id="54"/>
      <w:r>
        <w:rPr>
          <w:rFonts w:hint="eastAsia" w:ascii="宋体" w:hAnsi="宋体" w:eastAsia="宋体" w:cs="宋体"/>
          <w:b/>
          <w:bCs/>
          <w:color w:val="auto"/>
          <w:sz w:val="24"/>
          <w:szCs w:val="24"/>
          <w:highlight w:val="none"/>
        </w:rPr>
        <w:t>投标人</w:t>
      </w:r>
    </w:p>
    <w:p w14:paraId="687E242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24F50C1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73D9909C">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07F35B0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文件并按要求</w:t>
      </w:r>
      <w:r>
        <w:rPr>
          <w:rFonts w:hint="eastAsia" w:ascii="宋体" w:hAnsi="宋体" w:eastAsia="宋体" w:cs="宋体"/>
          <w:color w:val="auto"/>
          <w:sz w:val="24"/>
          <w:szCs w:val="24"/>
          <w:highlight w:val="none"/>
          <w:lang w:val="en-US" w:eastAsia="zh-CN"/>
        </w:rPr>
        <w:t>缴纳投标</w:t>
      </w:r>
      <w:r>
        <w:rPr>
          <w:rFonts w:hint="eastAsia" w:ascii="宋体" w:hAnsi="宋体" w:eastAsia="宋体" w:cs="宋体"/>
          <w:color w:val="auto"/>
          <w:sz w:val="24"/>
          <w:szCs w:val="24"/>
          <w:highlight w:val="none"/>
        </w:rPr>
        <w:t>保证金。</w:t>
      </w:r>
    </w:p>
    <w:p w14:paraId="5670AA0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5" w:name="_Toc183582208"/>
      <w:bookmarkStart w:id="56" w:name="_Toc217446037"/>
      <w:bookmarkStart w:id="57" w:name="_Toc183682345"/>
      <w:r>
        <w:rPr>
          <w:rFonts w:hint="eastAsia" w:ascii="宋体" w:hAnsi="宋体" w:eastAsia="宋体" w:cs="宋体"/>
          <w:b/>
          <w:bCs/>
          <w:color w:val="auto"/>
          <w:sz w:val="24"/>
          <w:szCs w:val="24"/>
          <w:highlight w:val="none"/>
        </w:rPr>
        <w:t>4. 投标费用</w:t>
      </w:r>
      <w:bookmarkEnd w:id="55"/>
      <w:bookmarkEnd w:id="56"/>
      <w:bookmarkEnd w:id="57"/>
    </w:p>
    <w:p w14:paraId="0479D03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47A095E2">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bookmarkStart w:id="58" w:name="_Toc217446038"/>
      <w:bookmarkStart w:id="59" w:name="_Toc183682346"/>
      <w:bookmarkStart w:id="60" w:name="_Toc89075875"/>
      <w:bookmarkStart w:id="61" w:name="_Toc77400779"/>
      <w:bookmarkStart w:id="62" w:name="_Toc183582209"/>
      <w:r>
        <w:rPr>
          <w:rFonts w:hint="eastAsia" w:ascii="宋体" w:hAnsi="宋体" w:eastAsia="宋体" w:cs="宋体"/>
          <w:bCs w:val="0"/>
          <w:color w:val="auto"/>
          <w:sz w:val="24"/>
          <w:szCs w:val="24"/>
          <w:highlight w:val="none"/>
        </w:rPr>
        <w:t>三、</w:t>
      </w:r>
      <w:bookmarkEnd w:id="58"/>
      <w:bookmarkEnd w:id="59"/>
      <w:bookmarkEnd w:id="60"/>
      <w:bookmarkEnd w:id="61"/>
      <w:bookmarkEnd w:id="62"/>
      <w:r>
        <w:rPr>
          <w:rFonts w:hint="eastAsia" w:ascii="宋体" w:hAnsi="宋体" w:eastAsia="宋体" w:cs="宋体"/>
          <w:bCs w:val="0"/>
          <w:color w:val="auto"/>
          <w:sz w:val="24"/>
          <w:szCs w:val="24"/>
          <w:highlight w:val="none"/>
        </w:rPr>
        <w:t>招标文件</w:t>
      </w:r>
    </w:p>
    <w:p w14:paraId="0A0D6B28">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63" w:name="_Toc183582210"/>
      <w:bookmarkStart w:id="64" w:name="_Toc217446039"/>
      <w:bookmarkStart w:id="65" w:name="_Toc183682347"/>
      <w:r>
        <w:rPr>
          <w:rFonts w:hint="eastAsia" w:ascii="宋体" w:hAnsi="宋体" w:eastAsia="宋体" w:cs="宋体"/>
          <w:b/>
          <w:bCs/>
          <w:color w:val="auto"/>
          <w:sz w:val="24"/>
          <w:szCs w:val="24"/>
          <w:highlight w:val="none"/>
        </w:rPr>
        <w:t>5．招标文件的构成</w:t>
      </w:r>
      <w:bookmarkEnd w:id="63"/>
      <w:bookmarkEnd w:id="64"/>
      <w:bookmarkEnd w:id="65"/>
    </w:p>
    <w:p w14:paraId="4667201C">
      <w:pPr>
        <w:pageBreakBefore w:val="0"/>
        <w:tabs>
          <w:tab w:val="left" w:pos="72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AEEE2B2">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0A8F2488">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278D87A3">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095123E8">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ab/>
      </w:r>
    </w:p>
    <w:p w14:paraId="50FE7F62">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1FF3C9F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7656793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76C1DE87">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bCs/>
          <w:color w:val="auto"/>
          <w:sz w:val="24"/>
          <w:szCs w:val="24"/>
          <w:highlight w:val="none"/>
        </w:rPr>
      </w:pPr>
      <w:bookmarkStart w:id="66" w:name="_Toc183582211"/>
      <w:bookmarkStart w:id="67" w:name="_Toc183682348"/>
      <w:bookmarkStart w:id="68" w:name="_Toc217446040"/>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 招标文件的澄清</w:t>
      </w:r>
      <w:bookmarkEnd w:id="66"/>
      <w:bookmarkEnd w:id="67"/>
      <w:r>
        <w:rPr>
          <w:rFonts w:hint="eastAsia" w:ascii="宋体" w:hAnsi="宋体" w:eastAsia="宋体" w:cs="宋体"/>
          <w:b/>
          <w:bCs/>
          <w:color w:val="auto"/>
          <w:sz w:val="24"/>
          <w:szCs w:val="24"/>
          <w:highlight w:val="none"/>
        </w:rPr>
        <w:t>和修改</w:t>
      </w:r>
      <w:bookmarkEnd w:id="68"/>
    </w:p>
    <w:p w14:paraId="069F527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9" w:name="_Toc208848971"/>
      <w:bookmarkStart w:id="70" w:name="_Toc21744604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8721A9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3CBC54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答疑会和现场考察</w:t>
      </w:r>
      <w:bookmarkEnd w:id="69"/>
      <w:bookmarkEnd w:id="70"/>
      <w:r>
        <w:rPr>
          <w:rFonts w:hint="eastAsia" w:ascii="宋体" w:hAnsi="宋体" w:eastAsia="宋体" w:cs="宋体"/>
          <w:b/>
          <w:bCs/>
          <w:color w:val="auto"/>
          <w:sz w:val="24"/>
          <w:szCs w:val="24"/>
          <w:highlight w:val="none"/>
        </w:rPr>
        <w:t>。</w:t>
      </w:r>
    </w:p>
    <w:p w14:paraId="48F2C13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71" w:name="_Toc183582214"/>
      <w:bookmarkStart w:id="72" w:name="_Toc217446042"/>
      <w:bookmarkStart w:id="73" w:name="_Toc89075876"/>
      <w:bookmarkStart w:id="74" w:name="_Toc183682351"/>
      <w:bookmarkStart w:id="75" w:name="_Toc77400780"/>
      <w:r>
        <w:rPr>
          <w:rFonts w:hint="eastAsia" w:ascii="宋体" w:hAnsi="宋体" w:eastAsia="宋体" w:cs="宋体"/>
          <w:color w:val="auto"/>
          <w:sz w:val="24"/>
          <w:szCs w:val="24"/>
          <w:highlight w:val="none"/>
        </w:rPr>
        <w:t>7.1 本项目不组织答疑会和现场考察。</w:t>
      </w:r>
    </w:p>
    <w:p w14:paraId="3E22EB30">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71"/>
      <w:bookmarkEnd w:id="72"/>
      <w:bookmarkEnd w:id="73"/>
      <w:bookmarkEnd w:id="74"/>
      <w:bookmarkEnd w:id="75"/>
      <w:r>
        <w:rPr>
          <w:rFonts w:hint="eastAsia" w:ascii="宋体" w:hAnsi="宋体" w:eastAsia="宋体" w:cs="宋体"/>
          <w:bCs w:val="0"/>
          <w:color w:val="auto"/>
          <w:sz w:val="24"/>
          <w:szCs w:val="24"/>
          <w:highlight w:val="none"/>
        </w:rPr>
        <w:t>投标文件</w:t>
      </w:r>
    </w:p>
    <w:p w14:paraId="378BD9F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6" w:name="_Toc183582215"/>
      <w:bookmarkStart w:id="77" w:name="_Toc217446043"/>
      <w:bookmarkStart w:id="78" w:name="_Toc183682352"/>
      <w:r>
        <w:rPr>
          <w:rFonts w:hint="eastAsia" w:ascii="宋体" w:hAnsi="宋体" w:eastAsia="宋体" w:cs="宋体"/>
          <w:b/>
          <w:bCs/>
          <w:color w:val="auto"/>
          <w:sz w:val="24"/>
          <w:szCs w:val="24"/>
          <w:highlight w:val="none"/>
        </w:rPr>
        <w:t>8．投标文件的语言</w:t>
      </w:r>
      <w:bookmarkEnd w:id="76"/>
      <w:bookmarkEnd w:id="77"/>
      <w:bookmarkEnd w:id="78"/>
    </w:p>
    <w:p w14:paraId="44BE7D5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DE10AC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8D4FAE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9" w:name="_Toc183682353"/>
      <w:bookmarkStart w:id="80" w:name="_Toc217446044"/>
      <w:bookmarkStart w:id="81" w:name="_Toc183582216"/>
      <w:r>
        <w:rPr>
          <w:rFonts w:hint="eastAsia" w:ascii="宋体" w:hAnsi="宋体" w:eastAsia="宋体" w:cs="宋体"/>
          <w:b/>
          <w:bCs/>
          <w:color w:val="auto"/>
          <w:sz w:val="24"/>
          <w:szCs w:val="24"/>
          <w:highlight w:val="none"/>
        </w:rPr>
        <w:t>9．计量单位</w:t>
      </w:r>
      <w:bookmarkEnd w:id="79"/>
      <w:bookmarkEnd w:id="80"/>
      <w:bookmarkEnd w:id="81"/>
    </w:p>
    <w:p w14:paraId="2DA11B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41DF1D83">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2" w:name="_Toc217446045"/>
      <w:r>
        <w:rPr>
          <w:rFonts w:hint="eastAsia" w:ascii="宋体" w:hAnsi="宋体" w:eastAsia="宋体" w:cs="宋体"/>
          <w:b/>
          <w:bCs/>
          <w:color w:val="auto"/>
          <w:sz w:val="24"/>
          <w:szCs w:val="24"/>
          <w:highlight w:val="none"/>
        </w:rPr>
        <w:t>10. 投标货币</w:t>
      </w:r>
      <w:bookmarkEnd w:id="82"/>
    </w:p>
    <w:p w14:paraId="047B4063">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CB30FB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3" w:name="_Toc217446046"/>
      <w:r>
        <w:rPr>
          <w:rFonts w:hint="eastAsia" w:ascii="宋体" w:hAnsi="宋体" w:eastAsia="宋体" w:cs="宋体"/>
          <w:b/>
          <w:bCs/>
          <w:color w:val="auto"/>
          <w:sz w:val="24"/>
          <w:szCs w:val="24"/>
          <w:highlight w:val="none"/>
        </w:rPr>
        <w:t>11. 联合体投标</w:t>
      </w:r>
      <w:bookmarkEnd w:id="83"/>
    </w:p>
    <w:p w14:paraId="60F6846D">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条。</w:t>
      </w:r>
    </w:p>
    <w:p w14:paraId="42DBB5A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4" w:name="_Toc217446047"/>
      <w:r>
        <w:rPr>
          <w:rFonts w:hint="eastAsia" w:ascii="宋体" w:hAnsi="宋体" w:eastAsia="宋体" w:cs="宋体"/>
          <w:b/>
          <w:bCs/>
          <w:color w:val="auto"/>
          <w:sz w:val="24"/>
          <w:szCs w:val="24"/>
          <w:highlight w:val="none"/>
        </w:rPr>
        <w:t>12. 知识产权</w:t>
      </w:r>
      <w:bookmarkEnd w:id="84"/>
    </w:p>
    <w:p w14:paraId="77105AE2">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72E63292">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0232A52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9F276D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3A11C1B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5" w:name="_Toc183582217"/>
      <w:bookmarkStart w:id="86" w:name="_Toc217446048"/>
      <w:bookmarkStart w:id="87" w:name="_Toc183682354"/>
      <w:r>
        <w:rPr>
          <w:rFonts w:hint="eastAsia" w:ascii="宋体" w:hAnsi="宋体" w:eastAsia="宋体" w:cs="宋体"/>
          <w:b/>
          <w:bCs/>
          <w:color w:val="auto"/>
          <w:sz w:val="24"/>
          <w:szCs w:val="24"/>
          <w:highlight w:val="none"/>
        </w:rPr>
        <w:t>13．投标文件的组成</w:t>
      </w:r>
      <w:bookmarkEnd w:id="85"/>
      <w:bookmarkEnd w:id="86"/>
      <w:bookmarkEnd w:id="87"/>
    </w:p>
    <w:p w14:paraId="710DF8A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7E93B3A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0000FF"/>
          <w:sz w:val="24"/>
          <w:szCs w:val="24"/>
          <w:highlight w:val="none"/>
        </w:rPr>
      </w:pPr>
      <w:bookmarkStart w:id="88" w:name="_Toc183582218"/>
      <w:bookmarkStart w:id="89" w:name="_Toc217446049"/>
      <w:bookmarkStart w:id="90" w:name="_Toc183682355"/>
      <w:r>
        <w:rPr>
          <w:rFonts w:hint="eastAsia" w:ascii="宋体" w:hAnsi="宋体" w:eastAsia="宋体" w:cs="宋体"/>
          <w:color w:val="0000FF"/>
          <w:sz w:val="24"/>
          <w:szCs w:val="24"/>
          <w:highlight w:val="none"/>
        </w:rPr>
        <w:t>一、投标函</w:t>
      </w:r>
    </w:p>
    <w:p w14:paraId="4548A49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开标一览表及</w:t>
      </w:r>
      <w:r>
        <w:rPr>
          <w:rFonts w:hint="eastAsia" w:ascii="宋体" w:hAnsi="宋体" w:cs="宋体"/>
          <w:color w:val="auto"/>
          <w:sz w:val="24"/>
          <w:szCs w:val="24"/>
          <w:highlight w:val="none"/>
          <w:lang w:eastAsia="zh-CN"/>
        </w:rPr>
        <w:t>分项报价明细表</w:t>
      </w:r>
    </w:p>
    <w:p w14:paraId="19B7716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0FE5F35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781ECFE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5ABB734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拟配备人员简介</w:t>
      </w:r>
    </w:p>
    <w:p w14:paraId="25E5A5F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、近年</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项目情况表</w:t>
      </w:r>
    </w:p>
    <w:p w14:paraId="4CF372D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、商务、技术需求偏离表</w:t>
      </w:r>
    </w:p>
    <w:p w14:paraId="6899AEA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服务承诺及技术方案</w:t>
      </w:r>
    </w:p>
    <w:p w14:paraId="6214179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十、政府采购政策</w:t>
      </w:r>
    </w:p>
    <w:p w14:paraId="5451B02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、投标人认为需要提供的资料</w:t>
      </w:r>
    </w:p>
    <w:p w14:paraId="42852CC8">
      <w:pPr>
        <w:pageBreakBefore w:val="0"/>
        <w:tabs>
          <w:tab w:val="left" w:pos="3480"/>
        </w:tabs>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14．投标文件格式</w:t>
      </w:r>
      <w:bookmarkEnd w:id="88"/>
      <w:bookmarkEnd w:id="89"/>
      <w:bookmarkEnd w:id="90"/>
      <w:r>
        <w:rPr>
          <w:rFonts w:hint="eastAsia" w:ascii="宋体" w:hAnsi="宋体" w:eastAsia="宋体" w:cs="宋体"/>
          <w:color w:val="auto"/>
          <w:sz w:val="24"/>
          <w:szCs w:val="24"/>
          <w:highlight w:val="none"/>
        </w:rPr>
        <w:tab/>
      </w:r>
    </w:p>
    <w:p w14:paraId="2413B94A">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18AC900F">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7E0B405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1" w:name="_Toc183682360"/>
      <w:bookmarkStart w:id="92" w:name="_Toc183582223"/>
      <w:bookmarkStart w:id="93" w:name="_Toc217446050"/>
      <w:r>
        <w:rPr>
          <w:rFonts w:hint="eastAsia" w:ascii="宋体" w:hAnsi="宋体" w:eastAsia="宋体" w:cs="宋体"/>
          <w:b/>
          <w:bCs/>
          <w:color w:val="auto"/>
          <w:sz w:val="24"/>
          <w:szCs w:val="24"/>
          <w:highlight w:val="none"/>
        </w:rPr>
        <w:t>15．投标保证金</w:t>
      </w:r>
      <w:bookmarkEnd w:id="91"/>
      <w:bookmarkEnd w:id="92"/>
      <w:bookmarkEnd w:id="93"/>
    </w:p>
    <w:p w14:paraId="643EAF4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33B7960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FAD72D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779EE41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4AFF63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14:paraId="3692312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94" w:name="_Toc183682361"/>
      <w:bookmarkStart w:id="95" w:name="_Toc183582224"/>
      <w:bookmarkStart w:id="96" w:name="_Toc217446051"/>
      <w:r>
        <w:rPr>
          <w:rFonts w:hint="eastAsia" w:ascii="宋体" w:hAnsi="宋体" w:eastAsia="宋体" w:cs="宋体"/>
          <w:color w:val="auto"/>
          <w:sz w:val="24"/>
          <w:szCs w:val="24"/>
          <w:highlight w:val="none"/>
        </w:rPr>
        <w:t>（1）投标人在提交投标文件截止时间后撤回投标文件的；</w:t>
      </w:r>
    </w:p>
    <w:p w14:paraId="1B82CAD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2BFC2BE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3771AC7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14:paraId="356932A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14:paraId="18C675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14:paraId="255F4A7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1EC6D3A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361D65B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16．投标有效期</w:t>
      </w:r>
      <w:bookmarkEnd w:id="94"/>
      <w:bookmarkEnd w:id="95"/>
      <w:bookmarkEnd w:id="96"/>
    </w:p>
    <w:p w14:paraId="0B2DC3B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rPr>
        <w:t>。投标有效期短于此规定期限的，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48CB2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624E8B4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7" w:name="_Toc183582225"/>
      <w:bookmarkStart w:id="98" w:name="_Toc217446052"/>
      <w:bookmarkStart w:id="99" w:name="_Toc183682362"/>
      <w:r>
        <w:rPr>
          <w:rFonts w:hint="eastAsia" w:ascii="宋体" w:hAnsi="宋体" w:eastAsia="宋体" w:cs="宋体"/>
          <w:b/>
          <w:bCs/>
          <w:color w:val="auto"/>
          <w:sz w:val="24"/>
          <w:szCs w:val="24"/>
          <w:highlight w:val="none"/>
        </w:rPr>
        <w:t>17．</w:t>
      </w:r>
      <w:bookmarkEnd w:id="97"/>
      <w:bookmarkEnd w:id="98"/>
      <w:bookmarkEnd w:id="99"/>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的签署</w:t>
      </w:r>
    </w:p>
    <w:p w14:paraId="0089B159">
      <w:pPr>
        <w:pageBreakBefore w:val="0"/>
        <w:widowControl w:val="0"/>
        <w:tabs>
          <w:tab w:val="left" w:pos="1080"/>
        </w:tabs>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00" w:name="_Toc183682363"/>
      <w:bookmarkStart w:id="101" w:name="_Toc77400781"/>
      <w:bookmarkStart w:id="102" w:name="_Toc183582226"/>
      <w:bookmarkStart w:id="103" w:name="_Toc89075877"/>
      <w:bookmarkStart w:id="104" w:name="_Toc217446053"/>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的要求制作、签署、盖章，内容应完整。</w:t>
      </w:r>
    </w:p>
    <w:p w14:paraId="39EBCAFB">
      <w:pPr>
        <w:pageBreakBefore w:val="0"/>
        <w:numPr>
          <w:ilvl w:val="0"/>
          <w:numId w:val="0"/>
        </w:numPr>
        <w:wordWrap/>
        <w:overflowPunct/>
        <w:topLinePunct w:val="0"/>
        <w:bidi w:val="0"/>
        <w:spacing w:line="560" w:lineRule="exact"/>
        <w:ind w:leftChars="200" w:right="0" w:rightChars="0"/>
        <w:rPr>
          <w:rFonts w:hint="eastAsia" w:ascii="宋体" w:hAnsi="宋体" w:eastAsia="宋体" w:cs="宋体"/>
          <w:color w:val="auto"/>
          <w:kern w:val="0"/>
          <w:sz w:val="24"/>
          <w:szCs w:val="24"/>
          <w:highlight w:val="none"/>
        </w:rPr>
      </w:pPr>
      <w:r>
        <w:rPr>
          <w:rFonts w:hint="eastAsia" w:ascii="宋体" w:hAnsi="宋体" w:cs="宋体"/>
          <w:b/>
          <w:bCs/>
          <w:color w:val="auto"/>
          <w:sz w:val="24"/>
          <w:szCs w:val="24"/>
          <w:highlight w:val="none"/>
          <w:lang w:val="en-US" w:eastAsia="zh-CN"/>
        </w:rPr>
        <w:t xml:space="preserve">18. </w:t>
      </w:r>
      <w:r>
        <w:rPr>
          <w:rFonts w:hint="eastAsia" w:ascii="宋体" w:hAnsi="宋体" w:eastAsia="宋体" w:cs="宋体"/>
          <w:b/>
          <w:bCs/>
          <w:color w:val="auto"/>
          <w:sz w:val="24"/>
          <w:szCs w:val="24"/>
          <w:highlight w:val="none"/>
        </w:rPr>
        <w:t>投标文件的</w:t>
      </w:r>
      <w:r>
        <w:rPr>
          <w:rFonts w:hint="eastAsia" w:ascii="宋体" w:hAnsi="宋体" w:eastAsia="宋体" w:cs="宋体"/>
          <w:b/>
          <w:bCs/>
          <w:color w:val="auto"/>
          <w:sz w:val="24"/>
          <w:szCs w:val="24"/>
          <w:highlight w:val="none"/>
          <w:lang w:val="en-US" w:eastAsia="zh-CN"/>
        </w:rPr>
        <w:t>加密</w:t>
      </w:r>
      <w:bookmarkEnd w:id="100"/>
      <w:bookmarkEnd w:id="101"/>
      <w:bookmarkEnd w:id="102"/>
      <w:bookmarkEnd w:id="103"/>
      <w:bookmarkEnd w:id="104"/>
      <w:r>
        <w:rPr>
          <w:rFonts w:hint="eastAsia" w:ascii="宋体" w:hAnsi="宋体" w:eastAsia="宋体" w:cs="宋体"/>
          <w:b/>
          <w:bCs/>
          <w:color w:val="auto"/>
          <w:sz w:val="24"/>
          <w:szCs w:val="24"/>
          <w:highlight w:val="none"/>
          <w:lang w:val="en-US" w:eastAsia="zh-CN"/>
        </w:rPr>
        <w:t>和上传</w:t>
      </w:r>
    </w:p>
    <w:p w14:paraId="47578BDE">
      <w:pPr>
        <w:pageBreakBefore w:val="0"/>
        <w:numPr>
          <w:ilvl w:val="0"/>
          <w:numId w:val="0"/>
        </w:numPr>
        <w:wordWrap/>
        <w:overflowPunct/>
        <w:topLinePunct w:val="0"/>
        <w:bidi w:val="0"/>
        <w:spacing w:line="560" w:lineRule="exact"/>
        <w:ind w:left="0" w:leftChars="0" w:right="0" w:rightChars="0" w:firstLine="481"/>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18.1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投标文件（“.jmbs”格式）</w:t>
      </w:r>
      <w:r>
        <w:rPr>
          <w:rFonts w:hint="eastAsia" w:ascii="宋体" w:hAnsi="宋体" w:eastAsia="宋体" w:cs="宋体"/>
          <w:color w:val="auto"/>
          <w:kern w:val="0"/>
          <w:sz w:val="24"/>
          <w:szCs w:val="24"/>
          <w:highlight w:val="none"/>
        </w:rPr>
        <w:t>上传方式；</w:t>
      </w:r>
      <w:r>
        <w:rPr>
          <w:rFonts w:hint="eastAsia" w:ascii="宋体" w:hAnsi="宋体" w:eastAsia="宋体" w:cs="宋体"/>
          <w:color w:val="auto"/>
          <w:sz w:val="24"/>
          <w:szCs w:val="24"/>
          <w:highlight w:val="none"/>
        </w:rPr>
        <w:t>投标人应当在投标截止时间前，将“电子招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r>
        <w:rPr>
          <w:rFonts w:hint="eastAsia" w:ascii="宋体" w:hAnsi="宋体" w:eastAsia="宋体" w:cs="宋体"/>
          <w:color w:val="auto"/>
          <w:sz w:val="24"/>
          <w:szCs w:val="24"/>
          <w:highlight w:val="none"/>
          <w:lang w:eastAsia="zh-CN"/>
        </w:rPr>
        <w:t>，成功上传电子加密投标文件后，可自行打印投标文件接收回执</w:t>
      </w:r>
      <w:r>
        <w:rPr>
          <w:rFonts w:hint="eastAsia" w:ascii="宋体" w:hAnsi="宋体" w:eastAsia="宋体" w:cs="宋体"/>
          <w:color w:val="auto"/>
          <w:sz w:val="24"/>
          <w:szCs w:val="24"/>
          <w:highlight w:val="none"/>
        </w:rPr>
        <w:t>。</w:t>
      </w:r>
    </w:p>
    <w:p w14:paraId="5EABF64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cs="宋体"/>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中标人</w:t>
      </w:r>
      <w:r>
        <w:rPr>
          <w:rFonts w:hint="eastAsia" w:ascii="宋体" w:hAnsi="宋体" w:eastAsia="宋体" w:cs="宋体"/>
          <w:b w:val="0"/>
          <w:bCs/>
          <w:color w:val="auto"/>
          <w:sz w:val="24"/>
          <w:szCs w:val="24"/>
          <w:highlight w:val="none"/>
          <w:lang w:val="en-US" w:eastAsia="zh-CN"/>
        </w:rPr>
        <w:t>须在</w:t>
      </w:r>
      <w:r>
        <w:rPr>
          <w:rFonts w:hint="eastAsia" w:ascii="宋体" w:hAnsi="宋体" w:eastAsia="宋体" w:cs="宋体"/>
          <w:b/>
          <w:bCs w:val="0"/>
          <w:color w:val="auto"/>
          <w:sz w:val="24"/>
          <w:szCs w:val="24"/>
          <w:highlight w:val="none"/>
          <w:lang w:val="en-US" w:eastAsia="zh-CN"/>
        </w:rPr>
        <w:t>招标结束后五个工作日内</w:t>
      </w:r>
      <w:r>
        <w:rPr>
          <w:rFonts w:hint="eastAsia" w:ascii="宋体" w:hAnsi="宋体" w:eastAsia="宋体" w:cs="宋体"/>
          <w:b w:val="0"/>
          <w:bCs/>
          <w:color w:val="auto"/>
          <w:sz w:val="24"/>
          <w:szCs w:val="24"/>
          <w:highlight w:val="none"/>
          <w:lang w:val="en-US" w:eastAsia="zh-CN"/>
        </w:rPr>
        <w:t>向采购代理机构递交</w:t>
      </w:r>
      <w:r>
        <w:rPr>
          <w:rFonts w:hint="eastAsia" w:ascii="宋体" w:hAnsi="宋体" w:eastAsia="宋体" w:cs="宋体"/>
          <w:b/>
          <w:bCs w:val="0"/>
          <w:color w:val="auto"/>
          <w:sz w:val="24"/>
          <w:szCs w:val="24"/>
          <w:highlight w:val="none"/>
          <w:lang w:val="en-US" w:eastAsia="zh-CN"/>
        </w:rPr>
        <w:t>签章纸质版投标文件一正一副（用于档案资料编制）</w:t>
      </w:r>
      <w:r>
        <w:rPr>
          <w:rFonts w:hint="eastAsia" w:ascii="宋体" w:hAnsi="宋体" w:eastAsia="宋体" w:cs="宋体"/>
          <w:b w:val="0"/>
          <w:bCs/>
          <w:color w:val="auto"/>
          <w:sz w:val="24"/>
          <w:szCs w:val="24"/>
          <w:highlight w:val="none"/>
          <w:lang w:val="en-US" w:eastAsia="zh-CN"/>
        </w:rPr>
        <w:t>，纸质版投标文件须与政采云平台上传的电子版投标文件保持一致。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p w14:paraId="15FBC129">
      <w:pPr>
        <w:pStyle w:val="6"/>
        <w:pageBreakBefore w:val="0"/>
        <w:wordWrap/>
        <w:overflowPunct/>
        <w:topLinePunct w:val="0"/>
        <w:bidi w:val="0"/>
        <w:spacing w:line="560" w:lineRule="exact"/>
        <w:ind w:left="0" w:leftChars="0" w:right="0" w:rightChars="0" w:firstLine="480"/>
        <w:rPr>
          <w:rFonts w:hint="eastAsia" w:ascii="宋体" w:hAnsi="宋体" w:eastAsia="宋体" w:cs="宋体"/>
          <w:b/>
          <w:bCs/>
          <w:color w:val="auto"/>
          <w:sz w:val="24"/>
          <w:szCs w:val="24"/>
          <w:highlight w:val="none"/>
        </w:rPr>
      </w:pPr>
      <w:bookmarkStart w:id="105" w:name="_Toc183682365"/>
      <w:bookmarkStart w:id="106" w:name="_Toc183582228"/>
      <w:bookmarkStart w:id="107" w:name="_Toc217446055"/>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．投标文件的修改和撤</w:t>
      </w:r>
      <w:bookmarkEnd w:id="105"/>
      <w:bookmarkEnd w:id="106"/>
      <w:r>
        <w:rPr>
          <w:rFonts w:hint="eastAsia" w:ascii="宋体" w:hAnsi="宋体" w:eastAsia="宋体" w:cs="宋体"/>
          <w:b/>
          <w:bCs/>
          <w:color w:val="auto"/>
          <w:sz w:val="24"/>
          <w:szCs w:val="24"/>
          <w:highlight w:val="none"/>
        </w:rPr>
        <w:t>回</w:t>
      </w:r>
      <w:bookmarkEnd w:id="107"/>
    </w:p>
    <w:p w14:paraId="244E178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上传截止时间前，可以对所上传的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w:t>
      </w:r>
    </w:p>
    <w:p w14:paraId="734F014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做任何修改、补充或撤回。</w:t>
      </w:r>
    </w:p>
    <w:p w14:paraId="1F45A19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中-如果出现计算上或累加上的算术错误，可按以下原则进行修改：</w:t>
      </w:r>
    </w:p>
    <w:p w14:paraId="14842E6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报价明细表不一致的，以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为准</w:t>
      </w:r>
      <w:r>
        <w:rPr>
          <w:rFonts w:hint="eastAsia" w:ascii="宋体" w:hAnsi="宋体" w:cs="宋体"/>
          <w:color w:val="auto"/>
          <w:sz w:val="24"/>
          <w:szCs w:val="24"/>
          <w:highlight w:val="none"/>
          <w:lang w:eastAsia="zh-CN"/>
        </w:rPr>
        <w:t>；</w:t>
      </w:r>
    </w:p>
    <w:p w14:paraId="32FDC9D3">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590BD668">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62B15EA2">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的总价为准，并修改单价。</w:t>
      </w:r>
    </w:p>
    <w:p w14:paraId="5F3FD34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241C1D39">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08" w:name="_Toc183682368"/>
      <w:bookmarkStart w:id="109" w:name="_Toc77400782"/>
      <w:bookmarkStart w:id="110" w:name="_Toc217446056"/>
      <w:bookmarkStart w:id="111" w:name="_Toc183582231"/>
      <w:bookmarkStart w:id="112" w:name="_Toc89075878"/>
      <w:r>
        <w:rPr>
          <w:rFonts w:hint="eastAsia" w:ascii="宋体" w:hAnsi="宋体" w:eastAsia="宋体" w:cs="宋体"/>
          <w:color w:val="auto"/>
          <w:sz w:val="24"/>
          <w:szCs w:val="24"/>
          <w:highlight w:val="none"/>
        </w:rPr>
        <w:t>五、开标和</w:t>
      </w:r>
      <w:bookmarkEnd w:id="108"/>
      <w:bookmarkEnd w:id="109"/>
      <w:bookmarkEnd w:id="110"/>
      <w:bookmarkEnd w:id="111"/>
      <w:bookmarkEnd w:id="112"/>
      <w:r>
        <w:rPr>
          <w:rFonts w:hint="eastAsia" w:ascii="宋体" w:hAnsi="宋体" w:eastAsia="宋体" w:cs="宋体"/>
          <w:color w:val="auto"/>
          <w:sz w:val="24"/>
          <w:szCs w:val="24"/>
          <w:highlight w:val="none"/>
        </w:rPr>
        <w:t>中标</w:t>
      </w:r>
    </w:p>
    <w:p w14:paraId="4C1BE24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3" w:name="_Toc217446057"/>
      <w:bookmarkStart w:id="114" w:name="_Toc183582232"/>
      <w:bookmarkStart w:id="115" w:name="_Toc183682369"/>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bookmarkEnd w:id="113"/>
      <w:bookmarkEnd w:id="114"/>
      <w:bookmarkEnd w:id="115"/>
    </w:p>
    <w:p w14:paraId="29ED7F8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采购代理机构在招标文件规定的时间和地点组织招标活动，邀请下载招标文件并参与竞争的投标人</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参加开标</w:t>
      </w:r>
      <w:r>
        <w:rPr>
          <w:rFonts w:hint="eastAsia" w:ascii="宋体" w:hAnsi="宋体" w:eastAsia="宋体" w:cs="宋体"/>
          <w:color w:val="auto"/>
          <w:sz w:val="24"/>
          <w:szCs w:val="24"/>
          <w:highlight w:val="none"/>
          <w:lang w:eastAsia="zh-CN"/>
        </w:rPr>
        <w:t>，投标人未参加开标的视同认可开标结果，事后不得对采购相关人员、开标过程和开标结果提出异议，同时投标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因未在线参加开标而导致投标文件无法按时解密等一切后果由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rPr>
        <w:t>。</w:t>
      </w:r>
    </w:p>
    <w:p w14:paraId="1F111A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38AB82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开标时，采购代理机构可以邀请有关监督管理部门对开标进行现场监督。</w:t>
      </w:r>
    </w:p>
    <w:p w14:paraId="660366C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文件上传截止时间到，</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会议开始，公布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名单。</w:t>
      </w:r>
    </w:p>
    <w:p w14:paraId="701D986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.4开启“</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文件解密”环节，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在规定时间内进行解密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解密规定见《投标人须知前附表》</w:t>
      </w:r>
      <w:r>
        <w:rPr>
          <w:rFonts w:hint="eastAsia" w:ascii="宋体" w:hAnsi="宋体" w:eastAsia="宋体" w:cs="宋体"/>
          <w:b/>
          <w:bCs/>
          <w:color w:val="auto"/>
          <w:sz w:val="24"/>
          <w:szCs w:val="24"/>
          <w:highlight w:val="none"/>
          <w:lang w:val="en-US" w:eastAsia="zh-CN"/>
        </w:rPr>
        <w:t>第1</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条</w:t>
      </w:r>
      <w:r>
        <w:rPr>
          <w:rFonts w:hint="eastAsia" w:ascii="宋体" w:hAnsi="宋体" w:eastAsia="宋体" w:cs="宋体"/>
          <w:color w:val="auto"/>
          <w:sz w:val="24"/>
          <w:szCs w:val="24"/>
          <w:highlight w:val="none"/>
        </w:rPr>
        <w:t>）。</w:t>
      </w:r>
    </w:p>
    <w:p w14:paraId="227A461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投标文件解密完毕，公布投标报价，开启报价签字确认（不予确认的应说明理由，否则视为无异议，开标结束后，由评标委员会对报价的合理性、准确性等进行审查核实）。</w:t>
      </w:r>
    </w:p>
    <w:p w14:paraId="735EC9AE">
      <w:pPr>
        <w:pageBreakBefore w:val="0"/>
        <w:wordWrap/>
        <w:overflowPunct/>
        <w:topLinePunct w:val="0"/>
        <w:bidi w:val="0"/>
        <w:spacing w:line="560" w:lineRule="exact"/>
        <w:ind w:left="0" w:leftChars="0" w:right="0" w:rightChars="0"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评标</w:t>
      </w:r>
      <w:r>
        <w:rPr>
          <w:rFonts w:hint="eastAsia" w:ascii="宋体" w:hAnsi="宋体" w:cs="宋体"/>
          <w:b/>
          <w:bCs/>
          <w:color w:val="auto"/>
          <w:sz w:val="24"/>
          <w:szCs w:val="24"/>
          <w:highlight w:val="none"/>
          <w:lang w:val="en-US" w:eastAsia="zh-CN"/>
        </w:rPr>
        <w:t>程序</w:t>
      </w:r>
    </w:p>
    <w:p w14:paraId="6D9FFAA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.1公开招标采购项目开标结束后，采购人或者采购代理机构应当依法对投标人的资格进行审查。合格投标人不足3家的，不得评标。</w:t>
      </w:r>
    </w:p>
    <w:p w14:paraId="13FE30BF">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.2符合性审查。符合性审查是指依据招标文件的规定，从商务和技术角度对投标文件的有效性和完整性进行审查，以确定是否对招标文件的实质性要求做出响应。</w:t>
      </w:r>
    </w:p>
    <w:p w14:paraId="3540EB4E">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.3评标委员会采用综合评分法对满足招标文件全部实质性要求的投标文件和投标报价进行综合评分</w:t>
      </w:r>
    </w:p>
    <w:p w14:paraId="0D29DBF4">
      <w:pPr>
        <w:pageBreakBefore w:val="0"/>
        <w:shd w:val="clear" w:color="auto" w:fill="auto"/>
        <w:wordWrap/>
        <w:overflowPunct/>
        <w:topLinePunct w:val="0"/>
        <w:bidi w:val="0"/>
        <w:spacing w:line="560" w:lineRule="exact"/>
        <w:ind w:right="0" w:righ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szCs w:val="24"/>
          <w:highlight w:val="none"/>
          <w:lang w:val="en-US" w:eastAsia="zh-CN"/>
        </w:rPr>
        <w:t>澄清、说明或补正的形式：</w:t>
      </w:r>
    </w:p>
    <w:p w14:paraId="7EB740AE">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eastAsia="宋体" w:cs="宋体"/>
          <w:b/>
          <w:bCs/>
          <w:color w:val="auto"/>
          <w:sz w:val="24"/>
          <w:szCs w:val="24"/>
          <w:highlight w:val="none"/>
          <w:lang w:val="en-US" w:eastAsia="zh-CN"/>
        </w:rPr>
        <w:t>投标人澄清、说明或补正时间为20分钟</w:t>
      </w:r>
      <w:r>
        <w:rPr>
          <w:rFonts w:hint="eastAsia" w:ascii="宋体" w:hAnsi="宋体" w:eastAsia="宋体" w:cs="宋体"/>
          <w:b w:val="0"/>
          <w:bCs w:val="0"/>
          <w:color w:val="auto"/>
          <w:sz w:val="24"/>
          <w:szCs w:val="24"/>
          <w:highlight w:val="none"/>
          <w:lang w:val="en-US" w:eastAsia="zh-CN"/>
        </w:rPr>
        <w:t>。</w:t>
      </w:r>
    </w:p>
    <w:p w14:paraId="46F88A32">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（2）投标人的澄清、说明或者补正应当通过“政府采购云平台”在线答复的方式提交，并加盖公章</w:t>
      </w:r>
      <w:r>
        <w:rPr>
          <w:rFonts w:hint="eastAsia" w:ascii="宋体" w:hAnsi="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val="en-US" w:eastAsia="zh-CN"/>
        </w:rPr>
        <w:t>电子印章，或者由法定代表人（负责人）或其授权的代表签字。投标人的澄清、说明或者补正不得超出投标文件的范围或者改变投标文件的实质性内容，不接受投标人主动对投标文件的澄清、说明或者补正。</w:t>
      </w:r>
    </w:p>
    <w:p w14:paraId="5CCFBEB8">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02EA373F">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人员对各投标人投标文件非实质性内容有疑议或异议，或者审查发现明显的文字或计算错误等，及时向评标委员会组长提出。经评标委员会商议认为需要投标人作出必要澄清、说明或者补正的，应当以在线询标形式要求投标人作出必要的澄清、说明或者补正</w:t>
      </w:r>
      <w:r>
        <w:rPr>
          <w:rFonts w:hint="eastAsia" w:ascii="宋体" w:hAnsi="宋体" w:cs="宋体"/>
          <w:color w:val="auto"/>
          <w:sz w:val="24"/>
          <w:szCs w:val="24"/>
          <w:highlight w:val="none"/>
          <w:lang w:val="en-US" w:eastAsia="zh-CN"/>
        </w:rPr>
        <w:t>并加盖投标人电子印章或公章</w:t>
      </w:r>
      <w:r>
        <w:rPr>
          <w:rFonts w:hint="eastAsia" w:ascii="宋体" w:hAnsi="宋体" w:eastAsia="宋体" w:cs="宋体"/>
          <w:color w:val="auto"/>
          <w:sz w:val="24"/>
          <w:szCs w:val="24"/>
          <w:highlight w:val="none"/>
          <w:lang w:val="en-US" w:eastAsia="zh-CN"/>
        </w:rPr>
        <w:t>。澄清、说明或者补正的内容应作为政府采购项目档案归档留存。</w:t>
      </w:r>
    </w:p>
    <w:p w14:paraId="74B2994A">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F39054D">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21.6</w:t>
      </w:r>
      <w:r>
        <w:rPr>
          <w:rFonts w:hint="eastAsia" w:ascii="宋体" w:hAnsi="宋体" w:eastAsia="宋体" w:cs="宋体"/>
          <w:color w:val="auto"/>
          <w:kern w:val="2"/>
          <w:sz w:val="24"/>
          <w:szCs w:val="24"/>
          <w:highlight w:val="none"/>
          <w:lang w:val="en-US" w:eastAsia="zh-CN" w:bidi="ar-SA"/>
        </w:rPr>
        <w:t>评标结果汇总完成后，除下列情形外，任何人不得修改评标结果：</w:t>
      </w:r>
    </w:p>
    <w:p w14:paraId="5071CDEA">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(一)分值汇总计算错误的</w:t>
      </w:r>
      <w:r>
        <w:rPr>
          <w:rFonts w:hint="eastAsia" w:ascii="宋体" w:hAnsi="宋体" w:cs="宋体"/>
          <w:color w:val="auto"/>
          <w:kern w:val="2"/>
          <w:sz w:val="24"/>
          <w:szCs w:val="24"/>
          <w:highlight w:val="none"/>
          <w:lang w:val="en-US" w:eastAsia="zh-CN" w:bidi="ar-SA"/>
        </w:rPr>
        <w:t>；</w:t>
      </w:r>
    </w:p>
    <w:p w14:paraId="5AD11F8A">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(二)分项评分超出评分标准范围的</w:t>
      </w:r>
      <w:r>
        <w:rPr>
          <w:rFonts w:hint="eastAsia" w:ascii="宋体" w:hAnsi="宋体" w:cs="宋体"/>
          <w:color w:val="auto"/>
          <w:kern w:val="2"/>
          <w:sz w:val="24"/>
          <w:szCs w:val="24"/>
          <w:highlight w:val="none"/>
          <w:lang w:val="en-US" w:eastAsia="zh-CN" w:bidi="ar-SA"/>
        </w:rPr>
        <w:t>；</w:t>
      </w:r>
    </w:p>
    <w:p w14:paraId="7668F839">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(三)评标委员会成员对客观评审因素评分不一致的</w:t>
      </w:r>
      <w:r>
        <w:rPr>
          <w:rFonts w:hint="eastAsia" w:ascii="宋体" w:hAnsi="宋体" w:cs="宋体"/>
          <w:color w:val="auto"/>
          <w:kern w:val="2"/>
          <w:sz w:val="24"/>
          <w:szCs w:val="24"/>
          <w:highlight w:val="none"/>
          <w:lang w:val="en-US" w:eastAsia="zh-CN" w:bidi="ar-SA"/>
        </w:rPr>
        <w:t>；</w:t>
      </w:r>
    </w:p>
    <w:p w14:paraId="32C44EDD">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(四)经评标委员会认定评分畸高、畸低的。</w:t>
      </w:r>
    </w:p>
    <w:p w14:paraId="6C703E93">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6534A0D">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投标人对本条第一款情形提出质疑的，采购人或者采购代理机构可以组织原评标委员会进行重新评审，重新评审改变评标结果的，应当书面报告本级财政部门。</w:t>
      </w:r>
    </w:p>
    <w:p w14:paraId="2B08D938">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评标委员会根据综合评分情况，按照评标得分由高到低顺序推荐3名中标候选人，并编写评标报告。得分相同的，按投标报价由低到高顺序排列。得分且投标报价相同的，按照技术指标优劣顺序推荐。</w:t>
      </w:r>
    </w:p>
    <w:p w14:paraId="650E1987">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采购代理机构在评标结果后2个工作日内将评标报告送采购人确认。</w:t>
      </w:r>
    </w:p>
    <w:p w14:paraId="3CA2CD9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6" w:name="_Toc183682375"/>
      <w:bookmarkStart w:id="117" w:name="_Toc183582238"/>
      <w:bookmarkStart w:id="118" w:name="_Toc21744606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．中标通知</w:t>
      </w:r>
      <w:bookmarkEnd w:id="116"/>
      <w:bookmarkEnd w:id="117"/>
      <w:r>
        <w:rPr>
          <w:rFonts w:hint="eastAsia" w:ascii="宋体" w:hAnsi="宋体" w:eastAsia="宋体" w:cs="宋体"/>
          <w:b/>
          <w:bCs/>
          <w:color w:val="auto"/>
          <w:sz w:val="24"/>
          <w:szCs w:val="24"/>
          <w:highlight w:val="none"/>
        </w:rPr>
        <w:t>书</w:t>
      </w:r>
      <w:bookmarkEnd w:id="118"/>
    </w:p>
    <w:p w14:paraId="5CBABE7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1中标通知书为签订中标合同的依据，是合同的有效组成部分。</w:t>
      </w:r>
    </w:p>
    <w:p w14:paraId="1889DFA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.2中标通知书对采购人和中标人均具有法律效力。中标通知书发出后，采购人改变中标结果，或者中标人无正当理由放弃中标的，应当承担相应的法律责任。</w:t>
      </w:r>
    </w:p>
    <w:p w14:paraId="5BFDC0C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292C41EF">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19" w:name="_Toc217446064"/>
      <w:bookmarkStart w:id="120" w:name="_Toc183582240"/>
      <w:bookmarkStart w:id="121" w:name="_Toc183682377"/>
      <w:r>
        <w:rPr>
          <w:rFonts w:hint="eastAsia" w:ascii="宋体" w:hAnsi="宋体" w:eastAsia="宋体" w:cs="宋体"/>
          <w:color w:val="auto"/>
          <w:sz w:val="24"/>
          <w:szCs w:val="24"/>
          <w:highlight w:val="none"/>
        </w:rPr>
        <w:t>六、签订及履行合同和验收</w:t>
      </w:r>
      <w:bookmarkEnd w:id="119"/>
    </w:p>
    <w:p w14:paraId="124574D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2" w:name="_Toc2174460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.签订合同</w:t>
      </w:r>
      <w:bookmarkEnd w:id="122"/>
    </w:p>
    <w:p w14:paraId="624AA4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389AB0A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.2采购人不得向中标人提出任何不合理的要求，作为签订合同的条件，不得与中标人私下订立背离合同实质性内容的任何协议，所签订的合同不得对招标文件和投标文件作实质性修改。</w:t>
      </w:r>
    </w:p>
    <w:p w14:paraId="3AC5289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，也可以重新开展政府采购活动。</w:t>
      </w:r>
    </w:p>
    <w:p w14:paraId="6A3FE53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.4中标人在合同签订之后三个工作日内，将签订的合同（彩色扫描件）交至采购代理机构。</w:t>
      </w:r>
    </w:p>
    <w:p w14:paraId="1DB4236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3" w:name="_Toc217446066"/>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.合同分包</w:t>
      </w:r>
      <w:bookmarkEnd w:id="123"/>
      <w:r>
        <w:rPr>
          <w:rFonts w:hint="eastAsia" w:ascii="宋体" w:hAnsi="宋体" w:eastAsia="宋体" w:cs="宋体"/>
          <w:b/>
          <w:bCs/>
          <w:color w:val="auto"/>
          <w:sz w:val="24"/>
          <w:szCs w:val="24"/>
          <w:highlight w:val="none"/>
        </w:rPr>
        <w:t>（如有）</w:t>
      </w:r>
    </w:p>
    <w:p w14:paraId="076384B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.1若本项目允许分包的，经采购人同意，中标人可以依法采取分包方式履行合同。这种要求应当在合同签订之前征得采购人同意，并且分包人履行分包项目的服务及技术要求等，必须与中标的一致。</w:t>
      </w:r>
    </w:p>
    <w:p w14:paraId="6962C6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.2招标合同实行分包履行的，中标人就招标项目和分包项目向采购人负责，分包人就分包项目承担责任。</w:t>
      </w:r>
    </w:p>
    <w:p w14:paraId="7B7C7C1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4" w:name="_Toc217446067"/>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.采购人增加合同标的权</w:t>
      </w:r>
      <w:bookmarkEnd w:id="124"/>
      <w:r>
        <w:rPr>
          <w:rFonts w:hint="eastAsia" w:ascii="宋体" w:hAnsi="宋体" w:eastAsia="宋体" w:cs="宋体"/>
          <w:b/>
          <w:bCs/>
          <w:color w:val="auto"/>
          <w:sz w:val="24"/>
          <w:szCs w:val="24"/>
          <w:highlight w:val="none"/>
        </w:rPr>
        <w:t>利</w:t>
      </w:r>
    </w:p>
    <w:p w14:paraId="12A2C3E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31B05FA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5" w:name="_Toc21744606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.履约保证金</w:t>
      </w:r>
      <w:bookmarkEnd w:id="125"/>
    </w:p>
    <w:p w14:paraId="4DA66E6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人应在合同签订之前缴纳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文件规定数额的履约保证金。</w:t>
      </w:r>
    </w:p>
    <w:p w14:paraId="07DCD98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27.2如果</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人在规定的合同签订时间内，没有按照</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文件的规定缴纳履约保证金，且又无正当理由的，将视为放弃</w:t>
      </w:r>
      <w:r>
        <w:rPr>
          <w:rFonts w:hint="eastAsia" w:ascii="宋体" w:hAnsi="宋体" w:eastAsia="宋体" w:cs="宋体"/>
          <w:color w:val="auto"/>
          <w:sz w:val="24"/>
          <w:szCs w:val="24"/>
          <w:highlight w:val="none"/>
          <w:lang w:val="en-US" w:eastAsia="zh-CN"/>
        </w:rPr>
        <w:t>中标资格</w:t>
      </w:r>
      <w:r>
        <w:rPr>
          <w:rFonts w:hint="eastAsia" w:ascii="宋体" w:hAnsi="宋体" w:eastAsia="宋体" w:cs="宋体"/>
          <w:color w:val="auto"/>
          <w:sz w:val="24"/>
          <w:szCs w:val="24"/>
          <w:highlight w:val="none"/>
        </w:rPr>
        <w:t>，其缴纳的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保证金将不与退还。</w:t>
      </w:r>
    </w:p>
    <w:p w14:paraId="7332B11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6" w:name="_Toc217446069"/>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.履行合同</w:t>
      </w:r>
      <w:bookmarkEnd w:id="126"/>
    </w:p>
    <w:p w14:paraId="562DA51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.1中标人与采购人签订合同后，合同双方应严格执行合同条款，履行合同规定的义务，保证合同的顺利完成。</w:t>
      </w:r>
    </w:p>
    <w:p w14:paraId="08D277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.2在合同履行过程中，如发生合同纠纷，合同双方应按照《中华人民共和国民法典》的有关规定进行处理。</w:t>
      </w:r>
    </w:p>
    <w:p w14:paraId="0C40FD1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7" w:name="_Toc21744607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.验收</w:t>
      </w:r>
      <w:bookmarkEnd w:id="127"/>
    </w:p>
    <w:p w14:paraId="3CFB3D3A">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bookmarkStart w:id="128" w:name="_Toc217446071"/>
      <w:r>
        <w:rPr>
          <w:rFonts w:hint="eastAsia" w:ascii="宋体" w:hAnsi="宋体" w:eastAsia="宋体" w:cs="宋体"/>
          <w:color w:val="auto"/>
          <w:sz w:val="24"/>
          <w:szCs w:val="24"/>
          <w:highlight w:val="none"/>
        </w:rPr>
        <w:t>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根据采购项目的具体情况，自行组织项目验收或者委托采购代理机构邀请实际使用人</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参加本项目的其他</w:t>
      </w:r>
      <w:r>
        <w:rPr>
          <w:rFonts w:hint="eastAsia" w:ascii="宋体" w:hAnsi="宋体" w:eastAsia="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或第三方专业机构及专家</w:t>
      </w:r>
      <w:r>
        <w:rPr>
          <w:rFonts w:hint="eastAsia" w:ascii="宋体" w:hAnsi="宋体" w:eastAsia="宋体" w:cs="宋体"/>
          <w:color w:val="auto"/>
          <w:sz w:val="24"/>
          <w:szCs w:val="24"/>
          <w:highlight w:val="none"/>
        </w:rPr>
        <w:t>进行验收。</w:t>
      </w:r>
    </w:p>
    <w:bookmarkEnd w:id="120"/>
    <w:bookmarkEnd w:id="121"/>
    <w:bookmarkEnd w:id="128"/>
    <w:p w14:paraId="69BDD085">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29" w:name="_Toc217446074"/>
      <w:bookmarkStart w:id="130" w:name="_Toc183682380"/>
      <w:bookmarkStart w:id="131" w:name="_Toc183582243"/>
      <w:r>
        <w:rPr>
          <w:rFonts w:hint="eastAsia" w:ascii="宋体" w:hAnsi="宋体" w:eastAsia="宋体" w:cs="宋体"/>
          <w:color w:val="auto"/>
          <w:sz w:val="24"/>
          <w:szCs w:val="24"/>
          <w:highlight w:val="none"/>
        </w:rPr>
        <w:t>七、投标纪律要求</w:t>
      </w:r>
      <w:bookmarkEnd w:id="129"/>
    </w:p>
    <w:p w14:paraId="12A08BB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2" w:name="_Toc217446075"/>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.投标人不得具有的情形</w:t>
      </w:r>
      <w:bookmarkEnd w:id="132"/>
    </w:p>
    <w:p w14:paraId="4BBA7E4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14:paraId="71F2B83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1ACEC35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2997E70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14:paraId="0D4647D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7608530B">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4DEBE990">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6238206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17A39D59">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val="0"/>
          <w:color w:val="auto"/>
          <w:sz w:val="24"/>
          <w:szCs w:val="24"/>
          <w:highlight w:val="none"/>
        </w:rPr>
      </w:pPr>
      <w:bookmarkStart w:id="133" w:name="_Toc217446076"/>
      <w:r>
        <w:rPr>
          <w:rFonts w:hint="eastAsia" w:ascii="宋体" w:hAnsi="宋体" w:eastAsia="宋体" w:cs="宋体"/>
          <w:color w:val="auto"/>
          <w:sz w:val="24"/>
          <w:szCs w:val="24"/>
          <w:highlight w:val="none"/>
        </w:rPr>
        <w:t>八、</w:t>
      </w:r>
      <w:bookmarkEnd w:id="133"/>
      <w:r>
        <w:rPr>
          <w:rFonts w:hint="eastAsia" w:ascii="宋体" w:hAnsi="宋体" w:eastAsia="宋体" w:cs="宋体"/>
          <w:color w:val="auto"/>
          <w:sz w:val="24"/>
          <w:szCs w:val="24"/>
          <w:highlight w:val="none"/>
        </w:rPr>
        <w:t>合同价款支付</w:t>
      </w:r>
    </w:p>
    <w:p w14:paraId="3D50087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4" w:name="_Toc217446077"/>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申请支付</w:t>
      </w:r>
      <w:bookmarkEnd w:id="134"/>
    </w:p>
    <w:p w14:paraId="2CAD7EA0">
      <w:pPr>
        <w:pageBreakBefore w:val="0"/>
        <w:wordWrap/>
        <w:overflowPunct/>
        <w:topLinePunct w:val="0"/>
        <w:bidi w:val="0"/>
        <w:spacing w:line="560" w:lineRule="exact"/>
        <w:ind w:left="0" w:leftChars="0" w:right="0" w:rightChars="0" w:firstLine="480" w:firstLineChars="200"/>
        <w:rPr>
          <w:rFonts w:hint="eastAsia" w:ascii="宋体" w:hAnsi="宋体" w:cs="宋体"/>
          <w:color w:val="auto"/>
          <w:sz w:val="24"/>
          <w:highlight w:val="none"/>
        </w:rPr>
      </w:pPr>
      <w:bookmarkStart w:id="135" w:name="_Toc217446078"/>
      <w:r>
        <w:rPr>
          <w:rFonts w:hint="eastAsia" w:ascii="宋体" w:hAnsi="宋体" w:cs="宋体"/>
          <w:color w:val="auto"/>
          <w:sz w:val="24"/>
          <w:highlight w:val="none"/>
        </w:rPr>
        <w:t>采购人应当按照政府采购合同规定，及时向中标供应商支付采购资金。</w:t>
      </w:r>
    </w:p>
    <w:p w14:paraId="0A6770C5">
      <w:pPr>
        <w:pageBreakBefore w:val="0"/>
        <w:wordWrap/>
        <w:overflowPunct/>
        <w:topLinePunct w:val="0"/>
        <w:bidi w:val="0"/>
        <w:spacing w:line="56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政府采购项目资金支付程序，按照国家有关财政资金支付管理的规定执行。</w:t>
      </w:r>
    </w:p>
    <w:p w14:paraId="507D6905">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5"/>
      <w:bookmarkStart w:id="136" w:name="_Toc217446079"/>
    </w:p>
    <w:p w14:paraId="0F0D941F">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．质疑、投诉的接收和处理严格按照《中华人共和国政府采购法</w:t>
      </w:r>
      <w:bookmarkEnd w:id="130"/>
      <w:bookmarkEnd w:id="131"/>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政府采购质疑和投诉办法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财政部关于加强政府采购投标人投诉受理审查工作的通知》的规定办理。</w:t>
      </w:r>
    </w:p>
    <w:p w14:paraId="42A29C71">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CC3024E">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.2潜在投标人已依法获取其可质疑的招标文件的，可以对该文件提出质疑。对招标文件提出质疑的，应当在获取招标文件或者招标文件公告期限届满之日起7个工作日内提出。</w:t>
      </w:r>
    </w:p>
    <w:p w14:paraId="7450E79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FF1424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0E01310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.4投标人提出质疑应当提交质疑函和必要的证明材料。质疑函应当包括下列内容：</w:t>
      </w:r>
    </w:p>
    <w:p w14:paraId="6C00CF1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2FA6456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22B0729">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6BD1631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0505B5F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53F5C8E6">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65D53752">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46A9C10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3CB3E4A3">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联系部门：招标部</w:t>
      </w:r>
    </w:p>
    <w:p w14:paraId="265FB696">
      <w:pPr>
        <w:pStyle w:val="6"/>
        <w:pageBreakBefore w:val="0"/>
        <w:wordWrap/>
        <w:overflowPunct/>
        <w:topLinePunct w:val="0"/>
        <w:bidi w:val="0"/>
        <w:spacing w:line="560" w:lineRule="exact"/>
        <w:ind w:left="0" w:leftChars="0" w:right="0" w:rightChars="0" w:firstLine="480"/>
        <w:rPr>
          <w:rStyle w:val="42"/>
          <w:rFonts w:hint="default"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联系人及联系电话：</w:t>
      </w:r>
      <w:r>
        <w:rPr>
          <w:rFonts w:hint="eastAsia" w:ascii="宋体" w:hAnsi="宋体" w:cs="宋体"/>
          <w:color w:val="auto"/>
          <w:sz w:val="24"/>
          <w:szCs w:val="24"/>
          <w:highlight w:val="none"/>
          <w:lang w:val="en-US" w:eastAsia="zh-CN"/>
        </w:rPr>
        <w:t>李工</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18082896561</w:t>
      </w:r>
    </w:p>
    <w:p w14:paraId="3DBABB3E">
      <w:pPr>
        <w:pStyle w:val="6"/>
        <w:pageBreakBefore w:val="0"/>
        <w:wordWrap/>
        <w:overflowPunct/>
        <w:topLinePunct w:val="0"/>
        <w:bidi w:val="0"/>
        <w:spacing w:line="560" w:lineRule="exact"/>
        <w:ind w:left="0" w:leftChars="0" w:right="0" w:rightChars="0"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val="en-US" w:eastAsia="zh-CN"/>
        </w:rPr>
        <w:t>乌鲁木齐水磨沟区会展大道555号星耀天都4号楼B座403</w:t>
      </w:r>
    </w:p>
    <w:p w14:paraId="0A7EB47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.5质疑投标人对采购人、采购代理机构的答复不满意，或者采购人、采购代理机构未在规定时间内作出答复的，可以在答复期满后15个工作日内向本办法第六条规定的财政部门提起投诉。</w:t>
      </w:r>
    </w:p>
    <w:p w14:paraId="5A0E0F7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.6投诉人投诉时，应当提交投诉书和必要的证明材料，并按照被投诉采购人、采购代理机构（以下简称被投诉人）和与投诉事项有关的投标人数量提供投诉书的副本。投诉书应当包括下列内容：</w:t>
      </w:r>
    </w:p>
    <w:p w14:paraId="3595148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2D2519A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521E2822">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4397195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0F92B90">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0A105E5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6FEF80B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083A91A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53CB051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10C24D2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0A88F9E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67AC8A0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7D20E31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069330C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4D31F456">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0170501">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BAE75A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5FD14FD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773B0D6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F4AD30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A95684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72F2D03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F5EC64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CA53FF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0436EA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630AFE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D0B338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5B9DA5C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招标文件获取日期：</w:t>
      </w:r>
      <w:r>
        <w:rPr>
          <w:rFonts w:hint="eastAsia" w:ascii="宋体" w:hAnsi="宋体" w:eastAsia="宋体" w:cs="宋体"/>
          <w:color w:val="auto"/>
          <w:sz w:val="24"/>
          <w:szCs w:val="24"/>
          <w:highlight w:val="none"/>
          <w:u w:val="dotted"/>
        </w:rPr>
        <w:t xml:space="preserve">                                           </w:t>
      </w:r>
    </w:p>
    <w:p w14:paraId="01782DB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1F38D4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8B37B51">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AE6E30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FA6DBC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6D9A4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F5B405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62F73A7">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7054CE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0A5D2C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3C72416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1F265A9">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2620C1F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03FD2B8">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0B6A5CCF">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6F6E5712">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2914A116">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23EA08F5">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08C12A69">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115D6F3E">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9FEC533">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019891F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4E41DF10">
      <w:pPr>
        <w:pageBreakBefore w:val="0"/>
        <w:wordWrap/>
        <w:overflowPunct/>
        <w:topLinePunct w:val="0"/>
        <w:bidi w:val="0"/>
        <w:spacing w:line="560" w:lineRule="exact"/>
        <w:ind w:left="0" w:leftChars="0" w:right="0" w:right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7" w:name="_Toc7178"/>
      <w:bookmarkStart w:id="138" w:name="_Toc5850_WPSOffice_Level1"/>
      <w:r>
        <w:rPr>
          <w:rFonts w:hint="eastAsia" w:ascii="宋体" w:hAnsi="宋体" w:eastAsia="宋体" w:cs="宋体"/>
          <w:b/>
          <w:bCs/>
          <w:color w:val="auto"/>
          <w:sz w:val="24"/>
          <w:szCs w:val="24"/>
          <w:highlight w:val="none"/>
        </w:rPr>
        <w:t>第三章  投标文件格式</w:t>
      </w:r>
      <w:bookmarkEnd w:id="137"/>
      <w:bookmarkEnd w:id="138"/>
    </w:p>
    <w:p w14:paraId="11FFC1D4">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05AC2CE0">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11DA3E2">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p>
    <w:p w14:paraId="59677317">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0F1BB671">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1420BB0">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6E37295B">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778A133A">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178A073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269F2CC4">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1EF39F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14:paraId="4FC98244">
      <w:pPr>
        <w:pageBreakBefore w:val="0"/>
        <w:wordWrap/>
        <w:overflowPunct/>
        <w:topLinePunct w:val="0"/>
        <w:bidi w:val="0"/>
        <w:spacing w:line="560" w:lineRule="exact"/>
        <w:ind w:right="0" w:rightChars="0"/>
        <w:rPr>
          <w:rFonts w:hint="eastAsia" w:ascii="宋体" w:hAnsi="宋体" w:eastAsia="宋体" w:cs="宋体"/>
          <w:b/>
          <w:color w:val="auto"/>
          <w:sz w:val="24"/>
          <w:szCs w:val="24"/>
          <w:highlight w:val="none"/>
        </w:rPr>
      </w:pPr>
    </w:p>
    <w:p w14:paraId="6488A739">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0DC55FB2">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32DB5C78">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33378600">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50547134">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6D68AAD1">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4D067787">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528F21F6">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2604D145">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w:t>
      </w:r>
    </w:p>
    <w:p w14:paraId="38E5DBCD">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7280D77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0000FF"/>
          <w:sz w:val="24"/>
          <w:szCs w:val="24"/>
          <w:highlight w:val="none"/>
        </w:rPr>
      </w:pPr>
      <w:bookmarkStart w:id="139" w:name="_Toc217446082"/>
    </w:p>
    <w:p w14:paraId="43A9BFF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40C843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开标一览表及</w:t>
      </w:r>
      <w:r>
        <w:rPr>
          <w:rFonts w:hint="eastAsia" w:ascii="宋体" w:hAnsi="宋体" w:cs="宋体"/>
          <w:color w:val="auto"/>
          <w:sz w:val="24"/>
          <w:szCs w:val="24"/>
          <w:highlight w:val="none"/>
          <w:lang w:eastAsia="zh-CN"/>
        </w:rPr>
        <w:t>分项报价明细表</w:t>
      </w:r>
    </w:p>
    <w:p w14:paraId="3B9ADD1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2F3D5217">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659C8AD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0A390824">
      <w:pPr>
        <w:pageBreakBefore w:val="0"/>
        <w:tabs>
          <w:tab w:val="left" w:pos="3480"/>
        </w:tabs>
        <w:wordWrap/>
        <w:overflowPunct/>
        <w:topLinePunct w:val="0"/>
        <w:bidi w:val="0"/>
        <w:spacing w:line="560" w:lineRule="exact"/>
        <w:ind w:left="0" w:leftChars="0" w:right="0" w:rightChars="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拟配备人员简介</w:t>
      </w:r>
    </w:p>
    <w:p w14:paraId="41C6BCAF">
      <w:pPr>
        <w:pageBreakBefore w:val="0"/>
        <w:tabs>
          <w:tab w:val="left" w:pos="3480"/>
          <w:tab w:val="left" w:pos="483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、近年</w:t>
      </w:r>
      <w:r>
        <w:rPr>
          <w:rFonts w:hint="eastAsia" w:ascii="宋体" w:hAnsi="宋体" w:cs="宋体"/>
          <w:color w:val="auto"/>
          <w:sz w:val="24"/>
          <w:szCs w:val="24"/>
          <w:highlight w:val="none"/>
          <w:lang w:eastAsia="zh-CN"/>
        </w:rPr>
        <w:t>类似</w:t>
      </w:r>
      <w:r>
        <w:rPr>
          <w:rFonts w:hint="eastAsia" w:ascii="宋体" w:hAnsi="宋体" w:eastAsia="宋体" w:cs="宋体"/>
          <w:color w:val="auto"/>
          <w:sz w:val="24"/>
          <w:szCs w:val="24"/>
          <w:highlight w:val="none"/>
        </w:rPr>
        <w:t>项目情况表</w:t>
      </w:r>
    </w:p>
    <w:p w14:paraId="3E6FA61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、商务、技术需求偏离表</w:t>
      </w:r>
    </w:p>
    <w:p w14:paraId="78561457">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服务承诺及技术方案</w:t>
      </w:r>
    </w:p>
    <w:p w14:paraId="6E921CD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十、政府采购政策</w:t>
      </w:r>
    </w:p>
    <w:p w14:paraId="6F7826B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、投标人认为需要提供的资料</w:t>
      </w:r>
    </w:p>
    <w:p w14:paraId="6CD3542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p>
    <w:p w14:paraId="4B5680A0">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30D1525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（备注：投标人应按以上目录顺序编排投标文件，并标注相应页码）。</w:t>
      </w:r>
    </w:p>
    <w:p w14:paraId="6817A451">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748D5EA6">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C4BB78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C0B836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p w14:paraId="5E0A82BD">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142B0D3">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752689AF">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BB2BD8E">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72EA3A8">
      <w:pPr>
        <w:pageBreakBefore w:val="0"/>
        <w:wordWrap/>
        <w:overflowPunct/>
        <w:topLinePunct w:val="0"/>
        <w:bidi w:val="0"/>
        <w:spacing w:line="560" w:lineRule="exact"/>
        <w:ind w:left="0" w:leftChars="0" w:right="0" w:rightChars="0"/>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val="0"/>
          <w:bCs w:val="0"/>
          <w:color w:val="auto"/>
          <w:sz w:val="24"/>
          <w:szCs w:val="24"/>
          <w:highlight w:val="none"/>
        </w:rPr>
        <w:t>一、</w:t>
      </w:r>
      <w:bookmarkEnd w:id="139"/>
      <w:r>
        <w:rPr>
          <w:rFonts w:hint="eastAsia" w:ascii="宋体" w:hAnsi="宋体" w:eastAsia="宋体" w:cs="宋体"/>
          <w:b w:val="0"/>
          <w:bCs w:val="0"/>
          <w:color w:val="auto"/>
          <w:sz w:val="24"/>
          <w:szCs w:val="24"/>
          <w:highlight w:val="none"/>
        </w:rPr>
        <w:t>投标函</w:t>
      </w:r>
    </w:p>
    <w:p w14:paraId="1C67618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宋体" w:hAnsi="宋体" w:eastAsia="宋体" w:cs="宋体"/>
          <w:bCs/>
          <w:color w:val="auto"/>
          <w:sz w:val="24"/>
          <w:szCs w:val="24"/>
          <w:highlight w:val="none"/>
        </w:rPr>
      </w:pPr>
      <w:bookmarkStart w:id="140" w:name="_Toc217446083"/>
      <w:r>
        <w:rPr>
          <w:rFonts w:hint="eastAsia" w:ascii="宋体" w:hAnsi="宋体" w:eastAsia="宋体" w:cs="宋体"/>
          <w:bCs/>
          <w:color w:val="auto"/>
          <w:sz w:val="24"/>
          <w:szCs w:val="24"/>
          <w:highlight w:val="none"/>
        </w:rPr>
        <w:t>__________（采购人）：</w:t>
      </w:r>
    </w:p>
    <w:p w14:paraId="5C540CC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（投标人的名称）全权处理本项目投标的有关事宜。</w:t>
      </w:r>
    </w:p>
    <w:p w14:paraId="1FA6B1E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1、我方自愿按照招标文件规定的各项要求向采购人提供所需货物</w:t>
      </w:r>
      <w:r>
        <w:rPr>
          <w:rFonts w:hint="eastAsia" w:ascii="宋体" w:hAnsi="宋体" w:cs="宋体"/>
          <w:bCs/>
          <w:color w:val="auto"/>
          <w:sz w:val="24"/>
          <w:szCs w:val="24"/>
          <w:highlight w:val="none"/>
          <w:lang w:val="en-US" w:eastAsia="zh-CN"/>
        </w:rPr>
        <w:t>及服务</w:t>
      </w:r>
      <w:r>
        <w:rPr>
          <w:rFonts w:hint="eastAsia" w:ascii="宋体" w:hAnsi="宋体" w:eastAsia="宋体" w:cs="宋体"/>
          <w:bCs/>
          <w:color w:val="auto"/>
          <w:sz w:val="24"/>
          <w:szCs w:val="24"/>
          <w:highlight w:val="none"/>
        </w:rPr>
        <w:t>，投标价</w:t>
      </w:r>
      <w:r>
        <w:rPr>
          <w:rFonts w:hint="eastAsia" w:ascii="宋体" w:hAnsi="宋体" w:cs="宋体"/>
          <w:bCs/>
          <w:color w:val="auto"/>
          <w:sz w:val="24"/>
          <w:szCs w:val="24"/>
          <w:highlight w:val="none"/>
          <w:lang w:val="en-US" w:eastAsia="zh-CN"/>
        </w:rPr>
        <w:t>详见开标一览表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后采购人不再另行支付</w:t>
      </w:r>
      <w:r>
        <w:rPr>
          <w:rFonts w:hint="eastAsia" w:ascii="宋体" w:hAnsi="宋体" w:cs="宋体"/>
          <w:bCs/>
          <w:color w:val="auto"/>
          <w:sz w:val="24"/>
          <w:szCs w:val="24"/>
          <w:highlight w:val="none"/>
          <w:lang w:val="en-US" w:eastAsia="zh-CN"/>
        </w:rPr>
        <w:t>其他费用</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u w:val="single"/>
        </w:rPr>
        <w:t xml:space="preserve"> 从提交</w:t>
      </w:r>
      <w:r>
        <w:rPr>
          <w:rFonts w:hint="eastAsia" w:ascii="宋体" w:hAnsi="宋体" w:eastAsia="宋体" w:cs="宋体"/>
          <w:bCs/>
          <w:color w:val="auto"/>
          <w:sz w:val="24"/>
          <w:szCs w:val="24"/>
          <w:highlight w:val="none"/>
          <w:u w:val="single"/>
          <w:lang w:val="en-US" w:eastAsia="zh-CN"/>
        </w:rPr>
        <w:t>投标</w:t>
      </w:r>
      <w:r>
        <w:rPr>
          <w:rFonts w:hint="eastAsia" w:ascii="宋体" w:hAnsi="宋体" w:eastAsia="宋体" w:cs="宋体"/>
          <w:bCs/>
          <w:color w:val="auto"/>
          <w:sz w:val="24"/>
          <w:szCs w:val="24"/>
          <w:highlight w:val="none"/>
          <w:u w:val="single"/>
        </w:rPr>
        <w:t>文件的截止之日起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天 </w:t>
      </w:r>
      <w:r>
        <w:rPr>
          <w:rFonts w:hint="eastAsia" w:ascii="宋体" w:hAnsi="宋体" w:eastAsia="宋体" w:cs="宋体"/>
          <w:bCs/>
          <w:color w:val="auto"/>
          <w:sz w:val="24"/>
          <w:szCs w:val="24"/>
          <w:highlight w:val="none"/>
        </w:rPr>
        <w:t>。</w:t>
      </w:r>
    </w:p>
    <w:p w14:paraId="2EF1C11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yellow"/>
          <w:u w:val="none"/>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期为：</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地点</w:t>
      </w:r>
      <w:r>
        <w:rPr>
          <w:rFonts w:hint="eastAsia" w:ascii="宋体" w:hAnsi="宋体" w:cs="宋体"/>
          <w:bCs/>
          <w:color w:val="auto"/>
          <w:sz w:val="24"/>
          <w:szCs w:val="24"/>
          <w:highlight w:val="none"/>
          <w:lang w:val="en-US" w:eastAsia="zh-CN"/>
        </w:rPr>
        <w:t>为：</w:t>
      </w:r>
      <w:r>
        <w:rPr>
          <w:rFonts w:hint="eastAsia" w:ascii="宋体" w:hAnsi="宋体" w:eastAsia="宋体" w:cs="宋体"/>
          <w:bCs/>
          <w:color w:val="auto"/>
          <w:sz w:val="24"/>
          <w:szCs w:val="24"/>
          <w:highlight w:val="none"/>
          <w:u w:val="single"/>
          <w:lang w:val="en-US" w:eastAsia="zh-CN"/>
        </w:rPr>
        <w:t xml:space="preserve"> 采购人指定地点 </w:t>
      </w:r>
      <w:r>
        <w:rPr>
          <w:rFonts w:hint="eastAsia" w:ascii="宋体" w:hAnsi="宋体" w:eastAsia="宋体" w:cs="宋体"/>
          <w:bCs/>
          <w:color w:val="auto"/>
          <w:sz w:val="24"/>
          <w:szCs w:val="24"/>
          <w:highlight w:val="none"/>
        </w:rPr>
        <w:t>，并达到采购人要求</w:t>
      </w:r>
      <w:r>
        <w:rPr>
          <w:rFonts w:hint="eastAsia" w:ascii="宋体" w:hAnsi="宋体" w:eastAsia="宋体" w:cs="宋体"/>
          <w:bCs/>
          <w:color w:val="auto"/>
          <w:sz w:val="24"/>
          <w:szCs w:val="24"/>
          <w:highlight w:val="none"/>
          <w:u w:val="none"/>
        </w:rPr>
        <w:t>。</w:t>
      </w:r>
    </w:p>
    <w:p w14:paraId="1E9BBD4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0B64CFB8">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0917EFD0">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14:paraId="36336E43">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6、我方完全理解采购人不一定将合同授予最低报价的投标人。</w:t>
      </w:r>
    </w:p>
    <w:p w14:paraId="07E5AEF9">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601CD6D3">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4482DA94">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29B0FE40">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2F0AC0E4">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14:paraId="504E9E87">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16DC1359">
      <w:pPr>
        <w:spacing w:line="360" w:lineRule="auto"/>
        <w:jc w:val="center"/>
        <w:outlineLvl w:val="1"/>
        <w:rPr>
          <w:rFonts w:hint="eastAsia" w:ascii="宋体" w:hAnsi="宋体" w:eastAsia="宋体" w:cs="宋体"/>
          <w:bCs/>
          <w:color w:val="auto"/>
          <w:sz w:val="24"/>
          <w:szCs w:val="24"/>
        </w:rPr>
      </w:pPr>
      <w:r>
        <w:rPr>
          <w:rFonts w:hint="eastAsia" w:ascii="宋体" w:hAnsi="宋体" w:eastAsia="宋体" w:cs="宋体"/>
          <w:b w:val="0"/>
          <w:bCs w:val="0"/>
          <w:color w:val="auto"/>
          <w:sz w:val="24"/>
          <w:szCs w:val="24"/>
          <w:highlight w:val="none"/>
        </w:rPr>
        <w:t>二、</w:t>
      </w:r>
      <w:r>
        <w:rPr>
          <w:rFonts w:hint="eastAsia" w:ascii="宋体" w:hAnsi="宋体" w:eastAsia="宋体" w:cs="宋体"/>
          <w:bCs/>
          <w:color w:val="auto"/>
          <w:sz w:val="24"/>
          <w:szCs w:val="24"/>
        </w:rPr>
        <w:t>开标一览表</w:t>
      </w:r>
    </w:p>
    <w:p w14:paraId="3692AD01">
      <w:pPr>
        <w:tabs>
          <w:tab w:val="left" w:pos="9135"/>
        </w:tabs>
        <w:spacing w:line="360" w:lineRule="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项目名称：　　　　　　　　　　</w:t>
      </w:r>
      <w:r>
        <w:rPr>
          <w:rFonts w:hint="eastAsia" w:ascii="宋体" w:hAnsi="宋体" w:eastAsia="宋体" w:cs="宋体"/>
          <w:bCs/>
          <w:color w:val="auto"/>
          <w:sz w:val="24"/>
          <w:szCs w:val="24"/>
          <w:lang w:val="en-US" w:eastAsia="zh-CN"/>
        </w:rPr>
        <w:t xml:space="preserve">                           </w:t>
      </w:r>
    </w:p>
    <w:p w14:paraId="7BE7E518">
      <w:pPr>
        <w:tabs>
          <w:tab w:val="left" w:pos="9135"/>
        </w:tabs>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项目编号：　　　　　　　　　　                      </w:t>
      </w:r>
      <w:r>
        <w:rPr>
          <w:rFonts w:hint="eastAsia" w:ascii="宋体" w:hAnsi="宋体" w:eastAsia="宋体" w:cs="宋体"/>
          <w:color w:val="auto"/>
          <w:sz w:val="24"/>
          <w:szCs w:val="24"/>
          <w:highlight w:val="none"/>
        </w:rPr>
        <w:t>货币单位：人民币元</w:t>
      </w:r>
    </w:p>
    <w:p w14:paraId="3D6B9DEB">
      <w:pPr>
        <w:tabs>
          <w:tab w:val="left" w:pos="9135"/>
        </w:tabs>
        <w:spacing w:line="360" w:lineRule="auto"/>
        <w:rPr>
          <w:rFonts w:hint="eastAsia" w:ascii="宋体" w:hAnsi="宋体" w:eastAsia="宋体" w:cs="宋体"/>
          <w:bCs/>
          <w:color w:val="auto"/>
        </w:rPr>
      </w:pPr>
    </w:p>
    <w:tbl>
      <w:tblPr>
        <w:tblStyle w:val="30"/>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1"/>
        <w:gridCol w:w="3763"/>
        <w:gridCol w:w="2021"/>
      </w:tblGrid>
      <w:tr w14:paraId="1783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41" w:type="dxa"/>
            <w:noWrap w:val="0"/>
            <w:vAlign w:val="center"/>
          </w:tcPr>
          <w:p w14:paraId="6A5F95F5">
            <w:pPr>
              <w:widowControl/>
              <w:spacing w:line="440" w:lineRule="exact"/>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标项</w:t>
            </w:r>
            <w:r>
              <w:rPr>
                <w:rFonts w:hint="eastAsia" w:ascii="宋体" w:hAnsi="宋体" w:eastAsia="宋体" w:cs="宋体"/>
                <w:b w:val="0"/>
                <w:bCs w:val="0"/>
                <w:color w:val="000000"/>
                <w:kern w:val="0"/>
                <w:sz w:val="24"/>
                <w:szCs w:val="24"/>
              </w:rPr>
              <w:t>名称</w:t>
            </w:r>
          </w:p>
        </w:tc>
        <w:tc>
          <w:tcPr>
            <w:tcW w:w="3763" w:type="dxa"/>
            <w:noWrap w:val="0"/>
            <w:vAlign w:val="center"/>
          </w:tcPr>
          <w:p w14:paraId="62103E8A">
            <w:pPr>
              <w:widowControl/>
              <w:spacing w:line="440" w:lineRule="exact"/>
              <w:jc w:val="center"/>
              <w:rPr>
                <w:rFonts w:hint="default" w:ascii="宋体" w:hAnsi="宋体" w:eastAsia="宋体" w:cs="宋体"/>
                <w:b w:val="0"/>
                <w:bCs w:val="0"/>
                <w:color w:val="000000"/>
                <w:kern w:val="0"/>
                <w:sz w:val="24"/>
                <w:szCs w:val="24"/>
                <w:lang w:val="en-US"/>
              </w:rPr>
            </w:pPr>
            <w:r>
              <w:rPr>
                <w:rFonts w:hint="eastAsia" w:ascii="宋体" w:hAnsi="宋体" w:cs="宋体"/>
                <w:b w:val="0"/>
                <w:bCs w:val="0"/>
                <w:color w:val="000000"/>
                <w:kern w:val="0"/>
                <w:sz w:val="24"/>
                <w:szCs w:val="24"/>
                <w:lang w:val="en-US" w:eastAsia="zh-CN"/>
              </w:rPr>
              <w:t>交货</w:t>
            </w:r>
            <w:r>
              <w:rPr>
                <w:rFonts w:hint="eastAsia" w:ascii="宋体" w:hAnsi="宋体" w:eastAsia="宋体" w:cs="宋体"/>
                <w:b w:val="0"/>
                <w:bCs w:val="0"/>
                <w:color w:val="000000"/>
                <w:kern w:val="0"/>
                <w:sz w:val="24"/>
                <w:szCs w:val="24"/>
                <w:lang w:val="en-US" w:eastAsia="zh-CN"/>
              </w:rPr>
              <w:t>期</w:t>
            </w:r>
          </w:p>
        </w:tc>
        <w:tc>
          <w:tcPr>
            <w:tcW w:w="2021" w:type="dxa"/>
            <w:noWrap w:val="0"/>
            <w:vAlign w:val="center"/>
          </w:tcPr>
          <w:p w14:paraId="5DD2F9DE">
            <w:pPr>
              <w:widowControl/>
              <w:spacing w:line="440" w:lineRule="exact"/>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备注</w:t>
            </w:r>
          </w:p>
        </w:tc>
      </w:tr>
      <w:tr w14:paraId="18C5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3641" w:type="dxa"/>
            <w:noWrap w:val="0"/>
            <w:vAlign w:val="center"/>
          </w:tcPr>
          <w:p w14:paraId="19786A1B">
            <w:pPr>
              <w:spacing w:line="360" w:lineRule="auto"/>
              <w:jc w:val="center"/>
              <w:rPr>
                <w:rFonts w:hint="eastAsia" w:ascii="宋体" w:hAnsi="宋体" w:eastAsia="宋体" w:cs="宋体"/>
                <w:b/>
                <w:bCs/>
                <w:color w:val="000000"/>
                <w:kern w:val="0"/>
                <w:sz w:val="24"/>
                <w:szCs w:val="24"/>
              </w:rPr>
            </w:pPr>
          </w:p>
        </w:tc>
        <w:tc>
          <w:tcPr>
            <w:tcW w:w="3763" w:type="dxa"/>
            <w:noWrap w:val="0"/>
            <w:vAlign w:val="center"/>
          </w:tcPr>
          <w:p w14:paraId="210E8B67">
            <w:pPr>
              <w:widowControl/>
              <w:spacing w:line="440" w:lineRule="exact"/>
              <w:jc w:val="center"/>
              <w:rPr>
                <w:rFonts w:hint="eastAsia" w:ascii="宋体" w:hAnsi="宋体" w:eastAsia="宋体" w:cs="宋体"/>
                <w:b/>
                <w:bCs/>
                <w:color w:val="000000"/>
                <w:kern w:val="0"/>
                <w:sz w:val="24"/>
                <w:szCs w:val="24"/>
              </w:rPr>
            </w:pPr>
          </w:p>
        </w:tc>
        <w:tc>
          <w:tcPr>
            <w:tcW w:w="2021" w:type="dxa"/>
            <w:noWrap w:val="0"/>
            <w:vAlign w:val="center"/>
          </w:tcPr>
          <w:p w14:paraId="346EA3A4">
            <w:pPr>
              <w:widowControl/>
              <w:spacing w:line="440" w:lineRule="exact"/>
              <w:jc w:val="center"/>
              <w:rPr>
                <w:rFonts w:hint="eastAsia" w:ascii="宋体" w:hAnsi="宋体" w:eastAsia="宋体" w:cs="宋体"/>
                <w:b/>
                <w:bCs/>
                <w:color w:val="000000"/>
                <w:kern w:val="0"/>
                <w:sz w:val="24"/>
                <w:szCs w:val="24"/>
              </w:rPr>
            </w:pPr>
          </w:p>
        </w:tc>
      </w:tr>
      <w:tr w14:paraId="1E8B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641" w:type="dxa"/>
            <w:noWrap w:val="0"/>
            <w:vAlign w:val="center"/>
          </w:tcPr>
          <w:p w14:paraId="3A7CF8A4">
            <w:pPr>
              <w:widowControl/>
              <w:spacing w:line="44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投标</w:t>
            </w:r>
            <w:r>
              <w:rPr>
                <w:rFonts w:hint="eastAsia" w:ascii="宋体" w:hAnsi="宋体" w:cs="宋体"/>
                <w:kern w:val="0"/>
                <w:sz w:val="24"/>
                <w:szCs w:val="24"/>
                <w:highlight w:val="none"/>
                <w:lang w:val="en-US" w:eastAsia="zh-CN"/>
              </w:rPr>
              <w:t>总报</w:t>
            </w:r>
            <w:r>
              <w:rPr>
                <w:rFonts w:hint="eastAsia" w:ascii="宋体" w:hAnsi="宋体" w:eastAsia="宋体" w:cs="宋体"/>
                <w:kern w:val="0"/>
                <w:sz w:val="24"/>
                <w:szCs w:val="24"/>
                <w:highlight w:val="none"/>
                <w:lang w:eastAsia="zh-CN"/>
              </w:rPr>
              <w:t>价：</w:t>
            </w:r>
          </w:p>
        </w:tc>
        <w:tc>
          <w:tcPr>
            <w:tcW w:w="5784" w:type="dxa"/>
            <w:gridSpan w:val="2"/>
            <w:noWrap w:val="0"/>
            <w:vAlign w:val="center"/>
          </w:tcPr>
          <w:p w14:paraId="3910808B">
            <w:pPr>
              <w:pStyle w:val="8"/>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bl>
    <w:p w14:paraId="33E2036C">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69FE1330">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1、此报价包含交通费、电话费、保险、设备、税金等一系列费用，招标人</w:t>
      </w:r>
    </w:p>
    <w:p w14:paraId="72EC8326">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不必再支付其他任何费用。</w:t>
      </w:r>
    </w:p>
    <w:p w14:paraId="2865730E">
      <w:pPr>
        <w:keepNext w:val="0"/>
        <w:keepLines w:val="0"/>
        <w:pageBreakBefore w:val="0"/>
        <w:widowControl w:val="0"/>
        <w:numPr>
          <w:ilvl w:val="0"/>
          <w:numId w:val="0"/>
        </w:numPr>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投标</w:t>
      </w:r>
      <w:r>
        <w:rPr>
          <w:rFonts w:hint="eastAsia" w:ascii="宋体" w:hAnsi="宋体" w:cs="宋体"/>
          <w:b w:val="0"/>
          <w:bCs/>
          <w:color w:val="auto"/>
          <w:sz w:val="24"/>
          <w:szCs w:val="24"/>
          <w:lang w:val="en-US" w:eastAsia="zh-CN"/>
        </w:rPr>
        <w:t>总报</w:t>
      </w:r>
      <w:r>
        <w:rPr>
          <w:rFonts w:hint="eastAsia" w:ascii="宋体" w:hAnsi="宋体" w:eastAsia="宋体" w:cs="宋体"/>
          <w:b w:val="0"/>
          <w:bCs/>
          <w:color w:val="auto"/>
          <w:sz w:val="24"/>
          <w:szCs w:val="24"/>
        </w:rPr>
        <w:t>价应和投标分项报价</w:t>
      </w:r>
      <w:r>
        <w:rPr>
          <w:rFonts w:hint="eastAsia" w:ascii="宋体" w:hAnsi="宋体" w:eastAsia="宋体" w:cs="宋体"/>
          <w:b w:val="0"/>
          <w:bCs/>
          <w:color w:val="auto"/>
          <w:sz w:val="24"/>
          <w:szCs w:val="24"/>
          <w:lang w:val="en-US" w:eastAsia="zh-CN"/>
        </w:rPr>
        <w:t>明细</w:t>
      </w:r>
      <w:r>
        <w:rPr>
          <w:rFonts w:hint="eastAsia" w:ascii="宋体" w:hAnsi="宋体" w:eastAsia="宋体" w:cs="宋体"/>
          <w:b w:val="0"/>
          <w:bCs/>
          <w:color w:val="auto"/>
          <w:sz w:val="24"/>
          <w:szCs w:val="24"/>
        </w:rPr>
        <w:t>表的</w:t>
      </w:r>
      <w:r>
        <w:rPr>
          <w:rFonts w:hint="eastAsia" w:ascii="宋体" w:hAnsi="宋体" w:cs="宋体"/>
          <w:b w:val="0"/>
          <w:bCs/>
          <w:color w:val="auto"/>
          <w:sz w:val="24"/>
          <w:szCs w:val="24"/>
          <w:lang w:val="en-US" w:eastAsia="zh-CN"/>
        </w:rPr>
        <w:t>总报价</w:t>
      </w:r>
      <w:r>
        <w:rPr>
          <w:rFonts w:hint="eastAsia" w:ascii="宋体" w:hAnsi="宋体" w:eastAsia="宋体" w:cs="宋体"/>
          <w:b w:val="0"/>
          <w:bCs/>
          <w:color w:val="auto"/>
          <w:sz w:val="24"/>
          <w:szCs w:val="24"/>
        </w:rPr>
        <w:t>相一致。</w:t>
      </w:r>
    </w:p>
    <w:p w14:paraId="3345EC05">
      <w:pPr>
        <w:tabs>
          <w:tab w:val="left" w:pos="9135"/>
        </w:tabs>
        <w:spacing w:line="360" w:lineRule="auto"/>
        <w:rPr>
          <w:rFonts w:hint="eastAsia" w:ascii="宋体" w:hAnsi="宋体" w:eastAsia="宋体" w:cs="宋体"/>
          <w:bCs/>
          <w:color w:val="auto"/>
        </w:rPr>
      </w:pPr>
    </w:p>
    <w:p w14:paraId="343167FE">
      <w:pPr>
        <w:tabs>
          <w:tab w:val="left" w:pos="9135"/>
        </w:tabs>
        <w:spacing w:line="360" w:lineRule="auto"/>
        <w:rPr>
          <w:rFonts w:hint="eastAsia" w:ascii="宋体" w:hAnsi="宋体" w:eastAsia="宋体" w:cs="宋体"/>
          <w:bCs/>
          <w:color w:val="auto"/>
        </w:rPr>
      </w:pPr>
    </w:p>
    <w:p w14:paraId="6294D7E5">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10722B53">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1691F9E">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443D753B">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lang w:val="en-US" w:eastAsia="zh-CN"/>
        </w:rPr>
        <w:t>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2E72B9C0">
      <w:pPr>
        <w:keepNext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032165CA">
      <w:pPr>
        <w:tabs>
          <w:tab w:val="left" w:pos="9135"/>
        </w:tabs>
        <w:spacing w:line="360" w:lineRule="auto"/>
        <w:rPr>
          <w:rFonts w:hint="eastAsia" w:ascii="宋体" w:hAnsi="宋体" w:eastAsia="宋体" w:cs="宋体"/>
          <w:bCs/>
          <w:color w:val="auto"/>
        </w:rPr>
      </w:pPr>
    </w:p>
    <w:p w14:paraId="750C20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cs="宋体"/>
          <w:b w:val="0"/>
          <w:bCs w:val="0"/>
          <w:color w:val="auto"/>
          <w:sz w:val="24"/>
          <w:szCs w:val="24"/>
          <w:highlight w:val="none"/>
          <w:lang w:val="en-US" w:eastAsia="zh-CN"/>
        </w:rPr>
      </w:pPr>
    </w:p>
    <w:p w14:paraId="75A7CE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br w:type="page"/>
      </w:r>
      <w:r>
        <w:rPr>
          <w:rFonts w:hint="eastAsia" w:ascii="宋体" w:hAnsi="宋体" w:cs="宋体"/>
          <w:b w:val="0"/>
          <w:bCs w:val="0"/>
          <w:color w:val="auto"/>
          <w:sz w:val="24"/>
          <w:szCs w:val="24"/>
          <w:highlight w:val="none"/>
          <w:lang w:val="en-US" w:eastAsia="zh-CN"/>
        </w:rPr>
        <w:t>分项报价明细表</w:t>
      </w:r>
    </w:p>
    <w:p w14:paraId="192924D4">
      <w:pPr>
        <w:pageBreakBefore w:val="0"/>
        <w:wordWrap/>
        <w:overflowPunct/>
        <w:topLinePunct w:val="0"/>
        <w:bidi w:val="0"/>
        <w:spacing w:line="560" w:lineRule="exact"/>
        <w:ind w:left="0" w:leftChars="0" w:right="0" w:rightChars="0" w:firstLine="5280" w:firstLineChars="2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货币单位：人民币元</w:t>
      </w:r>
    </w:p>
    <w:p w14:paraId="6AAD9CE7">
      <w:pPr>
        <w:widowControl/>
        <w:spacing w:line="44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p w14:paraId="5D9F6A3E">
      <w:pPr>
        <w:widowControl/>
        <w:spacing w:line="440" w:lineRule="exact"/>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项目编号</w:t>
      </w:r>
      <w:r>
        <w:rPr>
          <w:rFonts w:hint="eastAsia" w:ascii="宋体" w:hAnsi="宋体" w:eastAsia="宋体" w:cs="宋体"/>
          <w:b/>
          <w:bCs/>
          <w:color w:val="000000"/>
          <w:kern w:val="0"/>
          <w:sz w:val="24"/>
          <w:szCs w:val="24"/>
          <w:lang w:eastAsia="zh-CN"/>
        </w:rPr>
        <w:t>：</w:t>
      </w:r>
    </w:p>
    <w:tbl>
      <w:tblPr>
        <w:tblStyle w:val="30"/>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1754"/>
        <w:gridCol w:w="838"/>
        <w:gridCol w:w="2273"/>
        <w:gridCol w:w="1216"/>
        <w:gridCol w:w="1219"/>
        <w:gridCol w:w="1219"/>
      </w:tblGrid>
      <w:tr w14:paraId="2F0C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7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7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货物</w:t>
            </w:r>
            <w:r>
              <w:rPr>
                <w:rFonts w:hint="eastAsia" w:ascii="宋体" w:hAnsi="宋体" w:eastAsia="宋体" w:cs="宋体"/>
                <w:i w:val="0"/>
                <w:iCs w:val="0"/>
                <w:color w:val="auto"/>
                <w:kern w:val="0"/>
                <w:sz w:val="24"/>
                <w:szCs w:val="24"/>
                <w:highlight w:val="none"/>
                <w:u w:val="none"/>
                <w:lang w:val="en-US" w:eastAsia="zh-CN" w:bidi="ar"/>
              </w:rPr>
              <w:t>名称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E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质量</w:t>
            </w:r>
            <w:r>
              <w:rPr>
                <w:rFonts w:hint="eastAsia" w:ascii="宋体" w:hAnsi="宋体" w:eastAsia="宋体" w:cs="宋体"/>
                <w:i w:val="0"/>
                <w:iCs w:val="0"/>
                <w:color w:val="auto"/>
                <w:kern w:val="0"/>
                <w:sz w:val="24"/>
                <w:szCs w:val="24"/>
                <w:highlight w:val="none"/>
                <w:u w:val="none"/>
                <w:lang w:val="en-US" w:eastAsia="zh-CN" w:bidi="ar"/>
              </w:rPr>
              <w:t>标准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制造商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EE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单项价格</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D1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8B8">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14:paraId="5679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8A90">
            <w:pPr>
              <w:widowControl/>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可视化红外火焰摄像机</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143D">
            <w:pPr>
              <w:widowControl/>
              <w:jc w:val="center"/>
              <w:textAlignment w:val="bottom"/>
              <w:rPr>
                <w:rFonts w:hint="eastAsia" w:ascii="宋体" w:hAnsi="宋体" w:eastAsia="宋体" w:cs="宋体"/>
                <w:i w:val="0"/>
                <w:iCs w:val="0"/>
                <w:color w:val="auto"/>
                <w:sz w:val="20"/>
                <w:szCs w:val="20"/>
                <w:highlight w:val="none"/>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E00F">
            <w:pPr>
              <w:jc w:val="center"/>
              <w:rPr>
                <w:rFonts w:hint="eastAsia" w:ascii="宋体" w:hAnsi="宋体" w:eastAsia="宋体" w:cs="宋体"/>
                <w:i w:val="0"/>
                <w:iCs w:val="0"/>
                <w:color w:val="auto"/>
                <w:sz w:val="20"/>
                <w:szCs w:val="20"/>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30C4">
            <w:pPr>
              <w:widowControl/>
              <w:jc w:val="center"/>
              <w:textAlignment w:val="bottom"/>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D1DA">
            <w:pPr>
              <w:jc w:val="center"/>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099E">
            <w:pPr>
              <w:jc w:val="center"/>
              <w:rPr>
                <w:rFonts w:hint="eastAsia" w:ascii="宋体" w:hAnsi="宋体" w:eastAsia="宋体" w:cs="宋体"/>
                <w:i w:val="0"/>
                <w:iCs w:val="0"/>
                <w:color w:val="auto"/>
                <w:sz w:val="20"/>
                <w:szCs w:val="20"/>
                <w:highlight w:val="none"/>
                <w:u w:val="none"/>
              </w:rPr>
            </w:pPr>
          </w:p>
        </w:tc>
      </w:tr>
      <w:tr w14:paraId="0017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F49D">
            <w:pPr>
              <w:widowControl/>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7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网络存储设备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8E98">
            <w:pPr>
              <w:widowControl/>
              <w:jc w:val="center"/>
              <w:textAlignment w:val="bottom"/>
              <w:rPr>
                <w:rFonts w:hint="eastAsia" w:ascii="宋体" w:hAnsi="宋体" w:eastAsia="宋体" w:cs="宋体"/>
                <w:i w:val="0"/>
                <w:iCs w:val="0"/>
                <w:color w:val="auto"/>
                <w:sz w:val="20"/>
                <w:szCs w:val="20"/>
                <w:highlight w:val="none"/>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C108">
            <w:pPr>
              <w:jc w:val="center"/>
              <w:rPr>
                <w:rFonts w:hint="eastAsia" w:ascii="宋体" w:hAnsi="宋体" w:eastAsia="宋体" w:cs="宋体"/>
                <w:i w:val="0"/>
                <w:iCs w:val="0"/>
                <w:color w:val="auto"/>
                <w:sz w:val="20"/>
                <w:szCs w:val="20"/>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1EC">
            <w:pPr>
              <w:widowControl/>
              <w:jc w:val="center"/>
              <w:textAlignment w:val="bottom"/>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C82">
            <w:pPr>
              <w:jc w:val="center"/>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7B1">
            <w:pPr>
              <w:jc w:val="center"/>
              <w:rPr>
                <w:rFonts w:hint="eastAsia" w:ascii="宋体" w:hAnsi="宋体" w:eastAsia="宋体" w:cs="宋体"/>
                <w:i w:val="0"/>
                <w:iCs w:val="0"/>
                <w:color w:val="auto"/>
                <w:sz w:val="20"/>
                <w:szCs w:val="20"/>
                <w:highlight w:val="none"/>
                <w:u w:val="none"/>
              </w:rPr>
            </w:pPr>
          </w:p>
        </w:tc>
      </w:tr>
      <w:tr w14:paraId="4FFB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48E">
            <w:pPr>
              <w:widowControl/>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D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000000"/>
                <w:kern w:val="0"/>
                <w:sz w:val="21"/>
                <w:szCs w:val="21"/>
                <w:u w:val="none"/>
                <w:lang w:val="en-US" w:eastAsia="zh-CN" w:bidi="ar"/>
              </w:rPr>
              <w:t>视频图像火灾报警监测模块</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C32">
            <w:pPr>
              <w:widowControl/>
              <w:jc w:val="center"/>
              <w:textAlignment w:val="bottom"/>
              <w:rPr>
                <w:rFonts w:hint="eastAsia" w:ascii="宋体" w:hAnsi="宋体" w:eastAsia="宋体" w:cs="宋体"/>
                <w:i w:val="0"/>
                <w:iCs w:val="0"/>
                <w:color w:val="auto"/>
                <w:sz w:val="20"/>
                <w:szCs w:val="20"/>
                <w:highlight w:val="none"/>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C4D7">
            <w:pPr>
              <w:jc w:val="center"/>
              <w:rPr>
                <w:rFonts w:hint="eastAsia" w:ascii="宋体" w:hAnsi="宋体" w:eastAsia="宋体" w:cs="宋体"/>
                <w:i w:val="0"/>
                <w:iCs w:val="0"/>
                <w:color w:val="auto"/>
                <w:sz w:val="20"/>
                <w:szCs w:val="20"/>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EA20">
            <w:pPr>
              <w:widowControl/>
              <w:jc w:val="center"/>
              <w:textAlignment w:val="bottom"/>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9C93">
            <w:pPr>
              <w:jc w:val="center"/>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AD9B">
            <w:pPr>
              <w:jc w:val="center"/>
              <w:rPr>
                <w:rFonts w:hint="eastAsia" w:ascii="宋体" w:hAnsi="宋体" w:eastAsia="宋体" w:cs="宋体"/>
                <w:i w:val="0"/>
                <w:iCs w:val="0"/>
                <w:color w:val="auto"/>
                <w:sz w:val="20"/>
                <w:szCs w:val="20"/>
                <w:highlight w:val="none"/>
                <w:u w:val="none"/>
              </w:rPr>
            </w:pPr>
          </w:p>
        </w:tc>
      </w:tr>
      <w:tr w14:paraId="3C59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A41C">
            <w:pPr>
              <w:widowControl/>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D1B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510C">
            <w:pPr>
              <w:widowControl/>
              <w:jc w:val="center"/>
              <w:textAlignment w:val="bottom"/>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D6D4">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BD6E">
            <w:pPr>
              <w:widowControl/>
              <w:jc w:val="center"/>
              <w:textAlignment w:val="bottom"/>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91E5">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584">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r>
      <w:tr w14:paraId="27B8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exact"/>
          <w:jc w:val="center"/>
        </w:trPr>
        <w:tc>
          <w:tcPr>
            <w:tcW w:w="3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FAB">
            <w:pPr>
              <w:widowControl/>
              <w:jc w:val="center"/>
              <w:textAlignment w:val="bottom"/>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投标总报价(合计）：</w:t>
            </w:r>
          </w:p>
        </w:tc>
        <w:tc>
          <w:tcPr>
            <w:tcW w:w="59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2341">
            <w:pPr>
              <w:jc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小写：        元            大写：         元</w:t>
            </w:r>
          </w:p>
        </w:tc>
      </w:tr>
    </w:tbl>
    <w:p w14:paraId="38309F79">
      <w:pPr>
        <w:spacing w:line="400" w:lineRule="exact"/>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14:paraId="6FB92A41">
      <w:pPr>
        <w:spacing w:line="400" w:lineRule="exact"/>
        <w:jc w:val="left"/>
        <w:rPr>
          <w:rFonts w:hAnsi="宋体" w:cs="Arial"/>
          <w:b/>
          <w:color w:val="auto"/>
          <w:sz w:val="24"/>
          <w:highlight w:val="none"/>
        </w:rPr>
      </w:pPr>
      <w:r>
        <w:rPr>
          <w:rFonts w:hint="eastAsia" w:hAnsi="宋体" w:cs="Arial"/>
          <w:b/>
          <w:color w:val="auto"/>
          <w:sz w:val="24"/>
          <w:highlight w:val="none"/>
        </w:rPr>
        <w:t>注</w:t>
      </w:r>
      <w:r>
        <w:rPr>
          <w:rFonts w:hAnsi="宋体" w:cs="Arial"/>
          <w:b/>
          <w:color w:val="auto"/>
          <w:sz w:val="24"/>
          <w:highlight w:val="none"/>
        </w:rPr>
        <w:t>：</w:t>
      </w:r>
    </w:p>
    <w:p w14:paraId="595C69AE">
      <w:pPr>
        <w:numPr>
          <w:ilvl w:val="0"/>
          <w:numId w:val="7"/>
        </w:numPr>
        <w:spacing w:line="400" w:lineRule="exact"/>
        <w:jc w:val="left"/>
        <w:rPr>
          <w:rFonts w:hAnsi="宋体" w:cs="Arial"/>
          <w:b/>
          <w:color w:val="auto"/>
          <w:sz w:val="24"/>
          <w:highlight w:val="none"/>
        </w:rPr>
      </w:pPr>
      <w:r>
        <w:rPr>
          <w:rFonts w:hint="eastAsia" w:hAnsi="宋体" w:cs="Arial"/>
          <w:b/>
          <w:color w:val="auto"/>
          <w:sz w:val="24"/>
          <w:highlight w:val="none"/>
        </w:rPr>
        <w:t>报价中包含负责运输、装卸、仓储、</w:t>
      </w:r>
      <w:r>
        <w:rPr>
          <w:rFonts w:hint="eastAsia" w:hAnsi="宋体" w:cs="Arial"/>
          <w:b/>
          <w:color w:val="auto"/>
          <w:sz w:val="24"/>
          <w:highlight w:val="none"/>
          <w:lang w:val="en-US" w:eastAsia="zh-CN"/>
        </w:rPr>
        <w:t>安装、</w:t>
      </w:r>
      <w:r>
        <w:rPr>
          <w:rFonts w:hint="eastAsia" w:hAnsi="宋体" w:cs="Arial"/>
          <w:b/>
          <w:color w:val="auto"/>
          <w:sz w:val="24"/>
          <w:highlight w:val="none"/>
        </w:rPr>
        <w:t>验收等相关所有费用。</w:t>
      </w:r>
    </w:p>
    <w:p w14:paraId="47D0A6D0">
      <w:pPr>
        <w:numPr>
          <w:ilvl w:val="0"/>
          <w:numId w:val="7"/>
        </w:numPr>
        <w:spacing w:line="400" w:lineRule="exact"/>
        <w:jc w:val="left"/>
        <w:rPr>
          <w:rFonts w:hint="eastAsia" w:hAnsi="宋体" w:cs="Arial"/>
          <w:b/>
          <w:color w:val="auto"/>
          <w:sz w:val="24"/>
          <w:highlight w:val="none"/>
        </w:rPr>
      </w:pPr>
      <w:r>
        <w:rPr>
          <w:rFonts w:hint="eastAsia" w:hAnsi="宋体" w:cs="Arial"/>
          <w:b/>
          <w:color w:val="auto"/>
          <w:sz w:val="24"/>
          <w:highlight w:val="none"/>
        </w:rPr>
        <w:t>投标</w:t>
      </w:r>
      <w:r>
        <w:rPr>
          <w:rFonts w:hint="eastAsia" w:hAnsi="宋体" w:cs="Arial"/>
          <w:b/>
          <w:color w:val="auto"/>
          <w:sz w:val="24"/>
          <w:highlight w:val="none"/>
          <w:lang w:val="en-US" w:eastAsia="zh-CN"/>
        </w:rPr>
        <w:t>总</w:t>
      </w:r>
      <w:r>
        <w:rPr>
          <w:rFonts w:hint="eastAsia" w:hAnsi="宋体" w:cs="Arial"/>
          <w:b/>
          <w:color w:val="auto"/>
          <w:sz w:val="24"/>
          <w:highlight w:val="none"/>
        </w:rPr>
        <w:t>报价不得超出</w:t>
      </w:r>
      <w:r>
        <w:rPr>
          <w:rFonts w:hint="eastAsia" w:hAnsi="宋体" w:cs="Arial"/>
          <w:b/>
          <w:color w:val="auto"/>
          <w:sz w:val="24"/>
          <w:highlight w:val="none"/>
          <w:lang w:eastAsia="zh-CN"/>
        </w:rPr>
        <w:t>招标</w:t>
      </w:r>
      <w:r>
        <w:rPr>
          <w:rFonts w:hint="eastAsia" w:hAnsi="宋体" w:cs="Arial"/>
          <w:b/>
          <w:color w:val="auto"/>
          <w:sz w:val="24"/>
          <w:highlight w:val="none"/>
        </w:rPr>
        <w:t>控制价。</w:t>
      </w:r>
    </w:p>
    <w:p w14:paraId="1C1AD193">
      <w:pPr>
        <w:pStyle w:val="29"/>
        <w:numPr>
          <w:ilvl w:val="0"/>
          <w:numId w:val="7"/>
        </w:numPr>
        <w:ind w:left="0" w:leftChars="0" w:firstLine="0" w:firstLineChars="0"/>
        <w:rPr>
          <w:rFonts w:hint="eastAsia" w:hAnsi="宋体" w:cs="Arial"/>
          <w:b/>
          <w:color w:val="auto"/>
          <w:sz w:val="24"/>
          <w:highlight w:val="none"/>
          <w:lang w:val="en-US" w:eastAsia="zh-CN"/>
        </w:rPr>
      </w:pPr>
      <w:r>
        <w:rPr>
          <w:rFonts w:hint="eastAsia" w:hAnsi="宋体" w:cs="Arial"/>
          <w:b/>
          <w:color w:val="auto"/>
          <w:sz w:val="24"/>
          <w:highlight w:val="none"/>
          <w:lang w:val="en-US" w:eastAsia="zh-CN"/>
        </w:rPr>
        <w:t>此表必须填写，如后期调整此分项报价表价格作为调整依据。</w:t>
      </w:r>
    </w:p>
    <w:p w14:paraId="727CC366">
      <w:pPr>
        <w:numPr>
          <w:ilvl w:val="0"/>
          <w:numId w:val="7"/>
        </w:numPr>
        <w:spacing w:line="400" w:lineRule="exact"/>
        <w:jc w:val="left"/>
        <w:rPr>
          <w:rFonts w:hint="default" w:hAnsi="宋体" w:eastAsia="宋体" w:cs="Arial"/>
          <w:b/>
          <w:color w:val="auto"/>
          <w:sz w:val="24"/>
          <w:highlight w:val="none"/>
          <w:lang w:val="en-US" w:eastAsia="zh-CN"/>
        </w:rPr>
      </w:pPr>
      <w:r>
        <w:rPr>
          <w:rFonts w:hint="eastAsia" w:hAnsi="宋体" w:eastAsia="宋体" w:cs="Arial"/>
          <w:b/>
          <w:color w:val="auto"/>
          <w:sz w:val="24"/>
          <w:highlight w:val="none"/>
          <w:lang w:val="en-US" w:eastAsia="zh-CN"/>
        </w:rPr>
        <w:t>此表依照</w:t>
      </w:r>
      <w:r>
        <w:rPr>
          <w:rFonts w:hint="default" w:hAnsi="宋体" w:eastAsia="宋体" w:cs="Arial"/>
          <w:b/>
          <w:color w:val="auto"/>
          <w:sz w:val="24"/>
          <w:highlight w:val="none"/>
          <w:lang w:val="en-US" w:eastAsia="zh-CN"/>
        </w:rPr>
        <w:t>设备报价清单</w:t>
      </w:r>
      <w:r>
        <w:rPr>
          <w:rFonts w:hint="eastAsia" w:hAnsi="宋体" w:eastAsia="宋体" w:cs="Arial"/>
          <w:b/>
          <w:color w:val="auto"/>
          <w:sz w:val="24"/>
          <w:highlight w:val="none"/>
          <w:lang w:val="en-US" w:eastAsia="zh-CN"/>
        </w:rPr>
        <w:t>，不得缺项漏项，否则视为不响应招标文件，做废标处理。</w:t>
      </w:r>
    </w:p>
    <w:p w14:paraId="0C1EA153">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5519334A">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lang w:val="en-US" w:eastAsia="zh-CN"/>
        </w:rPr>
        <w:t>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7F68A256">
      <w:pPr>
        <w:keepNext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7B15B9CE">
      <w:pPr>
        <w:pStyle w:val="3"/>
        <w:keepNext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right="0" w:rightChars="0" w:firstLine="480" w:firstLineChars="200"/>
        <w:jc w:val="center"/>
        <w:textAlignment w:val="auto"/>
        <w:rPr>
          <w:rFonts w:hint="eastAsia" w:ascii="宋体" w:hAnsi="宋体" w:eastAsia="宋体" w:cs="宋体"/>
          <w:b w:val="0"/>
          <w:bCs/>
          <w:color w:val="auto"/>
          <w:kern w:val="2"/>
          <w:sz w:val="24"/>
          <w:szCs w:val="24"/>
          <w:highlight w:val="none"/>
          <w:lang w:val="en-US" w:eastAsia="zh-CN" w:bidi="ar-SA"/>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51975B91">
      <w:pPr>
        <w:rPr>
          <w:rFonts w:hint="eastAsia" w:ascii="宋体" w:hAnsi="宋体" w:cs="宋体"/>
          <w:b w:val="0"/>
          <w:bCs w:val="0"/>
          <w:color w:val="auto"/>
          <w:sz w:val="24"/>
          <w:szCs w:val="24"/>
          <w:highlight w:val="none"/>
          <w:lang w:val="en-US" w:eastAsia="zh-CN"/>
        </w:rPr>
      </w:pPr>
    </w:p>
    <w:p w14:paraId="0C2F842D">
      <w:pPr>
        <w:pStyle w:val="3"/>
        <w:pageBreakBefore w:val="0"/>
        <w:numPr>
          <w:ilvl w:val="0"/>
          <w:numId w:val="0"/>
        </w:numPr>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三、</w:t>
      </w:r>
      <w:r>
        <w:rPr>
          <w:rFonts w:hint="eastAsia" w:ascii="宋体" w:hAnsi="宋体" w:eastAsia="宋体" w:cs="宋体"/>
          <w:b w:val="0"/>
          <w:bCs/>
          <w:color w:val="auto"/>
          <w:sz w:val="24"/>
          <w:szCs w:val="24"/>
          <w:highlight w:val="none"/>
        </w:rPr>
        <w:t>身份证明书</w:t>
      </w:r>
    </w:p>
    <w:p w14:paraId="7BB5B15F">
      <w:pPr>
        <w:pageBreakBefore w:val="0"/>
        <w:wordWrap/>
        <w:overflowPunct/>
        <w:topLinePunct w:val="0"/>
        <w:bidi w:val="0"/>
        <w:spacing w:line="560" w:lineRule="exact"/>
        <w:ind w:left="0" w:leftChars="0" w:right="0" w:rightChars="0" w:firstLine="720" w:firstLineChars="3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（一）身份证明书（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2C539FB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单位名称：</w:t>
      </w:r>
      <w:r>
        <w:rPr>
          <w:rFonts w:hint="eastAsia" w:ascii="宋体" w:hAnsi="宋体" w:eastAsia="宋体" w:cs="宋体"/>
          <w:b w:val="0"/>
          <w:bCs/>
          <w:color w:val="auto"/>
          <w:sz w:val="24"/>
          <w:szCs w:val="24"/>
          <w:highlight w:val="none"/>
          <w:u w:val="single"/>
        </w:rPr>
        <w:t xml:space="preserve">                                             。 </w:t>
      </w:r>
    </w:p>
    <w:p w14:paraId="3827A9A0">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p>
    <w:p w14:paraId="6A54BB6A">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p>
    <w:p w14:paraId="41C03DE9">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6F249C15">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的法定代表人，为具有参加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、进行合同谈判、签署合同和处理与之有关的一切事务权利的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 </w:t>
      </w:r>
    </w:p>
    <w:p w14:paraId="7C1628F0">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特此证明。                       </w:t>
      </w:r>
    </w:p>
    <w:p w14:paraId="5712C4B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附：法定代表人身份证正反面。</w:t>
      </w:r>
    </w:p>
    <w:p w14:paraId="67E14B9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A4DAB9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D8EC7EC">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26B20C37">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3FE0998E">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   期：  年   月   日</w:t>
      </w:r>
    </w:p>
    <w:p w14:paraId="2E68392A">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ECC094C">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身份证明书（</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26C1A73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3F90E7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9A979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                                             </w:t>
      </w:r>
    </w:p>
    <w:p w14:paraId="65BAA3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7265A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、签署上述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、进行合同谈判、签署合同和处理与之有关的一切事务权利的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0F5C4A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6192A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val="en-US" w:eastAsia="zh-CN"/>
        </w:rPr>
        <w:t>正反面。</w:t>
      </w:r>
    </w:p>
    <w:p w14:paraId="01CB68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p>
    <w:p w14:paraId="7E980E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37614F9">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0D87739B">
      <w:pPr>
        <w:pStyle w:val="10"/>
        <w:pageBreakBefore w:val="0"/>
        <w:wordWrap/>
        <w:overflowPunct/>
        <w:topLinePunct w:val="0"/>
        <w:bidi w:val="0"/>
        <w:spacing w:after="0" w:line="560" w:lineRule="exact"/>
        <w:ind w:left="0" w:leftChars="0" w:right="0" w:rightChars="0"/>
        <w:rPr>
          <w:rFonts w:hint="eastAsia" w:ascii="宋体" w:hAnsi="宋体" w:eastAsia="宋体" w:cs="宋体"/>
          <w:b/>
          <w:bCs/>
          <w:color w:val="auto"/>
          <w:sz w:val="24"/>
          <w:szCs w:val="24"/>
          <w:highlight w:val="none"/>
        </w:rPr>
      </w:pPr>
    </w:p>
    <w:p w14:paraId="1DD40C2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F158A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授权委托书</w:t>
      </w:r>
    </w:p>
    <w:p w14:paraId="014630C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）法定代表人授权委托书（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1FE1E012">
      <w:pPr>
        <w:pStyle w:val="29"/>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4DC5BD6F">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_______（采购人名称）：</w:t>
      </w:r>
    </w:p>
    <w:p w14:paraId="415F4168">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（法定代表人姓名、职务）授权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（被授权人姓名、职务）为我方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（项目名称、项目编号）”项目</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、签订合同以及执行合同等一切事宜。</w:t>
      </w:r>
    </w:p>
    <w:p w14:paraId="30A16B1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被授权人无权转让本授权，特此声明。</w:t>
      </w:r>
    </w:p>
    <w:p w14:paraId="1D3F75D0">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附：法定代表人及被授权人身份证正反面。</w:t>
      </w:r>
    </w:p>
    <w:p w14:paraId="1EDFF75F">
      <w:pPr>
        <w:pStyle w:val="29"/>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6E7EE852">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p>
    <w:p w14:paraId="1EFDA8F8">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5BBA010D">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法定代表人（盖章或签字）：</w:t>
      </w:r>
    </w:p>
    <w:p w14:paraId="559722F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日期： 年 月 日</w:t>
      </w:r>
    </w:p>
    <w:p w14:paraId="525AB0D2">
      <w:pPr>
        <w:pageBreakBefore w:val="0"/>
        <w:wordWrap/>
        <w:overflowPunct/>
        <w:topLinePunct w:val="0"/>
        <w:bidi w:val="0"/>
        <w:spacing w:line="560" w:lineRule="exact"/>
        <w:ind w:left="0" w:leftChars="0" w:right="0" w:rightChars="0" w:firstLine="4080" w:firstLineChars="1700"/>
        <w:rPr>
          <w:rFonts w:hint="eastAsia" w:ascii="宋体" w:hAnsi="宋体" w:eastAsia="宋体" w:cs="宋体"/>
          <w:b w:val="0"/>
          <w:bCs/>
          <w:color w:val="auto"/>
          <w:sz w:val="24"/>
          <w:szCs w:val="24"/>
          <w:highlight w:val="none"/>
        </w:rPr>
      </w:pPr>
    </w:p>
    <w:p w14:paraId="43B88EF3">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141A6F03">
      <w:pPr>
        <w:pageBreakBefore w:val="0"/>
        <w:wordWrap/>
        <w:overflowPunct/>
        <w:topLinePunct w:val="0"/>
        <w:bidi w:val="0"/>
        <w:snapToGrid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7C87C07C">
      <w:pPr>
        <w:pStyle w:val="10"/>
        <w:pageBreakBefore w:val="0"/>
        <w:wordWrap/>
        <w:overflowPunct/>
        <w:topLinePunct w:val="0"/>
        <w:bidi w:val="0"/>
        <w:spacing w:after="0" w:line="560" w:lineRule="exact"/>
        <w:ind w:left="0" w:leftChars="0" w:right="0" w:rightChars="0"/>
        <w:rPr>
          <w:rFonts w:hint="eastAsia" w:ascii="宋体" w:hAnsi="宋体" w:eastAsia="宋体" w:cs="宋体"/>
          <w:b w:val="0"/>
          <w:bCs/>
          <w:color w:val="auto"/>
          <w:sz w:val="24"/>
          <w:szCs w:val="24"/>
          <w:highlight w:val="none"/>
        </w:rPr>
      </w:pPr>
    </w:p>
    <w:p w14:paraId="2E08391E">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E3CC5D4">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）授权委托书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6B87583B">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083047F0">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_____（采购人名称）：</w:t>
      </w:r>
    </w:p>
    <w:p w14:paraId="6CC1545E">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本授权声明：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名称）授权</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（被授权人姓名、职务）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为我方 “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 项目</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活动的合法代表，以我方名义全权处理该项目有关</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、签订合同以及执行合同等一切事宜。</w:t>
      </w:r>
    </w:p>
    <w:p w14:paraId="5D98BD71">
      <w:pPr>
        <w:pageBreakBefore w:val="0"/>
        <w:shd w:val="clear" w:color="auto" w:fill="auto"/>
        <w:kinsoku/>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被授权人</w:t>
      </w:r>
      <w:r>
        <w:rPr>
          <w:rFonts w:hint="eastAsia" w:ascii="宋体" w:hAnsi="宋体" w:eastAsia="宋体" w:cs="宋体"/>
          <w:b w:val="0"/>
          <w:bCs w:val="0"/>
          <w:color w:val="auto"/>
          <w:sz w:val="24"/>
          <w:szCs w:val="24"/>
          <w:highlight w:val="none"/>
        </w:rPr>
        <w:t>无</w:t>
      </w:r>
      <w:r>
        <w:rPr>
          <w:rFonts w:hint="eastAsia" w:ascii="宋体" w:hAnsi="宋体" w:eastAsia="宋体" w:cs="宋体"/>
          <w:b w:val="0"/>
          <w:bCs w:val="0"/>
          <w:color w:val="auto"/>
          <w:sz w:val="24"/>
          <w:szCs w:val="24"/>
          <w:highlight w:val="none"/>
          <w:lang w:val="en-US" w:eastAsia="zh-CN"/>
        </w:rPr>
        <w:t>权转让本授权</w:t>
      </w: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eastAsia="zh-CN"/>
        </w:rPr>
        <w:t>声明。</w:t>
      </w:r>
    </w:p>
    <w:p w14:paraId="7624C94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附：授权人及被授权人身份证</w:t>
      </w:r>
      <w:r>
        <w:rPr>
          <w:rFonts w:hint="eastAsia" w:ascii="宋体" w:hAnsi="宋体" w:eastAsia="宋体" w:cs="宋体"/>
          <w:b w:val="0"/>
          <w:bCs w:val="0"/>
          <w:color w:val="auto"/>
          <w:sz w:val="24"/>
          <w:szCs w:val="24"/>
          <w:highlight w:val="none"/>
          <w:lang w:val="en-US" w:eastAsia="zh-CN"/>
        </w:rPr>
        <w:t>正反面。</w:t>
      </w:r>
    </w:p>
    <w:p w14:paraId="0974953C">
      <w:pPr>
        <w:pStyle w:val="29"/>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1A1CA05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6460A5FB">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名称（盖章）：</w:t>
      </w:r>
    </w:p>
    <w:p w14:paraId="6CABDBD7">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被</w:t>
      </w:r>
      <w:r>
        <w:rPr>
          <w:rFonts w:hint="eastAsia" w:ascii="宋体" w:hAnsi="宋体" w:eastAsia="宋体" w:cs="宋体"/>
          <w:bCs/>
          <w:color w:val="auto"/>
          <w:sz w:val="24"/>
          <w:szCs w:val="24"/>
          <w:highlight w:val="none"/>
          <w:lang w:val="en-US" w:eastAsia="zh-CN"/>
        </w:rPr>
        <w:t>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60A1F5D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1743A487">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06B42B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br w:type="page"/>
      </w:r>
      <w:bookmarkStart w:id="141" w:name="_Toc28653"/>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基本情况表</w:t>
      </w:r>
    </w:p>
    <w:p w14:paraId="2C0B69F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tbl>
      <w:tblPr>
        <w:tblStyle w:val="110"/>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5"/>
        <w:gridCol w:w="1303"/>
        <w:gridCol w:w="227"/>
        <w:gridCol w:w="1575"/>
        <w:gridCol w:w="1545"/>
        <w:gridCol w:w="1478"/>
        <w:gridCol w:w="1970"/>
      </w:tblGrid>
      <w:tr w14:paraId="4B48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365" w:type="dxa"/>
            <w:vAlign w:val="center"/>
          </w:tcPr>
          <w:p w14:paraId="042712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lang w:val="en-US" w:eastAsia="zh-CN"/>
              </w:rPr>
              <w:t>投标人</w:t>
            </w:r>
            <w:r>
              <w:rPr>
                <w:rFonts w:hint="eastAsia" w:ascii="宋体" w:hAnsi="宋体" w:eastAsia="宋体" w:cs="宋体"/>
                <w:color w:val="auto"/>
                <w:spacing w:val="-3"/>
                <w:sz w:val="24"/>
                <w:szCs w:val="24"/>
                <w:highlight w:val="none"/>
                <w:u w:val="none"/>
              </w:rPr>
              <w:t>名称</w:t>
            </w:r>
          </w:p>
        </w:tc>
        <w:tc>
          <w:tcPr>
            <w:tcW w:w="8098" w:type="dxa"/>
            <w:gridSpan w:val="6"/>
            <w:vAlign w:val="center"/>
          </w:tcPr>
          <w:p w14:paraId="3C1D9BDF">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A8A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365" w:type="dxa"/>
            <w:vAlign w:val="center"/>
          </w:tcPr>
          <w:p w14:paraId="5FE489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详细地址</w:t>
            </w:r>
          </w:p>
        </w:tc>
        <w:tc>
          <w:tcPr>
            <w:tcW w:w="8098" w:type="dxa"/>
            <w:gridSpan w:val="6"/>
            <w:vAlign w:val="center"/>
          </w:tcPr>
          <w:p w14:paraId="52F5A1B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FCAF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65" w:type="dxa"/>
            <w:vAlign w:val="center"/>
          </w:tcPr>
          <w:p w14:paraId="5F7C2F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pacing w:val="-3"/>
                <w:sz w:val="24"/>
                <w:szCs w:val="24"/>
                <w:highlight w:val="none"/>
                <w:u w:val="none"/>
                <w:lang w:val="en-US" w:eastAsia="zh-CN"/>
              </w:rPr>
              <w:t>注册资金</w:t>
            </w:r>
          </w:p>
        </w:tc>
        <w:tc>
          <w:tcPr>
            <w:tcW w:w="1530" w:type="dxa"/>
            <w:gridSpan w:val="2"/>
            <w:vAlign w:val="center"/>
          </w:tcPr>
          <w:p w14:paraId="4802677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75" w:type="dxa"/>
            <w:vAlign w:val="center"/>
          </w:tcPr>
          <w:p w14:paraId="6B7AD9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法定代表人</w:t>
            </w:r>
            <w:r>
              <w:rPr>
                <w:rFonts w:hint="eastAsia" w:ascii="宋体" w:hAnsi="宋体" w:eastAsia="宋体" w:cs="宋体"/>
                <w:color w:val="auto"/>
                <w:spacing w:val="3"/>
                <w:sz w:val="24"/>
                <w:szCs w:val="24"/>
                <w:highlight w:val="none"/>
                <w:u w:val="none"/>
              </w:rPr>
              <w:t xml:space="preserve"> </w:t>
            </w:r>
          </w:p>
          <w:p w14:paraId="0706B6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或负责人</w:t>
            </w:r>
          </w:p>
        </w:tc>
        <w:tc>
          <w:tcPr>
            <w:tcW w:w="1545" w:type="dxa"/>
            <w:vAlign w:val="center"/>
          </w:tcPr>
          <w:p w14:paraId="3BBF5B70">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77F564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970" w:type="dxa"/>
            <w:vAlign w:val="center"/>
          </w:tcPr>
          <w:p w14:paraId="5B3E25D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3A1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365" w:type="dxa"/>
            <w:vAlign w:val="center"/>
          </w:tcPr>
          <w:p w14:paraId="4FF50F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经济类型</w:t>
            </w:r>
          </w:p>
        </w:tc>
        <w:tc>
          <w:tcPr>
            <w:tcW w:w="1530" w:type="dxa"/>
            <w:gridSpan w:val="2"/>
            <w:vAlign w:val="center"/>
          </w:tcPr>
          <w:p w14:paraId="5488ADC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75" w:type="dxa"/>
            <w:vAlign w:val="center"/>
          </w:tcPr>
          <w:p w14:paraId="138556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授权代表</w:t>
            </w:r>
          </w:p>
        </w:tc>
        <w:tc>
          <w:tcPr>
            <w:tcW w:w="1545" w:type="dxa"/>
            <w:vAlign w:val="center"/>
          </w:tcPr>
          <w:p w14:paraId="0C7FCF65">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1A5E63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970" w:type="dxa"/>
            <w:vAlign w:val="center"/>
          </w:tcPr>
          <w:p w14:paraId="2CF2BABB">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0CCB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365" w:type="dxa"/>
            <w:vAlign w:val="center"/>
          </w:tcPr>
          <w:p w14:paraId="179290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成立时间</w:t>
            </w:r>
          </w:p>
        </w:tc>
        <w:tc>
          <w:tcPr>
            <w:tcW w:w="4650" w:type="dxa"/>
            <w:gridSpan w:val="4"/>
            <w:vAlign w:val="center"/>
          </w:tcPr>
          <w:p w14:paraId="544E24A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0B9A0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9"/>
                <w:sz w:val="24"/>
                <w:szCs w:val="24"/>
                <w:highlight w:val="none"/>
                <w:u w:val="none"/>
              </w:rPr>
              <w:t>电话</w:t>
            </w:r>
          </w:p>
        </w:tc>
        <w:tc>
          <w:tcPr>
            <w:tcW w:w="1970" w:type="dxa"/>
            <w:vAlign w:val="center"/>
          </w:tcPr>
          <w:p w14:paraId="14D41FF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57A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5" w:type="dxa"/>
            <w:vAlign w:val="center"/>
          </w:tcPr>
          <w:p w14:paraId="6E1A13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2"/>
                <w:sz w:val="24"/>
                <w:szCs w:val="24"/>
                <w:highlight w:val="none"/>
                <w:u w:val="none"/>
              </w:rPr>
            </w:pPr>
            <w:r>
              <w:rPr>
                <w:rFonts w:hint="eastAsia" w:ascii="宋体" w:hAnsi="宋体" w:eastAsia="宋体" w:cs="宋体"/>
                <w:color w:val="auto"/>
                <w:spacing w:val="-3"/>
                <w:sz w:val="24"/>
                <w:szCs w:val="24"/>
                <w:highlight w:val="none"/>
                <w:u w:val="none"/>
              </w:rPr>
              <w:t>单位简介及</w:t>
            </w:r>
            <w:r>
              <w:rPr>
                <w:rFonts w:hint="eastAsia" w:ascii="宋体" w:hAnsi="宋体" w:eastAsia="宋体" w:cs="宋体"/>
                <w:color w:val="auto"/>
                <w:spacing w:val="2"/>
                <w:sz w:val="24"/>
                <w:szCs w:val="24"/>
                <w:highlight w:val="none"/>
                <w:u w:val="none"/>
              </w:rPr>
              <w:t xml:space="preserve"> </w:t>
            </w:r>
          </w:p>
          <w:p w14:paraId="704929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机构情况</w:t>
            </w:r>
          </w:p>
        </w:tc>
        <w:tc>
          <w:tcPr>
            <w:tcW w:w="8098" w:type="dxa"/>
            <w:gridSpan w:val="6"/>
            <w:vAlign w:val="center"/>
          </w:tcPr>
          <w:p w14:paraId="7AA9E80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2E831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65" w:type="dxa"/>
            <w:vAlign w:val="center"/>
          </w:tcPr>
          <w:p w14:paraId="0F61F5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highlight w:val="none"/>
              </w:rPr>
              <w:t>本公司所属行业</w:t>
            </w:r>
          </w:p>
        </w:tc>
        <w:tc>
          <w:tcPr>
            <w:tcW w:w="8098" w:type="dxa"/>
            <w:gridSpan w:val="6"/>
            <w:vAlign w:val="center"/>
          </w:tcPr>
          <w:p w14:paraId="4E106AF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2B86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5" w:type="dxa"/>
            <w:vAlign w:val="center"/>
          </w:tcPr>
          <w:p w14:paraId="0CCD39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内部管理制</w:t>
            </w:r>
            <w:r>
              <w:rPr>
                <w:rFonts w:hint="eastAsia" w:ascii="宋体" w:hAnsi="宋体" w:eastAsia="宋体" w:cs="宋体"/>
                <w:color w:val="auto"/>
                <w:sz w:val="24"/>
                <w:szCs w:val="24"/>
                <w:highlight w:val="none"/>
                <w:u w:val="none"/>
              </w:rPr>
              <w:t xml:space="preserve"> </w:t>
            </w:r>
          </w:p>
          <w:p w14:paraId="66C6F6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度情况</w:t>
            </w:r>
          </w:p>
        </w:tc>
        <w:tc>
          <w:tcPr>
            <w:tcW w:w="8098" w:type="dxa"/>
            <w:gridSpan w:val="6"/>
            <w:vAlign w:val="center"/>
          </w:tcPr>
          <w:p w14:paraId="29AF514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C78E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restart"/>
            <w:tcBorders>
              <w:bottom w:val="nil"/>
            </w:tcBorders>
            <w:vAlign w:val="center"/>
          </w:tcPr>
          <w:p w14:paraId="11DF38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单位概况</w:t>
            </w:r>
          </w:p>
        </w:tc>
        <w:tc>
          <w:tcPr>
            <w:tcW w:w="1303" w:type="dxa"/>
            <w:vMerge w:val="restart"/>
            <w:tcBorders>
              <w:bottom w:val="nil"/>
            </w:tcBorders>
            <w:vAlign w:val="center"/>
          </w:tcPr>
          <w:p w14:paraId="0C5470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职工总数</w:t>
            </w:r>
          </w:p>
        </w:tc>
        <w:tc>
          <w:tcPr>
            <w:tcW w:w="1802" w:type="dxa"/>
            <w:gridSpan w:val="2"/>
            <w:vMerge w:val="restart"/>
            <w:tcBorders>
              <w:bottom w:val="nil"/>
            </w:tcBorders>
            <w:vAlign w:val="center"/>
          </w:tcPr>
          <w:p w14:paraId="343126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人</w:t>
            </w:r>
          </w:p>
        </w:tc>
        <w:tc>
          <w:tcPr>
            <w:tcW w:w="4993" w:type="dxa"/>
            <w:gridSpan w:val="3"/>
            <w:vAlign w:val="center"/>
          </w:tcPr>
          <w:p w14:paraId="373DC6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生产工人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pacing w:val="-3"/>
                <w:sz w:val="24"/>
                <w:szCs w:val="24"/>
                <w:highlight w:val="none"/>
                <w:u w:val="none"/>
              </w:rPr>
              <w:t>人</w:t>
            </w:r>
          </w:p>
        </w:tc>
      </w:tr>
      <w:tr w14:paraId="54D9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nil"/>
            </w:tcBorders>
            <w:vAlign w:val="center"/>
          </w:tcPr>
          <w:p w14:paraId="7FCA49D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Merge w:val="continue"/>
            <w:tcBorders>
              <w:top w:val="nil"/>
            </w:tcBorders>
            <w:vAlign w:val="center"/>
          </w:tcPr>
          <w:p w14:paraId="046DA000">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Merge w:val="continue"/>
            <w:tcBorders>
              <w:top w:val="nil"/>
            </w:tcBorders>
            <w:vAlign w:val="center"/>
          </w:tcPr>
          <w:p w14:paraId="07CDE7B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4993" w:type="dxa"/>
            <w:gridSpan w:val="3"/>
            <w:vAlign w:val="center"/>
          </w:tcPr>
          <w:p w14:paraId="3A13A0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技术人员               人</w:t>
            </w:r>
          </w:p>
        </w:tc>
      </w:tr>
      <w:tr w14:paraId="1550B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nil"/>
            </w:tcBorders>
            <w:vAlign w:val="center"/>
          </w:tcPr>
          <w:p w14:paraId="4C90B1CA">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Merge w:val="restart"/>
            <w:tcBorders>
              <w:bottom w:val="nil"/>
            </w:tcBorders>
            <w:vAlign w:val="center"/>
          </w:tcPr>
          <w:p w14:paraId="4F39C5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流动资金</w:t>
            </w:r>
          </w:p>
        </w:tc>
        <w:tc>
          <w:tcPr>
            <w:tcW w:w="1802" w:type="dxa"/>
            <w:gridSpan w:val="2"/>
            <w:vMerge w:val="restart"/>
            <w:tcBorders>
              <w:bottom w:val="nil"/>
            </w:tcBorders>
            <w:vAlign w:val="center"/>
          </w:tcPr>
          <w:p w14:paraId="706A24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c>
          <w:tcPr>
            <w:tcW w:w="1545" w:type="dxa"/>
            <w:vMerge w:val="restart"/>
            <w:tcBorders>
              <w:bottom w:val="nil"/>
            </w:tcBorders>
            <w:vAlign w:val="center"/>
          </w:tcPr>
          <w:p w14:paraId="51537B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资金来源</w:t>
            </w:r>
          </w:p>
        </w:tc>
        <w:tc>
          <w:tcPr>
            <w:tcW w:w="1478" w:type="dxa"/>
            <w:vAlign w:val="center"/>
          </w:tcPr>
          <w:p w14:paraId="79FB3C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3"/>
                <w:sz w:val="24"/>
                <w:szCs w:val="24"/>
                <w:highlight w:val="none"/>
                <w:u w:val="none"/>
              </w:rPr>
              <w:t>自有资金</w:t>
            </w:r>
          </w:p>
        </w:tc>
        <w:tc>
          <w:tcPr>
            <w:tcW w:w="1970" w:type="dxa"/>
            <w:vAlign w:val="center"/>
          </w:tcPr>
          <w:p w14:paraId="77445F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75D23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nil"/>
            </w:tcBorders>
            <w:vAlign w:val="center"/>
          </w:tcPr>
          <w:p w14:paraId="05C63A72">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Merge w:val="continue"/>
            <w:tcBorders>
              <w:top w:val="nil"/>
            </w:tcBorders>
            <w:vAlign w:val="center"/>
          </w:tcPr>
          <w:p w14:paraId="22E0573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Merge w:val="continue"/>
            <w:tcBorders>
              <w:top w:val="nil"/>
            </w:tcBorders>
            <w:vAlign w:val="center"/>
          </w:tcPr>
          <w:p w14:paraId="14FB4755">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Merge w:val="continue"/>
            <w:tcBorders>
              <w:top w:val="nil"/>
            </w:tcBorders>
            <w:vAlign w:val="center"/>
          </w:tcPr>
          <w:p w14:paraId="6AE6C77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671CE6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银行贷款</w:t>
            </w:r>
          </w:p>
        </w:tc>
        <w:tc>
          <w:tcPr>
            <w:tcW w:w="1970" w:type="dxa"/>
            <w:vAlign w:val="center"/>
          </w:tcPr>
          <w:p w14:paraId="6B1F5A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115BB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nil"/>
            </w:tcBorders>
            <w:vAlign w:val="center"/>
          </w:tcPr>
          <w:p w14:paraId="22F62EA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Merge w:val="restart"/>
            <w:tcBorders>
              <w:bottom w:val="nil"/>
            </w:tcBorders>
            <w:vAlign w:val="center"/>
          </w:tcPr>
          <w:p w14:paraId="7D65F7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固定资产</w:t>
            </w:r>
          </w:p>
        </w:tc>
        <w:tc>
          <w:tcPr>
            <w:tcW w:w="1802" w:type="dxa"/>
            <w:gridSpan w:val="2"/>
            <w:vAlign w:val="center"/>
          </w:tcPr>
          <w:p w14:paraId="02103A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原值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8"/>
                <w:sz w:val="24"/>
                <w:szCs w:val="24"/>
                <w:highlight w:val="none"/>
                <w:u w:val="none"/>
              </w:rPr>
              <w:t>万元</w:t>
            </w:r>
          </w:p>
        </w:tc>
        <w:tc>
          <w:tcPr>
            <w:tcW w:w="1545" w:type="dxa"/>
            <w:vMerge w:val="restart"/>
            <w:tcBorders>
              <w:bottom w:val="nil"/>
            </w:tcBorders>
            <w:vAlign w:val="center"/>
          </w:tcPr>
          <w:p w14:paraId="068A72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资金性质</w:t>
            </w:r>
          </w:p>
        </w:tc>
        <w:tc>
          <w:tcPr>
            <w:tcW w:w="1478" w:type="dxa"/>
            <w:vAlign w:val="center"/>
          </w:tcPr>
          <w:p w14:paraId="5FC204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生产性</w:t>
            </w:r>
          </w:p>
        </w:tc>
        <w:tc>
          <w:tcPr>
            <w:tcW w:w="1970" w:type="dxa"/>
            <w:vAlign w:val="center"/>
          </w:tcPr>
          <w:p w14:paraId="6ACF72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6D34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tcBorders>
            <w:vAlign w:val="center"/>
          </w:tcPr>
          <w:p w14:paraId="2675299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Merge w:val="continue"/>
            <w:tcBorders>
              <w:top w:val="nil"/>
            </w:tcBorders>
            <w:vAlign w:val="center"/>
          </w:tcPr>
          <w:p w14:paraId="673132B0">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Align w:val="center"/>
          </w:tcPr>
          <w:p w14:paraId="092FCF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净值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7"/>
                <w:sz w:val="24"/>
                <w:szCs w:val="24"/>
                <w:highlight w:val="none"/>
                <w:u w:val="none"/>
              </w:rPr>
              <w:t>万元</w:t>
            </w:r>
          </w:p>
        </w:tc>
        <w:tc>
          <w:tcPr>
            <w:tcW w:w="1545" w:type="dxa"/>
            <w:vMerge w:val="continue"/>
            <w:tcBorders>
              <w:top w:val="nil"/>
            </w:tcBorders>
            <w:vAlign w:val="center"/>
          </w:tcPr>
          <w:p w14:paraId="5355F51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17F47E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非生产性</w:t>
            </w:r>
          </w:p>
        </w:tc>
        <w:tc>
          <w:tcPr>
            <w:tcW w:w="1970" w:type="dxa"/>
            <w:vAlign w:val="center"/>
          </w:tcPr>
          <w:p w14:paraId="720748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113F2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restart"/>
            <w:tcBorders>
              <w:bottom w:val="nil"/>
            </w:tcBorders>
            <w:vAlign w:val="center"/>
          </w:tcPr>
          <w:p w14:paraId="239A8C3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p w14:paraId="1DCEDA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企业财务</w:t>
            </w:r>
          </w:p>
          <w:p w14:paraId="341382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状</w:t>
            </w:r>
            <w:r>
              <w:rPr>
                <w:rFonts w:hint="eastAsia" w:ascii="宋体" w:hAnsi="宋体" w:eastAsia="宋体" w:cs="宋体"/>
                <w:color w:val="auto"/>
                <w:sz w:val="24"/>
                <w:szCs w:val="24"/>
                <w:highlight w:val="none"/>
                <w:u w:val="none"/>
              </w:rPr>
              <w:t>况</w:t>
            </w:r>
          </w:p>
        </w:tc>
        <w:tc>
          <w:tcPr>
            <w:tcW w:w="1303" w:type="dxa"/>
            <w:vAlign w:val="center"/>
          </w:tcPr>
          <w:p w14:paraId="0F7C99B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Align w:val="center"/>
          </w:tcPr>
          <w:p w14:paraId="316468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收入总额</w:t>
            </w:r>
          </w:p>
        </w:tc>
        <w:tc>
          <w:tcPr>
            <w:tcW w:w="1545" w:type="dxa"/>
            <w:vAlign w:val="center"/>
          </w:tcPr>
          <w:p w14:paraId="0A5196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利润总额</w:t>
            </w:r>
          </w:p>
        </w:tc>
        <w:tc>
          <w:tcPr>
            <w:tcW w:w="1478" w:type="dxa"/>
            <w:vAlign w:val="center"/>
          </w:tcPr>
          <w:p w14:paraId="23B3EB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净利润</w:t>
            </w:r>
          </w:p>
        </w:tc>
        <w:tc>
          <w:tcPr>
            <w:tcW w:w="1970" w:type="dxa"/>
            <w:vAlign w:val="center"/>
          </w:tcPr>
          <w:p w14:paraId="5FFF7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负债总额</w:t>
            </w:r>
          </w:p>
        </w:tc>
      </w:tr>
      <w:tr w14:paraId="4229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nil"/>
            </w:tcBorders>
            <w:vAlign w:val="center"/>
          </w:tcPr>
          <w:p w14:paraId="3BBE6E39">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Align w:val="center"/>
          </w:tcPr>
          <w:p w14:paraId="31463D3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20</w:t>
            </w:r>
            <w:r>
              <w:rPr>
                <w:rFonts w:hint="eastAsia" w:ascii="宋体" w:hAnsi="宋体" w:eastAsia="宋体" w:cs="宋体"/>
                <w:color w:val="auto"/>
                <w:spacing w:val="-1"/>
                <w:sz w:val="24"/>
                <w:szCs w:val="24"/>
                <w:highlight w:val="none"/>
                <w:u w:val="none"/>
                <w:lang w:val="en-US" w:eastAsia="zh-CN"/>
              </w:rPr>
              <w:t>24</w:t>
            </w:r>
            <w:r>
              <w:rPr>
                <w:rFonts w:hint="eastAsia" w:ascii="宋体" w:hAnsi="宋体" w:eastAsia="宋体" w:cs="宋体"/>
                <w:color w:val="auto"/>
                <w:spacing w:val="-1"/>
                <w:sz w:val="24"/>
                <w:szCs w:val="24"/>
                <w:highlight w:val="none"/>
                <w:u w:val="none"/>
              </w:rPr>
              <w:t xml:space="preserve"> 年</w:t>
            </w:r>
          </w:p>
        </w:tc>
        <w:tc>
          <w:tcPr>
            <w:tcW w:w="1802" w:type="dxa"/>
            <w:gridSpan w:val="2"/>
            <w:vAlign w:val="center"/>
          </w:tcPr>
          <w:p w14:paraId="38EA10CF">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Align w:val="center"/>
          </w:tcPr>
          <w:p w14:paraId="0DFE8F8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57165A0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970" w:type="dxa"/>
            <w:vAlign w:val="center"/>
          </w:tcPr>
          <w:p w14:paraId="61ACECC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C20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nil"/>
            </w:tcBorders>
            <w:vAlign w:val="center"/>
          </w:tcPr>
          <w:p w14:paraId="32ED3E1A">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vAlign w:val="center"/>
          </w:tcPr>
          <w:p w14:paraId="3D71E59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20</w:t>
            </w:r>
            <w:r>
              <w:rPr>
                <w:rFonts w:hint="eastAsia" w:ascii="宋体" w:hAnsi="宋体" w:eastAsia="宋体" w:cs="宋体"/>
                <w:color w:val="auto"/>
                <w:spacing w:val="-1"/>
                <w:sz w:val="24"/>
                <w:szCs w:val="24"/>
                <w:highlight w:val="none"/>
                <w:u w:val="none"/>
                <w:lang w:val="en-US" w:eastAsia="zh-CN"/>
              </w:rPr>
              <w:t xml:space="preserve">23 </w:t>
            </w:r>
            <w:r>
              <w:rPr>
                <w:rFonts w:hint="eastAsia" w:ascii="宋体" w:hAnsi="宋体" w:eastAsia="宋体" w:cs="宋体"/>
                <w:color w:val="auto"/>
                <w:spacing w:val="-1"/>
                <w:sz w:val="24"/>
                <w:szCs w:val="24"/>
                <w:highlight w:val="none"/>
                <w:u w:val="none"/>
              </w:rPr>
              <w:t>年</w:t>
            </w:r>
          </w:p>
        </w:tc>
        <w:tc>
          <w:tcPr>
            <w:tcW w:w="1802" w:type="dxa"/>
            <w:gridSpan w:val="2"/>
            <w:vAlign w:val="center"/>
          </w:tcPr>
          <w:p w14:paraId="4C2EC84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Align w:val="center"/>
          </w:tcPr>
          <w:p w14:paraId="1ECA484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625913E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970" w:type="dxa"/>
            <w:vAlign w:val="center"/>
          </w:tcPr>
          <w:p w14:paraId="4BFBB8F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605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365" w:type="dxa"/>
            <w:vMerge w:val="continue"/>
            <w:tcBorders>
              <w:top w:val="nil"/>
              <w:bottom w:val="single" w:color="auto" w:sz="4" w:space="0"/>
            </w:tcBorders>
            <w:vAlign w:val="center"/>
          </w:tcPr>
          <w:p w14:paraId="3781E91B">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303" w:type="dxa"/>
            <w:tcBorders>
              <w:bottom w:val="single" w:color="auto" w:sz="4" w:space="0"/>
            </w:tcBorders>
            <w:vAlign w:val="center"/>
          </w:tcPr>
          <w:p w14:paraId="69C6113B">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20</w:t>
            </w:r>
            <w:r>
              <w:rPr>
                <w:rFonts w:hint="eastAsia" w:ascii="宋体" w:hAnsi="宋体" w:eastAsia="宋体" w:cs="宋体"/>
                <w:color w:val="auto"/>
                <w:spacing w:val="-1"/>
                <w:sz w:val="24"/>
                <w:szCs w:val="24"/>
                <w:highlight w:val="none"/>
                <w:u w:val="none"/>
                <w:lang w:val="en-US" w:eastAsia="zh-CN"/>
              </w:rPr>
              <w:t>22</w:t>
            </w:r>
            <w:r>
              <w:rPr>
                <w:rFonts w:hint="eastAsia" w:ascii="宋体" w:hAnsi="宋体" w:eastAsia="宋体" w:cs="宋体"/>
                <w:color w:val="auto"/>
                <w:spacing w:val="-1"/>
                <w:sz w:val="24"/>
                <w:szCs w:val="24"/>
                <w:highlight w:val="none"/>
                <w:u w:val="none"/>
              </w:rPr>
              <w:t xml:space="preserve"> 年</w:t>
            </w:r>
          </w:p>
        </w:tc>
        <w:tc>
          <w:tcPr>
            <w:tcW w:w="1802" w:type="dxa"/>
            <w:gridSpan w:val="2"/>
            <w:tcBorders>
              <w:bottom w:val="single" w:color="auto" w:sz="4" w:space="0"/>
            </w:tcBorders>
            <w:vAlign w:val="center"/>
          </w:tcPr>
          <w:p w14:paraId="2EB6C6FF">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Align w:val="center"/>
          </w:tcPr>
          <w:p w14:paraId="6E32B58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12432DA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970" w:type="dxa"/>
            <w:vAlign w:val="center"/>
          </w:tcPr>
          <w:p w14:paraId="4EE57AA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314E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2668" w:type="dxa"/>
            <w:gridSpan w:val="2"/>
            <w:tcBorders>
              <w:top w:val="single" w:color="auto" w:sz="4" w:space="0"/>
              <w:left w:val="single" w:color="auto" w:sz="4" w:space="0"/>
              <w:bottom w:val="single" w:color="auto" w:sz="4" w:space="0"/>
              <w:right w:val="single" w:color="auto" w:sz="4" w:space="0"/>
            </w:tcBorders>
            <w:vAlign w:val="center"/>
          </w:tcPr>
          <w:p w14:paraId="5DA5BE5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2"/>
                <w:position w:val="1"/>
                <w:sz w:val="24"/>
                <w:szCs w:val="24"/>
                <w:highlight w:val="none"/>
                <w:u w:val="none"/>
              </w:rPr>
              <w:t>生产/经营地点</w:t>
            </w:r>
          </w:p>
        </w:tc>
        <w:tc>
          <w:tcPr>
            <w:tcW w:w="6795" w:type="dxa"/>
            <w:gridSpan w:val="5"/>
            <w:tcBorders>
              <w:left w:val="single" w:color="auto" w:sz="4" w:space="0"/>
            </w:tcBorders>
            <w:vAlign w:val="center"/>
          </w:tcPr>
          <w:p w14:paraId="29C6C963">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76E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668" w:type="dxa"/>
            <w:gridSpan w:val="2"/>
            <w:vMerge w:val="restart"/>
            <w:tcBorders>
              <w:top w:val="single" w:color="auto" w:sz="4" w:space="0"/>
              <w:bottom w:val="single" w:color="auto" w:sz="4" w:space="0"/>
            </w:tcBorders>
            <w:vAlign w:val="center"/>
          </w:tcPr>
          <w:p w14:paraId="221856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关联单位</w:t>
            </w:r>
          </w:p>
        </w:tc>
        <w:tc>
          <w:tcPr>
            <w:tcW w:w="6795" w:type="dxa"/>
            <w:gridSpan w:val="5"/>
            <w:vAlign w:val="center"/>
          </w:tcPr>
          <w:p w14:paraId="08CD80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与</w:t>
            </w:r>
            <w:r>
              <w:rPr>
                <w:rFonts w:hint="eastAsia" w:ascii="宋体" w:hAnsi="宋体" w:eastAsia="宋体" w:cs="宋体"/>
                <w:color w:val="auto"/>
                <w:spacing w:val="-1"/>
                <w:sz w:val="24"/>
                <w:szCs w:val="24"/>
                <w:highlight w:val="none"/>
                <w:u w:val="none"/>
                <w:lang w:eastAsia="zh-CN"/>
              </w:rPr>
              <w:t>投标人</w:t>
            </w:r>
            <w:r>
              <w:rPr>
                <w:rFonts w:hint="eastAsia" w:ascii="宋体" w:hAnsi="宋体" w:eastAsia="宋体" w:cs="宋体"/>
                <w:color w:val="auto"/>
                <w:spacing w:val="-1"/>
                <w:sz w:val="24"/>
                <w:szCs w:val="24"/>
                <w:highlight w:val="none"/>
                <w:u w:val="none"/>
              </w:rPr>
              <w:t>单位负责人为同一人的其他单位：</w:t>
            </w:r>
          </w:p>
        </w:tc>
      </w:tr>
      <w:tr w14:paraId="59CA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2668" w:type="dxa"/>
            <w:gridSpan w:val="2"/>
            <w:vMerge w:val="continue"/>
            <w:tcBorders>
              <w:top w:val="single" w:color="auto" w:sz="4" w:space="0"/>
              <w:bottom w:val="single" w:color="auto" w:sz="4" w:space="0"/>
            </w:tcBorders>
            <w:vAlign w:val="center"/>
          </w:tcPr>
          <w:p w14:paraId="4CDF1C4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95" w:type="dxa"/>
            <w:gridSpan w:val="5"/>
            <w:vAlign w:val="center"/>
          </w:tcPr>
          <w:p w14:paraId="47B7F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与</w:t>
            </w:r>
            <w:r>
              <w:rPr>
                <w:rFonts w:hint="eastAsia" w:ascii="宋体" w:hAnsi="宋体" w:eastAsia="宋体" w:cs="宋体"/>
                <w:color w:val="auto"/>
                <w:spacing w:val="-1"/>
                <w:sz w:val="24"/>
                <w:szCs w:val="24"/>
                <w:highlight w:val="none"/>
                <w:u w:val="none"/>
                <w:lang w:eastAsia="zh-CN"/>
              </w:rPr>
              <w:t>投标人</w:t>
            </w:r>
            <w:r>
              <w:rPr>
                <w:rFonts w:hint="eastAsia" w:ascii="宋体" w:hAnsi="宋体" w:eastAsia="宋体" w:cs="宋体"/>
                <w:color w:val="auto"/>
                <w:spacing w:val="-1"/>
                <w:sz w:val="24"/>
                <w:szCs w:val="24"/>
                <w:highlight w:val="none"/>
                <w:u w:val="none"/>
              </w:rPr>
              <w:t>存在控股、管理关系的其他单位：</w:t>
            </w:r>
          </w:p>
        </w:tc>
      </w:tr>
      <w:bookmarkEnd w:id="141"/>
    </w:tbl>
    <w:p w14:paraId="0DF238A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bookmarkStart w:id="142" w:name="_Toc26218"/>
      <w:r>
        <w:rPr>
          <w:rFonts w:hint="eastAsia" w:ascii="宋体" w:hAnsi="宋体" w:eastAsia="宋体" w:cs="宋体"/>
          <w:b w:val="0"/>
          <w:bCs/>
          <w:color w:val="auto"/>
          <w:sz w:val="24"/>
          <w:szCs w:val="24"/>
          <w:highlight w:val="none"/>
        </w:rPr>
        <w:t>备注：</w:t>
      </w:r>
    </w:p>
    <w:p w14:paraId="615257AA">
      <w:pPr>
        <w:pageBreakBefore w:val="0"/>
        <w:numPr>
          <w:ilvl w:val="0"/>
          <w:numId w:val="8"/>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投标人为法人时，</w:t>
      </w:r>
      <w:r>
        <w:rPr>
          <w:rFonts w:hint="eastAsia" w:ascii="宋体" w:hAnsi="宋体" w:eastAsia="宋体" w:cs="宋体"/>
          <w:b w:val="0"/>
          <w:bCs/>
          <w:color w:val="auto"/>
          <w:sz w:val="24"/>
          <w:szCs w:val="24"/>
          <w:highlight w:val="none"/>
        </w:rPr>
        <w:t>后附营业执照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资质证书</w:t>
      </w:r>
      <w:r>
        <w:rPr>
          <w:rFonts w:hint="eastAsia" w:ascii="宋体" w:hAnsi="宋体" w:eastAsia="宋体" w:cs="宋体"/>
          <w:b w:val="0"/>
          <w:bCs/>
          <w:color w:val="auto"/>
          <w:sz w:val="24"/>
          <w:szCs w:val="24"/>
          <w:highlight w:val="none"/>
        </w:rPr>
        <w:t>等相关证明材料</w:t>
      </w:r>
      <w:r>
        <w:rPr>
          <w:rFonts w:hint="eastAsia" w:ascii="宋体" w:hAnsi="宋体" w:eastAsia="宋体" w:cs="宋体"/>
          <w:b w:val="0"/>
          <w:bCs/>
          <w:color w:val="auto"/>
          <w:sz w:val="24"/>
          <w:szCs w:val="24"/>
          <w:highlight w:val="none"/>
          <w:lang w:eastAsia="zh-CN"/>
        </w:rPr>
        <w:t>；</w:t>
      </w:r>
    </w:p>
    <w:p w14:paraId="101CFFF4">
      <w:pPr>
        <w:pageBreakBefore w:val="0"/>
        <w:numPr>
          <w:ilvl w:val="0"/>
          <w:numId w:val="8"/>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为非法人时，格式自拟。</w:t>
      </w:r>
    </w:p>
    <w:p w14:paraId="1D958D44">
      <w:pPr>
        <w:pStyle w:val="39"/>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bookmarkEnd w:id="142"/>
    <w:p w14:paraId="5FA605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val="en-US" w:eastAsia="zh-CN"/>
        </w:rPr>
        <w:t>拟配备人员简介</w:t>
      </w:r>
    </w:p>
    <w:tbl>
      <w:tblPr>
        <w:tblStyle w:val="30"/>
        <w:tblpPr w:leftFromText="180" w:rightFromText="180" w:vertAnchor="text" w:horzAnchor="page" w:tblpX="1844" w:tblpY="527"/>
        <w:tblOverlap w:val="never"/>
        <w:tblW w:w="51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989"/>
        <w:gridCol w:w="1410"/>
        <w:gridCol w:w="1149"/>
        <w:gridCol w:w="1496"/>
        <w:gridCol w:w="1052"/>
        <w:gridCol w:w="1198"/>
        <w:gridCol w:w="1074"/>
      </w:tblGrid>
      <w:tr w14:paraId="6A38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vMerge w:val="restart"/>
            <w:vAlign w:val="center"/>
          </w:tcPr>
          <w:p w14:paraId="73E0A0B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542" w:type="pct"/>
            <w:vMerge w:val="restart"/>
            <w:vAlign w:val="center"/>
          </w:tcPr>
          <w:p w14:paraId="67245D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772" w:type="pct"/>
            <w:vMerge w:val="restart"/>
            <w:vAlign w:val="center"/>
          </w:tcPr>
          <w:p w14:paraId="15D3801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拟担任本项目职务/岗位</w:t>
            </w:r>
          </w:p>
        </w:tc>
        <w:tc>
          <w:tcPr>
            <w:tcW w:w="629" w:type="pct"/>
            <w:vMerge w:val="restart"/>
            <w:vAlign w:val="center"/>
          </w:tcPr>
          <w:p w14:paraId="0294C1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常住地</w:t>
            </w:r>
          </w:p>
        </w:tc>
        <w:tc>
          <w:tcPr>
            <w:tcW w:w="2639" w:type="pct"/>
            <w:gridSpan w:val="4"/>
            <w:vAlign w:val="center"/>
          </w:tcPr>
          <w:p w14:paraId="7321D5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相关证书</w:t>
            </w:r>
          </w:p>
        </w:tc>
      </w:tr>
      <w:tr w14:paraId="2807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rPr>
        <w:tc>
          <w:tcPr>
            <w:tcW w:w="416" w:type="pct"/>
            <w:vMerge w:val="continue"/>
            <w:vAlign w:val="center"/>
          </w:tcPr>
          <w:p w14:paraId="329EF3C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vMerge w:val="continue"/>
            <w:vAlign w:val="center"/>
          </w:tcPr>
          <w:p w14:paraId="25D998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vMerge w:val="continue"/>
            <w:vAlign w:val="center"/>
          </w:tcPr>
          <w:p w14:paraId="411DE3F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vMerge w:val="continue"/>
            <w:vAlign w:val="center"/>
          </w:tcPr>
          <w:p w14:paraId="5DEF734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vAlign w:val="center"/>
          </w:tcPr>
          <w:p w14:paraId="42AF364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证书名称</w:t>
            </w:r>
          </w:p>
        </w:tc>
        <w:tc>
          <w:tcPr>
            <w:tcW w:w="576" w:type="pct"/>
            <w:vAlign w:val="center"/>
          </w:tcPr>
          <w:p w14:paraId="5B1F03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级别</w:t>
            </w:r>
          </w:p>
        </w:tc>
        <w:tc>
          <w:tcPr>
            <w:tcW w:w="656" w:type="pct"/>
            <w:vAlign w:val="center"/>
          </w:tcPr>
          <w:p w14:paraId="616D5F9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证书号</w:t>
            </w:r>
          </w:p>
        </w:tc>
        <w:tc>
          <w:tcPr>
            <w:tcW w:w="587" w:type="pct"/>
            <w:vAlign w:val="center"/>
          </w:tcPr>
          <w:p w14:paraId="56FC943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r>
      <w:tr w14:paraId="003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18AD74D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192F27B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672C49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79DBC23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782137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37AE22A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6ADD21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01290DB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754F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37CB247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348BE9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0AD7DE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3F23CEE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72BD5DC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18E82E2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3A4DF9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2B96FB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79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2FA47B6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456A569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13E699E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21ECEFE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3E006E4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3D0D42F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26821F8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4BD67E9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A6A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vAlign w:val="center"/>
          </w:tcPr>
          <w:p w14:paraId="7604D1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3DFD19E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7CBDF84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6EDE3F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4D40AD4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30DFDA3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75D7AF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38D4070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7F1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3DE265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410EC7D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4AFB71B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5919A8B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27779BE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4122542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04C87FE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2B41B2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BE1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581E568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4BC8BB5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6CA04B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1646B0D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44D0743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0E00619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38005DB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6FE1379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7FB9FDA8">
      <w:pPr>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拟配备人员汇总表</w:t>
      </w:r>
    </w:p>
    <w:p w14:paraId="08C9C399">
      <w:pPr>
        <w:pageBreakBefore w:val="0"/>
        <w:wordWrap/>
        <w:overflowPunct/>
        <w:topLinePunct w:val="0"/>
        <w:bidi w:val="0"/>
        <w:adjustRightInd w:val="0"/>
        <w:spacing w:line="560" w:lineRule="exact"/>
        <w:ind w:left="0" w:leftChars="0" w:right="0" w:rightChars="0" w:firstLine="900" w:firstLineChars="375"/>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p>
    <w:p w14:paraId="7025B2AA">
      <w:pPr>
        <w:pageBreakBefore w:val="0"/>
        <w:wordWrap/>
        <w:overflowPunct/>
        <w:topLinePunct w:val="0"/>
        <w:bidi w:val="0"/>
        <w:adjustRightInd w:val="0"/>
        <w:spacing w:line="560" w:lineRule="exact"/>
        <w:ind w:left="0" w:leftChars="0" w:right="0" w:rightChars="0" w:firstLine="900" w:firstLineChars="375"/>
        <w:jc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名称（盖章）：        </w:t>
      </w:r>
    </w:p>
    <w:p w14:paraId="641DC235">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授权人</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被授权人（签字或盖章）：</w:t>
      </w:r>
    </w:p>
    <w:p w14:paraId="4DCE3848">
      <w:pPr>
        <w:pageBreakBefore w:val="0"/>
        <w:wordWrap/>
        <w:overflowPunct/>
        <w:topLinePunct w:val="0"/>
        <w:bidi w:val="0"/>
        <w:adjustRightInd w:val="0"/>
        <w:spacing w:line="560" w:lineRule="exact"/>
        <w:ind w:right="0" w:rightChars="0" w:firstLine="4320" w:firstLineChars="18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年  月  日</w:t>
      </w:r>
    </w:p>
    <w:p w14:paraId="30AF1822">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13CC0DC2">
      <w:pPr>
        <w:pStyle w:val="10"/>
        <w:rPr>
          <w:rFonts w:hint="eastAsia"/>
          <w:color w:val="auto"/>
          <w:highlight w:val="none"/>
          <w:lang w:val="en-US" w:eastAsia="zh-CN"/>
        </w:rPr>
      </w:pPr>
    </w:p>
    <w:p w14:paraId="759027C5">
      <w:pPr>
        <w:pageBreakBefore w:val="0"/>
        <w:kinsoku/>
        <w:topLinePunct w:val="0"/>
        <w:bidi w:val="0"/>
        <w:spacing w:line="500" w:lineRule="exact"/>
        <w:ind w:firstLine="480" w:firstLineChars="20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人员简历</w:t>
      </w: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36"/>
        <w:gridCol w:w="1421"/>
        <w:gridCol w:w="1420"/>
        <w:gridCol w:w="1267"/>
        <w:gridCol w:w="2160"/>
      </w:tblGrid>
      <w:tr w14:paraId="5AE1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56811CE">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36" w:type="dxa"/>
            <w:vAlign w:val="center"/>
          </w:tcPr>
          <w:p w14:paraId="399F33DE">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1421" w:type="dxa"/>
            <w:vAlign w:val="center"/>
          </w:tcPr>
          <w:p w14:paraId="645E9C55">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420" w:type="dxa"/>
            <w:vAlign w:val="center"/>
          </w:tcPr>
          <w:p w14:paraId="0B073BDE">
            <w:pPr>
              <w:pageBreakBefore w:val="0"/>
              <w:kinsoku/>
              <w:topLinePunct w:val="0"/>
              <w:bidi w:val="0"/>
              <w:spacing w:line="500" w:lineRule="exact"/>
              <w:jc w:val="center"/>
              <w:rPr>
                <w:rFonts w:hint="eastAsia" w:ascii="宋体" w:hAnsi="宋体" w:eastAsia="宋体" w:cs="宋体"/>
                <w:color w:val="auto"/>
                <w:sz w:val="24"/>
                <w:highlight w:val="none"/>
              </w:rPr>
            </w:pPr>
          </w:p>
        </w:tc>
        <w:tc>
          <w:tcPr>
            <w:tcW w:w="1267" w:type="dxa"/>
            <w:vAlign w:val="center"/>
          </w:tcPr>
          <w:p w14:paraId="1978689B">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2160" w:type="dxa"/>
            <w:vAlign w:val="center"/>
          </w:tcPr>
          <w:p w14:paraId="3A117EBF">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r>
      <w:tr w14:paraId="5EE7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86659E1">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36" w:type="dxa"/>
            <w:vAlign w:val="center"/>
          </w:tcPr>
          <w:p w14:paraId="50C290DB">
            <w:pPr>
              <w:pageBreakBefore w:val="0"/>
              <w:kinsoku/>
              <w:topLinePunct w:val="0"/>
              <w:bidi w:val="0"/>
              <w:spacing w:line="500" w:lineRule="exact"/>
              <w:jc w:val="center"/>
              <w:rPr>
                <w:rFonts w:hint="eastAsia" w:ascii="宋体" w:hAnsi="宋体" w:eastAsia="宋体" w:cs="宋体"/>
                <w:color w:val="auto"/>
                <w:sz w:val="24"/>
                <w:highlight w:val="none"/>
                <w:lang w:val="en-US" w:eastAsia="zh-CN"/>
              </w:rPr>
            </w:pPr>
          </w:p>
        </w:tc>
        <w:tc>
          <w:tcPr>
            <w:tcW w:w="1421" w:type="dxa"/>
            <w:vAlign w:val="center"/>
          </w:tcPr>
          <w:p w14:paraId="33566A2C">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20" w:type="dxa"/>
            <w:vAlign w:val="center"/>
          </w:tcPr>
          <w:p w14:paraId="24088D8E">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1267" w:type="dxa"/>
            <w:vAlign w:val="center"/>
          </w:tcPr>
          <w:p w14:paraId="72B2CB84">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160" w:type="dxa"/>
            <w:vAlign w:val="center"/>
          </w:tcPr>
          <w:p w14:paraId="60AA1947">
            <w:pPr>
              <w:pageBreakBefore w:val="0"/>
              <w:kinsoku/>
              <w:topLinePunct w:val="0"/>
              <w:bidi w:val="0"/>
              <w:spacing w:line="500" w:lineRule="exact"/>
              <w:jc w:val="center"/>
              <w:rPr>
                <w:rFonts w:hint="eastAsia" w:ascii="宋体" w:hAnsi="宋体" w:eastAsia="宋体" w:cs="宋体"/>
                <w:color w:val="auto"/>
                <w:sz w:val="24"/>
                <w:highlight w:val="none"/>
                <w:lang w:val="en-US" w:eastAsia="zh-CN"/>
              </w:rPr>
            </w:pPr>
          </w:p>
        </w:tc>
      </w:tr>
      <w:tr w14:paraId="5E8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71EBAE7C">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身份证号</w:t>
            </w:r>
          </w:p>
        </w:tc>
        <w:tc>
          <w:tcPr>
            <w:tcW w:w="2557" w:type="dxa"/>
            <w:gridSpan w:val="2"/>
            <w:vAlign w:val="center"/>
          </w:tcPr>
          <w:p w14:paraId="4FA083BA">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2687" w:type="dxa"/>
            <w:gridSpan w:val="2"/>
            <w:vAlign w:val="center"/>
          </w:tcPr>
          <w:p w14:paraId="25B5C076">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p>
        </w:tc>
        <w:tc>
          <w:tcPr>
            <w:tcW w:w="2160" w:type="dxa"/>
            <w:vAlign w:val="center"/>
          </w:tcPr>
          <w:p w14:paraId="2803B479">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r>
      <w:tr w14:paraId="4892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314797A8">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2557" w:type="dxa"/>
            <w:gridSpan w:val="2"/>
            <w:vAlign w:val="center"/>
          </w:tcPr>
          <w:p w14:paraId="75E465A0">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2687" w:type="dxa"/>
            <w:gridSpan w:val="2"/>
            <w:vAlign w:val="center"/>
          </w:tcPr>
          <w:p w14:paraId="1CFD9148">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从事项目工作年限</w:t>
            </w:r>
          </w:p>
        </w:tc>
        <w:tc>
          <w:tcPr>
            <w:tcW w:w="2160" w:type="dxa"/>
            <w:vAlign w:val="center"/>
          </w:tcPr>
          <w:p w14:paraId="356D7F5A">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r>
      <w:tr w14:paraId="0B7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8F6BE0E">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相关证书</w:t>
            </w:r>
          </w:p>
        </w:tc>
        <w:tc>
          <w:tcPr>
            <w:tcW w:w="7404" w:type="dxa"/>
            <w:gridSpan w:val="5"/>
            <w:vAlign w:val="center"/>
          </w:tcPr>
          <w:p w14:paraId="5AB48682">
            <w:pPr>
              <w:pageBreakBefore w:val="0"/>
              <w:kinsoku/>
              <w:topLinePunct w:val="0"/>
              <w:bidi w:val="0"/>
              <w:spacing w:line="500" w:lineRule="exact"/>
              <w:jc w:val="both"/>
              <w:rPr>
                <w:rFonts w:hint="default" w:ascii="宋体" w:hAnsi="宋体" w:cs="宋体"/>
                <w:color w:val="auto"/>
                <w:sz w:val="24"/>
                <w:highlight w:val="none"/>
                <w:lang w:val="en-US" w:eastAsia="zh-CN"/>
              </w:rPr>
            </w:pPr>
          </w:p>
        </w:tc>
      </w:tr>
    </w:tbl>
    <w:p w14:paraId="53345C7C">
      <w:pPr>
        <w:pStyle w:val="10"/>
        <w:rPr>
          <w:rFonts w:hint="default"/>
          <w:color w:val="auto"/>
          <w:highlight w:val="none"/>
          <w:lang w:val="en-US" w:eastAsia="zh-CN"/>
        </w:rPr>
      </w:pPr>
      <w:r>
        <w:rPr>
          <w:rFonts w:hint="eastAsia"/>
          <w:color w:val="auto"/>
          <w:highlight w:val="none"/>
          <w:lang w:val="en-US" w:eastAsia="zh-CN"/>
        </w:rPr>
        <w:t>拟配备人员每人填一张简历，后附人员的身份证及评审细则内容中证明材料。</w:t>
      </w:r>
    </w:p>
    <w:p w14:paraId="6DFF29E0">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br w:type="page"/>
      </w:r>
    </w:p>
    <w:p w14:paraId="3098EC91">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近年</w:t>
      </w:r>
      <w:r>
        <w:rPr>
          <w:rFonts w:hint="eastAsia" w:ascii="宋体" w:hAnsi="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rPr>
        <w:t>项目情况表</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24"/>
        <w:gridCol w:w="990"/>
        <w:gridCol w:w="1148"/>
        <w:gridCol w:w="1187"/>
        <w:gridCol w:w="1198"/>
        <w:gridCol w:w="1217"/>
        <w:gridCol w:w="1194"/>
        <w:gridCol w:w="1113"/>
      </w:tblGrid>
      <w:tr w14:paraId="3B8E4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3E22F6D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60" w:type="dxa"/>
            <w:vAlign w:val="center"/>
          </w:tcPr>
          <w:p w14:paraId="3C56DF5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w:t>
            </w:r>
          </w:p>
        </w:tc>
        <w:tc>
          <w:tcPr>
            <w:tcW w:w="1113" w:type="dxa"/>
            <w:vAlign w:val="center"/>
          </w:tcPr>
          <w:p w14:paraId="0C63C6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151" w:type="dxa"/>
            <w:vAlign w:val="center"/>
          </w:tcPr>
          <w:p w14:paraId="71429E4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162" w:type="dxa"/>
            <w:vAlign w:val="center"/>
          </w:tcPr>
          <w:p w14:paraId="39F7A7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180" w:type="dxa"/>
            <w:vAlign w:val="center"/>
          </w:tcPr>
          <w:p w14:paraId="6E5BCDB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158" w:type="dxa"/>
            <w:vAlign w:val="center"/>
          </w:tcPr>
          <w:p w14:paraId="54078DE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079" w:type="dxa"/>
            <w:tcBorders>
              <w:right w:val="single" w:color="auto" w:sz="4" w:space="0"/>
            </w:tcBorders>
            <w:vAlign w:val="center"/>
          </w:tcPr>
          <w:p w14:paraId="49BFEED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用户反馈</w:t>
            </w:r>
          </w:p>
        </w:tc>
      </w:tr>
      <w:tr w14:paraId="2B358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2845DA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41927F6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4BE06C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5E2488C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5C7C9A9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453052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6EF61FF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tcBorders>
              <w:right w:val="single" w:color="auto" w:sz="4" w:space="0"/>
            </w:tcBorders>
            <w:vAlign w:val="center"/>
          </w:tcPr>
          <w:p w14:paraId="6B6C37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21F8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7139BE6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44B0944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0A4522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6F6F405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585A46C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3BC160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5B0D2D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tcBorders>
              <w:right w:val="single" w:color="auto" w:sz="4" w:space="0"/>
            </w:tcBorders>
            <w:vAlign w:val="center"/>
          </w:tcPr>
          <w:p w14:paraId="18F6F2E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F3B78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FD578C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7F88866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0DD62B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05A9A50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3FCF363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1CE0F91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0F570E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tcBorders>
              <w:right w:val="single" w:color="auto" w:sz="4" w:space="0"/>
            </w:tcBorders>
            <w:vAlign w:val="center"/>
          </w:tcPr>
          <w:p w14:paraId="376935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2730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C1F66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right w:val="single" w:color="auto" w:sz="4" w:space="0"/>
            </w:tcBorders>
            <w:vAlign w:val="center"/>
          </w:tcPr>
          <w:p w14:paraId="7FBAEA0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left w:val="single" w:color="auto" w:sz="4" w:space="0"/>
            </w:tcBorders>
            <w:vAlign w:val="center"/>
          </w:tcPr>
          <w:p w14:paraId="77CDAB1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left w:val="single" w:color="auto" w:sz="4" w:space="0"/>
            </w:tcBorders>
            <w:vAlign w:val="center"/>
          </w:tcPr>
          <w:p w14:paraId="75C375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left w:val="single" w:color="auto" w:sz="4" w:space="0"/>
            </w:tcBorders>
            <w:vAlign w:val="center"/>
          </w:tcPr>
          <w:p w14:paraId="5C404D5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36797A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50992F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tcBorders>
              <w:right w:val="single" w:color="auto" w:sz="4" w:space="0"/>
            </w:tcBorders>
            <w:vAlign w:val="center"/>
          </w:tcPr>
          <w:p w14:paraId="3797F8F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381B6C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09417CFA">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960" w:type="dxa"/>
            <w:tcBorders>
              <w:left w:val="single" w:color="auto" w:sz="4" w:space="0"/>
              <w:right w:val="single" w:color="auto" w:sz="4" w:space="0"/>
            </w:tcBorders>
            <w:vAlign w:val="center"/>
          </w:tcPr>
          <w:p w14:paraId="60F0D7FB">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13" w:type="dxa"/>
            <w:tcBorders>
              <w:left w:val="single" w:color="auto" w:sz="4" w:space="0"/>
              <w:right w:val="single" w:color="auto" w:sz="4" w:space="0"/>
            </w:tcBorders>
            <w:vAlign w:val="center"/>
          </w:tcPr>
          <w:p w14:paraId="649DBDF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1" w:type="dxa"/>
            <w:tcBorders>
              <w:left w:val="single" w:color="auto" w:sz="4" w:space="0"/>
              <w:right w:val="single" w:color="auto" w:sz="4" w:space="0"/>
            </w:tcBorders>
            <w:vAlign w:val="center"/>
          </w:tcPr>
          <w:p w14:paraId="463C5548">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62" w:type="dxa"/>
            <w:tcBorders>
              <w:left w:val="single" w:color="auto" w:sz="4" w:space="0"/>
              <w:right w:val="single" w:color="auto" w:sz="4" w:space="0"/>
            </w:tcBorders>
            <w:vAlign w:val="center"/>
          </w:tcPr>
          <w:p w14:paraId="0E135E7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80" w:type="dxa"/>
            <w:tcBorders>
              <w:left w:val="single" w:color="auto" w:sz="4" w:space="0"/>
              <w:right w:val="single" w:color="auto" w:sz="4" w:space="0"/>
            </w:tcBorders>
            <w:vAlign w:val="center"/>
          </w:tcPr>
          <w:p w14:paraId="4BFAA2D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8" w:type="dxa"/>
            <w:tcBorders>
              <w:left w:val="single" w:color="auto" w:sz="4" w:space="0"/>
              <w:right w:val="single" w:color="auto" w:sz="4" w:space="0"/>
            </w:tcBorders>
            <w:vAlign w:val="center"/>
          </w:tcPr>
          <w:p w14:paraId="10B956C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079" w:type="dxa"/>
            <w:tcBorders>
              <w:left w:val="single" w:color="auto" w:sz="4" w:space="0"/>
              <w:right w:val="single" w:color="auto" w:sz="4" w:space="0"/>
            </w:tcBorders>
            <w:vAlign w:val="center"/>
          </w:tcPr>
          <w:p w14:paraId="4B9E309C">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06951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DF9A7B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960" w:type="dxa"/>
            <w:vAlign w:val="center"/>
          </w:tcPr>
          <w:p w14:paraId="1F8F2A4A">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13" w:type="dxa"/>
            <w:vAlign w:val="center"/>
          </w:tcPr>
          <w:p w14:paraId="42EAB88D">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1" w:type="dxa"/>
            <w:vAlign w:val="center"/>
          </w:tcPr>
          <w:p w14:paraId="5FDA8248">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62" w:type="dxa"/>
            <w:vAlign w:val="center"/>
          </w:tcPr>
          <w:p w14:paraId="43182E7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80" w:type="dxa"/>
            <w:vAlign w:val="center"/>
          </w:tcPr>
          <w:p w14:paraId="361C34AF">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8" w:type="dxa"/>
            <w:tcBorders>
              <w:right w:val="single" w:color="auto" w:sz="4" w:space="0"/>
            </w:tcBorders>
            <w:vAlign w:val="center"/>
          </w:tcPr>
          <w:p w14:paraId="2D82731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069" w:type="dxa"/>
            <w:tcBorders>
              <w:left w:val="single" w:color="auto" w:sz="4" w:space="0"/>
              <w:right w:val="single" w:color="auto" w:sz="4" w:space="0"/>
            </w:tcBorders>
            <w:vAlign w:val="center"/>
          </w:tcPr>
          <w:p w14:paraId="7436461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25A7A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B715F9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30C9F19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2ACCDE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26B565F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1985A57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0619E67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right w:val="single" w:color="auto" w:sz="4" w:space="0"/>
            </w:tcBorders>
            <w:vAlign w:val="center"/>
          </w:tcPr>
          <w:p w14:paraId="63CCE5D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left w:val="single" w:color="auto" w:sz="4" w:space="0"/>
              <w:right w:val="single" w:color="auto" w:sz="4" w:space="0"/>
            </w:tcBorders>
            <w:vAlign w:val="center"/>
          </w:tcPr>
          <w:p w14:paraId="3C5E460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EEF8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6C5BF6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3987DDA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4E246B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3890084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2146818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7A7F465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right w:val="single" w:color="auto" w:sz="4" w:space="0"/>
            </w:tcBorders>
            <w:vAlign w:val="center"/>
          </w:tcPr>
          <w:p w14:paraId="3F30E82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left w:val="single" w:color="auto" w:sz="4" w:space="0"/>
              <w:right w:val="single" w:color="auto" w:sz="4" w:space="0"/>
            </w:tcBorders>
            <w:vAlign w:val="center"/>
          </w:tcPr>
          <w:p w14:paraId="270BEF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DC022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606" w:type="dxa"/>
            <w:tcBorders>
              <w:bottom w:val="single" w:color="auto" w:sz="4" w:space="0"/>
            </w:tcBorders>
            <w:vAlign w:val="center"/>
          </w:tcPr>
          <w:p w14:paraId="2CA9877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bottom w:val="single" w:color="auto" w:sz="4" w:space="0"/>
            </w:tcBorders>
            <w:vAlign w:val="center"/>
          </w:tcPr>
          <w:p w14:paraId="18850DB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bottom w:val="single" w:color="auto" w:sz="4" w:space="0"/>
            </w:tcBorders>
            <w:vAlign w:val="center"/>
          </w:tcPr>
          <w:p w14:paraId="067732B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bottom w:val="single" w:color="auto" w:sz="4" w:space="0"/>
            </w:tcBorders>
            <w:vAlign w:val="center"/>
          </w:tcPr>
          <w:p w14:paraId="2AD0D14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bottom w:val="single" w:color="auto" w:sz="4" w:space="0"/>
            </w:tcBorders>
            <w:vAlign w:val="center"/>
          </w:tcPr>
          <w:p w14:paraId="04513D3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bottom w:val="single" w:color="auto" w:sz="4" w:space="0"/>
            </w:tcBorders>
            <w:vAlign w:val="center"/>
          </w:tcPr>
          <w:p w14:paraId="3AE4630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bottom w:val="single" w:color="auto" w:sz="4" w:space="0"/>
              <w:right w:val="single" w:color="auto" w:sz="4" w:space="0"/>
            </w:tcBorders>
            <w:vAlign w:val="center"/>
          </w:tcPr>
          <w:p w14:paraId="6DB501E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left w:val="single" w:color="auto" w:sz="4" w:space="0"/>
              <w:bottom w:val="single" w:color="auto" w:sz="4" w:space="0"/>
              <w:right w:val="single" w:color="auto" w:sz="4" w:space="0"/>
            </w:tcBorders>
            <w:vAlign w:val="center"/>
          </w:tcPr>
          <w:p w14:paraId="36C23CB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0DD43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606" w:type="dxa"/>
            <w:tcBorders>
              <w:top w:val="single" w:color="auto" w:sz="4" w:space="0"/>
              <w:bottom w:val="single" w:color="auto" w:sz="4" w:space="0"/>
            </w:tcBorders>
            <w:vAlign w:val="center"/>
          </w:tcPr>
          <w:p w14:paraId="670A4DE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bottom w:val="single" w:color="auto" w:sz="4" w:space="0"/>
            </w:tcBorders>
            <w:vAlign w:val="center"/>
          </w:tcPr>
          <w:p w14:paraId="12B230B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bottom w:val="single" w:color="auto" w:sz="4" w:space="0"/>
            </w:tcBorders>
            <w:vAlign w:val="center"/>
          </w:tcPr>
          <w:p w14:paraId="7D59CC2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bottom w:val="single" w:color="auto" w:sz="4" w:space="0"/>
            </w:tcBorders>
            <w:vAlign w:val="center"/>
          </w:tcPr>
          <w:p w14:paraId="0FBC386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bottom w:val="single" w:color="auto" w:sz="4" w:space="0"/>
            </w:tcBorders>
            <w:vAlign w:val="center"/>
          </w:tcPr>
          <w:p w14:paraId="06C4C1C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bottom w:val="single" w:color="auto" w:sz="4" w:space="0"/>
            </w:tcBorders>
            <w:vAlign w:val="center"/>
          </w:tcPr>
          <w:p w14:paraId="0444C40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0979AEB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0C7BD5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77E32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606" w:type="dxa"/>
            <w:tcBorders>
              <w:top w:val="single" w:color="auto" w:sz="4" w:space="0"/>
              <w:bottom w:val="single" w:color="auto" w:sz="4" w:space="0"/>
            </w:tcBorders>
            <w:vAlign w:val="center"/>
          </w:tcPr>
          <w:p w14:paraId="776C592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bottom w:val="single" w:color="auto" w:sz="4" w:space="0"/>
            </w:tcBorders>
            <w:vAlign w:val="center"/>
          </w:tcPr>
          <w:p w14:paraId="75C36C0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bottom w:val="single" w:color="auto" w:sz="4" w:space="0"/>
            </w:tcBorders>
            <w:vAlign w:val="center"/>
          </w:tcPr>
          <w:p w14:paraId="5DA859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bottom w:val="single" w:color="auto" w:sz="4" w:space="0"/>
            </w:tcBorders>
            <w:vAlign w:val="center"/>
          </w:tcPr>
          <w:p w14:paraId="0D9517E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bottom w:val="single" w:color="auto" w:sz="4" w:space="0"/>
            </w:tcBorders>
            <w:vAlign w:val="center"/>
          </w:tcPr>
          <w:p w14:paraId="437BBC2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bottom w:val="single" w:color="auto" w:sz="4" w:space="0"/>
            </w:tcBorders>
            <w:vAlign w:val="center"/>
          </w:tcPr>
          <w:p w14:paraId="01F6865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0D5601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2303CC5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38D0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606" w:type="dxa"/>
            <w:tcBorders>
              <w:top w:val="single" w:color="auto" w:sz="4" w:space="0"/>
              <w:bottom w:val="single" w:color="auto" w:sz="4" w:space="0"/>
            </w:tcBorders>
            <w:vAlign w:val="center"/>
          </w:tcPr>
          <w:p w14:paraId="656DF6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bottom w:val="single" w:color="auto" w:sz="4" w:space="0"/>
            </w:tcBorders>
            <w:vAlign w:val="center"/>
          </w:tcPr>
          <w:p w14:paraId="7789161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bottom w:val="single" w:color="auto" w:sz="4" w:space="0"/>
            </w:tcBorders>
            <w:vAlign w:val="center"/>
          </w:tcPr>
          <w:p w14:paraId="70512D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bottom w:val="single" w:color="auto" w:sz="4" w:space="0"/>
            </w:tcBorders>
            <w:vAlign w:val="center"/>
          </w:tcPr>
          <w:p w14:paraId="43F60BE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bottom w:val="single" w:color="auto" w:sz="4" w:space="0"/>
            </w:tcBorders>
            <w:vAlign w:val="center"/>
          </w:tcPr>
          <w:p w14:paraId="570ED86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bottom w:val="single" w:color="auto" w:sz="4" w:space="0"/>
            </w:tcBorders>
            <w:vAlign w:val="center"/>
          </w:tcPr>
          <w:p w14:paraId="4E4837E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5ECFF2B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AD9C89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43DBD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606" w:type="dxa"/>
            <w:tcBorders>
              <w:top w:val="single" w:color="auto" w:sz="4" w:space="0"/>
            </w:tcBorders>
            <w:vAlign w:val="center"/>
          </w:tcPr>
          <w:p w14:paraId="7278F51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tcBorders>
            <w:vAlign w:val="center"/>
          </w:tcPr>
          <w:p w14:paraId="0C9C0E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tcBorders>
            <w:vAlign w:val="center"/>
          </w:tcPr>
          <w:p w14:paraId="54EB25E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tcBorders>
            <w:vAlign w:val="center"/>
          </w:tcPr>
          <w:p w14:paraId="095C815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tcBorders>
            <w:vAlign w:val="center"/>
          </w:tcPr>
          <w:p w14:paraId="3DC50D4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tcBorders>
            <w:vAlign w:val="center"/>
          </w:tcPr>
          <w:p w14:paraId="023CE62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right w:val="single" w:color="auto" w:sz="4" w:space="0"/>
            </w:tcBorders>
            <w:vAlign w:val="center"/>
          </w:tcPr>
          <w:p w14:paraId="7C4A2FC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right w:val="single" w:color="auto" w:sz="4" w:space="0"/>
            </w:tcBorders>
            <w:vAlign w:val="center"/>
          </w:tcPr>
          <w:p w14:paraId="3178CB1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09E064F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23B71A1D">
      <w:pPr>
        <w:pageBreakBefore w:val="0"/>
        <w:numPr>
          <w:ilvl w:val="0"/>
          <w:numId w:val="9"/>
        </w:numPr>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本表后附：</w:t>
      </w:r>
      <w:r>
        <w:rPr>
          <w:rFonts w:hint="eastAsia" w:ascii="宋体" w:hAnsi="宋体" w:eastAsia="宋体" w:cs="宋体"/>
          <w:color w:val="auto"/>
          <w:sz w:val="24"/>
          <w:szCs w:val="24"/>
          <w:highlight w:val="none"/>
        </w:rPr>
        <w:t>投标人近</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年完成的</w:t>
      </w:r>
      <w:r>
        <w:rPr>
          <w:rFonts w:hint="eastAsia" w:ascii="宋体" w:hAnsi="宋体" w:eastAsia="宋体" w:cs="宋体"/>
          <w:color w:val="auto"/>
          <w:sz w:val="24"/>
          <w:szCs w:val="24"/>
          <w:highlight w:val="none"/>
          <w:lang w:val="en-US" w:eastAsia="zh-CN"/>
        </w:rPr>
        <w:t>类似项目业绩</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业绩认定日期以合同签订日期为准</w:t>
      </w:r>
      <w:r>
        <w:rPr>
          <w:rFonts w:hint="eastAsia" w:ascii="宋体" w:hAnsi="宋体" w:eastAsia="宋体" w:cs="宋体"/>
          <w:color w:val="auto"/>
          <w:sz w:val="24"/>
          <w:szCs w:val="24"/>
          <w:highlight w:val="none"/>
          <w:lang w:eastAsia="zh-CN"/>
        </w:rPr>
        <w:t>；</w:t>
      </w:r>
    </w:p>
    <w:p w14:paraId="77AE0A77">
      <w:pPr>
        <w:pageBreakBefore w:val="0"/>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投标人须提供合同协议书</w:t>
      </w:r>
      <w:r>
        <w:rPr>
          <w:rFonts w:hint="eastAsia" w:ascii="宋体" w:hAnsi="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lang w:eastAsia="zh-CN"/>
        </w:rPr>
        <w:t>中标通知书（加盖单位章的复印件/扫描件）。</w:t>
      </w:r>
    </w:p>
    <w:p w14:paraId="77319DB5">
      <w:pPr>
        <w:pStyle w:val="84"/>
        <w:pageBreakBefore w:val="0"/>
        <w:wordWrap/>
        <w:overflowPunct/>
        <w:topLinePunct w:val="0"/>
        <w:bidi w:val="0"/>
        <w:spacing w:line="560" w:lineRule="exact"/>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具体年份要求：</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今</w:t>
      </w:r>
      <w:r>
        <w:rPr>
          <w:rFonts w:hint="eastAsia" w:ascii="宋体" w:hAnsi="宋体" w:eastAsia="宋体" w:cs="宋体"/>
          <w:color w:val="auto"/>
          <w:sz w:val="24"/>
          <w:szCs w:val="24"/>
          <w:highlight w:val="none"/>
        </w:rPr>
        <w:t>。</w:t>
      </w:r>
      <w:r>
        <w:rPr>
          <w:rFonts w:hint="eastAsia" w:ascii="宋体" w:hAnsi="宋体" w:eastAsia="宋体" w:cs="宋体"/>
          <w:b/>
          <w:bCs w:val="0"/>
          <w:color w:val="auto"/>
          <w:sz w:val="24"/>
          <w:szCs w:val="24"/>
          <w:highlight w:val="none"/>
          <w:lang w:eastAsia="zh-CN"/>
        </w:rPr>
        <w:br w:type="page"/>
      </w:r>
    </w:p>
    <w:p w14:paraId="5B763896">
      <w:pPr>
        <w:pStyle w:val="3"/>
        <w:pageBreakBefore w:val="0"/>
        <w:numPr>
          <w:ilvl w:val="0"/>
          <w:numId w:val="0"/>
        </w:numPr>
        <w:wordWrap/>
        <w:overflowPunct/>
        <w:topLinePunct w:val="0"/>
        <w:bidi w:val="0"/>
        <w:spacing w:before="0" w:after="0" w:line="560" w:lineRule="exact"/>
        <w:ind w:left="0" w:leftChars="0" w:right="0" w:rightChars="0"/>
        <w:jc w:val="center"/>
        <w:rPr>
          <w:rFonts w:hint="eastAsia" w:ascii="宋体" w:hAnsi="宋体" w:eastAsia="宋体" w:cs="宋体"/>
          <w:color w:val="auto"/>
          <w:sz w:val="24"/>
          <w:szCs w:val="24"/>
          <w:highlight w:val="none"/>
        </w:rPr>
      </w:pPr>
      <w:bookmarkStart w:id="143" w:name="_Toc217446091"/>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商务、技术需求偏离表</w:t>
      </w:r>
    </w:p>
    <w:p w14:paraId="68A262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p>
    <w:tbl>
      <w:tblPr>
        <w:tblStyle w:val="30"/>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1A0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DF1A590">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071DC6A3">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7BDAF3B0">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3FABE00B">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565D02DE">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0470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6D1E7C3">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7ECCE0D6">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完全理解并接受对合格投标人、合格的服务要求；</w:t>
            </w:r>
          </w:p>
        </w:tc>
        <w:tc>
          <w:tcPr>
            <w:tcW w:w="1008" w:type="dxa"/>
            <w:vAlign w:val="center"/>
          </w:tcPr>
          <w:p w14:paraId="3421D3D7">
            <w:pPr>
              <w:pStyle w:val="99"/>
              <w:keepNext w:val="0"/>
              <w:pageBreakBefore w:val="0"/>
              <w:wordWrap/>
              <w:overflowPunct/>
              <w:topLinePunct w:val="0"/>
              <w:bidi w:val="0"/>
              <w:adjustRightInd/>
              <w:spacing w:before="0" w:after="0" w:line="56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3350A54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6824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FB2873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55791F6F">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74B7DB06">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13EF0FA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0021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0CEC7C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06BBECF2">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290672D1">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6A117D7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22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E9DB0D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43CCB0FB">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68F10A94">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866A22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0A36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1082E967">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5850" w:type="dxa"/>
            <w:vAlign w:val="center"/>
          </w:tcPr>
          <w:p w14:paraId="7791FFA0">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1A9819A4">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92FAE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0566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CE2EE85">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5850" w:type="dxa"/>
            <w:vAlign w:val="center"/>
          </w:tcPr>
          <w:p w14:paraId="74DEED15">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597FBE4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3453112">
            <w:pPr>
              <w:pStyle w:val="99"/>
              <w:keepNext w:val="0"/>
              <w:pageBreakBefore w:val="0"/>
              <w:wordWrap/>
              <w:overflowPunct/>
              <w:topLinePunct w:val="0"/>
              <w:bidi w:val="0"/>
              <w:adjustRightInd/>
              <w:spacing w:before="0" w:after="0" w:line="56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031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DA04C1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5850" w:type="dxa"/>
            <w:vAlign w:val="center"/>
          </w:tcPr>
          <w:p w14:paraId="02A1C6C8">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rPr>
              <w:t>或相关进度安排要求；</w:t>
            </w:r>
          </w:p>
        </w:tc>
        <w:tc>
          <w:tcPr>
            <w:tcW w:w="1008" w:type="dxa"/>
            <w:vAlign w:val="center"/>
          </w:tcPr>
          <w:p w14:paraId="5CAB032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08F1F8C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33B4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8F77911">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850" w:type="dxa"/>
            <w:vAlign w:val="center"/>
          </w:tcPr>
          <w:p w14:paraId="2C8EC3F8">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12513D3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181A9A7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1816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4BE0E92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5850" w:type="dxa"/>
            <w:vAlign w:val="center"/>
          </w:tcPr>
          <w:p w14:paraId="1546A28E">
            <w:pPr>
              <w:pStyle w:val="21"/>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3CE93B68">
            <w:pPr>
              <w:pStyle w:val="100"/>
              <w:pageBreakBefore w:val="0"/>
              <w:numPr>
                <w:ilvl w:val="0"/>
                <w:numId w:val="0"/>
              </w:numPr>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1F4B2603">
            <w:pPr>
              <w:pStyle w:val="99"/>
              <w:keepNext w:val="0"/>
              <w:pageBreakBefore w:val="0"/>
              <w:wordWrap/>
              <w:overflowPunct/>
              <w:topLinePunct w:val="0"/>
              <w:bidi w:val="0"/>
              <w:adjustRightInd/>
              <w:spacing w:before="0" w:after="0" w:line="56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4E2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7534DF43">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5850" w:type="dxa"/>
            <w:vAlign w:val="center"/>
          </w:tcPr>
          <w:p w14:paraId="6345BCA7">
            <w:pPr>
              <w:pStyle w:val="21"/>
              <w:pageBreakBefore w:val="0"/>
              <w:wordWrap/>
              <w:overflowPunct/>
              <w:topLinePunct w:val="0"/>
              <w:bidi w:val="0"/>
              <w:spacing w:line="240" w:lineRule="auto"/>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4B26789B">
            <w:pPr>
              <w:pStyle w:val="100"/>
              <w:pageBreakBefore w:val="0"/>
              <w:numPr>
                <w:ilvl w:val="0"/>
                <w:numId w:val="0"/>
              </w:numPr>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513E82C9">
            <w:pPr>
              <w:pStyle w:val="99"/>
              <w:keepNext w:val="0"/>
              <w:pageBreakBefore w:val="0"/>
              <w:wordWrap/>
              <w:overflowPunct/>
              <w:topLinePunct w:val="0"/>
              <w:bidi w:val="0"/>
              <w:adjustRightInd/>
              <w:spacing w:before="0" w:after="0" w:line="56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54DF9D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F7B45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164741D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1F8BA086">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本表内容不得擅自修改。</w:t>
      </w:r>
    </w:p>
    <w:p w14:paraId="5274CE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p>
    <w:p w14:paraId="352BE0AE">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03BAEE7D">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35733A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 月 日</w:t>
      </w:r>
    </w:p>
    <w:p w14:paraId="5D78190F">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b/>
          <w:bCs/>
          <w:color w:val="auto"/>
          <w:sz w:val="24"/>
          <w:szCs w:val="24"/>
          <w:highlight w:val="none"/>
          <w:lang w:eastAsia="zh-CN"/>
        </w:rPr>
      </w:pPr>
    </w:p>
    <w:p w14:paraId="1C522BBC">
      <w:pPr>
        <w:pStyle w:val="112"/>
        <w:keepNext w:val="0"/>
        <w:keepLines w:val="0"/>
        <w:pageBreakBefore w:val="0"/>
        <w:widowControl w:val="0"/>
        <w:numPr>
          <w:ilvl w:val="0"/>
          <w:numId w:val="11"/>
        </w:numPr>
        <w:shd w:val="clear" w:color="auto" w:fill="auto"/>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r>
        <w:rPr>
          <w:rFonts w:hint="eastAsia" w:ascii="宋体" w:hAnsi="宋体" w:eastAsia="宋体" w:cs="宋体"/>
          <w:b/>
          <w:bCs/>
          <w:caps w:val="0"/>
          <w:color w:val="auto"/>
          <w:spacing w:val="0"/>
          <w:w w:val="100"/>
          <w:kern w:val="0"/>
          <w:sz w:val="24"/>
          <w:szCs w:val="24"/>
          <w:highlight w:val="none"/>
          <w:lang w:eastAsia="zh-CN"/>
        </w:rPr>
        <w:t>技术需求偏离表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556"/>
        <w:gridCol w:w="1089"/>
        <w:gridCol w:w="1089"/>
        <w:gridCol w:w="1089"/>
        <w:gridCol w:w="1089"/>
        <w:gridCol w:w="1089"/>
        <w:gridCol w:w="1123"/>
      </w:tblGrid>
      <w:tr w14:paraId="3810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C495DD2">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556" w:type="dxa"/>
            <w:vMerge w:val="restart"/>
            <w:vAlign w:val="center"/>
          </w:tcPr>
          <w:p w14:paraId="3A39015C">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招标</w:t>
            </w:r>
            <w:r>
              <w:rPr>
                <w:rFonts w:hint="eastAsia" w:ascii="宋体" w:hAnsi="宋体" w:eastAsia="宋体" w:cs="宋体"/>
                <w:sz w:val="24"/>
                <w:szCs w:val="24"/>
                <w:vertAlign w:val="baseline"/>
                <w:lang w:eastAsia="zh-CN"/>
              </w:rPr>
              <w:t>文件条目号（页码）</w:t>
            </w:r>
          </w:p>
        </w:tc>
        <w:tc>
          <w:tcPr>
            <w:tcW w:w="1089" w:type="dxa"/>
            <w:vMerge w:val="restart"/>
            <w:vAlign w:val="center"/>
          </w:tcPr>
          <w:p w14:paraId="676A68BF">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招标</w:t>
            </w:r>
            <w:r>
              <w:rPr>
                <w:rFonts w:hint="eastAsia" w:ascii="宋体" w:hAnsi="宋体" w:eastAsia="宋体" w:cs="宋体"/>
                <w:sz w:val="24"/>
                <w:szCs w:val="24"/>
                <w:vertAlign w:val="baseline"/>
                <w:lang w:eastAsia="zh-CN"/>
              </w:rPr>
              <w:t>文件要求</w:t>
            </w:r>
          </w:p>
        </w:tc>
        <w:tc>
          <w:tcPr>
            <w:tcW w:w="1089" w:type="dxa"/>
            <w:vMerge w:val="restart"/>
            <w:vAlign w:val="center"/>
          </w:tcPr>
          <w:p w14:paraId="3CBE9B54">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响应内容</w:t>
            </w:r>
          </w:p>
        </w:tc>
        <w:tc>
          <w:tcPr>
            <w:tcW w:w="3267" w:type="dxa"/>
            <w:gridSpan w:val="3"/>
            <w:vAlign w:val="center"/>
          </w:tcPr>
          <w:p w14:paraId="4A2405D2">
            <w:pPr>
              <w:spacing w:line="360" w:lineRule="auto"/>
              <w:ind w:firstLine="480" w:firstLineChars="20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偏离情况（据实填写）</w:t>
            </w:r>
          </w:p>
        </w:tc>
        <w:tc>
          <w:tcPr>
            <w:tcW w:w="1123" w:type="dxa"/>
            <w:vMerge w:val="restart"/>
            <w:vAlign w:val="center"/>
          </w:tcPr>
          <w:p w14:paraId="1BC432CD">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0693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0" w:type="dxa"/>
            <w:vMerge w:val="continue"/>
          </w:tcPr>
          <w:p w14:paraId="12616455">
            <w:pPr>
              <w:spacing w:line="360" w:lineRule="auto"/>
              <w:rPr>
                <w:rFonts w:hint="eastAsia" w:ascii="宋体" w:hAnsi="宋体" w:eastAsia="宋体" w:cs="宋体"/>
                <w:sz w:val="24"/>
                <w:szCs w:val="24"/>
                <w:vertAlign w:val="baseline"/>
              </w:rPr>
            </w:pPr>
          </w:p>
        </w:tc>
        <w:tc>
          <w:tcPr>
            <w:tcW w:w="1556" w:type="dxa"/>
            <w:vMerge w:val="continue"/>
          </w:tcPr>
          <w:p w14:paraId="144F6A48">
            <w:pPr>
              <w:spacing w:line="360" w:lineRule="auto"/>
              <w:rPr>
                <w:rFonts w:hint="eastAsia" w:ascii="宋体" w:hAnsi="宋体" w:eastAsia="宋体" w:cs="宋体"/>
                <w:sz w:val="24"/>
                <w:szCs w:val="24"/>
                <w:vertAlign w:val="baseline"/>
              </w:rPr>
            </w:pPr>
          </w:p>
        </w:tc>
        <w:tc>
          <w:tcPr>
            <w:tcW w:w="1089" w:type="dxa"/>
            <w:vMerge w:val="continue"/>
          </w:tcPr>
          <w:p w14:paraId="0463371C">
            <w:pPr>
              <w:spacing w:line="360" w:lineRule="auto"/>
              <w:rPr>
                <w:rFonts w:hint="eastAsia" w:ascii="宋体" w:hAnsi="宋体" w:eastAsia="宋体" w:cs="宋体"/>
                <w:sz w:val="24"/>
                <w:szCs w:val="24"/>
                <w:vertAlign w:val="baseline"/>
              </w:rPr>
            </w:pPr>
          </w:p>
        </w:tc>
        <w:tc>
          <w:tcPr>
            <w:tcW w:w="1089" w:type="dxa"/>
            <w:vMerge w:val="continue"/>
          </w:tcPr>
          <w:p w14:paraId="725184F4">
            <w:pPr>
              <w:spacing w:line="360" w:lineRule="auto"/>
              <w:rPr>
                <w:rFonts w:hint="eastAsia" w:ascii="宋体" w:hAnsi="宋体" w:eastAsia="宋体" w:cs="宋体"/>
                <w:sz w:val="24"/>
                <w:szCs w:val="24"/>
                <w:vertAlign w:val="baseline"/>
              </w:rPr>
            </w:pPr>
          </w:p>
        </w:tc>
        <w:tc>
          <w:tcPr>
            <w:tcW w:w="1089" w:type="dxa"/>
          </w:tcPr>
          <w:p w14:paraId="1F989F6F">
            <w:pPr>
              <w:spacing w:line="360" w:lineRule="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正偏离</w:t>
            </w:r>
          </w:p>
        </w:tc>
        <w:tc>
          <w:tcPr>
            <w:tcW w:w="1089" w:type="dxa"/>
          </w:tcPr>
          <w:p w14:paraId="5BF1CFC5">
            <w:pPr>
              <w:spacing w:line="360" w:lineRule="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无偏离</w:t>
            </w:r>
          </w:p>
        </w:tc>
        <w:tc>
          <w:tcPr>
            <w:tcW w:w="1089" w:type="dxa"/>
          </w:tcPr>
          <w:p w14:paraId="3CA2EE30">
            <w:pPr>
              <w:spacing w:line="360" w:lineRule="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负偏离</w:t>
            </w:r>
          </w:p>
        </w:tc>
        <w:tc>
          <w:tcPr>
            <w:tcW w:w="1123" w:type="dxa"/>
            <w:vMerge w:val="continue"/>
          </w:tcPr>
          <w:p w14:paraId="52DB976B">
            <w:pPr>
              <w:spacing w:line="360" w:lineRule="auto"/>
              <w:rPr>
                <w:rFonts w:hint="eastAsia" w:ascii="宋体" w:hAnsi="宋体" w:eastAsia="宋体" w:cs="宋体"/>
                <w:sz w:val="24"/>
                <w:szCs w:val="24"/>
                <w:vertAlign w:val="baseline"/>
              </w:rPr>
            </w:pPr>
          </w:p>
        </w:tc>
      </w:tr>
      <w:tr w14:paraId="0932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0" w:type="dxa"/>
          </w:tcPr>
          <w:p w14:paraId="5E79F5E9">
            <w:pPr>
              <w:spacing w:line="360" w:lineRule="auto"/>
              <w:rPr>
                <w:rFonts w:hint="eastAsia" w:ascii="宋体" w:hAnsi="宋体" w:eastAsia="宋体" w:cs="宋体"/>
                <w:sz w:val="24"/>
                <w:szCs w:val="24"/>
                <w:vertAlign w:val="baseline"/>
              </w:rPr>
            </w:pPr>
          </w:p>
        </w:tc>
        <w:tc>
          <w:tcPr>
            <w:tcW w:w="1556" w:type="dxa"/>
          </w:tcPr>
          <w:p w14:paraId="6087CB30">
            <w:pPr>
              <w:spacing w:line="360" w:lineRule="auto"/>
              <w:rPr>
                <w:rFonts w:hint="eastAsia" w:ascii="宋体" w:hAnsi="宋体" w:eastAsia="宋体" w:cs="宋体"/>
                <w:sz w:val="24"/>
                <w:szCs w:val="24"/>
                <w:vertAlign w:val="baseline"/>
              </w:rPr>
            </w:pPr>
          </w:p>
        </w:tc>
        <w:tc>
          <w:tcPr>
            <w:tcW w:w="1089" w:type="dxa"/>
          </w:tcPr>
          <w:p w14:paraId="6D4E0CA6">
            <w:pPr>
              <w:spacing w:line="360" w:lineRule="auto"/>
              <w:rPr>
                <w:rFonts w:hint="eastAsia" w:ascii="宋体" w:hAnsi="宋体" w:eastAsia="宋体" w:cs="宋体"/>
                <w:sz w:val="24"/>
                <w:szCs w:val="24"/>
                <w:vertAlign w:val="baseline"/>
              </w:rPr>
            </w:pPr>
          </w:p>
        </w:tc>
        <w:tc>
          <w:tcPr>
            <w:tcW w:w="1089" w:type="dxa"/>
          </w:tcPr>
          <w:p w14:paraId="01131E2D">
            <w:pPr>
              <w:spacing w:line="360" w:lineRule="auto"/>
              <w:rPr>
                <w:rFonts w:hint="eastAsia" w:ascii="宋体" w:hAnsi="宋体" w:eastAsia="宋体" w:cs="宋体"/>
                <w:sz w:val="24"/>
                <w:szCs w:val="24"/>
                <w:vertAlign w:val="baseline"/>
              </w:rPr>
            </w:pPr>
          </w:p>
        </w:tc>
        <w:tc>
          <w:tcPr>
            <w:tcW w:w="1089" w:type="dxa"/>
          </w:tcPr>
          <w:p w14:paraId="3DA8EC13">
            <w:pPr>
              <w:spacing w:line="360" w:lineRule="auto"/>
              <w:rPr>
                <w:rFonts w:hint="eastAsia" w:ascii="宋体" w:hAnsi="宋体" w:eastAsia="宋体" w:cs="宋体"/>
                <w:sz w:val="24"/>
                <w:szCs w:val="24"/>
                <w:vertAlign w:val="baseline"/>
              </w:rPr>
            </w:pPr>
          </w:p>
        </w:tc>
        <w:tc>
          <w:tcPr>
            <w:tcW w:w="1089" w:type="dxa"/>
          </w:tcPr>
          <w:p w14:paraId="7A66C0E0">
            <w:pPr>
              <w:spacing w:line="360" w:lineRule="auto"/>
              <w:rPr>
                <w:rFonts w:hint="eastAsia" w:ascii="宋体" w:hAnsi="宋体" w:eastAsia="宋体" w:cs="宋体"/>
                <w:sz w:val="24"/>
                <w:szCs w:val="24"/>
                <w:vertAlign w:val="baseline"/>
              </w:rPr>
            </w:pPr>
          </w:p>
        </w:tc>
        <w:tc>
          <w:tcPr>
            <w:tcW w:w="1089" w:type="dxa"/>
          </w:tcPr>
          <w:p w14:paraId="1334A3B7">
            <w:pPr>
              <w:spacing w:line="360" w:lineRule="auto"/>
              <w:rPr>
                <w:rFonts w:hint="eastAsia" w:ascii="宋体" w:hAnsi="宋体" w:eastAsia="宋体" w:cs="宋体"/>
                <w:sz w:val="24"/>
                <w:szCs w:val="24"/>
                <w:vertAlign w:val="baseline"/>
              </w:rPr>
            </w:pPr>
          </w:p>
        </w:tc>
        <w:tc>
          <w:tcPr>
            <w:tcW w:w="1123" w:type="dxa"/>
          </w:tcPr>
          <w:p w14:paraId="78C26766">
            <w:pPr>
              <w:spacing w:line="360" w:lineRule="auto"/>
              <w:rPr>
                <w:rFonts w:hint="eastAsia" w:ascii="宋体" w:hAnsi="宋体" w:eastAsia="宋体" w:cs="宋体"/>
                <w:sz w:val="24"/>
                <w:szCs w:val="24"/>
                <w:vertAlign w:val="baseline"/>
              </w:rPr>
            </w:pPr>
          </w:p>
        </w:tc>
      </w:tr>
      <w:tr w14:paraId="5101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60" w:type="dxa"/>
          </w:tcPr>
          <w:p w14:paraId="61D2160B">
            <w:pPr>
              <w:spacing w:line="360" w:lineRule="auto"/>
              <w:rPr>
                <w:rFonts w:hint="eastAsia" w:ascii="宋体" w:hAnsi="宋体" w:eastAsia="宋体" w:cs="宋体"/>
                <w:sz w:val="24"/>
                <w:szCs w:val="24"/>
                <w:vertAlign w:val="baseline"/>
              </w:rPr>
            </w:pPr>
          </w:p>
        </w:tc>
        <w:tc>
          <w:tcPr>
            <w:tcW w:w="1556" w:type="dxa"/>
          </w:tcPr>
          <w:p w14:paraId="41CF143B">
            <w:pPr>
              <w:spacing w:line="360" w:lineRule="auto"/>
              <w:rPr>
                <w:rFonts w:hint="eastAsia" w:ascii="宋体" w:hAnsi="宋体" w:eastAsia="宋体" w:cs="宋体"/>
                <w:sz w:val="24"/>
                <w:szCs w:val="24"/>
                <w:vertAlign w:val="baseline"/>
              </w:rPr>
            </w:pPr>
          </w:p>
        </w:tc>
        <w:tc>
          <w:tcPr>
            <w:tcW w:w="1089" w:type="dxa"/>
          </w:tcPr>
          <w:p w14:paraId="6346B75A">
            <w:pPr>
              <w:spacing w:line="360" w:lineRule="auto"/>
              <w:rPr>
                <w:rFonts w:hint="eastAsia" w:ascii="宋体" w:hAnsi="宋体" w:eastAsia="宋体" w:cs="宋体"/>
                <w:sz w:val="24"/>
                <w:szCs w:val="24"/>
                <w:vertAlign w:val="baseline"/>
              </w:rPr>
            </w:pPr>
          </w:p>
        </w:tc>
        <w:tc>
          <w:tcPr>
            <w:tcW w:w="1089" w:type="dxa"/>
          </w:tcPr>
          <w:p w14:paraId="1AD9210A">
            <w:pPr>
              <w:spacing w:line="360" w:lineRule="auto"/>
              <w:rPr>
                <w:rFonts w:hint="eastAsia" w:ascii="宋体" w:hAnsi="宋体" w:eastAsia="宋体" w:cs="宋体"/>
                <w:sz w:val="24"/>
                <w:szCs w:val="24"/>
                <w:vertAlign w:val="baseline"/>
              </w:rPr>
            </w:pPr>
          </w:p>
        </w:tc>
        <w:tc>
          <w:tcPr>
            <w:tcW w:w="1089" w:type="dxa"/>
          </w:tcPr>
          <w:p w14:paraId="5009C9C3">
            <w:pPr>
              <w:spacing w:line="360" w:lineRule="auto"/>
              <w:rPr>
                <w:rFonts w:hint="eastAsia" w:ascii="宋体" w:hAnsi="宋体" w:eastAsia="宋体" w:cs="宋体"/>
                <w:sz w:val="24"/>
                <w:szCs w:val="24"/>
                <w:vertAlign w:val="baseline"/>
              </w:rPr>
            </w:pPr>
          </w:p>
        </w:tc>
        <w:tc>
          <w:tcPr>
            <w:tcW w:w="1089" w:type="dxa"/>
          </w:tcPr>
          <w:p w14:paraId="0A4AFB92">
            <w:pPr>
              <w:spacing w:line="360" w:lineRule="auto"/>
              <w:rPr>
                <w:rFonts w:hint="eastAsia" w:ascii="宋体" w:hAnsi="宋体" w:eastAsia="宋体" w:cs="宋体"/>
                <w:sz w:val="24"/>
                <w:szCs w:val="24"/>
                <w:vertAlign w:val="baseline"/>
              </w:rPr>
            </w:pPr>
          </w:p>
        </w:tc>
        <w:tc>
          <w:tcPr>
            <w:tcW w:w="1089" w:type="dxa"/>
          </w:tcPr>
          <w:p w14:paraId="49832430">
            <w:pPr>
              <w:spacing w:line="360" w:lineRule="auto"/>
              <w:rPr>
                <w:rFonts w:hint="eastAsia" w:ascii="宋体" w:hAnsi="宋体" w:eastAsia="宋体" w:cs="宋体"/>
                <w:sz w:val="24"/>
                <w:szCs w:val="24"/>
                <w:vertAlign w:val="baseline"/>
              </w:rPr>
            </w:pPr>
          </w:p>
        </w:tc>
        <w:tc>
          <w:tcPr>
            <w:tcW w:w="1123" w:type="dxa"/>
          </w:tcPr>
          <w:p w14:paraId="1FD6BD04">
            <w:pPr>
              <w:spacing w:line="360" w:lineRule="auto"/>
              <w:rPr>
                <w:rFonts w:hint="eastAsia" w:ascii="宋体" w:hAnsi="宋体" w:eastAsia="宋体" w:cs="宋体"/>
                <w:sz w:val="24"/>
                <w:szCs w:val="24"/>
                <w:vertAlign w:val="baseline"/>
              </w:rPr>
            </w:pPr>
          </w:p>
        </w:tc>
      </w:tr>
      <w:tr w14:paraId="6E86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60" w:type="dxa"/>
          </w:tcPr>
          <w:p w14:paraId="448DF835">
            <w:pPr>
              <w:spacing w:line="360" w:lineRule="auto"/>
              <w:rPr>
                <w:rFonts w:hint="eastAsia" w:ascii="宋体" w:hAnsi="宋体" w:eastAsia="宋体" w:cs="宋体"/>
                <w:sz w:val="24"/>
                <w:szCs w:val="24"/>
                <w:vertAlign w:val="baseline"/>
              </w:rPr>
            </w:pPr>
          </w:p>
        </w:tc>
        <w:tc>
          <w:tcPr>
            <w:tcW w:w="1556" w:type="dxa"/>
          </w:tcPr>
          <w:p w14:paraId="71388054">
            <w:pPr>
              <w:spacing w:line="360" w:lineRule="auto"/>
              <w:rPr>
                <w:rFonts w:hint="eastAsia" w:ascii="宋体" w:hAnsi="宋体" w:eastAsia="宋体" w:cs="宋体"/>
                <w:sz w:val="24"/>
                <w:szCs w:val="24"/>
                <w:vertAlign w:val="baseline"/>
              </w:rPr>
            </w:pPr>
          </w:p>
        </w:tc>
        <w:tc>
          <w:tcPr>
            <w:tcW w:w="1089" w:type="dxa"/>
          </w:tcPr>
          <w:p w14:paraId="2EDF12D9">
            <w:pPr>
              <w:spacing w:line="360" w:lineRule="auto"/>
              <w:rPr>
                <w:rFonts w:hint="eastAsia" w:ascii="宋体" w:hAnsi="宋体" w:eastAsia="宋体" w:cs="宋体"/>
                <w:sz w:val="24"/>
                <w:szCs w:val="24"/>
                <w:vertAlign w:val="baseline"/>
              </w:rPr>
            </w:pPr>
          </w:p>
        </w:tc>
        <w:tc>
          <w:tcPr>
            <w:tcW w:w="1089" w:type="dxa"/>
          </w:tcPr>
          <w:p w14:paraId="46BE88A6">
            <w:pPr>
              <w:spacing w:line="360" w:lineRule="auto"/>
              <w:rPr>
                <w:rFonts w:hint="eastAsia" w:ascii="宋体" w:hAnsi="宋体" w:eastAsia="宋体" w:cs="宋体"/>
                <w:sz w:val="24"/>
                <w:szCs w:val="24"/>
                <w:vertAlign w:val="baseline"/>
              </w:rPr>
            </w:pPr>
          </w:p>
        </w:tc>
        <w:tc>
          <w:tcPr>
            <w:tcW w:w="1089" w:type="dxa"/>
          </w:tcPr>
          <w:p w14:paraId="0863562F">
            <w:pPr>
              <w:spacing w:line="360" w:lineRule="auto"/>
              <w:rPr>
                <w:rFonts w:hint="eastAsia" w:ascii="宋体" w:hAnsi="宋体" w:eastAsia="宋体" w:cs="宋体"/>
                <w:sz w:val="24"/>
                <w:szCs w:val="24"/>
                <w:vertAlign w:val="baseline"/>
              </w:rPr>
            </w:pPr>
          </w:p>
        </w:tc>
        <w:tc>
          <w:tcPr>
            <w:tcW w:w="1089" w:type="dxa"/>
          </w:tcPr>
          <w:p w14:paraId="7BCCE157">
            <w:pPr>
              <w:spacing w:line="360" w:lineRule="auto"/>
              <w:rPr>
                <w:rFonts w:hint="eastAsia" w:ascii="宋体" w:hAnsi="宋体" w:eastAsia="宋体" w:cs="宋体"/>
                <w:sz w:val="24"/>
                <w:szCs w:val="24"/>
                <w:vertAlign w:val="baseline"/>
              </w:rPr>
            </w:pPr>
          </w:p>
        </w:tc>
        <w:tc>
          <w:tcPr>
            <w:tcW w:w="1089" w:type="dxa"/>
          </w:tcPr>
          <w:p w14:paraId="3D1694E2">
            <w:pPr>
              <w:spacing w:line="360" w:lineRule="auto"/>
              <w:rPr>
                <w:rFonts w:hint="eastAsia" w:ascii="宋体" w:hAnsi="宋体" w:eastAsia="宋体" w:cs="宋体"/>
                <w:sz w:val="24"/>
                <w:szCs w:val="24"/>
                <w:vertAlign w:val="baseline"/>
              </w:rPr>
            </w:pPr>
          </w:p>
        </w:tc>
        <w:tc>
          <w:tcPr>
            <w:tcW w:w="1123" w:type="dxa"/>
          </w:tcPr>
          <w:p w14:paraId="0082BB54">
            <w:pPr>
              <w:spacing w:line="360" w:lineRule="auto"/>
              <w:rPr>
                <w:rFonts w:hint="eastAsia" w:ascii="宋体" w:hAnsi="宋体" w:eastAsia="宋体" w:cs="宋体"/>
                <w:sz w:val="24"/>
                <w:szCs w:val="24"/>
                <w:vertAlign w:val="baseline"/>
              </w:rPr>
            </w:pPr>
          </w:p>
        </w:tc>
      </w:tr>
      <w:tr w14:paraId="1FA8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60" w:type="dxa"/>
          </w:tcPr>
          <w:p w14:paraId="59ABD707">
            <w:pPr>
              <w:spacing w:line="360" w:lineRule="auto"/>
              <w:rPr>
                <w:rFonts w:hint="eastAsia" w:ascii="宋体" w:hAnsi="宋体" w:eastAsia="宋体" w:cs="宋体"/>
                <w:sz w:val="24"/>
                <w:szCs w:val="24"/>
                <w:vertAlign w:val="baseline"/>
              </w:rPr>
            </w:pPr>
          </w:p>
        </w:tc>
        <w:tc>
          <w:tcPr>
            <w:tcW w:w="1556" w:type="dxa"/>
          </w:tcPr>
          <w:p w14:paraId="650CE94F">
            <w:pPr>
              <w:spacing w:line="360" w:lineRule="auto"/>
              <w:rPr>
                <w:rFonts w:hint="eastAsia" w:ascii="宋体" w:hAnsi="宋体" w:eastAsia="宋体" w:cs="宋体"/>
                <w:sz w:val="24"/>
                <w:szCs w:val="24"/>
                <w:vertAlign w:val="baseline"/>
              </w:rPr>
            </w:pPr>
          </w:p>
        </w:tc>
        <w:tc>
          <w:tcPr>
            <w:tcW w:w="1089" w:type="dxa"/>
          </w:tcPr>
          <w:p w14:paraId="73CE2BC8">
            <w:pPr>
              <w:spacing w:line="360" w:lineRule="auto"/>
              <w:rPr>
                <w:rFonts w:hint="eastAsia" w:ascii="宋体" w:hAnsi="宋体" w:eastAsia="宋体" w:cs="宋体"/>
                <w:sz w:val="24"/>
                <w:szCs w:val="24"/>
                <w:vertAlign w:val="baseline"/>
              </w:rPr>
            </w:pPr>
          </w:p>
        </w:tc>
        <w:tc>
          <w:tcPr>
            <w:tcW w:w="1089" w:type="dxa"/>
          </w:tcPr>
          <w:p w14:paraId="06C9792F">
            <w:pPr>
              <w:spacing w:line="360" w:lineRule="auto"/>
              <w:rPr>
                <w:rFonts w:hint="eastAsia" w:ascii="宋体" w:hAnsi="宋体" w:eastAsia="宋体" w:cs="宋体"/>
                <w:sz w:val="24"/>
                <w:szCs w:val="24"/>
                <w:vertAlign w:val="baseline"/>
              </w:rPr>
            </w:pPr>
          </w:p>
        </w:tc>
        <w:tc>
          <w:tcPr>
            <w:tcW w:w="1089" w:type="dxa"/>
          </w:tcPr>
          <w:p w14:paraId="17C77067">
            <w:pPr>
              <w:spacing w:line="360" w:lineRule="auto"/>
              <w:rPr>
                <w:rFonts w:hint="eastAsia" w:ascii="宋体" w:hAnsi="宋体" w:eastAsia="宋体" w:cs="宋体"/>
                <w:sz w:val="24"/>
                <w:szCs w:val="24"/>
                <w:vertAlign w:val="baseline"/>
              </w:rPr>
            </w:pPr>
          </w:p>
        </w:tc>
        <w:tc>
          <w:tcPr>
            <w:tcW w:w="1089" w:type="dxa"/>
          </w:tcPr>
          <w:p w14:paraId="43328D87">
            <w:pPr>
              <w:spacing w:line="360" w:lineRule="auto"/>
              <w:rPr>
                <w:rFonts w:hint="eastAsia" w:ascii="宋体" w:hAnsi="宋体" w:eastAsia="宋体" w:cs="宋体"/>
                <w:sz w:val="24"/>
                <w:szCs w:val="24"/>
                <w:vertAlign w:val="baseline"/>
              </w:rPr>
            </w:pPr>
          </w:p>
        </w:tc>
        <w:tc>
          <w:tcPr>
            <w:tcW w:w="1089" w:type="dxa"/>
          </w:tcPr>
          <w:p w14:paraId="6287F404">
            <w:pPr>
              <w:spacing w:line="360" w:lineRule="auto"/>
              <w:rPr>
                <w:rFonts w:hint="eastAsia" w:ascii="宋体" w:hAnsi="宋体" w:eastAsia="宋体" w:cs="宋体"/>
                <w:sz w:val="24"/>
                <w:szCs w:val="24"/>
                <w:vertAlign w:val="baseline"/>
              </w:rPr>
            </w:pPr>
          </w:p>
        </w:tc>
        <w:tc>
          <w:tcPr>
            <w:tcW w:w="1123" w:type="dxa"/>
          </w:tcPr>
          <w:p w14:paraId="4F7B4DB2">
            <w:pPr>
              <w:spacing w:line="360" w:lineRule="auto"/>
              <w:rPr>
                <w:rFonts w:hint="eastAsia" w:ascii="宋体" w:hAnsi="宋体" w:eastAsia="宋体" w:cs="宋体"/>
                <w:sz w:val="24"/>
                <w:szCs w:val="24"/>
                <w:vertAlign w:val="baseline"/>
              </w:rPr>
            </w:pPr>
          </w:p>
        </w:tc>
      </w:tr>
      <w:tr w14:paraId="490F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0" w:type="dxa"/>
          </w:tcPr>
          <w:p w14:paraId="439498C6">
            <w:pPr>
              <w:spacing w:line="360" w:lineRule="auto"/>
              <w:rPr>
                <w:rFonts w:hint="eastAsia" w:ascii="宋体" w:hAnsi="宋体" w:eastAsia="宋体" w:cs="宋体"/>
                <w:sz w:val="24"/>
                <w:szCs w:val="24"/>
                <w:vertAlign w:val="baseline"/>
              </w:rPr>
            </w:pPr>
          </w:p>
        </w:tc>
        <w:tc>
          <w:tcPr>
            <w:tcW w:w="1556" w:type="dxa"/>
          </w:tcPr>
          <w:p w14:paraId="45D83919">
            <w:pPr>
              <w:spacing w:line="360" w:lineRule="auto"/>
              <w:rPr>
                <w:rFonts w:hint="eastAsia" w:ascii="宋体" w:hAnsi="宋体" w:eastAsia="宋体" w:cs="宋体"/>
                <w:sz w:val="24"/>
                <w:szCs w:val="24"/>
                <w:vertAlign w:val="baseline"/>
              </w:rPr>
            </w:pPr>
          </w:p>
        </w:tc>
        <w:tc>
          <w:tcPr>
            <w:tcW w:w="1089" w:type="dxa"/>
          </w:tcPr>
          <w:p w14:paraId="3DD80560">
            <w:pPr>
              <w:spacing w:line="360" w:lineRule="auto"/>
              <w:rPr>
                <w:rFonts w:hint="eastAsia" w:ascii="宋体" w:hAnsi="宋体" w:eastAsia="宋体" w:cs="宋体"/>
                <w:sz w:val="24"/>
                <w:szCs w:val="24"/>
                <w:vertAlign w:val="baseline"/>
              </w:rPr>
            </w:pPr>
          </w:p>
        </w:tc>
        <w:tc>
          <w:tcPr>
            <w:tcW w:w="1089" w:type="dxa"/>
          </w:tcPr>
          <w:p w14:paraId="684EC14B">
            <w:pPr>
              <w:spacing w:line="360" w:lineRule="auto"/>
              <w:rPr>
                <w:rFonts w:hint="eastAsia" w:ascii="宋体" w:hAnsi="宋体" w:eastAsia="宋体" w:cs="宋体"/>
                <w:sz w:val="24"/>
                <w:szCs w:val="24"/>
                <w:vertAlign w:val="baseline"/>
              </w:rPr>
            </w:pPr>
          </w:p>
        </w:tc>
        <w:tc>
          <w:tcPr>
            <w:tcW w:w="1089" w:type="dxa"/>
          </w:tcPr>
          <w:p w14:paraId="05AC11A9">
            <w:pPr>
              <w:spacing w:line="360" w:lineRule="auto"/>
              <w:rPr>
                <w:rFonts w:hint="eastAsia" w:ascii="宋体" w:hAnsi="宋体" w:eastAsia="宋体" w:cs="宋体"/>
                <w:sz w:val="24"/>
                <w:szCs w:val="24"/>
                <w:vertAlign w:val="baseline"/>
              </w:rPr>
            </w:pPr>
          </w:p>
        </w:tc>
        <w:tc>
          <w:tcPr>
            <w:tcW w:w="1089" w:type="dxa"/>
          </w:tcPr>
          <w:p w14:paraId="32C9C6E1">
            <w:pPr>
              <w:spacing w:line="360" w:lineRule="auto"/>
              <w:rPr>
                <w:rFonts w:hint="eastAsia" w:ascii="宋体" w:hAnsi="宋体" w:eastAsia="宋体" w:cs="宋体"/>
                <w:sz w:val="24"/>
                <w:szCs w:val="24"/>
                <w:vertAlign w:val="baseline"/>
              </w:rPr>
            </w:pPr>
          </w:p>
        </w:tc>
        <w:tc>
          <w:tcPr>
            <w:tcW w:w="1089" w:type="dxa"/>
          </w:tcPr>
          <w:p w14:paraId="45F500C5">
            <w:pPr>
              <w:spacing w:line="360" w:lineRule="auto"/>
              <w:rPr>
                <w:rFonts w:hint="eastAsia" w:ascii="宋体" w:hAnsi="宋体" w:eastAsia="宋体" w:cs="宋体"/>
                <w:sz w:val="24"/>
                <w:szCs w:val="24"/>
                <w:vertAlign w:val="baseline"/>
              </w:rPr>
            </w:pPr>
          </w:p>
        </w:tc>
        <w:tc>
          <w:tcPr>
            <w:tcW w:w="1123" w:type="dxa"/>
          </w:tcPr>
          <w:p w14:paraId="4D1969D8">
            <w:pPr>
              <w:spacing w:line="360" w:lineRule="auto"/>
              <w:rPr>
                <w:rFonts w:hint="eastAsia" w:ascii="宋体" w:hAnsi="宋体" w:eastAsia="宋体" w:cs="宋体"/>
                <w:sz w:val="24"/>
                <w:szCs w:val="24"/>
                <w:vertAlign w:val="baseline"/>
              </w:rPr>
            </w:pPr>
          </w:p>
        </w:tc>
      </w:tr>
    </w:tbl>
    <w:p w14:paraId="757DB6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CA08474">
      <w:pPr>
        <w:pageBreakBefore w:val="0"/>
        <w:wordWrap/>
        <w:overflowPunct/>
        <w:topLinePunct w:val="0"/>
        <w:bidi w:val="0"/>
        <w:spacing w:line="560" w:lineRule="exact"/>
        <w:ind w:left="0" w:leftChars="0" w:right="0" w:rightChars="0"/>
        <w:rPr>
          <w:rFonts w:hint="eastAsia" w:ascii="宋体" w:hAnsi="宋体" w:eastAsia="宋体" w:cs="宋体"/>
          <w:b w:val="0"/>
          <w:bCs/>
          <w:color w:val="auto"/>
          <w:kern w:val="2"/>
          <w:sz w:val="24"/>
          <w:szCs w:val="24"/>
          <w:lang w:val="en-US" w:eastAsia="zh-CN" w:bidi="ar-SA"/>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应对照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中技术参数</w:t>
      </w:r>
      <w:r>
        <w:rPr>
          <w:rFonts w:hint="eastAsia" w:ascii="宋体" w:hAnsi="宋体" w:eastAsia="宋体" w:cs="宋体"/>
          <w:color w:val="auto"/>
          <w:sz w:val="24"/>
          <w:szCs w:val="24"/>
          <w:highlight w:val="none"/>
        </w:rPr>
        <w:t>逐项填写，</w:t>
      </w:r>
      <w:r>
        <w:rPr>
          <w:rFonts w:hint="eastAsia" w:ascii="宋体" w:hAnsi="宋体" w:eastAsia="宋体" w:cs="宋体"/>
          <w:color w:val="auto"/>
          <w:sz w:val="24"/>
          <w:szCs w:val="24"/>
          <w:highlight w:val="none"/>
          <w:lang w:val="en-US" w:eastAsia="zh-CN"/>
        </w:rPr>
        <w:t>在“技术需求偏离表”中的“</w:t>
      </w:r>
      <w:r>
        <w:rPr>
          <w:rFonts w:hint="eastAsia" w:ascii="宋体" w:hAnsi="宋体" w:eastAsia="宋体" w:cs="宋体"/>
          <w:color w:val="auto"/>
          <w:sz w:val="24"/>
          <w:szCs w:val="24"/>
          <w:highlight w:val="none"/>
        </w:rPr>
        <w:t>偏离</w:t>
      </w:r>
      <w:r>
        <w:rPr>
          <w:rFonts w:hint="eastAsia" w:ascii="宋体" w:hAnsi="宋体" w:cs="宋体"/>
          <w:color w:val="auto"/>
          <w:sz w:val="24"/>
          <w:szCs w:val="24"/>
          <w:highlight w:val="none"/>
          <w:lang w:val="en-US" w:eastAsia="zh-CN"/>
        </w:rPr>
        <w:t>情况</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注明“正偏离”或</w:t>
      </w:r>
      <w:r>
        <w:rPr>
          <w:rFonts w:hint="eastAsia" w:ascii="宋体" w:hAnsi="宋体" w:cs="宋体"/>
          <w:color w:val="auto"/>
          <w:sz w:val="24"/>
          <w:szCs w:val="24"/>
          <w:highlight w:val="none"/>
          <w:lang w:val="en-US" w:eastAsia="zh-CN"/>
        </w:rPr>
        <w:t>“负偏离”或</w:t>
      </w:r>
      <w:r>
        <w:rPr>
          <w:rFonts w:hint="eastAsia" w:ascii="宋体" w:hAnsi="宋体" w:eastAsia="宋体" w:cs="宋体"/>
          <w:color w:val="auto"/>
          <w:sz w:val="24"/>
          <w:szCs w:val="24"/>
          <w:highlight w:val="none"/>
          <w:lang w:val="en-US" w:eastAsia="zh-CN"/>
        </w:rPr>
        <w:t>“无偏离”，</w:t>
      </w:r>
      <w:r>
        <w:rPr>
          <w:rFonts w:hint="eastAsia" w:ascii="宋体" w:hAnsi="宋体" w:eastAsia="宋体" w:cs="宋体"/>
          <w:color w:val="auto"/>
          <w:sz w:val="24"/>
          <w:szCs w:val="24"/>
          <w:highlight w:val="none"/>
        </w:rPr>
        <w:t>不得虚假响应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GB"/>
        </w:rPr>
        <w:t>投标人</w:t>
      </w:r>
      <w:r>
        <w:rPr>
          <w:rFonts w:hint="eastAsia" w:ascii="宋体" w:hAnsi="宋体" w:eastAsia="宋体" w:cs="宋体"/>
          <w:b w:val="0"/>
          <w:bCs/>
          <w:color w:val="auto"/>
          <w:kern w:val="2"/>
          <w:sz w:val="24"/>
          <w:szCs w:val="24"/>
          <w:lang w:val="en-US" w:eastAsia="zh-CN" w:bidi="ar-SA"/>
        </w:rPr>
        <w:t>对于偏离情况请如实列出，否则根据情况承担相应后果。</w:t>
      </w:r>
    </w:p>
    <w:p w14:paraId="41501822">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（2）签</w:t>
      </w:r>
      <w:r>
        <w:rPr>
          <w:rFonts w:hint="eastAsia" w:ascii="宋体" w:hAnsi="宋体" w:eastAsia="宋体" w:cs="宋体"/>
          <w:b w:val="0"/>
          <w:bCs/>
          <w:color w:val="auto"/>
          <w:kern w:val="2"/>
          <w:sz w:val="24"/>
          <w:szCs w:val="24"/>
          <w:lang w:val="en-US" w:eastAsia="zh-CN" w:bidi="ar-SA"/>
        </w:rPr>
        <w:t>订合同时，</w:t>
      </w:r>
      <w:r>
        <w:rPr>
          <w:rFonts w:hint="eastAsia" w:ascii="宋体" w:hAnsi="宋体" w:eastAsia="宋体" w:cs="宋体"/>
          <w:kern w:val="2"/>
          <w:sz w:val="24"/>
          <w:szCs w:val="24"/>
          <w:lang w:val="en-US" w:eastAsia="zh-CN" w:bidi="ar-SA"/>
        </w:rPr>
        <w:t>对于</w:t>
      </w:r>
      <w:r>
        <w:rPr>
          <w:rFonts w:hint="eastAsia" w:ascii="宋体" w:hAnsi="宋体" w:eastAsia="宋体" w:cs="宋体"/>
          <w:color w:val="auto"/>
          <w:sz w:val="24"/>
          <w:szCs w:val="24"/>
          <w:highlight w:val="none"/>
          <w:lang w:val="en-GB"/>
        </w:rPr>
        <w:t>招标</w:t>
      </w:r>
      <w:r>
        <w:rPr>
          <w:rFonts w:hint="eastAsia" w:ascii="宋体" w:hAnsi="宋体" w:eastAsia="宋体" w:cs="宋体"/>
          <w:kern w:val="2"/>
          <w:sz w:val="24"/>
          <w:szCs w:val="24"/>
          <w:lang w:val="en-US" w:eastAsia="zh-CN" w:bidi="ar-SA"/>
        </w:rPr>
        <w:t>文件中的所有技术条款，除在本表中已列明的所有偏离外，均视作完全响应和满足</w:t>
      </w:r>
      <w:r>
        <w:rPr>
          <w:rFonts w:hint="eastAsia" w:ascii="宋体" w:hAnsi="宋体" w:eastAsia="宋体" w:cs="宋体"/>
          <w:color w:val="auto"/>
          <w:sz w:val="24"/>
          <w:szCs w:val="24"/>
          <w:highlight w:val="none"/>
          <w:lang w:val="en-GB"/>
        </w:rPr>
        <w:t>招标</w:t>
      </w:r>
      <w:r>
        <w:rPr>
          <w:rFonts w:hint="eastAsia" w:ascii="宋体" w:hAnsi="宋体" w:eastAsia="宋体" w:cs="宋体"/>
          <w:kern w:val="2"/>
          <w:sz w:val="24"/>
          <w:szCs w:val="24"/>
          <w:lang w:val="en-US" w:eastAsia="zh-CN" w:bidi="ar-SA"/>
        </w:rPr>
        <w:t>文件中的要求。</w:t>
      </w:r>
    </w:p>
    <w:p w14:paraId="252A34F4">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0B667D02">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5C093A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 月 日</w:t>
      </w:r>
    </w:p>
    <w:p w14:paraId="558B3045">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p>
    <w:p w14:paraId="3B3A9F04">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p>
    <w:p w14:paraId="4F52E015">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p>
    <w:bookmarkEnd w:id="143"/>
    <w:p w14:paraId="2C32285A">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kern w:val="0"/>
          <w:sz w:val="24"/>
          <w:szCs w:val="24"/>
          <w:highlight w:val="none"/>
          <w:lang w:eastAsia="zh-CN"/>
        </w:rPr>
      </w:pPr>
      <w:bookmarkStart w:id="144" w:name="_Toc9179"/>
      <w:bookmarkStart w:id="145" w:name="_Toc13020"/>
      <w:r>
        <w:rPr>
          <w:rFonts w:hint="eastAsia" w:ascii="宋体" w:hAnsi="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lang w:eastAsia="zh-CN"/>
        </w:rPr>
        <w:t>、服务承诺及技术方案</w:t>
      </w:r>
    </w:p>
    <w:bookmarkEnd w:id="144"/>
    <w:bookmarkEnd w:id="145"/>
    <w:p w14:paraId="206615B9">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81FD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投标人应根据本招标文件要求和项目的具体情况，自行编制</w:t>
      </w:r>
      <w:r>
        <w:rPr>
          <w:rFonts w:hint="eastAsia" w:ascii="宋体" w:hAnsi="宋体" w:eastAsia="宋体" w:cs="宋体"/>
          <w:color w:val="auto"/>
          <w:sz w:val="24"/>
          <w:szCs w:val="24"/>
          <w:highlight w:val="none"/>
          <w:lang w:eastAsia="zh-CN"/>
        </w:rPr>
        <w:t>技术方案</w:t>
      </w:r>
      <w:r>
        <w:rPr>
          <w:rFonts w:hint="eastAsia" w:ascii="宋体" w:hAnsi="宋体" w:eastAsia="宋体" w:cs="宋体"/>
          <w:color w:val="auto"/>
          <w:sz w:val="24"/>
          <w:szCs w:val="24"/>
          <w:highlight w:val="none"/>
        </w:rPr>
        <w:t>，格式自拟，但应主要包括以下内容：</w:t>
      </w:r>
    </w:p>
    <w:bookmarkEnd w:id="140"/>
    <w:p w14:paraId="574DDDA9">
      <w:pPr>
        <w:pageBreakBefore w:val="0"/>
        <w:wordWrap/>
        <w:overflowPunct/>
        <w:topLinePunct w:val="0"/>
        <w:bidi w:val="0"/>
        <w:spacing w:line="560" w:lineRule="exact"/>
        <w:ind w:left="0" w:leftChars="0" w:right="0" w:rightChars="0"/>
        <w:rPr>
          <w:rFonts w:hint="eastAsia" w:ascii="宋体" w:hAnsi="宋体" w:eastAsia="宋体" w:cs="宋体"/>
          <w:b/>
          <w:bCs/>
          <w:color w:val="auto"/>
          <w:kern w:val="0"/>
          <w:sz w:val="24"/>
          <w:szCs w:val="24"/>
          <w:highlight w:val="none"/>
          <w:lang w:val="en-US" w:eastAsia="zh-CN"/>
        </w:rPr>
      </w:pPr>
      <w:bookmarkStart w:id="146" w:name="_Toc31271_WPSOffice_Level1"/>
      <w:r>
        <w:rPr>
          <w:rFonts w:hint="eastAsia" w:ascii="宋体" w:hAnsi="宋体" w:eastAsia="宋体" w:cs="宋体"/>
          <w:b/>
          <w:bCs/>
          <w:color w:val="auto"/>
          <w:kern w:val="0"/>
          <w:sz w:val="24"/>
          <w:szCs w:val="24"/>
          <w:highlight w:val="none"/>
          <w:lang w:val="en-US" w:eastAsia="zh-CN"/>
        </w:rPr>
        <w:t xml:space="preserve"> </w:t>
      </w:r>
    </w:p>
    <w:p w14:paraId="5E4E065B">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color w:val="auto"/>
          <w:sz w:val="24"/>
          <w:szCs w:val="24"/>
          <w:highlight w:val="none"/>
        </w:rPr>
        <w:t>项目实施能力、保障措施及实施计划等</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①交货期保证措施；②测试与试运行；③备品备件库；④应急处理方案；</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 xml:space="preserve"> </w:t>
      </w:r>
    </w:p>
    <w:p w14:paraId="154846C7">
      <w:pPr>
        <w:pStyle w:val="1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①服务体系建立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②服务人员</w:t>
      </w:r>
      <w:bookmarkStart w:id="190" w:name="_GoBack"/>
      <w:bookmarkEnd w:id="190"/>
      <w:r>
        <w:rPr>
          <w:rFonts w:hint="eastAsia" w:ascii="宋体" w:hAnsi="宋体" w:eastAsia="宋体" w:cs="宋体"/>
          <w:color w:val="auto"/>
          <w:sz w:val="24"/>
          <w:szCs w:val="24"/>
          <w:highlight w:val="none"/>
          <w:lang w:val="en-US" w:eastAsia="zh-CN"/>
        </w:rPr>
        <w:t>配备情况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维修网点情况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③供应商承诺的服务响应时间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系统定期检查和日常维护的运营保障方案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④驻场运维服务方案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⑤软件/固件维护升级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⑥系统配置与优化调整</w:t>
      </w:r>
      <w:r>
        <w:rPr>
          <w:rFonts w:hint="eastAsia" w:ascii="宋体" w:hAnsi="宋体" w:cs="宋体"/>
          <w:color w:val="auto"/>
          <w:sz w:val="24"/>
          <w:szCs w:val="24"/>
          <w:highlight w:val="none"/>
          <w:lang w:val="en-US" w:eastAsia="zh-CN"/>
        </w:rPr>
        <w:t>）</w:t>
      </w:r>
    </w:p>
    <w:p w14:paraId="3B5C82FF">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kern w:val="0"/>
          <w:sz w:val="24"/>
          <w:szCs w:val="24"/>
          <w:highlight w:val="none"/>
          <w:lang w:val="en-US" w:eastAsia="zh-CN"/>
        </w:rPr>
      </w:pPr>
    </w:p>
    <w:p w14:paraId="1A1A8EBD">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br w:type="page"/>
      </w:r>
    </w:p>
    <w:p w14:paraId="51562457">
      <w:pPr>
        <w:pStyle w:val="14"/>
        <w:pageBreakBefore w:val="0"/>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b/>
          <w:bCs/>
          <w:color w:val="auto"/>
          <w:kern w:val="0"/>
          <w:sz w:val="24"/>
          <w:szCs w:val="24"/>
          <w:highlight w:val="none"/>
        </w:rPr>
      </w:pPr>
      <w:r>
        <w:rPr>
          <w:rFonts w:hint="eastAsia" w:hAnsi="宋体" w:cs="宋体"/>
          <w:b/>
          <w:bCs/>
          <w:color w:val="auto"/>
          <w:kern w:val="0"/>
          <w:sz w:val="24"/>
          <w:szCs w:val="24"/>
          <w:highlight w:val="none"/>
          <w:lang w:val="en-US" w:eastAsia="zh-CN"/>
        </w:rPr>
        <w:t>十</w:t>
      </w:r>
      <w:r>
        <w:rPr>
          <w:rFonts w:hint="eastAsia" w:ascii="宋体" w:hAnsi="宋体" w:eastAsia="宋体" w:cs="宋体"/>
          <w:b/>
          <w:bCs/>
          <w:color w:val="auto"/>
          <w:kern w:val="0"/>
          <w:sz w:val="24"/>
          <w:szCs w:val="24"/>
          <w:highlight w:val="none"/>
        </w:rPr>
        <w:t>、政府采购政策</w:t>
      </w:r>
    </w:p>
    <w:p w14:paraId="0F976DA7">
      <w:pPr>
        <w:pStyle w:val="14"/>
        <w:pageBreakBefore w:val="0"/>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sz w:val="24"/>
          <w:szCs w:val="24"/>
          <w:highlight w:val="none"/>
        </w:rPr>
        <w:t>中小企业声明函</w:t>
      </w:r>
    </w:p>
    <w:p w14:paraId="4DEB5DEE">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rPr>
          <w:rFonts w:hint="eastAsia" w:ascii="宋体" w:hAnsi="宋体" w:eastAsia="宋体" w:cs="宋体"/>
          <w:b w:val="0"/>
          <w:bCs/>
          <w:color w:val="auto"/>
          <w:kern w:val="2"/>
          <w:sz w:val="24"/>
          <w:szCs w:val="24"/>
          <w:highlight w:val="none"/>
          <w:lang w:val="en-US" w:eastAsia="zh-CN" w:bidi="ar-SA"/>
        </w:rPr>
      </w:pPr>
    </w:p>
    <w:p w14:paraId="38A434B5">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color w:val="auto"/>
          <w:kern w:val="2"/>
          <w:sz w:val="24"/>
          <w:szCs w:val="24"/>
          <w:highlight w:val="none"/>
          <w:u w:val="single"/>
          <w:lang w:val="en-US" w:eastAsia="zh-CN" w:bidi="ar-SA"/>
        </w:rPr>
        <w:t>（单位名称）</w:t>
      </w:r>
      <w:r>
        <w:rPr>
          <w:rFonts w:hint="eastAsia" w:ascii="宋体" w:hAnsi="宋体" w:eastAsia="宋体" w:cs="宋体"/>
          <w:b w:val="0"/>
          <w:bCs/>
          <w:color w:val="auto"/>
          <w:kern w:val="2"/>
          <w:sz w:val="24"/>
          <w:szCs w:val="24"/>
          <w:highlight w:val="none"/>
          <w:lang w:val="en-US" w:eastAsia="zh-CN" w:bidi="ar-SA"/>
        </w:rPr>
        <w:t>的</w:t>
      </w:r>
      <w:r>
        <w:rPr>
          <w:rFonts w:hint="eastAsia" w:ascii="宋体" w:hAnsi="宋体" w:eastAsia="宋体" w:cs="宋体"/>
          <w:b w:val="0"/>
          <w:bCs/>
          <w:color w:val="auto"/>
          <w:kern w:val="2"/>
          <w:sz w:val="24"/>
          <w:szCs w:val="24"/>
          <w:highlight w:val="none"/>
          <w:u w:val="single"/>
          <w:lang w:val="en-US" w:eastAsia="zh-CN" w:bidi="ar-SA"/>
        </w:rPr>
        <w:t>（项目名称）</w:t>
      </w:r>
      <w:r>
        <w:rPr>
          <w:rFonts w:hint="eastAsia" w:ascii="宋体" w:hAnsi="宋体" w:eastAsia="宋体" w:cs="宋体"/>
          <w:b w:val="0"/>
          <w:bCs/>
          <w:color w:val="auto"/>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14:paraId="6B21342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600" w:leftChars="0" w:right="420" w:rightChars="200" w:firstLine="42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 xml:space="preserve">（标的名称） </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（采购文件中明确的所属行业）</w:t>
      </w:r>
      <w:r>
        <w:rPr>
          <w:rFonts w:hint="eastAsia" w:ascii="宋体" w:hAnsi="宋体" w:eastAsia="宋体" w:cs="宋体"/>
          <w:b w:val="0"/>
          <w:bCs/>
          <w:color w:val="auto"/>
          <w:kern w:val="2"/>
          <w:sz w:val="24"/>
          <w:szCs w:val="24"/>
          <w:highlight w:val="none"/>
          <w:lang w:val="en-US" w:eastAsia="zh-CN" w:bidi="ar-SA"/>
        </w:rPr>
        <w:t>； 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万元，属于（</w:t>
      </w:r>
      <w:r>
        <w:rPr>
          <w:rFonts w:hint="eastAsia" w:ascii="宋体" w:hAnsi="宋体" w:eastAsia="宋体" w:cs="宋体"/>
          <w:b w:val="0"/>
          <w:bCs/>
          <w:color w:val="auto"/>
          <w:kern w:val="2"/>
          <w:sz w:val="24"/>
          <w:szCs w:val="24"/>
          <w:highlight w:val="none"/>
          <w:u w:val="single"/>
          <w:lang w:val="en-US" w:eastAsia="zh-CN" w:bidi="ar-SA"/>
        </w:rPr>
        <w:t>中型企业、 小型企业、微型企业</w:t>
      </w:r>
      <w:r>
        <w:rPr>
          <w:rFonts w:hint="eastAsia" w:ascii="宋体" w:hAnsi="宋体" w:eastAsia="宋体" w:cs="宋体"/>
          <w:b w:val="0"/>
          <w:bCs/>
          <w:color w:val="auto"/>
          <w:kern w:val="2"/>
          <w:sz w:val="24"/>
          <w:szCs w:val="24"/>
          <w:highlight w:val="none"/>
          <w:lang w:val="en-US" w:eastAsia="zh-CN" w:bidi="ar-SA"/>
        </w:rPr>
        <w:t>）；</w:t>
      </w:r>
    </w:p>
    <w:p w14:paraId="26897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00" w:leftChars="0" w:right="420" w:rightChars="200" w:firstLine="42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2.</w:t>
      </w:r>
      <w:r>
        <w:rPr>
          <w:rFonts w:hint="eastAsia" w:ascii="宋体" w:hAnsi="宋体" w:eastAsia="宋体" w:cs="宋体"/>
          <w:b w:val="0"/>
          <w:bCs/>
          <w:color w:val="auto"/>
          <w:kern w:val="2"/>
          <w:sz w:val="24"/>
          <w:szCs w:val="24"/>
          <w:highlight w:val="none"/>
          <w:u w:val="single"/>
          <w:lang w:val="en-US" w:eastAsia="zh-CN" w:bidi="ar-SA"/>
        </w:rPr>
        <w:t xml:space="preserve"> （标的名称） </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（采购文件中明确的所属行业）</w:t>
      </w:r>
      <w:r>
        <w:rPr>
          <w:rFonts w:hint="eastAsia" w:ascii="宋体" w:hAnsi="宋体" w:eastAsia="宋体" w:cs="宋体"/>
          <w:b w:val="0"/>
          <w:bCs/>
          <w:color w:val="auto"/>
          <w:kern w:val="2"/>
          <w:sz w:val="24"/>
          <w:szCs w:val="24"/>
          <w:highlight w:val="none"/>
          <w:lang w:val="en-US" w:eastAsia="zh-CN" w:bidi="ar-SA"/>
        </w:rPr>
        <w:t>； 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 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万元，属于</w:t>
      </w:r>
      <w:r>
        <w:rPr>
          <w:rFonts w:hint="eastAsia" w:ascii="宋体" w:hAnsi="宋体" w:eastAsia="宋体" w:cs="宋体"/>
          <w:b w:val="0"/>
          <w:bCs/>
          <w:color w:val="auto"/>
          <w:kern w:val="2"/>
          <w:sz w:val="24"/>
          <w:szCs w:val="24"/>
          <w:highlight w:val="none"/>
          <w:u w:val="single"/>
          <w:lang w:val="en-US" w:eastAsia="zh-CN" w:bidi="ar-SA"/>
        </w:rPr>
        <w:t>（中型企业、 小型企业、微型企业）</w:t>
      </w:r>
      <w:r>
        <w:rPr>
          <w:rFonts w:hint="eastAsia" w:ascii="宋体" w:hAnsi="宋体" w:eastAsia="宋体" w:cs="宋体"/>
          <w:b w:val="0"/>
          <w:bCs/>
          <w:color w:val="auto"/>
          <w:kern w:val="2"/>
          <w:sz w:val="24"/>
          <w:szCs w:val="24"/>
          <w:highlight w:val="none"/>
          <w:lang w:val="en-US" w:eastAsia="zh-CN" w:bidi="ar-SA"/>
        </w:rPr>
        <w:t>；</w:t>
      </w:r>
    </w:p>
    <w:p w14:paraId="56E57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00" w:leftChars="0" w:right="420" w:rightChars="200" w:firstLine="42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w:t>
      </w:r>
    </w:p>
    <w:p w14:paraId="687A9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00" w:leftChars="0" w:right="420" w:rightChars="200" w:firstLine="42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10A1D00">
      <w:pPr>
        <w:keepNext w:val="0"/>
        <w:keepLines w:val="0"/>
        <w:pageBreakBefore w:val="0"/>
        <w:widowControl w:val="0"/>
        <w:kinsoku/>
        <w:wordWrap/>
        <w:overflowPunct/>
        <w:topLinePunct w:val="0"/>
        <w:autoSpaceDE/>
        <w:autoSpaceDN/>
        <w:bidi w:val="0"/>
        <w:adjustRightInd/>
        <w:snapToGrid/>
        <w:spacing w:line="360" w:lineRule="auto"/>
        <w:ind w:right="420" w:rightChars="200"/>
        <w:textAlignment w:val="auto"/>
        <w:rPr>
          <w:rFonts w:hint="eastAsia" w:ascii="宋体" w:hAnsi="宋体" w:eastAsia="宋体" w:cs="宋体"/>
          <w:b w:val="0"/>
          <w:bCs/>
          <w:kern w:val="2"/>
          <w:sz w:val="24"/>
          <w:szCs w:val="24"/>
          <w:highlight w:val="none"/>
          <w:lang w:val="en-US" w:eastAsia="zh-CN" w:bidi="ar-SA"/>
        </w:rPr>
      </w:pPr>
    </w:p>
    <w:p w14:paraId="427A69C3">
      <w:pPr>
        <w:keepNext w:val="0"/>
        <w:keepLines w:val="0"/>
        <w:pageBreakBefore w:val="0"/>
        <w:widowControl w:val="0"/>
        <w:kinsoku/>
        <w:wordWrap/>
        <w:overflowPunct/>
        <w:topLinePunct w:val="0"/>
        <w:autoSpaceDE/>
        <w:autoSpaceDN/>
        <w:bidi w:val="0"/>
        <w:adjustRightInd/>
        <w:snapToGrid/>
        <w:spacing w:line="360" w:lineRule="auto"/>
        <w:ind w:right="420" w:rightChars="200" w:firstLine="4320" w:firstLineChars="1800"/>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企业名称（盖章）： </w:t>
      </w:r>
    </w:p>
    <w:p w14:paraId="25BE0EFE">
      <w:pPr>
        <w:spacing w:line="360" w:lineRule="auto"/>
        <w:ind w:firstLine="480"/>
        <w:jc w:val="center"/>
        <w:rPr>
          <w:rFonts w:hint="eastAsia" w:ascii="宋体" w:hAnsi="宋体" w:eastAsia="宋体" w:cs="宋体"/>
          <w:sz w:val="24"/>
          <w:szCs w:val="24"/>
        </w:rPr>
      </w:pPr>
      <w:r>
        <w:rPr>
          <w:rFonts w:hint="eastAsia" w:ascii="宋体" w:hAnsi="宋体" w:eastAsia="宋体" w:cs="宋体"/>
          <w:b w:val="0"/>
          <w:bCs/>
          <w:kern w:val="2"/>
          <w:sz w:val="24"/>
          <w:szCs w:val="24"/>
          <w:highlight w:val="none"/>
          <w:lang w:val="en-US" w:eastAsia="zh-CN" w:bidi="ar-SA"/>
        </w:rPr>
        <w:t xml:space="preserve">  </w:t>
      </w:r>
      <w:r>
        <w:rPr>
          <w:rFonts w:hint="eastAsia" w:ascii="宋体" w:hAnsi="宋体" w:cs="宋体"/>
          <w:b w:val="0"/>
          <w:bCs/>
          <w:kern w:val="2"/>
          <w:sz w:val="24"/>
          <w:szCs w:val="24"/>
          <w:highlight w:val="none"/>
          <w:lang w:val="en-US" w:eastAsia="zh-CN" w:bidi="ar-SA"/>
        </w:rPr>
        <w:t xml:space="preserve">  </w:t>
      </w:r>
      <w:r>
        <w:rPr>
          <w:rFonts w:hint="eastAsia" w:ascii="宋体" w:hAnsi="宋体" w:eastAsia="宋体" w:cs="宋体"/>
          <w:b w:val="0"/>
          <w:bCs/>
          <w:kern w:val="2"/>
          <w:sz w:val="24"/>
          <w:szCs w:val="24"/>
          <w:highlight w:val="none"/>
          <w:lang w:val="en-US" w:eastAsia="zh-CN" w:bidi="ar-SA"/>
        </w:rPr>
        <w:t>日 期：</w:t>
      </w:r>
    </w:p>
    <w:p w14:paraId="3E309EF5">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5A7D4F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A818B6D">
      <w:pPr>
        <w:pStyle w:val="10"/>
        <w:jc w:val="center"/>
        <w:rPr>
          <w:rFonts w:hint="eastAsia"/>
          <w:b/>
          <w:bCs/>
          <w:color w:val="auto"/>
          <w:sz w:val="28"/>
          <w:szCs w:val="36"/>
          <w:highlight w:val="none"/>
          <w:lang w:val="en-US" w:eastAsia="zh-CN"/>
        </w:rPr>
      </w:pPr>
      <w:r>
        <w:rPr>
          <w:rFonts w:hint="eastAsia"/>
          <w:b/>
          <w:bCs/>
          <w:color w:val="auto"/>
          <w:sz w:val="28"/>
          <w:szCs w:val="36"/>
          <w:highlight w:val="none"/>
          <w:lang w:val="en-US" w:eastAsia="zh-CN"/>
        </w:rPr>
        <w:t>特别说明</w:t>
      </w:r>
    </w:p>
    <w:p w14:paraId="08CC3CD9">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（1）以上《中小企业声明函》只须填写所投产品的制造商</w:t>
      </w:r>
      <w:r>
        <w:rPr>
          <w:rFonts w:hint="eastAsia" w:hAnsi="宋体" w:cs="宋体"/>
          <w:color w:val="auto"/>
          <w:sz w:val="24"/>
          <w:szCs w:val="24"/>
          <w:highlight w:val="none"/>
          <w:lang w:val="en-US" w:eastAsia="zh-CN"/>
        </w:rPr>
        <w:t>名称及相关信息</w:t>
      </w:r>
      <w:r>
        <w:rPr>
          <w:rFonts w:hint="eastAsia" w:ascii="宋体" w:hAnsi="宋体" w:eastAsia="宋体" w:cs="宋体"/>
          <w:color w:val="auto"/>
          <w:sz w:val="24"/>
          <w:szCs w:val="24"/>
          <w:highlight w:val="none"/>
          <w:lang w:val="en-US" w:eastAsia="zh-CN"/>
        </w:rPr>
        <w:t>。</w:t>
      </w:r>
    </w:p>
    <w:p w14:paraId="59163917">
      <w:pPr>
        <w:pStyle w:val="14"/>
        <w:pageBreakBefore w:val="0"/>
        <w:wordWrap/>
        <w:overflowPunct/>
        <w:topLinePunct w:val="0"/>
        <w:bidi w:val="0"/>
        <w:spacing w:line="560" w:lineRule="exact"/>
        <w:ind w:left="0" w:leftChars="0" w:right="0" w:righ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w:t>
      </w:r>
      <w:r>
        <w:rPr>
          <w:rFonts w:hint="eastAsia"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工业行业</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投标人须明确所投产品制造商的从业人员、</w:t>
      </w:r>
      <w:r>
        <w:rPr>
          <w:rFonts w:hint="eastAsia" w:ascii="宋体" w:hAnsi="宋体" w:eastAsia="宋体" w:cs="宋体"/>
          <w:color w:val="auto"/>
          <w:sz w:val="24"/>
          <w:szCs w:val="24"/>
          <w:highlight w:val="none"/>
        </w:rPr>
        <w:t>营业收入、资产总额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属于中型企业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小型企业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微型企业</w:t>
      </w:r>
      <w:r>
        <w:rPr>
          <w:rFonts w:hint="eastAsia" w:hAnsi="宋体" w:cs="宋体"/>
          <w:color w:val="auto"/>
          <w:sz w:val="24"/>
          <w:szCs w:val="24"/>
          <w:highlight w:val="none"/>
          <w:lang w:val="en-US" w:eastAsia="zh-CN"/>
        </w:rPr>
        <w:t>（只能填一项）</w:t>
      </w:r>
      <w:r>
        <w:rPr>
          <w:rFonts w:hint="eastAsia" w:ascii="宋体" w:hAnsi="宋体" w:eastAsia="宋体" w:cs="宋体"/>
          <w:color w:val="auto"/>
          <w:sz w:val="24"/>
          <w:szCs w:val="24"/>
          <w:highlight w:val="none"/>
          <w:lang w:val="en-US" w:eastAsia="zh-CN"/>
        </w:rPr>
        <w:t>，未明确的，《中小企业声明函》按无效处理。</w:t>
      </w:r>
    </w:p>
    <w:p w14:paraId="2085DCEA">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（3）本项目含多个标的，须逐一明确每个标的制造商的中小微企业情况。所有标的均由小微企业制造的，方可享受10%的价格扣除优惠。若有一个标的为非小微企业制造，不可享受价格扣除优惠政策</w:t>
      </w:r>
      <w:r>
        <w:rPr>
          <w:rFonts w:hint="eastAsia" w:hAnsi="宋体" w:cs="宋体"/>
          <w:color w:val="auto"/>
          <w:sz w:val="24"/>
          <w:szCs w:val="24"/>
          <w:highlight w:val="none"/>
          <w:lang w:val="en-US" w:eastAsia="zh-CN"/>
        </w:rPr>
        <w:t>，中型企业不享受价格扣除优惠政策</w:t>
      </w:r>
      <w:r>
        <w:rPr>
          <w:rFonts w:hint="eastAsia" w:ascii="宋体" w:hAnsi="宋体" w:eastAsia="宋体" w:cs="宋体"/>
          <w:color w:val="auto"/>
          <w:sz w:val="24"/>
          <w:szCs w:val="24"/>
          <w:highlight w:val="none"/>
          <w:lang w:val="en-US" w:eastAsia="zh-CN"/>
        </w:rPr>
        <w:t>。</w:t>
      </w:r>
    </w:p>
    <w:p w14:paraId="06E0F0C1">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（4）相关中小企业政策，详见本招标文件附件1、附件2及附件3。</w:t>
      </w:r>
    </w:p>
    <w:p w14:paraId="1844B247">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（5）不符合中小企业相关优惠政策的，可不填写本《中小企业声明函》。</w:t>
      </w:r>
    </w:p>
    <w:p w14:paraId="577B4150">
      <w:pPr>
        <w:pStyle w:val="14"/>
        <w:pageBreakBefore w:val="0"/>
        <w:wordWrap/>
        <w:overflowPunct/>
        <w:topLinePunct w:val="0"/>
        <w:bidi w:val="0"/>
        <w:spacing w:line="560" w:lineRule="exact"/>
        <w:ind w:right="0" w:rightChars="0" w:firstLine="480" w:firstLineChars="20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《中小企业声明函》</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企业名称（盖章）</w:t>
      </w:r>
      <w:r>
        <w:rPr>
          <w:rFonts w:hint="eastAsia" w:hAnsi="宋体" w:cs="宋体"/>
          <w:color w:val="auto"/>
          <w:sz w:val="24"/>
          <w:szCs w:val="24"/>
          <w:highlight w:val="none"/>
          <w:lang w:eastAsia="zh-CN"/>
        </w:rPr>
        <w:t>”为投标人名称及盖章，</w:t>
      </w:r>
      <w:r>
        <w:rPr>
          <w:rFonts w:hint="eastAsia" w:hAnsi="宋体" w:cs="宋体"/>
          <w:color w:val="auto"/>
          <w:sz w:val="24"/>
          <w:szCs w:val="24"/>
          <w:highlight w:val="none"/>
          <w:lang w:val="en-US" w:eastAsia="zh-CN"/>
        </w:rPr>
        <w:t>非制造商名称及盖章。</w:t>
      </w:r>
    </w:p>
    <w:p w14:paraId="6478BC8F">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5046E35B">
      <w:pPr>
        <w:pStyle w:val="14"/>
        <w:pageBreakBefore w:val="0"/>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中小企业声明函</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示例</w:t>
      </w:r>
      <w:r>
        <w:rPr>
          <w:rFonts w:hint="eastAsia" w:hAnsi="宋体" w:cs="宋体"/>
          <w:b/>
          <w:bCs/>
          <w:color w:val="auto"/>
          <w:sz w:val="24"/>
          <w:szCs w:val="24"/>
          <w:highlight w:val="none"/>
          <w:lang w:eastAsia="zh-CN"/>
        </w:rPr>
        <w:t>）</w:t>
      </w:r>
    </w:p>
    <w:p w14:paraId="2C2459D0">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 xml:space="preserve"> 新疆维吾尔自治区中医医院</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新疆维吾尔自治区中医医院监控设备采购安装项目</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采购活动，服务全部由符合政策要求的中小企业承接）。相关企业（含联合体中的中小企业、签订分包意向协议的中小企业）的具体情况如下：</w:t>
      </w:r>
    </w:p>
    <w:p w14:paraId="77044A00">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（标的名称）</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；承建（承接）企业为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lang w:val="en-US" w:eastAsia="zh-CN"/>
        </w:rPr>
        <w:t>）；</w:t>
      </w:r>
    </w:p>
    <w:p w14:paraId="11D19B5B">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u w:val="single"/>
          <w:lang w:val="en-US" w:eastAsia="zh-CN"/>
        </w:rPr>
        <w:t>（标的名称）</w:t>
      </w:r>
      <w:r>
        <w:rPr>
          <w:rFonts w:hint="eastAsia" w:ascii="宋体" w:hAnsi="宋体" w:eastAsia="宋体" w:cs="宋体"/>
          <w:color w:val="auto"/>
          <w:sz w:val="24"/>
          <w:szCs w:val="24"/>
          <w:highlight w:val="none"/>
          <w:lang w:val="en-US" w:eastAsia="zh-CN"/>
        </w:rPr>
        <w:t>，属于（采购文件中明确的所属行业）；承建（承接）企业为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 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lang w:val="en-US" w:eastAsia="zh-CN"/>
        </w:rPr>
        <w:t>；</w:t>
      </w:r>
    </w:p>
    <w:p w14:paraId="1B93DEAA">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204C550">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0FC0B40A">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p>
    <w:p w14:paraId="5A770435">
      <w:pPr>
        <w:pStyle w:val="14"/>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企业名称（盖章）： </w:t>
      </w:r>
    </w:p>
    <w:p w14:paraId="0A253857">
      <w:pPr>
        <w:pStyle w:val="14"/>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w:t>
      </w:r>
    </w:p>
    <w:p w14:paraId="1ACB6DEE">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F95250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D83EFC0">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p>
    <w:p w14:paraId="73611E20">
      <w:pPr>
        <w:pageBreakBefore w:val="0"/>
        <w:wordWrap/>
        <w:overflowPunct/>
        <w:topLinePunct w:val="0"/>
        <w:bidi w:val="0"/>
        <w:spacing w:line="560" w:lineRule="exact"/>
        <w:ind w:left="0" w:leftChars="0" w:right="0" w:rightChars="0"/>
        <w:rPr>
          <w:rFonts w:hint="eastAsia" w:ascii="宋体" w:hAnsi="宋体" w:eastAsia="宋体" w:cs="宋体"/>
          <w:b/>
          <w:color w:val="auto"/>
          <w:spacing w:val="6"/>
          <w:sz w:val="24"/>
          <w:szCs w:val="24"/>
          <w:highlight w:val="none"/>
        </w:rPr>
      </w:pPr>
    </w:p>
    <w:p w14:paraId="02C34D72">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03B09375">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7CA36F3">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1CC0EFAD">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4139BBDD">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13E9F330">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49ED6A0A">
      <w:pPr>
        <w:pageBreakBefore w:val="0"/>
        <w:widowControl/>
        <w:wordWrap/>
        <w:overflowPunct/>
        <w:topLinePunct w:val="0"/>
        <w:bidi w:val="0"/>
        <w:adjustRightInd w:val="0"/>
        <w:snapToGrid w:val="0"/>
        <w:spacing w:line="560" w:lineRule="exact"/>
        <w:ind w:left="0" w:leftChars="0" w:right="0" w:rightChars="0"/>
        <w:rPr>
          <w:rFonts w:hint="eastAsia" w:ascii="宋体" w:hAnsi="宋体" w:eastAsia="宋体" w:cs="宋体"/>
          <w:color w:val="auto"/>
          <w:sz w:val="24"/>
          <w:szCs w:val="24"/>
          <w:highlight w:val="none"/>
        </w:rPr>
      </w:pPr>
    </w:p>
    <w:p w14:paraId="730F1DEB">
      <w:pPr>
        <w:pageBreakBefore w:val="0"/>
        <w:wordWrap/>
        <w:overflowPunct/>
        <w:topLinePunct w:val="0"/>
        <w:bidi w:val="0"/>
        <w:spacing w:line="560" w:lineRule="exact"/>
        <w:ind w:left="0" w:leftChars="0" w:right="0" w:rightChars="0"/>
        <w:jc w:val="left"/>
        <w:rPr>
          <w:rFonts w:hint="eastAsia" w:ascii="宋体" w:hAnsi="宋体" w:eastAsia="宋体" w:cs="宋体"/>
          <w:bCs/>
          <w:color w:val="auto"/>
          <w:sz w:val="24"/>
          <w:szCs w:val="24"/>
          <w:highlight w:val="none"/>
        </w:rPr>
      </w:pPr>
    </w:p>
    <w:p w14:paraId="50DB20B9">
      <w:pPr>
        <w:pageBreakBefore w:val="0"/>
        <w:widowControl/>
        <w:wordWrap/>
        <w:overflowPunct/>
        <w:topLinePunct w:val="0"/>
        <w:bidi w:val="0"/>
        <w:spacing w:line="5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E0BE911">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2AD2FBCD">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3A087F98">
      <w:pPr>
        <w:pageBreakBefore w:val="0"/>
        <w:widowControl/>
        <w:wordWrap/>
        <w:overflowPunct/>
        <w:topLinePunct w:val="0"/>
        <w:bidi w:val="0"/>
        <w:spacing w:line="560" w:lineRule="exact"/>
        <w:ind w:left="0" w:leftChars="0" w:right="0" w:rightChars="0"/>
        <w:jc w:val="center"/>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6A45E578">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p>
    <w:p w14:paraId="3461147E">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3363DE6">
      <w:pPr>
        <w:pStyle w:val="14"/>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31BE26E9">
      <w:pPr>
        <w:pStyle w:val="29"/>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kern w:val="0"/>
          <w:sz w:val="24"/>
          <w:szCs w:val="24"/>
          <w:highlight w:val="none"/>
        </w:rPr>
      </w:pPr>
    </w:p>
    <w:p w14:paraId="4844AE92">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lang w:val="en-US" w:eastAsia="zh-CN"/>
        </w:rPr>
        <w:t>十</w:t>
      </w:r>
      <w:r>
        <w:rPr>
          <w:rFonts w:hint="eastAsia" w:hAnsi="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投标人认为需要提供的资料</w:t>
      </w:r>
    </w:p>
    <w:p w14:paraId="2860A228">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投标保证金缴纳凭证</w:t>
      </w:r>
    </w:p>
    <w:p w14:paraId="515DC653">
      <w:pPr>
        <w:pStyle w:val="14"/>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4"/>
      </w:tblGrid>
      <w:tr w14:paraId="51493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2" w:type="dxa"/>
            <w:tcBorders>
              <w:top w:val="single" w:color="auto" w:sz="4" w:space="0"/>
              <w:bottom w:val="single" w:color="auto" w:sz="4" w:space="0"/>
            </w:tcBorders>
            <w:vAlign w:val="center"/>
          </w:tcPr>
          <w:p w14:paraId="0B766C42">
            <w:pPr>
              <w:pStyle w:val="14"/>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r>
    </w:tbl>
    <w:p w14:paraId="76E3A1A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0ED30303">
      <w:pPr>
        <w:pStyle w:val="14"/>
        <w:pageBreakBefore w:val="0"/>
        <w:wordWrap/>
        <w:overflowPunct/>
        <w:topLinePunct w:val="0"/>
        <w:bidi w:val="0"/>
        <w:spacing w:line="560" w:lineRule="exact"/>
        <w:ind w:left="0" w:leftChars="0" w:right="0" w:rightChars="0"/>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（二）其他</w:t>
      </w:r>
    </w:p>
    <w:p w14:paraId="54B32C1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应当仔细核对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认为应当附加</w:t>
      </w:r>
      <w:r>
        <w:rPr>
          <w:rFonts w:hint="eastAsia" w:ascii="宋体" w:hAnsi="宋体" w:cs="宋体"/>
          <w:color w:val="auto"/>
          <w:sz w:val="24"/>
          <w:szCs w:val="24"/>
          <w:highlight w:val="none"/>
          <w:lang w:eastAsia="zh-CN"/>
        </w:rPr>
        <w:t>的其他内容</w:t>
      </w:r>
      <w:r>
        <w:rPr>
          <w:rFonts w:hint="eastAsia" w:ascii="宋体" w:hAnsi="宋体" w:eastAsia="宋体" w:cs="宋体"/>
          <w:color w:val="auto"/>
          <w:sz w:val="24"/>
          <w:szCs w:val="24"/>
          <w:highlight w:val="none"/>
        </w:rPr>
        <w:t>，以充分证明其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要求，并为评审提供充分依据。</w:t>
      </w:r>
    </w:p>
    <w:p w14:paraId="0448F572">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0F954F0B">
      <w:pPr>
        <w:pageBreakBefore w:val="0"/>
        <w:widowControl/>
        <w:shd w:val="clear" w:color="auto" w:fill="FFFFFF"/>
        <w:wordWrap/>
        <w:overflowPunct/>
        <w:topLinePunct w:val="0"/>
        <w:bidi w:val="0"/>
        <w:spacing w:line="560" w:lineRule="exact"/>
        <w:ind w:left="0" w:leftChars="0" w:right="0" w:rightChars="0"/>
        <w:jc w:val="left"/>
        <w:rPr>
          <w:rFonts w:hint="eastAsia" w:ascii="宋体" w:hAnsi="宋体" w:eastAsia="宋体" w:cs="宋体"/>
          <w:color w:val="auto"/>
          <w:kern w:val="0"/>
          <w:sz w:val="24"/>
          <w:szCs w:val="24"/>
          <w:highlight w:val="none"/>
        </w:rPr>
      </w:pPr>
    </w:p>
    <w:p w14:paraId="50BB1385">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85A64D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06860F91">
      <w:pPr>
        <w:pStyle w:val="85"/>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jc w:val="center"/>
        <w:textAlignment w:val="auto"/>
        <w:outlineLvl w:val="0"/>
        <w:rPr>
          <w:rFonts w:hint="eastAsia" w:ascii="宋体" w:hAnsi="宋体" w:eastAsia="宋体" w:cs="宋体"/>
          <w:b/>
          <w:color w:val="auto"/>
          <w:sz w:val="24"/>
          <w:szCs w:val="24"/>
          <w:highlight w:val="none"/>
          <w:lang w:eastAsia="zh-CN"/>
        </w:rPr>
        <w:sectPr>
          <w:headerReference r:id="rId5" w:type="default"/>
          <w:footerReference r:id="rId6" w:type="default"/>
          <w:pgSz w:w="11906" w:h="16839"/>
          <w:pgMar w:top="1431" w:right="1553" w:bottom="1376" w:left="1785" w:header="0" w:footer="1212" w:gutter="0"/>
          <w:pgNumType w:fmt="decimal"/>
          <w:cols w:space="720" w:num="1"/>
        </w:sectPr>
      </w:pPr>
    </w:p>
    <w:p w14:paraId="044F8D05">
      <w:pPr>
        <w:pStyle w:val="85"/>
        <w:keepNext w:val="0"/>
        <w:keepLines w:val="0"/>
        <w:pageBreakBefore w:val="0"/>
        <w:widowControl/>
        <w:numPr>
          <w:ilvl w:val="0"/>
          <w:numId w:val="13"/>
        </w:numPr>
        <w:kinsoku/>
        <w:wordWrap/>
        <w:overflowPunct/>
        <w:topLinePunct w:val="0"/>
        <w:autoSpaceDE/>
        <w:autoSpaceDN/>
        <w:bidi w:val="0"/>
        <w:adjustRightInd/>
        <w:snapToGrid/>
        <w:spacing w:after="0" w:line="560" w:lineRule="exact"/>
        <w:ind w:leftChars="0" w:right="0" w:rightChars="0"/>
        <w:jc w:val="center"/>
        <w:textAlignment w:val="auto"/>
        <w:outlineLvl w:val="0"/>
        <w:rPr>
          <w:rFonts w:hint="eastAsia" w:ascii="宋体" w:hAnsi="宋体" w:eastAsia="宋体" w:cs="宋体"/>
          <w:b/>
          <w:bCs/>
          <w:color w:val="auto"/>
          <w:kern w:val="2"/>
          <w:sz w:val="24"/>
          <w:szCs w:val="24"/>
          <w:highlight w:val="none"/>
          <w:lang w:eastAsia="zh-CN"/>
        </w:rPr>
      </w:pPr>
      <w:bookmarkStart w:id="147" w:name="_Toc11726"/>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2"/>
          <w:sz w:val="24"/>
          <w:szCs w:val="24"/>
          <w:highlight w:val="none"/>
          <w:lang w:eastAsia="zh-CN"/>
        </w:rPr>
        <w:t xml:space="preserve"> 项目采购需求</w:t>
      </w:r>
      <w:bookmarkEnd w:id="147"/>
    </w:p>
    <w:p w14:paraId="7D347FB6">
      <w:pPr>
        <w:jc w:val="center"/>
        <w:rPr>
          <w:rFonts w:hint="eastAsia" w:eastAsia="宋体" w:asciiTheme="majorHAnsi" w:hAnsiTheme="majorHAnsi" w:cstheme="majorBidi"/>
          <w:bCs/>
          <w:snapToGrid w:val="0"/>
          <w:sz w:val="28"/>
          <w:szCs w:val="28"/>
        </w:rPr>
      </w:pPr>
    </w:p>
    <w:p w14:paraId="5238357C">
      <w:pPr>
        <w:jc w:val="center"/>
        <w:rPr>
          <w:rFonts w:eastAsia="宋体" w:asciiTheme="majorHAnsi" w:hAnsiTheme="majorHAnsi" w:cstheme="majorBidi"/>
          <w:bCs/>
          <w:snapToGrid w:val="0"/>
          <w:sz w:val="28"/>
          <w:szCs w:val="28"/>
        </w:rPr>
      </w:pPr>
      <w:r>
        <w:rPr>
          <w:rFonts w:hint="eastAsia" w:eastAsia="宋体" w:asciiTheme="majorHAnsi" w:hAnsiTheme="majorHAnsi" w:cstheme="majorBidi"/>
          <w:bCs/>
          <w:snapToGrid w:val="0"/>
          <w:sz w:val="28"/>
          <w:szCs w:val="28"/>
        </w:rPr>
        <w:t>自治区中医院安防系统升级要求</w:t>
      </w:r>
    </w:p>
    <w:p w14:paraId="435EF8AD">
      <w:pPr>
        <w:rPr>
          <w:rFonts w:ascii="宋体" w:hAnsi="宋体" w:eastAsia="宋体"/>
          <w:b w:val="0"/>
          <w:sz w:val="28"/>
          <w:szCs w:val="28"/>
        </w:rPr>
      </w:pPr>
      <w:r>
        <w:rPr>
          <w:rFonts w:hint="eastAsia" w:ascii="宋体" w:hAnsi="宋体" w:eastAsia="宋体"/>
          <w:b w:val="0"/>
          <w:sz w:val="28"/>
          <w:szCs w:val="28"/>
        </w:rPr>
        <w:t>一、系统要求</w:t>
      </w:r>
    </w:p>
    <w:p w14:paraId="4CAE0F3B">
      <w:pPr>
        <w:ind w:firstLine="560" w:firstLineChars="200"/>
        <w:rPr>
          <w:rFonts w:ascii="宋体" w:hAnsi="宋体" w:eastAsia="宋体"/>
          <w:b w:val="0"/>
          <w:sz w:val="28"/>
          <w:szCs w:val="28"/>
        </w:rPr>
      </w:pPr>
      <w:r>
        <w:rPr>
          <w:rFonts w:hint="eastAsia" w:ascii="宋体" w:hAnsi="宋体" w:eastAsia="宋体"/>
          <w:b w:val="0"/>
          <w:sz w:val="28"/>
          <w:szCs w:val="28"/>
        </w:rPr>
        <w:t>自治区中医医院各楼层安全通道楼梯无视频监控设备，存在安全隐患。现需对各楼各楼层楼梯通道安装监控设备，补充监控画面。</w:t>
      </w:r>
    </w:p>
    <w:p w14:paraId="57C4904D">
      <w:pPr>
        <w:rPr>
          <w:rFonts w:ascii="宋体" w:hAnsi="宋体" w:eastAsia="宋体"/>
          <w:b w:val="0"/>
          <w:sz w:val="28"/>
          <w:szCs w:val="28"/>
        </w:rPr>
      </w:pPr>
      <w:r>
        <w:rPr>
          <w:rFonts w:hint="eastAsia" w:ascii="宋体" w:hAnsi="宋体" w:eastAsia="宋体"/>
          <w:b w:val="0"/>
          <w:sz w:val="28"/>
          <w:szCs w:val="28"/>
        </w:rPr>
        <w:t>二、建设内容</w:t>
      </w:r>
    </w:p>
    <w:p w14:paraId="13BE4744">
      <w:pPr>
        <w:ind w:firstLine="560" w:firstLineChars="200"/>
        <w:rPr>
          <w:rFonts w:ascii="宋体" w:hAnsi="宋体" w:eastAsia="宋体"/>
          <w:b w:val="0"/>
          <w:sz w:val="28"/>
          <w:szCs w:val="28"/>
        </w:rPr>
      </w:pPr>
      <w:r>
        <w:rPr>
          <w:rFonts w:hint="eastAsia" w:ascii="宋体" w:hAnsi="宋体" w:eastAsia="宋体"/>
          <w:b w:val="0"/>
          <w:sz w:val="28"/>
          <w:szCs w:val="28"/>
        </w:rPr>
        <w:t>安防设备安装</w:t>
      </w:r>
    </w:p>
    <w:p w14:paraId="7610FFDB">
      <w:pPr>
        <w:ind w:firstLine="560" w:firstLineChars="200"/>
        <w:rPr>
          <w:rFonts w:ascii="宋体" w:hAnsi="宋体" w:eastAsia="宋体"/>
          <w:b w:val="0"/>
          <w:sz w:val="28"/>
          <w:szCs w:val="28"/>
        </w:rPr>
      </w:pPr>
      <w:r>
        <w:rPr>
          <w:rFonts w:hint="eastAsia" w:ascii="宋体" w:hAnsi="宋体" w:eastAsia="宋体"/>
          <w:b w:val="0"/>
          <w:sz w:val="28"/>
          <w:szCs w:val="28"/>
        </w:rPr>
        <w:t>楼梯安防设备路由改造</w:t>
      </w:r>
    </w:p>
    <w:p w14:paraId="4A4BDA00">
      <w:pPr>
        <w:ind w:firstLine="560" w:firstLineChars="200"/>
        <w:rPr>
          <w:rFonts w:ascii="宋体" w:hAnsi="宋体" w:eastAsia="宋体"/>
          <w:b w:val="0"/>
          <w:sz w:val="28"/>
          <w:szCs w:val="28"/>
        </w:rPr>
      </w:pPr>
      <w:r>
        <w:rPr>
          <w:rFonts w:hint="eastAsia" w:ascii="宋体" w:hAnsi="宋体" w:eastAsia="宋体"/>
          <w:b w:val="0"/>
          <w:sz w:val="28"/>
          <w:szCs w:val="28"/>
        </w:rPr>
        <w:t>网络存储设备升级</w:t>
      </w:r>
    </w:p>
    <w:p w14:paraId="6522C91E">
      <w:pPr>
        <w:rPr>
          <w:rFonts w:ascii="宋体" w:hAnsi="宋体" w:eastAsia="宋体"/>
          <w:b w:val="0"/>
          <w:sz w:val="28"/>
          <w:szCs w:val="28"/>
        </w:rPr>
      </w:pPr>
      <w:r>
        <w:rPr>
          <w:rFonts w:hint="eastAsia" w:ascii="宋体" w:hAnsi="宋体" w:eastAsia="宋体"/>
          <w:b w:val="0"/>
          <w:sz w:val="28"/>
          <w:szCs w:val="28"/>
        </w:rPr>
        <w:t>三、建设方案</w:t>
      </w:r>
    </w:p>
    <w:p w14:paraId="4B66D4D6">
      <w:pPr>
        <w:ind w:firstLine="560" w:firstLineChars="200"/>
        <w:rPr>
          <w:rFonts w:ascii="宋体" w:hAnsi="宋体" w:eastAsia="宋体"/>
          <w:b w:val="0"/>
          <w:sz w:val="28"/>
          <w:szCs w:val="28"/>
        </w:rPr>
      </w:pPr>
      <w:r>
        <w:rPr>
          <w:rFonts w:hint="eastAsia" w:ascii="宋体" w:hAnsi="宋体" w:eastAsia="宋体"/>
          <w:b w:val="0"/>
          <w:sz w:val="28"/>
          <w:szCs w:val="28"/>
        </w:rPr>
        <w:t>1、新建项目与现有平台做升级融合，对原安防系统存储进行扩容升级。</w:t>
      </w:r>
    </w:p>
    <w:p w14:paraId="16C05A46">
      <w:pPr>
        <w:ind w:firstLine="560" w:firstLineChars="200"/>
        <w:rPr>
          <w:rFonts w:ascii="宋体" w:hAnsi="宋体" w:eastAsia="宋体"/>
          <w:b w:val="0"/>
          <w:sz w:val="28"/>
          <w:szCs w:val="28"/>
        </w:rPr>
      </w:pPr>
      <w:r>
        <w:rPr>
          <w:rFonts w:hint="eastAsia" w:ascii="宋体" w:hAnsi="宋体" w:eastAsia="宋体"/>
          <w:b w:val="0"/>
          <w:sz w:val="28"/>
          <w:szCs w:val="28"/>
        </w:rPr>
        <w:t>2、楼层楼梯通道设备安装前进行规划和设计，确保画面无死角。</w:t>
      </w:r>
    </w:p>
    <w:p w14:paraId="483C186F">
      <w:pPr>
        <w:ind w:firstLine="560" w:firstLineChars="200"/>
        <w:rPr>
          <w:rFonts w:ascii="宋体" w:hAnsi="宋体" w:eastAsia="宋体"/>
          <w:b w:val="0"/>
          <w:sz w:val="28"/>
          <w:szCs w:val="28"/>
        </w:rPr>
      </w:pPr>
      <w:r>
        <w:rPr>
          <w:rFonts w:hint="eastAsia" w:ascii="宋体" w:hAnsi="宋体" w:eastAsia="宋体"/>
          <w:b w:val="0"/>
          <w:sz w:val="28"/>
          <w:szCs w:val="28"/>
        </w:rPr>
        <w:t>3、对楼梯监控设备路由进行改造。</w:t>
      </w:r>
    </w:p>
    <w:p w14:paraId="70821381">
      <w:pPr>
        <w:rPr>
          <w:rFonts w:ascii="宋体" w:hAnsi="宋体" w:eastAsia="宋体"/>
          <w:b w:val="0"/>
          <w:sz w:val="28"/>
          <w:szCs w:val="28"/>
        </w:rPr>
      </w:pPr>
      <w:r>
        <w:rPr>
          <w:rFonts w:hint="eastAsia" w:ascii="宋体" w:hAnsi="宋体" w:eastAsia="宋体"/>
          <w:b w:val="0"/>
          <w:sz w:val="28"/>
          <w:szCs w:val="28"/>
        </w:rPr>
        <w:t>四、其他要求</w:t>
      </w:r>
    </w:p>
    <w:p w14:paraId="68288D32">
      <w:pPr>
        <w:ind w:firstLine="560" w:firstLineChars="200"/>
        <w:rPr>
          <w:rFonts w:hint="default" w:ascii="宋体" w:hAnsi="宋体" w:eastAsia="宋体"/>
          <w:b w:val="0"/>
          <w:sz w:val="28"/>
          <w:szCs w:val="28"/>
          <w:lang w:val="en-US" w:eastAsia="zh-CN"/>
        </w:rPr>
      </w:pPr>
      <w:r>
        <w:rPr>
          <w:rFonts w:ascii="宋体" w:hAnsi="宋体" w:eastAsia="宋体"/>
          <w:b w:val="0"/>
          <w:sz w:val="28"/>
          <w:szCs w:val="28"/>
        </w:rPr>
        <w:t>1</w:t>
      </w:r>
      <w:r>
        <w:rPr>
          <w:rFonts w:hint="eastAsia" w:ascii="宋体" w:hAnsi="宋体" w:eastAsia="宋体"/>
          <w:b w:val="0"/>
          <w:sz w:val="28"/>
          <w:szCs w:val="28"/>
        </w:rPr>
        <w:t>、为保证与原有平台对接可行性及对接稳定性，本项目所投产品需与原有平台及设备实现无缝对接，不产生任何相关费用，保障平台能够稳定运行，并提供无缝对接证明材料</w:t>
      </w:r>
      <w:r>
        <w:rPr>
          <w:rFonts w:hint="eastAsia" w:ascii="宋体" w:hAnsi="宋体"/>
          <w:b w:val="0"/>
          <w:sz w:val="28"/>
          <w:szCs w:val="28"/>
          <w:lang w:eastAsia="zh-CN"/>
        </w:rPr>
        <w:t>（</w:t>
      </w:r>
      <w:r>
        <w:rPr>
          <w:rFonts w:hint="eastAsia" w:ascii="宋体" w:hAnsi="宋体"/>
          <w:b/>
          <w:bCs/>
          <w:sz w:val="28"/>
          <w:szCs w:val="28"/>
          <w:lang w:val="en-US" w:eastAsia="zh-CN"/>
        </w:rPr>
        <w:t>投标时提供承诺书。如在中标后不能履约，采购人保留追求责任的权力。</w:t>
      </w:r>
      <w:r>
        <w:rPr>
          <w:rFonts w:hint="eastAsia" w:ascii="宋体" w:hAnsi="宋体"/>
          <w:b w:val="0"/>
          <w:sz w:val="28"/>
          <w:szCs w:val="28"/>
          <w:lang w:val="en-US" w:eastAsia="zh-CN"/>
        </w:rPr>
        <w:t>）</w:t>
      </w:r>
    </w:p>
    <w:p w14:paraId="3FE282CA">
      <w:pPr>
        <w:rPr>
          <w:rFonts w:ascii="宋体" w:hAnsi="宋体" w:eastAsia="宋体"/>
          <w:b w:val="0"/>
          <w:sz w:val="28"/>
          <w:szCs w:val="28"/>
        </w:rPr>
      </w:pPr>
      <w:r>
        <w:rPr>
          <w:rFonts w:hint="eastAsia" w:ascii="宋体" w:hAnsi="宋体" w:eastAsia="宋体"/>
          <w:b w:val="0"/>
          <w:sz w:val="28"/>
          <w:szCs w:val="28"/>
        </w:rPr>
        <w:t>五、设备配置清单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31"/>
        <w:gridCol w:w="5521"/>
        <w:gridCol w:w="645"/>
        <w:gridCol w:w="635"/>
      </w:tblGrid>
      <w:tr w14:paraId="4C1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0" w:type="dxa"/>
            <w:noWrap/>
            <w:vAlign w:val="center"/>
          </w:tcPr>
          <w:p w14:paraId="58F44E88">
            <w:pPr>
              <w:jc w:val="center"/>
              <w:rPr>
                <w:rFonts w:ascii="宋体" w:hAnsi="宋体" w:eastAsia="宋体"/>
                <w:b w:val="0"/>
                <w:bCs/>
                <w:sz w:val="21"/>
                <w:szCs w:val="21"/>
              </w:rPr>
            </w:pPr>
            <w:r>
              <w:rPr>
                <w:rFonts w:hint="eastAsia" w:ascii="宋体" w:hAnsi="宋体" w:eastAsia="宋体"/>
                <w:b w:val="0"/>
                <w:bCs/>
                <w:sz w:val="21"/>
                <w:szCs w:val="21"/>
              </w:rPr>
              <w:t>序号</w:t>
            </w:r>
          </w:p>
        </w:tc>
        <w:tc>
          <w:tcPr>
            <w:tcW w:w="831" w:type="dxa"/>
            <w:noWrap/>
            <w:vAlign w:val="center"/>
          </w:tcPr>
          <w:p w14:paraId="019AC18A">
            <w:pPr>
              <w:jc w:val="center"/>
              <w:rPr>
                <w:rFonts w:ascii="宋体" w:hAnsi="宋体" w:eastAsia="宋体"/>
                <w:b w:val="0"/>
                <w:bCs/>
                <w:sz w:val="21"/>
                <w:szCs w:val="21"/>
              </w:rPr>
            </w:pPr>
            <w:r>
              <w:rPr>
                <w:rFonts w:hint="eastAsia" w:ascii="宋体" w:hAnsi="宋体" w:eastAsia="宋体"/>
                <w:b w:val="0"/>
                <w:bCs/>
                <w:sz w:val="21"/>
                <w:szCs w:val="21"/>
              </w:rPr>
              <w:t>名称</w:t>
            </w:r>
          </w:p>
        </w:tc>
        <w:tc>
          <w:tcPr>
            <w:tcW w:w="5521" w:type="dxa"/>
            <w:noWrap/>
            <w:vAlign w:val="center"/>
          </w:tcPr>
          <w:p w14:paraId="264F6EB1">
            <w:pPr>
              <w:jc w:val="center"/>
              <w:rPr>
                <w:rFonts w:ascii="宋体" w:hAnsi="宋体" w:eastAsia="宋体"/>
                <w:b w:val="0"/>
                <w:bCs/>
                <w:sz w:val="21"/>
                <w:szCs w:val="21"/>
              </w:rPr>
            </w:pPr>
            <w:r>
              <w:rPr>
                <w:rFonts w:hint="eastAsia" w:ascii="宋体" w:hAnsi="宋体" w:eastAsia="宋体"/>
                <w:b w:val="0"/>
                <w:bCs/>
                <w:sz w:val="21"/>
                <w:szCs w:val="21"/>
              </w:rPr>
              <w:t>技术规格</w:t>
            </w:r>
          </w:p>
        </w:tc>
        <w:tc>
          <w:tcPr>
            <w:tcW w:w="645" w:type="dxa"/>
            <w:noWrap/>
            <w:vAlign w:val="center"/>
          </w:tcPr>
          <w:p w14:paraId="08133731">
            <w:pPr>
              <w:rPr>
                <w:rFonts w:ascii="宋体" w:hAnsi="宋体" w:eastAsia="宋体"/>
                <w:b w:val="0"/>
                <w:sz w:val="21"/>
                <w:szCs w:val="21"/>
              </w:rPr>
            </w:pPr>
            <w:r>
              <w:rPr>
                <w:rFonts w:hint="eastAsia" w:ascii="宋体" w:hAnsi="宋体" w:eastAsia="宋体"/>
                <w:b w:val="0"/>
                <w:sz w:val="21"/>
                <w:szCs w:val="21"/>
              </w:rPr>
              <w:t>单位</w:t>
            </w:r>
          </w:p>
        </w:tc>
        <w:tc>
          <w:tcPr>
            <w:tcW w:w="635" w:type="dxa"/>
            <w:noWrap/>
            <w:vAlign w:val="center"/>
          </w:tcPr>
          <w:p w14:paraId="65AC4BA1">
            <w:pPr>
              <w:jc w:val="center"/>
              <w:rPr>
                <w:rFonts w:ascii="宋体" w:hAnsi="宋体" w:eastAsia="宋体"/>
                <w:bCs/>
                <w:sz w:val="21"/>
                <w:szCs w:val="21"/>
              </w:rPr>
            </w:pPr>
            <w:r>
              <w:rPr>
                <w:rFonts w:hint="eastAsia" w:ascii="宋体" w:hAnsi="宋体" w:eastAsia="宋体"/>
                <w:b w:val="0"/>
                <w:bCs/>
                <w:sz w:val="21"/>
                <w:szCs w:val="21"/>
              </w:rPr>
              <w:t>数量</w:t>
            </w:r>
          </w:p>
        </w:tc>
      </w:tr>
      <w:tr w14:paraId="220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90" w:type="dxa"/>
            <w:noWrap/>
            <w:vAlign w:val="center"/>
          </w:tcPr>
          <w:p w14:paraId="786D16E9">
            <w:pPr>
              <w:jc w:val="left"/>
              <w:rPr>
                <w:rFonts w:ascii="宋体" w:hAnsi="宋体" w:eastAsia="宋体"/>
                <w:b w:val="0"/>
                <w:bCs/>
                <w:sz w:val="21"/>
                <w:szCs w:val="21"/>
              </w:rPr>
            </w:pPr>
            <w:r>
              <w:rPr>
                <w:rFonts w:hint="eastAsia" w:ascii="宋体" w:hAnsi="宋体" w:eastAsia="宋体"/>
                <w:b w:val="0"/>
                <w:bCs/>
                <w:sz w:val="21"/>
                <w:szCs w:val="21"/>
              </w:rPr>
              <w:t>1</w:t>
            </w:r>
          </w:p>
        </w:tc>
        <w:tc>
          <w:tcPr>
            <w:tcW w:w="831" w:type="dxa"/>
            <w:noWrap/>
            <w:vAlign w:val="center"/>
          </w:tcPr>
          <w:p w14:paraId="7282E0CE">
            <w:pPr>
              <w:jc w:val="left"/>
              <w:rPr>
                <w:rFonts w:ascii="宋体" w:hAnsi="宋体" w:eastAsia="宋体"/>
                <w:b w:val="0"/>
                <w:bCs/>
                <w:sz w:val="21"/>
                <w:szCs w:val="21"/>
              </w:rPr>
            </w:pPr>
            <w:r>
              <w:rPr>
                <w:rFonts w:hint="eastAsia" w:ascii="宋体" w:hAnsi="宋体" w:eastAsia="宋体"/>
                <w:b w:val="0"/>
                <w:bCs/>
                <w:sz w:val="21"/>
                <w:szCs w:val="21"/>
              </w:rPr>
              <w:t>可视化红外火焰摄像机</w:t>
            </w:r>
          </w:p>
        </w:tc>
        <w:tc>
          <w:tcPr>
            <w:tcW w:w="5521" w:type="dxa"/>
            <w:vAlign w:val="center"/>
          </w:tcPr>
          <w:p w14:paraId="54A7D3FC">
            <w:pPr>
              <w:jc w:val="left"/>
              <w:rPr>
                <w:rFonts w:hint="eastAsia" w:ascii="宋体" w:hAnsi="宋体" w:eastAsia="宋体"/>
                <w:b w:val="0"/>
                <w:bCs/>
                <w:sz w:val="21"/>
                <w:szCs w:val="21"/>
              </w:rPr>
            </w:pPr>
            <w:r>
              <w:rPr>
                <w:rFonts w:hint="eastAsia" w:ascii="宋体" w:hAnsi="宋体" w:eastAsia="宋体"/>
                <w:b w:val="0"/>
                <w:bCs/>
                <w:sz w:val="21"/>
                <w:szCs w:val="21"/>
              </w:rPr>
              <w:t>1、可视化红外火焰探测器，内置红外热释电火焰探测器，摄像机分辨率≥2688 × 1520@25 fps，靶面尺寸≥1/3" CMOS，最小照度彩色≤ 0.01 Lux；调整角度水平0° ~ 360°，垂直0° ~ 70°，旋转0° ~ 360°；</w:t>
            </w:r>
          </w:p>
          <w:p w14:paraId="50075458">
            <w:pPr>
              <w:jc w:val="left"/>
              <w:rPr>
                <w:rFonts w:hint="eastAsia" w:ascii="宋体" w:hAnsi="宋体" w:eastAsia="宋体"/>
                <w:b w:val="0"/>
                <w:bCs/>
                <w:sz w:val="21"/>
                <w:szCs w:val="21"/>
              </w:rPr>
            </w:pPr>
            <w:r>
              <w:rPr>
                <w:rFonts w:hint="eastAsia" w:ascii="宋体" w:hAnsi="宋体" w:eastAsia="宋体"/>
                <w:b w:val="0"/>
                <w:bCs/>
                <w:sz w:val="21"/>
                <w:szCs w:val="21"/>
              </w:rPr>
              <w:t>2、★设备内置≥1个1.5TOPS算力的芯片、≥1个双波段红外热释电传感器、≥1个扬声器、≥1个麦克风、≥1个红外接收器,；可在预览画面中实时叠加火焰的双波段红外数据并报警；（提供公安部检验报告复印件证明）</w:t>
            </w:r>
          </w:p>
          <w:p w14:paraId="2B7A250B">
            <w:pPr>
              <w:jc w:val="left"/>
              <w:rPr>
                <w:rFonts w:hint="eastAsia" w:ascii="宋体" w:hAnsi="宋体" w:eastAsia="宋体"/>
                <w:b w:val="0"/>
                <w:bCs/>
                <w:sz w:val="21"/>
                <w:szCs w:val="21"/>
              </w:rPr>
            </w:pPr>
            <w:r>
              <w:rPr>
                <w:rFonts w:hint="eastAsia" w:ascii="宋体" w:hAnsi="宋体" w:eastAsia="宋体"/>
                <w:b w:val="0"/>
                <w:bCs/>
                <w:sz w:val="21"/>
                <w:szCs w:val="21"/>
              </w:rPr>
              <w:t>3、★设备支持烟火检测、值岗状态检测、危险行为检测(抽烟、打电话)、电梯危险品检测(电瓶车、煤气罐）、呼叫识别、周界入侵检测(移动侦测、区域入侵、越界侦测）、遮挡检测同时启用，各类智能事件可正常检测和报警；（提供公安部检验报告复印件证明）</w:t>
            </w:r>
          </w:p>
          <w:p w14:paraId="43E8248F">
            <w:pPr>
              <w:jc w:val="left"/>
              <w:rPr>
                <w:rFonts w:hint="eastAsia" w:ascii="宋体" w:hAnsi="宋体" w:eastAsia="宋体"/>
                <w:b w:val="0"/>
                <w:bCs/>
                <w:sz w:val="21"/>
                <w:szCs w:val="21"/>
              </w:rPr>
            </w:pPr>
            <w:r>
              <w:rPr>
                <w:rFonts w:hint="eastAsia" w:ascii="宋体" w:hAnsi="宋体" w:eastAsia="宋体"/>
                <w:b w:val="0"/>
                <w:bCs/>
                <w:sz w:val="21"/>
                <w:szCs w:val="21"/>
              </w:rPr>
              <w:t>4、视频压缩标准支持H.265，H.264；具有双向语音对讲和单向语音广播功能；开启红外夜视功能，可识别距设备≥30m处的人体(1.7mx0.5m)轮廓；</w:t>
            </w:r>
          </w:p>
          <w:p w14:paraId="73EFEAA8">
            <w:pPr>
              <w:jc w:val="left"/>
              <w:rPr>
                <w:rFonts w:hint="eastAsia" w:ascii="宋体" w:hAnsi="宋体" w:eastAsia="宋体"/>
                <w:b w:val="0"/>
                <w:bCs/>
                <w:sz w:val="21"/>
                <w:szCs w:val="21"/>
              </w:rPr>
            </w:pPr>
            <w:r>
              <w:rPr>
                <w:rFonts w:hint="eastAsia" w:ascii="宋体" w:hAnsi="宋体" w:eastAsia="宋体"/>
                <w:b w:val="0"/>
                <w:bCs/>
                <w:sz w:val="21"/>
                <w:szCs w:val="21"/>
              </w:rPr>
              <w:t>5、★设备可在≤10s内探测到距离设备≥50m处面积为0.1m2的火盘中燃烧的火焰并报警；可在≤10s内探测到距离设备≥100m的烟雾（50像素x50像素）并报警；（提供公安部检验报告复印件证明）</w:t>
            </w:r>
          </w:p>
          <w:p w14:paraId="5F46D5E8">
            <w:pPr>
              <w:jc w:val="left"/>
              <w:rPr>
                <w:rFonts w:hint="eastAsia" w:ascii="宋体" w:hAnsi="宋体" w:eastAsia="宋体"/>
                <w:b w:val="0"/>
                <w:bCs/>
                <w:sz w:val="21"/>
                <w:szCs w:val="21"/>
              </w:rPr>
            </w:pPr>
            <w:r>
              <w:rPr>
                <w:rFonts w:hint="eastAsia" w:ascii="宋体" w:hAnsi="宋体" w:eastAsia="宋体"/>
                <w:b w:val="0"/>
                <w:bCs/>
                <w:sz w:val="21"/>
                <w:szCs w:val="21"/>
              </w:rPr>
              <w:t>6、设备具有≥1个RJ45网络接口、≥1个音频输入接口、≥1个音频输出接口、≥2个报警输入接口、≥2个报警输出接口、≥1个RS232接口、≥1个SD卡卡槽、≥2颗补光灯；</w:t>
            </w:r>
          </w:p>
          <w:p w14:paraId="22BC83E2">
            <w:pPr>
              <w:jc w:val="left"/>
              <w:rPr>
                <w:rFonts w:hint="eastAsia" w:ascii="宋体" w:hAnsi="宋体" w:eastAsia="宋体"/>
                <w:b w:val="0"/>
                <w:bCs/>
                <w:sz w:val="21"/>
                <w:szCs w:val="21"/>
              </w:rPr>
            </w:pPr>
            <w:r>
              <w:rPr>
                <w:rFonts w:hint="eastAsia" w:ascii="宋体" w:hAnsi="宋体" w:eastAsia="宋体"/>
                <w:b w:val="0"/>
                <w:bCs/>
                <w:sz w:val="21"/>
                <w:szCs w:val="21"/>
              </w:rPr>
              <w:t>7、设备支持火焰检测，可感知火焰周围红外信号变化，并可通过视频复核；支持联动本地报警指示灯、语音报警，支持远程消音；支持OSD报警事件叠加；</w:t>
            </w:r>
          </w:p>
          <w:p w14:paraId="69783B9C">
            <w:pPr>
              <w:jc w:val="left"/>
              <w:rPr>
                <w:rFonts w:hint="eastAsia" w:ascii="宋体" w:hAnsi="宋体" w:eastAsia="宋体"/>
                <w:b w:val="0"/>
                <w:bCs/>
                <w:sz w:val="21"/>
                <w:szCs w:val="21"/>
              </w:rPr>
            </w:pPr>
            <w:r>
              <w:rPr>
                <w:rFonts w:hint="eastAsia" w:ascii="宋体" w:hAnsi="宋体" w:eastAsia="宋体"/>
                <w:b w:val="0"/>
                <w:bCs/>
                <w:sz w:val="21"/>
                <w:szCs w:val="21"/>
              </w:rPr>
              <w:t>8、★设备支持AC220V转DC12V或POE供电；可通过DC12V反向为烟感探测器供电，烟感探测器检测到烟雾、温度异常时，设备可通过报警输入接收烟感报警信息，触发输入报警、同时录像及上传抓拍图片、报警指示灯自动点亮；（提供公安部检验报告复印件证明）</w:t>
            </w:r>
          </w:p>
          <w:p w14:paraId="2DCF23FD">
            <w:pPr>
              <w:jc w:val="left"/>
              <w:rPr>
                <w:rFonts w:ascii="宋体" w:hAnsi="宋体" w:eastAsia="宋体"/>
                <w:b w:val="0"/>
                <w:bCs/>
                <w:sz w:val="21"/>
                <w:szCs w:val="21"/>
              </w:rPr>
            </w:pPr>
            <w:r>
              <w:rPr>
                <w:rFonts w:hint="eastAsia" w:ascii="宋体" w:hAnsi="宋体" w:eastAsia="宋体"/>
                <w:b w:val="0"/>
                <w:bCs/>
                <w:sz w:val="21"/>
                <w:szCs w:val="21"/>
              </w:rPr>
              <w:t>9、★设备应符合GB/T 4208-2017中IP67等级的要求。</w:t>
            </w:r>
          </w:p>
        </w:tc>
        <w:tc>
          <w:tcPr>
            <w:tcW w:w="645" w:type="dxa"/>
            <w:noWrap/>
            <w:vAlign w:val="center"/>
          </w:tcPr>
          <w:p w14:paraId="37865370">
            <w:pPr>
              <w:jc w:val="left"/>
              <w:rPr>
                <w:rFonts w:ascii="宋体" w:hAnsi="宋体" w:eastAsia="宋体"/>
                <w:b w:val="0"/>
                <w:bCs/>
                <w:sz w:val="21"/>
                <w:szCs w:val="21"/>
              </w:rPr>
            </w:pPr>
            <w:r>
              <w:rPr>
                <w:rFonts w:hint="eastAsia" w:ascii="宋体" w:hAnsi="宋体" w:eastAsia="宋体"/>
                <w:b w:val="0"/>
                <w:bCs/>
                <w:sz w:val="21"/>
                <w:szCs w:val="21"/>
              </w:rPr>
              <w:t>台</w:t>
            </w:r>
          </w:p>
        </w:tc>
        <w:tc>
          <w:tcPr>
            <w:tcW w:w="635" w:type="dxa"/>
            <w:noWrap/>
            <w:vAlign w:val="center"/>
          </w:tcPr>
          <w:p w14:paraId="4F37E2EC">
            <w:pPr>
              <w:jc w:val="left"/>
              <w:rPr>
                <w:rFonts w:hint="default" w:ascii="宋体" w:hAnsi="宋体" w:eastAsia="宋体"/>
                <w:b w:val="0"/>
                <w:bCs/>
                <w:sz w:val="21"/>
                <w:szCs w:val="21"/>
                <w:lang w:val="en-US" w:eastAsia="zh-CN"/>
              </w:rPr>
            </w:pPr>
            <w:r>
              <w:rPr>
                <w:rFonts w:hint="eastAsia" w:ascii="宋体" w:hAnsi="宋体" w:eastAsia="宋体"/>
                <w:b w:val="0"/>
                <w:bCs/>
                <w:sz w:val="21"/>
                <w:szCs w:val="21"/>
              </w:rPr>
              <w:t>2</w:t>
            </w:r>
            <w:r>
              <w:rPr>
                <w:rFonts w:hint="eastAsia" w:ascii="宋体" w:hAnsi="宋体" w:eastAsia="宋体"/>
                <w:b w:val="0"/>
                <w:bCs/>
                <w:sz w:val="21"/>
                <w:szCs w:val="21"/>
                <w:lang w:val="en-US" w:eastAsia="zh-CN"/>
              </w:rPr>
              <w:t>21</w:t>
            </w:r>
          </w:p>
        </w:tc>
      </w:tr>
      <w:tr w14:paraId="149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890" w:type="dxa"/>
            <w:noWrap/>
            <w:vAlign w:val="center"/>
          </w:tcPr>
          <w:p w14:paraId="287C227D">
            <w:pPr>
              <w:ind w:firstLine="308" w:firstLineChars="0"/>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2</w:t>
            </w:r>
          </w:p>
        </w:tc>
        <w:tc>
          <w:tcPr>
            <w:tcW w:w="831" w:type="dxa"/>
            <w:noWrap/>
            <w:vAlign w:val="center"/>
          </w:tcPr>
          <w:p w14:paraId="4D12F1C1">
            <w:pPr>
              <w:jc w:val="left"/>
              <w:rPr>
                <w:rFonts w:hint="eastAsia" w:ascii="宋体" w:hAnsi="宋体" w:eastAsia="宋体"/>
                <w:b w:val="0"/>
                <w:bCs/>
                <w:sz w:val="21"/>
                <w:szCs w:val="21"/>
              </w:rPr>
            </w:pPr>
            <w:r>
              <w:rPr>
                <w:rFonts w:hint="eastAsia" w:ascii="宋体" w:hAnsi="宋体" w:eastAsia="宋体"/>
                <w:b w:val="0"/>
                <w:bCs/>
                <w:sz w:val="21"/>
                <w:szCs w:val="21"/>
              </w:rPr>
              <w:t>消防网管模块</w:t>
            </w:r>
          </w:p>
        </w:tc>
        <w:tc>
          <w:tcPr>
            <w:tcW w:w="5521" w:type="dxa"/>
            <w:vAlign w:val="center"/>
          </w:tcPr>
          <w:p w14:paraId="661F34F0">
            <w:pPr>
              <w:jc w:val="left"/>
              <w:rPr>
                <w:rFonts w:hint="eastAsia" w:ascii="宋体" w:hAnsi="宋体" w:eastAsia="宋体" w:cs="宋体"/>
                <w:b w:val="0"/>
                <w:bCs/>
                <w:sz w:val="21"/>
                <w:szCs w:val="21"/>
              </w:rPr>
            </w:pPr>
            <w:r>
              <w:rPr>
                <w:rFonts w:hint="eastAsia" w:ascii="宋体" w:hAnsi="宋体" w:eastAsia="宋体" w:cs="宋体"/>
                <w:b w:val="0"/>
                <w:bCs/>
                <w:sz w:val="21"/>
                <w:szCs w:val="21"/>
              </w:rPr>
              <w:t>1、平台需支持各区域对消防设备和传感器设备运维结果统计；支持呈现异常区域，并对异常原因TOP10进行排名；支持对设备画像进行分析，例如频繁误报、频繁故障、频繁离线、频繁信号弱、低电量、临期/过期</w:t>
            </w:r>
          </w:p>
          <w:p w14:paraId="3B5523CD">
            <w:pPr>
              <w:jc w:val="left"/>
              <w:rPr>
                <w:rFonts w:hint="eastAsia" w:ascii="宋体" w:hAnsi="宋体" w:eastAsia="宋体" w:cs="宋体"/>
                <w:b w:val="0"/>
                <w:bCs/>
                <w:sz w:val="21"/>
                <w:szCs w:val="21"/>
              </w:rPr>
            </w:pPr>
            <w:r>
              <w:rPr>
                <w:rFonts w:hint="eastAsia" w:ascii="宋体" w:hAnsi="宋体" w:eastAsia="宋体" w:cs="宋体"/>
                <w:b w:val="0"/>
                <w:bCs/>
                <w:sz w:val="21"/>
                <w:szCs w:val="21"/>
              </w:rPr>
              <w:t>2、平台需支持呈现消防设备、传感器详细数据；支持查看消防设备状态结果，可导出结果（CSV格式）；支持设备的远程升级；</w:t>
            </w:r>
          </w:p>
          <w:p w14:paraId="1686489C">
            <w:pPr>
              <w:jc w:val="left"/>
              <w:rPr>
                <w:rFonts w:hint="eastAsia" w:ascii="宋体" w:hAnsi="宋体" w:eastAsia="宋体"/>
                <w:b w:val="0"/>
                <w:bCs/>
                <w:sz w:val="21"/>
                <w:szCs w:val="21"/>
              </w:rPr>
            </w:pPr>
            <w:r>
              <w:rPr>
                <w:rFonts w:hint="eastAsia" w:ascii="宋体" w:hAnsi="宋体" w:eastAsia="宋体" w:cs="宋体"/>
                <w:b w:val="0"/>
                <w:bCs/>
                <w:sz w:val="21"/>
                <w:szCs w:val="21"/>
              </w:rPr>
              <w:t>3、平台需支持对设备中有如下几种画像类型的进行分类：频繁误报、频繁故障、频繁离线、频繁信号弱、低电量、临期/过期；支持自定义画像规则。</w:t>
            </w:r>
          </w:p>
        </w:tc>
        <w:tc>
          <w:tcPr>
            <w:tcW w:w="645" w:type="dxa"/>
            <w:noWrap/>
            <w:vAlign w:val="center"/>
          </w:tcPr>
          <w:p w14:paraId="78DB6FF3">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项</w:t>
            </w:r>
          </w:p>
        </w:tc>
        <w:tc>
          <w:tcPr>
            <w:tcW w:w="635" w:type="dxa"/>
            <w:noWrap/>
            <w:vAlign w:val="center"/>
          </w:tcPr>
          <w:p w14:paraId="58A3576B">
            <w:pPr>
              <w:jc w:val="left"/>
              <w:rPr>
                <w:rFonts w:hint="eastAsia" w:ascii="宋体" w:hAnsi="宋体" w:eastAsia="宋体"/>
                <w:b w:val="0"/>
                <w:bCs/>
                <w:sz w:val="21"/>
                <w:szCs w:val="21"/>
                <w:lang w:val="en-US" w:eastAsia="zh-CN"/>
              </w:rPr>
            </w:pPr>
            <w:r>
              <w:rPr>
                <w:rFonts w:hint="eastAsia" w:ascii="宋体" w:hAnsi="宋体"/>
                <w:b w:val="0"/>
                <w:bCs/>
                <w:sz w:val="21"/>
                <w:szCs w:val="21"/>
                <w:lang w:val="en-US" w:eastAsia="zh-CN"/>
              </w:rPr>
              <w:t>1</w:t>
            </w:r>
          </w:p>
        </w:tc>
      </w:tr>
      <w:tr w14:paraId="2307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90" w:type="dxa"/>
            <w:noWrap/>
            <w:vAlign w:val="center"/>
          </w:tcPr>
          <w:p w14:paraId="7DB2C813">
            <w:pPr>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3</w:t>
            </w:r>
          </w:p>
        </w:tc>
        <w:tc>
          <w:tcPr>
            <w:tcW w:w="831" w:type="dxa"/>
            <w:noWrap/>
            <w:vAlign w:val="center"/>
          </w:tcPr>
          <w:p w14:paraId="1BB91E94">
            <w:pPr>
              <w:jc w:val="left"/>
              <w:rPr>
                <w:rFonts w:hint="eastAsia" w:ascii="宋体" w:hAnsi="宋体" w:eastAsia="宋体"/>
                <w:b w:val="0"/>
                <w:bCs/>
                <w:sz w:val="21"/>
                <w:szCs w:val="21"/>
              </w:rPr>
            </w:pPr>
            <w:r>
              <w:rPr>
                <w:rFonts w:hint="eastAsia" w:ascii="宋体" w:hAnsi="宋体" w:eastAsia="宋体"/>
                <w:b w:val="0"/>
                <w:bCs/>
                <w:sz w:val="21"/>
                <w:szCs w:val="21"/>
              </w:rPr>
              <w:t>视频图像火灾报警监测模块</w:t>
            </w:r>
          </w:p>
        </w:tc>
        <w:tc>
          <w:tcPr>
            <w:tcW w:w="5521" w:type="dxa"/>
            <w:vAlign w:val="center"/>
          </w:tcPr>
          <w:p w14:paraId="4438E2E1">
            <w:pPr>
              <w:jc w:val="left"/>
              <w:rPr>
                <w:rFonts w:hint="eastAsia" w:ascii="宋体" w:hAnsi="宋体" w:eastAsia="宋体"/>
                <w:b w:val="0"/>
                <w:bCs/>
                <w:sz w:val="21"/>
                <w:szCs w:val="21"/>
              </w:rPr>
            </w:pPr>
            <w:r>
              <w:rPr>
                <w:rFonts w:hint="eastAsia" w:ascii="宋体" w:hAnsi="宋体" w:eastAsia="宋体"/>
                <w:b w:val="0"/>
                <w:bCs/>
                <w:sz w:val="21"/>
                <w:szCs w:val="21"/>
              </w:rPr>
              <w:t xml:space="preserve">平台需支持接入智能分析仪、安消相机、可视化烟雾探测器、热成像感温探测器等设备；支持配置智能分析仪的轮询模式，在平台上按算法对监控点进行分组，从平台取视频流在分析仪上进行轮询分析。 </w:t>
            </w:r>
          </w:p>
        </w:tc>
        <w:tc>
          <w:tcPr>
            <w:tcW w:w="645" w:type="dxa"/>
            <w:noWrap/>
            <w:vAlign w:val="center"/>
          </w:tcPr>
          <w:p w14:paraId="596E52D1">
            <w:pPr>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项</w:t>
            </w:r>
          </w:p>
        </w:tc>
        <w:tc>
          <w:tcPr>
            <w:tcW w:w="635" w:type="dxa"/>
            <w:noWrap/>
            <w:vAlign w:val="center"/>
          </w:tcPr>
          <w:p w14:paraId="6F536258">
            <w:pPr>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1</w:t>
            </w:r>
          </w:p>
        </w:tc>
      </w:tr>
      <w:tr w14:paraId="6C12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90" w:type="dxa"/>
            <w:noWrap/>
            <w:vAlign w:val="center"/>
          </w:tcPr>
          <w:p w14:paraId="3D594BB4">
            <w:pPr>
              <w:jc w:val="left"/>
              <w:rPr>
                <w:rFonts w:hint="eastAsia" w:ascii="宋体" w:hAnsi="宋体" w:eastAsia="宋体"/>
                <w:b w:val="0"/>
                <w:bCs/>
                <w:sz w:val="21"/>
                <w:szCs w:val="21"/>
                <w:lang w:eastAsia="zh-CN"/>
              </w:rPr>
            </w:pPr>
            <w:r>
              <w:rPr>
                <w:rFonts w:hint="eastAsia" w:ascii="宋体" w:hAnsi="宋体" w:eastAsia="宋体"/>
                <w:b w:val="0"/>
                <w:bCs/>
                <w:sz w:val="21"/>
                <w:szCs w:val="21"/>
                <w:lang w:val="en-US" w:eastAsia="zh-CN"/>
              </w:rPr>
              <w:t>4</w:t>
            </w:r>
          </w:p>
        </w:tc>
        <w:tc>
          <w:tcPr>
            <w:tcW w:w="831" w:type="dxa"/>
            <w:noWrap/>
            <w:vAlign w:val="center"/>
          </w:tcPr>
          <w:p w14:paraId="0FE2E87A">
            <w:pPr>
              <w:jc w:val="left"/>
              <w:rPr>
                <w:rFonts w:ascii="宋体" w:hAnsi="宋体" w:eastAsia="宋体"/>
                <w:b w:val="0"/>
                <w:bCs/>
                <w:sz w:val="21"/>
                <w:szCs w:val="21"/>
              </w:rPr>
            </w:pPr>
            <w:r>
              <w:rPr>
                <w:rFonts w:hint="eastAsia" w:ascii="宋体" w:hAnsi="宋体" w:eastAsia="宋体"/>
                <w:b w:val="0"/>
                <w:bCs/>
                <w:sz w:val="21"/>
                <w:szCs w:val="21"/>
              </w:rPr>
              <w:t>网络存储设备</w:t>
            </w:r>
          </w:p>
        </w:tc>
        <w:tc>
          <w:tcPr>
            <w:tcW w:w="5521" w:type="dxa"/>
            <w:vAlign w:val="center"/>
          </w:tcPr>
          <w:p w14:paraId="561A626B">
            <w:pPr>
              <w:jc w:val="left"/>
              <w:rPr>
                <w:rFonts w:hint="eastAsia" w:ascii="宋体" w:hAnsi="宋体" w:eastAsia="宋体"/>
                <w:b w:val="0"/>
                <w:bCs/>
                <w:sz w:val="21"/>
                <w:szCs w:val="21"/>
              </w:rPr>
            </w:pPr>
            <w:r>
              <w:rPr>
                <w:rFonts w:hint="eastAsia" w:ascii="宋体" w:hAnsi="宋体" w:eastAsia="宋体"/>
                <w:b w:val="0"/>
                <w:bCs/>
                <w:sz w:val="21"/>
                <w:szCs w:val="21"/>
              </w:rPr>
              <w:t>1、网络存储设备，处理器≥1颗64位多核处理器，系统内存≥8GB，系统盘≥1×256G SSD；SATA接口，支持硬盘热插拔，内置总容量≥900TB；</w:t>
            </w:r>
          </w:p>
          <w:p w14:paraId="02320D07">
            <w:pPr>
              <w:jc w:val="left"/>
              <w:rPr>
                <w:rFonts w:hint="eastAsia" w:ascii="宋体" w:hAnsi="宋体" w:eastAsia="宋体"/>
                <w:b w:val="0"/>
                <w:bCs/>
                <w:sz w:val="21"/>
                <w:szCs w:val="21"/>
              </w:rPr>
            </w:pPr>
            <w:r>
              <w:rPr>
                <w:rFonts w:hint="eastAsia" w:ascii="宋体" w:hAnsi="宋体" w:eastAsia="宋体"/>
                <w:b w:val="0"/>
                <w:bCs/>
                <w:sz w:val="21"/>
                <w:szCs w:val="21"/>
              </w:rPr>
              <w:t>2、网络接口≥3个千兆数据网口，≥1个千兆管理口；其他接口≥1×COM，≥2×USB2.0（前置），≥2×USB3.0（后置），≥1×VGA（后置），≥1×HDMI（后置）；支持1+1冗余电源、冗余风扇；</w:t>
            </w:r>
          </w:p>
          <w:p w14:paraId="2964B4EF">
            <w:pPr>
              <w:jc w:val="left"/>
              <w:rPr>
                <w:rFonts w:hint="eastAsia" w:ascii="宋体" w:hAnsi="宋体" w:eastAsia="宋体"/>
                <w:b w:val="0"/>
                <w:bCs/>
                <w:sz w:val="21"/>
                <w:szCs w:val="21"/>
              </w:rPr>
            </w:pPr>
            <w:r>
              <w:rPr>
                <w:rFonts w:hint="eastAsia" w:ascii="宋体" w:hAnsi="宋体" w:eastAsia="宋体"/>
                <w:b w:val="0"/>
                <w:bCs/>
                <w:sz w:val="21"/>
                <w:szCs w:val="21"/>
              </w:rPr>
              <w:t>3、视频性能接入路数≥550（网络输入带宽≥1100Mbps）；回放性能支持回放路数≥55路；支持视频流直存，支持ONVIF、GB/T 28181、RTSP等标准协议；‘</w:t>
            </w:r>
          </w:p>
          <w:p w14:paraId="7FD4A687">
            <w:pPr>
              <w:jc w:val="left"/>
              <w:rPr>
                <w:rFonts w:hint="eastAsia" w:ascii="宋体" w:hAnsi="宋体" w:eastAsia="宋体"/>
                <w:b w:val="0"/>
                <w:bCs/>
                <w:sz w:val="21"/>
                <w:szCs w:val="21"/>
              </w:rPr>
            </w:pPr>
            <w:r>
              <w:rPr>
                <w:rFonts w:hint="eastAsia" w:ascii="宋体" w:hAnsi="宋体" w:eastAsia="宋体"/>
                <w:b w:val="0"/>
                <w:bCs/>
                <w:sz w:val="21"/>
                <w:szCs w:val="21"/>
              </w:rPr>
              <w:t>4、★设备可通过IE浏览器设置RAID组为RAID0、RAID1、RAID5、RAID6、RAID10、RAID50模式；支持键配置存储模式，自动实现RAID创建和空间划分及CVR服务配置；（提供公安部检验报告复印件证明）</w:t>
            </w:r>
          </w:p>
          <w:p w14:paraId="692F378B">
            <w:pPr>
              <w:jc w:val="left"/>
              <w:rPr>
                <w:rFonts w:hint="eastAsia" w:ascii="宋体" w:hAnsi="宋体" w:eastAsia="宋体"/>
                <w:b w:val="0"/>
                <w:bCs/>
                <w:sz w:val="21"/>
                <w:szCs w:val="21"/>
              </w:rPr>
            </w:pPr>
            <w:r>
              <w:rPr>
                <w:rFonts w:hint="eastAsia" w:ascii="宋体" w:hAnsi="宋体" w:eastAsia="宋体"/>
                <w:b w:val="0"/>
                <w:bCs/>
                <w:sz w:val="21"/>
                <w:szCs w:val="21"/>
              </w:rPr>
              <w:t>5、★设备应能在RAID内丢失2块（含）以上硬盘但至少有8块正常磁盘时，无需等待丢失盘恢复，保留的硬盘中的数据可正常读出，且新数据可正常写入；（提供公安部检验报告复印件证明）</w:t>
            </w:r>
          </w:p>
          <w:p w14:paraId="10A116A0">
            <w:pPr>
              <w:jc w:val="left"/>
              <w:rPr>
                <w:rFonts w:hint="eastAsia" w:ascii="宋体" w:hAnsi="宋体" w:eastAsia="宋体"/>
                <w:b w:val="0"/>
                <w:bCs/>
                <w:sz w:val="21"/>
                <w:szCs w:val="21"/>
              </w:rPr>
            </w:pPr>
            <w:r>
              <w:rPr>
                <w:rFonts w:hint="eastAsia" w:ascii="宋体" w:hAnsi="宋体" w:eastAsia="宋体"/>
                <w:b w:val="0"/>
                <w:bCs/>
                <w:sz w:val="21"/>
                <w:szCs w:val="21"/>
              </w:rPr>
              <w:t>6、★设备可对视图片、视频进行混合直存，无须存储服务器和图片服务器的参与，平台服务器宕机时，存储业务正常；（提供公安部检验报告复印件证明）</w:t>
            </w:r>
          </w:p>
          <w:p w14:paraId="279056DC">
            <w:pPr>
              <w:jc w:val="left"/>
              <w:rPr>
                <w:rFonts w:hint="eastAsia" w:ascii="宋体" w:hAnsi="宋体" w:eastAsia="宋体"/>
                <w:b w:val="0"/>
                <w:bCs/>
                <w:sz w:val="21"/>
                <w:szCs w:val="21"/>
              </w:rPr>
            </w:pPr>
            <w:r>
              <w:rPr>
                <w:rFonts w:hint="eastAsia" w:ascii="宋体" w:hAnsi="宋体" w:eastAsia="宋体"/>
                <w:b w:val="0"/>
                <w:bCs/>
                <w:sz w:val="21"/>
                <w:szCs w:val="21"/>
              </w:rPr>
              <w:t>7、设备应能接入并存储总码流不超过1600Mbps的800路2Mbps码流的视（音）频图像；同时下载总码流不超过160Mbps带宽的80路2Mbps码流的视（音）频图像；同时回放总码流不超过160Mbps的80路2Mbps码流的视（音）频图像；</w:t>
            </w:r>
          </w:p>
          <w:p w14:paraId="39A45722">
            <w:pPr>
              <w:jc w:val="left"/>
              <w:rPr>
                <w:rFonts w:hint="eastAsia" w:ascii="宋体" w:hAnsi="宋体" w:eastAsia="宋体"/>
                <w:b w:val="0"/>
                <w:bCs/>
                <w:sz w:val="21"/>
                <w:szCs w:val="21"/>
              </w:rPr>
            </w:pPr>
            <w:r>
              <w:rPr>
                <w:rFonts w:hint="eastAsia" w:ascii="宋体" w:hAnsi="宋体" w:eastAsia="宋体"/>
                <w:b w:val="0"/>
                <w:bCs/>
                <w:sz w:val="21"/>
                <w:szCs w:val="21"/>
              </w:rPr>
              <w:t>8、设备可接入MPEG4、H.264、H.265、Smart265、SVAC编码格式和分辨率为4096×2160的前端设备并存储录像文件；应能预录报警触发前30秒的视频录像；</w:t>
            </w:r>
          </w:p>
          <w:p w14:paraId="6438B4D0">
            <w:pPr>
              <w:jc w:val="left"/>
              <w:rPr>
                <w:rFonts w:hint="eastAsia" w:ascii="宋体" w:hAnsi="宋体" w:eastAsia="宋体"/>
                <w:b w:val="0"/>
                <w:bCs/>
                <w:sz w:val="21"/>
                <w:szCs w:val="21"/>
              </w:rPr>
            </w:pPr>
            <w:r>
              <w:rPr>
                <w:rFonts w:hint="eastAsia" w:ascii="宋体" w:hAnsi="宋体" w:eastAsia="宋体"/>
                <w:b w:val="0"/>
                <w:bCs/>
                <w:sz w:val="21"/>
                <w:szCs w:val="21"/>
              </w:rPr>
              <w:t>9、★设备支持远程实现每一块硬盘指示灯的单独点亮操作，可定位磁盘位置；支持实时显示磁盘体检状态，对异常状态磁盘，可查看处理建议信息；（提供公安部检验报告复印件证明）</w:t>
            </w:r>
          </w:p>
          <w:p w14:paraId="49116E58">
            <w:pPr>
              <w:jc w:val="left"/>
              <w:rPr>
                <w:rFonts w:hint="eastAsia" w:ascii="宋体" w:hAnsi="宋体" w:eastAsia="宋体"/>
                <w:b w:val="0"/>
                <w:bCs/>
                <w:sz w:val="21"/>
                <w:szCs w:val="21"/>
              </w:rPr>
            </w:pPr>
            <w:r>
              <w:rPr>
                <w:rFonts w:hint="eastAsia" w:ascii="宋体" w:hAnsi="宋体" w:eastAsia="宋体"/>
                <w:b w:val="0"/>
                <w:bCs/>
                <w:sz w:val="21"/>
                <w:szCs w:val="21"/>
              </w:rPr>
              <w:t>10、设备支持定时录像、手动录像等多种录像方式；支持关键视频数据的加锁保护功能，防止循环覆盖；支持多级运维管理，多渠道报警机制防止报警信息遗漏；</w:t>
            </w:r>
          </w:p>
          <w:p w14:paraId="51DB74F8">
            <w:pPr>
              <w:jc w:val="left"/>
              <w:rPr>
                <w:rFonts w:hint="eastAsia" w:ascii="宋体" w:hAnsi="宋体" w:eastAsia="宋体"/>
                <w:b w:val="0"/>
                <w:bCs/>
                <w:sz w:val="21"/>
                <w:szCs w:val="21"/>
              </w:rPr>
            </w:pPr>
            <w:r>
              <w:rPr>
                <w:rFonts w:hint="eastAsia" w:ascii="宋体" w:hAnsi="宋体" w:eastAsia="宋体"/>
                <w:b w:val="0"/>
                <w:bCs/>
                <w:sz w:val="21"/>
                <w:szCs w:val="21"/>
              </w:rPr>
              <w:t>11、★为保障存储设备与原有平台数据接入的稳定性及兼容性，存储设备需无缝接入原有平台，实现数据接入、存储等功能，提供相关承诺函证明。</w:t>
            </w:r>
          </w:p>
          <w:p w14:paraId="09939D33">
            <w:pPr>
              <w:jc w:val="left"/>
              <w:rPr>
                <w:rFonts w:hint="default" w:ascii="宋体" w:hAnsi="宋体" w:eastAsia="宋体"/>
                <w:b w:val="0"/>
                <w:bCs/>
                <w:sz w:val="21"/>
                <w:szCs w:val="21"/>
                <w:lang w:val="en-US" w:eastAsia="zh-CN"/>
              </w:rPr>
            </w:pPr>
            <w:r>
              <w:rPr>
                <w:rFonts w:hint="eastAsia" w:ascii="宋体" w:hAnsi="宋体"/>
                <w:b w:val="0"/>
                <w:bCs/>
                <w:sz w:val="21"/>
                <w:szCs w:val="21"/>
                <w:lang w:val="en-US" w:eastAsia="zh-CN"/>
              </w:rPr>
              <w:t>12、存储时间大于90天。</w:t>
            </w:r>
          </w:p>
        </w:tc>
        <w:tc>
          <w:tcPr>
            <w:tcW w:w="645" w:type="dxa"/>
            <w:noWrap/>
            <w:vAlign w:val="center"/>
          </w:tcPr>
          <w:p w14:paraId="7005CD62">
            <w:pPr>
              <w:jc w:val="left"/>
              <w:rPr>
                <w:rFonts w:ascii="宋体" w:hAnsi="宋体" w:eastAsia="宋体"/>
                <w:b w:val="0"/>
                <w:bCs/>
                <w:sz w:val="21"/>
                <w:szCs w:val="21"/>
              </w:rPr>
            </w:pPr>
            <w:r>
              <w:rPr>
                <w:rFonts w:hint="eastAsia" w:ascii="宋体" w:hAnsi="宋体" w:eastAsia="宋体"/>
                <w:b w:val="0"/>
                <w:bCs/>
                <w:sz w:val="21"/>
                <w:szCs w:val="21"/>
              </w:rPr>
              <w:t>台</w:t>
            </w:r>
          </w:p>
        </w:tc>
        <w:tc>
          <w:tcPr>
            <w:tcW w:w="635" w:type="dxa"/>
            <w:noWrap/>
            <w:vAlign w:val="center"/>
          </w:tcPr>
          <w:p w14:paraId="111176B1">
            <w:pPr>
              <w:jc w:val="left"/>
              <w:rPr>
                <w:rFonts w:ascii="宋体" w:hAnsi="宋体" w:eastAsia="宋体"/>
                <w:b w:val="0"/>
                <w:bCs/>
                <w:sz w:val="21"/>
                <w:szCs w:val="21"/>
              </w:rPr>
            </w:pPr>
            <w:r>
              <w:rPr>
                <w:rFonts w:hint="eastAsia" w:ascii="宋体" w:hAnsi="宋体" w:eastAsia="宋体"/>
                <w:b w:val="0"/>
                <w:bCs/>
                <w:sz w:val="21"/>
                <w:szCs w:val="21"/>
              </w:rPr>
              <w:t>1</w:t>
            </w:r>
          </w:p>
        </w:tc>
      </w:tr>
      <w:tr w14:paraId="0A26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890" w:type="dxa"/>
            <w:noWrap/>
            <w:vAlign w:val="center"/>
          </w:tcPr>
          <w:p w14:paraId="075CCAB9">
            <w:pPr>
              <w:jc w:val="left"/>
              <w:rPr>
                <w:rFonts w:hint="eastAsia" w:ascii="宋体" w:hAnsi="宋体" w:eastAsia="宋体"/>
                <w:b w:val="0"/>
                <w:bCs/>
                <w:sz w:val="21"/>
                <w:szCs w:val="21"/>
                <w:lang w:eastAsia="zh-CN"/>
              </w:rPr>
            </w:pPr>
            <w:r>
              <w:rPr>
                <w:rFonts w:hint="eastAsia" w:ascii="宋体" w:hAnsi="宋体" w:eastAsia="宋体"/>
                <w:b w:val="0"/>
                <w:bCs/>
                <w:sz w:val="21"/>
                <w:szCs w:val="21"/>
                <w:lang w:val="en-US" w:eastAsia="zh-CN"/>
              </w:rPr>
              <w:t>5</w:t>
            </w:r>
          </w:p>
        </w:tc>
        <w:tc>
          <w:tcPr>
            <w:tcW w:w="831" w:type="dxa"/>
            <w:noWrap/>
            <w:vAlign w:val="center"/>
          </w:tcPr>
          <w:p w14:paraId="0939B6E3">
            <w:pPr>
              <w:jc w:val="left"/>
              <w:rPr>
                <w:rFonts w:ascii="宋体" w:hAnsi="宋体" w:eastAsia="宋体"/>
                <w:b w:val="0"/>
                <w:bCs/>
                <w:sz w:val="21"/>
                <w:szCs w:val="21"/>
              </w:rPr>
            </w:pPr>
            <w:r>
              <w:rPr>
                <w:rFonts w:hint="eastAsia" w:ascii="宋体" w:hAnsi="宋体" w:eastAsia="宋体"/>
                <w:b w:val="0"/>
                <w:bCs/>
                <w:sz w:val="21"/>
                <w:szCs w:val="21"/>
              </w:rPr>
              <w:t>10口千兆POE交换机</w:t>
            </w:r>
          </w:p>
        </w:tc>
        <w:tc>
          <w:tcPr>
            <w:tcW w:w="5521" w:type="dxa"/>
            <w:vAlign w:val="center"/>
          </w:tcPr>
          <w:p w14:paraId="3032611F">
            <w:pPr>
              <w:jc w:val="left"/>
              <w:rPr>
                <w:rFonts w:ascii="宋体" w:hAnsi="宋体" w:eastAsia="宋体"/>
                <w:b w:val="0"/>
                <w:bCs/>
                <w:sz w:val="21"/>
                <w:szCs w:val="21"/>
              </w:rPr>
            </w:pPr>
            <w:r>
              <w:rPr>
                <w:rFonts w:hint="eastAsia" w:ascii="宋体" w:hAnsi="宋体" w:eastAsia="宋体"/>
                <w:b w:val="0"/>
                <w:bCs/>
                <w:sz w:val="21"/>
                <w:szCs w:val="21"/>
              </w:rPr>
              <w:t>1、交换机提供≥8个千兆PoE电口，≥1个千兆电口，≥1个千兆光口；交换容量≥20 Gbps，包转发率≥14.88 Mpps；</w:t>
            </w:r>
            <w:r>
              <w:rPr>
                <w:rFonts w:hint="eastAsia" w:ascii="宋体" w:hAnsi="宋体" w:eastAsia="宋体"/>
                <w:b w:val="0"/>
                <w:bCs/>
                <w:sz w:val="21"/>
                <w:szCs w:val="21"/>
              </w:rPr>
              <w:br w:type="textWrapping"/>
            </w:r>
            <w:r>
              <w:rPr>
                <w:rFonts w:hint="eastAsia" w:ascii="宋体" w:hAnsi="宋体" w:eastAsia="宋体"/>
                <w:b w:val="0"/>
                <w:bCs/>
                <w:sz w:val="21"/>
                <w:szCs w:val="21"/>
              </w:rPr>
              <w:t>2、支持IEEE 802.3at/af；端口最大供电功率≥30 W，整机最大供电功率≥60 W；支持6 KV防浪涌；</w:t>
            </w:r>
            <w:r>
              <w:rPr>
                <w:rFonts w:hint="eastAsia" w:ascii="宋体" w:hAnsi="宋体" w:eastAsia="宋体"/>
                <w:b w:val="0"/>
                <w:bCs/>
                <w:sz w:val="21"/>
                <w:szCs w:val="21"/>
              </w:rPr>
              <w:br w:type="textWrapping"/>
            </w:r>
            <w:r>
              <w:rPr>
                <w:rFonts w:hint="eastAsia" w:ascii="宋体" w:hAnsi="宋体" w:eastAsia="宋体"/>
                <w:b w:val="0"/>
                <w:bCs/>
                <w:sz w:val="21"/>
                <w:szCs w:val="21"/>
              </w:rPr>
              <w:t>3、支持PoE输出功率管理；存储转发交换方式；工作温度：0°C~40°C。</w:t>
            </w:r>
          </w:p>
        </w:tc>
        <w:tc>
          <w:tcPr>
            <w:tcW w:w="645" w:type="dxa"/>
            <w:noWrap/>
            <w:vAlign w:val="center"/>
          </w:tcPr>
          <w:p w14:paraId="61E57761">
            <w:pPr>
              <w:jc w:val="left"/>
              <w:rPr>
                <w:rFonts w:ascii="宋体" w:hAnsi="宋体" w:eastAsia="宋体"/>
                <w:b w:val="0"/>
                <w:bCs/>
                <w:sz w:val="21"/>
                <w:szCs w:val="21"/>
              </w:rPr>
            </w:pPr>
            <w:r>
              <w:rPr>
                <w:rFonts w:hint="eastAsia" w:ascii="宋体" w:hAnsi="宋体" w:eastAsia="宋体"/>
                <w:b w:val="0"/>
                <w:bCs/>
                <w:sz w:val="21"/>
                <w:szCs w:val="21"/>
              </w:rPr>
              <w:t>台</w:t>
            </w:r>
          </w:p>
        </w:tc>
        <w:tc>
          <w:tcPr>
            <w:tcW w:w="635" w:type="dxa"/>
            <w:noWrap/>
            <w:vAlign w:val="center"/>
          </w:tcPr>
          <w:p w14:paraId="78C932E5">
            <w:pPr>
              <w:jc w:val="left"/>
              <w:rPr>
                <w:rFonts w:ascii="宋体" w:hAnsi="宋体" w:eastAsia="宋体"/>
                <w:b w:val="0"/>
                <w:bCs/>
                <w:sz w:val="21"/>
                <w:szCs w:val="21"/>
              </w:rPr>
            </w:pPr>
            <w:r>
              <w:rPr>
                <w:rFonts w:hint="eastAsia" w:ascii="宋体" w:hAnsi="宋体" w:eastAsia="宋体"/>
                <w:b w:val="0"/>
                <w:bCs/>
                <w:sz w:val="21"/>
                <w:szCs w:val="21"/>
              </w:rPr>
              <w:t>3</w:t>
            </w:r>
          </w:p>
        </w:tc>
      </w:tr>
      <w:tr w14:paraId="46FE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0" w:type="dxa"/>
            <w:noWrap/>
            <w:vAlign w:val="center"/>
          </w:tcPr>
          <w:p w14:paraId="7F1426A6">
            <w:pPr>
              <w:jc w:val="left"/>
              <w:rPr>
                <w:rFonts w:hint="eastAsia" w:ascii="宋体" w:hAnsi="宋体" w:eastAsia="宋体"/>
                <w:b w:val="0"/>
                <w:bCs/>
                <w:sz w:val="21"/>
                <w:szCs w:val="21"/>
                <w:lang w:eastAsia="zh-CN"/>
              </w:rPr>
            </w:pPr>
            <w:r>
              <w:rPr>
                <w:rFonts w:hint="eastAsia" w:ascii="宋体" w:hAnsi="宋体" w:eastAsia="宋体"/>
                <w:b w:val="0"/>
                <w:bCs/>
                <w:sz w:val="21"/>
                <w:szCs w:val="21"/>
                <w:lang w:val="en-US" w:eastAsia="zh-CN"/>
              </w:rPr>
              <w:t>6</w:t>
            </w:r>
          </w:p>
        </w:tc>
        <w:tc>
          <w:tcPr>
            <w:tcW w:w="831" w:type="dxa"/>
            <w:noWrap/>
            <w:vAlign w:val="center"/>
          </w:tcPr>
          <w:p w14:paraId="260F44AD">
            <w:pPr>
              <w:jc w:val="left"/>
              <w:rPr>
                <w:rFonts w:ascii="宋体" w:hAnsi="宋体" w:eastAsia="宋体"/>
                <w:b w:val="0"/>
                <w:bCs/>
                <w:sz w:val="21"/>
                <w:szCs w:val="21"/>
              </w:rPr>
            </w:pPr>
            <w:r>
              <w:rPr>
                <w:rFonts w:hint="eastAsia" w:ascii="宋体" w:hAnsi="宋体" w:eastAsia="宋体"/>
                <w:b w:val="0"/>
                <w:bCs/>
                <w:sz w:val="21"/>
                <w:szCs w:val="21"/>
              </w:rPr>
              <w:t>24口千兆POE交换机</w:t>
            </w:r>
          </w:p>
        </w:tc>
        <w:tc>
          <w:tcPr>
            <w:tcW w:w="5521" w:type="dxa"/>
            <w:vAlign w:val="center"/>
          </w:tcPr>
          <w:p w14:paraId="278B3E9B">
            <w:pPr>
              <w:jc w:val="left"/>
              <w:rPr>
                <w:rFonts w:ascii="宋体" w:hAnsi="宋体" w:eastAsia="宋体"/>
                <w:b w:val="0"/>
                <w:bCs/>
                <w:sz w:val="21"/>
                <w:szCs w:val="21"/>
              </w:rPr>
            </w:pPr>
            <w:r>
              <w:rPr>
                <w:rFonts w:hint="eastAsia" w:ascii="宋体" w:hAnsi="宋体" w:eastAsia="宋体"/>
                <w:b w:val="0"/>
                <w:bCs/>
                <w:sz w:val="21"/>
                <w:szCs w:val="21"/>
              </w:rPr>
              <w:t>1、交换机可用千兆PoE电接口数量≥24，千兆光口数量≥2；交换容量≥52 Gpbs；转发性能≥38.69 Mpps；</w:t>
            </w:r>
            <w:r>
              <w:rPr>
                <w:rFonts w:hint="eastAsia" w:ascii="宋体" w:hAnsi="宋体" w:eastAsia="宋体"/>
                <w:b w:val="0"/>
                <w:bCs/>
                <w:sz w:val="21"/>
                <w:szCs w:val="21"/>
              </w:rPr>
              <w:br w:type="textWrapping"/>
            </w:r>
            <w:r>
              <w:rPr>
                <w:rFonts w:hint="eastAsia" w:ascii="宋体" w:hAnsi="宋体" w:eastAsia="宋体"/>
                <w:b w:val="0"/>
                <w:bCs/>
                <w:sz w:val="21"/>
                <w:szCs w:val="21"/>
              </w:rPr>
              <w:t>2、支持自适应802.3af/at供电标准，整机最大输出功率≥225 W；支持6KV防浪涌（PoE口）；</w:t>
            </w:r>
            <w:r>
              <w:rPr>
                <w:rFonts w:hint="eastAsia" w:ascii="宋体" w:hAnsi="宋体" w:eastAsia="宋体"/>
                <w:b w:val="0"/>
                <w:bCs/>
                <w:sz w:val="21"/>
                <w:szCs w:val="21"/>
              </w:rPr>
              <w:br w:type="textWrapping"/>
            </w:r>
            <w:r>
              <w:rPr>
                <w:rFonts w:hint="eastAsia" w:ascii="宋体" w:hAnsi="宋体" w:eastAsia="宋体"/>
                <w:b w:val="0"/>
                <w:bCs/>
                <w:sz w:val="21"/>
                <w:szCs w:val="21"/>
              </w:rPr>
              <w:t>3、支持IEEE 802.3、IEEE 802.3u、IEEE 802.3x、IEEE 802.3ab、IEEE 802.3z。</w:t>
            </w:r>
          </w:p>
        </w:tc>
        <w:tc>
          <w:tcPr>
            <w:tcW w:w="645" w:type="dxa"/>
            <w:noWrap/>
            <w:vAlign w:val="center"/>
          </w:tcPr>
          <w:p w14:paraId="4FC236C4">
            <w:pPr>
              <w:jc w:val="left"/>
              <w:rPr>
                <w:rFonts w:ascii="宋体" w:hAnsi="宋体" w:eastAsia="宋体"/>
                <w:b w:val="0"/>
                <w:bCs/>
                <w:sz w:val="21"/>
                <w:szCs w:val="21"/>
              </w:rPr>
            </w:pPr>
            <w:r>
              <w:rPr>
                <w:rFonts w:hint="eastAsia" w:ascii="宋体" w:hAnsi="宋体" w:eastAsia="宋体"/>
                <w:b w:val="0"/>
                <w:bCs/>
                <w:sz w:val="21"/>
                <w:szCs w:val="21"/>
              </w:rPr>
              <w:t>台</w:t>
            </w:r>
          </w:p>
        </w:tc>
        <w:tc>
          <w:tcPr>
            <w:tcW w:w="635" w:type="dxa"/>
            <w:noWrap/>
            <w:vAlign w:val="center"/>
          </w:tcPr>
          <w:p w14:paraId="7DC7B20B">
            <w:pPr>
              <w:jc w:val="left"/>
              <w:rPr>
                <w:rFonts w:ascii="宋体" w:hAnsi="宋体" w:eastAsia="宋体"/>
                <w:b w:val="0"/>
                <w:bCs/>
                <w:sz w:val="21"/>
                <w:szCs w:val="21"/>
              </w:rPr>
            </w:pPr>
            <w:r>
              <w:rPr>
                <w:rFonts w:hint="eastAsia" w:ascii="宋体" w:hAnsi="宋体" w:eastAsia="宋体"/>
                <w:b w:val="0"/>
                <w:bCs/>
                <w:sz w:val="21"/>
                <w:szCs w:val="21"/>
              </w:rPr>
              <w:t>14</w:t>
            </w:r>
          </w:p>
        </w:tc>
      </w:tr>
      <w:tr w14:paraId="21FA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 w:type="dxa"/>
            <w:noWrap/>
            <w:vAlign w:val="center"/>
          </w:tcPr>
          <w:p w14:paraId="1117BE6C">
            <w:pPr>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7</w:t>
            </w:r>
          </w:p>
        </w:tc>
        <w:tc>
          <w:tcPr>
            <w:tcW w:w="831" w:type="dxa"/>
            <w:noWrap/>
            <w:vAlign w:val="center"/>
          </w:tcPr>
          <w:p w14:paraId="113E1443">
            <w:pPr>
              <w:jc w:val="left"/>
              <w:rPr>
                <w:rFonts w:ascii="宋体" w:hAnsi="宋体" w:eastAsia="宋体"/>
                <w:b w:val="0"/>
                <w:bCs/>
                <w:sz w:val="21"/>
                <w:szCs w:val="21"/>
              </w:rPr>
            </w:pPr>
            <w:r>
              <w:rPr>
                <w:rFonts w:hint="eastAsia" w:ascii="宋体" w:hAnsi="宋体" w:eastAsia="宋体"/>
                <w:b w:val="0"/>
                <w:bCs/>
                <w:sz w:val="21"/>
                <w:szCs w:val="21"/>
              </w:rPr>
              <w:t>8口千兆交换机</w:t>
            </w:r>
          </w:p>
        </w:tc>
        <w:tc>
          <w:tcPr>
            <w:tcW w:w="5521" w:type="dxa"/>
            <w:vAlign w:val="center"/>
          </w:tcPr>
          <w:p w14:paraId="6E91C21F">
            <w:pPr>
              <w:jc w:val="left"/>
              <w:rPr>
                <w:rFonts w:ascii="宋体" w:hAnsi="宋体" w:eastAsia="宋体"/>
                <w:b w:val="0"/>
                <w:bCs/>
                <w:sz w:val="21"/>
                <w:szCs w:val="21"/>
              </w:rPr>
            </w:pPr>
            <w:r>
              <w:rPr>
                <w:rFonts w:hint="eastAsia" w:ascii="宋体" w:hAnsi="宋体" w:eastAsia="宋体"/>
                <w:b w:val="0"/>
                <w:bCs/>
                <w:sz w:val="21"/>
                <w:szCs w:val="21"/>
              </w:rPr>
              <w:t>1、交换机可用千兆电口数≥8；交换容量≥16Gbps；包转发率≥11.9Mpps；</w:t>
            </w:r>
            <w:r>
              <w:rPr>
                <w:rFonts w:hint="eastAsia" w:ascii="宋体" w:hAnsi="宋体" w:eastAsia="宋体"/>
                <w:b w:val="0"/>
                <w:bCs/>
                <w:sz w:val="21"/>
                <w:szCs w:val="21"/>
              </w:rPr>
              <w:br w:type="textWrapping"/>
            </w:r>
            <w:r>
              <w:rPr>
                <w:rFonts w:hint="eastAsia" w:ascii="宋体" w:hAnsi="宋体" w:eastAsia="宋体"/>
                <w:b w:val="0"/>
                <w:bCs/>
                <w:sz w:val="21"/>
                <w:szCs w:val="21"/>
              </w:rPr>
              <w:t>2、支持浪涌防护≥6kv；工作温度：0 °C ~ 40 °C。</w:t>
            </w:r>
          </w:p>
        </w:tc>
        <w:tc>
          <w:tcPr>
            <w:tcW w:w="645" w:type="dxa"/>
            <w:noWrap/>
            <w:vAlign w:val="center"/>
          </w:tcPr>
          <w:p w14:paraId="64DCD99F">
            <w:pPr>
              <w:jc w:val="left"/>
              <w:rPr>
                <w:rFonts w:ascii="宋体" w:hAnsi="宋体" w:eastAsia="宋体"/>
                <w:b w:val="0"/>
                <w:bCs/>
                <w:sz w:val="21"/>
                <w:szCs w:val="21"/>
              </w:rPr>
            </w:pPr>
            <w:r>
              <w:rPr>
                <w:rFonts w:hint="eastAsia" w:ascii="宋体" w:hAnsi="宋体" w:eastAsia="宋体"/>
                <w:b w:val="0"/>
                <w:bCs/>
                <w:sz w:val="21"/>
                <w:szCs w:val="21"/>
              </w:rPr>
              <w:t>台</w:t>
            </w:r>
          </w:p>
        </w:tc>
        <w:tc>
          <w:tcPr>
            <w:tcW w:w="635" w:type="dxa"/>
            <w:noWrap/>
            <w:vAlign w:val="center"/>
          </w:tcPr>
          <w:p w14:paraId="01054747">
            <w:pPr>
              <w:jc w:val="left"/>
              <w:rPr>
                <w:rFonts w:ascii="宋体" w:hAnsi="宋体" w:eastAsia="宋体"/>
                <w:b w:val="0"/>
                <w:bCs/>
                <w:sz w:val="21"/>
                <w:szCs w:val="21"/>
              </w:rPr>
            </w:pPr>
            <w:r>
              <w:rPr>
                <w:rFonts w:hint="eastAsia" w:ascii="宋体" w:hAnsi="宋体" w:eastAsia="宋体"/>
                <w:b w:val="0"/>
                <w:bCs/>
                <w:sz w:val="21"/>
                <w:szCs w:val="21"/>
              </w:rPr>
              <w:t>10</w:t>
            </w:r>
          </w:p>
        </w:tc>
      </w:tr>
      <w:tr w14:paraId="2808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0" w:type="dxa"/>
            <w:noWrap/>
            <w:vAlign w:val="center"/>
          </w:tcPr>
          <w:p w14:paraId="4161EC5E">
            <w:pPr>
              <w:jc w:val="left"/>
              <w:rPr>
                <w:rFonts w:hint="eastAsia" w:ascii="宋体" w:hAnsi="宋体" w:eastAsia="宋体"/>
                <w:b w:val="0"/>
                <w:bCs/>
                <w:sz w:val="21"/>
                <w:szCs w:val="21"/>
                <w:lang w:eastAsia="zh-CN"/>
              </w:rPr>
            </w:pPr>
            <w:r>
              <w:rPr>
                <w:rFonts w:hint="eastAsia" w:ascii="宋体" w:hAnsi="宋体" w:eastAsia="宋体"/>
                <w:b w:val="0"/>
                <w:bCs/>
                <w:sz w:val="21"/>
                <w:szCs w:val="21"/>
                <w:lang w:val="en-US" w:eastAsia="zh-CN"/>
              </w:rPr>
              <w:t>8</w:t>
            </w:r>
          </w:p>
        </w:tc>
        <w:tc>
          <w:tcPr>
            <w:tcW w:w="831" w:type="dxa"/>
            <w:noWrap/>
            <w:vAlign w:val="center"/>
          </w:tcPr>
          <w:p w14:paraId="4D765F4A">
            <w:pPr>
              <w:jc w:val="left"/>
              <w:rPr>
                <w:rFonts w:ascii="宋体" w:hAnsi="宋体" w:eastAsia="宋体"/>
                <w:b w:val="0"/>
                <w:bCs/>
                <w:sz w:val="21"/>
                <w:szCs w:val="21"/>
              </w:rPr>
            </w:pPr>
            <w:r>
              <w:rPr>
                <w:rFonts w:hint="eastAsia" w:ascii="宋体" w:hAnsi="宋体" w:eastAsia="宋体"/>
                <w:b w:val="0"/>
                <w:bCs/>
                <w:sz w:val="21"/>
                <w:szCs w:val="21"/>
              </w:rPr>
              <w:t>千兆光收发器</w:t>
            </w:r>
          </w:p>
        </w:tc>
        <w:tc>
          <w:tcPr>
            <w:tcW w:w="5521" w:type="dxa"/>
            <w:vAlign w:val="center"/>
          </w:tcPr>
          <w:p w14:paraId="7D64CF2B">
            <w:pPr>
              <w:jc w:val="left"/>
              <w:rPr>
                <w:rFonts w:ascii="宋体" w:hAnsi="宋体" w:eastAsia="宋体"/>
                <w:b w:val="0"/>
                <w:bCs/>
                <w:sz w:val="21"/>
                <w:szCs w:val="21"/>
              </w:rPr>
            </w:pPr>
            <w:r>
              <w:rPr>
                <w:rFonts w:hint="eastAsia" w:ascii="宋体" w:hAnsi="宋体" w:eastAsia="宋体"/>
                <w:b w:val="0"/>
                <w:bCs/>
                <w:sz w:val="21"/>
                <w:szCs w:val="21"/>
              </w:rPr>
              <w:t>1、整机最大功耗＜3W，电源规格5VDC 1A；≥1个千兆RJ45，≥1个千兆SC光口；</w:t>
            </w:r>
            <w:r>
              <w:rPr>
                <w:rFonts w:hint="eastAsia" w:ascii="宋体" w:hAnsi="宋体" w:eastAsia="宋体"/>
                <w:b w:val="0"/>
                <w:bCs/>
                <w:sz w:val="21"/>
                <w:szCs w:val="21"/>
              </w:rPr>
              <w:br w:type="textWrapping"/>
            </w:r>
            <w:r>
              <w:rPr>
                <w:rFonts w:hint="eastAsia" w:ascii="宋体" w:hAnsi="宋体" w:eastAsia="宋体"/>
                <w:b w:val="0"/>
                <w:bCs/>
                <w:sz w:val="21"/>
                <w:szCs w:val="21"/>
              </w:rPr>
              <w:t>2、标准支持IEEE 802.3, IEEE 802.3u, IEEE 802.3x, IEEE 802.3ab；存储转发；</w:t>
            </w:r>
            <w:r>
              <w:rPr>
                <w:rFonts w:hint="eastAsia" w:ascii="宋体" w:hAnsi="宋体" w:eastAsia="宋体"/>
                <w:b w:val="0"/>
                <w:bCs/>
                <w:sz w:val="21"/>
                <w:szCs w:val="21"/>
              </w:rPr>
              <w:br w:type="textWrapping"/>
            </w:r>
            <w:r>
              <w:rPr>
                <w:rFonts w:hint="eastAsia" w:ascii="宋体" w:hAnsi="宋体" w:eastAsia="宋体"/>
                <w:b w:val="0"/>
                <w:bCs/>
                <w:sz w:val="21"/>
                <w:szCs w:val="21"/>
              </w:rPr>
              <w:t>3、交换容量≥4 Gbps，包转发率≥2.976 Mpps；SC，单模单纤双向；传输距离≥20 km；发射功率：-9 ~ -3 dBm；接收灵敏度≤-22 dBm；</w:t>
            </w:r>
          </w:p>
        </w:tc>
        <w:tc>
          <w:tcPr>
            <w:tcW w:w="645" w:type="dxa"/>
            <w:noWrap/>
            <w:vAlign w:val="center"/>
          </w:tcPr>
          <w:p w14:paraId="2E96E35E">
            <w:pPr>
              <w:jc w:val="left"/>
              <w:rPr>
                <w:rFonts w:ascii="宋体" w:hAnsi="宋体" w:eastAsia="宋体"/>
                <w:b w:val="0"/>
                <w:bCs/>
                <w:sz w:val="21"/>
                <w:szCs w:val="21"/>
              </w:rPr>
            </w:pPr>
            <w:r>
              <w:rPr>
                <w:rFonts w:hint="eastAsia" w:ascii="宋体" w:hAnsi="宋体" w:eastAsia="宋体"/>
                <w:b w:val="0"/>
                <w:bCs/>
                <w:sz w:val="21"/>
                <w:szCs w:val="21"/>
              </w:rPr>
              <w:t>对</w:t>
            </w:r>
          </w:p>
        </w:tc>
        <w:tc>
          <w:tcPr>
            <w:tcW w:w="635" w:type="dxa"/>
            <w:noWrap/>
            <w:vAlign w:val="center"/>
          </w:tcPr>
          <w:p w14:paraId="61A62C13">
            <w:pPr>
              <w:jc w:val="left"/>
              <w:rPr>
                <w:rFonts w:ascii="宋体" w:hAnsi="宋体" w:eastAsia="宋体"/>
                <w:b w:val="0"/>
                <w:bCs/>
                <w:sz w:val="21"/>
                <w:szCs w:val="21"/>
              </w:rPr>
            </w:pPr>
            <w:r>
              <w:rPr>
                <w:rFonts w:hint="eastAsia" w:ascii="宋体" w:hAnsi="宋体" w:eastAsia="宋体"/>
                <w:b w:val="0"/>
                <w:bCs/>
                <w:sz w:val="21"/>
                <w:szCs w:val="21"/>
              </w:rPr>
              <w:t>5</w:t>
            </w:r>
          </w:p>
        </w:tc>
      </w:tr>
      <w:tr w14:paraId="1DBB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90" w:type="dxa"/>
            <w:noWrap/>
            <w:vAlign w:val="center"/>
          </w:tcPr>
          <w:p w14:paraId="54983C92">
            <w:pPr>
              <w:jc w:val="left"/>
              <w:rPr>
                <w:rFonts w:hint="eastAsia" w:ascii="宋体" w:hAnsi="宋体" w:eastAsia="宋体"/>
                <w:b w:val="0"/>
                <w:bCs/>
                <w:sz w:val="21"/>
                <w:szCs w:val="21"/>
                <w:lang w:eastAsia="zh-CN"/>
              </w:rPr>
            </w:pPr>
            <w:r>
              <w:rPr>
                <w:rFonts w:hint="eastAsia" w:ascii="宋体" w:hAnsi="宋体" w:eastAsia="宋体"/>
                <w:b w:val="0"/>
                <w:bCs/>
                <w:sz w:val="21"/>
                <w:szCs w:val="21"/>
                <w:lang w:val="en-US" w:eastAsia="zh-CN"/>
              </w:rPr>
              <w:t>9</w:t>
            </w:r>
          </w:p>
        </w:tc>
        <w:tc>
          <w:tcPr>
            <w:tcW w:w="831" w:type="dxa"/>
            <w:noWrap/>
            <w:vAlign w:val="center"/>
          </w:tcPr>
          <w:p w14:paraId="2A7079A9">
            <w:pPr>
              <w:jc w:val="left"/>
              <w:rPr>
                <w:rFonts w:ascii="宋体" w:hAnsi="宋体" w:eastAsia="宋体"/>
                <w:b w:val="0"/>
                <w:bCs/>
                <w:sz w:val="21"/>
                <w:szCs w:val="21"/>
              </w:rPr>
            </w:pPr>
            <w:r>
              <w:rPr>
                <w:rFonts w:hint="eastAsia" w:ascii="宋体" w:hAnsi="宋体" w:eastAsia="宋体"/>
                <w:b w:val="0"/>
                <w:bCs/>
                <w:sz w:val="21"/>
                <w:szCs w:val="21"/>
              </w:rPr>
              <w:t>六类网线</w:t>
            </w:r>
          </w:p>
        </w:tc>
        <w:tc>
          <w:tcPr>
            <w:tcW w:w="5521" w:type="dxa"/>
            <w:vAlign w:val="center"/>
          </w:tcPr>
          <w:p w14:paraId="372162A2">
            <w:pPr>
              <w:jc w:val="left"/>
              <w:rPr>
                <w:rFonts w:ascii="宋体" w:hAnsi="宋体" w:eastAsia="宋体"/>
                <w:b w:val="0"/>
                <w:bCs/>
                <w:sz w:val="21"/>
                <w:szCs w:val="21"/>
              </w:rPr>
            </w:pPr>
            <w:r>
              <w:rPr>
                <w:rFonts w:hint="eastAsia" w:ascii="宋体" w:hAnsi="宋体" w:eastAsia="宋体"/>
                <w:b w:val="0"/>
                <w:bCs/>
                <w:sz w:val="21"/>
                <w:szCs w:val="21"/>
              </w:rPr>
              <w:t>6类网线，屏蔽双绞线；标准装轴/箱装长度≥305m±1.5m；</w:t>
            </w:r>
          </w:p>
        </w:tc>
        <w:tc>
          <w:tcPr>
            <w:tcW w:w="645" w:type="dxa"/>
            <w:noWrap/>
            <w:vAlign w:val="center"/>
          </w:tcPr>
          <w:p w14:paraId="03B4879D">
            <w:pPr>
              <w:jc w:val="left"/>
              <w:rPr>
                <w:rFonts w:ascii="宋体" w:hAnsi="宋体" w:eastAsia="宋体"/>
                <w:b w:val="0"/>
                <w:bCs/>
                <w:sz w:val="21"/>
                <w:szCs w:val="21"/>
              </w:rPr>
            </w:pPr>
            <w:r>
              <w:rPr>
                <w:rFonts w:hint="eastAsia" w:ascii="宋体" w:hAnsi="宋体" w:eastAsia="宋体"/>
                <w:b w:val="0"/>
                <w:bCs/>
                <w:sz w:val="21"/>
                <w:szCs w:val="21"/>
              </w:rPr>
              <w:t>箱</w:t>
            </w:r>
          </w:p>
        </w:tc>
        <w:tc>
          <w:tcPr>
            <w:tcW w:w="635" w:type="dxa"/>
            <w:noWrap/>
            <w:vAlign w:val="center"/>
          </w:tcPr>
          <w:p w14:paraId="1B30F46B">
            <w:pPr>
              <w:jc w:val="left"/>
              <w:rPr>
                <w:rFonts w:ascii="宋体" w:hAnsi="宋体" w:eastAsia="宋体"/>
                <w:b w:val="0"/>
                <w:bCs/>
                <w:sz w:val="21"/>
                <w:szCs w:val="21"/>
              </w:rPr>
            </w:pPr>
            <w:r>
              <w:rPr>
                <w:rFonts w:hint="eastAsia" w:ascii="宋体" w:hAnsi="宋体" w:eastAsia="宋体"/>
                <w:b w:val="0"/>
                <w:bCs/>
                <w:sz w:val="21"/>
                <w:szCs w:val="21"/>
              </w:rPr>
              <w:t>70</w:t>
            </w:r>
          </w:p>
        </w:tc>
      </w:tr>
      <w:tr w14:paraId="1904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90" w:type="dxa"/>
            <w:noWrap/>
            <w:vAlign w:val="center"/>
          </w:tcPr>
          <w:p w14:paraId="7A82B30E">
            <w:pPr>
              <w:tabs>
                <w:tab w:val="left" w:pos="226"/>
              </w:tabs>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10</w:t>
            </w:r>
          </w:p>
        </w:tc>
        <w:tc>
          <w:tcPr>
            <w:tcW w:w="831" w:type="dxa"/>
            <w:noWrap/>
            <w:vAlign w:val="center"/>
          </w:tcPr>
          <w:p w14:paraId="0CD75746">
            <w:pPr>
              <w:jc w:val="left"/>
              <w:rPr>
                <w:rFonts w:hint="eastAsia" w:ascii="宋体" w:hAnsi="宋体" w:eastAsia="宋体"/>
                <w:b w:val="0"/>
                <w:bCs/>
                <w:sz w:val="21"/>
                <w:szCs w:val="21"/>
              </w:rPr>
            </w:pPr>
            <w:r>
              <w:rPr>
                <w:rFonts w:hint="eastAsia" w:ascii="宋体" w:hAnsi="宋体" w:eastAsia="宋体"/>
                <w:b w:val="0"/>
                <w:bCs/>
                <w:sz w:val="21"/>
                <w:szCs w:val="21"/>
              </w:rPr>
              <w:t>机柜</w:t>
            </w:r>
          </w:p>
        </w:tc>
        <w:tc>
          <w:tcPr>
            <w:tcW w:w="5521" w:type="dxa"/>
            <w:vAlign w:val="center"/>
          </w:tcPr>
          <w:p w14:paraId="16DE2E41">
            <w:pPr>
              <w:jc w:val="left"/>
              <w:rPr>
                <w:rFonts w:hint="eastAsia" w:ascii="宋体" w:hAnsi="宋体" w:eastAsia="宋体"/>
                <w:b w:val="0"/>
                <w:bCs/>
                <w:sz w:val="21"/>
                <w:szCs w:val="21"/>
              </w:rPr>
            </w:pPr>
            <w:r>
              <w:rPr>
                <w:rFonts w:hint="eastAsia" w:ascii="宋体" w:hAnsi="宋体" w:eastAsia="宋体"/>
                <w:b w:val="0"/>
                <w:bCs/>
                <w:sz w:val="21"/>
                <w:szCs w:val="21"/>
              </w:rPr>
              <w:t>立式网络机柜、4</w:t>
            </w:r>
            <w:r>
              <w:rPr>
                <w:rFonts w:ascii="宋体" w:hAnsi="宋体" w:eastAsia="宋体"/>
                <w:b w:val="0"/>
                <w:bCs/>
                <w:sz w:val="21"/>
                <w:szCs w:val="21"/>
              </w:rPr>
              <w:t>2</w:t>
            </w:r>
            <w:r>
              <w:rPr>
                <w:rFonts w:hint="eastAsia" w:ascii="宋体" w:hAnsi="宋体" w:eastAsia="宋体"/>
                <w:b w:val="0"/>
                <w:bCs/>
                <w:sz w:val="21"/>
                <w:szCs w:val="21"/>
              </w:rPr>
              <w:t>U</w:t>
            </w:r>
          </w:p>
        </w:tc>
        <w:tc>
          <w:tcPr>
            <w:tcW w:w="645" w:type="dxa"/>
            <w:noWrap/>
            <w:vAlign w:val="center"/>
          </w:tcPr>
          <w:p w14:paraId="48AA5466">
            <w:pPr>
              <w:jc w:val="left"/>
              <w:rPr>
                <w:rFonts w:hint="eastAsia" w:ascii="宋体" w:hAnsi="宋体" w:eastAsia="宋体"/>
                <w:b w:val="0"/>
                <w:bCs/>
                <w:sz w:val="21"/>
                <w:szCs w:val="21"/>
              </w:rPr>
            </w:pPr>
            <w:r>
              <w:rPr>
                <w:rFonts w:hint="eastAsia" w:ascii="宋体" w:hAnsi="宋体" w:eastAsia="宋体"/>
                <w:b w:val="0"/>
                <w:bCs/>
                <w:sz w:val="21"/>
                <w:szCs w:val="21"/>
              </w:rPr>
              <w:t>个</w:t>
            </w:r>
          </w:p>
        </w:tc>
        <w:tc>
          <w:tcPr>
            <w:tcW w:w="635" w:type="dxa"/>
            <w:noWrap/>
            <w:vAlign w:val="center"/>
          </w:tcPr>
          <w:p w14:paraId="12D93B53">
            <w:pPr>
              <w:jc w:val="left"/>
              <w:rPr>
                <w:rFonts w:hint="eastAsia" w:ascii="宋体" w:hAnsi="宋体" w:eastAsia="宋体"/>
                <w:b w:val="0"/>
                <w:bCs/>
                <w:sz w:val="21"/>
                <w:szCs w:val="21"/>
              </w:rPr>
            </w:pPr>
            <w:r>
              <w:rPr>
                <w:rFonts w:hint="eastAsia" w:ascii="宋体" w:hAnsi="宋体" w:eastAsia="宋体"/>
                <w:b w:val="0"/>
                <w:bCs/>
                <w:sz w:val="21"/>
                <w:szCs w:val="21"/>
              </w:rPr>
              <w:t>1</w:t>
            </w:r>
          </w:p>
        </w:tc>
      </w:tr>
      <w:tr w14:paraId="4EC3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 w:type="dxa"/>
            <w:noWrap/>
            <w:vAlign w:val="center"/>
          </w:tcPr>
          <w:p w14:paraId="06A5A8FF">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11</w:t>
            </w:r>
          </w:p>
        </w:tc>
        <w:tc>
          <w:tcPr>
            <w:tcW w:w="831" w:type="dxa"/>
            <w:noWrap/>
            <w:vAlign w:val="center"/>
          </w:tcPr>
          <w:p w14:paraId="0C26E1F9">
            <w:pPr>
              <w:jc w:val="left"/>
              <w:rPr>
                <w:rFonts w:ascii="宋体" w:hAnsi="宋体" w:eastAsia="宋体"/>
                <w:b w:val="0"/>
                <w:bCs/>
                <w:sz w:val="21"/>
                <w:szCs w:val="21"/>
              </w:rPr>
            </w:pPr>
            <w:r>
              <w:rPr>
                <w:rFonts w:hint="eastAsia" w:ascii="宋体" w:hAnsi="宋体" w:eastAsia="宋体"/>
                <w:b w:val="0"/>
                <w:bCs/>
                <w:sz w:val="21"/>
                <w:szCs w:val="21"/>
              </w:rPr>
              <w:t>镀锌铁管</w:t>
            </w:r>
          </w:p>
        </w:tc>
        <w:tc>
          <w:tcPr>
            <w:tcW w:w="5521" w:type="dxa"/>
            <w:noWrap/>
            <w:vAlign w:val="center"/>
          </w:tcPr>
          <w:p w14:paraId="220FA773">
            <w:pPr>
              <w:jc w:val="left"/>
              <w:rPr>
                <w:rFonts w:ascii="宋体" w:hAnsi="宋体" w:eastAsia="宋体"/>
                <w:b w:val="0"/>
                <w:bCs/>
                <w:sz w:val="21"/>
                <w:szCs w:val="21"/>
              </w:rPr>
            </w:pPr>
            <w:r>
              <w:rPr>
                <w:rFonts w:hint="eastAsia" w:ascii="宋体" w:hAnsi="宋体" w:eastAsia="宋体"/>
                <w:b w:val="0"/>
                <w:bCs/>
                <w:sz w:val="21"/>
                <w:szCs w:val="21"/>
              </w:rPr>
              <w:t>镀锌铁管，外径为21.3mm</w:t>
            </w:r>
          </w:p>
        </w:tc>
        <w:tc>
          <w:tcPr>
            <w:tcW w:w="645" w:type="dxa"/>
            <w:noWrap/>
            <w:vAlign w:val="center"/>
          </w:tcPr>
          <w:p w14:paraId="6B3E85D2">
            <w:pPr>
              <w:jc w:val="left"/>
              <w:rPr>
                <w:rFonts w:ascii="宋体" w:hAnsi="宋体" w:eastAsia="宋体"/>
                <w:b w:val="0"/>
                <w:bCs/>
                <w:sz w:val="21"/>
                <w:szCs w:val="21"/>
              </w:rPr>
            </w:pPr>
            <w:r>
              <w:rPr>
                <w:rFonts w:hint="eastAsia" w:ascii="宋体" w:hAnsi="宋体" w:eastAsia="宋体"/>
                <w:b w:val="0"/>
                <w:bCs/>
                <w:sz w:val="21"/>
                <w:szCs w:val="21"/>
              </w:rPr>
              <w:t>米</w:t>
            </w:r>
          </w:p>
        </w:tc>
        <w:tc>
          <w:tcPr>
            <w:tcW w:w="635" w:type="dxa"/>
            <w:noWrap/>
            <w:vAlign w:val="center"/>
          </w:tcPr>
          <w:p w14:paraId="76198F34">
            <w:pPr>
              <w:jc w:val="left"/>
              <w:rPr>
                <w:rFonts w:ascii="宋体" w:hAnsi="宋体" w:eastAsia="宋体"/>
                <w:b w:val="0"/>
                <w:bCs/>
                <w:sz w:val="21"/>
                <w:szCs w:val="21"/>
              </w:rPr>
            </w:pPr>
            <w:r>
              <w:rPr>
                <w:rFonts w:hint="eastAsia" w:ascii="宋体" w:hAnsi="宋体" w:eastAsia="宋体"/>
                <w:b w:val="0"/>
                <w:bCs/>
                <w:sz w:val="21"/>
                <w:szCs w:val="21"/>
              </w:rPr>
              <w:t>600</w:t>
            </w:r>
          </w:p>
        </w:tc>
      </w:tr>
      <w:tr w14:paraId="3154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0" w:type="dxa"/>
            <w:noWrap/>
            <w:vAlign w:val="center"/>
          </w:tcPr>
          <w:p w14:paraId="19654FE7">
            <w:pPr>
              <w:jc w:val="left"/>
              <w:rPr>
                <w:rFonts w:hint="eastAsia" w:ascii="宋体" w:hAnsi="宋体" w:eastAsia="宋体"/>
                <w:b w:val="0"/>
                <w:bCs/>
                <w:sz w:val="21"/>
                <w:szCs w:val="21"/>
                <w:lang w:eastAsia="zh-CN"/>
              </w:rPr>
            </w:pPr>
            <w:r>
              <w:rPr>
                <w:rFonts w:hint="eastAsia" w:ascii="宋体" w:hAnsi="宋体" w:eastAsia="宋体"/>
                <w:b w:val="0"/>
                <w:bCs/>
                <w:sz w:val="21"/>
                <w:szCs w:val="21"/>
              </w:rPr>
              <w:t>1</w:t>
            </w:r>
            <w:r>
              <w:rPr>
                <w:rFonts w:hint="eastAsia" w:ascii="宋体" w:hAnsi="宋体" w:eastAsia="宋体"/>
                <w:b w:val="0"/>
                <w:bCs/>
                <w:sz w:val="21"/>
                <w:szCs w:val="21"/>
                <w:lang w:val="en-US" w:eastAsia="zh-CN"/>
              </w:rPr>
              <w:t>2</w:t>
            </w:r>
          </w:p>
        </w:tc>
        <w:tc>
          <w:tcPr>
            <w:tcW w:w="831" w:type="dxa"/>
            <w:noWrap/>
            <w:vAlign w:val="center"/>
          </w:tcPr>
          <w:p w14:paraId="6FF94F15">
            <w:pPr>
              <w:jc w:val="left"/>
              <w:rPr>
                <w:rFonts w:ascii="宋体" w:hAnsi="宋体" w:eastAsia="宋体"/>
                <w:b w:val="0"/>
                <w:bCs/>
                <w:sz w:val="21"/>
                <w:szCs w:val="21"/>
              </w:rPr>
            </w:pPr>
            <w:r>
              <w:rPr>
                <w:rFonts w:hint="eastAsia" w:ascii="宋体" w:hAnsi="宋体" w:eastAsia="宋体"/>
                <w:b w:val="0"/>
                <w:bCs/>
                <w:sz w:val="21"/>
                <w:szCs w:val="21"/>
                <w:lang w:val="en-US" w:eastAsia="zh-CN"/>
              </w:rPr>
              <w:t>壁装</w:t>
            </w:r>
            <w:r>
              <w:rPr>
                <w:rFonts w:hint="eastAsia" w:ascii="宋体" w:hAnsi="宋体" w:eastAsia="宋体"/>
                <w:b w:val="0"/>
                <w:bCs/>
                <w:sz w:val="21"/>
                <w:szCs w:val="21"/>
              </w:rPr>
              <w:t>支架</w:t>
            </w:r>
          </w:p>
        </w:tc>
        <w:tc>
          <w:tcPr>
            <w:tcW w:w="5521" w:type="dxa"/>
            <w:vAlign w:val="center"/>
          </w:tcPr>
          <w:p w14:paraId="7CAC95CA">
            <w:pPr>
              <w:jc w:val="left"/>
              <w:rPr>
                <w:rFonts w:ascii="宋体" w:hAnsi="宋体" w:eastAsia="宋体"/>
                <w:b w:val="0"/>
                <w:bCs/>
                <w:sz w:val="21"/>
                <w:szCs w:val="21"/>
              </w:rPr>
            </w:pPr>
            <w:r>
              <w:rPr>
                <w:rFonts w:hint="eastAsia" w:ascii="宋体" w:hAnsi="宋体" w:eastAsia="宋体"/>
                <w:b w:val="0"/>
                <w:bCs/>
                <w:sz w:val="21"/>
                <w:szCs w:val="21"/>
              </w:rPr>
              <w:t>摄像机支架</w:t>
            </w:r>
          </w:p>
        </w:tc>
        <w:tc>
          <w:tcPr>
            <w:tcW w:w="645" w:type="dxa"/>
            <w:noWrap/>
            <w:vAlign w:val="center"/>
          </w:tcPr>
          <w:p w14:paraId="355555C2">
            <w:pPr>
              <w:jc w:val="left"/>
              <w:rPr>
                <w:rFonts w:ascii="宋体" w:hAnsi="宋体" w:eastAsia="宋体"/>
                <w:b w:val="0"/>
                <w:bCs/>
                <w:sz w:val="21"/>
                <w:szCs w:val="21"/>
              </w:rPr>
            </w:pPr>
            <w:r>
              <w:rPr>
                <w:rFonts w:hint="eastAsia" w:ascii="宋体" w:hAnsi="宋体" w:eastAsia="宋体"/>
                <w:b w:val="0"/>
                <w:bCs/>
                <w:sz w:val="21"/>
                <w:szCs w:val="21"/>
              </w:rPr>
              <w:t>个</w:t>
            </w:r>
          </w:p>
        </w:tc>
        <w:tc>
          <w:tcPr>
            <w:tcW w:w="635" w:type="dxa"/>
            <w:noWrap/>
            <w:vAlign w:val="center"/>
          </w:tcPr>
          <w:p w14:paraId="4CFAE469">
            <w:pPr>
              <w:jc w:val="left"/>
              <w:rPr>
                <w:rFonts w:hint="default" w:ascii="宋体" w:hAnsi="宋体" w:eastAsia="宋体"/>
                <w:b w:val="0"/>
                <w:bCs/>
                <w:sz w:val="21"/>
                <w:szCs w:val="21"/>
                <w:lang w:val="en-US" w:eastAsia="zh-CN"/>
              </w:rPr>
            </w:pPr>
            <w:r>
              <w:rPr>
                <w:rFonts w:hint="eastAsia" w:ascii="宋体" w:hAnsi="宋体" w:eastAsia="宋体"/>
                <w:b w:val="0"/>
                <w:bCs/>
                <w:sz w:val="21"/>
                <w:szCs w:val="21"/>
              </w:rPr>
              <w:t>2</w:t>
            </w:r>
            <w:r>
              <w:rPr>
                <w:rFonts w:hint="eastAsia" w:ascii="宋体" w:hAnsi="宋体" w:eastAsia="宋体"/>
                <w:b w:val="0"/>
                <w:bCs/>
                <w:sz w:val="21"/>
                <w:szCs w:val="21"/>
                <w:lang w:val="en-US" w:eastAsia="zh-CN"/>
              </w:rPr>
              <w:t>11</w:t>
            </w:r>
          </w:p>
        </w:tc>
      </w:tr>
      <w:tr w14:paraId="0E56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90" w:type="dxa"/>
            <w:noWrap/>
            <w:vAlign w:val="center"/>
          </w:tcPr>
          <w:p w14:paraId="54AFB6D7">
            <w:pPr>
              <w:jc w:val="left"/>
              <w:rPr>
                <w:rFonts w:ascii="宋体" w:hAnsi="宋体" w:eastAsia="宋体"/>
                <w:b w:val="0"/>
                <w:bCs/>
                <w:sz w:val="21"/>
                <w:szCs w:val="21"/>
              </w:rPr>
            </w:pPr>
            <w:r>
              <w:rPr>
                <w:rFonts w:hint="eastAsia" w:ascii="宋体" w:hAnsi="宋体" w:eastAsia="宋体"/>
                <w:b w:val="0"/>
                <w:bCs/>
                <w:sz w:val="21"/>
                <w:szCs w:val="21"/>
              </w:rPr>
              <w:t>11</w:t>
            </w:r>
          </w:p>
        </w:tc>
        <w:tc>
          <w:tcPr>
            <w:tcW w:w="831" w:type="dxa"/>
            <w:noWrap/>
            <w:vAlign w:val="center"/>
          </w:tcPr>
          <w:p w14:paraId="6E6BA15B">
            <w:pPr>
              <w:jc w:val="left"/>
              <w:rPr>
                <w:rFonts w:ascii="宋体" w:hAnsi="宋体" w:eastAsia="宋体"/>
                <w:b w:val="0"/>
                <w:bCs/>
                <w:sz w:val="21"/>
                <w:szCs w:val="21"/>
              </w:rPr>
            </w:pPr>
            <w:r>
              <w:rPr>
                <w:rFonts w:hint="eastAsia" w:ascii="宋体" w:hAnsi="宋体" w:eastAsia="宋体"/>
                <w:b w:val="0"/>
                <w:bCs/>
                <w:sz w:val="21"/>
                <w:szCs w:val="21"/>
              </w:rPr>
              <w:t>视频监控扩容</w:t>
            </w:r>
          </w:p>
        </w:tc>
        <w:tc>
          <w:tcPr>
            <w:tcW w:w="5521" w:type="dxa"/>
            <w:vAlign w:val="center"/>
          </w:tcPr>
          <w:p w14:paraId="135FF411">
            <w:pPr>
              <w:jc w:val="left"/>
              <w:rPr>
                <w:rFonts w:hint="default" w:ascii="宋体" w:hAnsi="宋体" w:eastAsia="宋体"/>
                <w:b w:val="0"/>
                <w:bCs/>
                <w:sz w:val="21"/>
                <w:szCs w:val="21"/>
                <w:lang w:val="en-US" w:eastAsia="zh-CN"/>
              </w:rPr>
            </w:pPr>
            <w:r>
              <w:rPr>
                <w:rFonts w:hint="eastAsia" w:ascii="宋体" w:hAnsi="宋体" w:eastAsia="宋体"/>
                <w:b w:val="0"/>
                <w:bCs/>
                <w:sz w:val="21"/>
                <w:szCs w:val="21"/>
              </w:rPr>
              <w:t>需满足在原有视频监控扩容≥230路；并满足以下功能：</w:t>
            </w:r>
            <w:r>
              <w:rPr>
                <w:rFonts w:hint="eastAsia" w:ascii="宋体" w:hAnsi="宋体" w:eastAsia="宋体"/>
                <w:b w:val="0"/>
                <w:bCs/>
                <w:sz w:val="21"/>
                <w:szCs w:val="21"/>
              </w:rPr>
              <w:br w:type="textWrapping"/>
            </w:r>
            <w:r>
              <w:rPr>
                <w:rFonts w:hint="eastAsia" w:ascii="宋体" w:hAnsi="宋体" w:eastAsia="宋体"/>
                <w:b w:val="0"/>
                <w:bCs/>
                <w:sz w:val="21"/>
                <w:szCs w:val="21"/>
              </w:rPr>
              <w:t>1、平台需支持视频实时预览能力，实现预览窗口布局切换、预览画面自适应及全屏切换；支持云台控制、实时抓图、紧急录像、即时回放、主子码流切换、声音开启\关闭、辅屏预览、对讲、广播、报警输出控制的能力；</w:t>
            </w:r>
            <w:r>
              <w:rPr>
                <w:rFonts w:hint="eastAsia" w:ascii="宋体" w:hAnsi="宋体" w:eastAsia="宋体"/>
                <w:b w:val="0"/>
                <w:bCs/>
                <w:sz w:val="21"/>
                <w:szCs w:val="21"/>
              </w:rPr>
              <w:br w:type="textWrapping"/>
            </w:r>
            <w:r>
              <w:rPr>
                <w:rFonts w:hint="eastAsia" w:ascii="宋体" w:hAnsi="宋体" w:eastAsia="宋体"/>
                <w:b w:val="0"/>
                <w:bCs/>
                <w:sz w:val="21"/>
                <w:szCs w:val="21"/>
              </w:rPr>
              <w:t>2、平台需支持资源视图管理能力，以视图形式管理监控点、视频预览轮巡等自定义资源组，其中视图类型包含公有视图和私有视图；持全景视频监控预览能力；</w:t>
            </w:r>
            <w:r>
              <w:rPr>
                <w:rFonts w:hint="eastAsia" w:ascii="宋体" w:hAnsi="宋体" w:eastAsia="宋体"/>
                <w:b w:val="0"/>
                <w:bCs/>
                <w:sz w:val="21"/>
                <w:szCs w:val="21"/>
              </w:rPr>
              <w:br w:type="textWrapping"/>
            </w:r>
            <w:r>
              <w:rPr>
                <w:rFonts w:hint="eastAsia" w:ascii="宋体" w:hAnsi="宋体" w:eastAsia="宋体"/>
                <w:b w:val="0"/>
                <w:bCs/>
                <w:sz w:val="21"/>
                <w:szCs w:val="21"/>
              </w:rPr>
              <w:t>3、平台需支持录像计划管理能力，支持实时录像计划、录像回传计划；支持录像回放能力，支持多画面同步回放和异步回放切换、超高倍速回放、分段回放、录像下载、录像剪辑、录像标签、录像锁定、录像抓图；</w:t>
            </w:r>
            <w:r>
              <w:rPr>
                <w:rFonts w:hint="eastAsia" w:ascii="宋体" w:hAnsi="宋体" w:eastAsia="宋体"/>
                <w:b w:val="0"/>
                <w:bCs/>
                <w:sz w:val="21"/>
                <w:szCs w:val="21"/>
              </w:rPr>
              <w:br w:type="textWrapping"/>
            </w:r>
            <w:r>
              <w:rPr>
                <w:rFonts w:hint="eastAsia" w:ascii="宋体" w:hAnsi="宋体" w:eastAsia="宋体"/>
                <w:b w:val="0"/>
                <w:bCs/>
                <w:sz w:val="21"/>
                <w:szCs w:val="21"/>
              </w:rPr>
              <w:t>4、平台需支持视频预览与图片实时监控模式切换能力，实现图片监控模式；支持图片查询回放能力，实现按监控点、时间段展示抓拍图片；支持图片自动播放能力，支持图片自动播放速度可设置；支持图片下载能力；</w:t>
            </w:r>
            <w:r>
              <w:rPr>
                <w:rFonts w:hint="eastAsia" w:ascii="宋体" w:hAnsi="宋体" w:eastAsia="宋体"/>
                <w:b w:val="0"/>
                <w:bCs/>
                <w:sz w:val="21"/>
                <w:szCs w:val="21"/>
              </w:rPr>
              <w:br w:type="textWrapping"/>
            </w:r>
            <w:r>
              <w:rPr>
                <w:rFonts w:hint="eastAsia" w:ascii="宋体" w:hAnsi="宋体" w:eastAsia="宋体"/>
                <w:b w:val="0"/>
                <w:bCs/>
                <w:sz w:val="21"/>
                <w:szCs w:val="21"/>
              </w:rPr>
              <w:t>5、平台需支持电视墙场景管理能力，实现场景窗口配置、场景切换计划配置以及轮巡计划的管理；支持上墙控制能力，实现场景一键上墙、场景切换、电视墙切换、监控点上下墙、轮巡控制操作；</w:t>
            </w:r>
            <w:r>
              <w:rPr>
                <w:rFonts w:hint="eastAsia" w:ascii="宋体" w:hAnsi="宋体" w:eastAsia="宋体"/>
                <w:b w:val="0"/>
                <w:bCs/>
                <w:sz w:val="21"/>
                <w:szCs w:val="21"/>
              </w:rPr>
              <w:br w:type="textWrapping"/>
            </w:r>
            <w:r>
              <w:rPr>
                <w:rFonts w:hint="eastAsia" w:ascii="宋体" w:hAnsi="宋体" w:eastAsia="宋体"/>
                <w:b w:val="0"/>
                <w:bCs/>
                <w:sz w:val="21"/>
                <w:szCs w:val="21"/>
              </w:rPr>
              <w:t>6、平台需支持视频事件布撤防能力，可按计划模版进行布防，事件类型包括移动侦测、视频丢失、视频遮挡、报警输入、报警输出；需提供原平台无缝对接承诺</w:t>
            </w:r>
            <w:r>
              <w:rPr>
                <w:rFonts w:hint="eastAsia" w:ascii="宋体" w:hAnsi="宋体" w:eastAsia="宋体"/>
                <w:b w:val="0"/>
                <w:bCs/>
                <w:sz w:val="21"/>
                <w:szCs w:val="21"/>
                <w:lang w:val="en-US" w:eastAsia="zh-CN"/>
              </w:rPr>
              <w:t>书。</w:t>
            </w:r>
          </w:p>
        </w:tc>
        <w:tc>
          <w:tcPr>
            <w:tcW w:w="645" w:type="dxa"/>
            <w:noWrap/>
            <w:vAlign w:val="center"/>
          </w:tcPr>
          <w:p w14:paraId="494A1A9F">
            <w:pPr>
              <w:jc w:val="left"/>
              <w:rPr>
                <w:rFonts w:ascii="宋体" w:hAnsi="宋体" w:eastAsia="宋体"/>
                <w:b w:val="0"/>
                <w:bCs/>
                <w:sz w:val="21"/>
                <w:szCs w:val="21"/>
              </w:rPr>
            </w:pPr>
            <w:r>
              <w:rPr>
                <w:rFonts w:hint="eastAsia" w:ascii="宋体" w:hAnsi="宋体" w:eastAsia="宋体"/>
                <w:b w:val="0"/>
                <w:bCs/>
                <w:sz w:val="21"/>
                <w:szCs w:val="21"/>
              </w:rPr>
              <w:t>个</w:t>
            </w:r>
          </w:p>
        </w:tc>
        <w:tc>
          <w:tcPr>
            <w:tcW w:w="635" w:type="dxa"/>
            <w:noWrap/>
            <w:vAlign w:val="center"/>
          </w:tcPr>
          <w:p w14:paraId="3EFDE281">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230</w:t>
            </w:r>
          </w:p>
        </w:tc>
      </w:tr>
    </w:tbl>
    <w:p w14:paraId="75257E0D">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设备报价清单</w:t>
      </w:r>
    </w:p>
    <w:tbl>
      <w:tblPr>
        <w:tblStyle w:val="30"/>
        <w:tblW w:w="984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645"/>
        <w:gridCol w:w="1459"/>
        <w:gridCol w:w="1582"/>
        <w:gridCol w:w="1514"/>
        <w:gridCol w:w="1745"/>
      </w:tblGrid>
      <w:tr w14:paraId="7EA9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5E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C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1388110</wp:posOffset>
                  </wp:positionH>
                  <wp:positionV relativeFrom="paragraph">
                    <wp:posOffset>2540</wp:posOffset>
                  </wp:positionV>
                  <wp:extent cx="76200" cy="76200"/>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2"/>
                          <a:stretch>
                            <a:fillRect/>
                          </a:stretch>
                        </pic:blipFill>
                        <pic:spPr>
                          <a:xfrm>
                            <a:off x="0" y="0"/>
                            <a:ext cx="76200" cy="76200"/>
                          </a:xfrm>
                          <a:prstGeom prst="rect">
                            <a:avLst/>
                          </a:prstGeom>
                          <a:noFill/>
                          <a:ln>
                            <a:noFill/>
                          </a:ln>
                        </pic:spPr>
                      </pic:pic>
                    </a:graphicData>
                  </a:graphic>
                </wp:anchor>
              </w:drawing>
            </w:r>
            <w:r>
              <w:rPr>
                <w:rFonts w:hint="eastAsia" w:ascii="宋体" w:hAnsi="宋体" w:eastAsia="宋体" w:cs="宋体"/>
                <w:b/>
                <w:bCs/>
                <w:i w:val="0"/>
                <w:iCs w:val="0"/>
                <w:color w:val="000000"/>
                <w:kern w:val="0"/>
                <w:sz w:val="21"/>
                <w:szCs w:val="21"/>
                <w:u w:val="none"/>
                <w:lang w:val="en-US" w:eastAsia="zh-CN" w:bidi="ar"/>
              </w:rPr>
              <w:t>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C5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D4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E7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7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w:t>
            </w:r>
          </w:p>
        </w:tc>
      </w:tr>
      <w:tr w14:paraId="371A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3E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8E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可视化红外火焰摄像机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7C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F5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05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1244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01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262484</w:t>
            </w:r>
          </w:p>
        </w:tc>
      </w:tr>
      <w:tr w14:paraId="2A29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F5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77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网络存储设备</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60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59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17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198845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1A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198845</w:t>
            </w:r>
          </w:p>
        </w:tc>
      </w:tr>
      <w:tr w14:paraId="3DAA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0A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42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视频图像火灾报警监测模块</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30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48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3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EC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w:t>
            </w:r>
          </w:p>
        </w:tc>
      </w:tr>
      <w:tr w14:paraId="3A69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51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25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消防网管模块</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3D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20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D2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AD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w:t>
            </w:r>
          </w:p>
        </w:tc>
      </w:tr>
      <w:tr w14:paraId="5344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F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90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10口千兆POE交换机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F2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4E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49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1566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E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4698</w:t>
            </w:r>
          </w:p>
        </w:tc>
      </w:tr>
      <w:tr w14:paraId="251B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C6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E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26口千兆POE交换机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0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B2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5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2647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5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37058</w:t>
            </w:r>
          </w:p>
        </w:tc>
      </w:tr>
      <w:tr w14:paraId="6D7C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27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13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8口千兆交换机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CD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81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5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1123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DA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11230</w:t>
            </w:r>
          </w:p>
        </w:tc>
      </w:tr>
      <w:tr w14:paraId="4B8F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BC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7D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千兆光收发器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86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7E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5C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1211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44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6055</w:t>
            </w:r>
          </w:p>
        </w:tc>
      </w:tr>
      <w:tr w14:paraId="57A5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9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62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六类网线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6C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箱</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1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21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895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43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62650</w:t>
            </w:r>
          </w:p>
        </w:tc>
      </w:tr>
      <w:tr w14:paraId="0D70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C4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56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六类水晶头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3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1D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44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F3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800</w:t>
            </w:r>
          </w:p>
        </w:tc>
      </w:tr>
      <w:tr w14:paraId="29F1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2D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44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镀锌铁管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E9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米</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B9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E6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09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18000</w:t>
            </w:r>
          </w:p>
        </w:tc>
      </w:tr>
      <w:tr w14:paraId="1128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17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D1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半球支架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CE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4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37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9C2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10550</w:t>
            </w:r>
          </w:p>
        </w:tc>
      </w:tr>
      <w:tr w14:paraId="4F6B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B9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87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视频监控扩容230路</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AB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36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19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9F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27600</w:t>
            </w:r>
          </w:p>
        </w:tc>
      </w:tr>
      <w:tr w14:paraId="53B6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14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F3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后端软件调试</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A3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E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04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15000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E8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15000</w:t>
            </w:r>
          </w:p>
        </w:tc>
      </w:tr>
      <w:tr w14:paraId="15F0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6F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2645" w:type="dxa"/>
            <w:tcBorders>
              <w:top w:val="single" w:color="000000" w:sz="4" w:space="0"/>
              <w:left w:val="single" w:color="000000" w:sz="4" w:space="0"/>
              <w:bottom w:val="single" w:color="000000" w:sz="4" w:space="0"/>
              <w:right w:val="nil"/>
            </w:tcBorders>
            <w:shd w:val="clear" w:color="auto" w:fill="auto"/>
            <w:noWrap/>
            <w:vAlign w:val="center"/>
          </w:tcPr>
          <w:p w14:paraId="603A4E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前端设备安装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6A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BC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37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93000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86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93000</w:t>
            </w:r>
          </w:p>
        </w:tc>
      </w:tr>
      <w:tr w14:paraId="72D4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93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72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E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A79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757970</w:t>
            </w:r>
          </w:p>
        </w:tc>
      </w:tr>
    </w:tbl>
    <w:p w14:paraId="54A4B61B">
      <w:pPr>
        <w:jc w:val="left"/>
        <w:rPr>
          <w:rFonts w:hint="default"/>
          <w:b w:val="0"/>
          <w:sz w:val="28"/>
          <w:szCs w:val="28"/>
          <w:lang w:val="en-US" w:eastAsia="zh-CN"/>
        </w:rPr>
      </w:pPr>
    </w:p>
    <w:p w14:paraId="1E175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eastAsia="宋体" w:cs="宋体"/>
          <w:sz w:val="24"/>
          <w:szCs w:val="24"/>
          <w:lang w:val="en-US" w:eastAsia="zh-CN"/>
        </w:rPr>
        <w:br w:type="page"/>
      </w:r>
    </w:p>
    <w:bookmarkEnd w:id="146"/>
    <w:p w14:paraId="6125681D">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outlineLvl w:val="0"/>
        <w:rPr>
          <w:rFonts w:hint="eastAsia" w:ascii="宋体" w:hAnsi="宋体" w:eastAsia="宋体" w:cs="宋体"/>
          <w:b/>
          <w:bCs w:val="0"/>
          <w:color w:val="auto"/>
          <w:sz w:val="24"/>
          <w:szCs w:val="24"/>
          <w:highlight w:val="none"/>
          <w:lang w:eastAsia="zh-CN"/>
        </w:rPr>
      </w:pPr>
      <w:bookmarkStart w:id="148" w:name="_Toc3313"/>
      <w:bookmarkStart w:id="149" w:name="_Toc17884_WPSOffice_Level1"/>
      <w:r>
        <w:rPr>
          <w:rFonts w:hint="eastAsia" w:ascii="宋体" w:hAnsi="宋体" w:eastAsia="宋体" w:cs="宋体"/>
          <w:b/>
          <w:bCs w:val="0"/>
          <w:color w:val="auto"/>
          <w:sz w:val="24"/>
          <w:szCs w:val="24"/>
          <w:highlight w:val="none"/>
          <w:lang w:eastAsia="zh-CN"/>
        </w:rPr>
        <w:t>第五章  评标办法</w:t>
      </w:r>
      <w:bookmarkEnd w:id="148"/>
      <w:bookmarkEnd w:id="149"/>
      <w:bookmarkStart w:id="150" w:name="_Hlt101846155"/>
      <w:bookmarkEnd w:id="150"/>
      <w:bookmarkStart w:id="151" w:name="_Toc208849007"/>
      <w:bookmarkStart w:id="152" w:name="_Toc183582280"/>
      <w:bookmarkStart w:id="153" w:name="_Toc217446097"/>
      <w:bookmarkStart w:id="154" w:name="_Toc183682415"/>
    </w:p>
    <w:p w14:paraId="22199A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51"/>
      <w:bookmarkEnd w:id="152"/>
      <w:bookmarkEnd w:id="153"/>
      <w:bookmarkEnd w:id="154"/>
    </w:p>
    <w:p w14:paraId="2A53CA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中华人民共和国政府采购法实施条例》和《政府采购货物和服务招标投标管理办法》（财政部第87号令）等法律法规、规章和相关规定，结合招标项目特点制定本评标办法。</w:t>
      </w:r>
    </w:p>
    <w:p w14:paraId="5C14D7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2CECDC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508B9A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33B9B0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724F93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对投标文件有关事项作出解释或者澄清；</w:t>
      </w:r>
    </w:p>
    <w:p w14:paraId="29AEAD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14:paraId="671CEC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55" w:name="_Toc217446098"/>
    </w:p>
    <w:p w14:paraId="55755A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评标过程严格保密。投标人对评标委员会的评标过程或合同授予决定施加影响的任何行为都可能导致其投标被拒绝。</w:t>
      </w:r>
    </w:p>
    <w:p w14:paraId="45E78B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1B64C1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3DDBC5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3F74ED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4DBAB1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55"/>
    </w:p>
    <w:p w14:paraId="004926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bookmarkStart w:id="156" w:name="_Toc217446099"/>
      <w:r>
        <w:rPr>
          <w:rFonts w:hint="eastAsia" w:ascii="宋体" w:hAnsi="宋体" w:eastAsia="宋体" w:cs="宋体"/>
          <w:color w:val="auto"/>
          <w:sz w:val="24"/>
          <w:szCs w:val="24"/>
          <w:highlight w:val="none"/>
        </w:rPr>
        <w:t>3.1资格审查</w:t>
      </w:r>
    </w:p>
    <w:p w14:paraId="31CA16AD">
      <w:pPr>
        <w:keepNext/>
        <w:keepLines/>
        <w:pageBreakBefore w:val="0"/>
        <w:wordWrap/>
        <w:overflowPunct/>
        <w:topLinePunct w:val="0"/>
        <w:bidi w:val="0"/>
        <w:spacing w:line="560" w:lineRule="exact"/>
        <w:ind w:left="0" w:leftChars="0" w:right="0" w:rightChars="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30"/>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1"/>
        <w:gridCol w:w="3496"/>
        <w:gridCol w:w="4557"/>
      </w:tblGrid>
      <w:tr w14:paraId="2B63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840" w:type="dxa"/>
            <w:vMerge w:val="restart"/>
            <w:vAlign w:val="center"/>
          </w:tcPr>
          <w:p w14:paraId="688D5778">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92" w:type="dxa"/>
            <w:vMerge w:val="restart"/>
            <w:vAlign w:val="center"/>
          </w:tcPr>
          <w:p w14:paraId="643DA965">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cs="宋体"/>
                <w:color w:val="auto"/>
                <w:sz w:val="24"/>
                <w:szCs w:val="24"/>
                <w:highlight w:val="none"/>
                <w:lang w:val="en-US" w:eastAsia="zh-CN"/>
              </w:rPr>
              <w:t>因素</w:t>
            </w:r>
          </w:p>
        </w:tc>
        <w:tc>
          <w:tcPr>
            <w:tcW w:w="4553" w:type="dxa"/>
            <w:vMerge w:val="restart"/>
            <w:vAlign w:val="center"/>
          </w:tcPr>
          <w:p w14:paraId="28C02A6E">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审查标准</w:t>
            </w:r>
          </w:p>
        </w:tc>
      </w:tr>
      <w:tr w14:paraId="392C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40" w:type="dxa"/>
            <w:vMerge w:val="continue"/>
            <w:vAlign w:val="center"/>
          </w:tcPr>
          <w:p w14:paraId="6F291782">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3492" w:type="dxa"/>
            <w:vMerge w:val="continue"/>
            <w:vAlign w:val="center"/>
          </w:tcPr>
          <w:p w14:paraId="530F9C00">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4553" w:type="dxa"/>
            <w:vMerge w:val="continue"/>
            <w:vAlign w:val="center"/>
          </w:tcPr>
          <w:p w14:paraId="0F142F88">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p>
        </w:tc>
      </w:tr>
      <w:tr w14:paraId="6F7E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40" w:type="dxa"/>
            <w:vAlign w:val="center"/>
          </w:tcPr>
          <w:p w14:paraId="11013B62">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92" w:type="dxa"/>
            <w:vAlign w:val="center"/>
          </w:tcPr>
          <w:p w14:paraId="79C5897B">
            <w:pPr>
              <w:pStyle w:val="89"/>
              <w:keepNext w:val="0"/>
              <w:keepLines w:val="0"/>
              <w:pageBreakBefore w:val="0"/>
              <w:kinsoku/>
              <w:wordWrap/>
              <w:overflowPunct/>
              <w:topLinePunct w:val="0"/>
              <w:autoSpaceDE/>
              <w:autoSpaceDN/>
              <w:bidi w:val="0"/>
              <w:adjustRightInd/>
              <w:snapToGrid/>
              <w:spacing w:line="240" w:lineRule="auto"/>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具有独立承担民事责任的能力；</w:t>
            </w:r>
          </w:p>
        </w:tc>
        <w:tc>
          <w:tcPr>
            <w:tcW w:w="4553" w:type="dxa"/>
            <w:vAlign w:val="center"/>
          </w:tcPr>
          <w:p w14:paraId="372EBCD7">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投标人为企业（包括合伙企业）的，应提供有效的“营业执照”；</w:t>
            </w:r>
          </w:p>
          <w:p w14:paraId="7AEEE3B0">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4F8F25C8">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19D2134C">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358A1434">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753CC73A">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4"/>
                <w:szCs w:val="24"/>
                <w:highlight w:val="none"/>
                <w:lang w:eastAsia="zh-CN"/>
              </w:rPr>
              <w:t>。</w:t>
            </w:r>
          </w:p>
        </w:tc>
      </w:tr>
      <w:tr w14:paraId="771C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0" w:type="dxa"/>
            <w:vAlign w:val="center"/>
          </w:tcPr>
          <w:p w14:paraId="49FDB082">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92" w:type="dxa"/>
            <w:vAlign w:val="center"/>
          </w:tcPr>
          <w:p w14:paraId="5791B8C4">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4553" w:type="dxa"/>
            <w:vAlign w:val="center"/>
          </w:tcPr>
          <w:p w14:paraId="5320F7B3">
            <w:pPr>
              <w:pStyle w:val="89"/>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截止时间后，由</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代理公司统一登陆网站查询上传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信誉情况，并以保存的网页查询截图为准；</w:t>
            </w:r>
          </w:p>
          <w:p w14:paraId="5CBBAAC7">
            <w:pPr>
              <w:pStyle w:val="24"/>
              <w:pageBreakBefore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②近6个月内任意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个月银行资信证明或</w:t>
            </w:r>
            <w:r>
              <w:rPr>
                <w:rFonts w:hint="eastAsia" w:ascii="宋体" w:hAnsi="宋体" w:eastAsia="宋体" w:cs="宋体"/>
                <w:color w:val="auto"/>
                <w:sz w:val="24"/>
                <w:szCs w:val="24"/>
                <w:highlight w:val="none"/>
                <w:lang w:val="en-US" w:eastAsia="zh-CN"/>
              </w:rPr>
              <w:t>上一年度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2024年度</w:t>
            </w:r>
            <w:r>
              <w:rPr>
                <w:rFonts w:hint="eastAsia" w:ascii="宋体" w:hAnsi="宋体" w:eastAsia="宋体" w:cs="宋体"/>
                <w:color w:val="auto"/>
                <w:sz w:val="24"/>
                <w:szCs w:val="24"/>
                <w:highlight w:val="none"/>
              </w:rPr>
              <w:t>）经审计的财务报告（提供任一项即可，自然人无需提供）。</w:t>
            </w:r>
          </w:p>
          <w:p w14:paraId="7FA85E7B">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新成立企业仅需提供近6个月内任意</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个月银行资信证明即可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新成立企业是指：营业执照申领时间至</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未满一年的企业。</w:t>
            </w:r>
          </w:p>
        </w:tc>
      </w:tr>
      <w:tr w14:paraId="1F6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0" w:type="dxa"/>
            <w:vAlign w:val="center"/>
          </w:tcPr>
          <w:p w14:paraId="51A0565E">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92" w:type="dxa"/>
            <w:vAlign w:val="center"/>
          </w:tcPr>
          <w:p w14:paraId="7D566318">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553" w:type="dxa"/>
            <w:vAlign w:val="center"/>
          </w:tcPr>
          <w:p w14:paraId="5C86966A">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须提供：①相关设备设施购置发票或单据或承诺函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提供任一项即可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79C5651">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pacing w:val="-2"/>
                <w:sz w:val="24"/>
                <w:szCs w:val="24"/>
                <w:highlight w:val="none"/>
              </w:rPr>
              <w:t>提供具有履行合同所必需的专业技术能力相关证明材料或</w:t>
            </w:r>
            <w:r>
              <w:rPr>
                <w:rFonts w:hint="eastAsia" w:ascii="宋体" w:hAnsi="宋体" w:eastAsia="宋体" w:cs="宋体"/>
                <w:color w:val="auto"/>
                <w:sz w:val="24"/>
                <w:szCs w:val="24"/>
                <w:highlight w:val="none"/>
              </w:rPr>
              <w:t>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提供任一项即可</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tc>
      </w:tr>
      <w:tr w14:paraId="1417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0" w:type="dxa"/>
            <w:vAlign w:val="center"/>
          </w:tcPr>
          <w:p w14:paraId="12E408A7">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92" w:type="dxa"/>
            <w:vAlign w:val="center"/>
          </w:tcPr>
          <w:p w14:paraId="41D0839B">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4553" w:type="dxa"/>
            <w:vAlign w:val="center"/>
          </w:tcPr>
          <w:p w14:paraId="6B14D6B7">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个月已依法缴纳税收的凭据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自然人无需提供</w:t>
            </w:r>
            <w:r>
              <w:rPr>
                <w:rFonts w:hint="eastAsia" w:ascii="宋体" w:hAnsi="宋体" w:eastAsia="宋体" w:cs="宋体"/>
                <w:color w:val="auto"/>
                <w:sz w:val="24"/>
                <w:szCs w:val="24"/>
                <w:highlight w:val="none"/>
              </w:rPr>
              <w:t>；②近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个月已依法缴纳社会保险的凭据（依法免税</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，应提供相应证明文件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自然人无需提供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1B3F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0" w:type="dxa"/>
            <w:vAlign w:val="center"/>
          </w:tcPr>
          <w:p w14:paraId="3C1D48F9">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92" w:type="dxa"/>
            <w:vAlign w:val="center"/>
          </w:tcPr>
          <w:p w14:paraId="5A300FD7">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4553" w:type="dxa"/>
            <w:vAlign w:val="center"/>
          </w:tcPr>
          <w:p w14:paraId="6A46AEBF">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承诺函（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自行承诺并承担后果，声明不实的，按《政府采购法》及相关法律法规中提供虚假材料的有关规定处理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c>
      </w:tr>
      <w:tr w14:paraId="42E5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840" w:type="dxa"/>
            <w:vAlign w:val="center"/>
          </w:tcPr>
          <w:p w14:paraId="2E529246">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3492" w:type="dxa"/>
            <w:vAlign w:val="center"/>
          </w:tcPr>
          <w:p w14:paraId="49068C5A">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投标人信用记录</w:t>
            </w:r>
            <w:r>
              <w:rPr>
                <w:rFonts w:hint="eastAsia" w:ascii="宋体" w:hAnsi="宋体" w:cs="宋体"/>
                <w:color w:val="auto"/>
                <w:sz w:val="24"/>
                <w:szCs w:val="24"/>
                <w:highlight w:val="none"/>
                <w:lang w:eastAsia="zh-CN"/>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553" w:type="dxa"/>
            <w:vAlign w:val="center"/>
          </w:tcPr>
          <w:p w14:paraId="32441EDB">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查询渠道：信用中国网站和中国政府采购网</w:t>
            </w:r>
          </w:p>
          <w:p w14:paraId="49D6B87D">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查询时间：投标截止时间后至资格审查阶段完成；</w:t>
            </w:r>
          </w:p>
          <w:p w14:paraId="6140DBED">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w:t>
            </w:r>
          </w:p>
          <w:p w14:paraId="4E7D08CC">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无须投标人提供，由采购人或采购代理机构查询结果为准。</w:t>
            </w:r>
          </w:p>
        </w:tc>
      </w:tr>
      <w:tr w14:paraId="0350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85" w:type="dxa"/>
            <w:gridSpan w:val="3"/>
            <w:vAlign w:val="center"/>
          </w:tcPr>
          <w:p w14:paraId="3D182BC2">
            <w:pPr>
              <w:pStyle w:val="89"/>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如果资格性审查有一项未通过上述审查标准，</w:t>
            </w:r>
            <w:r>
              <w:rPr>
                <w:rFonts w:hint="eastAsia" w:ascii="宋体" w:hAnsi="宋体" w:eastAsia="宋体" w:cs="宋体"/>
                <w:color w:val="auto"/>
                <w:sz w:val="21"/>
                <w:szCs w:val="21"/>
                <w:highlight w:val="none"/>
                <w:shd w:val="clear" w:color="auto" w:fill="FFFFFF"/>
                <w:lang w:eastAsia="zh-CN"/>
              </w:rPr>
              <w:t>评审委员会</w:t>
            </w:r>
            <w:r>
              <w:rPr>
                <w:rFonts w:hint="eastAsia" w:ascii="宋体" w:hAnsi="宋体" w:eastAsia="宋体" w:cs="宋体"/>
                <w:color w:val="auto"/>
                <w:sz w:val="21"/>
                <w:szCs w:val="21"/>
                <w:highlight w:val="none"/>
                <w:shd w:val="clear" w:color="auto" w:fill="FFFFFF"/>
              </w:rPr>
              <w:t>将认定整个投标文件不响应招标文件而予以无效处理，并且不允许</w:t>
            </w:r>
            <w:r>
              <w:rPr>
                <w:rFonts w:hint="eastAsia" w:ascii="宋体" w:hAnsi="宋体" w:eastAsia="宋体" w:cs="宋体"/>
                <w:color w:val="auto"/>
                <w:sz w:val="21"/>
                <w:szCs w:val="21"/>
                <w:highlight w:val="none"/>
                <w:shd w:val="clear" w:color="auto" w:fill="FFFFFF"/>
                <w:lang w:eastAsia="zh-CN"/>
              </w:rPr>
              <w:t>投标供应商</w:t>
            </w:r>
            <w:r>
              <w:rPr>
                <w:rFonts w:hint="eastAsia" w:ascii="宋体" w:hAnsi="宋体" w:eastAsia="宋体" w:cs="宋体"/>
                <w:color w:val="auto"/>
                <w:sz w:val="21"/>
                <w:szCs w:val="21"/>
                <w:highlight w:val="none"/>
                <w:shd w:val="clear" w:color="auto" w:fill="FFFFFF"/>
              </w:rPr>
              <w:t>通过修改或撤销其不符合要求的差异或保留，使之成为具有响应性的投标。</w:t>
            </w:r>
          </w:p>
        </w:tc>
      </w:tr>
    </w:tbl>
    <w:p w14:paraId="640E8CD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1770A50B">
      <w:pPr>
        <w:pageBreakBefore w:val="0"/>
        <w:wordWrap/>
        <w:overflowPunct/>
        <w:topLinePunct w:val="0"/>
        <w:bidi w:val="0"/>
        <w:spacing w:line="560" w:lineRule="exact"/>
        <w:ind w:left="0" w:leftChars="0" w:right="0" w:rightChars="0"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33C3AC06">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0"/>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7918"/>
      </w:tblGrid>
      <w:tr w14:paraId="3E0B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54" w:type="dxa"/>
            <w:vMerge w:val="restart"/>
            <w:vAlign w:val="center"/>
          </w:tcPr>
          <w:p w14:paraId="19A030F5">
            <w:pPr>
              <w:pStyle w:val="89"/>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910" w:type="dxa"/>
            <w:vMerge w:val="restart"/>
            <w:vAlign w:val="center"/>
          </w:tcPr>
          <w:p w14:paraId="3F7B1C37">
            <w:pPr>
              <w:pStyle w:val="89"/>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r>
      <w:tr w14:paraId="5A43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654" w:type="dxa"/>
            <w:vMerge w:val="continue"/>
            <w:vAlign w:val="center"/>
          </w:tcPr>
          <w:p w14:paraId="2E32424A">
            <w:pPr>
              <w:pStyle w:val="89"/>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c>
          <w:tcPr>
            <w:tcW w:w="7910" w:type="dxa"/>
            <w:vMerge w:val="continue"/>
            <w:vAlign w:val="center"/>
          </w:tcPr>
          <w:p w14:paraId="6CD5D7E1">
            <w:pPr>
              <w:pStyle w:val="89"/>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r>
      <w:tr w14:paraId="2247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4" w:type="dxa"/>
            <w:vAlign w:val="center"/>
          </w:tcPr>
          <w:p w14:paraId="42A8710A">
            <w:pPr>
              <w:pStyle w:val="89"/>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7910" w:type="dxa"/>
            <w:vAlign w:val="center"/>
          </w:tcPr>
          <w:p w14:paraId="3D81BADE">
            <w:pPr>
              <w:pStyle w:val="89"/>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cs="宋体"/>
                <w:color w:val="auto"/>
                <w:highlight w:val="none"/>
              </w:rPr>
              <w:t>按照招标文件规定的格式要求编制投标文件，实质性响应招标文件内容</w:t>
            </w:r>
            <w:r>
              <w:rPr>
                <w:rFonts w:hint="eastAsia" w:ascii="宋体" w:hAnsi="宋体" w:eastAsia="宋体" w:cs="宋体"/>
                <w:color w:val="auto"/>
                <w:sz w:val="24"/>
                <w:szCs w:val="24"/>
                <w:highlight w:val="none"/>
                <w:lang w:eastAsia="zh-CN"/>
              </w:rPr>
              <w:t>；</w:t>
            </w:r>
          </w:p>
        </w:tc>
      </w:tr>
      <w:tr w14:paraId="444F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4" w:type="dxa"/>
            <w:vAlign w:val="center"/>
          </w:tcPr>
          <w:p w14:paraId="5FDFAFDE">
            <w:pPr>
              <w:pStyle w:val="89"/>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910" w:type="dxa"/>
            <w:vAlign w:val="center"/>
          </w:tcPr>
          <w:p w14:paraId="2F196180">
            <w:pPr>
              <w:pStyle w:val="89"/>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要求签署、盖章；</w:t>
            </w:r>
          </w:p>
        </w:tc>
      </w:tr>
      <w:tr w14:paraId="276C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4" w:type="dxa"/>
            <w:vAlign w:val="center"/>
          </w:tcPr>
          <w:p w14:paraId="2045AABC">
            <w:pPr>
              <w:pStyle w:val="89"/>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910" w:type="dxa"/>
            <w:vAlign w:val="center"/>
          </w:tcPr>
          <w:p w14:paraId="4C64C875">
            <w:pPr>
              <w:pStyle w:val="89"/>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w:t>
            </w:r>
          </w:p>
        </w:tc>
      </w:tr>
      <w:tr w14:paraId="212A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654" w:type="dxa"/>
            <w:vAlign w:val="center"/>
          </w:tcPr>
          <w:p w14:paraId="277B2F56">
            <w:pPr>
              <w:pStyle w:val="89"/>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910" w:type="dxa"/>
            <w:vAlign w:val="center"/>
          </w:tcPr>
          <w:p w14:paraId="61E0D375">
            <w:pPr>
              <w:pStyle w:val="89"/>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中规定的最高限价</w:t>
            </w:r>
            <w:r>
              <w:rPr>
                <w:rFonts w:hint="eastAsia" w:ascii="宋体" w:hAnsi="宋体" w:eastAsia="宋体" w:cs="宋体"/>
                <w:sz w:val="24"/>
                <w:szCs w:val="32"/>
              </w:rPr>
              <w:t>（包括投标总报价及分项投标报价）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zh-CN"/>
              </w:rPr>
              <w:t>任何有选择的报价或有附加条件的报价，视为无效报价</w:t>
            </w:r>
            <w:r>
              <w:rPr>
                <w:rFonts w:hint="eastAsia" w:ascii="宋体" w:hAnsi="宋体" w:eastAsia="宋体" w:cs="宋体"/>
                <w:color w:val="auto"/>
                <w:sz w:val="24"/>
                <w:szCs w:val="24"/>
                <w:highlight w:val="none"/>
              </w:rPr>
              <w:t>；</w:t>
            </w:r>
          </w:p>
        </w:tc>
      </w:tr>
      <w:tr w14:paraId="3CAB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4" w:type="dxa"/>
            <w:vAlign w:val="center"/>
          </w:tcPr>
          <w:p w14:paraId="7B84B4D1">
            <w:pPr>
              <w:pStyle w:val="89"/>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910" w:type="dxa"/>
            <w:vAlign w:val="center"/>
          </w:tcPr>
          <w:p w14:paraId="140FEBFC">
            <w:pPr>
              <w:pStyle w:val="89"/>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服务期、投标有效期、质量标准符合招标文件要求；（提供本项目所投产品与原有平台及设备实现无缝对接，不产生任何相关费用，保障平台能够稳定运行的承诺书）。</w:t>
            </w:r>
          </w:p>
        </w:tc>
      </w:tr>
      <w:tr w14:paraId="54B3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4" w:type="dxa"/>
            <w:vAlign w:val="center"/>
          </w:tcPr>
          <w:p w14:paraId="6B7ADDCE">
            <w:pPr>
              <w:pStyle w:val="89"/>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910" w:type="dxa"/>
            <w:vAlign w:val="center"/>
          </w:tcPr>
          <w:p w14:paraId="10542B00">
            <w:pPr>
              <w:pStyle w:val="89"/>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采购人不能接受的附加条件</w:t>
            </w:r>
            <w:r>
              <w:rPr>
                <w:rFonts w:hint="eastAsia" w:ascii="宋体" w:hAnsi="宋体" w:eastAsia="宋体" w:cs="宋体"/>
                <w:color w:val="auto"/>
                <w:sz w:val="24"/>
                <w:szCs w:val="24"/>
                <w:highlight w:val="none"/>
              </w:rPr>
              <w:t>。</w:t>
            </w:r>
          </w:p>
        </w:tc>
      </w:tr>
      <w:tr w14:paraId="277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exact"/>
          <w:jc w:val="center"/>
        </w:trPr>
        <w:tc>
          <w:tcPr>
            <w:tcW w:w="8564" w:type="dxa"/>
            <w:gridSpan w:val="2"/>
            <w:vAlign w:val="center"/>
          </w:tcPr>
          <w:p w14:paraId="73963352">
            <w:pPr>
              <w:pStyle w:val="89"/>
              <w:pageBreakBefore w:val="0"/>
              <w:kinsoku/>
              <w:wordWrap/>
              <w:overflowPunct/>
              <w:topLinePunct w:val="0"/>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val="en-US" w:eastAsia="zh-CN"/>
              </w:rPr>
              <w:t>符合性审查</w:t>
            </w:r>
            <w:r>
              <w:rPr>
                <w:rFonts w:hint="eastAsia" w:ascii="宋体" w:hAnsi="宋体" w:eastAsia="宋体" w:cs="宋体"/>
                <w:color w:val="auto"/>
                <w:sz w:val="21"/>
                <w:szCs w:val="21"/>
                <w:highlight w:val="none"/>
              </w:rPr>
              <w:t>中有一项未通过上述审查标准，</w:t>
            </w:r>
            <w:r>
              <w:rPr>
                <w:rFonts w:hint="eastAsia" w:ascii="宋体" w:hAnsi="宋体" w:cs="宋体"/>
                <w:color w:val="auto"/>
                <w:sz w:val="21"/>
                <w:szCs w:val="21"/>
                <w:highlight w:val="none"/>
                <w:lang w:eastAsia="zh-CN"/>
              </w:rPr>
              <w:t>评审委员会</w:t>
            </w:r>
            <w:r>
              <w:rPr>
                <w:rFonts w:hint="eastAsia" w:ascii="宋体" w:hAnsi="宋体" w:eastAsia="宋体" w:cs="宋体"/>
                <w:color w:val="auto"/>
                <w:sz w:val="21"/>
                <w:szCs w:val="21"/>
                <w:highlight w:val="none"/>
              </w:rPr>
              <w:t>将认定整个投标文件不响应招标文件而予以无效处理，并且不允许</w:t>
            </w:r>
            <w:r>
              <w:rPr>
                <w:rFonts w:hint="eastAsia" w:ascii="宋体" w:hAnsi="宋体" w:cs="宋体"/>
                <w:color w:val="auto"/>
                <w:sz w:val="21"/>
                <w:szCs w:val="21"/>
                <w:highlight w:val="none"/>
                <w:lang w:eastAsia="zh-CN"/>
              </w:rPr>
              <w:t>投标供应商</w:t>
            </w:r>
            <w:r>
              <w:rPr>
                <w:rFonts w:hint="eastAsia" w:ascii="宋体" w:hAnsi="宋体" w:eastAsia="宋体" w:cs="宋体"/>
                <w:color w:val="auto"/>
                <w:sz w:val="21"/>
                <w:szCs w:val="21"/>
                <w:highlight w:val="none"/>
              </w:rPr>
              <w:t>通过修改或撤销其不符合要求的差异或保留，使之成为具有响应性的投标</w:t>
            </w:r>
            <w:r>
              <w:rPr>
                <w:rFonts w:hint="eastAsia" w:ascii="宋体" w:hAnsi="宋体" w:eastAsia="宋体" w:cs="宋体"/>
                <w:color w:val="auto"/>
                <w:sz w:val="21"/>
                <w:szCs w:val="21"/>
                <w:highlight w:val="none"/>
                <w:lang w:eastAsia="zh-CN"/>
              </w:rPr>
              <w:t>。</w:t>
            </w:r>
          </w:p>
        </w:tc>
      </w:tr>
    </w:tbl>
    <w:p w14:paraId="78C92A48">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4687685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7" w:name="_Toc217446104"/>
      <w:bookmarkStart w:id="158" w:name="_Toc183682422"/>
      <w:bookmarkStart w:id="159" w:name="_Toc183582287"/>
    </w:p>
    <w:bookmarkEnd w:id="157"/>
    <w:bookmarkEnd w:id="158"/>
    <w:bookmarkEnd w:id="159"/>
    <w:p w14:paraId="10D4BEA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14:paraId="79AAD25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14:paraId="47F735A9">
      <w:pPr>
        <w:pStyle w:val="84"/>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14:paraId="31A2904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3.6编写评标报告。评标报告是评标委员会根据评标委员成员签字的原始评标记录和评标结果编写的报告，其主要内容包括：</w:t>
      </w:r>
    </w:p>
    <w:p w14:paraId="502AC65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14:paraId="7E0DE71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（2）参与竞争的的投标人名单和评标委员会成员名单；</w:t>
      </w:r>
    </w:p>
    <w:p w14:paraId="4827D38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14:paraId="5F55FDF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14:paraId="52A7624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14:paraId="5FA56EE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0" w:name="_Toc217446103"/>
      <w:r>
        <w:rPr>
          <w:rFonts w:hint="eastAsia" w:ascii="宋体" w:hAnsi="宋体" w:eastAsia="宋体" w:cs="宋体"/>
          <w:color w:val="auto"/>
          <w:sz w:val="24"/>
          <w:szCs w:val="24"/>
          <w:highlight w:val="none"/>
        </w:rPr>
        <w:t>4. 评标细则及标准</w:t>
      </w:r>
      <w:bookmarkEnd w:id="160"/>
    </w:p>
    <w:p w14:paraId="62F5921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14:paraId="3418A9C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14:paraId="72A30C3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14:paraId="76D884DD">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评标细则及标准的制定以科学合理、降低评标委员会自由裁量权为原则。</w:t>
      </w:r>
    </w:p>
    <w:p w14:paraId="6052C5C2">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评标委员会将按照下述评分标准对通过符合性审查的投标文件进行详细评标，投标人评标得分等于所有评委评分的算术平均值，结果保留两位小数。</w:t>
      </w:r>
    </w:p>
    <w:p w14:paraId="02C3075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评审因素权重表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123"/>
        <w:gridCol w:w="2411"/>
        <w:gridCol w:w="2902"/>
      </w:tblGrid>
      <w:tr w14:paraId="6B59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66BCD1C4">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76B8A93D">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0F523F5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635B058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14:paraId="39CB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5287F22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48C3BE0A">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39E7765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29AD8CCB">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14:paraId="6CD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29F82FD0">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vAlign w:val="center"/>
          </w:tcPr>
          <w:p w14:paraId="0B58A84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cs="宋体"/>
                <w:color w:val="auto"/>
                <w:spacing w:val="6"/>
                <w:kern w:val="0"/>
                <w:sz w:val="24"/>
                <w:szCs w:val="24"/>
                <w:highlight w:val="none"/>
                <w:lang w:val="en-US" w:eastAsia="zh-CN"/>
              </w:rPr>
              <w:t>30</w:t>
            </w:r>
            <w:r>
              <w:rPr>
                <w:rFonts w:hint="eastAsia" w:ascii="宋体" w:hAnsi="宋体" w:eastAsia="宋体" w:cs="宋体"/>
                <w:color w:val="auto"/>
                <w:spacing w:val="6"/>
                <w:kern w:val="0"/>
                <w:sz w:val="24"/>
                <w:szCs w:val="24"/>
                <w:highlight w:val="none"/>
              </w:rPr>
              <w:t>%</w:t>
            </w:r>
          </w:p>
        </w:tc>
        <w:tc>
          <w:tcPr>
            <w:tcW w:w="1315" w:type="pct"/>
            <w:tcBorders>
              <w:top w:val="single" w:color="auto" w:sz="4" w:space="0"/>
              <w:left w:val="single" w:color="auto" w:sz="4" w:space="0"/>
              <w:bottom w:val="single" w:color="auto" w:sz="4" w:space="0"/>
              <w:right w:val="single" w:color="auto" w:sz="4" w:space="0"/>
            </w:tcBorders>
            <w:vAlign w:val="center"/>
          </w:tcPr>
          <w:p w14:paraId="1CCBA144">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cs="宋体"/>
                <w:color w:val="auto"/>
                <w:spacing w:val="6"/>
                <w:kern w:val="0"/>
                <w:sz w:val="24"/>
                <w:szCs w:val="24"/>
                <w:highlight w:val="none"/>
                <w:lang w:val="en-US" w:eastAsia="zh-CN"/>
              </w:rPr>
              <w:t>70</w:t>
            </w:r>
            <w:r>
              <w:rPr>
                <w:rFonts w:hint="eastAsia" w:ascii="宋体" w:hAnsi="宋体" w:eastAsia="宋体" w:cs="宋体"/>
                <w:color w:val="auto"/>
                <w:spacing w:val="6"/>
                <w:kern w:val="0"/>
                <w:sz w:val="24"/>
                <w:szCs w:val="24"/>
                <w:highlight w:val="none"/>
              </w:rPr>
              <w:t>%</w:t>
            </w:r>
          </w:p>
        </w:tc>
        <w:tc>
          <w:tcPr>
            <w:tcW w:w="1583" w:type="pct"/>
            <w:tcBorders>
              <w:top w:val="single" w:color="auto" w:sz="4" w:space="0"/>
              <w:left w:val="single" w:color="auto" w:sz="4" w:space="0"/>
              <w:bottom w:val="single" w:color="auto" w:sz="4" w:space="0"/>
              <w:right w:val="single" w:color="auto" w:sz="4" w:space="0"/>
            </w:tcBorders>
            <w:vAlign w:val="center"/>
          </w:tcPr>
          <w:p w14:paraId="48AAEA45">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14:paraId="368E9688">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3C17743">
      <w:pPr>
        <w:pStyle w:val="28"/>
        <w:rPr>
          <w:rFonts w:hint="eastAsia" w:ascii="宋体" w:hAnsi="宋体" w:eastAsia="宋体" w:cs="宋体"/>
          <w:b/>
          <w:bCs/>
          <w:color w:val="auto"/>
          <w:sz w:val="24"/>
          <w:szCs w:val="24"/>
          <w:highlight w:val="none"/>
        </w:rPr>
      </w:pPr>
    </w:p>
    <w:tbl>
      <w:tblPr>
        <w:tblStyle w:val="30"/>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317"/>
        <w:gridCol w:w="5655"/>
        <w:gridCol w:w="686"/>
      </w:tblGrid>
      <w:tr w14:paraId="72E1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61" w:type="dxa"/>
            <w:noWrap w:val="0"/>
            <w:vAlign w:val="center"/>
          </w:tcPr>
          <w:p w14:paraId="2AC56B31">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评分项目</w:t>
            </w:r>
          </w:p>
        </w:tc>
        <w:tc>
          <w:tcPr>
            <w:tcW w:w="1317" w:type="dxa"/>
            <w:noWrap w:val="0"/>
            <w:vAlign w:val="center"/>
          </w:tcPr>
          <w:p w14:paraId="79E2D101">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评分因素</w:t>
            </w:r>
          </w:p>
        </w:tc>
        <w:tc>
          <w:tcPr>
            <w:tcW w:w="5655" w:type="dxa"/>
            <w:noWrap w:val="0"/>
            <w:vAlign w:val="center"/>
          </w:tcPr>
          <w:p w14:paraId="3A65284D">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评审内容</w:t>
            </w:r>
          </w:p>
        </w:tc>
        <w:tc>
          <w:tcPr>
            <w:tcW w:w="686" w:type="dxa"/>
            <w:noWrap w:val="0"/>
            <w:vAlign w:val="center"/>
          </w:tcPr>
          <w:p w14:paraId="38D36C71">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分值</w:t>
            </w:r>
          </w:p>
        </w:tc>
      </w:tr>
      <w:tr w14:paraId="32A9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261" w:type="dxa"/>
            <w:noWrap w:val="0"/>
            <w:vAlign w:val="center"/>
          </w:tcPr>
          <w:p w14:paraId="375181B3">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价格部分（</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tc>
        <w:tc>
          <w:tcPr>
            <w:tcW w:w="1317" w:type="dxa"/>
            <w:noWrap w:val="0"/>
            <w:vAlign w:val="center"/>
          </w:tcPr>
          <w:p w14:paraId="529DB419">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报价</w:t>
            </w:r>
          </w:p>
        </w:tc>
        <w:tc>
          <w:tcPr>
            <w:tcW w:w="5655" w:type="dxa"/>
            <w:noWrap w:val="0"/>
            <w:vAlign w:val="center"/>
          </w:tcPr>
          <w:p w14:paraId="6685B89E">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价格分采用低价优先法计算，即满足本</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文件要求</w:t>
            </w:r>
            <w:r>
              <w:rPr>
                <w:rFonts w:hint="eastAsia" w:ascii="宋体" w:hAnsi="宋体" w:eastAsia="宋体" w:cs="宋体"/>
                <w:color w:val="000000"/>
                <w:kern w:val="0"/>
                <w:sz w:val="24"/>
                <w:szCs w:val="24"/>
                <w:highlight w:val="none"/>
                <w:lang w:val="en-US" w:eastAsia="zh-CN"/>
              </w:rPr>
              <w:t>且最后报价</w:t>
            </w:r>
            <w:r>
              <w:rPr>
                <w:rFonts w:hint="eastAsia" w:ascii="宋体" w:hAnsi="宋体" w:eastAsia="宋体" w:cs="宋体"/>
                <w:color w:val="000000"/>
                <w:kern w:val="0"/>
                <w:sz w:val="24"/>
                <w:szCs w:val="24"/>
                <w:highlight w:val="none"/>
              </w:rPr>
              <w:t>最低的</w:t>
            </w:r>
            <w:r>
              <w:rPr>
                <w:rFonts w:hint="eastAsia" w:ascii="宋体" w:hAnsi="宋体" w:eastAsia="宋体" w:cs="宋体"/>
                <w:color w:val="000000"/>
                <w:kern w:val="0"/>
                <w:sz w:val="24"/>
                <w:szCs w:val="24"/>
                <w:highlight w:val="none"/>
                <w:lang w:val="en-US" w:eastAsia="zh-CN"/>
              </w:rPr>
              <w:t>供应商的价格</w:t>
            </w:r>
            <w:r>
              <w:rPr>
                <w:rFonts w:hint="eastAsia" w:ascii="宋体" w:hAnsi="宋体" w:eastAsia="宋体" w:cs="宋体"/>
                <w:color w:val="000000"/>
                <w:kern w:val="0"/>
                <w:sz w:val="24"/>
                <w:szCs w:val="24"/>
                <w:highlight w:val="none"/>
              </w:rPr>
              <w:t>为</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基准价，其价格分为满分，其它</w:t>
            </w:r>
            <w:r>
              <w:rPr>
                <w:rFonts w:hint="eastAsia" w:ascii="宋体" w:hAnsi="宋体" w:eastAsia="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rPr>
              <w:t>的价格分统一按照下列公式计算：</w:t>
            </w:r>
          </w:p>
          <w:p w14:paraId="0775995C">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报价得分=（</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基准价／</w:t>
            </w:r>
            <w:r>
              <w:rPr>
                <w:rFonts w:hint="eastAsia" w:ascii="宋体" w:hAnsi="宋体" w:eastAsia="宋体" w:cs="宋体"/>
                <w:color w:val="000000"/>
                <w:kern w:val="0"/>
                <w:sz w:val="24"/>
                <w:szCs w:val="24"/>
                <w:highlight w:val="none"/>
                <w:lang w:val="en-US" w:eastAsia="zh-CN"/>
              </w:rPr>
              <w:t>最后磋商</w:t>
            </w:r>
            <w:r>
              <w:rPr>
                <w:rFonts w:hint="eastAsia" w:ascii="宋体" w:hAnsi="宋体" w:eastAsia="宋体" w:cs="宋体"/>
                <w:color w:val="000000"/>
                <w:kern w:val="0"/>
                <w:sz w:val="24"/>
                <w:szCs w:val="24"/>
                <w:highlight w:val="none"/>
              </w:rPr>
              <w:t>报价）×价格分分值（精确到小数点后两位）。</w:t>
            </w:r>
          </w:p>
          <w:p w14:paraId="723C9A51">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超过了采购项目预算或最高限价的，为无效</w:t>
            </w:r>
            <w:r>
              <w:rPr>
                <w:rFonts w:hint="eastAsia" w:ascii="宋体" w:hAnsi="宋体" w:eastAsia="宋体"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rPr>
              <w:t>。</w:t>
            </w:r>
          </w:p>
        </w:tc>
        <w:tc>
          <w:tcPr>
            <w:tcW w:w="686" w:type="dxa"/>
            <w:noWrap w:val="0"/>
            <w:vAlign w:val="center"/>
          </w:tcPr>
          <w:p w14:paraId="1D172CA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w:t>
            </w:r>
          </w:p>
        </w:tc>
      </w:tr>
      <w:tr w14:paraId="161C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shd w:val="clear" w:color="auto" w:fill="auto"/>
            <w:noWrap w:val="0"/>
            <w:vAlign w:val="center"/>
          </w:tcPr>
          <w:p w14:paraId="272F13C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技术</w:t>
            </w:r>
            <w:r>
              <w:rPr>
                <w:rFonts w:hint="eastAsia" w:ascii="宋体" w:hAnsi="宋体" w:eastAsia="宋体" w:cs="宋体"/>
                <w:color w:val="000000"/>
                <w:kern w:val="0"/>
                <w:sz w:val="24"/>
                <w:szCs w:val="24"/>
                <w:highlight w:val="none"/>
              </w:rPr>
              <w:t>部分（</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分）</w:t>
            </w:r>
          </w:p>
        </w:tc>
        <w:tc>
          <w:tcPr>
            <w:tcW w:w="1317" w:type="dxa"/>
            <w:shd w:val="clear" w:color="auto" w:fill="auto"/>
            <w:noWrap w:val="0"/>
            <w:vAlign w:val="center"/>
          </w:tcPr>
          <w:p w14:paraId="4B07341C">
            <w:pPr>
              <w:pStyle w:val="137"/>
              <w:spacing w:before="0" w:after="0" w:line="240" w:lineRule="auto"/>
              <w:ind w:firstLine="0" w:firstLineChars="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auto"/>
                <w:sz w:val="24"/>
                <w:szCs w:val="24"/>
                <w:highlight w:val="none"/>
              </w:rPr>
              <w:t>产品详细技术参数和性能指标（</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5655" w:type="dxa"/>
            <w:shd w:val="clear" w:color="000000" w:fill="FFFFFF"/>
            <w:noWrap w:val="0"/>
            <w:vAlign w:val="center"/>
          </w:tcPr>
          <w:p w14:paraId="6BF0C69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对照第四部分《采购需求》全部内容逐条在《规格、技术参数偏离表》中列明响应内容及是否偏离等情况，要求提供相关证明资料，须在“说明”栏说明证明资料在《投标文件》的具体位置或页码），未按照要求提供，将导致投标无效：</w:t>
            </w:r>
          </w:p>
          <w:p w14:paraId="0189C12A">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2、对《采购需求》中带“★”条款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共10条）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出现一条负偏离扣2分，本项总分20分。</w:t>
            </w:r>
          </w:p>
          <w:p w14:paraId="4C32AE2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3、《采购需求》中除上述条款以外的其他条款（未标有“★”的技术参数条款）</w:t>
            </w:r>
            <w:r>
              <w:rPr>
                <w:rFonts w:hint="eastAsia" w:ascii="宋体" w:hAnsi="宋体" w:cs="宋体"/>
                <w:color w:val="auto"/>
                <w:sz w:val="24"/>
                <w:szCs w:val="24"/>
                <w:highlight w:val="none"/>
                <w:lang w:val="en-US" w:eastAsia="zh-CN"/>
              </w:rPr>
              <w:t>共36条</w:t>
            </w:r>
            <w:r>
              <w:rPr>
                <w:rFonts w:hint="eastAsia" w:ascii="宋体" w:hAnsi="宋体" w:eastAsia="宋体" w:cs="宋体"/>
                <w:color w:val="auto"/>
                <w:sz w:val="24"/>
                <w:szCs w:val="24"/>
                <w:highlight w:val="none"/>
              </w:rPr>
              <w:t>，每出现一条负偏离扣</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分，本项总分</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14:paraId="01E9E79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注：1.投标人须对本采购文件技术要求进行点对点应答，必须根据本采购文件的要求,结合所投产品的实际参数值，进行逐条逐项答复、说明和解释。</w:t>
            </w:r>
          </w:p>
          <w:p w14:paraId="4CF8CF7A">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sz w:val="24"/>
                <w:szCs w:val="24"/>
                <w:highlight w:val="none"/>
              </w:rPr>
              <w:t>2.技术参数中要求提供相关证明材料，包含但不限于（产品彩页、功能截图、证书、查询链接、技术白皮书、检测报告等）未提供或不符合要求的，视为不响应技术参数。</w:t>
            </w:r>
          </w:p>
        </w:tc>
        <w:tc>
          <w:tcPr>
            <w:tcW w:w="686" w:type="dxa"/>
            <w:shd w:val="clear" w:color="000000" w:fill="FFFFFF"/>
            <w:noWrap w:val="0"/>
            <w:vAlign w:val="center"/>
          </w:tcPr>
          <w:p w14:paraId="237F6E59">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38</w:t>
            </w:r>
          </w:p>
        </w:tc>
      </w:tr>
      <w:tr w14:paraId="294F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shd w:val="clear" w:color="auto" w:fill="auto"/>
            <w:noWrap w:val="0"/>
            <w:vAlign w:val="center"/>
          </w:tcPr>
          <w:p w14:paraId="367B0E83">
            <w:pPr>
              <w:widowControl/>
              <w:jc w:val="left"/>
              <w:rPr>
                <w:rFonts w:hint="eastAsia" w:ascii="宋体" w:hAnsi="宋体" w:eastAsia="宋体" w:cs="宋体"/>
                <w:color w:val="000000"/>
                <w:kern w:val="0"/>
                <w:sz w:val="24"/>
                <w:szCs w:val="24"/>
                <w:highlight w:val="none"/>
              </w:rPr>
            </w:pPr>
          </w:p>
        </w:tc>
        <w:tc>
          <w:tcPr>
            <w:tcW w:w="1317" w:type="dxa"/>
            <w:shd w:val="clear" w:color="auto" w:fill="auto"/>
            <w:noWrap w:val="0"/>
            <w:vAlign w:val="center"/>
          </w:tcPr>
          <w:p w14:paraId="7D80A16D">
            <w:pPr>
              <w:pStyle w:val="137"/>
              <w:spacing w:before="0"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rPr>
              <w:t>项目实施能力、保障措施及实施计划等（12分）</w:t>
            </w:r>
          </w:p>
        </w:tc>
        <w:tc>
          <w:tcPr>
            <w:tcW w:w="5655" w:type="dxa"/>
            <w:shd w:val="clear" w:color="auto" w:fill="auto"/>
            <w:noWrap w:val="0"/>
            <w:vAlign w:val="center"/>
          </w:tcPr>
          <w:p w14:paraId="435FA5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评标委员会根据投标人提供的项目实施能力、保障措施及实施计划等进行综合评分；内容包括：①交货期保证措施；②测试与试运行；③备品备件库；④故障修复时间；⑤巡检维保服务方案；⑥应急处理方案</w:t>
            </w:r>
          </w:p>
          <w:p w14:paraId="6A6D7349">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sz w:val="24"/>
                <w:szCs w:val="24"/>
                <w:highlight w:val="none"/>
              </w:rPr>
              <w:t>注：以上内容完整且完全满足项目要求得12分，每缺失一项内容扣2分，每项内容中每有一处内容缺陷扣1分(缺陷是指：存在不适用项目实际情况的情形、凭空编造、内容前后不一致、前后逻辑错误、涉及的规范及标准错误、地点区域错误、内容遗漏、不符合采购需求等)每项内容2分，扣完为止。</w:t>
            </w:r>
          </w:p>
        </w:tc>
        <w:tc>
          <w:tcPr>
            <w:tcW w:w="686" w:type="dxa"/>
            <w:shd w:val="clear" w:color="000000" w:fill="FFFFFF"/>
            <w:noWrap w:val="0"/>
            <w:vAlign w:val="center"/>
          </w:tcPr>
          <w:p w14:paraId="700D2C2C">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05A7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61" w:type="dxa"/>
            <w:vMerge w:val="continue"/>
            <w:noWrap w:val="0"/>
            <w:vAlign w:val="center"/>
          </w:tcPr>
          <w:p w14:paraId="116807CD">
            <w:pPr>
              <w:widowControl/>
              <w:jc w:val="center"/>
              <w:rPr>
                <w:rFonts w:hint="eastAsia" w:ascii="宋体" w:hAnsi="宋体" w:eastAsia="宋体" w:cs="宋体"/>
                <w:color w:val="000000"/>
                <w:kern w:val="0"/>
                <w:sz w:val="24"/>
                <w:szCs w:val="24"/>
                <w:highlight w:val="none"/>
                <w:lang w:eastAsia="zh-CN"/>
              </w:rPr>
            </w:pPr>
          </w:p>
        </w:tc>
        <w:tc>
          <w:tcPr>
            <w:tcW w:w="1317" w:type="dxa"/>
            <w:noWrap w:val="0"/>
            <w:vAlign w:val="center"/>
          </w:tcPr>
          <w:p w14:paraId="74B82D74">
            <w:pPr>
              <w:pStyle w:val="137"/>
              <w:spacing w:before="0" w:after="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售后服务方案（10分）</w:t>
            </w:r>
          </w:p>
        </w:tc>
        <w:tc>
          <w:tcPr>
            <w:tcW w:w="5655" w:type="dxa"/>
            <w:noWrap w:val="0"/>
            <w:vAlign w:val="center"/>
          </w:tcPr>
          <w:p w14:paraId="149EC118">
            <w:pPr>
              <w:pStyle w:val="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承诺的服务总体方案，包括但不限于①服务体系建立、②维修网点情况、③服务人员配备情况、④系统定期检查和日常维护的运营保障方案、⑤定期回访方案、⑥驻场运维服务方案、⑦供应商承诺的服务响应时间、⑧软件/固件维护升级、⑨系统配置与优化调整、⑩增值服务。</w:t>
            </w:r>
          </w:p>
          <w:p w14:paraId="3FDF280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以上内容完整且完全满足项目要求得10分，每缺失一项内容扣1分。每项内容中每有一处内容缺陷扣0.5分(缺陷是指：存在不适用项目实际情况的情形、凭空编造、内容前后不一致、前后逻辑错误、涉及的规范及标准错误、地点区域错误、内容遗漏、不符合采购需求等)每项内容3分，扣完为止。</w:t>
            </w:r>
          </w:p>
        </w:tc>
        <w:tc>
          <w:tcPr>
            <w:tcW w:w="686" w:type="dxa"/>
            <w:noWrap w:val="0"/>
            <w:vAlign w:val="center"/>
          </w:tcPr>
          <w:p w14:paraId="113B0484">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r>
      <w:tr w14:paraId="46E1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61" w:type="dxa"/>
            <w:vMerge w:val="restart"/>
            <w:noWrap w:val="0"/>
            <w:vAlign w:val="center"/>
          </w:tcPr>
          <w:p w14:paraId="4737C46C">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eastAsia="zh-CN"/>
              </w:rPr>
              <w:t>商务</w:t>
            </w:r>
            <w:r>
              <w:rPr>
                <w:rFonts w:hint="eastAsia" w:ascii="宋体" w:hAnsi="宋体" w:eastAsia="宋体" w:cs="宋体"/>
                <w:color w:val="000000"/>
                <w:kern w:val="0"/>
                <w:sz w:val="24"/>
                <w:szCs w:val="24"/>
                <w:highlight w:val="none"/>
              </w:rPr>
              <w:t>部分(</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分)</w:t>
            </w:r>
          </w:p>
        </w:tc>
        <w:tc>
          <w:tcPr>
            <w:tcW w:w="1317" w:type="dxa"/>
            <w:noWrap w:val="0"/>
            <w:vAlign w:val="center"/>
          </w:tcPr>
          <w:p w14:paraId="5C22067A">
            <w:pPr>
              <w:pStyle w:val="137"/>
              <w:spacing w:before="0"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rPr>
              <w:t>项目负责人业绩（</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5655" w:type="dxa"/>
            <w:noWrap w:val="0"/>
            <w:vAlign w:val="center"/>
          </w:tcPr>
          <w:p w14:paraId="25F317D6">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sz w:val="24"/>
                <w:szCs w:val="24"/>
                <w:highlight w:val="none"/>
              </w:rPr>
              <w:t>项目负责人提供截止日前三年内同类项目的业绩，附合同或中标通知书复印件，每提供一个合同或中标通知书复印件的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分，本项满分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86" w:type="dxa"/>
            <w:noWrap w:val="0"/>
            <w:vAlign w:val="center"/>
          </w:tcPr>
          <w:p w14:paraId="12785624">
            <w:pPr>
              <w:widowControl/>
              <w:jc w:val="center"/>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4</w:t>
            </w:r>
          </w:p>
        </w:tc>
      </w:tr>
      <w:tr w14:paraId="1300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61" w:type="dxa"/>
            <w:vMerge w:val="continue"/>
            <w:noWrap w:val="0"/>
            <w:vAlign w:val="center"/>
          </w:tcPr>
          <w:p w14:paraId="58480B70">
            <w:pPr>
              <w:jc w:val="left"/>
              <w:rPr>
                <w:rFonts w:hint="eastAsia" w:ascii="宋体" w:hAnsi="宋体" w:eastAsia="宋体" w:cs="宋体"/>
                <w:color w:val="000000"/>
                <w:kern w:val="0"/>
                <w:sz w:val="24"/>
                <w:szCs w:val="24"/>
                <w:highlight w:val="none"/>
              </w:rPr>
            </w:pPr>
          </w:p>
        </w:tc>
        <w:tc>
          <w:tcPr>
            <w:tcW w:w="1317" w:type="dxa"/>
            <w:noWrap w:val="0"/>
            <w:vAlign w:val="center"/>
          </w:tcPr>
          <w:p w14:paraId="48998A16">
            <w:pPr>
              <w:pStyle w:val="137"/>
              <w:spacing w:before="0"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rPr>
              <w:t>相关项目业绩（6分）</w:t>
            </w:r>
          </w:p>
        </w:tc>
        <w:tc>
          <w:tcPr>
            <w:tcW w:w="5655" w:type="dxa"/>
            <w:noWrap w:val="0"/>
            <w:vAlign w:val="center"/>
          </w:tcPr>
          <w:p w14:paraId="7CF7DCD2">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sz w:val="24"/>
                <w:szCs w:val="24"/>
                <w:highlight w:val="none"/>
              </w:rPr>
              <w:t>根据投标文件投标人提供截止日前三年内同类项目的业绩，附合同或中标通知书复印件，每提供一个合同或中标通知书复印件加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分，直至满6分。（不可与项目负责人业绩重复加分）</w:t>
            </w:r>
          </w:p>
        </w:tc>
        <w:tc>
          <w:tcPr>
            <w:tcW w:w="686" w:type="dxa"/>
            <w:noWrap w:val="0"/>
            <w:vAlign w:val="center"/>
          </w:tcPr>
          <w:p w14:paraId="2C2009E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p>
        </w:tc>
      </w:tr>
    </w:tbl>
    <w:p w14:paraId="08B5576B">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63E2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7E320022">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429" w:type="dxa"/>
            <w:vAlign w:val="center"/>
          </w:tcPr>
          <w:p w14:paraId="211B7673">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评标项目</w:t>
            </w:r>
          </w:p>
        </w:tc>
        <w:tc>
          <w:tcPr>
            <w:tcW w:w="6518" w:type="dxa"/>
            <w:vAlign w:val="center"/>
          </w:tcPr>
          <w:p w14:paraId="0AA7B91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评分标准</w:t>
            </w:r>
          </w:p>
        </w:tc>
      </w:tr>
      <w:tr w14:paraId="6A11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14:paraId="7EBD548A">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政府采购政策</w:t>
            </w:r>
            <w:r>
              <w:rPr>
                <w:rFonts w:hint="eastAsia" w:ascii="宋体" w:hAnsi="宋体" w:eastAsia="宋体" w:cs="宋体"/>
                <w:color w:val="auto"/>
                <w:sz w:val="24"/>
                <w:szCs w:val="24"/>
                <w:highlight w:val="none"/>
                <w:lang w:val="en-US" w:eastAsia="zh-CN"/>
              </w:rPr>
              <w:t>说明</w:t>
            </w:r>
          </w:p>
        </w:tc>
        <w:tc>
          <w:tcPr>
            <w:tcW w:w="1429" w:type="dxa"/>
            <w:vMerge w:val="restart"/>
            <w:vAlign w:val="center"/>
          </w:tcPr>
          <w:p w14:paraId="0ACF148B">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518" w:type="dxa"/>
            <w:vAlign w:val="center"/>
          </w:tcPr>
          <w:p w14:paraId="3D1EBBE5">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的所属行业的划型标准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招标文件载明的行业）</w:t>
            </w:r>
            <w:r>
              <w:rPr>
                <w:rFonts w:hint="eastAsia" w:ascii="宋体" w:hAnsi="宋体" w:eastAsia="宋体" w:cs="宋体"/>
                <w:color w:val="auto"/>
                <w:sz w:val="24"/>
                <w:szCs w:val="24"/>
                <w:highlight w:val="none"/>
              </w:rPr>
              <w:t>，符合条件的中小企业须提供</w:t>
            </w:r>
            <w:r>
              <w:rPr>
                <w:rFonts w:hint="eastAsia" w:ascii="宋体" w:hAnsi="宋体" w:eastAsia="宋体" w:cs="宋体"/>
                <w:color w:val="auto"/>
                <w:sz w:val="24"/>
                <w:szCs w:val="24"/>
                <w:highlight w:val="none"/>
                <w:lang w:val="en-US" w:eastAsia="zh-CN"/>
              </w:rPr>
              <w:t>招标文件提供格式的</w:t>
            </w:r>
            <w:r>
              <w:rPr>
                <w:rFonts w:hint="eastAsia" w:ascii="宋体" w:hAnsi="宋体" w:eastAsia="宋体" w:cs="宋体"/>
                <w:color w:val="auto"/>
                <w:sz w:val="24"/>
                <w:szCs w:val="24"/>
                <w:highlight w:val="none"/>
              </w:rPr>
              <w:t>《中小企业声明函》。投标人应当对其出具的《中小企业声明函》真实性负责，投标人出具的《中小企业声明函》内容不实的，属于提供虚假材料谋取中标，依照《中华人民共和国政府采购法》等国家有关规定追究相应责任。</w:t>
            </w:r>
          </w:p>
        </w:tc>
      </w:tr>
      <w:tr w14:paraId="05DE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5" w:type="dxa"/>
            <w:vMerge w:val="continue"/>
            <w:vAlign w:val="center"/>
          </w:tcPr>
          <w:p w14:paraId="0648657C">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429" w:type="dxa"/>
            <w:vMerge w:val="continue"/>
            <w:vAlign w:val="center"/>
          </w:tcPr>
          <w:p w14:paraId="76FD749F">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6518" w:type="dxa"/>
            <w:vAlign w:val="center"/>
          </w:tcPr>
          <w:p w14:paraId="1FA8111E">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w:t>
            </w:r>
            <w:r>
              <w:rPr>
                <w:rFonts w:hint="eastAsia" w:ascii="宋体" w:hAnsi="宋体" w:eastAsia="宋体" w:cs="宋体"/>
                <w:b/>
                <w:bCs/>
                <w:color w:val="auto"/>
                <w:sz w:val="24"/>
                <w:szCs w:val="24"/>
                <w:highlight w:val="none"/>
              </w:rPr>
              <w:t>对满足价格扣除条件且在</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中提交了《中小企业声明函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或</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残疾人福利性单位声明函》或省级以上监狱管理局、戒毒管理局（含新疆生产建设兵团）出具的属于监狱企业的证明文件的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，执行价格评审优惠的扶持政策</w:t>
            </w:r>
            <w:r>
              <w:rPr>
                <w:rFonts w:hint="eastAsia" w:ascii="宋体" w:hAnsi="宋体" w:cs="宋体"/>
                <w:b/>
                <w:bCs/>
                <w:color w:val="auto"/>
                <w:sz w:val="24"/>
                <w:szCs w:val="24"/>
                <w:highlight w:val="none"/>
                <w:lang w:eastAsia="zh-CN"/>
              </w:rPr>
              <w:t>。</w:t>
            </w:r>
          </w:p>
        </w:tc>
      </w:tr>
      <w:tr w14:paraId="548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623B6AFD">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429" w:type="dxa"/>
            <w:vAlign w:val="center"/>
          </w:tcPr>
          <w:p w14:paraId="722270EB">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518" w:type="dxa"/>
            <w:vAlign w:val="center"/>
          </w:tcPr>
          <w:p w14:paraId="075E4986">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w:t>
            </w:r>
            <w:r>
              <w:rPr>
                <w:rFonts w:hint="eastAsia" w:ascii="宋体" w:hAnsi="宋体" w:eastAsia="宋体" w:cs="宋体"/>
                <w:color w:val="auto"/>
                <w:sz w:val="24"/>
                <w:szCs w:val="24"/>
                <w:highlight w:val="none"/>
              </w:rPr>
              <w:t>中小企业</w:t>
            </w:r>
            <w:r>
              <w:rPr>
                <w:rFonts w:hint="eastAsia" w:ascii="宋体" w:hAnsi="宋体" w:eastAsia="宋体" w:cs="宋体"/>
                <w:color w:val="auto"/>
                <w:sz w:val="24"/>
                <w:szCs w:val="24"/>
                <w:highlight w:val="none"/>
                <w:lang w:eastAsia="zh-CN"/>
              </w:rPr>
              <w:t>。</w:t>
            </w:r>
          </w:p>
        </w:tc>
      </w:tr>
      <w:tr w14:paraId="0F4B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31A004D8">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429" w:type="dxa"/>
            <w:vAlign w:val="center"/>
          </w:tcPr>
          <w:p w14:paraId="543A0141">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518" w:type="dxa"/>
            <w:vAlign w:val="center"/>
          </w:tcPr>
          <w:p w14:paraId="7C182BAF">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w:t>
            </w:r>
            <w:r>
              <w:rPr>
                <w:rFonts w:hint="eastAsia" w:ascii="宋体" w:hAnsi="宋体" w:eastAsia="宋体" w:cs="宋体"/>
                <w:color w:val="auto"/>
                <w:sz w:val="24"/>
                <w:szCs w:val="24"/>
                <w:highlight w:val="none"/>
              </w:rPr>
              <w:t>中小企业</w:t>
            </w:r>
            <w:r>
              <w:rPr>
                <w:rFonts w:hint="eastAsia" w:ascii="宋体" w:hAnsi="宋体" w:eastAsia="宋体" w:cs="宋体"/>
                <w:bCs/>
                <w:color w:val="auto"/>
                <w:sz w:val="24"/>
                <w:szCs w:val="24"/>
                <w:highlight w:val="none"/>
              </w:rPr>
              <w:t>。</w:t>
            </w:r>
          </w:p>
        </w:tc>
      </w:tr>
      <w:tr w14:paraId="5E13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0D017597">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429" w:type="dxa"/>
            <w:vAlign w:val="center"/>
          </w:tcPr>
          <w:p w14:paraId="1A13989A">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特别说明</w:t>
            </w:r>
          </w:p>
        </w:tc>
        <w:tc>
          <w:tcPr>
            <w:tcW w:w="6518" w:type="dxa"/>
            <w:vAlign w:val="center"/>
          </w:tcPr>
          <w:p w14:paraId="04496EAA">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政府采购促进中小企业发展管理办法》（财库〔2020〕46号，以下称《办法》）规定，在货物采购项目中，货物由中小企业制造（货物由中小企业生产且使用该中小企业商号或者注册商标）的，可享受中小企业扶持政策。如果一个采购项目或采购包含有多个采购标的的，则每个采购标的均应由中小企业制造。采购项目或者采购包中，大型企业提供的所有采购标的均为小微企业制造的，可享受价格评审优惠政策。</w:t>
            </w:r>
          </w:p>
          <w:p w14:paraId="408A52CF">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在货物采购项目中，供应商提供的货物既有中型企业制造，也有小微企业制造的，不享受</w:t>
            </w:r>
            <w:r>
              <w:rPr>
                <w:rFonts w:hint="eastAsia" w:ascii="宋体" w:hAnsi="宋体" w:eastAsia="宋体" w:cs="宋体"/>
                <w:bCs/>
                <w:color w:val="auto"/>
                <w:sz w:val="24"/>
                <w:szCs w:val="24"/>
                <w:highlight w:val="none"/>
              </w:rPr>
              <w:t>《政府采购促进中小企业发展管理办法》（财库〔2020〕46号</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规定的小微企业扶持政策。</w:t>
            </w:r>
          </w:p>
          <w:p w14:paraId="4F3B6805">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货物服务采购项目给予小微企业的价格扣除优惠，</w:t>
            </w: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rPr>
              <w:t>《关于进一步加大政府采购支持中小企业力度的通知》（财库〔2022〕19号）文件规定</w:t>
            </w:r>
            <w:r>
              <w:rPr>
                <w:rFonts w:hint="eastAsia" w:ascii="宋体" w:hAnsi="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小微企业报价给予</w:t>
            </w:r>
            <w:r>
              <w:rPr>
                <w:rFonts w:hint="eastAsia" w:ascii="宋体" w:hAnsi="宋体" w:eastAsia="宋体" w:cs="宋体"/>
                <w:b w:val="0"/>
                <w:bCs w:val="0"/>
                <w:color w:val="auto"/>
                <w:sz w:val="24"/>
                <w:szCs w:val="24"/>
                <w:highlight w:val="none"/>
              </w:rPr>
              <w:t>10%</w:t>
            </w:r>
            <w:r>
              <w:rPr>
                <w:rFonts w:hint="eastAsia" w:ascii="宋体" w:hAnsi="宋体" w:cs="宋体"/>
                <w:b w:val="0"/>
                <w:bCs w:val="0"/>
                <w:color w:val="auto"/>
                <w:sz w:val="24"/>
                <w:szCs w:val="24"/>
                <w:highlight w:val="none"/>
                <w:lang w:val="en-US" w:eastAsia="zh-CN"/>
              </w:rPr>
              <w:t>的扣除优惠</w:t>
            </w:r>
            <w:r>
              <w:rPr>
                <w:rFonts w:hint="eastAsia" w:ascii="宋体" w:hAnsi="宋体" w:eastAsia="宋体" w:cs="宋体"/>
                <w:b w:val="0"/>
                <w:bCs w:val="0"/>
                <w:color w:val="auto"/>
                <w:sz w:val="24"/>
                <w:szCs w:val="24"/>
                <w:highlight w:val="none"/>
              </w:rPr>
              <w:t>。</w:t>
            </w:r>
          </w:p>
          <w:p w14:paraId="1643E339">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投标人所投产品如被列入财政部与国家主管部门颁发的节能产品目录或环境标志产品目录或无线局域网产品目录，应提供相关证明，在评标时予以优先采购，具体优惠措施为：综合得分相同时排名优先。</w:t>
            </w:r>
          </w:p>
          <w:p w14:paraId="442020A2">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如采购人所采购产品为政府强制采购的节能产品，投标人所投产品的品牌及型号必须为清单中有效期内产品并提供证明文件，否则其投标将作为无效投标被拒绝。</w:t>
            </w:r>
          </w:p>
          <w:p w14:paraId="1F89BE8C">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支持本国产品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如适用）证明材料及符合本国产品标准的成本占比承诺函【如适用】按本招标文件要求编写提交。</w:t>
            </w:r>
          </w:p>
          <w:p w14:paraId="3746AC36">
            <w:pPr>
              <w:pStyle w:val="14"/>
              <w:spacing w:line="360" w:lineRule="exact"/>
              <w:rPr>
                <w:rFonts w:hint="default" w:ascii="Times New Roman" w:hAnsi="Times New Roman" w:cs="Times New Roman"/>
                <w:b/>
                <w:kern w:val="0"/>
                <w:lang w:val="en-US" w:eastAsia="zh-CN"/>
              </w:rPr>
            </w:pPr>
            <w:r>
              <w:rPr>
                <w:rFonts w:hint="default" w:ascii="Times New Roman" w:hAnsi="Times New Roman" w:cs="Times New Roman"/>
                <w:b/>
                <w:kern w:val="0"/>
                <w:lang w:val="en-US" w:eastAsia="zh-CN"/>
              </w:rPr>
              <w:t>政府采购评审中出现下列情形之一的，评审委员会应当启动异常低价投标（响应）审查程序：</w:t>
            </w:r>
          </w:p>
          <w:p w14:paraId="124EFA33">
            <w:pPr>
              <w:pStyle w:val="14"/>
              <w:spacing w:line="360" w:lineRule="exact"/>
              <w:rPr>
                <w:rFonts w:hint="default" w:ascii="Times New Roman" w:hAnsi="Times New Roman" w:cs="Times New Roman"/>
                <w:b/>
                <w:kern w:val="0"/>
                <w:highlight w:val="none"/>
                <w:lang w:val="en-US" w:eastAsia="zh-CN"/>
              </w:rPr>
            </w:pPr>
            <w:r>
              <w:rPr>
                <w:rFonts w:hint="default" w:ascii="Times New Roman" w:hAnsi="Times New Roman" w:cs="Times New Roman"/>
                <w:b/>
                <w:kern w:val="0"/>
                <w:highlight w:val="none"/>
                <w:lang w:val="en-US" w:eastAsia="zh-CN"/>
              </w:rPr>
              <w:t>1.投标（响应）报价低于全部通过符合性审查供应商投标（响应）报价平均值50%的，即投标（响应）报价&lt;全部通过符合性审查供应商投标（响应）报价平均值×50%；</w:t>
            </w:r>
          </w:p>
          <w:p w14:paraId="22C2F92E">
            <w:pPr>
              <w:pStyle w:val="14"/>
              <w:spacing w:line="360" w:lineRule="exact"/>
              <w:rPr>
                <w:rFonts w:hint="default" w:ascii="Times New Roman" w:hAnsi="Times New Roman" w:cs="Times New Roman"/>
                <w:b/>
                <w:kern w:val="0"/>
                <w:highlight w:val="none"/>
                <w:lang w:val="en-US" w:eastAsia="zh-CN"/>
              </w:rPr>
            </w:pPr>
            <w:r>
              <w:rPr>
                <w:rFonts w:hint="default" w:ascii="Times New Roman" w:hAnsi="Times New Roman" w:cs="Times New Roman"/>
                <w:b/>
                <w:kern w:val="0"/>
                <w:highlight w:val="none"/>
                <w:lang w:val="en-US" w:eastAsia="zh-CN"/>
              </w:rPr>
              <w:t>2.投标（响应）报价低于通过符合性审查的次低报价供应商投标（响应）报价50%的，即投标（响应）报价&lt;通过符合性审查的次低报价供应商投标（响应）报价×50%；</w:t>
            </w:r>
          </w:p>
          <w:p w14:paraId="7CBCF42D">
            <w:pPr>
              <w:pStyle w:val="14"/>
              <w:spacing w:line="360" w:lineRule="exact"/>
              <w:rPr>
                <w:rFonts w:hint="default" w:ascii="Times New Roman" w:hAnsi="Times New Roman" w:cs="Times New Roman"/>
                <w:b/>
                <w:kern w:val="0"/>
                <w:highlight w:val="none"/>
                <w:lang w:val="en-US" w:eastAsia="zh-CN"/>
              </w:rPr>
            </w:pPr>
            <w:r>
              <w:rPr>
                <w:rFonts w:hint="default" w:ascii="Times New Roman" w:hAnsi="Times New Roman" w:cs="Times New Roman"/>
                <w:b/>
                <w:kern w:val="0"/>
                <w:highlight w:val="none"/>
                <w:lang w:val="en-US" w:eastAsia="zh-CN"/>
              </w:rPr>
              <w:t>3.投标（响应）报价低于采购项目最高限价45%的，即投标（响应）报价&lt;采购项目最高限价×45%；</w:t>
            </w:r>
          </w:p>
          <w:p w14:paraId="0079292E">
            <w:pPr>
              <w:pStyle w:val="14"/>
              <w:spacing w:line="360" w:lineRule="exact"/>
              <w:rPr>
                <w:rFonts w:hint="default" w:ascii="Times New Roman" w:hAnsi="Times New Roman" w:cs="Times New Roman"/>
                <w:b/>
                <w:kern w:val="0"/>
                <w:lang w:val="en-US" w:eastAsia="zh-CN"/>
              </w:rPr>
            </w:pPr>
            <w:r>
              <w:rPr>
                <w:rFonts w:hint="default" w:ascii="Times New Roman" w:hAnsi="Times New Roman" w:cs="Times New Roman"/>
                <w:b/>
                <w:kern w:val="0"/>
                <w:highlight w:val="none"/>
                <w:lang w:val="en-US" w:eastAsia="zh-CN"/>
              </w:rPr>
              <w:t>4.评审委员会基于专业判断，</w:t>
            </w:r>
            <w:r>
              <w:rPr>
                <w:rFonts w:hint="default" w:ascii="Times New Roman" w:hAnsi="Times New Roman" w:cs="Times New Roman"/>
                <w:b/>
                <w:kern w:val="0"/>
                <w:lang w:val="en-US" w:eastAsia="zh-CN"/>
              </w:rPr>
              <w:t>认为供应商报价过低，有可能影响产品质量或者不能诚信履约的其他情形。</w:t>
            </w:r>
          </w:p>
          <w:p w14:paraId="1345A10D">
            <w:pPr>
              <w:keepNext w:val="0"/>
              <w:keepLines w:val="0"/>
              <w:pageBreakBefore w:val="0"/>
              <w:widowControl w:val="0"/>
              <w:numPr>
                <w:ilvl w:val="0"/>
                <w:numId w:val="14"/>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default" w:ascii="Times New Roman" w:hAnsi="Times New Roman" w:cs="Times New Roman"/>
                <w:b/>
                <w:kern w:val="0"/>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bl>
    <w:p w14:paraId="0A33EB4A">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4.5.1投标人总分=报价部分得分+技术、商务部分得分，结果保留两位小数。</w:t>
      </w:r>
    </w:p>
    <w:p w14:paraId="25E4515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1" w:name="_Toc217446060"/>
      <w:r>
        <w:rPr>
          <w:rFonts w:hint="eastAsia" w:ascii="宋体" w:hAnsi="宋体" w:eastAsia="宋体" w:cs="宋体"/>
          <w:color w:val="auto"/>
          <w:sz w:val="24"/>
          <w:szCs w:val="24"/>
          <w:highlight w:val="none"/>
        </w:rPr>
        <w:t>5. 终止招标</w:t>
      </w:r>
    </w:p>
    <w:p w14:paraId="7E6A453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采购人、采购代理机构在发布招标公告、资格预审公告或者发出投标邀请书后，除因重大变故采购任务取消情况外，不得擅自终止招标活动。</w:t>
      </w:r>
    </w:p>
    <w:p w14:paraId="3019887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E0FA1D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61"/>
      <w:bookmarkStart w:id="162" w:name="_Toc217446061"/>
    </w:p>
    <w:p w14:paraId="52FF93B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62"/>
      <w:r>
        <w:rPr>
          <w:rFonts w:hint="eastAsia" w:ascii="宋体" w:hAnsi="宋体" w:eastAsia="宋体" w:cs="宋体"/>
          <w:color w:val="auto"/>
          <w:sz w:val="24"/>
          <w:szCs w:val="24"/>
          <w:highlight w:val="none"/>
        </w:rPr>
        <w:t>：本项目根据评标委员会推荐的中标候选人名单，按顺序确定中标人。</w:t>
      </w:r>
    </w:p>
    <w:p w14:paraId="08E65AF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3" w:name="_Toc217446062"/>
      <w:r>
        <w:rPr>
          <w:rFonts w:hint="eastAsia" w:ascii="宋体" w:hAnsi="宋体" w:eastAsia="宋体" w:cs="宋体"/>
          <w:color w:val="auto"/>
          <w:sz w:val="24"/>
          <w:szCs w:val="24"/>
          <w:highlight w:val="none"/>
        </w:rPr>
        <w:t>6.2. 定标程序</w:t>
      </w:r>
      <w:bookmarkEnd w:id="163"/>
    </w:p>
    <w:p w14:paraId="772594B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5FE8BFB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1EDE37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14:paraId="0B3D89A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14:paraId="45D2723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56"/>
    <w:p w14:paraId="66828DE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4" w:name="_Toc183582297"/>
      <w:bookmarkStart w:id="165" w:name="_Toc217446105"/>
      <w:bookmarkStart w:id="166" w:name="_Toc208849022"/>
      <w:bookmarkStart w:id="167" w:name="_Toc183682432"/>
      <w:r>
        <w:rPr>
          <w:rFonts w:hint="eastAsia" w:ascii="宋体" w:hAnsi="宋体" w:eastAsia="宋体" w:cs="宋体"/>
          <w:color w:val="auto"/>
          <w:sz w:val="24"/>
          <w:szCs w:val="24"/>
          <w:highlight w:val="none"/>
        </w:rPr>
        <w:t xml:space="preserve">7. </w:t>
      </w:r>
      <w:bookmarkEnd w:id="164"/>
      <w:bookmarkEnd w:id="165"/>
      <w:bookmarkEnd w:id="166"/>
      <w:bookmarkEnd w:id="167"/>
      <w:r>
        <w:rPr>
          <w:rFonts w:hint="eastAsia" w:ascii="宋体" w:hAnsi="宋体" w:eastAsia="宋体" w:cs="宋体"/>
          <w:color w:val="auto"/>
          <w:sz w:val="24"/>
          <w:szCs w:val="24"/>
          <w:highlight w:val="none"/>
        </w:rPr>
        <w:t>评标专家在政府采购活动中承担以下义务：</w:t>
      </w:r>
    </w:p>
    <w:p w14:paraId="5C50467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44C862F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7DEE5873">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03E932F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02FDD3D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6061F46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14:paraId="7F797DB9">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4E3263D5">
      <w:pPr>
        <w:pageBreakBefore w:val="0"/>
        <w:widowControl/>
        <w:wordWrap/>
        <w:overflowPunct/>
        <w:topLinePunct w:val="0"/>
        <w:autoSpaceDE w:val="0"/>
        <w:autoSpaceDN w:val="0"/>
        <w:bidi w:val="0"/>
        <w:spacing w:line="560" w:lineRule="exact"/>
        <w:ind w:left="0" w:leftChars="0" w:right="0" w:rightChars="0"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49553C04">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226CCFCD">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DECA94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或担任顾问，配偶或直系亲属在参加该招标项目的投标人中任职或担任顾问，与参加该招标项目投标人发生过法律纠纷，以及其他可能影响公正评标的情况。</w:t>
      </w:r>
    </w:p>
    <w:p w14:paraId="360D681F">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5C8A0C59">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7013B9F8">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68" w:name="_Toc5378"/>
      <w:r>
        <w:rPr>
          <w:rFonts w:hint="eastAsia" w:ascii="宋体" w:hAnsi="宋体" w:eastAsia="宋体" w:cs="宋体"/>
          <w:color w:val="auto"/>
          <w:sz w:val="24"/>
          <w:szCs w:val="24"/>
          <w:highlight w:val="none"/>
        </w:rPr>
        <w:t>第六章  拟签订的合同文本</w:t>
      </w:r>
      <w:bookmarkEnd w:id="168"/>
    </w:p>
    <w:p w14:paraId="17DCCAEF">
      <w:pPr>
        <w:pStyle w:val="108"/>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val="0"/>
          <w:color w:val="auto"/>
          <w:sz w:val="24"/>
          <w:szCs w:val="24"/>
          <w:highlight w:val="none"/>
        </w:rPr>
      </w:pPr>
      <w:r>
        <w:rPr>
          <w:rStyle w:val="33"/>
          <w:rFonts w:hint="eastAsia" w:ascii="宋体" w:hAnsi="宋体" w:eastAsia="宋体" w:cs="宋体"/>
          <w:color w:val="auto"/>
          <w:sz w:val="24"/>
          <w:szCs w:val="24"/>
          <w:highlight w:val="none"/>
        </w:rPr>
        <w:t>　</w:t>
      </w:r>
      <w:r>
        <w:rPr>
          <w:rStyle w:val="33"/>
          <w:rFonts w:hint="eastAsia" w:ascii="宋体" w:hAnsi="宋体" w:eastAsia="宋体" w:cs="宋体"/>
          <w:b/>
          <w:bCs/>
          <w:color w:val="auto"/>
          <w:sz w:val="24"/>
          <w:szCs w:val="24"/>
          <w:highlight w:val="none"/>
        </w:rPr>
        <w:t>　</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yellow"/>
        </w:rPr>
        <w:t>仅供参考，</w:t>
      </w:r>
      <w:r>
        <w:rPr>
          <w:rFonts w:hint="eastAsia" w:ascii="宋体" w:hAnsi="宋体" w:cs="宋体"/>
          <w:b/>
          <w:bCs/>
          <w:color w:val="auto"/>
          <w:sz w:val="24"/>
          <w:szCs w:val="24"/>
          <w:highlight w:val="yellow"/>
          <w:lang w:val="en-US" w:eastAsia="zh-CN"/>
        </w:rPr>
        <w:t>最终</w:t>
      </w:r>
      <w:r>
        <w:rPr>
          <w:rFonts w:hint="eastAsia" w:ascii="宋体" w:hAnsi="宋体" w:eastAsia="宋体" w:cs="宋体"/>
          <w:b/>
          <w:bCs/>
          <w:color w:val="auto"/>
          <w:sz w:val="24"/>
          <w:szCs w:val="24"/>
          <w:highlight w:val="yellow"/>
        </w:rPr>
        <w:t>合同条款以</w:t>
      </w:r>
      <w:r>
        <w:rPr>
          <w:rFonts w:hint="eastAsia" w:ascii="宋体" w:hAnsi="宋体" w:cs="宋体"/>
          <w:b/>
          <w:bCs/>
          <w:color w:val="auto"/>
          <w:sz w:val="24"/>
          <w:szCs w:val="24"/>
          <w:highlight w:val="yellow"/>
          <w:lang w:val="en-US" w:eastAsia="zh-CN"/>
        </w:rPr>
        <w:t>实际</w:t>
      </w:r>
      <w:r>
        <w:rPr>
          <w:rFonts w:hint="eastAsia" w:ascii="宋体" w:hAnsi="宋体" w:eastAsia="宋体" w:cs="宋体"/>
          <w:b/>
          <w:bCs/>
          <w:color w:val="auto"/>
          <w:sz w:val="24"/>
          <w:szCs w:val="24"/>
          <w:highlight w:val="yellow"/>
        </w:rPr>
        <w:t>签订为准</w:t>
      </w:r>
      <w:r>
        <w:rPr>
          <w:rFonts w:hint="eastAsia" w:ascii="宋体" w:hAnsi="宋体" w:eastAsia="宋体" w:cs="宋体"/>
          <w:b w:val="0"/>
          <w:bCs w:val="0"/>
          <w:color w:val="auto"/>
          <w:sz w:val="24"/>
          <w:szCs w:val="24"/>
          <w:highlight w:val="none"/>
        </w:rPr>
        <w:t>）</w:t>
      </w:r>
    </w:p>
    <w:p w14:paraId="3AA0E581">
      <w:pPr>
        <w:pStyle w:val="10"/>
        <w:spacing w:before="184" w:line="355" w:lineRule="auto"/>
        <w:ind w:right="0" w:firstLine="453"/>
        <w:jc w:val="left"/>
        <w:rPr>
          <w:rFonts w:hint="eastAsia" w:ascii="宋体" w:hAnsi="宋体" w:eastAsia="宋体" w:cs="宋体"/>
          <w:sz w:val="24"/>
          <w:szCs w:val="24"/>
        </w:rPr>
      </w:pPr>
      <w:r>
        <w:rPr>
          <w:rFonts w:hint="eastAsia" w:ascii="宋体" w:hAnsi="宋体" w:eastAsia="宋体" w:cs="宋体"/>
          <w:spacing w:val="-2"/>
          <w:sz w:val="24"/>
          <w:szCs w:val="24"/>
        </w:rPr>
        <w:t>合同特殊条款是合同一般条款的补充和修改。如果两者之间有抵触，应以特</w:t>
      </w:r>
      <w:r>
        <w:rPr>
          <w:rFonts w:hint="eastAsia" w:ascii="宋体" w:hAnsi="宋体" w:eastAsia="宋体" w:cs="宋体"/>
          <w:sz w:val="24"/>
          <w:szCs w:val="24"/>
        </w:rPr>
        <w:t>殊条款为准。</w:t>
      </w:r>
    </w:p>
    <w:p w14:paraId="5AEBAA62">
      <w:pPr>
        <w:pStyle w:val="10"/>
        <w:numPr>
          <w:ilvl w:val="0"/>
          <w:numId w:val="0"/>
        </w:numPr>
        <w:tabs>
          <w:tab w:val="left" w:pos="9040"/>
        </w:tabs>
        <w:spacing w:before="38" w:line="348" w:lineRule="auto"/>
        <w:ind w:right="-90" w:rightChars="0" w:firstLine="482" w:firstLineChars="200"/>
        <w:jc w:val="both"/>
        <w:rPr>
          <w:rFonts w:hint="eastAsia" w:ascii="宋体" w:hAnsi="宋体" w:eastAsia="宋体" w:cs="宋体"/>
          <w:sz w:val="24"/>
          <w:szCs w:val="24"/>
        </w:rPr>
      </w:pPr>
      <w:bookmarkStart w:id="169" w:name="一、定义"/>
      <w:bookmarkEnd w:id="169"/>
      <w:r>
        <w:rPr>
          <w:rFonts w:hint="eastAsia" w:ascii="宋体" w:hAnsi="宋体" w:eastAsia="宋体" w:cs="宋体"/>
          <w:b/>
          <w:bCs/>
          <w:sz w:val="24"/>
          <w:szCs w:val="24"/>
          <w:lang w:eastAsia="zh-CN"/>
        </w:rPr>
        <w:t>一、</w:t>
      </w:r>
      <w:r>
        <w:rPr>
          <w:rFonts w:hint="eastAsia" w:ascii="宋体" w:hAnsi="宋体" w:eastAsia="宋体" w:cs="宋体"/>
          <w:b/>
          <w:bCs/>
          <w:sz w:val="24"/>
          <w:szCs w:val="24"/>
        </w:rPr>
        <w:t>定义</w:t>
      </w:r>
    </w:p>
    <w:p w14:paraId="69E26D3A">
      <w:pPr>
        <w:pStyle w:val="10"/>
        <w:numPr>
          <w:ilvl w:val="0"/>
          <w:numId w:val="0"/>
        </w:numPr>
        <w:tabs>
          <w:tab w:val="left" w:pos="9040"/>
        </w:tabs>
        <w:spacing w:before="38" w:line="348" w:lineRule="auto"/>
        <w:ind w:right="-90" w:rightChars="0"/>
        <w:jc w:val="both"/>
        <w:rPr>
          <w:rFonts w:hint="eastAsia" w:ascii="宋体" w:hAnsi="宋体" w:eastAsia="宋体" w:cs="宋体"/>
          <w:sz w:val="24"/>
          <w:szCs w:val="24"/>
        </w:rPr>
      </w:pPr>
      <w:r>
        <w:rPr>
          <w:rFonts w:hint="eastAsia" w:ascii="宋体" w:hAnsi="宋体" w:eastAsia="宋体" w:cs="宋体"/>
          <w:sz w:val="24"/>
          <w:szCs w:val="24"/>
        </w:rPr>
        <w:t>1．甲方：系指与中标人签署合同的单位。</w:t>
      </w:r>
      <w:r>
        <w:rPr>
          <w:rFonts w:hint="eastAsia" w:ascii="宋体" w:hAnsi="宋体" w:eastAsia="宋体" w:cs="宋体"/>
          <w:spacing w:val="-1"/>
          <w:sz w:val="24"/>
          <w:szCs w:val="24"/>
        </w:rPr>
        <w:t>本合同甲方系指：</w:t>
      </w:r>
      <w:r>
        <w:rPr>
          <w:rFonts w:hint="eastAsia" w:ascii="宋体" w:hAnsi="宋体" w:cs="宋体"/>
          <w:spacing w:val="-1"/>
          <w:sz w:val="24"/>
          <w:szCs w:val="24"/>
          <w:u w:val="single"/>
          <w:lang w:val="en-US" w:eastAsia="zh-CN"/>
        </w:rPr>
        <w:t xml:space="preserve"> 新疆维吾尔自治区中医医院</w:t>
      </w:r>
      <w:r>
        <w:rPr>
          <w:rFonts w:hint="eastAsia" w:ascii="宋体" w:hAnsi="宋体" w:eastAsia="宋体" w:cs="宋体"/>
          <w:sz w:val="24"/>
          <w:szCs w:val="24"/>
        </w:rPr>
        <w:t>。</w:t>
      </w:r>
    </w:p>
    <w:p w14:paraId="477FE02C">
      <w:pPr>
        <w:pStyle w:val="10"/>
        <w:numPr>
          <w:ilvl w:val="0"/>
          <w:numId w:val="0"/>
        </w:numPr>
        <w:tabs>
          <w:tab w:val="left" w:pos="5597"/>
        </w:tabs>
        <w:spacing w:before="38" w:line="348" w:lineRule="auto"/>
        <w:ind w:right="-90" w:rightChars="0"/>
        <w:jc w:val="left"/>
        <w:rPr>
          <w:rFonts w:hint="eastAsia" w:ascii="宋体" w:hAnsi="宋体" w:eastAsia="宋体" w:cs="宋体"/>
          <w:sz w:val="24"/>
          <w:szCs w:val="24"/>
        </w:rPr>
      </w:pPr>
      <w:r>
        <w:rPr>
          <w:rFonts w:hint="eastAsia" w:ascii="宋体" w:hAnsi="宋体" w:eastAsia="宋体" w:cs="宋体"/>
          <w:sz w:val="24"/>
          <w:szCs w:val="24"/>
        </w:rPr>
        <w:t>2．乙方：系指根据合同约定提供相关服务的中标人</w:t>
      </w:r>
      <w:r>
        <w:rPr>
          <w:rFonts w:hint="eastAsia" w:ascii="宋体" w:hAnsi="宋体" w:eastAsia="宋体" w:cs="宋体"/>
          <w:spacing w:val="-1"/>
          <w:sz w:val="24"/>
          <w:szCs w:val="24"/>
        </w:rPr>
        <w:t>本合同乙方指：</w:t>
      </w:r>
      <w:r>
        <w:rPr>
          <w:rFonts w:hint="eastAsia" w:ascii="宋体" w:hAnsi="宋体" w:eastAsia="宋体" w:cs="宋体"/>
          <w:spacing w:val="-1"/>
          <w:sz w:val="24"/>
          <w:szCs w:val="24"/>
          <w:u w:val="single" w:color="000000"/>
        </w:rPr>
        <w:tab/>
      </w:r>
      <w:r>
        <w:rPr>
          <w:rFonts w:hint="eastAsia" w:ascii="宋体" w:hAnsi="宋体" w:cs="宋体"/>
          <w:spacing w:val="-1"/>
          <w:sz w:val="24"/>
          <w:szCs w:val="24"/>
          <w:u w:val="single" w:color="000000"/>
          <w:lang w:val="en-US" w:eastAsia="zh-CN"/>
        </w:rPr>
        <w:t xml:space="preserve">             </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w:t>
      </w:r>
    </w:p>
    <w:p w14:paraId="23D53F28">
      <w:pPr>
        <w:pStyle w:val="10"/>
        <w:spacing w:before="43" w:line="343" w:lineRule="auto"/>
        <w:ind w:right="0"/>
        <w:jc w:val="left"/>
        <w:rPr>
          <w:rFonts w:hint="eastAsia" w:ascii="宋体" w:hAnsi="宋体" w:eastAsia="宋体" w:cs="宋体"/>
          <w:sz w:val="24"/>
          <w:szCs w:val="24"/>
        </w:rPr>
      </w:pPr>
      <w:r>
        <w:rPr>
          <w:rFonts w:hint="eastAsia" w:ascii="宋体" w:hAnsi="宋体" w:eastAsia="宋体" w:cs="宋体"/>
          <w:sz w:val="24"/>
          <w:szCs w:val="24"/>
        </w:rPr>
        <w:t>3．“合同”系指甲乙双方签署的、合同格式中载明的甲乙双方所达成的协议，</w:t>
      </w:r>
      <w:r>
        <w:rPr>
          <w:rFonts w:hint="eastAsia" w:ascii="宋体" w:hAnsi="宋体" w:eastAsia="宋体" w:cs="宋体"/>
          <w:spacing w:val="-62"/>
          <w:sz w:val="24"/>
          <w:szCs w:val="24"/>
        </w:rPr>
        <w:t xml:space="preserve"> </w:t>
      </w:r>
      <w:r>
        <w:rPr>
          <w:rFonts w:hint="eastAsia" w:ascii="宋体" w:hAnsi="宋体" w:eastAsia="宋体" w:cs="宋体"/>
          <w:sz w:val="24"/>
          <w:szCs w:val="24"/>
        </w:rPr>
        <w:t>包 括所有的附件、附录和构成合同的其它文件。</w:t>
      </w:r>
    </w:p>
    <w:p w14:paraId="7B600BBB">
      <w:pPr>
        <w:pStyle w:val="10"/>
        <w:spacing w:before="43" w:line="343" w:lineRule="auto"/>
        <w:ind w:right="0"/>
        <w:jc w:val="left"/>
        <w:rPr>
          <w:rFonts w:hint="eastAsia" w:ascii="宋体" w:hAnsi="宋体" w:eastAsia="宋体" w:cs="宋体"/>
          <w:sz w:val="24"/>
          <w:szCs w:val="24"/>
        </w:rPr>
      </w:pPr>
      <w:r>
        <w:rPr>
          <w:rFonts w:hint="eastAsia" w:ascii="宋体" w:hAnsi="宋体" w:eastAsia="宋体" w:cs="宋体"/>
          <w:sz w:val="24"/>
          <w:szCs w:val="24"/>
        </w:rPr>
        <w:t>4．“合同价”系指根据合同约定，乙方在完全履行合同义务后甲方应付给乙方的</w:t>
      </w:r>
      <w:r>
        <w:rPr>
          <w:rFonts w:hint="eastAsia" w:ascii="宋体" w:hAnsi="宋体" w:eastAsia="宋体" w:cs="宋体"/>
          <w:spacing w:val="-73"/>
          <w:sz w:val="24"/>
          <w:szCs w:val="24"/>
        </w:rPr>
        <w:t xml:space="preserve"> </w:t>
      </w:r>
      <w:r>
        <w:rPr>
          <w:rFonts w:hint="eastAsia" w:ascii="宋体" w:hAnsi="宋体" w:eastAsia="宋体" w:cs="宋体"/>
          <w:sz w:val="24"/>
          <w:szCs w:val="24"/>
        </w:rPr>
        <w:t>价格。</w:t>
      </w:r>
    </w:p>
    <w:p w14:paraId="79752F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170" w:name="二、主要服务内容"/>
      <w:bookmarkEnd w:id="170"/>
      <w:r>
        <w:rPr>
          <w:rFonts w:hint="eastAsia"/>
          <w:b/>
          <w:bCs/>
          <w:sz w:val="24"/>
          <w:szCs w:val="24"/>
        </w:rPr>
        <w:t>二、主要服务内容</w:t>
      </w:r>
    </w:p>
    <w:p w14:paraId="2AB12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rPr>
      </w:pPr>
      <w:r>
        <w:rPr>
          <w:rFonts w:hint="eastAsia"/>
          <w:sz w:val="24"/>
          <w:szCs w:val="24"/>
          <w:u w:val="single"/>
          <w:lang w:val="en-US" w:eastAsia="zh-CN"/>
        </w:rPr>
        <w:t xml:space="preserve">                             </w:t>
      </w:r>
      <w:r>
        <w:rPr>
          <w:rFonts w:hint="eastAsia"/>
          <w:sz w:val="24"/>
          <w:szCs w:val="24"/>
          <w:u w:val="single"/>
        </w:rPr>
        <w:t xml:space="preserve"> </w:t>
      </w:r>
    </w:p>
    <w:p w14:paraId="18093FA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工作结果交付。</w:t>
      </w:r>
    </w:p>
    <w:p w14:paraId="41D5E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u w:val="single"/>
          <w:lang w:val="en-US" w:eastAsia="zh-CN"/>
        </w:rPr>
      </w:pPr>
      <w:r>
        <w:rPr>
          <w:rFonts w:hint="eastAsia"/>
          <w:sz w:val="24"/>
          <w:szCs w:val="24"/>
          <w:u w:val="single"/>
          <w:lang w:val="en-US" w:eastAsia="zh-CN"/>
        </w:rPr>
        <w:t xml:space="preserve">                                      </w:t>
      </w:r>
    </w:p>
    <w:p w14:paraId="7B95456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rPr>
      </w:pPr>
      <w:r>
        <w:rPr>
          <w:rFonts w:hint="eastAsia"/>
          <w:b/>
          <w:bCs/>
          <w:sz w:val="24"/>
          <w:szCs w:val="24"/>
        </w:rPr>
        <w:t>项目完成时间。</w:t>
      </w:r>
    </w:p>
    <w:p w14:paraId="5C141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sz w:val="24"/>
          <w:szCs w:val="24"/>
          <w:u w:val="single"/>
          <w:lang w:val="en-US" w:eastAsia="zh-CN"/>
        </w:rPr>
      </w:pPr>
      <w:r>
        <w:rPr>
          <w:rFonts w:hint="eastAsia"/>
          <w:sz w:val="24"/>
          <w:szCs w:val="24"/>
          <w:u w:val="single"/>
          <w:lang w:val="en-US" w:eastAsia="zh-CN"/>
        </w:rPr>
        <w:t xml:space="preserve">   具体以合同内容履约时间为准 </w:t>
      </w:r>
    </w:p>
    <w:p w14:paraId="7347439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rPr>
      </w:pPr>
      <w:r>
        <w:rPr>
          <w:rFonts w:hint="eastAsia"/>
          <w:b/>
          <w:bCs/>
          <w:sz w:val="24"/>
          <w:szCs w:val="24"/>
        </w:rPr>
        <w:t>付款条件</w:t>
      </w:r>
    </w:p>
    <w:p w14:paraId="7DEBC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u w:val="single"/>
          <w:lang w:val="en-US" w:eastAsia="zh-CN"/>
        </w:rPr>
        <w:t xml:space="preserve"> （具体以实际签订合同为准，响应采购人要求。） </w:t>
      </w:r>
    </w:p>
    <w:p w14:paraId="4BFBC7D9">
      <w:pPr>
        <w:pStyle w:val="10"/>
        <w:numPr>
          <w:ilvl w:val="0"/>
          <w:numId w:val="0"/>
        </w:numPr>
        <w:spacing w:before="53" w:line="357" w:lineRule="auto"/>
        <w:ind w:right="0" w:rightChars="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监督与审核</w:t>
      </w:r>
      <w:r>
        <w:rPr>
          <w:rFonts w:hint="eastAsia" w:ascii="宋体" w:hAnsi="宋体" w:eastAsia="宋体" w:cs="宋体"/>
          <w:b/>
          <w:bCs/>
          <w:w w:val="99"/>
          <w:sz w:val="24"/>
          <w:szCs w:val="24"/>
        </w:rPr>
        <w:t xml:space="preserve"> </w:t>
      </w:r>
      <w:r>
        <w:rPr>
          <w:rFonts w:hint="eastAsia" w:ascii="宋体" w:hAnsi="宋体" w:eastAsia="宋体" w:cs="宋体"/>
          <w:spacing w:val="-3"/>
          <w:sz w:val="24"/>
          <w:szCs w:val="24"/>
        </w:rPr>
        <w:t>甲方有权对乙方的工作进行监督和审核，如在监督或审核的过程中发现乙方工作</w:t>
      </w:r>
      <w:r>
        <w:rPr>
          <w:rFonts w:hint="eastAsia" w:ascii="宋体" w:hAnsi="宋体" w:eastAsia="宋体" w:cs="宋体"/>
          <w:spacing w:val="-104"/>
          <w:sz w:val="24"/>
          <w:szCs w:val="24"/>
        </w:rPr>
        <w:t xml:space="preserve"> </w:t>
      </w:r>
      <w:r>
        <w:rPr>
          <w:rFonts w:hint="eastAsia" w:ascii="宋体" w:hAnsi="宋体" w:eastAsia="宋体" w:cs="宋体"/>
          <w:sz w:val="24"/>
          <w:szCs w:val="24"/>
        </w:rPr>
        <w:t>有不当之处，甲方有权提出建议，乙方应予以适当考虑并采纳其中的合理建议。 甲方有权对乙方工作成果进行抽样检查，以检验其工作的真实性和合理性。</w:t>
      </w:r>
    </w:p>
    <w:p w14:paraId="244417BF">
      <w:pPr>
        <w:pStyle w:val="3"/>
        <w:spacing w:before="15" w:line="240" w:lineRule="auto"/>
        <w:ind w:right="0"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七、违约责任</w:t>
      </w:r>
    </w:p>
    <w:p w14:paraId="0F46C3A6">
      <w:pPr>
        <w:tabs>
          <w:tab w:val="left" w:pos="3557"/>
        </w:tabs>
        <w:spacing w:before="151" w:line="355" w:lineRule="auto"/>
        <w:ind w:left="437" w:right="5067" w:hanging="1"/>
        <w:jc w:val="left"/>
        <w:rPr>
          <w:rFonts w:hint="eastAsia" w:ascii="宋体" w:hAnsi="宋体" w:eastAsia="宋体" w:cs="宋体"/>
          <w:sz w:val="24"/>
          <w:szCs w:val="24"/>
        </w:rPr>
      </w:pP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w:t>
      </w:r>
      <w:r>
        <w:rPr>
          <w:rFonts w:hint="eastAsia" w:ascii="宋体" w:hAnsi="宋体" w:eastAsia="宋体" w:cs="宋体"/>
          <w:sz w:val="24"/>
          <w:szCs w:val="24"/>
        </w:rPr>
        <w:t xml:space="preserve"> </w:t>
      </w:r>
      <w:r>
        <w:rPr>
          <w:rFonts w:hint="eastAsia" w:ascii="宋体" w:hAnsi="宋体" w:eastAsia="宋体" w:cs="宋体"/>
          <w:b/>
          <w:bCs/>
          <w:sz w:val="24"/>
          <w:szCs w:val="24"/>
        </w:rPr>
        <w:t>八、不可抗力</w:t>
      </w:r>
    </w:p>
    <w:p w14:paraId="6DD4F98C">
      <w:pPr>
        <w:pStyle w:val="10"/>
        <w:numPr>
          <w:ilvl w:val="0"/>
          <w:numId w:val="0"/>
        </w:numPr>
        <w:spacing w:before="53" w:line="357"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不可抗力通知送达时间：事故发生后</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天内。</w:t>
      </w:r>
    </w:p>
    <w:p w14:paraId="7CDFB71C">
      <w:pPr>
        <w:spacing w:after="0" w:line="357" w:lineRule="auto"/>
        <w:jc w:val="left"/>
        <w:rPr>
          <w:rFonts w:hint="eastAsia" w:ascii="宋体" w:hAnsi="宋体" w:eastAsia="宋体" w:cs="宋体"/>
          <w:sz w:val="24"/>
          <w:szCs w:val="24"/>
        </w:rPr>
        <w:sectPr>
          <w:headerReference r:id="rId7" w:type="default"/>
          <w:footerReference r:id="rId8" w:type="default"/>
          <w:pgSz w:w="11910" w:h="16840"/>
          <w:pgMar w:top="1300" w:right="1600" w:bottom="1160" w:left="1360" w:header="662" w:footer="977" w:gutter="0"/>
          <w:cols w:space="720" w:num="1"/>
        </w:sectPr>
      </w:pPr>
    </w:p>
    <w:p w14:paraId="3A648F2E">
      <w:pPr>
        <w:spacing w:before="10"/>
        <w:ind w:left="239" w:right="0" w:firstLine="0"/>
        <w:jc w:val="center"/>
        <w:rPr>
          <w:rFonts w:hint="eastAsia" w:ascii="宋体" w:hAnsi="宋体" w:eastAsia="宋体" w:cs="宋体"/>
          <w:sz w:val="24"/>
          <w:szCs w:val="24"/>
        </w:rPr>
      </w:pPr>
      <w:r>
        <w:rPr>
          <w:rFonts w:hint="eastAsia" w:ascii="宋体" w:hAnsi="宋体" w:eastAsia="宋体" w:cs="宋体"/>
          <w:b/>
          <w:bCs/>
          <w:sz w:val="24"/>
          <w:szCs w:val="24"/>
        </w:rPr>
        <w:t>合同一般条款</w:t>
      </w:r>
    </w:p>
    <w:p w14:paraId="68D6227A">
      <w:pPr>
        <w:pStyle w:val="10"/>
        <w:spacing w:before="182" w:line="357" w:lineRule="auto"/>
        <w:ind w:right="0" w:firstLine="480"/>
        <w:jc w:val="left"/>
        <w:rPr>
          <w:rFonts w:hint="eastAsia" w:ascii="宋体" w:hAnsi="宋体" w:eastAsia="宋体" w:cs="宋体"/>
          <w:sz w:val="24"/>
          <w:szCs w:val="24"/>
        </w:rPr>
      </w:pPr>
      <w:r>
        <w:rPr>
          <w:rFonts w:hint="eastAsia" w:ascii="宋体" w:hAnsi="宋体" w:eastAsia="宋体" w:cs="宋体"/>
          <w:spacing w:val="-3"/>
          <w:sz w:val="24"/>
          <w:szCs w:val="24"/>
        </w:rPr>
        <w:t>依据《中华人民共和国合同法》及相关法律法规，经双方协商一致，签订本</w:t>
      </w:r>
      <w:r>
        <w:rPr>
          <w:rFonts w:hint="eastAsia" w:ascii="宋体" w:hAnsi="宋体" w:eastAsia="宋体" w:cs="宋体"/>
          <w:sz w:val="24"/>
          <w:szCs w:val="24"/>
        </w:rPr>
        <w:t>合同，以资共同遵守。</w:t>
      </w:r>
    </w:p>
    <w:p w14:paraId="03BFCF8F">
      <w:pPr>
        <w:spacing w:before="34" w:line="338" w:lineRule="auto"/>
        <w:ind w:left="1157" w:right="130" w:rightChars="0" w:hanging="720"/>
        <w:jc w:val="left"/>
        <w:rPr>
          <w:rFonts w:hint="eastAsia" w:ascii="宋体" w:hAnsi="宋体" w:eastAsia="宋体" w:cs="宋体"/>
          <w:sz w:val="24"/>
          <w:szCs w:val="24"/>
        </w:rPr>
      </w:pPr>
      <w:bookmarkStart w:id="171" w:name="1、   定义"/>
      <w:bookmarkEnd w:id="171"/>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定义</w:t>
      </w:r>
      <w:r>
        <w:rPr>
          <w:rFonts w:hint="eastAsia" w:ascii="宋体" w:hAnsi="宋体" w:eastAsia="宋体" w:cs="宋体"/>
          <w:b/>
          <w:bCs/>
          <w:w w:val="99"/>
          <w:sz w:val="24"/>
          <w:szCs w:val="24"/>
        </w:rPr>
        <w:t xml:space="preserve"> </w:t>
      </w:r>
      <w:r>
        <w:rPr>
          <w:rFonts w:hint="eastAsia" w:ascii="宋体" w:hAnsi="宋体" w:eastAsia="宋体" w:cs="宋体"/>
          <w:sz w:val="24"/>
          <w:szCs w:val="24"/>
        </w:rPr>
        <w:t>本合同下列术语应解释为：</w:t>
      </w:r>
    </w:p>
    <w:p w14:paraId="58134085">
      <w:pPr>
        <w:pStyle w:val="10"/>
        <w:spacing w:before="55" w:line="336" w:lineRule="auto"/>
        <w:ind w:left="1157" w:right="0" w:hanging="720"/>
        <w:jc w:val="left"/>
        <w:rPr>
          <w:rFonts w:hint="eastAsia" w:ascii="宋体" w:hAnsi="宋体" w:eastAsia="宋体" w:cs="宋体"/>
          <w:sz w:val="24"/>
          <w:szCs w:val="24"/>
        </w:rPr>
      </w:pPr>
      <w:r>
        <w:rPr>
          <w:rFonts w:hint="eastAsia" w:ascii="宋体" w:hAnsi="宋体" w:eastAsia="宋体" w:cs="宋体"/>
          <w:sz w:val="24"/>
          <w:szCs w:val="24"/>
        </w:rPr>
        <w:t>1.1、“合同”系指甲乙双方签署的、合同格式中载明的甲乙双方所达成的协议， 包括所有的附件、附录和上述文件所提到的构成合同的所有文件。</w:t>
      </w:r>
    </w:p>
    <w:p w14:paraId="05E7567A">
      <w:pPr>
        <w:pStyle w:val="10"/>
        <w:spacing w:before="55" w:line="338" w:lineRule="auto"/>
        <w:ind w:left="1160" w:right="0" w:hanging="720"/>
        <w:jc w:val="left"/>
        <w:rPr>
          <w:rFonts w:hint="eastAsia" w:ascii="宋体" w:hAnsi="宋体" w:eastAsia="宋体" w:cs="宋体"/>
          <w:sz w:val="24"/>
          <w:szCs w:val="24"/>
        </w:rPr>
      </w:pPr>
      <w:r>
        <w:rPr>
          <w:rFonts w:hint="eastAsia" w:ascii="宋体" w:hAnsi="宋体" w:eastAsia="宋体" w:cs="宋体"/>
          <w:sz w:val="24"/>
          <w:szCs w:val="24"/>
        </w:rPr>
        <w:t>1.2、“合同总价”系指根据合同规定乙方在正确地完全履行合同义务后甲方应支 付给乙方的价格。合同总价与报价价格一致。</w:t>
      </w:r>
    </w:p>
    <w:p w14:paraId="0B7FBAFC">
      <w:pPr>
        <w:pStyle w:val="10"/>
        <w:spacing w:before="53"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pacing w:val="-3"/>
          <w:sz w:val="24"/>
          <w:szCs w:val="24"/>
        </w:rPr>
        <w:t>“服务”系指根据合同规定乙方承担有关的服务，详见合同条款及相关附件。</w:t>
      </w:r>
    </w:p>
    <w:p w14:paraId="4CAACE46">
      <w:pPr>
        <w:pStyle w:val="10"/>
        <w:tabs>
          <w:tab w:val="left" w:pos="3711"/>
        </w:tabs>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1.4、“甲方”指</w:t>
      </w:r>
      <w:r>
        <w:rPr>
          <w:rFonts w:hint="eastAsia" w:ascii="宋体" w:hAnsi="宋体" w:eastAsia="宋体" w:cs="宋体"/>
          <w:sz w:val="24"/>
          <w:szCs w:val="24"/>
          <w:u w:val="single" w:color="000000"/>
        </w:rPr>
        <w:tab/>
      </w:r>
      <w:r>
        <w:rPr>
          <w:rFonts w:hint="eastAsia" w:ascii="宋体" w:hAnsi="宋体" w:eastAsia="宋体" w:cs="宋体"/>
          <w:sz w:val="24"/>
          <w:szCs w:val="24"/>
        </w:rPr>
        <w:t>。</w:t>
      </w:r>
    </w:p>
    <w:p w14:paraId="306658F8">
      <w:pPr>
        <w:pStyle w:val="10"/>
        <w:spacing w:before="55" w:line="338" w:lineRule="auto"/>
        <w:ind w:left="1160" w:right="0" w:hanging="720"/>
        <w:jc w:val="left"/>
        <w:rPr>
          <w:rFonts w:hint="eastAsia" w:ascii="宋体" w:hAnsi="宋体" w:eastAsia="宋体" w:cs="宋体"/>
          <w:sz w:val="24"/>
          <w:szCs w:val="24"/>
        </w:rPr>
      </w:pPr>
      <w:r>
        <w:rPr>
          <w:rFonts w:hint="eastAsia" w:ascii="宋体" w:hAnsi="宋体" w:eastAsia="宋体" w:cs="宋体"/>
          <w:sz w:val="24"/>
          <w:szCs w:val="24"/>
        </w:rPr>
        <w:t>1.5、“乙方”指为本合同提供服务的公司或实体。</w:t>
      </w:r>
    </w:p>
    <w:p w14:paraId="27555741">
      <w:pPr>
        <w:pStyle w:val="10"/>
        <w:spacing w:before="55" w:line="338" w:lineRule="auto"/>
        <w:ind w:left="1160" w:right="0" w:hanging="720"/>
        <w:jc w:val="left"/>
        <w:rPr>
          <w:rFonts w:hint="eastAsia" w:ascii="宋体" w:hAnsi="宋体" w:eastAsia="宋体" w:cs="宋体"/>
          <w:sz w:val="24"/>
          <w:szCs w:val="24"/>
        </w:rPr>
      </w:pPr>
      <w:r>
        <w:rPr>
          <w:rFonts w:hint="eastAsia" w:ascii="宋体" w:hAnsi="宋体" w:eastAsia="宋体" w:cs="宋体"/>
          <w:sz w:val="24"/>
          <w:szCs w:val="24"/>
        </w:rPr>
        <w:t>1.6、“项目现场”指的是：甲方指定地点。</w:t>
      </w:r>
    </w:p>
    <w:p w14:paraId="09EFFBF0">
      <w:pPr>
        <w:pStyle w:val="3"/>
        <w:tabs>
          <w:tab w:val="left" w:pos="1157"/>
        </w:tabs>
        <w:spacing w:before="135" w:line="240" w:lineRule="auto"/>
        <w:ind w:right="0" w:firstLine="240" w:firstLineChars="100"/>
        <w:jc w:val="left"/>
        <w:rPr>
          <w:rFonts w:hint="eastAsia" w:ascii="宋体" w:hAnsi="宋体" w:eastAsia="宋体" w:cs="宋体"/>
          <w:b w:val="0"/>
          <w:bCs w:val="0"/>
          <w:sz w:val="24"/>
          <w:szCs w:val="24"/>
        </w:rPr>
      </w:pPr>
      <w:bookmarkStart w:id="172" w:name="2、   乙方合同义务"/>
      <w:bookmarkEnd w:id="172"/>
      <w:r>
        <w:rPr>
          <w:rFonts w:hint="eastAsia" w:ascii="宋体" w:hAnsi="宋体" w:eastAsia="宋体" w:cs="宋体"/>
          <w:sz w:val="24"/>
          <w:szCs w:val="24"/>
          <w:lang w:val="en-US" w:eastAsia="zh-CN"/>
        </w:rPr>
        <w:t>2、</w:t>
      </w:r>
      <w:r>
        <w:rPr>
          <w:rFonts w:hint="eastAsia" w:ascii="宋体" w:hAnsi="宋体" w:eastAsia="宋体" w:cs="宋体"/>
          <w:sz w:val="24"/>
          <w:szCs w:val="24"/>
        </w:rPr>
        <w:t>乙方合同义务</w:t>
      </w:r>
    </w:p>
    <w:p w14:paraId="11EA3207">
      <w:pPr>
        <w:pStyle w:val="3"/>
        <w:tabs>
          <w:tab w:val="left" w:pos="1097"/>
        </w:tabs>
        <w:spacing w:line="360" w:lineRule="auto"/>
        <w:ind w:right="0" w:firstLine="240" w:firstLineChars="100"/>
        <w:jc w:val="both"/>
        <w:rPr>
          <w:rFonts w:hint="eastAsia" w:ascii="宋体" w:hAnsi="宋体" w:eastAsia="宋体" w:cs="宋体"/>
          <w:b w:val="0"/>
          <w:bCs w:val="0"/>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服务内容</w:t>
      </w:r>
    </w:p>
    <w:p w14:paraId="5D5347C4">
      <w:pPr>
        <w:pStyle w:val="10"/>
        <w:tabs>
          <w:tab w:val="left" w:pos="1157"/>
        </w:tabs>
        <w:spacing w:line="360" w:lineRule="auto"/>
        <w:ind w:righ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乙方服务内容见招标文件及被甲方接受的投标文件中的规定。</w:t>
      </w:r>
    </w:p>
    <w:p w14:paraId="4604A21D">
      <w:pPr>
        <w:spacing w:line="360" w:lineRule="auto"/>
        <w:ind w:firstLine="480" w:firstLineChars="200"/>
        <w:jc w:val="both"/>
        <w:rPr>
          <w:rFonts w:hint="eastAsia" w:ascii="宋体" w:hAnsi="宋体" w:eastAsia="宋体" w:cs="宋体"/>
          <w:spacing w:val="2"/>
          <w:sz w:val="24"/>
          <w:szCs w:val="24"/>
          <w:lang w:val="en-US" w:eastAsia="zh-CN"/>
        </w:rPr>
      </w:pPr>
      <w:r>
        <w:rPr>
          <w:rFonts w:hint="eastAsia" w:ascii="宋体" w:hAnsi="宋体" w:eastAsia="宋体" w:cs="宋体"/>
          <w:sz w:val="24"/>
          <w:szCs w:val="24"/>
          <w:lang w:val="en-US" w:eastAsia="zh-CN"/>
        </w:rPr>
        <w:t>2.1.2</w:t>
      </w:r>
      <w:r>
        <w:rPr>
          <w:rFonts w:hint="eastAsia" w:ascii="宋体" w:hAnsi="宋体" w:eastAsia="宋体" w:cs="宋体"/>
          <w:spacing w:val="2"/>
          <w:sz w:val="24"/>
          <w:szCs w:val="24"/>
        </w:rPr>
        <w:t>乙方提供的服务应与招标文件规定的服务内容、服务规范和规范附件</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rPr>
        <w:t>(如果有的话)及其投标文件的服务内容、服务规范偏差表(如果被甲方</w:t>
      </w:r>
      <w:r>
        <w:rPr>
          <w:rFonts w:hint="eastAsia" w:ascii="宋体" w:hAnsi="宋体" w:eastAsia="宋体" w:cs="宋体"/>
          <w:sz w:val="24"/>
          <w:szCs w:val="24"/>
        </w:rPr>
        <w:t xml:space="preserve"> 接受的话)相一致。若</w:t>
      </w:r>
      <w:r>
        <w:rPr>
          <w:rFonts w:hint="eastAsia" w:ascii="宋体" w:hAnsi="宋体" w:eastAsia="宋体" w:cs="宋体"/>
          <w:spacing w:val="2"/>
          <w:sz w:val="24"/>
          <w:szCs w:val="24"/>
        </w:rPr>
        <w:t>文件规范中无相应说明，则以国家有关部门最新 颁布的相应标准及规</w:t>
      </w:r>
      <w:r>
        <w:rPr>
          <w:rFonts w:hint="eastAsia" w:ascii="宋体" w:hAnsi="宋体" w:eastAsia="宋体" w:cs="宋体"/>
          <w:spacing w:val="2"/>
          <w:sz w:val="24"/>
          <w:szCs w:val="24"/>
          <w:lang w:val="en-US" w:eastAsia="zh-CN"/>
        </w:rPr>
        <w:t>范为准。</w:t>
      </w:r>
    </w:p>
    <w:p w14:paraId="64470021">
      <w:pPr>
        <w:spacing w:line="360" w:lineRule="auto"/>
        <w:ind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2.2合同资料</w:t>
      </w:r>
    </w:p>
    <w:p w14:paraId="0A997EC6">
      <w:pPr>
        <w:spacing w:line="360" w:lineRule="auto"/>
        <w:ind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2.2.1</w:t>
      </w:r>
      <w:r>
        <w:rPr>
          <w:rFonts w:hint="eastAsia" w:ascii="宋体" w:hAnsi="宋体" w:eastAsia="宋体" w:cs="宋体"/>
          <w:spacing w:val="2"/>
          <w:sz w:val="24"/>
          <w:szCs w:val="24"/>
          <w:lang w:val="en-US" w:eastAsia="zh-CN"/>
        </w:rPr>
        <w:tab/>
      </w:r>
      <w:r>
        <w:rPr>
          <w:rFonts w:hint="eastAsia" w:ascii="宋体" w:hAnsi="宋体" w:eastAsia="宋体" w:cs="宋体"/>
          <w:spacing w:val="2"/>
          <w:sz w:val="24"/>
          <w:szCs w:val="24"/>
          <w:lang w:val="en-US" w:eastAsia="zh-CN"/>
        </w:rPr>
        <w:t>合同项下文件资料(除合同特殊条款规定外)将以下列方式交付：接到对</w:t>
      </w:r>
    </w:p>
    <w:p w14:paraId="04DE92B9">
      <w:pPr>
        <w:spacing w:line="360" w:lineRule="auto"/>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方书面通知后 15 天之内，将完成服务或合同所需必要资料交付给对方。</w:t>
      </w:r>
    </w:p>
    <w:p w14:paraId="18715143">
      <w:pPr>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2.3</w:t>
      </w:r>
      <w:r>
        <w:rPr>
          <w:rFonts w:hint="eastAsia" w:ascii="宋体" w:hAnsi="宋体" w:eastAsia="宋体" w:cs="宋体"/>
          <w:spacing w:val="2"/>
          <w:sz w:val="24"/>
          <w:szCs w:val="24"/>
        </w:rPr>
        <w:t>工作结果交付</w:t>
      </w:r>
    </w:p>
    <w:p w14:paraId="686F96F0">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2.3.1乙方应按照甲方要求的时间和进度交付相应的工作结果。</w:t>
      </w:r>
    </w:p>
    <w:p w14:paraId="0C482A07">
      <w:pPr>
        <w:pStyle w:val="3"/>
        <w:tabs>
          <w:tab w:val="left" w:pos="1097"/>
        </w:tabs>
        <w:spacing w:before="135" w:line="240" w:lineRule="auto"/>
        <w:ind w:right="0" w:firstLine="240" w:firstLineChars="100"/>
        <w:jc w:val="left"/>
        <w:rPr>
          <w:rFonts w:hint="eastAsia" w:ascii="宋体" w:hAnsi="宋体" w:eastAsia="宋体" w:cs="宋体"/>
          <w:b w:val="0"/>
          <w:bCs w:val="0"/>
          <w:sz w:val="24"/>
          <w:szCs w:val="24"/>
        </w:rPr>
      </w:pPr>
      <w:r>
        <w:rPr>
          <w:rFonts w:hint="eastAsia" w:ascii="宋体" w:hAnsi="宋体" w:eastAsia="宋体" w:cs="宋体"/>
          <w:sz w:val="24"/>
          <w:szCs w:val="24"/>
        </w:rPr>
        <w:t>2.4保密</w:t>
      </w:r>
    </w:p>
    <w:p w14:paraId="4B81B233">
      <w:pPr>
        <w:pStyle w:val="10"/>
        <w:spacing w:line="350" w:lineRule="auto"/>
        <w:ind w:right="474" w:firstLine="240" w:firstLineChars="100"/>
        <w:jc w:val="both"/>
        <w:rPr>
          <w:rFonts w:hint="eastAsia" w:ascii="宋体" w:hAnsi="宋体" w:eastAsia="宋体" w:cs="宋体"/>
          <w:sz w:val="24"/>
          <w:szCs w:val="24"/>
        </w:rPr>
      </w:pPr>
      <w:r>
        <w:rPr>
          <w:rFonts w:hint="eastAsia" w:ascii="宋体" w:hAnsi="宋体" w:eastAsia="宋体" w:cs="宋体"/>
          <w:sz w:val="24"/>
          <w:szCs w:val="24"/>
        </w:rPr>
        <w:t xml:space="preserve">2.4.1乙方保证对在谈判、签订、执行本协议过程中所获悉的属于无法自公开 </w:t>
      </w:r>
      <w:r>
        <w:rPr>
          <w:rFonts w:hint="eastAsia" w:ascii="宋体" w:hAnsi="宋体" w:eastAsia="宋体" w:cs="宋体"/>
          <w:spacing w:val="3"/>
          <w:sz w:val="24"/>
          <w:szCs w:val="24"/>
        </w:rPr>
        <w:t>渠道获得的文件及资料（包括国家秘密、商业秘密、工作秘密、公司</w:t>
      </w:r>
      <w:r>
        <w:rPr>
          <w:rFonts w:hint="eastAsia" w:ascii="宋体" w:hAnsi="宋体" w:eastAsia="宋体" w:cs="宋体"/>
          <w:sz w:val="24"/>
          <w:szCs w:val="24"/>
        </w:rPr>
        <w:t xml:space="preserve"> </w:t>
      </w:r>
      <w:r>
        <w:rPr>
          <w:rFonts w:hint="eastAsia" w:ascii="宋体" w:hAnsi="宋体" w:eastAsia="宋体" w:cs="宋体"/>
          <w:spacing w:val="3"/>
          <w:sz w:val="24"/>
          <w:szCs w:val="24"/>
        </w:rPr>
        <w:t>计划、运营活动、财务信息、技术信息、经营信息及其他有关信息）</w:t>
      </w:r>
      <w:r>
        <w:rPr>
          <w:rFonts w:hint="eastAsia" w:ascii="宋体" w:hAnsi="宋体" w:eastAsia="宋体" w:cs="宋体"/>
          <w:sz w:val="24"/>
          <w:szCs w:val="24"/>
        </w:rPr>
        <w:t xml:space="preserve"> </w:t>
      </w:r>
      <w:r>
        <w:rPr>
          <w:rFonts w:hint="eastAsia" w:ascii="宋体" w:hAnsi="宋体" w:eastAsia="宋体" w:cs="宋体"/>
          <w:spacing w:val="3"/>
          <w:sz w:val="24"/>
          <w:szCs w:val="24"/>
        </w:rPr>
        <w:t>予以保密。未经该资料和文件的原提供方同意，不得向任何第三方泄露该商业秘密或未公开工作信息的全部或部分内容。但法律、法规另</w:t>
      </w:r>
      <w:r>
        <w:rPr>
          <w:rFonts w:hint="eastAsia" w:ascii="宋体" w:hAnsi="宋体" w:eastAsia="宋体" w:cs="宋体"/>
          <w:spacing w:val="-117"/>
          <w:sz w:val="24"/>
          <w:szCs w:val="24"/>
        </w:rPr>
        <w:t xml:space="preserve"> </w:t>
      </w:r>
      <w:r>
        <w:rPr>
          <w:rFonts w:hint="eastAsia" w:ascii="宋体" w:hAnsi="宋体" w:eastAsia="宋体" w:cs="宋体"/>
          <w:sz w:val="24"/>
          <w:szCs w:val="24"/>
        </w:rPr>
        <w:t>有规定或双方另有约定的除外。</w:t>
      </w:r>
    </w:p>
    <w:p w14:paraId="7C383EDE">
      <w:pPr>
        <w:pStyle w:val="3"/>
        <w:tabs>
          <w:tab w:val="left" w:pos="977"/>
        </w:tabs>
        <w:spacing w:before="36" w:line="240" w:lineRule="auto"/>
        <w:ind w:right="0"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知识产权</w:t>
      </w:r>
    </w:p>
    <w:p w14:paraId="4D3BCF1B">
      <w:pPr>
        <w:pStyle w:val="10"/>
        <w:spacing w:line="350" w:lineRule="auto"/>
        <w:ind w:left="1152" w:right="394" w:hanging="716"/>
        <w:jc w:val="both"/>
        <w:rPr>
          <w:rFonts w:hint="eastAsia" w:ascii="宋体" w:hAnsi="宋体" w:eastAsia="宋体" w:cs="宋体"/>
          <w:sz w:val="24"/>
          <w:szCs w:val="24"/>
        </w:rPr>
      </w:pPr>
      <w:r>
        <w:rPr>
          <w:rFonts w:hint="eastAsia" w:ascii="宋体" w:hAnsi="宋体" w:eastAsia="宋体" w:cs="宋体"/>
          <w:sz w:val="24"/>
          <w:szCs w:val="24"/>
        </w:rPr>
        <w:t>2.5.1</w:t>
      </w:r>
      <w:r>
        <w:rPr>
          <w:rFonts w:hint="eastAsia" w:ascii="宋体" w:hAnsi="宋体" w:eastAsia="宋体" w:cs="宋体"/>
          <w:spacing w:val="32"/>
          <w:sz w:val="24"/>
          <w:szCs w:val="24"/>
        </w:rPr>
        <w:t xml:space="preserve"> </w:t>
      </w:r>
      <w:r>
        <w:rPr>
          <w:rFonts w:hint="eastAsia" w:ascii="宋体" w:hAnsi="宋体" w:eastAsia="宋体" w:cs="宋体"/>
          <w:sz w:val="24"/>
          <w:szCs w:val="24"/>
        </w:rPr>
        <w:t>乙方应保证甲方使用合同项下乙方工作成果的任何一部分时免受</w:t>
      </w:r>
    </w:p>
    <w:p w14:paraId="1044CA0D">
      <w:pPr>
        <w:pStyle w:val="10"/>
        <w:spacing w:line="350" w:lineRule="auto"/>
        <w:ind w:right="394"/>
        <w:jc w:val="both"/>
        <w:rPr>
          <w:rFonts w:hint="eastAsia" w:ascii="宋体" w:hAnsi="宋体" w:eastAsia="宋体" w:cs="宋体"/>
          <w:sz w:val="24"/>
          <w:szCs w:val="24"/>
        </w:rPr>
      </w:pPr>
      <w:r>
        <w:rPr>
          <w:rFonts w:hint="eastAsia" w:ascii="宋体" w:hAnsi="宋体" w:eastAsia="宋体" w:cs="宋体"/>
          <w:sz w:val="24"/>
          <w:szCs w:val="24"/>
        </w:rPr>
        <w:t>第三方</w:t>
      </w:r>
      <w:r>
        <w:rPr>
          <w:rFonts w:hint="eastAsia" w:ascii="宋体" w:hAnsi="宋体" w:eastAsia="宋体" w:cs="宋体"/>
          <w:spacing w:val="-111"/>
          <w:sz w:val="24"/>
          <w:szCs w:val="24"/>
        </w:rPr>
        <w:t xml:space="preserve"> </w:t>
      </w:r>
      <w:r>
        <w:rPr>
          <w:rFonts w:hint="eastAsia" w:ascii="宋体" w:hAnsi="宋体" w:eastAsia="宋体" w:cs="宋体"/>
          <w:spacing w:val="3"/>
          <w:sz w:val="24"/>
          <w:szCs w:val="24"/>
        </w:rPr>
        <w:t>提出的侵犯其专利权、著作权、商标权或工业设计权等知识产权的起</w:t>
      </w:r>
      <w:r>
        <w:rPr>
          <w:rFonts w:hint="eastAsia" w:ascii="宋体" w:hAnsi="宋体" w:eastAsia="宋体" w:cs="宋体"/>
          <w:sz w:val="24"/>
          <w:szCs w:val="24"/>
        </w:rPr>
        <w:t xml:space="preserve"> 诉。如果任何第三方对此提出起诉</w:t>
      </w:r>
      <w:r>
        <w:rPr>
          <w:rFonts w:hint="eastAsia" w:ascii="宋体" w:hAnsi="宋体" w:eastAsia="宋体" w:cs="宋体"/>
          <w:spacing w:val="-6"/>
          <w:sz w:val="24"/>
          <w:szCs w:val="24"/>
        </w:rPr>
        <w:t xml:space="preserve"> </w:t>
      </w:r>
      <w:r>
        <w:rPr>
          <w:rFonts w:hint="eastAsia" w:ascii="宋体" w:hAnsi="宋体" w:eastAsia="宋体" w:cs="宋体"/>
          <w:sz w:val="24"/>
          <w:szCs w:val="24"/>
        </w:rPr>
        <w:t>，乙方应负责与之交涉并承担由此 引起的一切法律责任及经济损失。</w:t>
      </w:r>
    </w:p>
    <w:p w14:paraId="40DF231C">
      <w:pPr>
        <w:pStyle w:val="3"/>
        <w:tabs>
          <w:tab w:val="left" w:pos="1157"/>
        </w:tabs>
        <w:spacing w:before="41" w:line="240" w:lineRule="auto"/>
        <w:ind w:right="0" w:firstLine="456" w:firstLineChars="200"/>
        <w:jc w:val="left"/>
        <w:rPr>
          <w:rFonts w:hint="eastAsia" w:ascii="宋体" w:hAnsi="宋体" w:eastAsia="宋体" w:cs="宋体"/>
          <w:b w:val="0"/>
          <w:bCs w:val="0"/>
          <w:sz w:val="24"/>
          <w:szCs w:val="24"/>
        </w:rPr>
      </w:pPr>
      <w:bookmarkStart w:id="173" w:name="3、   甲方合同义务"/>
      <w:bookmarkEnd w:id="173"/>
      <w:r>
        <w:rPr>
          <w:rFonts w:hint="eastAsia" w:ascii="宋体" w:hAnsi="宋体" w:eastAsia="宋体" w:cs="宋体"/>
          <w:w w:val="95"/>
          <w:sz w:val="24"/>
          <w:szCs w:val="24"/>
        </w:rPr>
        <w:t>3、</w:t>
      </w:r>
      <w:r>
        <w:rPr>
          <w:rFonts w:hint="eastAsia" w:ascii="宋体" w:hAnsi="宋体" w:eastAsia="宋体" w:cs="宋体"/>
          <w:sz w:val="24"/>
          <w:szCs w:val="24"/>
        </w:rPr>
        <w:t>甲方合同义务</w:t>
      </w:r>
    </w:p>
    <w:p w14:paraId="3E6A8022">
      <w:pPr>
        <w:pStyle w:val="3"/>
        <w:tabs>
          <w:tab w:val="left" w:pos="1097"/>
        </w:tabs>
        <w:spacing w:before="135" w:line="240" w:lineRule="auto"/>
        <w:ind w:right="0"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3.1合同款支付</w:t>
      </w:r>
    </w:p>
    <w:p w14:paraId="586E1BEE">
      <w:pPr>
        <w:pStyle w:val="10"/>
        <w:tabs>
          <w:tab w:val="left" w:pos="1157"/>
        </w:tabs>
        <w:spacing w:before="133"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rPr>
        <w:tab/>
      </w:r>
      <w:r>
        <w:rPr>
          <w:rFonts w:hint="eastAsia" w:ascii="宋体" w:hAnsi="宋体" w:eastAsia="宋体" w:cs="宋体"/>
          <w:sz w:val="24"/>
          <w:szCs w:val="24"/>
        </w:rPr>
        <w:t>合同货币：人民币。</w:t>
      </w:r>
    </w:p>
    <w:p w14:paraId="54484BF4">
      <w:pPr>
        <w:pStyle w:val="10"/>
        <w:tabs>
          <w:tab w:val="left" w:pos="1157"/>
        </w:tabs>
        <w:spacing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3.1.2</w:t>
      </w:r>
      <w:r>
        <w:rPr>
          <w:rFonts w:hint="eastAsia" w:ascii="宋体" w:hAnsi="宋体" w:eastAsia="宋体" w:cs="宋体"/>
          <w:sz w:val="24"/>
          <w:szCs w:val="24"/>
        </w:rPr>
        <w:tab/>
      </w:r>
      <w:r>
        <w:rPr>
          <w:rFonts w:hint="eastAsia" w:ascii="宋体" w:hAnsi="宋体" w:eastAsia="宋体" w:cs="宋体"/>
          <w:sz w:val="24"/>
          <w:szCs w:val="24"/>
        </w:rPr>
        <w:t>合同款支付进度见合同特殊条款规定。</w:t>
      </w:r>
    </w:p>
    <w:p w14:paraId="1B9E7E26">
      <w:pPr>
        <w:pStyle w:val="3"/>
        <w:tabs>
          <w:tab w:val="left" w:pos="1157"/>
        </w:tabs>
        <w:spacing w:line="240" w:lineRule="auto"/>
        <w:ind w:right="0" w:firstLine="456" w:firstLineChars="200"/>
        <w:jc w:val="left"/>
        <w:rPr>
          <w:rFonts w:hint="eastAsia" w:ascii="宋体" w:hAnsi="宋体" w:eastAsia="宋体" w:cs="宋体"/>
          <w:b w:val="0"/>
          <w:bCs w:val="0"/>
          <w:sz w:val="24"/>
          <w:szCs w:val="24"/>
        </w:rPr>
      </w:pPr>
      <w:bookmarkStart w:id="174" w:name="4、   项目完成时间"/>
      <w:bookmarkEnd w:id="174"/>
      <w:r>
        <w:rPr>
          <w:rFonts w:hint="eastAsia" w:ascii="宋体" w:hAnsi="宋体" w:eastAsia="宋体" w:cs="宋体"/>
          <w:w w:val="95"/>
          <w:sz w:val="24"/>
          <w:szCs w:val="24"/>
        </w:rPr>
        <w:t>4、</w:t>
      </w:r>
      <w:r>
        <w:rPr>
          <w:rFonts w:hint="eastAsia" w:ascii="宋体" w:hAnsi="宋体" w:eastAsia="宋体" w:cs="宋体"/>
          <w:sz w:val="24"/>
          <w:szCs w:val="24"/>
        </w:rPr>
        <w:t>项目完成时间</w:t>
      </w:r>
    </w:p>
    <w:p w14:paraId="762FA869">
      <w:pPr>
        <w:pStyle w:val="10"/>
        <w:tabs>
          <w:tab w:val="left" w:pos="1217"/>
        </w:tabs>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4.1本合同项目完成时间见合同特殊条款规定。</w:t>
      </w:r>
    </w:p>
    <w:p w14:paraId="464CC62E">
      <w:pPr>
        <w:pStyle w:val="3"/>
        <w:tabs>
          <w:tab w:val="left" w:pos="1157"/>
        </w:tabs>
        <w:spacing w:line="240" w:lineRule="auto"/>
        <w:ind w:right="0" w:firstLine="456" w:firstLineChars="200"/>
        <w:jc w:val="left"/>
        <w:rPr>
          <w:rFonts w:hint="eastAsia" w:ascii="宋体" w:hAnsi="宋体" w:eastAsia="宋体" w:cs="宋体"/>
          <w:b w:val="0"/>
          <w:bCs w:val="0"/>
          <w:sz w:val="24"/>
          <w:szCs w:val="24"/>
        </w:rPr>
      </w:pPr>
      <w:bookmarkStart w:id="175" w:name="5、   监督与审核"/>
      <w:bookmarkEnd w:id="175"/>
      <w:r>
        <w:rPr>
          <w:rFonts w:hint="eastAsia" w:ascii="宋体" w:hAnsi="宋体" w:eastAsia="宋体" w:cs="宋体"/>
          <w:w w:val="95"/>
          <w:sz w:val="24"/>
          <w:szCs w:val="24"/>
        </w:rPr>
        <w:t>5、</w:t>
      </w:r>
      <w:r>
        <w:rPr>
          <w:rFonts w:hint="eastAsia" w:ascii="宋体" w:hAnsi="宋体" w:eastAsia="宋体" w:cs="宋体"/>
          <w:sz w:val="24"/>
          <w:szCs w:val="24"/>
        </w:rPr>
        <w:t>监督与审核</w:t>
      </w:r>
    </w:p>
    <w:p w14:paraId="0759FB71">
      <w:pPr>
        <w:pStyle w:val="10"/>
        <w:spacing w:line="350" w:lineRule="auto"/>
        <w:ind w:right="116" w:firstLine="480" w:firstLineChars="200"/>
        <w:jc w:val="both"/>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pacing w:val="31"/>
          <w:sz w:val="24"/>
          <w:szCs w:val="24"/>
        </w:rPr>
        <w:t xml:space="preserve"> </w:t>
      </w:r>
      <w:r>
        <w:rPr>
          <w:rFonts w:hint="eastAsia" w:ascii="宋体" w:hAnsi="宋体" w:eastAsia="宋体" w:cs="宋体"/>
          <w:sz w:val="24"/>
          <w:szCs w:val="24"/>
        </w:rPr>
        <w:t xml:space="preserve">甲方有权对乙方的工作进行监督和审核，如在监督或审核的过程中发现乙 </w:t>
      </w:r>
      <w:r>
        <w:rPr>
          <w:rFonts w:hint="eastAsia" w:ascii="宋体" w:hAnsi="宋体" w:eastAsia="宋体" w:cs="宋体"/>
          <w:spacing w:val="-3"/>
          <w:sz w:val="24"/>
          <w:szCs w:val="24"/>
        </w:rPr>
        <w:t>方工作有不当之处，甲方有权提出建议，乙方应予以适当考虑并采纳其中</w:t>
      </w:r>
      <w:r>
        <w:rPr>
          <w:rFonts w:hint="eastAsia" w:ascii="宋体" w:hAnsi="宋体" w:eastAsia="宋体" w:cs="宋体"/>
          <w:sz w:val="24"/>
          <w:szCs w:val="24"/>
        </w:rPr>
        <w:t xml:space="preserve"> </w:t>
      </w:r>
      <w:r>
        <w:rPr>
          <w:rFonts w:hint="eastAsia" w:ascii="宋体" w:hAnsi="宋体" w:eastAsia="宋体" w:cs="宋体"/>
          <w:spacing w:val="-3"/>
          <w:sz w:val="24"/>
          <w:szCs w:val="24"/>
        </w:rPr>
        <w:t>的合理建议。甲方有权对乙方工作成果进行抽样检查，以检验其工作的真</w:t>
      </w:r>
      <w:r>
        <w:rPr>
          <w:rFonts w:hint="eastAsia" w:ascii="宋体" w:hAnsi="宋体" w:eastAsia="宋体" w:cs="宋体"/>
          <w:sz w:val="24"/>
          <w:szCs w:val="24"/>
        </w:rPr>
        <w:t xml:space="preserve"> 实性和合理性。</w:t>
      </w:r>
    </w:p>
    <w:p w14:paraId="415E7561">
      <w:pPr>
        <w:pStyle w:val="3"/>
        <w:tabs>
          <w:tab w:val="left" w:pos="1037"/>
        </w:tabs>
        <w:spacing w:before="43" w:line="240" w:lineRule="auto"/>
        <w:ind w:right="0" w:firstLine="456" w:firstLineChars="200"/>
        <w:jc w:val="left"/>
        <w:rPr>
          <w:rFonts w:hint="eastAsia" w:ascii="宋体" w:hAnsi="宋体" w:eastAsia="宋体" w:cs="宋体"/>
          <w:b w:val="0"/>
          <w:bCs w:val="0"/>
          <w:sz w:val="24"/>
          <w:szCs w:val="24"/>
        </w:rPr>
      </w:pPr>
      <w:bookmarkStart w:id="176" w:name="6、  索赔"/>
      <w:bookmarkEnd w:id="176"/>
      <w:r>
        <w:rPr>
          <w:rFonts w:hint="eastAsia" w:ascii="宋体" w:hAnsi="宋体" w:eastAsia="宋体" w:cs="宋体"/>
          <w:w w:val="95"/>
          <w:sz w:val="24"/>
          <w:szCs w:val="24"/>
        </w:rPr>
        <w:t>6、</w:t>
      </w:r>
      <w:r>
        <w:rPr>
          <w:rFonts w:hint="eastAsia" w:ascii="宋体" w:hAnsi="宋体" w:eastAsia="宋体" w:cs="宋体"/>
          <w:sz w:val="24"/>
          <w:szCs w:val="24"/>
        </w:rPr>
        <w:t>索赔</w:t>
      </w:r>
    </w:p>
    <w:p w14:paraId="01C5F71D">
      <w:pPr>
        <w:pStyle w:val="10"/>
        <w:tabs>
          <w:tab w:val="left" w:pos="1097"/>
        </w:tabs>
        <w:spacing w:before="133" w:line="338" w:lineRule="auto"/>
        <w:ind w:right="158" w:firstLine="480" w:firstLineChars="200"/>
        <w:jc w:val="lef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pacing w:val="-3"/>
          <w:sz w:val="24"/>
          <w:szCs w:val="24"/>
        </w:rPr>
        <w:t>如果在合同履行过程中，由于乙方违反合同规定义务导致甲方受到损失，</w:t>
      </w:r>
      <w:r>
        <w:rPr>
          <w:rFonts w:hint="eastAsia" w:ascii="宋体" w:hAnsi="宋体" w:eastAsia="宋体" w:cs="宋体"/>
          <w:spacing w:val="-94"/>
          <w:sz w:val="24"/>
          <w:szCs w:val="24"/>
        </w:rPr>
        <w:t xml:space="preserve"> </w:t>
      </w:r>
      <w:r>
        <w:rPr>
          <w:rFonts w:hint="eastAsia" w:ascii="宋体" w:hAnsi="宋体" w:eastAsia="宋体" w:cs="宋体"/>
          <w:sz w:val="24"/>
          <w:szCs w:val="24"/>
        </w:rPr>
        <w:t>乙方应按照甲方的实际损失予以赔偿。</w:t>
      </w:r>
    </w:p>
    <w:p w14:paraId="1A5BF3FF">
      <w:pPr>
        <w:pStyle w:val="3"/>
        <w:tabs>
          <w:tab w:val="left" w:pos="1157"/>
        </w:tabs>
        <w:spacing w:before="55" w:line="240" w:lineRule="auto"/>
        <w:ind w:right="0" w:firstLine="456" w:firstLineChars="200"/>
        <w:jc w:val="left"/>
        <w:rPr>
          <w:rFonts w:hint="eastAsia" w:ascii="宋体" w:hAnsi="宋体" w:eastAsia="宋体" w:cs="宋体"/>
          <w:b w:val="0"/>
          <w:bCs w:val="0"/>
          <w:sz w:val="24"/>
          <w:szCs w:val="24"/>
        </w:rPr>
      </w:pPr>
      <w:bookmarkStart w:id="177" w:name="7、   误期赔偿费"/>
      <w:bookmarkEnd w:id="177"/>
      <w:r>
        <w:rPr>
          <w:rFonts w:hint="eastAsia" w:ascii="宋体" w:hAnsi="宋体" w:eastAsia="宋体" w:cs="宋体"/>
          <w:w w:val="95"/>
          <w:sz w:val="24"/>
          <w:szCs w:val="24"/>
        </w:rPr>
        <w:t>7、</w:t>
      </w:r>
      <w:r>
        <w:rPr>
          <w:rFonts w:hint="eastAsia" w:ascii="宋体" w:hAnsi="宋体" w:eastAsia="宋体" w:cs="宋体"/>
          <w:sz w:val="24"/>
          <w:szCs w:val="24"/>
        </w:rPr>
        <w:t>误期赔偿费</w:t>
      </w:r>
    </w:p>
    <w:p w14:paraId="71DC527D">
      <w:pPr>
        <w:pStyle w:val="10"/>
        <w:tabs>
          <w:tab w:val="left" w:pos="1224"/>
        </w:tabs>
        <w:spacing w:before="133" w:line="345" w:lineRule="auto"/>
        <w:ind w:right="308" w:firstLine="480" w:firstLineChars="200"/>
        <w:jc w:val="left"/>
        <w:rPr>
          <w:rFonts w:hint="eastAsia" w:ascii="宋体" w:hAnsi="宋体" w:eastAsia="宋体" w:cs="宋体"/>
          <w:sz w:val="24"/>
          <w:szCs w:val="24"/>
        </w:rPr>
      </w:pPr>
      <w:r>
        <w:rPr>
          <w:rFonts w:hint="eastAsia" w:ascii="宋体" w:hAnsi="宋体" w:eastAsia="宋体" w:cs="宋体"/>
          <w:sz w:val="24"/>
          <w:szCs w:val="24"/>
        </w:rPr>
        <w:t>7.1除了本合同“不可抗力”规定的不可抗力事故外，如果乙方不能按合同规定时间准时提供服务，甲方在不影响合同项下的其它补救措施的情 况下，可从合同价款中扣除误期赔偿费。每延误一周的赔偿费按迟交 货物或未提供服务的服务费用的</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0.5%计收，不足</w:t>
      </w:r>
      <w:r>
        <w:rPr>
          <w:rFonts w:hint="eastAsia" w:ascii="宋体" w:hAnsi="宋体" w:eastAsia="宋体" w:cs="宋体"/>
          <w:spacing w:val="-60"/>
          <w:sz w:val="24"/>
          <w:szCs w:val="24"/>
        </w:rPr>
        <w:t xml:space="preserve"> </w:t>
      </w:r>
      <w:r>
        <w:rPr>
          <w:rFonts w:hint="eastAsia" w:ascii="宋体" w:hAnsi="宋体" w:eastAsia="宋体" w:cs="宋体"/>
          <w:sz w:val="24"/>
          <w:szCs w:val="24"/>
        </w:rPr>
        <w:t>7 日者亦按</w:t>
      </w:r>
      <w:r>
        <w:rPr>
          <w:rFonts w:hint="eastAsia" w:ascii="宋体" w:hAnsi="宋体" w:eastAsia="宋体" w:cs="宋体"/>
          <w:spacing w:val="-60"/>
          <w:sz w:val="24"/>
          <w:szCs w:val="24"/>
        </w:rPr>
        <w:t xml:space="preserve"> </w:t>
      </w:r>
      <w:r>
        <w:rPr>
          <w:rFonts w:hint="eastAsia" w:ascii="宋体" w:hAnsi="宋体" w:eastAsia="宋体" w:cs="宋体"/>
          <w:sz w:val="24"/>
          <w:szCs w:val="24"/>
        </w:rPr>
        <w:t>7 日计算 直至交货或提供服务为止。误期赔偿费的最高限额为合同总价的</w:t>
      </w:r>
      <w:r>
        <w:rPr>
          <w:rFonts w:hint="eastAsia" w:ascii="宋体" w:hAnsi="宋体" w:eastAsia="宋体" w:cs="宋体"/>
          <w:spacing w:val="-61"/>
          <w:sz w:val="24"/>
          <w:szCs w:val="24"/>
        </w:rPr>
        <w:t xml:space="preserve"> </w:t>
      </w:r>
      <w:r>
        <w:rPr>
          <w:rFonts w:hint="eastAsia" w:ascii="宋体" w:hAnsi="宋体" w:eastAsia="宋体" w:cs="宋体"/>
          <w:sz w:val="24"/>
          <w:szCs w:val="24"/>
        </w:rPr>
        <w:t>5%。 一旦达到误期赔偿费的最高限额，甲方有权无需乙方同意终止合同。</w:t>
      </w:r>
    </w:p>
    <w:p w14:paraId="4720D727">
      <w:pPr>
        <w:pStyle w:val="3"/>
        <w:tabs>
          <w:tab w:val="left" w:pos="1157"/>
        </w:tabs>
        <w:spacing w:before="46" w:line="360" w:lineRule="auto"/>
        <w:ind w:right="0" w:firstLine="228" w:firstLineChars="100"/>
        <w:jc w:val="left"/>
        <w:rPr>
          <w:rFonts w:hint="eastAsia" w:ascii="宋体" w:hAnsi="宋体" w:eastAsia="宋体" w:cs="宋体"/>
          <w:b w:val="0"/>
          <w:bCs w:val="0"/>
          <w:sz w:val="24"/>
          <w:szCs w:val="24"/>
        </w:rPr>
      </w:pPr>
      <w:bookmarkStart w:id="178" w:name="8、   不可抗力"/>
      <w:bookmarkEnd w:id="178"/>
      <w:r>
        <w:rPr>
          <w:rFonts w:hint="eastAsia" w:ascii="宋体" w:hAnsi="宋体" w:eastAsia="宋体" w:cs="宋体"/>
          <w:w w:val="95"/>
          <w:sz w:val="24"/>
          <w:szCs w:val="24"/>
        </w:rPr>
        <w:t>8、</w:t>
      </w:r>
      <w:r>
        <w:rPr>
          <w:rFonts w:hint="eastAsia" w:ascii="宋体" w:hAnsi="宋体" w:eastAsia="宋体" w:cs="宋体"/>
          <w:sz w:val="24"/>
          <w:szCs w:val="24"/>
        </w:rPr>
        <w:t>不可抗力</w:t>
      </w:r>
    </w:p>
    <w:p w14:paraId="32082902">
      <w:pPr>
        <w:pStyle w:val="10"/>
        <w:spacing w:before="151"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rPr>
        <w:t>本条所述的“不可抗力”系指那些双方在订立合同时无法控制、不可预见的事件。这些事件包括：战争、水灾、地震以及双方同意的事件。当不可抗力事件发生时，执行合同的期限将相应延长。</w:t>
      </w:r>
    </w:p>
    <w:p w14:paraId="1E13E307">
      <w:pPr>
        <w:pStyle w:val="10"/>
        <w:tabs>
          <w:tab w:val="left" w:pos="1107"/>
        </w:tabs>
        <w:spacing w:before="151"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pacing w:val="-3"/>
          <w:sz w:val="24"/>
          <w:szCs w:val="24"/>
        </w:rPr>
        <w:t>在不可抗力事件发生时，乙方应尽快以书面形式将不可抗力的情况和原</w:t>
      </w:r>
      <w:r>
        <w:rPr>
          <w:rFonts w:hint="eastAsia" w:ascii="宋体" w:hAnsi="宋体" w:eastAsia="宋体" w:cs="宋体"/>
          <w:spacing w:val="2"/>
          <w:sz w:val="24"/>
          <w:szCs w:val="24"/>
        </w:rPr>
        <w:t>因通知甲方。同时必须在</w:t>
      </w:r>
      <w:r>
        <w:rPr>
          <w:rFonts w:hint="eastAsia" w:ascii="宋体" w:hAnsi="宋体" w:eastAsia="宋体" w:cs="宋体"/>
          <w:spacing w:val="-48"/>
          <w:sz w:val="24"/>
          <w:szCs w:val="24"/>
        </w:rPr>
        <w:t xml:space="preserve"> </w:t>
      </w:r>
      <w:r>
        <w:rPr>
          <w:rFonts w:hint="eastAsia" w:ascii="宋体" w:hAnsi="宋体" w:eastAsia="宋体" w:cs="宋体"/>
          <w:sz w:val="24"/>
          <w:szCs w:val="24"/>
        </w:rPr>
        <w:t>7</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日内，以挂号形式递交有关政府部门的证</w:t>
      </w:r>
      <w:r>
        <w:rPr>
          <w:rFonts w:hint="eastAsia" w:ascii="宋体" w:hAnsi="宋体" w:eastAsia="宋体" w:cs="宋体"/>
          <w:sz w:val="24"/>
          <w:szCs w:val="24"/>
        </w:rPr>
        <w:t>明。如果不可抗力超过</w:t>
      </w:r>
      <w:r>
        <w:rPr>
          <w:rFonts w:hint="eastAsia" w:ascii="宋体" w:hAnsi="宋体" w:eastAsia="宋体" w:cs="宋体"/>
          <w:spacing w:val="-70"/>
          <w:sz w:val="24"/>
          <w:szCs w:val="24"/>
        </w:rPr>
        <w:t xml:space="preserve"> </w:t>
      </w:r>
      <w:r>
        <w:rPr>
          <w:rFonts w:hint="eastAsia" w:ascii="宋体" w:hAnsi="宋体" w:eastAsia="宋体" w:cs="宋体"/>
          <w:sz w:val="24"/>
          <w:szCs w:val="24"/>
        </w:rPr>
        <w:t>15</w:t>
      </w:r>
      <w:r>
        <w:rPr>
          <w:rFonts w:hint="eastAsia" w:ascii="宋体" w:hAnsi="宋体" w:eastAsia="宋体" w:cs="宋体"/>
          <w:spacing w:val="-10"/>
          <w:sz w:val="24"/>
          <w:szCs w:val="24"/>
        </w:rPr>
        <w:t xml:space="preserve"> </w:t>
      </w:r>
      <w:r>
        <w:rPr>
          <w:rFonts w:hint="eastAsia" w:ascii="宋体" w:hAnsi="宋体" w:eastAsia="宋体" w:cs="宋体"/>
          <w:sz w:val="24"/>
          <w:szCs w:val="24"/>
        </w:rPr>
        <w:t>日，双方将通过友好协商就合同的执行达成 协议。</w:t>
      </w:r>
    </w:p>
    <w:p w14:paraId="10367252">
      <w:pPr>
        <w:pStyle w:val="3"/>
        <w:tabs>
          <w:tab w:val="left" w:pos="1157"/>
        </w:tabs>
        <w:spacing w:before="55" w:line="240" w:lineRule="auto"/>
        <w:ind w:right="0" w:firstLine="228" w:firstLineChars="100"/>
        <w:jc w:val="left"/>
        <w:rPr>
          <w:rFonts w:hint="eastAsia" w:ascii="宋体" w:hAnsi="宋体" w:eastAsia="宋体" w:cs="宋体"/>
          <w:b w:val="0"/>
          <w:bCs w:val="0"/>
          <w:sz w:val="24"/>
          <w:szCs w:val="24"/>
        </w:rPr>
      </w:pPr>
      <w:bookmarkStart w:id="179" w:name="9、   合同修改与终止"/>
      <w:bookmarkEnd w:id="179"/>
      <w:r>
        <w:rPr>
          <w:rFonts w:hint="eastAsia" w:ascii="宋体" w:hAnsi="宋体" w:eastAsia="宋体" w:cs="宋体"/>
          <w:w w:val="95"/>
          <w:sz w:val="24"/>
          <w:szCs w:val="24"/>
        </w:rPr>
        <w:t>9、</w:t>
      </w:r>
      <w:r>
        <w:rPr>
          <w:rFonts w:hint="eastAsia" w:ascii="宋体" w:hAnsi="宋体" w:eastAsia="宋体" w:cs="宋体"/>
          <w:sz w:val="24"/>
          <w:szCs w:val="24"/>
        </w:rPr>
        <w:t>合同修改与终止</w:t>
      </w:r>
    </w:p>
    <w:p w14:paraId="7B0C81FD">
      <w:pPr>
        <w:pStyle w:val="10"/>
        <w:tabs>
          <w:tab w:val="left" w:pos="1097"/>
        </w:tabs>
        <w:spacing w:before="133"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pacing w:val="-3"/>
          <w:sz w:val="24"/>
          <w:szCs w:val="24"/>
        </w:rPr>
        <w:t>任何对合同条件的变更或修改、补充或删减均须双方签订书面的修改书。</w:t>
      </w:r>
    </w:p>
    <w:p w14:paraId="24B684E0">
      <w:pPr>
        <w:pStyle w:val="3"/>
        <w:tabs>
          <w:tab w:val="left" w:pos="1277"/>
        </w:tabs>
        <w:spacing w:before="135" w:line="240" w:lineRule="auto"/>
        <w:ind w:right="0" w:firstLine="228" w:firstLineChars="100"/>
        <w:jc w:val="left"/>
        <w:rPr>
          <w:rFonts w:hint="eastAsia" w:ascii="宋体" w:hAnsi="宋体" w:eastAsia="宋体" w:cs="宋体"/>
          <w:b w:val="0"/>
          <w:bCs w:val="0"/>
          <w:sz w:val="24"/>
          <w:szCs w:val="24"/>
        </w:rPr>
      </w:pPr>
      <w:bookmarkStart w:id="180" w:name="10、   违约解除合同"/>
      <w:bookmarkEnd w:id="180"/>
      <w:r>
        <w:rPr>
          <w:rFonts w:hint="eastAsia" w:ascii="宋体" w:hAnsi="宋体" w:eastAsia="宋体" w:cs="宋体"/>
          <w:w w:val="95"/>
          <w:sz w:val="24"/>
          <w:szCs w:val="24"/>
        </w:rPr>
        <w:t>10、</w:t>
      </w:r>
      <w:r>
        <w:rPr>
          <w:rFonts w:hint="eastAsia" w:ascii="宋体" w:hAnsi="宋体" w:eastAsia="宋体" w:cs="宋体"/>
          <w:sz w:val="24"/>
          <w:szCs w:val="24"/>
        </w:rPr>
        <w:t>违约解除合同</w:t>
      </w:r>
    </w:p>
    <w:p w14:paraId="40757081">
      <w:pPr>
        <w:pStyle w:val="10"/>
        <w:tabs>
          <w:tab w:val="left" w:pos="1219"/>
        </w:tabs>
        <w:spacing w:before="133" w:line="338"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10.1在乙方违约的情况下，甲方可向乙方发出书面通知，部分或全部终止</w:t>
      </w:r>
      <w:r>
        <w:rPr>
          <w:rFonts w:hint="eastAsia" w:ascii="宋体" w:hAnsi="宋体" w:eastAsia="宋体" w:cs="宋体"/>
          <w:spacing w:val="-81"/>
          <w:sz w:val="24"/>
          <w:szCs w:val="24"/>
        </w:rPr>
        <w:t xml:space="preserve"> </w:t>
      </w:r>
      <w:r>
        <w:rPr>
          <w:rFonts w:hint="eastAsia" w:ascii="宋体" w:hAnsi="宋体" w:eastAsia="宋体" w:cs="宋体"/>
          <w:sz w:val="24"/>
          <w:szCs w:val="24"/>
        </w:rPr>
        <w:t>合同。同时保留向乙方追诉的权利。</w:t>
      </w:r>
    </w:p>
    <w:p w14:paraId="7A8791A5">
      <w:pPr>
        <w:pStyle w:val="10"/>
        <w:tabs>
          <w:tab w:val="left" w:pos="1277"/>
        </w:tabs>
        <w:spacing w:before="53" w:line="338"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10.1.1</w:t>
      </w:r>
      <w:r>
        <w:rPr>
          <w:rFonts w:hint="eastAsia" w:ascii="宋体" w:hAnsi="宋体" w:eastAsia="宋体" w:cs="宋体"/>
          <w:spacing w:val="-1"/>
          <w:sz w:val="24"/>
          <w:szCs w:val="24"/>
        </w:rPr>
        <w:t>乙方未能在合同规定的限期或甲方同意延长的限期内，提供全部或部</w:t>
      </w:r>
      <w:r>
        <w:rPr>
          <w:rFonts w:hint="eastAsia" w:ascii="宋体" w:hAnsi="宋体" w:eastAsia="宋体" w:cs="宋体"/>
          <w:spacing w:val="-100"/>
          <w:sz w:val="24"/>
          <w:szCs w:val="24"/>
        </w:rPr>
        <w:t xml:space="preserve"> </w:t>
      </w:r>
      <w:r>
        <w:rPr>
          <w:rFonts w:hint="eastAsia" w:ascii="宋体" w:hAnsi="宋体" w:eastAsia="宋体" w:cs="宋体"/>
          <w:sz w:val="24"/>
          <w:szCs w:val="24"/>
        </w:rPr>
        <w:t>分服务，按合同第7.1的规定可以解除合同的；</w:t>
      </w:r>
    </w:p>
    <w:p w14:paraId="6C5AF80F">
      <w:pPr>
        <w:pStyle w:val="10"/>
        <w:tabs>
          <w:tab w:val="left" w:pos="1277"/>
        </w:tabs>
        <w:spacing w:before="24"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10.1.2乙方未能履行合同规定义务，导致甲方无法实现合同目的的；</w:t>
      </w:r>
    </w:p>
    <w:p w14:paraId="39F4ACAD">
      <w:pPr>
        <w:pStyle w:val="10"/>
        <w:tabs>
          <w:tab w:val="left" w:pos="139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10.1.3乙方未能履行合同规定的其它主要义务的；</w:t>
      </w:r>
    </w:p>
    <w:p w14:paraId="499B6633">
      <w:pPr>
        <w:pStyle w:val="10"/>
        <w:tabs>
          <w:tab w:val="left" w:pos="1397"/>
        </w:tabs>
        <w:spacing w:before="133"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10.1.4在本合同履行过程中有腐败和欺诈行为的。</w:t>
      </w:r>
    </w:p>
    <w:p w14:paraId="131231CA">
      <w:pPr>
        <w:pStyle w:val="10"/>
        <w:tabs>
          <w:tab w:val="left" w:pos="145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10.1.4.1“腐败行为”和“欺诈行为”定义如下:</w:t>
      </w:r>
    </w:p>
    <w:p w14:paraId="5764BB38">
      <w:pPr>
        <w:pStyle w:val="10"/>
        <w:tabs>
          <w:tab w:val="left" w:pos="1637"/>
        </w:tabs>
        <w:spacing w:before="133" w:line="338" w:lineRule="auto"/>
        <w:ind w:right="392" w:firstLine="240" w:firstLineChars="100"/>
        <w:jc w:val="left"/>
        <w:rPr>
          <w:rFonts w:hint="eastAsia" w:ascii="宋体" w:hAnsi="宋体" w:eastAsia="宋体" w:cs="宋体"/>
          <w:sz w:val="24"/>
          <w:szCs w:val="24"/>
        </w:rPr>
      </w:pPr>
      <w:r>
        <w:rPr>
          <w:rFonts w:hint="eastAsia" w:ascii="宋体" w:hAnsi="宋体" w:eastAsia="宋体" w:cs="宋体"/>
          <w:sz w:val="24"/>
          <w:szCs w:val="24"/>
        </w:rPr>
        <w:t>10.1.4.1.1“腐败行为”是指提供/给予/接受或索取任何有价值的东西来影响甲</w:t>
      </w:r>
      <w:r>
        <w:rPr>
          <w:rFonts w:hint="eastAsia" w:ascii="宋体" w:hAnsi="宋体" w:eastAsia="宋体" w:cs="宋体"/>
          <w:spacing w:val="-115"/>
          <w:sz w:val="24"/>
          <w:szCs w:val="24"/>
        </w:rPr>
        <w:t xml:space="preserve"> </w:t>
      </w:r>
      <w:r>
        <w:rPr>
          <w:rFonts w:hint="eastAsia" w:ascii="宋体" w:hAnsi="宋体" w:eastAsia="宋体" w:cs="宋体"/>
          <w:sz w:val="24"/>
          <w:szCs w:val="24"/>
        </w:rPr>
        <w:t>方在合同签订、履行过程中的行为。</w:t>
      </w:r>
    </w:p>
    <w:p w14:paraId="7FDBD519">
      <w:pPr>
        <w:pStyle w:val="10"/>
        <w:tabs>
          <w:tab w:val="left" w:pos="1637"/>
        </w:tabs>
        <w:spacing w:before="53" w:line="338" w:lineRule="auto"/>
        <w:ind w:right="274" w:firstLine="240" w:firstLineChars="100"/>
        <w:jc w:val="left"/>
        <w:rPr>
          <w:rFonts w:hint="eastAsia" w:ascii="宋体" w:hAnsi="宋体" w:eastAsia="宋体" w:cs="宋体"/>
          <w:sz w:val="24"/>
          <w:szCs w:val="24"/>
        </w:rPr>
      </w:pPr>
      <w:r>
        <w:rPr>
          <w:rFonts w:hint="eastAsia" w:ascii="宋体" w:hAnsi="宋体" w:eastAsia="宋体" w:cs="宋体"/>
          <w:sz w:val="24"/>
          <w:szCs w:val="24"/>
        </w:rPr>
        <w:t>10.1.4.1.2</w:t>
      </w:r>
      <w:r>
        <w:rPr>
          <w:rFonts w:hint="eastAsia" w:ascii="宋体" w:hAnsi="宋体" w:eastAsia="宋体" w:cs="宋体"/>
          <w:spacing w:val="-8"/>
          <w:sz w:val="24"/>
          <w:szCs w:val="24"/>
        </w:rPr>
        <w:t>“欺诈行为”是指为了影响合同签订、履行过程，以谎报事实的方法，</w:t>
      </w:r>
      <w:r>
        <w:rPr>
          <w:rFonts w:hint="eastAsia" w:ascii="宋体" w:hAnsi="宋体" w:eastAsia="宋体" w:cs="宋体"/>
          <w:sz w:val="24"/>
          <w:szCs w:val="24"/>
        </w:rPr>
        <w:t>损害甲方的利益的行为。</w:t>
      </w:r>
    </w:p>
    <w:p w14:paraId="701F53F6">
      <w:pPr>
        <w:pStyle w:val="10"/>
        <w:spacing w:before="55" w:line="350" w:lineRule="auto"/>
        <w:ind w:right="394" w:firstLine="240" w:firstLineChars="100"/>
        <w:jc w:val="both"/>
        <w:rPr>
          <w:rFonts w:hint="eastAsia" w:ascii="宋体" w:hAnsi="宋体" w:eastAsia="宋体" w:cs="宋体"/>
          <w:sz w:val="24"/>
          <w:szCs w:val="24"/>
        </w:rPr>
      </w:pPr>
      <w:r>
        <w:rPr>
          <w:rFonts w:hint="eastAsia" w:ascii="宋体" w:hAnsi="宋体" w:eastAsia="宋体" w:cs="宋体"/>
          <w:sz w:val="24"/>
          <w:szCs w:val="24"/>
        </w:rPr>
        <w:t>10.2在甲方根据上述第10.1条规定，全部或部分解除合同之后，应当遵循</w:t>
      </w:r>
      <w:r>
        <w:rPr>
          <w:rFonts w:hint="eastAsia" w:ascii="宋体" w:hAnsi="宋体" w:eastAsia="宋体" w:cs="宋体"/>
          <w:spacing w:val="3"/>
          <w:sz w:val="24"/>
          <w:szCs w:val="24"/>
        </w:rPr>
        <w:t>诚实信用原则，全部或部分购买与未交付的服务类似的服务，乙方</w:t>
      </w:r>
      <w:r>
        <w:rPr>
          <w:rFonts w:hint="eastAsia" w:ascii="宋体" w:hAnsi="宋体" w:eastAsia="宋体" w:cs="宋体"/>
          <w:sz w:val="24"/>
          <w:szCs w:val="24"/>
        </w:rPr>
        <w:t xml:space="preserve"> </w:t>
      </w:r>
      <w:r>
        <w:rPr>
          <w:rFonts w:hint="eastAsia" w:ascii="宋体" w:hAnsi="宋体" w:eastAsia="宋体" w:cs="宋体"/>
          <w:spacing w:val="3"/>
          <w:sz w:val="24"/>
          <w:szCs w:val="24"/>
        </w:rPr>
        <w:t>应承担甲方购买类似服务而产生的额外支出。部分解除合同的，乙</w:t>
      </w:r>
      <w:r>
        <w:rPr>
          <w:rFonts w:hint="eastAsia" w:ascii="宋体" w:hAnsi="宋体" w:eastAsia="宋体" w:cs="宋体"/>
          <w:sz w:val="24"/>
          <w:szCs w:val="24"/>
        </w:rPr>
        <w:t xml:space="preserve"> 方应继续履行合同中未解除的部分。</w:t>
      </w:r>
    </w:p>
    <w:p w14:paraId="10661251">
      <w:pPr>
        <w:pStyle w:val="3"/>
        <w:tabs>
          <w:tab w:val="left" w:pos="1263"/>
        </w:tabs>
        <w:spacing w:before="41" w:line="240" w:lineRule="auto"/>
        <w:ind w:right="0" w:firstLine="218" w:firstLineChars="100"/>
        <w:jc w:val="left"/>
        <w:rPr>
          <w:rFonts w:hint="eastAsia" w:ascii="宋体" w:hAnsi="宋体" w:eastAsia="宋体" w:cs="宋体"/>
          <w:b w:val="0"/>
          <w:bCs w:val="0"/>
          <w:sz w:val="24"/>
          <w:szCs w:val="24"/>
        </w:rPr>
      </w:pPr>
      <w:bookmarkStart w:id="181" w:name="11、   破产终止合同"/>
      <w:bookmarkEnd w:id="181"/>
      <w:r>
        <w:rPr>
          <w:rFonts w:hint="eastAsia" w:ascii="宋体" w:hAnsi="宋体" w:eastAsia="宋体" w:cs="宋体"/>
          <w:spacing w:val="-5"/>
          <w:w w:val="95"/>
          <w:sz w:val="24"/>
          <w:szCs w:val="24"/>
        </w:rPr>
        <w:t>11、</w:t>
      </w:r>
      <w:r>
        <w:rPr>
          <w:rFonts w:hint="eastAsia" w:ascii="宋体" w:hAnsi="宋体" w:eastAsia="宋体" w:cs="宋体"/>
          <w:sz w:val="24"/>
          <w:szCs w:val="24"/>
        </w:rPr>
        <w:t>破产终止合同</w:t>
      </w:r>
    </w:p>
    <w:p w14:paraId="38619ED3">
      <w:pPr>
        <w:pStyle w:val="10"/>
        <w:tabs>
          <w:tab w:val="left" w:pos="1327"/>
        </w:tabs>
        <w:spacing w:line="348" w:lineRule="auto"/>
        <w:ind w:right="158"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11.1如果乙方破产或无清偿能力，甲方可在任何时候以书面形式通知乙方，</w:t>
      </w:r>
      <w:r>
        <w:rPr>
          <w:rFonts w:hint="eastAsia" w:ascii="宋体" w:hAnsi="宋体" w:eastAsia="宋体" w:cs="宋体"/>
          <w:spacing w:val="-118"/>
          <w:sz w:val="24"/>
          <w:szCs w:val="24"/>
        </w:rPr>
        <w:t xml:space="preserve"> </w:t>
      </w:r>
      <w:r>
        <w:rPr>
          <w:rFonts w:hint="eastAsia" w:ascii="宋体" w:hAnsi="宋体" w:eastAsia="宋体" w:cs="宋体"/>
          <w:sz w:val="24"/>
          <w:szCs w:val="24"/>
        </w:rPr>
        <w:t>终止合同而不给乙方补偿，该终止合同将不损害或影响甲方已经采取 或将要采取的任何行动或补救措施的权力。</w:t>
      </w:r>
    </w:p>
    <w:p w14:paraId="7CF7CAB7">
      <w:pPr>
        <w:pStyle w:val="3"/>
        <w:tabs>
          <w:tab w:val="left" w:pos="1277"/>
        </w:tabs>
        <w:spacing w:before="0" w:line="296" w:lineRule="exact"/>
        <w:ind w:right="0" w:firstLine="228" w:firstLineChars="100"/>
        <w:jc w:val="left"/>
        <w:rPr>
          <w:rFonts w:hint="eastAsia" w:ascii="宋体" w:hAnsi="宋体" w:eastAsia="宋体" w:cs="宋体"/>
          <w:b w:val="0"/>
          <w:bCs w:val="0"/>
          <w:sz w:val="24"/>
          <w:szCs w:val="24"/>
        </w:rPr>
      </w:pPr>
      <w:r>
        <w:rPr>
          <w:rFonts w:hint="eastAsia" w:ascii="宋体" w:hAnsi="宋体" w:eastAsia="宋体" w:cs="宋体"/>
          <w:w w:val="95"/>
          <w:sz w:val="24"/>
          <w:szCs w:val="24"/>
        </w:rPr>
        <w:t>12、</w:t>
      </w:r>
      <w:r>
        <w:rPr>
          <w:rFonts w:hint="eastAsia" w:ascii="宋体" w:hAnsi="宋体" w:eastAsia="宋体" w:cs="宋体"/>
          <w:sz w:val="24"/>
          <w:szCs w:val="24"/>
        </w:rPr>
        <w:t>争端的解决</w:t>
      </w:r>
    </w:p>
    <w:p w14:paraId="12065178">
      <w:pPr>
        <w:pStyle w:val="10"/>
        <w:spacing w:before="133" w:line="348" w:lineRule="auto"/>
        <w:ind w:right="113" w:firstLine="240" w:firstLineChars="100"/>
        <w:jc w:val="both"/>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pacing w:val="39"/>
          <w:sz w:val="24"/>
          <w:szCs w:val="24"/>
        </w:rPr>
        <w:t xml:space="preserve"> </w:t>
      </w:r>
      <w:r>
        <w:rPr>
          <w:rFonts w:hint="eastAsia" w:ascii="宋体" w:hAnsi="宋体" w:eastAsia="宋体" w:cs="宋体"/>
          <w:sz w:val="24"/>
          <w:szCs w:val="24"/>
        </w:rPr>
        <w:t>合同实施或与合同有关的一切争端应通过双方协商解决。如果协商后不能 解决，任何一方均可向北京仲裁委员会申请仲裁，或向甲方所在地人民法 院提起诉讼。</w:t>
      </w:r>
    </w:p>
    <w:p w14:paraId="30A9669D">
      <w:pPr>
        <w:pStyle w:val="10"/>
        <w:tabs>
          <w:tab w:val="left" w:pos="1097"/>
        </w:tabs>
        <w:spacing w:before="43"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12.2仲裁裁决应为最终裁决，对双方均具有约束力。</w:t>
      </w:r>
    </w:p>
    <w:p w14:paraId="124302FD">
      <w:pPr>
        <w:pStyle w:val="10"/>
        <w:tabs>
          <w:tab w:val="left" w:pos="109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12.3仲裁费除仲裁机关另有裁决外均应由败诉方负担。</w:t>
      </w:r>
    </w:p>
    <w:p w14:paraId="759BA59A">
      <w:pPr>
        <w:pStyle w:val="10"/>
        <w:tabs>
          <w:tab w:val="left" w:pos="109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12.4在争端解决期间，除争端涉及的部分外，本合同其它部分应继续执行。</w:t>
      </w:r>
    </w:p>
    <w:p w14:paraId="0BEFD394">
      <w:pPr>
        <w:pStyle w:val="3"/>
        <w:tabs>
          <w:tab w:val="left" w:pos="1157"/>
        </w:tabs>
        <w:spacing w:line="240" w:lineRule="auto"/>
        <w:ind w:right="0" w:firstLine="228" w:firstLineChars="100"/>
        <w:jc w:val="left"/>
        <w:rPr>
          <w:rFonts w:hint="eastAsia" w:ascii="宋体" w:hAnsi="宋体" w:eastAsia="宋体" w:cs="宋体"/>
          <w:b w:val="0"/>
          <w:bCs w:val="0"/>
          <w:sz w:val="24"/>
          <w:szCs w:val="24"/>
        </w:rPr>
      </w:pPr>
      <w:bookmarkStart w:id="182" w:name="13、  通知"/>
      <w:bookmarkEnd w:id="182"/>
      <w:r>
        <w:rPr>
          <w:rFonts w:hint="eastAsia" w:ascii="宋体" w:hAnsi="宋体" w:eastAsia="宋体" w:cs="宋体"/>
          <w:w w:val="95"/>
          <w:sz w:val="24"/>
          <w:szCs w:val="24"/>
        </w:rPr>
        <w:t>13、</w:t>
      </w:r>
      <w:r>
        <w:rPr>
          <w:rFonts w:hint="eastAsia" w:ascii="宋体" w:hAnsi="宋体" w:eastAsia="宋体" w:cs="宋体"/>
          <w:sz w:val="24"/>
          <w:szCs w:val="24"/>
        </w:rPr>
        <w:t>通知</w:t>
      </w:r>
    </w:p>
    <w:p w14:paraId="56E0C640">
      <w:pPr>
        <w:pStyle w:val="10"/>
        <w:tabs>
          <w:tab w:val="left" w:pos="1097"/>
        </w:tabs>
        <w:spacing w:line="336"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13.1本合同任何一方给另一方的通知，都应以书面或电传/传真/电报的方式</w:t>
      </w:r>
      <w:r>
        <w:rPr>
          <w:rFonts w:hint="eastAsia" w:ascii="宋体" w:hAnsi="宋体" w:eastAsia="宋体" w:cs="宋体"/>
          <w:spacing w:val="-88"/>
          <w:sz w:val="24"/>
          <w:szCs w:val="24"/>
        </w:rPr>
        <w:t xml:space="preserve"> </w:t>
      </w:r>
      <w:r>
        <w:rPr>
          <w:rFonts w:hint="eastAsia" w:ascii="宋体" w:hAnsi="宋体" w:eastAsia="宋体" w:cs="宋体"/>
          <w:sz w:val="24"/>
          <w:szCs w:val="24"/>
        </w:rPr>
        <w:t>发送，而另一方应以书面形式确认并发送到对方明确的地址。</w:t>
      </w:r>
    </w:p>
    <w:p w14:paraId="0F715325">
      <w:pPr>
        <w:pStyle w:val="3"/>
        <w:tabs>
          <w:tab w:val="left" w:pos="1277"/>
        </w:tabs>
        <w:spacing w:before="58" w:line="240" w:lineRule="auto"/>
        <w:ind w:right="0" w:firstLine="228" w:firstLineChars="100"/>
        <w:jc w:val="left"/>
        <w:rPr>
          <w:rFonts w:hint="eastAsia" w:ascii="宋体" w:hAnsi="宋体" w:eastAsia="宋体" w:cs="宋体"/>
          <w:b w:val="0"/>
          <w:bCs w:val="0"/>
          <w:sz w:val="24"/>
          <w:szCs w:val="24"/>
        </w:rPr>
      </w:pPr>
      <w:bookmarkStart w:id="183" w:name="14、   计量单位"/>
      <w:bookmarkEnd w:id="183"/>
      <w:r>
        <w:rPr>
          <w:rFonts w:hint="eastAsia" w:ascii="宋体" w:hAnsi="宋体" w:eastAsia="宋体" w:cs="宋体"/>
          <w:w w:val="95"/>
          <w:sz w:val="24"/>
          <w:szCs w:val="24"/>
        </w:rPr>
        <w:t>14、</w:t>
      </w:r>
      <w:r>
        <w:rPr>
          <w:rFonts w:hint="eastAsia" w:ascii="宋体" w:hAnsi="宋体" w:eastAsia="宋体" w:cs="宋体"/>
          <w:sz w:val="24"/>
          <w:szCs w:val="24"/>
        </w:rPr>
        <w:t>计量单位</w:t>
      </w:r>
    </w:p>
    <w:p w14:paraId="527A34D9">
      <w:pPr>
        <w:pStyle w:val="10"/>
        <w:tabs>
          <w:tab w:val="left" w:pos="1337"/>
        </w:tabs>
        <w:spacing w:before="133"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14.1除技术规范中另有规定外，计量单位均使用国家法定计量单位。</w:t>
      </w:r>
    </w:p>
    <w:p w14:paraId="15DF5D58">
      <w:pPr>
        <w:pStyle w:val="3"/>
        <w:tabs>
          <w:tab w:val="left" w:pos="1277"/>
        </w:tabs>
        <w:spacing w:before="135" w:line="240" w:lineRule="auto"/>
        <w:ind w:right="0" w:firstLine="228" w:firstLineChars="100"/>
        <w:jc w:val="left"/>
        <w:rPr>
          <w:rFonts w:hint="eastAsia" w:ascii="宋体" w:hAnsi="宋体" w:eastAsia="宋体" w:cs="宋体"/>
          <w:b w:val="0"/>
          <w:bCs w:val="0"/>
          <w:sz w:val="24"/>
          <w:szCs w:val="24"/>
        </w:rPr>
      </w:pPr>
      <w:bookmarkStart w:id="184" w:name="15、   适用法律"/>
      <w:bookmarkEnd w:id="184"/>
      <w:r>
        <w:rPr>
          <w:rFonts w:hint="eastAsia" w:ascii="宋体" w:hAnsi="宋体" w:eastAsia="宋体" w:cs="宋体"/>
          <w:w w:val="95"/>
          <w:sz w:val="24"/>
          <w:szCs w:val="24"/>
        </w:rPr>
        <w:t>15、</w:t>
      </w:r>
      <w:r>
        <w:rPr>
          <w:rFonts w:hint="eastAsia" w:ascii="宋体" w:hAnsi="宋体" w:eastAsia="宋体" w:cs="宋体"/>
          <w:sz w:val="24"/>
          <w:szCs w:val="24"/>
        </w:rPr>
        <w:t>适用法律</w:t>
      </w:r>
    </w:p>
    <w:p w14:paraId="4F2AB992">
      <w:pPr>
        <w:pStyle w:val="10"/>
        <w:tabs>
          <w:tab w:val="left" w:pos="1217"/>
        </w:tabs>
        <w:spacing w:before="133"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15.1本合同应按照中华人民共和国的法律进行解释。</w:t>
      </w:r>
    </w:p>
    <w:p w14:paraId="104EBF2B">
      <w:pPr>
        <w:pStyle w:val="3"/>
        <w:tabs>
          <w:tab w:val="left" w:pos="1277"/>
        </w:tabs>
        <w:spacing w:before="135" w:line="240" w:lineRule="auto"/>
        <w:ind w:right="0" w:firstLine="228" w:firstLineChars="100"/>
        <w:jc w:val="left"/>
        <w:rPr>
          <w:rFonts w:hint="eastAsia" w:ascii="宋体" w:hAnsi="宋体" w:eastAsia="宋体" w:cs="宋体"/>
          <w:b w:val="0"/>
          <w:bCs w:val="0"/>
          <w:sz w:val="24"/>
          <w:szCs w:val="24"/>
        </w:rPr>
      </w:pPr>
      <w:bookmarkStart w:id="185" w:name="16、   合同未尽事宜"/>
      <w:bookmarkEnd w:id="185"/>
      <w:r>
        <w:rPr>
          <w:rFonts w:hint="eastAsia" w:ascii="宋体" w:hAnsi="宋体" w:eastAsia="宋体" w:cs="宋体"/>
          <w:w w:val="95"/>
          <w:sz w:val="24"/>
          <w:szCs w:val="24"/>
        </w:rPr>
        <w:t>16、</w:t>
      </w:r>
      <w:r>
        <w:rPr>
          <w:rFonts w:hint="eastAsia" w:ascii="宋体" w:hAnsi="宋体" w:eastAsia="宋体" w:cs="宋体"/>
          <w:sz w:val="24"/>
          <w:szCs w:val="24"/>
        </w:rPr>
        <w:t>合同未尽事宜</w:t>
      </w:r>
    </w:p>
    <w:p w14:paraId="50839F61">
      <w:pPr>
        <w:pStyle w:val="10"/>
        <w:tabs>
          <w:tab w:val="left" w:pos="1219"/>
        </w:tabs>
        <w:spacing w:before="133" w:line="338"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16.1本合同未尽事宜按《中华人民共和国合同法》执行，或由甲乙双方另</w:t>
      </w:r>
      <w:r>
        <w:rPr>
          <w:rFonts w:hint="eastAsia" w:ascii="宋体" w:hAnsi="宋体" w:eastAsia="宋体" w:cs="宋体"/>
          <w:spacing w:val="-81"/>
          <w:sz w:val="24"/>
          <w:szCs w:val="24"/>
        </w:rPr>
        <w:t xml:space="preserve"> </w:t>
      </w:r>
      <w:r>
        <w:rPr>
          <w:rFonts w:hint="eastAsia" w:ascii="宋体" w:hAnsi="宋体" w:eastAsia="宋体" w:cs="宋体"/>
          <w:sz w:val="24"/>
          <w:szCs w:val="24"/>
        </w:rPr>
        <w:t>行协商签订书面补充协议。</w:t>
      </w:r>
    </w:p>
    <w:p w14:paraId="41DC855F">
      <w:pPr>
        <w:pStyle w:val="3"/>
        <w:tabs>
          <w:tab w:val="left" w:pos="1277"/>
        </w:tabs>
        <w:spacing w:before="53" w:line="240" w:lineRule="auto"/>
        <w:ind w:right="0" w:firstLine="228" w:firstLineChars="100"/>
        <w:jc w:val="left"/>
        <w:rPr>
          <w:rFonts w:hint="eastAsia" w:ascii="宋体" w:hAnsi="宋体" w:eastAsia="宋体" w:cs="宋体"/>
          <w:b w:val="0"/>
          <w:bCs w:val="0"/>
          <w:sz w:val="24"/>
          <w:szCs w:val="24"/>
        </w:rPr>
      </w:pPr>
      <w:bookmarkStart w:id="186" w:name="17、   合同生效及其它"/>
      <w:bookmarkEnd w:id="186"/>
      <w:r>
        <w:rPr>
          <w:rFonts w:hint="eastAsia" w:ascii="宋体" w:hAnsi="宋体" w:eastAsia="宋体" w:cs="宋体"/>
          <w:w w:val="95"/>
          <w:sz w:val="24"/>
          <w:szCs w:val="24"/>
        </w:rPr>
        <w:t>17、</w:t>
      </w:r>
      <w:r>
        <w:rPr>
          <w:rFonts w:hint="eastAsia" w:ascii="宋体" w:hAnsi="宋体" w:eastAsia="宋体" w:cs="宋体"/>
          <w:sz w:val="24"/>
          <w:szCs w:val="24"/>
        </w:rPr>
        <w:t>合同生效及其它</w:t>
      </w:r>
    </w:p>
    <w:p w14:paraId="18C22DBB">
      <w:pPr>
        <w:pStyle w:val="10"/>
        <w:tabs>
          <w:tab w:val="left" w:pos="1097"/>
        </w:tabs>
        <w:spacing w:line="336" w:lineRule="auto"/>
        <w:ind w:right="2624" w:firstLine="240" w:firstLineChars="100"/>
        <w:jc w:val="left"/>
        <w:rPr>
          <w:rFonts w:hint="eastAsia" w:ascii="宋体" w:hAnsi="宋体" w:eastAsia="宋体" w:cs="宋体"/>
          <w:sz w:val="24"/>
          <w:szCs w:val="24"/>
        </w:rPr>
      </w:pPr>
      <w:r>
        <w:rPr>
          <w:rFonts w:hint="eastAsia" w:ascii="宋体" w:hAnsi="宋体" w:eastAsia="宋体" w:cs="宋体"/>
          <w:sz w:val="24"/>
          <w:szCs w:val="24"/>
        </w:rPr>
        <w:t>17.1下列条件全部符合后，合同生效： 双方法定代表人或授权代表签字并加盖单位公章；</w:t>
      </w:r>
    </w:p>
    <w:p w14:paraId="7653CB9F">
      <w:pPr>
        <w:pStyle w:val="10"/>
        <w:tabs>
          <w:tab w:val="left" w:pos="1097"/>
        </w:tabs>
        <w:spacing w:before="58"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17.2下述合同附件为本合同不可分割的部分并与本合同具有同等效力：</w:t>
      </w:r>
    </w:p>
    <w:p w14:paraId="42FB785B">
      <w:pPr>
        <w:pStyle w:val="10"/>
        <w:spacing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（1）招标文件</w:t>
      </w:r>
    </w:p>
    <w:p w14:paraId="098568A0">
      <w:pPr>
        <w:pStyle w:val="10"/>
        <w:spacing w:before="133"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（2）中标文件（如被甲方接受）</w:t>
      </w:r>
    </w:p>
    <w:p w14:paraId="5149FB44">
      <w:pPr>
        <w:pStyle w:val="10"/>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（3）中标通知书</w:t>
      </w:r>
    </w:p>
    <w:p w14:paraId="782DAE8C">
      <w:pPr>
        <w:pStyle w:val="10"/>
        <w:tabs>
          <w:tab w:val="left" w:pos="1877"/>
          <w:tab w:val="left" w:pos="3163"/>
          <w:tab w:val="left" w:pos="4623"/>
          <w:tab w:val="left" w:pos="6082"/>
          <w:tab w:val="left" w:pos="7539"/>
        </w:tabs>
        <w:spacing w:before="133" w:line="336" w:lineRule="auto"/>
        <w:ind w:right="116" w:firstLine="240" w:firstLineChars="100"/>
        <w:jc w:val="left"/>
        <w:rPr>
          <w:rFonts w:hint="eastAsia" w:ascii="宋体" w:hAnsi="宋体" w:eastAsia="宋体" w:cs="宋体"/>
          <w:sz w:val="24"/>
          <w:szCs w:val="24"/>
        </w:rPr>
      </w:pPr>
      <w:r>
        <w:rPr>
          <w:rFonts w:hint="eastAsia" w:ascii="宋体" w:hAnsi="宋体" w:eastAsia="宋体" w:cs="宋体"/>
          <w:sz w:val="24"/>
          <w:szCs w:val="24"/>
        </w:rPr>
        <w:t>17.3</w:t>
      </w:r>
      <w:r>
        <w:rPr>
          <w:rFonts w:hint="eastAsia" w:ascii="宋体" w:hAnsi="宋体" w:eastAsia="宋体" w:cs="宋体"/>
          <w:spacing w:val="10"/>
          <w:sz w:val="24"/>
          <w:szCs w:val="24"/>
        </w:rPr>
        <w:t xml:space="preserve"> </w:t>
      </w:r>
      <w:r>
        <w:rPr>
          <w:rFonts w:hint="eastAsia" w:ascii="宋体" w:hAnsi="宋体" w:eastAsia="宋体" w:cs="宋体"/>
          <w:sz w:val="24"/>
          <w:szCs w:val="24"/>
        </w:rPr>
        <w:t>本合同正本一式</w:t>
      </w:r>
      <w:r>
        <w:rPr>
          <w:rFonts w:hint="eastAsia" w:ascii="宋体" w:hAnsi="宋体" w:eastAsia="宋体" w:cs="宋体"/>
          <w:sz w:val="24"/>
          <w:szCs w:val="24"/>
          <w:u w:val="single" w:color="000000"/>
        </w:rPr>
        <w:tab/>
      </w:r>
      <w:r>
        <w:rPr>
          <w:rFonts w:hint="eastAsia" w:ascii="宋体" w:hAnsi="宋体" w:eastAsia="宋体" w:cs="宋体"/>
          <w:sz w:val="24"/>
          <w:szCs w:val="24"/>
        </w:rPr>
        <w:t>份，甲方</w:t>
      </w:r>
      <w:r>
        <w:rPr>
          <w:rFonts w:hint="eastAsia" w:ascii="宋体" w:hAnsi="宋体" w:eastAsia="宋体" w:cs="宋体"/>
          <w:sz w:val="24"/>
          <w:szCs w:val="24"/>
          <w:u w:val="single" w:color="000000"/>
        </w:rPr>
        <w:tab/>
      </w:r>
      <w:r>
        <w:rPr>
          <w:rFonts w:hint="eastAsia" w:ascii="宋体" w:hAnsi="宋体" w:eastAsia="宋体" w:cs="宋体"/>
          <w:sz w:val="24"/>
          <w:szCs w:val="24"/>
        </w:rPr>
        <w:t>份，乙方</w:t>
      </w:r>
      <w:r>
        <w:rPr>
          <w:rFonts w:hint="eastAsia" w:ascii="宋体" w:hAnsi="宋体" w:eastAsia="宋体" w:cs="宋体"/>
          <w:sz w:val="24"/>
          <w:szCs w:val="24"/>
          <w:u w:val="single" w:color="000000"/>
        </w:rPr>
        <w:tab/>
      </w:r>
      <w:r>
        <w:rPr>
          <w:rFonts w:hint="eastAsia" w:ascii="宋体" w:hAnsi="宋体" w:eastAsia="宋体" w:cs="宋体"/>
          <w:sz w:val="24"/>
          <w:szCs w:val="24"/>
        </w:rPr>
        <w:t>份；副本</w:t>
      </w:r>
      <w:r>
        <w:rPr>
          <w:rFonts w:hint="eastAsia" w:ascii="宋体" w:hAnsi="宋体" w:eastAsia="宋体" w:cs="宋体"/>
          <w:sz w:val="24"/>
          <w:szCs w:val="24"/>
          <w:u w:val="single" w:color="000000"/>
        </w:rPr>
        <w:tab/>
      </w:r>
      <w:r>
        <w:rPr>
          <w:rFonts w:hint="eastAsia" w:ascii="宋体" w:hAnsi="宋体" w:eastAsia="宋体" w:cs="宋体"/>
          <w:sz w:val="24"/>
          <w:szCs w:val="24"/>
        </w:rPr>
        <w:t>份，甲乙双</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rPr>
        <w:t>方各</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份。</w:t>
      </w:r>
    </w:p>
    <w:p w14:paraId="2C2C2A38">
      <w:pPr>
        <w:pStyle w:val="10"/>
        <w:spacing w:before="58" w:line="338"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17.4</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本合同满足条款规定的生效条件后即生效，至双方均履行完各自的合同义务</w:t>
      </w:r>
      <w:r>
        <w:rPr>
          <w:rFonts w:hint="eastAsia" w:ascii="宋体" w:hAnsi="宋体" w:eastAsia="宋体" w:cs="宋体"/>
          <w:sz w:val="24"/>
          <w:szCs w:val="24"/>
        </w:rPr>
        <w:t xml:space="preserve"> 后终止。但有关违约、索赔及争端解决的条款除外。</w:t>
      </w:r>
    </w:p>
    <w:p w14:paraId="433BEC0F">
      <w:pPr>
        <w:spacing w:before="175"/>
        <w:ind w:left="597" w:right="0" w:firstLine="0"/>
        <w:jc w:val="center"/>
        <w:rPr>
          <w:rFonts w:hint="eastAsia" w:ascii="宋体" w:hAnsi="宋体" w:eastAsia="宋体" w:cs="宋体"/>
          <w:sz w:val="24"/>
          <w:szCs w:val="24"/>
        </w:rPr>
      </w:pPr>
      <w:r>
        <w:rPr>
          <w:rFonts w:hint="eastAsia" w:ascii="宋体" w:hAnsi="宋体" w:eastAsia="宋体" w:cs="宋体"/>
          <w:b/>
          <w:bCs/>
          <w:sz w:val="24"/>
          <w:szCs w:val="24"/>
        </w:rPr>
        <w:t>合同书</w:t>
      </w:r>
    </w:p>
    <w:p w14:paraId="65D8F2DF">
      <w:pPr>
        <w:spacing w:before="0" w:line="240" w:lineRule="auto"/>
        <w:rPr>
          <w:rFonts w:hint="eastAsia" w:ascii="宋体" w:hAnsi="宋体" w:eastAsia="宋体" w:cs="宋体"/>
          <w:b/>
          <w:bCs/>
          <w:sz w:val="24"/>
          <w:szCs w:val="24"/>
        </w:rPr>
      </w:pPr>
    </w:p>
    <w:p w14:paraId="7FDBE59F">
      <w:pPr>
        <w:spacing w:before="12" w:line="240" w:lineRule="auto"/>
        <w:rPr>
          <w:rFonts w:hint="eastAsia" w:ascii="宋体" w:hAnsi="宋体" w:eastAsia="宋体" w:cs="宋体"/>
          <w:b/>
          <w:bCs/>
          <w:sz w:val="24"/>
          <w:szCs w:val="24"/>
        </w:rPr>
      </w:pPr>
    </w:p>
    <w:p w14:paraId="729A4400">
      <w:pPr>
        <w:pStyle w:val="10"/>
        <w:tabs>
          <w:tab w:val="left" w:pos="2436"/>
          <w:tab w:val="left" w:pos="3336"/>
          <w:tab w:val="left" w:pos="4944"/>
          <w:tab w:val="left" w:pos="6315"/>
          <w:tab w:val="left" w:pos="7879"/>
        </w:tabs>
        <w:spacing w:before="26" w:line="336" w:lineRule="auto"/>
        <w:ind w:right="111" w:firstLine="719"/>
        <w:jc w:val="both"/>
        <w:rPr>
          <w:rFonts w:hint="eastAsia" w:ascii="宋体" w:hAnsi="宋体" w:eastAsia="宋体" w:cs="宋体"/>
          <w:sz w:val="24"/>
          <w:szCs w:val="24"/>
        </w:rPr>
      </w:pP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ab/>
      </w:r>
      <w:r>
        <w:rPr>
          <w:rFonts w:hint="eastAsia" w:ascii="宋体" w:hAnsi="宋体" w:eastAsia="宋体" w:cs="宋体"/>
          <w:spacing w:val="2"/>
          <w:sz w:val="24"/>
          <w:szCs w:val="24"/>
        </w:rPr>
        <w:t>(甲方)</w:t>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rPr>
        <w:t>(项目名称)中所需(服务</w:t>
      </w:r>
      <w:r>
        <w:rPr>
          <w:rFonts w:hint="eastAsia" w:ascii="宋体" w:hAnsi="宋体" w:eastAsia="宋体" w:cs="宋体"/>
          <w:sz w:val="24"/>
          <w:szCs w:val="24"/>
        </w:rPr>
        <w:t xml:space="preserve"> </w:t>
      </w:r>
      <w:r>
        <w:rPr>
          <w:rFonts w:hint="eastAsia" w:ascii="宋体" w:hAnsi="宋体" w:eastAsia="宋体" w:cs="宋体"/>
          <w:spacing w:val="-1"/>
          <w:sz w:val="24"/>
          <w:szCs w:val="24"/>
        </w:rPr>
        <w:t>名称)经</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(代理机构)以</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号招标文件在国内</w:t>
      </w:r>
      <w:r>
        <w:rPr>
          <w:rFonts w:hint="eastAsia" w:ascii="宋体" w:hAnsi="宋体" w:eastAsia="宋体" w:cs="宋体"/>
          <w:sz w:val="24"/>
          <w:szCs w:val="24"/>
          <w:u w:val="single" w:color="000000"/>
        </w:rPr>
        <w:tab/>
      </w:r>
      <w:r>
        <w:rPr>
          <w:rFonts w:hint="eastAsia" w:ascii="宋体" w:hAnsi="宋体" w:eastAsia="宋体" w:cs="宋体"/>
          <w:spacing w:val="-22"/>
          <w:sz w:val="24"/>
          <w:szCs w:val="24"/>
        </w:rPr>
        <w:t>采购。经</w:t>
      </w:r>
      <w:r>
        <w:rPr>
          <w:rFonts w:hint="eastAsia" w:ascii="宋体" w:hAnsi="宋体" w:eastAsia="宋体" w:cs="宋体"/>
          <w:sz w:val="24"/>
          <w:szCs w:val="24"/>
        </w:rPr>
        <w:t xml:space="preserve"> </w:t>
      </w:r>
      <w:r>
        <w:rPr>
          <w:rFonts w:hint="eastAsia" w:ascii="宋体" w:hAnsi="宋体" w:eastAsia="宋体" w:cs="宋体"/>
          <w:spacing w:val="2"/>
          <w:sz w:val="24"/>
          <w:szCs w:val="24"/>
        </w:rPr>
        <w:t>评标委员会评定，</w:t>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rPr>
        <w:t>(乙方)为中标人。甲乙双方同意按照</w:t>
      </w:r>
      <w:r>
        <w:rPr>
          <w:rFonts w:hint="eastAsia" w:ascii="宋体" w:hAnsi="宋体" w:eastAsia="宋体" w:cs="宋体"/>
          <w:spacing w:val="-115"/>
          <w:sz w:val="24"/>
          <w:szCs w:val="24"/>
        </w:rPr>
        <w:t xml:space="preserve"> </w:t>
      </w:r>
      <w:r>
        <w:rPr>
          <w:rFonts w:hint="eastAsia" w:ascii="宋体" w:hAnsi="宋体" w:eastAsia="宋体" w:cs="宋体"/>
          <w:sz w:val="24"/>
          <w:szCs w:val="24"/>
        </w:rPr>
        <w:t>下面的条款和条件，签署本合同。</w:t>
      </w:r>
    </w:p>
    <w:p w14:paraId="5E2F32CE">
      <w:pPr>
        <w:pStyle w:val="3"/>
        <w:spacing w:before="58" w:line="240" w:lineRule="auto"/>
        <w:ind w:right="0"/>
        <w:jc w:val="left"/>
        <w:rPr>
          <w:rFonts w:hint="eastAsia" w:ascii="宋体" w:hAnsi="宋体" w:eastAsia="宋体" w:cs="宋体"/>
          <w:b w:val="0"/>
          <w:bCs w:val="0"/>
          <w:sz w:val="24"/>
          <w:szCs w:val="24"/>
        </w:rPr>
      </w:pPr>
      <w:r>
        <w:rPr>
          <w:rFonts w:hint="eastAsia" w:ascii="宋体" w:hAnsi="宋体" w:eastAsia="宋体" w:cs="宋体"/>
          <w:sz w:val="24"/>
          <w:szCs w:val="24"/>
        </w:rPr>
        <w:t>1、合同文件</w:t>
      </w:r>
    </w:p>
    <w:p w14:paraId="2D23F9E6">
      <w:pPr>
        <w:pStyle w:val="10"/>
        <w:spacing w:line="357" w:lineRule="auto"/>
        <w:ind w:right="113" w:firstLine="468" w:firstLineChars="200"/>
        <w:jc w:val="left"/>
        <w:rPr>
          <w:rFonts w:hint="eastAsia" w:ascii="宋体" w:hAnsi="宋体" w:eastAsia="宋体" w:cs="宋体"/>
          <w:sz w:val="24"/>
          <w:szCs w:val="24"/>
        </w:rPr>
      </w:pPr>
      <w:r>
        <w:rPr>
          <w:rFonts w:hint="eastAsia" w:ascii="宋体" w:hAnsi="宋体" w:eastAsia="宋体" w:cs="宋体"/>
          <w:spacing w:val="-3"/>
          <w:sz w:val="24"/>
          <w:szCs w:val="24"/>
        </w:rPr>
        <w:t>下列文件构成本合同的组成部分，应该认为是一个整体，彼此相互解释，相</w:t>
      </w:r>
      <w:r>
        <w:rPr>
          <w:rFonts w:hint="eastAsia" w:ascii="宋体" w:hAnsi="宋体" w:eastAsia="宋体" w:cs="宋体"/>
          <w:spacing w:val="-106"/>
          <w:sz w:val="24"/>
          <w:szCs w:val="24"/>
        </w:rPr>
        <w:t xml:space="preserve"> </w:t>
      </w:r>
      <w:r>
        <w:rPr>
          <w:rFonts w:hint="eastAsia" w:ascii="宋体" w:hAnsi="宋体" w:eastAsia="宋体" w:cs="宋体"/>
          <w:sz w:val="24"/>
          <w:szCs w:val="24"/>
        </w:rPr>
        <w:t>互补充。为便于解释，组成合同的多个文件的优先支配地位的次序如下：</w:t>
      </w:r>
    </w:p>
    <w:p w14:paraId="1A63DC3C">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a.  本合同书</w:t>
      </w:r>
    </w:p>
    <w:p w14:paraId="060E1B93">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b.  中标通知书</w:t>
      </w:r>
    </w:p>
    <w:p w14:paraId="3373D3F5">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c.  合同条款</w:t>
      </w:r>
    </w:p>
    <w:p w14:paraId="7B2C847B">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d.  中标文件</w:t>
      </w:r>
      <w:r>
        <w:rPr>
          <w:rFonts w:hint="eastAsia" w:ascii="宋体" w:hAnsi="宋体" w:eastAsia="宋体" w:cs="宋体"/>
          <w:sz w:val="24"/>
          <w:szCs w:val="24"/>
        </w:rPr>
        <w:tab/>
      </w:r>
      <w:r>
        <w:rPr>
          <w:rFonts w:hint="eastAsia" w:ascii="宋体" w:hAnsi="宋体" w:eastAsia="宋体" w:cs="宋体"/>
          <w:sz w:val="24"/>
          <w:szCs w:val="24"/>
        </w:rPr>
        <w:t>(含澄清文件)</w:t>
      </w:r>
    </w:p>
    <w:p w14:paraId="6DA7FEE3">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e. 招标文件</w:t>
      </w:r>
      <w:r>
        <w:rPr>
          <w:rFonts w:hint="eastAsia" w:ascii="宋体" w:hAnsi="宋体" w:eastAsia="宋体" w:cs="宋体"/>
          <w:sz w:val="24"/>
          <w:szCs w:val="24"/>
        </w:rPr>
        <w:tab/>
      </w:r>
      <w:r>
        <w:rPr>
          <w:rFonts w:hint="eastAsia" w:ascii="宋体" w:hAnsi="宋体" w:eastAsia="宋体" w:cs="宋体"/>
          <w:sz w:val="24"/>
          <w:szCs w:val="24"/>
        </w:rPr>
        <w:t>(含补充通知)</w:t>
      </w:r>
    </w:p>
    <w:p w14:paraId="6C1DBE0F">
      <w:pPr>
        <w:pStyle w:val="3"/>
        <w:spacing w:line="240" w:lineRule="auto"/>
        <w:ind w:right="0"/>
        <w:jc w:val="left"/>
        <w:rPr>
          <w:rFonts w:hint="eastAsia" w:ascii="宋体" w:hAnsi="宋体" w:eastAsia="宋体" w:cs="宋体"/>
          <w:b w:val="0"/>
          <w:bCs w:val="0"/>
          <w:sz w:val="24"/>
          <w:szCs w:val="24"/>
        </w:rPr>
      </w:pPr>
      <w:r>
        <w:rPr>
          <w:rFonts w:hint="eastAsia" w:ascii="宋体" w:hAnsi="宋体" w:eastAsia="宋体" w:cs="宋体"/>
          <w:sz w:val="24"/>
          <w:szCs w:val="24"/>
        </w:rPr>
        <w:t>2、合同总价</w:t>
      </w:r>
    </w:p>
    <w:p w14:paraId="5AE199C1">
      <w:pPr>
        <w:tabs>
          <w:tab w:val="left" w:pos="3197"/>
          <w:tab w:val="left" w:pos="4559"/>
        </w:tabs>
        <w:spacing w:before="135" w:line="357" w:lineRule="auto"/>
        <w:ind w:left="437" w:right="4288" w:firstLine="0"/>
        <w:jc w:val="left"/>
        <w:rPr>
          <w:rFonts w:hint="eastAsia" w:ascii="宋体" w:hAnsi="宋体" w:eastAsia="宋体" w:cs="宋体"/>
          <w:sz w:val="24"/>
          <w:szCs w:val="24"/>
        </w:rPr>
      </w:pPr>
      <w:r>
        <w:rPr>
          <w:rFonts w:hint="eastAsia" w:ascii="宋体" w:hAnsi="宋体" w:eastAsia="宋体" w:cs="宋体"/>
          <w:spacing w:val="-1"/>
          <w:sz w:val="24"/>
          <w:szCs w:val="24"/>
        </w:rPr>
        <w:t>本合同总价为</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元人民币。 分项价格：</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ab/>
      </w:r>
      <w:r>
        <w:rPr>
          <w:rFonts w:hint="eastAsia" w:ascii="宋体" w:hAnsi="宋体" w:eastAsia="宋体" w:cs="宋体"/>
          <w:w w:val="28"/>
          <w:sz w:val="24"/>
          <w:szCs w:val="24"/>
          <w:u w:val="single" w:color="000000"/>
        </w:rPr>
        <w:t xml:space="preserve"> </w:t>
      </w:r>
      <w:r>
        <w:rPr>
          <w:rFonts w:hint="eastAsia" w:ascii="宋体" w:hAnsi="宋体" w:eastAsia="宋体" w:cs="宋体"/>
          <w:sz w:val="24"/>
          <w:szCs w:val="24"/>
        </w:rPr>
        <w:t xml:space="preserve"> </w:t>
      </w:r>
    </w:p>
    <w:p w14:paraId="2105630D">
      <w:pPr>
        <w:tabs>
          <w:tab w:val="left" w:pos="3197"/>
          <w:tab w:val="left" w:pos="4559"/>
        </w:tabs>
        <w:spacing w:before="135" w:line="357" w:lineRule="auto"/>
        <w:ind w:right="4288"/>
        <w:jc w:val="left"/>
        <w:rPr>
          <w:rFonts w:hint="eastAsia" w:ascii="宋体" w:hAnsi="宋体" w:eastAsia="宋体" w:cs="宋体"/>
          <w:sz w:val="24"/>
          <w:szCs w:val="24"/>
        </w:rPr>
      </w:pPr>
      <w:r>
        <w:rPr>
          <w:rFonts w:hint="eastAsia" w:ascii="宋体" w:hAnsi="宋体" w:eastAsia="宋体" w:cs="宋体"/>
          <w:b/>
          <w:bCs/>
          <w:sz w:val="24"/>
          <w:szCs w:val="24"/>
        </w:rPr>
        <w:t>3、付款方式</w:t>
      </w:r>
    </w:p>
    <w:p w14:paraId="42A45902">
      <w:pPr>
        <w:pStyle w:val="10"/>
        <w:tabs>
          <w:tab w:val="left" w:pos="6736"/>
        </w:tabs>
        <w:spacing w:before="5"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本合同的付款方式为：</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6E8402DD">
      <w:pPr>
        <w:pStyle w:val="3"/>
        <w:spacing w:before="151" w:line="240" w:lineRule="auto"/>
        <w:ind w:right="0"/>
        <w:jc w:val="left"/>
        <w:rPr>
          <w:rFonts w:hint="eastAsia" w:ascii="宋体" w:hAnsi="宋体" w:eastAsia="宋体" w:cs="宋体"/>
          <w:b w:val="0"/>
          <w:bCs w:val="0"/>
          <w:sz w:val="24"/>
          <w:szCs w:val="24"/>
        </w:rPr>
      </w:pPr>
      <w:r>
        <w:rPr>
          <w:rFonts w:hint="eastAsia" w:ascii="宋体" w:hAnsi="宋体" w:eastAsia="宋体" w:cs="宋体"/>
          <w:sz w:val="24"/>
          <w:szCs w:val="24"/>
        </w:rPr>
        <w:t>4、本合同的项目完成时间及地点</w:t>
      </w:r>
    </w:p>
    <w:p w14:paraId="6A32BB7F">
      <w:pPr>
        <w:tabs>
          <w:tab w:val="left" w:pos="5056"/>
          <w:tab w:val="left" w:pos="5999"/>
        </w:tabs>
        <w:spacing w:before="133" w:line="357" w:lineRule="auto"/>
        <w:ind w:left="437" w:right="2848" w:firstLine="0"/>
        <w:jc w:val="left"/>
        <w:rPr>
          <w:rFonts w:hint="eastAsia" w:ascii="宋体" w:hAnsi="宋体" w:eastAsia="宋体" w:cs="宋体"/>
          <w:sz w:val="24"/>
          <w:szCs w:val="24"/>
        </w:rPr>
      </w:pPr>
      <w:r>
        <w:rPr>
          <w:rFonts w:hint="eastAsia" w:ascii="宋体" w:hAnsi="宋体" w:eastAsia="宋体" w:cs="宋体"/>
          <w:sz w:val="24"/>
          <w:szCs w:val="24"/>
        </w:rPr>
        <w:t>项目完成时间：</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ab/>
      </w:r>
      <w:r>
        <w:rPr>
          <w:rFonts w:hint="eastAsia" w:ascii="宋体" w:hAnsi="宋体" w:eastAsia="宋体" w:cs="宋体"/>
          <w:w w:val="28"/>
          <w:sz w:val="24"/>
          <w:szCs w:val="24"/>
          <w:u w:val="single" w:color="000000"/>
        </w:rPr>
        <w:t xml:space="preserve"> </w:t>
      </w:r>
      <w:r>
        <w:rPr>
          <w:rFonts w:hint="eastAsia" w:ascii="宋体" w:hAnsi="宋体" w:eastAsia="宋体" w:cs="宋体"/>
          <w:sz w:val="24"/>
          <w:szCs w:val="24"/>
        </w:rPr>
        <w:t xml:space="preserve"> 地点：</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rPr>
        <w:t xml:space="preserve"> </w:t>
      </w:r>
    </w:p>
    <w:p w14:paraId="7D50AF22">
      <w:pPr>
        <w:tabs>
          <w:tab w:val="left" w:pos="5056"/>
          <w:tab w:val="left" w:pos="5999"/>
        </w:tabs>
        <w:spacing w:before="133" w:line="357" w:lineRule="auto"/>
        <w:ind w:right="2848"/>
        <w:jc w:val="left"/>
        <w:rPr>
          <w:rFonts w:hint="eastAsia" w:ascii="宋体" w:hAnsi="宋体" w:eastAsia="宋体" w:cs="宋体"/>
          <w:sz w:val="24"/>
          <w:szCs w:val="24"/>
        </w:rPr>
      </w:pPr>
      <w:r>
        <w:rPr>
          <w:rFonts w:hint="eastAsia" w:ascii="宋体" w:hAnsi="宋体" w:eastAsia="宋体" w:cs="宋体"/>
          <w:b/>
          <w:bCs/>
          <w:sz w:val="24"/>
          <w:szCs w:val="24"/>
        </w:rPr>
        <w:t>5、合同的生效</w:t>
      </w:r>
    </w:p>
    <w:p w14:paraId="73B00F6D">
      <w:pPr>
        <w:pStyle w:val="10"/>
        <w:spacing w:before="5"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本合同经双方全权代表签署、加盖单位公章后生效。</w:t>
      </w:r>
    </w:p>
    <w:p w14:paraId="59533101">
      <w:pPr>
        <w:pStyle w:val="10"/>
        <w:tabs>
          <w:tab w:val="left" w:pos="1397"/>
          <w:tab w:val="left" w:pos="3616"/>
          <w:tab w:val="left" w:pos="4637"/>
          <w:tab w:val="left" w:pos="5117"/>
          <w:tab w:val="left" w:pos="7456"/>
        </w:tabs>
        <w:spacing w:before="154"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方：</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z w:val="24"/>
          <w:szCs w:val="24"/>
        </w:rPr>
        <w:t>乙</w:t>
      </w:r>
      <w:r>
        <w:rPr>
          <w:rFonts w:hint="eastAsia" w:ascii="宋体" w:hAnsi="宋体" w:eastAsia="宋体" w:cs="宋体"/>
          <w:sz w:val="24"/>
          <w:szCs w:val="24"/>
        </w:rPr>
        <w:tab/>
      </w:r>
      <w:r>
        <w:rPr>
          <w:rFonts w:hint="eastAsia" w:ascii="宋体" w:hAnsi="宋体" w:eastAsia="宋体" w:cs="宋体"/>
          <w:spacing w:val="-1"/>
          <w:sz w:val="24"/>
          <w:szCs w:val="24"/>
        </w:rPr>
        <w:t>方：</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77D06FE0">
      <w:pPr>
        <w:spacing w:before="0" w:line="240" w:lineRule="auto"/>
        <w:rPr>
          <w:rFonts w:hint="eastAsia" w:ascii="宋体" w:hAnsi="宋体" w:eastAsia="宋体" w:cs="宋体"/>
          <w:sz w:val="24"/>
          <w:szCs w:val="24"/>
        </w:rPr>
      </w:pPr>
    </w:p>
    <w:p w14:paraId="52D9E19F">
      <w:pPr>
        <w:spacing w:before="0" w:line="240" w:lineRule="auto"/>
        <w:rPr>
          <w:rFonts w:hint="eastAsia" w:ascii="宋体" w:hAnsi="宋体" w:eastAsia="宋体" w:cs="宋体"/>
          <w:sz w:val="24"/>
          <w:szCs w:val="24"/>
        </w:rPr>
      </w:pPr>
    </w:p>
    <w:p w14:paraId="3D476235">
      <w:pPr>
        <w:pStyle w:val="10"/>
        <w:tabs>
          <w:tab w:val="left" w:pos="1397"/>
          <w:tab w:val="left" w:pos="4675"/>
          <w:tab w:val="left" w:pos="5155"/>
        </w:tabs>
        <w:spacing w:before="26"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称：(公章)</w:t>
      </w:r>
      <w:r>
        <w:rPr>
          <w:rFonts w:hint="eastAsia" w:ascii="宋体" w:hAnsi="宋体" w:eastAsia="宋体" w:cs="宋体"/>
          <w:spacing w:val="-1"/>
          <w:sz w:val="24"/>
          <w:szCs w:val="24"/>
        </w:rPr>
        <w:tab/>
      </w: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pacing w:val="-1"/>
          <w:sz w:val="24"/>
          <w:szCs w:val="24"/>
        </w:rPr>
        <w:t>称：(公章)</w:t>
      </w:r>
    </w:p>
    <w:p w14:paraId="4B151DCD">
      <w:pPr>
        <w:spacing w:before="0" w:line="240" w:lineRule="auto"/>
        <w:rPr>
          <w:rFonts w:hint="eastAsia" w:ascii="宋体" w:hAnsi="宋体" w:eastAsia="宋体" w:cs="宋体"/>
          <w:sz w:val="24"/>
          <w:szCs w:val="24"/>
        </w:rPr>
      </w:pPr>
    </w:p>
    <w:p w14:paraId="296C6BBB">
      <w:pPr>
        <w:spacing w:before="8" w:line="240" w:lineRule="auto"/>
        <w:rPr>
          <w:rFonts w:hint="eastAsia" w:ascii="宋体" w:hAnsi="宋体" w:eastAsia="宋体" w:cs="宋体"/>
          <w:sz w:val="24"/>
          <w:szCs w:val="24"/>
        </w:rPr>
      </w:pPr>
    </w:p>
    <w:p w14:paraId="26B56E8F">
      <w:pPr>
        <w:pStyle w:val="10"/>
        <w:tabs>
          <w:tab w:val="left" w:pos="1397"/>
          <w:tab w:val="left" w:pos="1877"/>
          <w:tab w:val="left" w:pos="4757"/>
          <w:tab w:val="left" w:pos="5237"/>
          <w:tab w:val="left" w:pos="5717"/>
        </w:tabs>
        <w:spacing w:before="0"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0645672E">
      <w:pPr>
        <w:pStyle w:val="10"/>
        <w:tabs>
          <w:tab w:val="left" w:pos="3535"/>
          <w:tab w:val="left" w:pos="5057"/>
          <w:tab w:val="left" w:pos="7795"/>
        </w:tabs>
        <w:spacing w:before="26" w:line="240" w:lineRule="auto"/>
        <w:ind w:right="0"/>
        <w:jc w:val="left"/>
        <w:rPr>
          <w:rFonts w:hint="eastAsia" w:ascii="宋体" w:hAnsi="宋体" w:eastAsia="宋体" w:cs="宋体"/>
          <w:spacing w:val="-1"/>
          <w:sz w:val="24"/>
          <w:szCs w:val="24"/>
        </w:rPr>
      </w:pPr>
    </w:p>
    <w:p w14:paraId="1D395098">
      <w:pPr>
        <w:pStyle w:val="10"/>
        <w:tabs>
          <w:tab w:val="left" w:pos="3535"/>
          <w:tab w:val="left" w:pos="5057"/>
          <w:tab w:val="left" w:pos="7795"/>
        </w:tabs>
        <w:spacing w:before="26" w:line="240" w:lineRule="auto"/>
        <w:ind w:right="0"/>
        <w:jc w:val="left"/>
        <w:rPr>
          <w:rFonts w:hint="eastAsia" w:ascii="宋体" w:hAnsi="宋体" w:eastAsia="宋体" w:cs="宋体"/>
          <w:spacing w:val="-1"/>
          <w:sz w:val="24"/>
          <w:szCs w:val="24"/>
        </w:rPr>
      </w:pPr>
    </w:p>
    <w:p w14:paraId="65E15907">
      <w:pPr>
        <w:pStyle w:val="10"/>
        <w:tabs>
          <w:tab w:val="left" w:pos="3535"/>
          <w:tab w:val="left" w:pos="5057"/>
          <w:tab w:val="left" w:pos="7795"/>
        </w:tabs>
        <w:spacing w:before="26" w:line="240" w:lineRule="auto"/>
        <w:ind w:right="0" w:firstLine="952" w:firstLineChars="400"/>
        <w:jc w:val="left"/>
        <w:rPr>
          <w:rFonts w:hint="eastAsia" w:ascii="宋体" w:hAnsi="宋体" w:eastAsia="宋体" w:cs="宋体"/>
          <w:sz w:val="24"/>
          <w:szCs w:val="24"/>
        </w:rPr>
      </w:pPr>
      <w:r>
        <w:rPr>
          <w:rFonts w:hint="eastAsia" w:ascii="宋体" w:hAnsi="宋体" w:eastAsia="宋体" w:cs="宋体"/>
          <w:spacing w:val="-1"/>
          <w:sz w:val="24"/>
          <w:szCs w:val="24"/>
        </w:rPr>
        <w:t>授权代表(签字)：</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pacing w:val="-1"/>
          <w:sz w:val="24"/>
          <w:szCs w:val="24"/>
        </w:rPr>
        <w:t>授权代表(签字)：</w:t>
      </w:r>
      <w:r>
        <w:rPr>
          <w:rFonts w:hint="eastAsia" w:ascii="宋体" w:hAnsi="宋体" w:eastAsia="宋体" w:cs="宋体"/>
          <w:spacing w:val="-1"/>
          <w:sz w:val="24"/>
          <w:szCs w:val="24"/>
          <w:u w:val="single" w:color="000000"/>
        </w:rPr>
        <w:t xml:space="preserve"> </w:t>
      </w:r>
      <w:r>
        <w:rPr>
          <w:rFonts w:hint="eastAsia" w:ascii="宋体" w:hAnsi="宋体" w:eastAsia="宋体" w:cs="宋体"/>
          <w:spacing w:val="-1"/>
          <w:sz w:val="24"/>
          <w:szCs w:val="24"/>
          <w:u w:val="single" w:color="000000"/>
        </w:rPr>
        <w:tab/>
      </w:r>
    </w:p>
    <w:p w14:paraId="206B3908">
      <w:pPr>
        <w:spacing w:before="0" w:line="240" w:lineRule="auto"/>
        <w:rPr>
          <w:rFonts w:hint="eastAsia" w:ascii="宋体" w:hAnsi="宋体" w:eastAsia="宋体" w:cs="宋体"/>
          <w:sz w:val="24"/>
          <w:szCs w:val="24"/>
        </w:rPr>
      </w:pPr>
    </w:p>
    <w:p w14:paraId="3A87840D">
      <w:pPr>
        <w:spacing w:before="5" w:line="240" w:lineRule="auto"/>
        <w:rPr>
          <w:rFonts w:hint="eastAsia" w:ascii="宋体" w:hAnsi="宋体" w:eastAsia="宋体" w:cs="宋体"/>
          <w:sz w:val="24"/>
          <w:szCs w:val="24"/>
        </w:rPr>
      </w:pPr>
    </w:p>
    <w:p w14:paraId="357AB454">
      <w:pPr>
        <w:pStyle w:val="10"/>
        <w:tabs>
          <w:tab w:val="left" w:pos="1637"/>
          <w:tab w:val="left" w:pos="3856"/>
          <w:tab w:val="left" w:pos="5057"/>
          <w:tab w:val="left" w:pos="577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pacing w:val="-1"/>
          <w:sz w:val="24"/>
          <w:szCs w:val="24"/>
        </w:rPr>
        <w:t>址：</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pacing w:val="-1"/>
          <w:sz w:val="24"/>
          <w:szCs w:val="24"/>
        </w:rPr>
        <w:t>址：</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66E336EB">
      <w:pPr>
        <w:spacing w:before="0" w:line="240" w:lineRule="auto"/>
        <w:rPr>
          <w:rFonts w:hint="eastAsia" w:ascii="宋体" w:hAnsi="宋体" w:eastAsia="宋体" w:cs="宋体"/>
          <w:sz w:val="24"/>
          <w:szCs w:val="24"/>
        </w:rPr>
      </w:pPr>
    </w:p>
    <w:p w14:paraId="553E08BB">
      <w:pPr>
        <w:spacing w:before="0" w:line="240" w:lineRule="auto"/>
        <w:rPr>
          <w:rFonts w:hint="eastAsia" w:ascii="宋体" w:hAnsi="宋体" w:eastAsia="宋体" w:cs="宋体"/>
          <w:sz w:val="24"/>
          <w:szCs w:val="24"/>
        </w:rPr>
      </w:pPr>
    </w:p>
    <w:p w14:paraId="5E4DCAC3">
      <w:pPr>
        <w:pStyle w:val="10"/>
        <w:tabs>
          <w:tab w:val="left" w:pos="3856"/>
          <w:tab w:val="left" w:pos="505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pacing w:val="-1"/>
          <w:sz w:val="24"/>
          <w:szCs w:val="24"/>
        </w:rPr>
        <w:t>邮政编码：</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pacing w:val="-1"/>
          <w:sz w:val="24"/>
          <w:szCs w:val="24"/>
        </w:rPr>
        <w:t>邮政编码：</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3C0C8D6A">
      <w:pPr>
        <w:spacing w:before="0" w:line="240" w:lineRule="auto"/>
        <w:rPr>
          <w:rFonts w:hint="eastAsia" w:ascii="宋体" w:hAnsi="宋体" w:eastAsia="宋体" w:cs="宋体"/>
          <w:sz w:val="24"/>
          <w:szCs w:val="24"/>
        </w:rPr>
      </w:pPr>
    </w:p>
    <w:p w14:paraId="3E7CCB67">
      <w:pPr>
        <w:spacing w:before="0" w:line="240" w:lineRule="auto"/>
        <w:rPr>
          <w:rFonts w:hint="eastAsia" w:ascii="宋体" w:hAnsi="宋体" w:eastAsia="宋体" w:cs="宋体"/>
          <w:sz w:val="24"/>
          <w:szCs w:val="24"/>
        </w:rPr>
      </w:pPr>
    </w:p>
    <w:p w14:paraId="7DD3E3BA">
      <w:pPr>
        <w:pStyle w:val="10"/>
        <w:tabs>
          <w:tab w:val="left" w:pos="1637"/>
          <w:tab w:val="left" w:pos="3856"/>
          <w:tab w:val="left" w:pos="5057"/>
          <w:tab w:val="left" w:pos="577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pacing w:val="-1"/>
          <w:sz w:val="24"/>
          <w:szCs w:val="24"/>
        </w:rPr>
        <w:t>话：</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pacing w:val="-1"/>
          <w:sz w:val="24"/>
          <w:szCs w:val="24"/>
        </w:rPr>
        <w:t>话：</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6ABC6E98">
      <w:pPr>
        <w:spacing w:before="0" w:line="240" w:lineRule="auto"/>
        <w:rPr>
          <w:rFonts w:hint="eastAsia" w:ascii="宋体" w:hAnsi="宋体" w:eastAsia="宋体" w:cs="宋体"/>
          <w:sz w:val="24"/>
          <w:szCs w:val="24"/>
        </w:rPr>
      </w:pPr>
    </w:p>
    <w:p w14:paraId="0AEA87C0">
      <w:pPr>
        <w:spacing w:before="0" w:line="240" w:lineRule="auto"/>
        <w:rPr>
          <w:rFonts w:hint="eastAsia" w:ascii="宋体" w:hAnsi="宋体" w:eastAsia="宋体" w:cs="宋体"/>
          <w:sz w:val="24"/>
          <w:szCs w:val="24"/>
        </w:rPr>
      </w:pPr>
    </w:p>
    <w:p w14:paraId="75F59154">
      <w:pPr>
        <w:pStyle w:val="10"/>
        <w:tabs>
          <w:tab w:val="left" w:pos="3856"/>
          <w:tab w:val="left" w:pos="505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pacing w:val="-1"/>
          <w:sz w:val="24"/>
          <w:szCs w:val="24"/>
        </w:rPr>
        <w:t>开户银行：</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pacing w:val="-1"/>
          <w:sz w:val="24"/>
          <w:szCs w:val="24"/>
        </w:rPr>
        <w:t>开户银行：</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42F0F088">
      <w:pPr>
        <w:spacing w:before="0" w:line="240" w:lineRule="auto"/>
        <w:rPr>
          <w:rFonts w:hint="eastAsia" w:ascii="宋体" w:hAnsi="宋体" w:eastAsia="宋体" w:cs="宋体"/>
          <w:sz w:val="24"/>
          <w:szCs w:val="24"/>
        </w:rPr>
      </w:pPr>
    </w:p>
    <w:p w14:paraId="028E3DC7">
      <w:pPr>
        <w:spacing w:before="0" w:line="240" w:lineRule="auto"/>
        <w:rPr>
          <w:rFonts w:hint="eastAsia" w:ascii="宋体" w:hAnsi="宋体" w:eastAsia="宋体" w:cs="宋体"/>
          <w:sz w:val="24"/>
          <w:szCs w:val="24"/>
        </w:rPr>
      </w:pPr>
    </w:p>
    <w:p w14:paraId="281B0D18">
      <w:pPr>
        <w:pStyle w:val="10"/>
        <w:tabs>
          <w:tab w:val="left" w:pos="1637"/>
          <w:tab w:val="left" w:pos="5057"/>
          <w:tab w:val="left" w:pos="5777"/>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eastAsia="宋体" w:cs="宋体"/>
          <w:sz w:val="24"/>
          <w:szCs w:val="24"/>
        </w:rPr>
        <w:tab/>
      </w:r>
      <w:r>
        <w:rPr>
          <w:rFonts w:hint="eastAsia" w:ascii="宋体" w:hAnsi="宋体" w:eastAsia="宋体" w:cs="宋体"/>
          <w:sz w:val="24"/>
          <w:szCs w:val="24"/>
        </w:rPr>
        <w:t>号：</w:t>
      </w:r>
      <w:r>
        <w:rPr>
          <w:rFonts w:hint="eastAsia" w:ascii="宋体" w:hAnsi="宋体" w:eastAsia="宋体" w:cs="宋体"/>
          <w:sz w:val="24"/>
          <w:szCs w:val="24"/>
        </w:rPr>
        <w:tab/>
      </w:r>
      <w:r>
        <w:rPr>
          <w:rFonts w:hint="eastAsia" w:ascii="宋体" w:hAnsi="宋体" w:eastAsia="宋体" w:cs="宋体"/>
          <w:sz w:val="24"/>
          <w:szCs w:val="24"/>
        </w:rPr>
        <w:t>账</w:t>
      </w:r>
      <w:r>
        <w:rPr>
          <w:rFonts w:hint="eastAsia" w:ascii="宋体" w:hAnsi="宋体" w:eastAsia="宋体" w:cs="宋体"/>
          <w:sz w:val="24"/>
          <w:szCs w:val="24"/>
        </w:rPr>
        <w:tab/>
      </w:r>
      <w:r>
        <w:rPr>
          <w:rFonts w:hint="eastAsia" w:ascii="宋体" w:hAnsi="宋体" w:eastAsia="宋体" w:cs="宋体"/>
          <w:sz w:val="24"/>
          <w:szCs w:val="24"/>
        </w:rPr>
        <w:t>号：</w:t>
      </w:r>
    </w:p>
    <w:p w14:paraId="7ABF22C1">
      <w:pPr>
        <w:rPr>
          <w:rFonts w:hint="eastAsia"/>
          <w:sz w:val="24"/>
          <w:szCs w:val="24"/>
          <w:lang w:val="en-US" w:eastAsia="zh-CN"/>
        </w:rPr>
      </w:pPr>
    </w:p>
    <w:p w14:paraId="421CE74D">
      <w:pPr>
        <w:keepNext w:val="0"/>
        <w:keepLines w:val="0"/>
        <w:pageBreakBefore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eastAsia="宋体" w:cs="宋体"/>
          <w:color w:val="auto"/>
          <w:sz w:val="24"/>
          <w:szCs w:val="24"/>
          <w:highlight w:val="none"/>
        </w:rPr>
      </w:pPr>
    </w:p>
    <w:p w14:paraId="46B644EF">
      <w:pPr>
        <w:pageBreakBefore w:val="0"/>
        <w:kinsoku w:val="0"/>
        <w:wordWrap/>
        <w:overflowPunct/>
        <w:topLinePunct w:val="0"/>
        <w:autoSpaceDE w:val="0"/>
        <w:autoSpaceDN w:val="0"/>
        <w:bidi w:val="0"/>
        <w:adjustRightInd w:val="0"/>
        <w:snapToGrid w:val="0"/>
        <w:spacing w:before="0" w:after="0" w:line="560" w:lineRule="exact"/>
        <w:ind w:left="0" w:leftChars="0" w:right="0" w:rightChars="0"/>
        <w:jc w:val="left"/>
        <w:textAlignment w:val="baseline"/>
        <w:rPr>
          <w:rFonts w:ascii="仿宋" w:hAnsi="仿宋" w:eastAsia="仿宋" w:cs="仿宋"/>
          <w:snapToGrid w:val="0"/>
          <w:color w:val="auto"/>
          <w:kern w:val="0"/>
          <w:sz w:val="31"/>
          <w:szCs w:val="31"/>
          <w:highlight w:val="none"/>
          <w:lang w:val="en-US" w:eastAsia="en-US" w:bidi="ar-SA"/>
        </w:rPr>
      </w:pPr>
      <w:r>
        <w:rPr>
          <w:rFonts w:hint="eastAsia" w:ascii="宋体" w:hAnsi="宋体" w:eastAsia="宋体" w:cs="宋体"/>
          <w:color w:val="auto"/>
          <w:sz w:val="24"/>
          <w:szCs w:val="24"/>
          <w:highlight w:val="none"/>
        </w:rPr>
        <w:br w:type="page"/>
      </w:r>
    </w:p>
    <w:p w14:paraId="1719B6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ascii="仿宋" w:hAnsi="仿宋" w:eastAsia="仿宋" w:cs="仿宋"/>
          <w:snapToGrid w:val="0"/>
          <w:color w:val="auto"/>
          <w:spacing w:val="-9"/>
          <w:kern w:val="0"/>
          <w:sz w:val="24"/>
          <w:szCs w:val="24"/>
          <w:highlight w:val="none"/>
          <w:lang w:eastAsia="en-US"/>
        </w:rPr>
      </w:pPr>
      <w:bookmarkStart w:id="187" w:name="_Toc30479"/>
      <w:r>
        <w:rPr>
          <w:rFonts w:ascii="仿宋" w:hAnsi="仿宋" w:eastAsia="仿宋" w:cs="仿宋"/>
          <w:snapToGrid w:val="0"/>
          <w:color w:val="auto"/>
          <w:spacing w:val="-9"/>
          <w:kern w:val="0"/>
          <w:sz w:val="24"/>
          <w:szCs w:val="24"/>
          <w:highlight w:val="none"/>
          <w:lang w:eastAsia="en-US"/>
        </w:rPr>
        <w:t>附件</w:t>
      </w:r>
      <w:r>
        <w:rPr>
          <w:rFonts w:hint="eastAsia" w:ascii="仿宋" w:hAnsi="仿宋" w:eastAsia="仿宋" w:cs="仿宋"/>
          <w:snapToGrid w:val="0"/>
          <w:color w:val="auto"/>
          <w:spacing w:val="-9"/>
          <w:kern w:val="0"/>
          <w:sz w:val="24"/>
          <w:szCs w:val="24"/>
          <w:highlight w:val="none"/>
          <w:lang w:val="en-US" w:eastAsia="zh-CN"/>
        </w:rPr>
        <w:t>1：</w:t>
      </w:r>
      <w:r>
        <w:rPr>
          <w:rFonts w:ascii="仿宋" w:hAnsi="仿宋" w:eastAsia="仿宋" w:cs="仿宋"/>
          <w:snapToGrid w:val="0"/>
          <w:color w:val="auto"/>
          <w:spacing w:val="-9"/>
          <w:kern w:val="0"/>
          <w:sz w:val="24"/>
          <w:szCs w:val="24"/>
          <w:highlight w:val="none"/>
          <w:lang w:eastAsia="en-US"/>
        </w:rPr>
        <w:t>政府采购促进中小企业发展管理办法</w:t>
      </w:r>
      <w:bookmarkEnd w:id="187"/>
    </w:p>
    <w:p w14:paraId="2FB72B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ascii="仿宋" w:hAnsi="仿宋" w:eastAsia="仿宋" w:cs="仿宋"/>
          <w:b/>
          <w:bCs/>
          <w:snapToGrid w:val="0"/>
          <w:color w:val="auto"/>
          <w:spacing w:val="-9"/>
          <w:kern w:val="0"/>
          <w:sz w:val="24"/>
          <w:szCs w:val="24"/>
          <w:highlight w:val="none"/>
          <w:lang w:eastAsia="en-US"/>
        </w:rPr>
      </w:pPr>
      <w:r>
        <w:rPr>
          <w:rFonts w:ascii="仿宋" w:hAnsi="仿宋" w:eastAsia="仿宋" w:cs="仿宋"/>
          <w:b/>
          <w:bCs/>
          <w:snapToGrid w:val="0"/>
          <w:color w:val="auto"/>
          <w:spacing w:val="-9"/>
          <w:kern w:val="0"/>
          <w:sz w:val="24"/>
          <w:szCs w:val="24"/>
          <w:highlight w:val="none"/>
          <w:lang w:eastAsia="en-US"/>
        </w:rPr>
        <w:t>政府采购促进中小企业发展管理办法</w:t>
      </w:r>
    </w:p>
    <w:p w14:paraId="3E3F0B7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4"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6"/>
          <w:kern w:val="0"/>
          <w:sz w:val="24"/>
          <w:szCs w:val="24"/>
          <w:highlight w:val="none"/>
          <w:lang w:val="en-US" w:eastAsia="en-US" w:bidi="ar-SA"/>
        </w:rPr>
        <w:t xml:space="preserve">第一条  </w:t>
      </w:r>
      <w:r>
        <w:rPr>
          <w:rFonts w:ascii="仿宋" w:hAnsi="仿宋" w:eastAsia="仿宋" w:cs="仿宋"/>
          <w:snapToGrid w:val="0"/>
          <w:color w:val="auto"/>
          <w:spacing w:val="6"/>
          <w:kern w:val="0"/>
          <w:sz w:val="24"/>
          <w:szCs w:val="24"/>
          <w:highlight w:val="none"/>
          <w:lang w:val="en-US" w:eastAsia="en-US" w:bidi="ar-SA"/>
        </w:rPr>
        <w:t>为了发挥政府采购的政策功能，</w:t>
      </w:r>
      <w:r>
        <w:rPr>
          <w:rFonts w:ascii="仿宋" w:hAnsi="仿宋" w:eastAsia="仿宋" w:cs="仿宋"/>
          <w:snapToGrid w:val="0"/>
          <w:color w:val="auto"/>
          <w:spacing w:val="5"/>
          <w:kern w:val="0"/>
          <w:sz w:val="24"/>
          <w:szCs w:val="24"/>
          <w:highlight w:val="none"/>
          <w:lang w:val="en-US" w:eastAsia="en-US" w:bidi="ar-SA"/>
        </w:rPr>
        <w:t>促进中小企业</w:t>
      </w:r>
      <w:r>
        <w:rPr>
          <w:rFonts w:ascii="仿宋" w:hAnsi="仿宋" w:eastAsia="仿宋" w:cs="仿宋"/>
          <w:snapToGrid w:val="0"/>
          <w:color w:val="auto"/>
          <w:spacing w:val="-3"/>
          <w:kern w:val="0"/>
          <w:sz w:val="24"/>
          <w:szCs w:val="24"/>
          <w:highlight w:val="none"/>
          <w:lang w:val="en-US" w:eastAsia="en-US" w:bidi="ar-SA"/>
        </w:rPr>
        <w:t>健康发展，根据《中华人民共和国政府采购法</w:t>
      </w:r>
      <w:r>
        <w:rPr>
          <w:rFonts w:ascii="仿宋" w:hAnsi="仿宋" w:eastAsia="仿宋" w:cs="仿宋"/>
          <w:snapToGrid w:val="0"/>
          <w:color w:val="auto"/>
          <w:spacing w:val="-4"/>
          <w:kern w:val="0"/>
          <w:sz w:val="24"/>
          <w:szCs w:val="24"/>
          <w:highlight w:val="none"/>
          <w:lang w:val="en-US" w:eastAsia="en-US" w:bidi="ar-SA"/>
        </w:rPr>
        <w:t>》、《中华人民</w:t>
      </w:r>
      <w:r>
        <w:rPr>
          <w:rFonts w:ascii="仿宋" w:hAnsi="仿宋" w:eastAsia="仿宋" w:cs="仿宋"/>
          <w:snapToGrid w:val="0"/>
          <w:color w:val="auto"/>
          <w:spacing w:val="8"/>
          <w:kern w:val="0"/>
          <w:sz w:val="24"/>
          <w:szCs w:val="24"/>
          <w:highlight w:val="none"/>
          <w:lang w:val="en-US" w:eastAsia="en-US" w:bidi="ar-SA"/>
        </w:rPr>
        <w:t>共和国中小企业促进法》等有关法律法规，制定本办法。</w:t>
      </w:r>
    </w:p>
    <w:p w14:paraId="7E8C5392">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第二条  </w:t>
      </w:r>
      <w:r>
        <w:rPr>
          <w:rFonts w:ascii="仿宋" w:hAnsi="仿宋" w:eastAsia="仿宋" w:cs="仿宋"/>
          <w:snapToGrid w:val="0"/>
          <w:color w:val="auto"/>
          <w:spacing w:val="5"/>
          <w:kern w:val="0"/>
          <w:sz w:val="24"/>
          <w:szCs w:val="24"/>
          <w:highlight w:val="none"/>
          <w:lang w:val="en-US" w:eastAsia="en-US" w:bidi="ar-SA"/>
        </w:rPr>
        <w:t>本办法所称中小企业，是指在中华人民共和国</w:t>
      </w:r>
      <w:r>
        <w:rPr>
          <w:rFonts w:ascii="仿宋" w:hAnsi="仿宋" w:eastAsia="仿宋" w:cs="仿宋"/>
          <w:snapToGrid w:val="0"/>
          <w:color w:val="auto"/>
          <w:spacing w:val="8"/>
          <w:kern w:val="0"/>
          <w:sz w:val="24"/>
          <w:szCs w:val="24"/>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3DD52BF2">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符合中小企业划分标准的个体工商户，在政府采购活动中视同中小企业。</w:t>
      </w:r>
    </w:p>
    <w:p w14:paraId="161F15DF">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第三条  </w:t>
      </w:r>
      <w:r>
        <w:rPr>
          <w:rFonts w:ascii="仿宋" w:hAnsi="仿宋" w:eastAsia="仿宋" w:cs="仿宋"/>
          <w:snapToGrid w:val="0"/>
          <w:color w:val="auto"/>
          <w:spacing w:val="19"/>
          <w:kern w:val="0"/>
          <w:sz w:val="24"/>
          <w:szCs w:val="24"/>
          <w:highlight w:val="none"/>
          <w:lang w:val="en-US" w:eastAsia="en-US" w:bidi="ar-SA"/>
        </w:rPr>
        <w:t>采购人在政府采购活动中应当通过</w:t>
      </w:r>
      <w:r>
        <w:rPr>
          <w:rFonts w:ascii="仿宋" w:hAnsi="仿宋" w:eastAsia="仿宋" w:cs="仿宋"/>
          <w:snapToGrid w:val="0"/>
          <w:color w:val="auto"/>
          <w:spacing w:val="18"/>
          <w:kern w:val="0"/>
          <w:sz w:val="24"/>
          <w:szCs w:val="24"/>
          <w:highlight w:val="none"/>
          <w:lang w:val="en-US" w:eastAsia="en-US" w:bidi="ar-SA"/>
        </w:rPr>
        <w:t>加强采购</w:t>
      </w:r>
      <w:r>
        <w:rPr>
          <w:rFonts w:ascii="仿宋" w:hAnsi="仿宋" w:eastAsia="仿宋" w:cs="仿宋"/>
          <w:snapToGrid w:val="0"/>
          <w:color w:val="auto"/>
          <w:spacing w:val="8"/>
          <w:kern w:val="0"/>
          <w:sz w:val="24"/>
          <w:szCs w:val="24"/>
          <w:highlight w:val="none"/>
          <w:lang w:val="en-US" w:eastAsia="en-US" w:bidi="ar-SA"/>
        </w:rPr>
        <w:t>需求管理，落实预留采购份额、价格评审优惠、优先采购等措施，提高中小企业在政府采购中的份额，支持中小企业发</w:t>
      </w:r>
      <w:r>
        <w:rPr>
          <w:rFonts w:ascii="仿宋" w:hAnsi="仿宋" w:eastAsia="仿宋" w:cs="仿宋"/>
          <w:snapToGrid w:val="0"/>
          <w:color w:val="auto"/>
          <w:spacing w:val="-7"/>
          <w:kern w:val="0"/>
          <w:sz w:val="24"/>
          <w:szCs w:val="24"/>
          <w:highlight w:val="none"/>
          <w:lang w:val="en-US" w:eastAsia="en-US" w:bidi="ar-SA"/>
        </w:rPr>
        <w:t>展。</w:t>
      </w:r>
    </w:p>
    <w:p w14:paraId="7F7243A5">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第四条  </w:t>
      </w:r>
      <w:r>
        <w:rPr>
          <w:rFonts w:ascii="仿宋" w:hAnsi="仿宋" w:eastAsia="仿宋" w:cs="仿宋"/>
          <w:snapToGrid w:val="0"/>
          <w:color w:val="auto"/>
          <w:spacing w:val="5"/>
          <w:kern w:val="0"/>
          <w:sz w:val="24"/>
          <w:szCs w:val="24"/>
          <w:highlight w:val="none"/>
          <w:lang w:val="en-US" w:eastAsia="en-US" w:bidi="ar-SA"/>
        </w:rPr>
        <w:t>在政府采购活动中，供应商提供的货物、工程</w:t>
      </w:r>
      <w:r>
        <w:rPr>
          <w:rFonts w:ascii="仿宋" w:hAnsi="仿宋" w:eastAsia="仿宋" w:cs="仿宋"/>
          <w:snapToGrid w:val="0"/>
          <w:color w:val="auto"/>
          <w:spacing w:val="8"/>
          <w:kern w:val="0"/>
          <w:sz w:val="24"/>
          <w:szCs w:val="24"/>
          <w:highlight w:val="none"/>
          <w:lang w:val="en-US" w:eastAsia="en-US" w:bidi="ar-SA"/>
        </w:rPr>
        <w:t>或者服务符合下列情形的，享受本办法规定的中小企业扶持</w:t>
      </w:r>
      <w:r>
        <w:rPr>
          <w:rFonts w:ascii="仿宋" w:hAnsi="仿宋" w:eastAsia="仿宋" w:cs="仿宋"/>
          <w:snapToGrid w:val="0"/>
          <w:color w:val="auto"/>
          <w:spacing w:val="-2"/>
          <w:kern w:val="0"/>
          <w:sz w:val="24"/>
          <w:szCs w:val="24"/>
          <w:highlight w:val="none"/>
          <w:lang w:val="en-US" w:eastAsia="en-US" w:bidi="ar-SA"/>
        </w:rPr>
        <w:t>政策：</w:t>
      </w:r>
    </w:p>
    <w:p w14:paraId="108E1B21">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both"/>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（一）在货物采购项目中，货物由中小企业制造，即货物由中小企业生产且使用该中小企业商号或者注册商标；</w:t>
      </w:r>
    </w:p>
    <w:p w14:paraId="26DC501E">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both"/>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（二）在工程采购项目中，工程由中小企业承建，即工程施工单位为中小企业；</w:t>
      </w:r>
    </w:p>
    <w:p w14:paraId="32778D28">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（三）在服务采购项目中，服务由中小企业承接，即提供服务的人员为中小企业依照《中华人民共和国劳动合同法》订立劳动合同的从业人员。</w:t>
      </w:r>
    </w:p>
    <w:p w14:paraId="1D4BF216">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在货物采购项目中，供应商提供的货物既有中小企业制造货物，也有大型企业制造货物的，不享受本办法规定的中小企业扶持政策。</w:t>
      </w:r>
    </w:p>
    <w:p w14:paraId="2F58659C">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以联合体形式参加政府采购活动，联合体各方均为中小企业的，联合体视同中小企业。其中，联合体各方</w:t>
      </w:r>
      <w:r>
        <w:rPr>
          <w:rFonts w:ascii="仿宋" w:hAnsi="仿宋" w:eastAsia="仿宋" w:cs="仿宋"/>
          <w:snapToGrid w:val="0"/>
          <w:color w:val="auto"/>
          <w:spacing w:val="8"/>
          <w:kern w:val="0"/>
          <w:sz w:val="24"/>
          <w:szCs w:val="24"/>
          <w:highlight w:val="none"/>
          <w:lang w:val="en-US" w:eastAsia="en-US" w:bidi="ar-SA"/>
        </w:rPr>
        <w:t>均为小微</w:t>
      </w:r>
      <w:r>
        <w:rPr>
          <w:rFonts w:ascii="仿宋" w:hAnsi="仿宋" w:eastAsia="仿宋" w:cs="仿宋"/>
          <w:snapToGrid w:val="0"/>
          <w:color w:val="auto"/>
          <w:spacing w:val="7"/>
          <w:kern w:val="0"/>
          <w:sz w:val="24"/>
          <w:szCs w:val="24"/>
          <w:highlight w:val="none"/>
          <w:lang w:val="en-US" w:eastAsia="en-US" w:bidi="ar-SA"/>
        </w:rPr>
        <w:t>企业的，联合体视同小微企业。</w:t>
      </w:r>
    </w:p>
    <w:p w14:paraId="47DA7A29">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第五条  </w:t>
      </w:r>
      <w:r>
        <w:rPr>
          <w:rFonts w:ascii="仿宋" w:hAnsi="仿宋" w:eastAsia="仿宋" w:cs="仿宋"/>
          <w:snapToGrid w:val="0"/>
          <w:color w:val="auto"/>
          <w:spacing w:val="19"/>
          <w:kern w:val="0"/>
          <w:sz w:val="24"/>
          <w:szCs w:val="24"/>
          <w:highlight w:val="none"/>
          <w:lang w:val="en-US" w:eastAsia="en-US" w:bidi="ar-SA"/>
        </w:rPr>
        <w:t>采购人在政府采购活动中应当合理</w:t>
      </w:r>
      <w:r>
        <w:rPr>
          <w:rFonts w:ascii="仿宋" w:hAnsi="仿宋" w:eastAsia="仿宋" w:cs="仿宋"/>
          <w:snapToGrid w:val="0"/>
          <w:color w:val="auto"/>
          <w:spacing w:val="18"/>
          <w:kern w:val="0"/>
          <w:sz w:val="24"/>
          <w:szCs w:val="24"/>
          <w:highlight w:val="none"/>
          <w:lang w:val="en-US" w:eastAsia="en-US" w:bidi="ar-SA"/>
        </w:rPr>
        <w:t>确定采购</w:t>
      </w:r>
      <w:r>
        <w:rPr>
          <w:rFonts w:ascii="仿宋" w:hAnsi="仿宋" w:eastAsia="仿宋" w:cs="仿宋"/>
          <w:snapToGrid w:val="0"/>
          <w:color w:val="auto"/>
          <w:spacing w:val="8"/>
          <w:kern w:val="0"/>
          <w:sz w:val="24"/>
          <w:szCs w:val="24"/>
          <w:highlight w:val="none"/>
          <w:lang w:val="en-US" w:eastAsia="en-US" w:bidi="ar-SA"/>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D7D0F87">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第六条  </w:t>
      </w:r>
      <w:r>
        <w:rPr>
          <w:rFonts w:ascii="仿宋" w:hAnsi="仿宋" w:eastAsia="仿宋" w:cs="仿宋"/>
          <w:snapToGrid w:val="0"/>
          <w:color w:val="auto"/>
          <w:spacing w:val="19"/>
          <w:kern w:val="0"/>
          <w:sz w:val="24"/>
          <w:szCs w:val="24"/>
          <w:highlight w:val="none"/>
          <w:lang w:val="en-US" w:eastAsia="en-US" w:bidi="ar-SA"/>
        </w:rPr>
        <w:t>主管预算单位应当组织评估本部门</w:t>
      </w:r>
      <w:r>
        <w:rPr>
          <w:rFonts w:ascii="仿宋" w:hAnsi="仿宋" w:eastAsia="仿宋" w:cs="仿宋"/>
          <w:snapToGrid w:val="0"/>
          <w:color w:val="auto"/>
          <w:spacing w:val="18"/>
          <w:kern w:val="0"/>
          <w:sz w:val="24"/>
          <w:szCs w:val="24"/>
          <w:highlight w:val="none"/>
          <w:lang w:val="en-US" w:eastAsia="en-US" w:bidi="ar-SA"/>
        </w:rPr>
        <w:t>及所属单</w:t>
      </w:r>
      <w:r>
        <w:rPr>
          <w:rFonts w:ascii="仿宋" w:hAnsi="仿宋" w:eastAsia="仿宋" w:cs="仿宋"/>
          <w:snapToGrid w:val="0"/>
          <w:color w:val="auto"/>
          <w:spacing w:val="8"/>
          <w:kern w:val="0"/>
          <w:sz w:val="24"/>
          <w:szCs w:val="24"/>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ascii="仿宋" w:hAnsi="仿宋" w:eastAsia="仿宋" w:cs="仿宋"/>
          <w:snapToGrid w:val="0"/>
          <w:color w:val="auto"/>
          <w:spacing w:val="-4"/>
          <w:kern w:val="0"/>
          <w:sz w:val="24"/>
          <w:szCs w:val="24"/>
          <w:highlight w:val="none"/>
          <w:lang w:val="en-US" w:eastAsia="en-US" w:bidi="ar-SA"/>
        </w:rPr>
        <w:t>列示。</w:t>
      </w:r>
    </w:p>
    <w:p w14:paraId="7D8C5E72">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56" w:firstLineChars="200"/>
        <w:jc w:val="left"/>
        <w:textAlignment w:val="baseline"/>
        <w:rPr>
          <w:rFonts w:ascii="仿宋" w:hAnsi="仿宋" w:eastAsia="仿宋" w:cs="仿宋"/>
          <w:snapToGrid w:val="0"/>
          <w:color w:val="auto"/>
          <w:spacing w:val="19"/>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符合下列情形之一的，可不专门面向中小企业预留采购份额：</w:t>
      </w:r>
    </w:p>
    <w:p w14:paraId="217BB284">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56" w:firstLineChars="200"/>
        <w:jc w:val="left"/>
        <w:textAlignment w:val="baseline"/>
        <w:rPr>
          <w:rFonts w:ascii="仿宋" w:hAnsi="仿宋" w:eastAsia="仿宋" w:cs="仿宋"/>
          <w:snapToGrid w:val="0"/>
          <w:color w:val="auto"/>
          <w:spacing w:val="19"/>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（一）法律法规和国家有关政策明确规定优先或者应当面向事业单位、社会组织等非企业主体采购的；</w:t>
      </w:r>
    </w:p>
    <w:p w14:paraId="16DFF43C">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（二）因确需使用不可替代的专利、专有技术，基础设施限制，或者提供特定公共服务等原因，只能从中小企业之外的供应商处采购的；</w:t>
      </w:r>
    </w:p>
    <w:p w14:paraId="102590CE">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（三）按照本办法规定预留采购份额无法确保充分供应、充分竞争，或者存在可能影响政府采购目标实现的情形；</w:t>
      </w:r>
    </w:p>
    <w:p w14:paraId="2DA604BF">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（四）框架协议采购项目；</w:t>
      </w:r>
    </w:p>
    <w:p w14:paraId="10A09BD5">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（五）省级以上人民政府财政部门规定的其他情形。</w:t>
      </w:r>
    </w:p>
    <w:p w14:paraId="0EAB5284">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除上述情形外，其他均为适宜由中小企业提供的情形。</w:t>
      </w:r>
    </w:p>
    <w:p w14:paraId="4457581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8"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7"/>
          <w:kern w:val="0"/>
          <w:sz w:val="24"/>
          <w:szCs w:val="24"/>
          <w:highlight w:val="none"/>
          <w:lang w:val="en-US" w:eastAsia="en-US" w:bidi="ar-SA"/>
        </w:rPr>
        <w:t xml:space="preserve">第七条  </w:t>
      </w:r>
      <w:r>
        <w:rPr>
          <w:rFonts w:ascii="仿宋" w:hAnsi="仿宋" w:eastAsia="仿宋" w:cs="仿宋"/>
          <w:snapToGrid w:val="0"/>
          <w:color w:val="auto"/>
          <w:spacing w:val="7"/>
          <w:kern w:val="0"/>
          <w:sz w:val="24"/>
          <w:szCs w:val="24"/>
          <w:highlight w:val="none"/>
          <w:lang w:val="en-US" w:eastAsia="en-US" w:bidi="ar-SA"/>
        </w:rPr>
        <w:t>采购限额标准以上，200</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7"/>
          <w:kern w:val="0"/>
          <w:sz w:val="24"/>
          <w:szCs w:val="24"/>
          <w:highlight w:val="none"/>
          <w:lang w:val="en-US" w:eastAsia="en-US" w:bidi="ar-SA"/>
        </w:rPr>
        <w:t>万元以下的货物和服</w:t>
      </w:r>
      <w:r>
        <w:rPr>
          <w:rFonts w:ascii="仿宋" w:hAnsi="仿宋" w:eastAsia="仿宋" w:cs="仿宋"/>
          <w:snapToGrid w:val="0"/>
          <w:color w:val="auto"/>
          <w:spacing w:val="9"/>
          <w:kern w:val="0"/>
          <w:sz w:val="24"/>
          <w:szCs w:val="24"/>
          <w:highlight w:val="none"/>
          <w:lang w:val="en-US" w:eastAsia="en-US" w:bidi="ar-SA"/>
        </w:rPr>
        <w:t>务采购项目、400</w:t>
      </w:r>
      <w:r>
        <w:rPr>
          <w:rFonts w:ascii="仿宋" w:hAnsi="仿宋" w:eastAsia="仿宋" w:cs="仿宋"/>
          <w:snapToGrid w:val="0"/>
          <w:color w:val="auto"/>
          <w:spacing w:val="-31"/>
          <w:kern w:val="0"/>
          <w:sz w:val="24"/>
          <w:szCs w:val="24"/>
          <w:highlight w:val="none"/>
          <w:lang w:val="en-US" w:eastAsia="en-US" w:bidi="ar-SA"/>
        </w:rPr>
        <w:t xml:space="preserve"> </w:t>
      </w:r>
      <w:r>
        <w:rPr>
          <w:rFonts w:ascii="仿宋" w:hAnsi="仿宋" w:eastAsia="仿宋" w:cs="仿宋"/>
          <w:snapToGrid w:val="0"/>
          <w:color w:val="auto"/>
          <w:spacing w:val="9"/>
          <w:kern w:val="0"/>
          <w:sz w:val="24"/>
          <w:szCs w:val="24"/>
          <w:highlight w:val="none"/>
          <w:lang w:val="en-US" w:eastAsia="en-US" w:bidi="ar-SA"/>
        </w:rPr>
        <w:t>万元以下的工程采购项目，适宜由中小企</w:t>
      </w:r>
      <w:r>
        <w:rPr>
          <w:rFonts w:ascii="仿宋" w:hAnsi="仿宋" w:eastAsia="仿宋" w:cs="仿宋"/>
          <w:snapToGrid w:val="0"/>
          <w:color w:val="auto"/>
          <w:spacing w:val="8"/>
          <w:kern w:val="0"/>
          <w:sz w:val="24"/>
          <w:szCs w:val="24"/>
          <w:highlight w:val="none"/>
          <w:lang w:val="en-US" w:eastAsia="en-US" w:bidi="ar-SA"/>
        </w:rPr>
        <w:t>业提供的，采购人应当专门面向中小企业采购。</w:t>
      </w:r>
    </w:p>
    <w:p w14:paraId="5A3CB87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4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5"/>
          <w:kern w:val="0"/>
          <w:sz w:val="24"/>
          <w:szCs w:val="24"/>
          <w:highlight w:val="none"/>
          <w:lang w:val="en-US" w:eastAsia="en-US" w:bidi="ar-SA"/>
        </w:rPr>
        <w:t xml:space="preserve">第八条  </w:t>
      </w:r>
      <w:r>
        <w:rPr>
          <w:rFonts w:ascii="仿宋" w:hAnsi="仿宋" w:eastAsia="仿宋" w:cs="仿宋"/>
          <w:snapToGrid w:val="0"/>
          <w:color w:val="auto"/>
          <w:spacing w:val="15"/>
          <w:kern w:val="0"/>
          <w:sz w:val="24"/>
          <w:szCs w:val="24"/>
          <w:highlight w:val="none"/>
          <w:lang w:val="en-US" w:eastAsia="en-US" w:bidi="ar-SA"/>
        </w:rPr>
        <w:t>超过</w:t>
      </w:r>
      <w:r>
        <w:rPr>
          <w:rFonts w:ascii="仿宋" w:hAnsi="仿宋" w:eastAsia="仿宋" w:cs="仿宋"/>
          <w:snapToGrid w:val="0"/>
          <w:color w:val="auto"/>
          <w:spacing w:val="-37"/>
          <w:kern w:val="0"/>
          <w:sz w:val="24"/>
          <w:szCs w:val="24"/>
          <w:highlight w:val="none"/>
          <w:lang w:val="en-US" w:eastAsia="en-US" w:bidi="ar-SA"/>
        </w:rPr>
        <w:t xml:space="preserve"> </w:t>
      </w:r>
      <w:r>
        <w:rPr>
          <w:rFonts w:ascii="仿宋" w:hAnsi="仿宋" w:eastAsia="仿宋" w:cs="仿宋"/>
          <w:snapToGrid w:val="0"/>
          <w:color w:val="auto"/>
          <w:spacing w:val="15"/>
          <w:kern w:val="0"/>
          <w:sz w:val="24"/>
          <w:szCs w:val="24"/>
          <w:highlight w:val="none"/>
          <w:lang w:val="en-US" w:eastAsia="en-US" w:bidi="ar-SA"/>
        </w:rPr>
        <w:t>200</w:t>
      </w:r>
      <w:r>
        <w:rPr>
          <w:rFonts w:ascii="仿宋" w:hAnsi="仿宋" w:eastAsia="仿宋" w:cs="仿宋"/>
          <w:snapToGrid w:val="0"/>
          <w:color w:val="auto"/>
          <w:spacing w:val="-41"/>
          <w:kern w:val="0"/>
          <w:sz w:val="24"/>
          <w:szCs w:val="24"/>
          <w:highlight w:val="none"/>
          <w:lang w:val="en-US" w:eastAsia="en-US" w:bidi="ar-SA"/>
        </w:rPr>
        <w:t xml:space="preserve"> </w:t>
      </w:r>
      <w:r>
        <w:rPr>
          <w:rFonts w:ascii="仿宋" w:hAnsi="仿宋" w:eastAsia="仿宋" w:cs="仿宋"/>
          <w:snapToGrid w:val="0"/>
          <w:color w:val="auto"/>
          <w:spacing w:val="15"/>
          <w:kern w:val="0"/>
          <w:sz w:val="24"/>
          <w:szCs w:val="24"/>
          <w:highlight w:val="none"/>
          <w:lang w:val="en-US" w:eastAsia="en-US" w:bidi="ar-SA"/>
        </w:rPr>
        <w:t>万元的货物和服务采购项目、超过</w:t>
      </w:r>
      <w:r>
        <w:rPr>
          <w:rFonts w:ascii="仿宋" w:hAnsi="仿宋" w:eastAsia="仿宋" w:cs="仿宋"/>
          <w:snapToGrid w:val="0"/>
          <w:color w:val="auto"/>
          <w:spacing w:val="10"/>
          <w:kern w:val="0"/>
          <w:sz w:val="24"/>
          <w:szCs w:val="24"/>
          <w:highlight w:val="none"/>
          <w:lang w:val="en-US" w:eastAsia="en-US" w:bidi="ar-SA"/>
        </w:rPr>
        <w:t>400</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10"/>
          <w:kern w:val="0"/>
          <w:sz w:val="24"/>
          <w:szCs w:val="24"/>
          <w:highlight w:val="none"/>
          <w:lang w:val="en-US" w:eastAsia="en-US" w:bidi="ar-SA"/>
        </w:rPr>
        <w:t>万元的工程采购项目中适宜由中小企业提供的，预留该</w:t>
      </w:r>
      <w:r>
        <w:rPr>
          <w:rFonts w:ascii="仿宋" w:hAnsi="仿宋" w:eastAsia="仿宋" w:cs="仿宋"/>
          <w:snapToGrid w:val="0"/>
          <w:color w:val="auto"/>
          <w:spacing w:val="11"/>
          <w:kern w:val="0"/>
          <w:sz w:val="24"/>
          <w:szCs w:val="24"/>
          <w:highlight w:val="none"/>
          <w:lang w:val="en-US" w:eastAsia="en-US" w:bidi="ar-SA"/>
        </w:rPr>
        <w:t>部分采购项目预算总额的</w:t>
      </w:r>
      <w:r>
        <w:rPr>
          <w:rFonts w:ascii="仿宋" w:hAnsi="仿宋" w:eastAsia="仿宋" w:cs="仿宋"/>
          <w:snapToGrid w:val="0"/>
          <w:color w:val="auto"/>
          <w:spacing w:val="-55"/>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30%以上专门面向</w:t>
      </w:r>
      <w:r>
        <w:rPr>
          <w:rFonts w:ascii="仿宋" w:hAnsi="仿宋" w:eastAsia="仿宋" w:cs="仿宋"/>
          <w:snapToGrid w:val="0"/>
          <w:color w:val="auto"/>
          <w:spacing w:val="10"/>
          <w:kern w:val="0"/>
          <w:sz w:val="24"/>
          <w:szCs w:val="24"/>
          <w:highlight w:val="none"/>
          <w:lang w:val="en-US" w:eastAsia="en-US" w:bidi="ar-SA"/>
        </w:rPr>
        <w:t>中小企业采购，</w:t>
      </w:r>
      <w:r>
        <w:rPr>
          <w:rFonts w:ascii="仿宋" w:hAnsi="仿宋" w:eastAsia="仿宋" w:cs="仿宋"/>
          <w:snapToGrid w:val="0"/>
          <w:color w:val="auto"/>
          <w:spacing w:val="11"/>
          <w:kern w:val="0"/>
          <w:sz w:val="24"/>
          <w:szCs w:val="24"/>
          <w:highlight w:val="none"/>
          <w:lang w:val="en-US" w:eastAsia="en-US" w:bidi="ar-SA"/>
        </w:rPr>
        <w:t>其中预留给小微企业的比例不低于</w:t>
      </w:r>
      <w:r>
        <w:rPr>
          <w:rFonts w:ascii="仿宋" w:hAnsi="仿宋" w:eastAsia="仿宋" w:cs="仿宋"/>
          <w:snapToGrid w:val="0"/>
          <w:color w:val="auto"/>
          <w:spacing w:val="-59"/>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60%。预留份额通</w:t>
      </w:r>
      <w:r>
        <w:rPr>
          <w:rFonts w:ascii="仿宋" w:hAnsi="仿宋" w:eastAsia="仿宋" w:cs="仿宋"/>
          <w:snapToGrid w:val="0"/>
          <w:color w:val="auto"/>
          <w:spacing w:val="10"/>
          <w:kern w:val="0"/>
          <w:sz w:val="24"/>
          <w:szCs w:val="24"/>
          <w:highlight w:val="none"/>
          <w:lang w:val="en-US" w:eastAsia="en-US" w:bidi="ar-SA"/>
        </w:rPr>
        <w:t>过下列</w:t>
      </w:r>
      <w:r>
        <w:rPr>
          <w:rFonts w:ascii="仿宋" w:hAnsi="仿宋" w:eastAsia="仿宋" w:cs="仿宋"/>
          <w:snapToGrid w:val="0"/>
          <w:color w:val="auto"/>
          <w:spacing w:val="3"/>
          <w:kern w:val="0"/>
          <w:sz w:val="24"/>
          <w:szCs w:val="24"/>
          <w:highlight w:val="none"/>
          <w:lang w:val="en-US" w:eastAsia="en-US" w:bidi="ar-SA"/>
        </w:rPr>
        <w:t>措施进行：</w:t>
      </w:r>
    </w:p>
    <w:p w14:paraId="6CC0CCD1">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（一）将采购项目整体或者设置采购包专门面向中小企业采购；</w:t>
      </w:r>
    </w:p>
    <w:p w14:paraId="794BFC98">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（二）要求供应商以联合体形式参加采购活动，且联合体中中小企业承担的部分达到一定比例；</w:t>
      </w:r>
    </w:p>
    <w:p w14:paraId="0CF9DCB5">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（三）要求获得采购合同的供应商将采购项目中的一定比例分包给一家或者多家中小企业。组成联合体或者接受分包合同的中小企业与联合体内其他企业、分包企业之间不得存在直接控股、管理关系。</w:t>
      </w:r>
    </w:p>
    <w:p w14:paraId="768088B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第九条  </w:t>
      </w:r>
      <w:r>
        <w:rPr>
          <w:rFonts w:ascii="仿宋" w:hAnsi="仿宋" w:eastAsia="仿宋" w:cs="仿宋"/>
          <w:snapToGrid w:val="0"/>
          <w:color w:val="auto"/>
          <w:spacing w:val="19"/>
          <w:kern w:val="0"/>
          <w:sz w:val="24"/>
          <w:szCs w:val="24"/>
          <w:highlight w:val="none"/>
          <w:lang w:val="en-US" w:eastAsia="en-US" w:bidi="ar-SA"/>
        </w:rPr>
        <w:t>对于经主管预算单位统筹后未预留</w:t>
      </w:r>
      <w:r>
        <w:rPr>
          <w:rFonts w:ascii="仿宋" w:hAnsi="仿宋" w:eastAsia="仿宋" w:cs="仿宋"/>
          <w:snapToGrid w:val="0"/>
          <w:color w:val="auto"/>
          <w:spacing w:val="18"/>
          <w:kern w:val="0"/>
          <w:sz w:val="24"/>
          <w:szCs w:val="24"/>
          <w:highlight w:val="none"/>
          <w:lang w:val="en-US" w:eastAsia="en-US" w:bidi="ar-SA"/>
        </w:rPr>
        <w:t>份额专门</w:t>
      </w:r>
      <w:r>
        <w:rPr>
          <w:rFonts w:ascii="仿宋" w:hAnsi="仿宋" w:eastAsia="仿宋" w:cs="仿宋"/>
          <w:snapToGrid w:val="0"/>
          <w:color w:val="auto"/>
          <w:spacing w:val="8"/>
          <w:kern w:val="0"/>
          <w:sz w:val="24"/>
          <w:szCs w:val="24"/>
          <w:highlight w:val="none"/>
          <w:lang w:val="en-US" w:eastAsia="en-US" w:bidi="ar-SA"/>
        </w:rPr>
        <w:t>面向中小企业采购的采购项目，以及预留份额项目中的非预留部分采购包，采购人、采购代理机构应当对符合本办法规</w:t>
      </w:r>
      <w:r>
        <w:rPr>
          <w:rFonts w:ascii="仿宋" w:hAnsi="仿宋" w:eastAsia="仿宋" w:cs="仿宋"/>
          <w:snapToGrid w:val="0"/>
          <w:color w:val="auto"/>
          <w:spacing w:val="5"/>
          <w:kern w:val="0"/>
          <w:sz w:val="24"/>
          <w:szCs w:val="24"/>
          <w:highlight w:val="none"/>
          <w:lang w:val="en-US" w:eastAsia="en-US" w:bidi="ar-SA"/>
        </w:rPr>
        <w:t>定的小微企业报价给予</w:t>
      </w:r>
      <w:r>
        <w:rPr>
          <w:rFonts w:ascii="仿宋" w:hAnsi="仿宋" w:eastAsia="仿宋" w:cs="仿宋"/>
          <w:snapToGrid w:val="0"/>
          <w:color w:val="auto"/>
          <w:spacing w:val="-59"/>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6%—</w:t>
      </w:r>
      <w:r>
        <w:rPr>
          <w:rFonts w:ascii="仿宋" w:hAnsi="仿宋" w:eastAsia="仿宋" w:cs="仿宋"/>
          <w:snapToGrid w:val="0"/>
          <w:color w:val="auto"/>
          <w:spacing w:val="-121"/>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10%（工程项</w:t>
      </w:r>
      <w:r>
        <w:rPr>
          <w:rFonts w:ascii="仿宋" w:hAnsi="仿宋" w:eastAsia="仿宋" w:cs="仿宋"/>
          <w:snapToGrid w:val="0"/>
          <w:color w:val="auto"/>
          <w:spacing w:val="4"/>
          <w:kern w:val="0"/>
          <w:sz w:val="24"/>
          <w:szCs w:val="24"/>
          <w:highlight w:val="none"/>
          <w:lang w:val="en-US" w:eastAsia="en-US" w:bidi="ar-SA"/>
        </w:rPr>
        <w:t>目为3%—5%）的扣</w:t>
      </w:r>
      <w:r>
        <w:rPr>
          <w:rFonts w:ascii="仿宋" w:hAnsi="仿宋" w:eastAsia="仿宋" w:cs="仿宋"/>
          <w:snapToGrid w:val="0"/>
          <w:color w:val="auto"/>
          <w:spacing w:val="8"/>
          <w:kern w:val="0"/>
          <w:sz w:val="24"/>
          <w:szCs w:val="24"/>
          <w:highlight w:val="none"/>
          <w:lang w:val="en-US" w:eastAsia="en-US" w:bidi="ar-SA"/>
        </w:rPr>
        <w:t>除，用扣除后的价格参加评审。适用招标投标法的政府采购</w:t>
      </w:r>
      <w:r>
        <w:rPr>
          <w:rFonts w:ascii="仿宋" w:hAnsi="仿宋" w:eastAsia="仿宋" w:cs="仿宋"/>
          <w:snapToGrid w:val="0"/>
          <w:color w:val="auto"/>
          <w:spacing w:val="1"/>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工程建设项目，采用综合评估法但未采用低价优先法计算价格分的，评标时应当在采用原报价进行评分的基础上增加其</w:t>
      </w:r>
      <w:r>
        <w:rPr>
          <w:rFonts w:ascii="仿宋" w:hAnsi="仿宋" w:eastAsia="仿宋" w:cs="仿宋"/>
          <w:snapToGrid w:val="0"/>
          <w:color w:val="auto"/>
          <w:spacing w:val="5"/>
          <w:kern w:val="0"/>
          <w:sz w:val="24"/>
          <w:szCs w:val="24"/>
          <w:highlight w:val="none"/>
          <w:lang w:val="en-US" w:eastAsia="en-US" w:bidi="ar-SA"/>
        </w:rPr>
        <w:t>价格得分的</w:t>
      </w:r>
      <w:r>
        <w:rPr>
          <w:rFonts w:ascii="仿宋" w:hAnsi="仿宋" w:eastAsia="仿宋" w:cs="仿宋"/>
          <w:snapToGrid w:val="0"/>
          <w:color w:val="auto"/>
          <w:spacing w:val="-44"/>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3%—5%作为其价格分。</w:t>
      </w:r>
    </w:p>
    <w:p w14:paraId="71D6F992">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10"/>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接受大中型企业与小微企业组成联合体或者允许大中</w:t>
      </w:r>
      <w:r>
        <w:rPr>
          <w:rFonts w:ascii="仿宋" w:hAnsi="仿宋" w:eastAsia="仿宋" w:cs="仿宋"/>
          <w:snapToGrid w:val="0"/>
          <w:color w:val="auto"/>
          <w:spacing w:val="8"/>
          <w:kern w:val="0"/>
          <w:sz w:val="24"/>
          <w:szCs w:val="24"/>
          <w:highlight w:val="none"/>
          <w:lang w:val="en-US" w:eastAsia="en-US" w:bidi="ar-SA"/>
        </w:rPr>
        <w:t>型企业向一家或者多家小微企业分包的采购项目，对于联合</w:t>
      </w:r>
      <w:r>
        <w:rPr>
          <w:rFonts w:ascii="仿宋" w:hAnsi="仿宋" w:eastAsia="仿宋" w:cs="仿宋"/>
          <w:snapToGrid w:val="0"/>
          <w:color w:val="auto"/>
          <w:spacing w:val="21"/>
          <w:kern w:val="0"/>
          <w:sz w:val="24"/>
          <w:szCs w:val="24"/>
          <w:highlight w:val="none"/>
          <w:lang w:val="en-US" w:eastAsia="en-US" w:bidi="ar-SA"/>
        </w:rPr>
        <w:t>协议或者分包意向协议约定小微企业的合同份额占到合同</w:t>
      </w:r>
      <w:r>
        <w:rPr>
          <w:rFonts w:ascii="仿宋" w:hAnsi="仿宋" w:eastAsia="仿宋" w:cs="仿宋"/>
          <w:snapToGrid w:val="0"/>
          <w:color w:val="auto"/>
          <w:spacing w:val="10"/>
          <w:kern w:val="0"/>
          <w:sz w:val="24"/>
          <w:szCs w:val="24"/>
          <w:highlight w:val="none"/>
          <w:lang w:val="en-US" w:eastAsia="en-US" w:bidi="ar-SA"/>
        </w:rPr>
        <w:t>总金额</w:t>
      </w:r>
      <w:r>
        <w:rPr>
          <w:rFonts w:ascii="仿宋" w:hAnsi="仿宋" w:eastAsia="仿宋" w:cs="仿宋"/>
          <w:snapToGrid w:val="0"/>
          <w:color w:val="auto"/>
          <w:spacing w:val="-45"/>
          <w:kern w:val="0"/>
          <w:sz w:val="24"/>
          <w:szCs w:val="24"/>
          <w:highlight w:val="none"/>
          <w:lang w:val="en-US" w:eastAsia="en-US" w:bidi="ar-SA"/>
        </w:rPr>
        <w:t xml:space="preserve"> </w:t>
      </w:r>
      <w:r>
        <w:rPr>
          <w:rFonts w:ascii="仿宋" w:hAnsi="仿宋" w:eastAsia="仿宋" w:cs="仿宋"/>
          <w:snapToGrid w:val="0"/>
          <w:color w:val="auto"/>
          <w:spacing w:val="10"/>
          <w:kern w:val="0"/>
          <w:sz w:val="24"/>
          <w:szCs w:val="24"/>
          <w:highlight w:val="none"/>
          <w:lang w:val="en-US" w:eastAsia="en-US" w:bidi="ar-SA"/>
        </w:rPr>
        <w:t>30%以上的，采购人、采购代理机构应当对联合体或</w:t>
      </w:r>
      <w:r>
        <w:rPr>
          <w:rFonts w:ascii="仿宋" w:hAnsi="仿宋" w:eastAsia="仿宋" w:cs="仿宋"/>
          <w:snapToGrid w:val="0"/>
          <w:color w:val="auto"/>
          <w:spacing w:val="5"/>
          <w:kern w:val="0"/>
          <w:sz w:val="24"/>
          <w:szCs w:val="24"/>
          <w:highlight w:val="none"/>
          <w:lang w:val="en-US" w:eastAsia="en-US" w:bidi="ar-SA"/>
        </w:rPr>
        <w:t>者大中型企业的报价给予</w:t>
      </w:r>
      <w:r>
        <w:rPr>
          <w:rFonts w:ascii="仿宋" w:hAnsi="仿宋" w:eastAsia="仿宋" w:cs="仿宋"/>
          <w:snapToGrid w:val="0"/>
          <w:color w:val="auto"/>
          <w:spacing w:val="-44"/>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2%-3%（工程项目为</w:t>
      </w:r>
      <w:r>
        <w:rPr>
          <w:rFonts w:ascii="仿宋" w:hAnsi="仿宋" w:eastAsia="仿宋" w:cs="仿宋"/>
          <w:snapToGrid w:val="0"/>
          <w:color w:val="auto"/>
          <w:spacing w:val="-39"/>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1%—2%）的扣</w:t>
      </w:r>
      <w:r>
        <w:rPr>
          <w:rFonts w:ascii="仿宋" w:hAnsi="仿宋" w:eastAsia="仿宋" w:cs="仿宋"/>
          <w:snapToGrid w:val="0"/>
          <w:color w:val="auto"/>
          <w:spacing w:val="8"/>
          <w:kern w:val="0"/>
          <w:sz w:val="24"/>
          <w:szCs w:val="24"/>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ascii="仿宋" w:hAnsi="仿宋" w:eastAsia="仿宋" w:cs="仿宋"/>
          <w:snapToGrid w:val="0"/>
          <w:color w:val="auto"/>
          <w:spacing w:val="4"/>
          <w:kern w:val="0"/>
          <w:sz w:val="24"/>
          <w:szCs w:val="24"/>
          <w:highlight w:val="none"/>
          <w:lang w:val="en-US" w:eastAsia="en-US" w:bidi="ar-SA"/>
        </w:rPr>
        <w:t>价格得分的</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4"/>
          <w:kern w:val="0"/>
          <w:sz w:val="24"/>
          <w:szCs w:val="24"/>
          <w:highlight w:val="none"/>
          <w:lang w:val="en-US" w:eastAsia="en-US" w:bidi="ar-SA"/>
        </w:rPr>
        <w:t>1%—2%作为其价格分。组成联合</w:t>
      </w:r>
      <w:r>
        <w:rPr>
          <w:rFonts w:ascii="仿宋" w:hAnsi="仿宋" w:eastAsia="仿宋" w:cs="仿宋"/>
          <w:snapToGrid w:val="0"/>
          <w:color w:val="auto"/>
          <w:spacing w:val="3"/>
          <w:kern w:val="0"/>
          <w:sz w:val="24"/>
          <w:szCs w:val="24"/>
          <w:highlight w:val="none"/>
          <w:lang w:val="en-US" w:eastAsia="en-US" w:bidi="ar-SA"/>
        </w:rPr>
        <w:t>体或者接受分包</w:t>
      </w:r>
      <w:r>
        <w:rPr>
          <w:rFonts w:ascii="仿宋" w:hAnsi="仿宋" w:eastAsia="仿宋" w:cs="仿宋"/>
          <w:snapToGrid w:val="0"/>
          <w:color w:val="auto"/>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的小微企业与联合体内其他企业、分包企业之间存在直接控股、管理关系的，不享受价格扣除优惠政策。</w:t>
      </w:r>
    </w:p>
    <w:p w14:paraId="3AD25BF5">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08"/>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价格扣除比例或者价格分加分比例对小型企业和微型</w:t>
      </w:r>
      <w:r>
        <w:rPr>
          <w:rFonts w:ascii="仿宋" w:hAnsi="仿宋" w:eastAsia="仿宋" w:cs="仿宋"/>
          <w:snapToGrid w:val="0"/>
          <w:color w:val="auto"/>
          <w:spacing w:val="8"/>
          <w:kern w:val="0"/>
          <w:sz w:val="24"/>
          <w:szCs w:val="24"/>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2C66029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第十条  </w:t>
      </w:r>
      <w:r>
        <w:rPr>
          <w:rFonts w:ascii="仿宋" w:hAnsi="仿宋" w:eastAsia="仿宋" w:cs="仿宋"/>
          <w:snapToGrid w:val="0"/>
          <w:color w:val="auto"/>
          <w:spacing w:val="19"/>
          <w:kern w:val="0"/>
          <w:sz w:val="24"/>
          <w:szCs w:val="24"/>
          <w:highlight w:val="none"/>
          <w:lang w:val="en-US" w:eastAsia="en-US" w:bidi="ar-SA"/>
        </w:rPr>
        <w:t>采购人应当严格按照本办法规定和</w:t>
      </w:r>
      <w:r>
        <w:rPr>
          <w:rFonts w:ascii="仿宋" w:hAnsi="仿宋" w:eastAsia="仿宋" w:cs="仿宋"/>
          <w:snapToGrid w:val="0"/>
          <w:color w:val="auto"/>
          <w:spacing w:val="18"/>
          <w:kern w:val="0"/>
          <w:sz w:val="24"/>
          <w:szCs w:val="24"/>
          <w:highlight w:val="none"/>
          <w:lang w:val="en-US" w:eastAsia="en-US" w:bidi="ar-SA"/>
        </w:rPr>
        <w:t>主管预算</w:t>
      </w:r>
      <w:r>
        <w:rPr>
          <w:rFonts w:ascii="仿宋" w:hAnsi="仿宋" w:eastAsia="仿宋" w:cs="仿宋"/>
          <w:snapToGrid w:val="0"/>
          <w:color w:val="auto"/>
          <w:spacing w:val="8"/>
          <w:kern w:val="0"/>
          <w:sz w:val="24"/>
          <w:szCs w:val="24"/>
          <w:highlight w:val="none"/>
          <w:lang w:val="en-US" w:eastAsia="en-US" w:bidi="ar-SA"/>
        </w:rPr>
        <w:t>单位制定的预留采购份额具体方案开展采购活动。预留份额的采购项目或者采购包，通过发布公告方式邀请供应商后，</w:t>
      </w:r>
      <w:r>
        <w:rPr>
          <w:rFonts w:ascii="仿宋" w:hAnsi="仿宋" w:eastAsia="仿宋" w:cs="仿宋"/>
          <w:snapToGrid w:val="0"/>
          <w:color w:val="auto"/>
          <w:spacing w:val="6"/>
          <w:kern w:val="0"/>
          <w:sz w:val="24"/>
          <w:szCs w:val="24"/>
          <w:highlight w:val="none"/>
          <w:lang w:val="en-US" w:eastAsia="en-US" w:bidi="ar-SA"/>
        </w:rPr>
        <w:t>符合资格条件的中小企业数量不足</w:t>
      </w:r>
      <w:r>
        <w:rPr>
          <w:rFonts w:ascii="仿宋" w:hAnsi="仿宋" w:eastAsia="仿宋" w:cs="仿宋"/>
          <w:snapToGrid w:val="0"/>
          <w:color w:val="auto"/>
          <w:spacing w:val="-47"/>
          <w:kern w:val="0"/>
          <w:sz w:val="24"/>
          <w:szCs w:val="24"/>
          <w:highlight w:val="none"/>
          <w:lang w:val="en-US" w:eastAsia="en-US" w:bidi="ar-SA"/>
        </w:rPr>
        <w:t xml:space="preserve"> </w:t>
      </w:r>
      <w:r>
        <w:rPr>
          <w:rFonts w:ascii="仿宋" w:hAnsi="仿宋" w:eastAsia="仿宋" w:cs="仿宋"/>
          <w:snapToGrid w:val="0"/>
          <w:color w:val="auto"/>
          <w:spacing w:val="6"/>
          <w:kern w:val="0"/>
          <w:sz w:val="24"/>
          <w:szCs w:val="24"/>
          <w:highlight w:val="none"/>
          <w:lang w:val="en-US" w:eastAsia="en-US" w:bidi="ar-SA"/>
        </w:rPr>
        <w:t>3</w:t>
      </w:r>
      <w:r>
        <w:rPr>
          <w:rFonts w:ascii="仿宋" w:hAnsi="仿宋" w:eastAsia="仿宋" w:cs="仿宋"/>
          <w:snapToGrid w:val="0"/>
          <w:color w:val="auto"/>
          <w:spacing w:val="-49"/>
          <w:kern w:val="0"/>
          <w:sz w:val="24"/>
          <w:szCs w:val="24"/>
          <w:highlight w:val="none"/>
          <w:lang w:val="en-US" w:eastAsia="en-US" w:bidi="ar-SA"/>
        </w:rPr>
        <w:t xml:space="preserve"> </w:t>
      </w:r>
      <w:r>
        <w:rPr>
          <w:rFonts w:ascii="仿宋" w:hAnsi="仿宋" w:eastAsia="仿宋" w:cs="仿宋"/>
          <w:snapToGrid w:val="0"/>
          <w:color w:val="auto"/>
          <w:spacing w:val="6"/>
          <w:kern w:val="0"/>
          <w:sz w:val="24"/>
          <w:szCs w:val="24"/>
          <w:highlight w:val="none"/>
          <w:lang w:val="en-US" w:eastAsia="en-US" w:bidi="ar-SA"/>
        </w:rPr>
        <w:t>家的，应当中止采购活</w:t>
      </w:r>
      <w:r>
        <w:rPr>
          <w:rFonts w:ascii="仿宋" w:hAnsi="仿宋" w:eastAsia="仿宋" w:cs="仿宋"/>
          <w:snapToGrid w:val="0"/>
          <w:color w:val="auto"/>
          <w:spacing w:val="8"/>
          <w:kern w:val="0"/>
          <w:sz w:val="24"/>
          <w:szCs w:val="24"/>
          <w:highlight w:val="none"/>
          <w:lang w:val="en-US" w:eastAsia="en-US" w:bidi="ar-SA"/>
        </w:rPr>
        <w:t>动，视同未预留份额的采购项目或者采购包，按照本办法第</w:t>
      </w:r>
      <w:r>
        <w:rPr>
          <w:rFonts w:ascii="仿宋" w:hAnsi="仿宋" w:eastAsia="仿宋" w:cs="仿宋"/>
          <w:snapToGrid w:val="0"/>
          <w:color w:val="auto"/>
          <w:spacing w:val="7"/>
          <w:kern w:val="0"/>
          <w:sz w:val="24"/>
          <w:szCs w:val="24"/>
          <w:highlight w:val="none"/>
          <w:lang w:val="en-US" w:eastAsia="en-US" w:bidi="ar-SA"/>
        </w:rPr>
        <w:t>九条有关规定重新组织采购活动。</w:t>
      </w:r>
    </w:p>
    <w:p w14:paraId="418C1E1E">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492"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第十一条</w:t>
      </w:r>
      <w:r>
        <w:rPr>
          <w:rFonts w:ascii="黑体" w:hAnsi="黑体" w:eastAsia="黑体" w:cs="黑体"/>
          <w:snapToGrid w:val="0"/>
          <w:color w:val="auto"/>
          <w:spacing w:val="37"/>
          <w:kern w:val="0"/>
          <w:sz w:val="24"/>
          <w:szCs w:val="24"/>
          <w:highlight w:val="none"/>
          <w:lang w:val="en-US" w:eastAsia="en-US" w:bidi="ar-SA"/>
        </w:rPr>
        <w:t xml:space="preserve">  </w:t>
      </w:r>
      <w:r>
        <w:rPr>
          <w:rFonts w:ascii="仿宋" w:hAnsi="仿宋" w:eastAsia="仿宋" w:cs="仿宋"/>
          <w:snapToGrid w:val="0"/>
          <w:color w:val="auto"/>
          <w:spacing w:val="3"/>
          <w:kern w:val="0"/>
          <w:sz w:val="24"/>
          <w:szCs w:val="24"/>
          <w:highlight w:val="none"/>
          <w:lang w:val="en-US" w:eastAsia="en-US" w:bidi="ar-SA"/>
        </w:rPr>
        <w:t>中小企业参加政府采购活动，应当出具本办</w:t>
      </w:r>
      <w:r>
        <w:rPr>
          <w:rFonts w:ascii="仿宋" w:hAnsi="仿宋" w:eastAsia="仿宋" w:cs="仿宋"/>
          <w:snapToGrid w:val="0"/>
          <w:color w:val="auto"/>
          <w:spacing w:val="2"/>
          <w:kern w:val="0"/>
          <w:sz w:val="24"/>
          <w:szCs w:val="24"/>
          <w:highlight w:val="none"/>
          <w:lang w:val="en-US" w:eastAsia="en-US" w:bidi="ar-SA"/>
        </w:rPr>
        <w:t>法规定的《中小企业声明函》（附</w:t>
      </w:r>
      <w:r>
        <w:rPr>
          <w:rFonts w:ascii="仿宋" w:hAnsi="仿宋" w:eastAsia="仿宋" w:cs="仿宋"/>
          <w:snapToGrid w:val="0"/>
          <w:color w:val="auto"/>
          <w:spacing w:val="-36"/>
          <w:kern w:val="0"/>
          <w:sz w:val="24"/>
          <w:szCs w:val="24"/>
          <w:highlight w:val="none"/>
          <w:lang w:val="en-US" w:eastAsia="en-US" w:bidi="ar-SA"/>
        </w:rPr>
        <w:t xml:space="preserve"> </w:t>
      </w:r>
      <w:r>
        <w:rPr>
          <w:rFonts w:ascii="仿宋" w:hAnsi="仿宋" w:eastAsia="仿宋" w:cs="仿宋"/>
          <w:snapToGrid w:val="0"/>
          <w:color w:val="auto"/>
          <w:spacing w:val="2"/>
          <w:kern w:val="0"/>
          <w:sz w:val="24"/>
          <w:szCs w:val="24"/>
          <w:highlight w:val="none"/>
          <w:lang w:val="en-US" w:eastAsia="en-US" w:bidi="ar-SA"/>
        </w:rPr>
        <w:t>1</w:t>
      </w:r>
      <w:r>
        <w:rPr>
          <w:rFonts w:ascii="仿宋" w:hAnsi="仿宋" w:eastAsia="仿宋" w:cs="仿宋"/>
          <w:snapToGrid w:val="0"/>
          <w:color w:val="auto"/>
          <w:spacing w:val="-50"/>
          <w:kern w:val="0"/>
          <w:sz w:val="24"/>
          <w:szCs w:val="24"/>
          <w:highlight w:val="none"/>
          <w:lang w:val="en-US" w:eastAsia="en-US" w:bidi="ar-SA"/>
        </w:rPr>
        <w:t>），</w:t>
      </w:r>
      <w:r>
        <w:rPr>
          <w:rFonts w:ascii="仿宋" w:hAnsi="仿宋" w:eastAsia="仿宋" w:cs="仿宋"/>
          <w:snapToGrid w:val="0"/>
          <w:color w:val="auto"/>
          <w:spacing w:val="2"/>
          <w:kern w:val="0"/>
          <w:sz w:val="24"/>
          <w:szCs w:val="24"/>
          <w:highlight w:val="none"/>
          <w:lang w:val="en-US" w:eastAsia="en-US" w:bidi="ar-SA"/>
        </w:rPr>
        <w:t>否则不得享受相关中</w:t>
      </w:r>
      <w:r>
        <w:rPr>
          <w:rFonts w:ascii="仿宋" w:hAnsi="仿宋" w:eastAsia="仿宋" w:cs="仿宋"/>
          <w:snapToGrid w:val="0"/>
          <w:color w:val="auto"/>
          <w:spacing w:val="8"/>
          <w:kern w:val="0"/>
          <w:sz w:val="24"/>
          <w:szCs w:val="24"/>
          <w:highlight w:val="none"/>
          <w:lang w:val="en-US" w:eastAsia="en-US" w:bidi="ar-SA"/>
        </w:rPr>
        <w:t>小企业扶持政策。任何单位和个人不得要求供应商提供《中小企业声明函》之外的中小企业身份证明文件。</w:t>
      </w:r>
    </w:p>
    <w:p w14:paraId="4E6AD6E0">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right="0" w:rightChars="0" w:firstLine="492" w:firstLineChars="200"/>
        <w:jc w:val="left"/>
        <w:textAlignment w:val="baseline"/>
        <w:rPr>
          <w:rFonts w:ascii="仿宋" w:hAnsi="仿宋" w:eastAsia="仿宋" w:cs="仿宋"/>
          <w:snapToGrid w:val="0"/>
          <w:color w:val="auto"/>
          <w:spacing w:val="2"/>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 xml:space="preserve">第十二条  </w:t>
      </w:r>
      <w:r>
        <w:rPr>
          <w:rFonts w:ascii="仿宋" w:hAnsi="仿宋" w:eastAsia="仿宋" w:cs="仿宋"/>
          <w:snapToGrid w:val="0"/>
          <w:color w:val="auto"/>
          <w:spacing w:val="2"/>
          <w:kern w:val="0"/>
          <w:sz w:val="24"/>
          <w:szCs w:val="24"/>
          <w:highlight w:val="none"/>
          <w:lang w:val="en-US" w:eastAsia="en-US" w:bidi="ar-SA"/>
        </w:rPr>
        <w:t>采购项目涉及中小企业采购的，采购文件应当明确以下内容：</w:t>
      </w:r>
    </w:p>
    <w:p w14:paraId="072E9CCB">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（一）预留份额的采购项目或者采购包，明确该项目或</w:t>
      </w:r>
      <w:r>
        <w:rPr>
          <w:rFonts w:ascii="仿宋" w:hAnsi="仿宋" w:eastAsia="仿宋" w:cs="仿宋"/>
          <w:snapToGrid w:val="0"/>
          <w:color w:val="auto"/>
          <w:spacing w:val="11"/>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相关采购包专门面向中小企业采购，以及相关标的及预算金</w:t>
      </w:r>
      <w:r>
        <w:rPr>
          <w:rFonts w:ascii="仿宋" w:hAnsi="仿宋" w:eastAsia="仿宋" w:cs="仿宋"/>
          <w:snapToGrid w:val="0"/>
          <w:color w:val="auto"/>
          <w:spacing w:val="-6"/>
          <w:kern w:val="0"/>
          <w:sz w:val="24"/>
          <w:szCs w:val="24"/>
          <w:highlight w:val="none"/>
          <w:lang w:val="en-US" w:eastAsia="en-US" w:bidi="ar-SA"/>
        </w:rPr>
        <w:t>额；</w:t>
      </w:r>
    </w:p>
    <w:p w14:paraId="653E3ED8">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（二）要求以联合体形式参加或者合同分包的，明确联 合协议或者分包意向协议中中小企业合同金额应当达到的比例，并作为供应商资格条件；</w:t>
      </w:r>
    </w:p>
    <w:p w14:paraId="79DBFC09">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（三）非预留份额的采购项目或者采购包，明确有关价格扣除比例或者价格分加分比例；</w:t>
      </w:r>
    </w:p>
    <w:p w14:paraId="4B8EECD0">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（四）规定依据本办法规定享受扶持政策获得政府采购合同的，小微企业不得将合同分包给大中型企业，中型企业不得将合同分包给大型企业；</w:t>
      </w:r>
    </w:p>
    <w:p w14:paraId="44F4778F">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（五）采购人认为具备相关条件的，明确对中小企业在资金支付期限、预付款比例等方面的优惠措施；</w:t>
      </w:r>
    </w:p>
    <w:p w14:paraId="0D28C50D">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（六）明确采购标的对应的中小企业划分标准所属行业；</w:t>
      </w:r>
    </w:p>
    <w:p w14:paraId="6CC5346C">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（七）法律法规和省级以上人民政府财政部门规定的其他事项。</w:t>
      </w:r>
    </w:p>
    <w:p w14:paraId="709284E8">
      <w:pPr>
        <w:keepNext w:val="0"/>
        <w:keepLines w:val="0"/>
        <w:pageBreakBefore w:val="0"/>
        <w:kinsoku w:val="0"/>
        <w:wordWrap/>
        <w:overflowPunct/>
        <w:topLinePunct w:val="0"/>
        <w:autoSpaceDE w:val="0"/>
        <w:autoSpaceDN w:val="0"/>
        <w:bidi w:val="0"/>
        <w:adjustRightInd w:val="0"/>
        <w:snapToGrid w:val="0"/>
        <w:spacing w:line="560" w:lineRule="exact"/>
        <w:ind w:right="0" w:rightChars="0" w:firstLine="492"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第十三条</w:t>
      </w:r>
      <w:r>
        <w:rPr>
          <w:rFonts w:ascii="黑体" w:hAnsi="黑体" w:eastAsia="黑体" w:cs="黑体"/>
          <w:snapToGrid w:val="0"/>
          <w:color w:val="auto"/>
          <w:spacing w:val="36"/>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中标、成交供应商享受本办法规定的中小企业扶持政策的，采购人、采购代理机构应当随中标、成交结果公开中标、成交供应商的《中小企业声明函》。</w:t>
      </w:r>
    </w:p>
    <w:p w14:paraId="753BEEB9">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703"/>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适用招标投标法的政府采购工程建设项目，应当在公示中标候选人时公开中标候选</w:t>
      </w:r>
      <w:r>
        <w:rPr>
          <w:rFonts w:ascii="仿宋" w:hAnsi="仿宋" w:eastAsia="仿宋" w:cs="仿宋"/>
          <w:snapToGrid w:val="0"/>
          <w:color w:val="auto"/>
          <w:spacing w:val="2"/>
          <w:kern w:val="0"/>
          <w:sz w:val="24"/>
          <w:szCs w:val="24"/>
          <w:highlight w:val="none"/>
          <w:lang w:val="en-US" w:eastAsia="en-US" w:bidi="ar-SA"/>
        </w:rPr>
        <w:t>人的《中小企业声明函》。</w:t>
      </w:r>
    </w:p>
    <w:p w14:paraId="3DCDD47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4"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6"/>
          <w:kern w:val="0"/>
          <w:sz w:val="24"/>
          <w:szCs w:val="24"/>
          <w:highlight w:val="none"/>
          <w:lang w:val="en-US" w:eastAsia="en-US" w:bidi="ar-SA"/>
        </w:rPr>
        <w:t xml:space="preserve">第十四条  </w:t>
      </w:r>
      <w:r>
        <w:rPr>
          <w:rFonts w:ascii="仿宋" w:hAnsi="仿宋" w:eastAsia="仿宋" w:cs="仿宋"/>
          <w:snapToGrid w:val="0"/>
          <w:color w:val="auto"/>
          <w:spacing w:val="6"/>
          <w:kern w:val="0"/>
          <w:sz w:val="24"/>
          <w:szCs w:val="24"/>
          <w:highlight w:val="none"/>
          <w:lang w:val="en-US" w:eastAsia="en-US" w:bidi="ar-SA"/>
        </w:rPr>
        <w:t>对于通过预留采购项目、预留专门采购包、</w:t>
      </w:r>
      <w:r>
        <w:rPr>
          <w:rFonts w:ascii="仿宋" w:hAnsi="仿宋" w:eastAsia="仿宋" w:cs="仿宋"/>
          <w:snapToGrid w:val="0"/>
          <w:color w:val="auto"/>
          <w:spacing w:val="21"/>
          <w:kern w:val="0"/>
          <w:sz w:val="24"/>
          <w:szCs w:val="24"/>
          <w:highlight w:val="none"/>
          <w:lang w:val="en-US" w:eastAsia="en-US" w:bidi="ar-SA"/>
        </w:rPr>
        <w:t>要求以联合体形式参加或者合同分包等措施签订的采购合</w:t>
      </w:r>
      <w:r>
        <w:rPr>
          <w:rFonts w:ascii="仿宋" w:hAnsi="仿宋" w:eastAsia="仿宋" w:cs="仿宋"/>
          <w:snapToGrid w:val="0"/>
          <w:color w:val="auto"/>
          <w:spacing w:val="8"/>
          <w:kern w:val="0"/>
          <w:sz w:val="24"/>
          <w:szCs w:val="24"/>
          <w:highlight w:val="none"/>
          <w:lang w:val="en-US" w:eastAsia="en-US" w:bidi="ar-SA"/>
        </w:rPr>
        <w:t>同，应当明确标注本合同为中小企业预留合同。其中，要求以联合体形式参加采购活动或者合同分包的，应当将联合协议或者分包意向协议作为采购合同的组成部分。</w:t>
      </w:r>
    </w:p>
    <w:p w14:paraId="7198E9B3">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第十五条  </w:t>
      </w:r>
      <w:r>
        <w:rPr>
          <w:rFonts w:ascii="仿宋" w:hAnsi="仿宋" w:eastAsia="仿宋" w:cs="仿宋"/>
          <w:snapToGrid w:val="0"/>
          <w:color w:val="auto"/>
          <w:spacing w:val="5"/>
          <w:kern w:val="0"/>
          <w:sz w:val="24"/>
          <w:szCs w:val="24"/>
          <w:highlight w:val="none"/>
          <w:lang w:val="en-US" w:eastAsia="en-US" w:bidi="ar-SA"/>
        </w:rPr>
        <w:t>鼓励各地区、各部门在采购活动中允许中小</w:t>
      </w:r>
      <w:r>
        <w:rPr>
          <w:rFonts w:ascii="仿宋" w:hAnsi="仿宋" w:eastAsia="仿宋" w:cs="仿宋"/>
          <w:snapToGrid w:val="0"/>
          <w:color w:val="auto"/>
          <w:spacing w:val="8"/>
          <w:kern w:val="0"/>
          <w:sz w:val="24"/>
          <w:szCs w:val="24"/>
          <w:highlight w:val="none"/>
          <w:lang w:val="en-US" w:eastAsia="en-US" w:bidi="ar-SA"/>
        </w:rPr>
        <w:t>企业引入信用担保手段，为中小企业在投标（响应）保证、履约保证等方面提供专业化服务。鼓励中小企业依法合规通</w:t>
      </w:r>
      <w:r>
        <w:rPr>
          <w:rFonts w:ascii="仿宋" w:hAnsi="仿宋" w:eastAsia="仿宋" w:cs="仿宋"/>
          <w:snapToGrid w:val="0"/>
          <w:color w:val="auto"/>
          <w:spacing w:val="6"/>
          <w:kern w:val="0"/>
          <w:sz w:val="24"/>
          <w:szCs w:val="24"/>
          <w:highlight w:val="none"/>
          <w:lang w:val="en-US" w:eastAsia="en-US" w:bidi="ar-SA"/>
        </w:rPr>
        <w:t>过政府采购合同融资。</w:t>
      </w:r>
    </w:p>
    <w:p w14:paraId="32347558">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第十六条  </w:t>
      </w:r>
      <w:r>
        <w:rPr>
          <w:rFonts w:ascii="仿宋" w:hAnsi="仿宋" w:eastAsia="仿宋" w:cs="仿宋"/>
          <w:snapToGrid w:val="0"/>
          <w:color w:val="auto"/>
          <w:spacing w:val="5"/>
          <w:kern w:val="0"/>
          <w:sz w:val="24"/>
          <w:szCs w:val="24"/>
          <w:highlight w:val="none"/>
          <w:lang w:val="en-US" w:eastAsia="en-US" w:bidi="ar-SA"/>
        </w:rPr>
        <w:t>政府采购监督检查、投诉处理及政府采购行</w:t>
      </w:r>
      <w:r>
        <w:rPr>
          <w:rFonts w:ascii="仿宋" w:hAnsi="仿宋" w:eastAsia="仿宋" w:cs="仿宋"/>
          <w:snapToGrid w:val="0"/>
          <w:color w:val="auto"/>
          <w:spacing w:val="17"/>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政处罚中对中小企业的认定，由货物制造商或者工程、服务</w:t>
      </w:r>
      <w:r>
        <w:rPr>
          <w:rFonts w:ascii="仿宋" w:hAnsi="仿宋" w:eastAsia="仿宋" w:cs="仿宋"/>
          <w:snapToGrid w:val="0"/>
          <w:color w:val="auto"/>
          <w:spacing w:val="21"/>
          <w:kern w:val="0"/>
          <w:sz w:val="24"/>
          <w:szCs w:val="24"/>
          <w:highlight w:val="none"/>
          <w:lang w:val="en-US" w:eastAsia="en-US" w:bidi="ar-SA"/>
        </w:rPr>
        <w:t>供应商注册登记所在地的县级以上人民政府中小企业主管</w:t>
      </w:r>
      <w:r>
        <w:rPr>
          <w:rFonts w:ascii="仿宋" w:hAnsi="仿宋" w:eastAsia="仿宋" w:cs="仿宋"/>
          <w:snapToGrid w:val="0"/>
          <w:color w:val="auto"/>
          <w:spacing w:val="3"/>
          <w:kern w:val="0"/>
          <w:sz w:val="24"/>
          <w:szCs w:val="24"/>
          <w:highlight w:val="none"/>
          <w:lang w:val="en-US" w:eastAsia="en-US" w:bidi="ar-SA"/>
        </w:rPr>
        <w:t>部门负责。</w:t>
      </w:r>
    </w:p>
    <w:p w14:paraId="45605419">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50"/>
        <w:jc w:val="left"/>
        <w:textAlignment w:val="baseline"/>
        <w:rPr>
          <w:rFonts w:ascii="仿宋" w:hAnsi="仿宋" w:eastAsia="仿宋" w:cs="仿宋"/>
          <w:snapToGrid w:val="0"/>
          <w:color w:val="auto"/>
          <w:spacing w:val="6"/>
          <w:kern w:val="0"/>
          <w:sz w:val="24"/>
          <w:szCs w:val="24"/>
          <w:highlight w:val="none"/>
          <w:lang w:val="en-US" w:eastAsia="en-US" w:bidi="ar-SA"/>
        </w:rPr>
      </w:pPr>
      <w:r>
        <w:rPr>
          <w:rFonts w:ascii="仿宋" w:hAnsi="仿宋" w:eastAsia="仿宋" w:cs="仿宋"/>
          <w:snapToGrid w:val="0"/>
          <w:color w:val="auto"/>
          <w:spacing w:val="17"/>
          <w:kern w:val="0"/>
          <w:sz w:val="24"/>
          <w:szCs w:val="24"/>
          <w:highlight w:val="none"/>
          <w:lang w:val="en-US" w:eastAsia="en-US" w:bidi="ar-SA"/>
        </w:rPr>
        <w:t>中小企业主管部门应当在收到财政部门或者有关招标</w:t>
      </w:r>
      <w:r>
        <w:rPr>
          <w:rFonts w:ascii="仿宋" w:hAnsi="仿宋" w:eastAsia="仿宋" w:cs="仿宋"/>
          <w:snapToGrid w:val="0"/>
          <w:color w:val="auto"/>
          <w:spacing w:val="11"/>
          <w:kern w:val="0"/>
          <w:sz w:val="24"/>
          <w:szCs w:val="24"/>
          <w:highlight w:val="none"/>
          <w:lang w:val="en-US" w:eastAsia="en-US" w:bidi="ar-SA"/>
        </w:rPr>
        <w:t>投标行政监督部门关于协助开展中小企业认定函后10</w:t>
      </w:r>
      <w:r>
        <w:rPr>
          <w:rFonts w:ascii="仿宋" w:hAnsi="仿宋" w:eastAsia="仿宋" w:cs="仿宋"/>
          <w:snapToGrid w:val="0"/>
          <w:color w:val="auto"/>
          <w:spacing w:val="-48"/>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个工</w:t>
      </w:r>
      <w:r>
        <w:rPr>
          <w:rFonts w:ascii="仿宋" w:hAnsi="仿宋" w:eastAsia="仿宋" w:cs="仿宋"/>
          <w:snapToGrid w:val="0"/>
          <w:color w:val="auto"/>
          <w:spacing w:val="6"/>
          <w:kern w:val="0"/>
          <w:sz w:val="24"/>
          <w:szCs w:val="24"/>
          <w:highlight w:val="none"/>
          <w:lang w:val="en-US" w:eastAsia="en-US" w:bidi="ar-SA"/>
        </w:rPr>
        <w:t>作日内做出书面答复。</w:t>
      </w:r>
    </w:p>
    <w:p w14:paraId="47866BBC">
      <w:pPr>
        <w:keepNext w:val="0"/>
        <w:keepLines w:val="0"/>
        <w:pageBreakBefore w:val="0"/>
        <w:numPr>
          <w:ilvl w:val="0"/>
          <w:numId w:val="0"/>
        </w:numPr>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hint="eastAsia" w:ascii="黑体" w:hAnsi="黑体" w:eastAsia="黑体" w:cs="黑体"/>
          <w:snapToGrid w:val="0"/>
          <w:color w:val="auto"/>
          <w:spacing w:val="5"/>
          <w:kern w:val="0"/>
          <w:sz w:val="24"/>
          <w:szCs w:val="24"/>
          <w:highlight w:val="none"/>
          <w:lang w:val="en-US" w:eastAsia="en-US" w:bidi="ar-SA"/>
        </w:rPr>
        <w:t>第十七条</w:t>
      </w:r>
      <w:r>
        <w:rPr>
          <w:rFonts w:hint="eastAsia" w:ascii="黑体" w:hAnsi="黑体" w:eastAsia="黑体" w:cs="黑体"/>
          <w:snapToGrid w:val="0"/>
          <w:color w:val="auto"/>
          <w:spacing w:val="5"/>
          <w:kern w:val="0"/>
          <w:sz w:val="24"/>
          <w:szCs w:val="24"/>
          <w:highlight w:val="none"/>
          <w:lang w:val="en-US" w:eastAsia="zh-CN" w:bidi="ar-SA"/>
        </w:rPr>
        <w:t xml:space="preserve"> </w:t>
      </w:r>
      <w:r>
        <w:rPr>
          <w:rFonts w:ascii="仿宋" w:hAnsi="仿宋" w:eastAsia="仿宋" w:cs="仿宋"/>
          <w:snapToGrid w:val="0"/>
          <w:color w:val="auto"/>
          <w:spacing w:val="17"/>
          <w:kern w:val="0"/>
          <w:sz w:val="24"/>
          <w:szCs w:val="24"/>
          <w:highlight w:val="none"/>
          <w:lang w:val="en-US" w:eastAsia="en-US" w:bidi="ar-SA"/>
        </w:rPr>
        <w:t xml:space="preserve"> 各地区、各部门应当对涉及中小企业采购的预算项目实施全过</w:t>
      </w:r>
      <w:r>
        <w:rPr>
          <w:rFonts w:ascii="仿宋" w:hAnsi="仿宋" w:eastAsia="仿宋" w:cs="仿宋"/>
          <w:snapToGrid w:val="0"/>
          <w:color w:val="auto"/>
          <w:spacing w:val="8"/>
          <w:kern w:val="0"/>
          <w:sz w:val="24"/>
          <w:szCs w:val="24"/>
          <w:highlight w:val="none"/>
          <w:lang w:val="en-US" w:eastAsia="en-US" w:bidi="ar-SA"/>
        </w:rPr>
        <w:t>程绩效管理，合理设置绩效目标和指标，落实扶持中小企业有关政策要求，定期开展绩效监控和评价，强化绩效评价结果应用。</w:t>
      </w:r>
    </w:p>
    <w:p w14:paraId="439C039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right="0" w:rightChars="0" w:firstLine="512" w:firstLineChars="200"/>
        <w:jc w:val="left"/>
        <w:textAlignment w:val="baseline"/>
        <w:rPr>
          <w:rFonts w:ascii="仿宋" w:hAnsi="仿宋" w:eastAsia="仿宋" w:cs="仿宋"/>
          <w:snapToGrid w:val="0"/>
          <w:color w:val="auto"/>
          <w:spacing w:val="8"/>
          <w:kern w:val="0"/>
          <w:position w:val="18"/>
          <w:sz w:val="24"/>
          <w:szCs w:val="24"/>
          <w:highlight w:val="none"/>
          <w:lang w:val="en-US" w:eastAsia="en-US" w:bidi="ar-SA"/>
        </w:rPr>
      </w:pPr>
      <w:r>
        <w:rPr>
          <w:rFonts w:ascii="黑体" w:hAnsi="黑体" w:eastAsia="黑体" w:cs="黑体"/>
          <w:snapToGrid w:val="0"/>
          <w:color w:val="auto"/>
          <w:spacing w:val="8"/>
          <w:kern w:val="0"/>
          <w:position w:val="18"/>
          <w:sz w:val="24"/>
          <w:szCs w:val="24"/>
          <w:highlight w:val="none"/>
          <w:lang w:val="en-US" w:eastAsia="en-US" w:bidi="ar-SA"/>
        </w:rPr>
        <w:t xml:space="preserve">第十八条  </w:t>
      </w:r>
      <w:r>
        <w:rPr>
          <w:rFonts w:ascii="仿宋" w:hAnsi="仿宋" w:eastAsia="仿宋" w:cs="仿宋"/>
          <w:snapToGrid w:val="0"/>
          <w:color w:val="auto"/>
          <w:spacing w:val="8"/>
          <w:kern w:val="0"/>
          <w:position w:val="18"/>
          <w:sz w:val="24"/>
          <w:szCs w:val="24"/>
          <w:highlight w:val="none"/>
          <w:lang w:val="en-US" w:eastAsia="en-US" w:bidi="ar-SA"/>
        </w:rPr>
        <w:t>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2EB14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第十九条  </w:t>
      </w:r>
      <w:r>
        <w:rPr>
          <w:rFonts w:ascii="仿宋" w:hAnsi="仿宋" w:eastAsia="仿宋" w:cs="仿宋"/>
          <w:snapToGrid w:val="0"/>
          <w:color w:val="auto"/>
          <w:spacing w:val="19"/>
          <w:kern w:val="0"/>
          <w:sz w:val="24"/>
          <w:szCs w:val="24"/>
          <w:highlight w:val="none"/>
          <w:lang w:val="en-US" w:eastAsia="en-US" w:bidi="ar-SA"/>
        </w:rPr>
        <w:t>采购人未按本办法规定为中小企</w:t>
      </w:r>
      <w:r>
        <w:rPr>
          <w:rFonts w:ascii="仿宋" w:hAnsi="仿宋" w:eastAsia="仿宋" w:cs="仿宋"/>
          <w:snapToGrid w:val="0"/>
          <w:color w:val="auto"/>
          <w:spacing w:val="18"/>
          <w:kern w:val="0"/>
          <w:sz w:val="24"/>
          <w:szCs w:val="24"/>
          <w:highlight w:val="none"/>
          <w:lang w:val="en-US" w:eastAsia="en-US" w:bidi="ar-SA"/>
        </w:rPr>
        <w:t>业预留采</w:t>
      </w:r>
      <w:r>
        <w:rPr>
          <w:rFonts w:ascii="仿宋" w:hAnsi="仿宋" w:eastAsia="仿宋" w:cs="仿宋"/>
          <w:snapToGrid w:val="0"/>
          <w:color w:val="auto"/>
          <w:spacing w:val="8"/>
          <w:kern w:val="0"/>
          <w:sz w:val="24"/>
          <w:szCs w:val="24"/>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ascii="仿宋" w:hAnsi="仿宋" w:eastAsia="仿宋" w:cs="仿宋"/>
          <w:snapToGrid w:val="0"/>
          <w:color w:val="auto"/>
          <w:spacing w:val="5"/>
          <w:kern w:val="0"/>
          <w:sz w:val="24"/>
          <w:szCs w:val="24"/>
          <w:highlight w:val="none"/>
          <w:lang w:val="en-US" w:eastAsia="en-US" w:bidi="ar-SA"/>
        </w:rPr>
        <w:t>追究法律责任。</w:t>
      </w:r>
    </w:p>
    <w:p w14:paraId="34FEDEE0">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both"/>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第二十条  </w:t>
      </w:r>
      <w:r>
        <w:rPr>
          <w:rFonts w:ascii="仿宋" w:hAnsi="仿宋" w:eastAsia="仿宋" w:cs="仿宋"/>
          <w:snapToGrid w:val="0"/>
          <w:color w:val="auto"/>
          <w:spacing w:val="19"/>
          <w:kern w:val="0"/>
          <w:sz w:val="24"/>
          <w:szCs w:val="24"/>
          <w:highlight w:val="none"/>
          <w:lang w:val="en-US" w:eastAsia="en-US" w:bidi="ar-SA"/>
        </w:rPr>
        <w:t>供应商按照本办法规定提供声明</w:t>
      </w:r>
      <w:r>
        <w:rPr>
          <w:rFonts w:ascii="仿宋" w:hAnsi="仿宋" w:eastAsia="仿宋" w:cs="仿宋"/>
          <w:snapToGrid w:val="0"/>
          <w:color w:val="auto"/>
          <w:spacing w:val="18"/>
          <w:kern w:val="0"/>
          <w:sz w:val="24"/>
          <w:szCs w:val="24"/>
          <w:highlight w:val="none"/>
          <w:lang w:val="en-US" w:eastAsia="en-US" w:bidi="ar-SA"/>
        </w:rPr>
        <w:t>函内容不</w:t>
      </w:r>
      <w:r>
        <w:rPr>
          <w:rFonts w:ascii="仿宋" w:hAnsi="仿宋" w:eastAsia="仿宋" w:cs="仿宋"/>
          <w:snapToGrid w:val="0"/>
          <w:color w:val="auto"/>
          <w:spacing w:val="8"/>
          <w:kern w:val="0"/>
          <w:sz w:val="24"/>
          <w:szCs w:val="24"/>
          <w:highlight w:val="none"/>
          <w:lang w:val="en-US" w:eastAsia="en-US" w:bidi="ar-SA"/>
        </w:rPr>
        <w:t>实的，属于提供虚假材料谋取中标、成交，依照《中华人民共和国政府采购法》等国家有关规定追究相应责任。</w:t>
      </w:r>
    </w:p>
    <w:p w14:paraId="6A9509C1">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638"/>
        <w:jc w:val="both"/>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6"/>
          <w:kern w:val="0"/>
          <w:sz w:val="24"/>
          <w:szCs w:val="24"/>
          <w:highlight w:val="none"/>
          <w:lang w:val="en-US" w:eastAsia="en-US" w:bidi="ar-SA"/>
        </w:rPr>
        <w:t>适用招标投标法的政府采购工程建设项目，投标人按照本办法规定提供声明函内容不实的，属于弄虚作假骗取</w:t>
      </w:r>
      <w:r>
        <w:rPr>
          <w:rFonts w:ascii="仿宋" w:hAnsi="仿宋" w:eastAsia="仿宋" w:cs="仿宋"/>
          <w:snapToGrid w:val="0"/>
          <w:color w:val="auto"/>
          <w:spacing w:val="5"/>
          <w:kern w:val="0"/>
          <w:sz w:val="24"/>
          <w:szCs w:val="24"/>
          <w:highlight w:val="none"/>
          <w:lang w:val="en-US" w:eastAsia="en-US" w:bidi="ar-SA"/>
        </w:rPr>
        <w:t>中标，</w:t>
      </w:r>
      <w:r>
        <w:rPr>
          <w:rFonts w:ascii="仿宋" w:hAnsi="仿宋" w:eastAsia="仿宋" w:cs="仿宋"/>
          <w:snapToGrid w:val="0"/>
          <w:color w:val="auto"/>
          <w:spacing w:val="8"/>
          <w:kern w:val="0"/>
          <w:sz w:val="24"/>
          <w:szCs w:val="24"/>
          <w:highlight w:val="none"/>
          <w:lang w:val="en-US" w:eastAsia="en-US" w:bidi="ar-SA"/>
        </w:rPr>
        <w:t>依照《中华人民共和国招标投标法》等国家有关规定追究相</w:t>
      </w:r>
      <w:r>
        <w:rPr>
          <w:rFonts w:ascii="仿宋" w:hAnsi="仿宋" w:eastAsia="仿宋" w:cs="仿宋"/>
          <w:snapToGrid w:val="0"/>
          <w:color w:val="auto"/>
          <w:spacing w:val="2"/>
          <w:kern w:val="0"/>
          <w:sz w:val="24"/>
          <w:szCs w:val="24"/>
          <w:highlight w:val="none"/>
          <w:lang w:val="en-US" w:eastAsia="en-US" w:bidi="ar-SA"/>
        </w:rPr>
        <w:t>应责任。</w:t>
      </w:r>
    </w:p>
    <w:p w14:paraId="0355A723">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right="0" w:rightChars="0" w:firstLine="500" w:firstLineChars="200"/>
        <w:jc w:val="both"/>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第二十一条  </w:t>
      </w:r>
      <w:r>
        <w:rPr>
          <w:rFonts w:ascii="仿宋" w:hAnsi="仿宋" w:eastAsia="仿宋" w:cs="仿宋"/>
          <w:snapToGrid w:val="0"/>
          <w:color w:val="auto"/>
          <w:spacing w:val="5"/>
          <w:kern w:val="0"/>
          <w:sz w:val="24"/>
          <w:szCs w:val="24"/>
          <w:highlight w:val="none"/>
          <w:lang w:val="en-US" w:eastAsia="en-US" w:bidi="ar-SA"/>
        </w:rPr>
        <w:t>财政部门、中小企业主管部门及其工作人</w:t>
      </w:r>
      <w:r>
        <w:rPr>
          <w:rFonts w:ascii="仿宋" w:hAnsi="仿宋" w:eastAsia="仿宋" w:cs="仿宋"/>
          <w:snapToGrid w:val="0"/>
          <w:color w:val="auto"/>
          <w:spacing w:val="8"/>
          <w:kern w:val="0"/>
          <w:sz w:val="24"/>
          <w:szCs w:val="24"/>
          <w:highlight w:val="none"/>
          <w:lang w:val="en-US" w:eastAsia="en-US" w:bidi="ar-SA"/>
        </w:rPr>
        <w:t>员在履行职责中违反本办法规定及存在其他滥用职权、玩忽职守、徇私舞弊等违法违纪行为的，依照《</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"http://10.162.100.18:168/golaw?dbnm=gjfg&amp;flid=1116012014128049"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8"/>
          <w:kern w:val="0"/>
          <w:sz w:val="24"/>
          <w:szCs w:val="24"/>
          <w:highlight w:val="none"/>
          <w:lang w:val="en-US" w:eastAsia="en-US" w:bidi="ar-SA"/>
        </w:rPr>
        <w:t>中华人民共和国</w:t>
      </w:r>
      <w:r>
        <w:rPr>
          <w:rFonts w:ascii="仿宋" w:hAnsi="仿宋" w:eastAsia="仿宋" w:cs="仿宋"/>
          <w:snapToGrid w:val="0"/>
          <w:color w:val="auto"/>
          <w:spacing w:val="8"/>
          <w:kern w:val="0"/>
          <w:sz w:val="24"/>
          <w:szCs w:val="24"/>
          <w:highlight w:val="none"/>
          <w:lang w:val="en-US" w:eastAsia="en-US" w:bidi="ar-SA"/>
        </w:rPr>
        <w:fldChar w:fldCharType="end"/>
      </w:r>
      <w:r>
        <w:rPr>
          <w:rFonts w:ascii="仿宋" w:hAnsi="仿宋" w:eastAsia="仿宋" w:cs="仿宋"/>
          <w:snapToGrid w:val="0"/>
          <w:color w:val="auto"/>
          <w:spacing w:val="-14"/>
          <w:kern w:val="0"/>
          <w:sz w:val="24"/>
          <w:szCs w:val="24"/>
          <w:highlight w:val="none"/>
          <w:lang w:val="en-US" w:eastAsia="en-US" w:bidi="ar-SA"/>
        </w:rPr>
        <w:t>政府采购法》、《</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"http://10.162.100.18:168/golaw?dbnm=gjfg&amp;flid=111601200501"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14"/>
          <w:kern w:val="0"/>
          <w:sz w:val="24"/>
          <w:szCs w:val="24"/>
          <w:highlight w:val="none"/>
          <w:lang w:val="en-US" w:eastAsia="en-US" w:bidi="ar-SA"/>
        </w:rPr>
        <w:t>中华人民共和国公务员法</w:t>
      </w:r>
      <w:r>
        <w:rPr>
          <w:rFonts w:ascii="仿宋" w:hAnsi="仿宋" w:eastAsia="仿宋" w:cs="仿宋"/>
          <w:snapToGrid w:val="0"/>
          <w:color w:val="auto"/>
          <w:spacing w:val="-14"/>
          <w:kern w:val="0"/>
          <w:sz w:val="24"/>
          <w:szCs w:val="24"/>
          <w:highlight w:val="none"/>
          <w:lang w:val="en-US" w:eastAsia="en-US" w:bidi="ar-SA"/>
        </w:rPr>
        <w:fldChar w:fldCharType="end"/>
      </w:r>
      <w:r>
        <w:rPr>
          <w:rFonts w:ascii="仿宋" w:hAnsi="仿宋" w:eastAsia="仿宋" w:cs="仿宋"/>
          <w:snapToGrid w:val="0"/>
          <w:color w:val="auto"/>
          <w:spacing w:val="-14"/>
          <w:kern w:val="0"/>
          <w:sz w:val="24"/>
          <w:szCs w:val="24"/>
          <w:highlight w:val="none"/>
          <w:lang w:val="en-US" w:eastAsia="en-US" w:bidi="ar-SA"/>
        </w:rPr>
        <w:t>》、《</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"http://10.162.100.18:168/golaw?dbnm=gjfg&amp;flid=1117032010100014"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14"/>
          <w:kern w:val="0"/>
          <w:sz w:val="24"/>
          <w:szCs w:val="24"/>
          <w:highlight w:val="none"/>
          <w:lang w:val="en-US" w:eastAsia="en-US" w:bidi="ar-SA"/>
        </w:rPr>
        <w:t>中华人民共和</w:t>
      </w:r>
      <w:r>
        <w:rPr>
          <w:rFonts w:ascii="仿宋" w:hAnsi="仿宋" w:eastAsia="仿宋" w:cs="仿宋"/>
          <w:snapToGrid w:val="0"/>
          <w:color w:val="auto"/>
          <w:spacing w:val="-14"/>
          <w:kern w:val="0"/>
          <w:sz w:val="24"/>
          <w:szCs w:val="24"/>
          <w:highlight w:val="none"/>
          <w:lang w:val="en-US" w:eastAsia="en-US" w:bidi="ar-SA"/>
        </w:rPr>
        <w:fldChar w:fldCharType="end"/>
      </w:r>
      <w:r>
        <w:rPr>
          <w:rFonts w:ascii="仿宋" w:hAnsi="仿宋" w:eastAsia="仿宋" w:cs="仿宋"/>
          <w:snapToGrid w:val="0"/>
          <w:color w:val="auto"/>
          <w:spacing w:val="-3"/>
          <w:kern w:val="0"/>
          <w:sz w:val="24"/>
          <w:szCs w:val="24"/>
          <w:highlight w:val="none"/>
          <w:lang w:val="en-US" w:eastAsia="en-US" w:bidi="ar-SA"/>
        </w:rPr>
        <w:t>国监察法》、《</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"http://10.162.100.18:168/golaw?dbnm=gjfg&amp;flid=1129012015130679"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3"/>
          <w:kern w:val="0"/>
          <w:sz w:val="24"/>
          <w:szCs w:val="24"/>
          <w:highlight w:val="none"/>
          <w:lang w:val="en-US" w:eastAsia="en-US" w:bidi="ar-SA"/>
        </w:rPr>
        <w:t>中华人民共和国政府采购法实施条例</w:t>
      </w:r>
      <w:r>
        <w:rPr>
          <w:rFonts w:ascii="仿宋" w:hAnsi="仿宋" w:eastAsia="仿宋" w:cs="仿宋"/>
          <w:snapToGrid w:val="0"/>
          <w:color w:val="auto"/>
          <w:spacing w:val="-3"/>
          <w:kern w:val="0"/>
          <w:sz w:val="24"/>
          <w:szCs w:val="24"/>
          <w:highlight w:val="none"/>
          <w:lang w:val="en-US" w:eastAsia="en-US" w:bidi="ar-SA"/>
        </w:rPr>
        <w:fldChar w:fldCharType="end"/>
      </w:r>
      <w:r>
        <w:rPr>
          <w:rFonts w:ascii="仿宋" w:hAnsi="仿宋" w:eastAsia="仿宋" w:cs="仿宋"/>
          <w:snapToGrid w:val="0"/>
          <w:color w:val="auto"/>
          <w:spacing w:val="-3"/>
          <w:kern w:val="0"/>
          <w:sz w:val="24"/>
          <w:szCs w:val="24"/>
          <w:highlight w:val="none"/>
          <w:lang w:val="en-US" w:eastAsia="en-US" w:bidi="ar-SA"/>
        </w:rPr>
        <w:t>》等</w:t>
      </w:r>
      <w:r>
        <w:rPr>
          <w:rFonts w:ascii="仿宋" w:hAnsi="仿宋" w:eastAsia="仿宋" w:cs="仿宋"/>
          <w:snapToGrid w:val="0"/>
          <w:color w:val="auto"/>
          <w:spacing w:val="-4"/>
          <w:kern w:val="0"/>
          <w:sz w:val="24"/>
          <w:szCs w:val="24"/>
          <w:highlight w:val="none"/>
          <w:lang w:val="en-US" w:eastAsia="en-US" w:bidi="ar-SA"/>
        </w:rPr>
        <w:t>国家</w:t>
      </w:r>
      <w:r>
        <w:rPr>
          <w:rFonts w:ascii="仿宋" w:hAnsi="仿宋" w:eastAsia="仿宋" w:cs="仿宋"/>
          <w:snapToGrid w:val="0"/>
          <w:color w:val="auto"/>
          <w:spacing w:val="9"/>
          <w:kern w:val="0"/>
          <w:sz w:val="24"/>
          <w:szCs w:val="24"/>
          <w:highlight w:val="none"/>
          <w:lang w:val="en-US" w:eastAsia="en-US" w:bidi="ar-SA"/>
        </w:rPr>
        <w:t>有关规定追究相应责任；涉嫌犯罪的，依法</w:t>
      </w:r>
      <w:r>
        <w:rPr>
          <w:rFonts w:ascii="仿宋" w:hAnsi="仿宋" w:eastAsia="仿宋" w:cs="仿宋"/>
          <w:snapToGrid w:val="0"/>
          <w:color w:val="auto"/>
          <w:spacing w:val="8"/>
          <w:kern w:val="0"/>
          <w:sz w:val="24"/>
          <w:szCs w:val="24"/>
          <w:highlight w:val="none"/>
          <w:lang w:val="en-US" w:eastAsia="en-US" w:bidi="ar-SA"/>
        </w:rPr>
        <w:t>移送有关国家机</w:t>
      </w:r>
      <w:r>
        <w:rPr>
          <w:rFonts w:ascii="仿宋" w:hAnsi="仿宋" w:eastAsia="仿宋" w:cs="仿宋"/>
          <w:snapToGrid w:val="0"/>
          <w:color w:val="auto"/>
          <w:spacing w:val="-1"/>
          <w:kern w:val="0"/>
          <w:sz w:val="24"/>
          <w:szCs w:val="24"/>
          <w:highlight w:val="none"/>
          <w:lang w:val="en-US" w:eastAsia="en-US" w:bidi="ar-SA"/>
        </w:rPr>
        <w:t>关处理。</w:t>
      </w:r>
    </w:p>
    <w:p w14:paraId="64BEADFC">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第二十二条</w:t>
      </w:r>
      <w:r>
        <w:rPr>
          <w:rFonts w:ascii="仿宋" w:hAnsi="仿宋" w:eastAsia="仿宋" w:cs="仿宋"/>
          <w:b/>
          <w:bCs/>
          <w:snapToGrid w:val="0"/>
          <w:color w:val="auto"/>
          <w:spacing w:val="8"/>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对外援助项目、国家相关资格或者资质管理制度另有规定的项目，不适用本办法。</w:t>
      </w:r>
    </w:p>
    <w:p w14:paraId="6F191F49">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both"/>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第二十三条</w:t>
      </w:r>
      <w:r>
        <w:rPr>
          <w:rFonts w:ascii="仿宋" w:hAnsi="仿宋" w:eastAsia="仿宋" w:cs="仿宋"/>
          <w:snapToGrid w:val="0"/>
          <w:color w:val="auto"/>
          <w:spacing w:val="8"/>
          <w:kern w:val="0"/>
          <w:sz w:val="24"/>
          <w:szCs w:val="24"/>
          <w:highlight w:val="none"/>
          <w:lang w:val="en-US" w:eastAsia="en-US" w:bidi="ar-SA"/>
        </w:rPr>
        <w:t xml:space="preserve">  关于视同中小企业的其他主体的政府采</w:t>
      </w:r>
    </w:p>
    <w:p w14:paraId="75882656">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购扶持政策，由财政部会同有关部门另行规定。</w:t>
      </w:r>
    </w:p>
    <w:p w14:paraId="72859D3D">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第二十四条</w:t>
      </w:r>
      <w:r>
        <w:rPr>
          <w:rFonts w:ascii="仿宋" w:hAnsi="仿宋" w:eastAsia="仿宋" w:cs="仿宋"/>
          <w:snapToGrid w:val="0"/>
          <w:color w:val="auto"/>
          <w:spacing w:val="8"/>
          <w:kern w:val="0"/>
          <w:sz w:val="24"/>
          <w:szCs w:val="24"/>
          <w:highlight w:val="none"/>
          <w:lang w:val="en-US" w:eastAsia="en-US" w:bidi="ar-SA"/>
        </w:rPr>
        <w:t xml:space="preserve">  省级财政部门可以会同中小企业主管部门根据本办法的规定制定具体实施办法。</w:t>
      </w:r>
    </w:p>
    <w:p w14:paraId="014FDC2C">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第二十五条</w:t>
      </w:r>
      <w:r>
        <w:rPr>
          <w:rFonts w:ascii="仿宋" w:hAnsi="仿宋" w:eastAsia="仿宋" w:cs="仿宋"/>
          <w:snapToGrid w:val="0"/>
          <w:color w:val="auto"/>
          <w:spacing w:val="8"/>
          <w:kern w:val="0"/>
          <w:sz w:val="24"/>
          <w:szCs w:val="24"/>
          <w:highlight w:val="none"/>
          <w:lang w:val="en-US" w:eastAsia="en-US" w:bidi="ar-SA"/>
        </w:rPr>
        <w:t xml:space="preserve">  本办法自2021年1月1日起施行。《财政部工业和信息化部关于印发〈政府采购促进中小企业发展暂行办法〉的通知》（财库（2011﹞181号）同时废止。</w:t>
      </w:r>
    </w:p>
    <w:p w14:paraId="6E95F9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rPr>
          <w:rFonts w:ascii="Arial" w:hAnsi="Arial" w:eastAsia="Arial" w:cs="Arial"/>
          <w:snapToGrid w:val="0"/>
          <w:color w:val="auto"/>
          <w:kern w:val="0"/>
          <w:sz w:val="24"/>
          <w:szCs w:val="24"/>
          <w:highlight w:val="none"/>
          <w:lang w:eastAsia="en-US"/>
        </w:rPr>
      </w:pPr>
    </w:p>
    <w:p w14:paraId="6886DE05">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jc w:val="left"/>
        <w:textAlignment w:val="baseline"/>
        <w:rPr>
          <w:rFonts w:ascii="仿宋" w:hAnsi="仿宋" w:eastAsia="仿宋" w:cs="仿宋"/>
          <w:snapToGrid w:val="0"/>
          <w:color w:val="auto"/>
          <w:kern w:val="0"/>
          <w:sz w:val="24"/>
          <w:szCs w:val="24"/>
          <w:highlight w:val="none"/>
          <w:lang w:val="en-US" w:eastAsia="en-US" w:bidi="ar-SA"/>
        </w:rPr>
      </w:pPr>
    </w:p>
    <w:p w14:paraId="3F155E8A">
      <w:pPr>
        <w:keepNext w:val="0"/>
        <w:keepLines w:val="0"/>
        <w:pageBreakBefore w:val="0"/>
        <w:wordWrap/>
        <w:overflowPunct/>
        <w:topLinePunct w:val="0"/>
        <w:bidi w:val="0"/>
        <w:spacing w:line="560" w:lineRule="exact"/>
        <w:ind w:left="0" w:leftChars="0" w:right="0" w:rightChars="0"/>
        <w:rPr>
          <w:color w:val="auto"/>
          <w:sz w:val="24"/>
          <w:szCs w:val="24"/>
          <w:highlight w:val="none"/>
        </w:rPr>
        <w:sectPr>
          <w:footerReference r:id="rId9" w:type="default"/>
          <w:pgSz w:w="11906" w:h="16839"/>
          <w:pgMar w:top="1431" w:right="1785" w:bottom="1378" w:left="1785" w:header="0" w:footer="1212" w:gutter="0"/>
          <w:pgNumType w:fmt="decimal"/>
          <w:cols w:space="720" w:num="1"/>
        </w:sectPr>
      </w:pPr>
    </w:p>
    <w:p w14:paraId="36B9C4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仿宋" w:hAnsi="仿宋" w:eastAsia="仿宋" w:cs="仿宋"/>
          <w:snapToGrid w:val="0"/>
          <w:color w:val="auto"/>
          <w:spacing w:val="-9"/>
          <w:kern w:val="0"/>
          <w:sz w:val="24"/>
          <w:szCs w:val="24"/>
          <w:highlight w:val="none"/>
          <w:lang w:val="en-US" w:eastAsia="zh-CN"/>
        </w:rPr>
      </w:pPr>
      <w:bookmarkStart w:id="188" w:name="_Toc25114"/>
      <w:r>
        <w:rPr>
          <w:rFonts w:ascii="仿宋" w:hAnsi="仿宋" w:eastAsia="仿宋" w:cs="仿宋"/>
          <w:snapToGrid w:val="0"/>
          <w:color w:val="auto"/>
          <w:spacing w:val="-9"/>
          <w:kern w:val="0"/>
          <w:sz w:val="24"/>
          <w:szCs w:val="24"/>
          <w:highlight w:val="none"/>
          <w:lang w:eastAsia="en-US"/>
        </w:rPr>
        <w:t>附件</w:t>
      </w:r>
      <w:r>
        <w:rPr>
          <w:rFonts w:hint="eastAsia" w:ascii="仿宋" w:hAnsi="仿宋" w:eastAsia="仿宋" w:cs="仿宋"/>
          <w:snapToGrid w:val="0"/>
          <w:color w:val="auto"/>
          <w:spacing w:val="-9"/>
          <w:kern w:val="0"/>
          <w:sz w:val="24"/>
          <w:szCs w:val="24"/>
          <w:highlight w:val="none"/>
          <w:lang w:val="en-US" w:eastAsia="zh-CN"/>
        </w:rPr>
        <w:t>2：关于进一步加大政府采购支持中小企业力度的通知</w:t>
      </w:r>
      <w:bookmarkEnd w:id="188"/>
    </w:p>
    <w:p w14:paraId="5094B9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1" w:after="0" w:afterAutospacing="1" w:line="240" w:lineRule="exact"/>
        <w:ind w:left="0" w:right="0" w:firstLine="0"/>
        <w:jc w:val="center"/>
        <w:textAlignment w:val="baseline"/>
        <w:rPr>
          <w:rFonts w:ascii="华文中宋" w:hAnsi="华文中宋" w:eastAsia="华文中宋" w:cs="华文中宋"/>
          <w:b/>
          <w:bCs/>
          <w:i w:val="0"/>
          <w:iCs w:val="0"/>
          <w:caps w:val="0"/>
          <w:color w:val="auto"/>
          <w:spacing w:val="0"/>
          <w:sz w:val="24"/>
          <w:szCs w:val="24"/>
          <w:highlight w:val="none"/>
        </w:rPr>
      </w:pPr>
      <w:r>
        <w:rPr>
          <w:rFonts w:hint="default" w:ascii="华文中宋" w:hAnsi="华文中宋" w:eastAsia="华文中宋" w:cs="华文中宋"/>
          <w:b/>
          <w:bCs/>
          <w:i w:val="0"/>
          <w:iCs w:val="0"/>
          <w:caps w:val="0"/>
          <w:color w:val="auto"/>
          <w:spacing w:val="0"/>
          <w:kern w:val="0"/>
          <w:sz w:val="24"/>
          <w:szCs w:val="24"/>
          <w:highlight w:val="none"/>
          <w:shd w:val="clear" w:color="auto" w:fill="FFFFFF"/>
          <w:vertAlign w:val="baseline"/>
          <w:lang w:val="en-US" w:eastAsia="zh-CN"/>
        </w:rPr>
        <w:t>关于进一步加大政府采购支持中小企业力度的通知</w:t>
      </w:r>
    </w:p>
    <w:p w14:paraId="33353F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textAlignment w:val="baseline"/>
        <w:rPr>
          <w:rFonts w:ascii="仿宋" w:hAnsi="仿宋" w:eastAsia="仿宋" w:cs="仿宋"/>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kern w:val="0"/>
          <w:sz w:val="24"/>
          <w:szCs w:val="24"/>
          <w:highlight w:val="none"/>
          <w:u w:val="none"/>
          <w:shd w:val="clear" w:color="auto" w:fill="FFFFFF"/>
          <w:vertAlign w:val="baseline"/>
          <w:lang w:val="en-US" w:eastAsia="zh-CN"/>
        </w:rPr>
        <w:t>财库〔2022〕19号</w:t>
      </w:r>
    </w:p>
    <w:p w14:paraId="1C09958A">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各中央预算单位，各省、自治区、直辖市、计划单列市财政厅（局），新疆生产建设兵团财政局：</w:t>
      </w:r>
    </w:p>
    <w:p w14:paraId="7206175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2615EA0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一、严格落实支持中小企业政府采购政策。</w:t>
      </w:r>
      <w:r>
        <w:rPr>
          <w:rFonts w:hint="eastAsia" w:ascii="仿宋" w:hAnsi="仿宋" w:eastAsia="仿宋" w:cs="仿宋"/>
          <w:i w:val="0"/>
          <w:iCs w:val="0"/>
          <w:caps w:val="0"/>
          <w:color w:val="auto"/>
          <w:spacing w:val="0"/>
          <w:sz w:val="24"/>
          <w:szCs w:val="24"/>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1EA013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二、调整对小微企业的价格评审优惠幅度。</w:t>
      </w:r>
      <w:r>
        <w:rPr>
          <w:rFonts w:hint="eastAsia" w:ascii="仿宋" w:hAnsi="仿宋" w:eastAsia="仿宋" w:cs="仿宋"/>
          <w:i w:val="0"/>
          <w:iCs w:val="0"/>
          <w:caps w:val="0"/>
          <w:color w:val="auto"/>
          <w:spacing w:val="0"/>
          <w:sz w:val="24"/>
          <w:szCs w:val="24"/>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726EC6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三、提高政府采购工程面向中小企业预留份额。</w:t>
      </w:r>
      <w:r>
        <w:rPr>
          <w:rFonts w:hint="eastAsia" w:ascii="仿宋" w:hAnsi="仿宋" w:eastAsia="仿宋" w:cs="仿宋"/>
          <w:i w:val="0"/>
          <w:iCs w:val="0"/>
          <w:caps w:val="0"/>
          <w:color w:val="auto"/>
          <w:spacing w:val="0"/>
          <w:sz w:val="24"/>
          <w:szCs w:val="24"/>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6B234C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四、认真做好组织实施。</w:t>
      </w:r>
      <w:r>
        <w:rPr>
          <w:rFonts w:hint="eastAsia" w:ascii="仿宋" w:hAnsi="仿宋" w:eastAsia="仿宋" w:cs="仿宋"/>
          <w:i w:val="0"/>
          <w:iCs w:val="0"/>
          <w:caps w:val="0"/>
          <w:color w:val="auto"/>
          <w:spacing w:val="0"/>
          <w:sz w:val="24"/>
          <w:szCs w:val="24"/>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1B53E058">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本通知自2022年7月1日起执行。</w:t>
      </w:r>
    </w:p>
    <w:p w14:paraId="7155A67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财 政 部　　2022年5月30日</w:t>
      </w:r>
    </w:p>
    <w:p w14:paraId="549C439A">
      <w:pPr>
        <w:rPr>
          <w:rFonts w:hint="eastAsia" w:ascii="仿宋" w:hAnsi="仿宋" w:eastAsia="仿宋" w:cs="仿宋"/>
          <w:i w:val="0"/>
          <w:iCs w:val="0"/>
          <w:caps w:val="0"/>
          <w:color w:val="auto"/>
          <w:spacing w:val="0"/>
          <w:sz w:val="24"/>
          <w:szCs w:val="24"/>
          <w:highlight w:val="none"/>
          <w:u w:val="none"/>
          <w:shd w:val="clear" w:color="auto" w:fill="FFFFFF"/>
          <w:vertAlign w:val="baseli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br w:type="page"/>
      </w:r>
    </w:p>
    <w:p w14:paraId="76EFEF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仿宋" w:hAnsi="仿宋" w:eastAsia="仿宋" w:cs="仿宋"/>
          <w:snapToGrid w:val="0"/>
          <w:color w:val="auto"/>
          <w:spacing w:val="-9"/>
          <w:kern w:val="0"/>
          <w:sz w:val="24"/>
          <w:szCs w:val="24"/>
          <w:highlight w:val="none"/>
          <w:lang w:val="en-US" w:eastAsia="zh-CN"/>
        </w:rPr>
      </w:pPr>
      <w:bookmarkStart w:id="189" w:name="_Toc11667"/>
      <w:r>
        <w:rPr>
          <w:rFonts w:hint="eastAsia" w:ascii="仿宋" w:hAnsi="仿宋" w:eastAsia="仿宋" w:cs="仿宋"/>
          <w:snapToGrid w:val="0"/>
          <w:color w:val="auto"/>
          <w:spacing w:val="-9"/>
          <w:kern w:val="0"/>
          <w:sz w:val="24"/>
          <w:szCs w:val="24"/>
          <w:highlight w:val="none"/>
          <w:lang w:val="en-US" w:eastAsia="zh-CN"/>
        </w:rPr>
        <w:t>附件3：关于印发中小企业划型标准规定的通知</w:t>
      </w:r>
      <w:bookmarkEnd w:id="189"/>
    </w:p>
    <w:p w14:paraId="0E43A6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auto"/>
          <w:spacing w:val="0"/>
          <w:sz w:val="24"/>
          <w:szCs w:val="24"/>
          <w:highlight w:val="none"/>
        </w:rPr>
      </w:pPr>
      <w:r>
        <w:rPr>
          <w:rFonts w:hint="default" w:ascii="华文中宋" w:hAnsi="华文中宋" w:eastAsia="华文中宋" w:cs="华文中宋"/>
          <w:b/>
          <w:bCs/>
          <w:i w:val="0"/>
          <w:iCs w:val="0"/>
          <w:caps w:val="0"/>
          <w:color w:val="auto"/>
          <w:spacing w:val="0"/>
          <w:kern w:val="0"/>
          <w:sz w:val="24"/>
          <w:szCs w:val="24"/>
          <w:highlight w:val="none"/>
          <w:shd w:val="clear" w:color="auto" w:fill="FFFFFF"/>
          <w:vertAlign w:val="baseline"/>
          <w:lang w:val="en-US" w:eastAsia="zh-CN"/>
        </w:rPr>
        <w:t>关于印发中小企业划型标准规定的通知</w:t>
      </w:r>
    </w:p>
    <w:p w14:paraId="0A35A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outlineLvl w:val="9"/>
        <w:rPr>
          <w:rFonts w:ascii="仿宋" w:hAnsi="仿宋" w:eastAsia="仿宋" w:cs="仿宋"/>
          <w:b w:val="0"/>
          <w:bCs w:val="0"/>
          <w:color w:val="auto"/>
          <w:sz w:val="24"/>
          <w:szCs w:val="24"/>
          <w:highlight w:val="none"/>
          <w:u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工信部联企业〔2011〕300号</w:t>
      </w:r>
    </w:p>
    <w:p w14:paraId="4694ED61">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各省、自治区、直辖市人民政府，国务院各部委、各直属机构及有关单位：</w:t>
      </w:r>
    </w:p>
    <w:p w14:paraId="1C79325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CF1301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工业和信息化部</w:t>
      </w:r>
    </w:p>
    <w:p w14:paraId="72CB04D8">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国家统计局</w:t>
      </w:r>
    </w:p>
    <w:p w14:paraId="3673036F">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国家发展和改革委员会</w:t>
      </w:r>
    </w:p>
    <w:p w14:paraId="0D6D3DC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财政部</w:t>
      </w:r>
    </w:p>
    <w:p w14:paraId="19985CE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二○一一年六月十八日</w:t>
      </w:r>
    </w:p>
    <w:p w14:paraId="64D47D2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color w:val="auto"/>
          <w:sz w:val="24"/>
          <w:szCs w:val="24"/>
          <w:highlight w:val="none"/>
        </w:rPr>
      </w:pPr>
      <w:r>
        <w:rPr>
          <w:rStyle w:val="33"/>
          <w:rFonts w:hint="eastAsia" w:ascii="仿宋" w:hAnsi="仿宋" w:eastAsia="仿宋" w:cs="仿宋"/>
          <w:i w:val="0"/>
          <w:iCs w:val="0"/>
          <w:caps w:val="0"/>
          <w:color w:val="auto"/>
          <w:spacing w:val="0"/>
          <w:sz w:val="24"/>
          <w:szCs w:val="24"/>
          <w:highlight w:val="none"/>
          <w:u w:val="none"/>
          <w:shd w:val="clear" w:color="auto" w:fill="FFFFFF"/>
          <w:vertAlign w:val="baseline"/>
        </w:rPr>
        <w:t>中小企业划型标准规定</w:t>
      </w:r>
    </w:p>
    <w:p w14:paraId="199BC5E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一、根据《中华人民共和国中小企业促进法》和《国务院关于进一步促进中小企业发展的若干意见》(国发〔2009〕36号)，制定本规定。</w:t>
      </w:r>
    </w:p>
    <w:p w14:paraId="0C47A5D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二、中小企业划分为中型、小型、微型三种类型，具体标准根据企业从业人员、营业收入、资产总额等指标，结合行业特点制定。</w:t>
      </w:r>
    </w:p>
    <w:p w14:paraId="2CAD7F6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7F1905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四、各行业划型标准为：</w:t>
      </w:r>
    </w:p>
    <w:p w14:paraId="6D85E82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（一）农、林、牧、渔业。营业收入20000万元以下的为中小微型企业。其中，营业收入500万元及以上的为中型企业，营业收入50万元及以上的为小型企业，营业收入50万元以下的为微型企业。</w:t>
      </w:r>
    </w:p>
    <w:p w14:paraId="1038428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24F56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2CA20F">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755C7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15525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803DBA">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BEC2DF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9672D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0566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03B49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CB0A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C19F8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925AE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21010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675C2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（十六）其他未列明行业。从业人员300人以下的为中小微型企业。其中，从业人员100人及以上的为中型企业；从业人员10人及以上的为小型企业；从业人员10人以下的为微型企业。</w:t>
      </w:r>
    </w:p>
    <w:p w14:paraId="5E1101E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五、企业类型的划分以统计部门的统计数据为依据。</w:t>
      </w:r>
    </w:p>
    <w:p w14:paraId="166169BD">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六、本规定适用于在中华人民共和国境内依法设立的各类所有制和各种组织形式的企业。个体工商户和本规定以外的行业，参照本规定进行划型。</w:t>
      </w:r>
    </w:p>
    <w:p w14:paraId="0FB2C17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p>
    <w:p w14:paraId="2FE5F6D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八、本规定由工业和信息化部、国家统计局会同有关部门根据《国民经济行业分类》修订情况和企业发展变化情况适时修订。</w:t>
      </w:r>
    </w:p>
    <w:p w14:paraId="744DBA2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九、本规定由工业和信息化部、国家统计局会同有关部门负责解释。</w:t>
      </w:r>
    </w:p>
    <w:p w14:paraId="7AEDFD0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十、本规定自发布之日起执行，原国家经贸委、原国家计委、财政部和国家统计局2003年颁布的《中小企业标准暂行规定》同时废止。</w:t>
      </w:r>
    </w:p>
    <w:p w14:paraId="671B7310">
      <w:pPr>
        <w:rPr>
          <w:color w:val="auto"/>
          <w:highlight w:val="none"/>
          <w:lang w:eastAsia="en-US"/>
        </w:rPr>
      </w:pPr>
      <w:r>
        <w:rPr>
          <w:color w:val="auto"/>
          <w:highlight w:val="none"/>
          <w:lang w:eastAsia="en-US"/>
        </w:rPr>
        <w:br w:type="page"/>
      </w:r>
    </w:p>
    <w:p w14:paraId="1F24EB2C">
      <w:pPr>
        <w:pStyle w:val="11"/>
        <w:rPr>
          <w:lang w:eastAsia="en-US"/>
        </w:rPr>
      </w:pPr>
    </w:p>
    <w:p w14:paraId="6DE763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32"/>
          <w:szCs w:val="28"/>
          <w:lang w:val="en-US" w:eastAsia="zh-CN"/>
        </w:rPr>
      </w:pPr>
      <w:r>
        <w:rPr>
          <w:rFonts w:hint="default" w:ascii="Times New Roman" w:hAnsi="Times New Roman" w:eastAsia="黑体" w:cs="Times New Roman"/>
          <w:color w:val="auto"/>
          <w:sz w:val="32"/>
          <w:szCs w:val="28"/>
          <w:lang w:val="en-US" w:eastAsia="zh-CN"/>
        </w:rPr>
        <w:t>关于符合本国产品标准的声明函（货物）(如适用)</w:t>
      </w:r>
    </w:p>
    <w:p w14:paraId="1CDA28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p>
    <w:p w14:paraId="657DB8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244B50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1.</w:t>
      </w:r>
      <w:r>
        <w:rPr>
          <w:rFonts w:hint="default" w:ascii="Times New Roman" w:hAnsi="Times New Roman" w:cs="Times New Roman"/>
          <w:color w:val="auto"/>
          <w:sz w:val="21"/>
          <w:szCs w:val="20"/>
          <w:u w:val="single"/>
          <w:lang w:val="en-US" w:eastAsia="zh-CN"/>
        </w:rPr>
        <w:t>（产品名称1）</w:t>
      </w:r>
      <w:r>
        <w:rPr>
          <w:rFonts w:hint="default" w:ascii="Times New Roman" w:hAnsi="Times New Roman" w:cs="Times New Roman"/>
          <w:color w:val="auto"/>
          <w:sz w:val="21"/>
          <w:szCs w:val="20"/>
          <w:vertAlign w:val="superscript"/>
          <w:lang w:val="en-US" w:eastAsia="zh-CN"/>
        </w:rPr>
        <w:t>1</w:t>
      </w:r>
      <w:r>
        <w:rPr>
          <w:rFonts w:hint="default" w:ascii="Times New Roman" w:hAnsi="Times New Roman" w:cs="Times New Roman"/>
          <w:color w:val="auto"/>
          <w:sz w:val="21"/>
          <w:szCs w:val="20"/>
          <w:lang w:val="en-US" w:eastAsia="zh-CN"/>
        </w:rPr>
        <w:t>，生产厂为</w:t>
      </w:r>
      <w:r>
        <w:rPr>
          <w:rFonts w:hint="default" w:ascii="Times New Roman" w:hAnsi="Times New Roman" w:cs="Times New Roman"/>
          <w:color w:val="auto"/>
          <w:sz w:val="21"/>
          <w:szCs w:val="20"/>
          <w:u w:val="single"/>
          <w:lang w:val="en-US" w:eastAsia="zh-CN"/>
        </w:rPr>
        <w:t>（厂名）</w:t>
      </w:r>
      <w:r>
        <w:rPr>
          <w:rFonts w:hint="default" w:ascii="Times New Roman" w:hAnsi="Times New Roman" w:cs="Times New Roman"/>
          <w:color w:val="auto"/>
          <w:sz w:val="21"/>
          <w:szCs w:val="20"/>
          <w:vertAlign w:val="superscript"/>
          <w:lang w:val="en-US" w:eastAsia="zh-CN"/>
        </w:rPr>
        <w:t>2</w:t>
      </w:r>
      <w:r>
        <w:rPr>
          <w:rFonts w:hint="default" w:ascii="Times New Roman" w:hAnsi="Times New Roman" w:cs="Times New Roman"/>
          <w:color w:val="auto"/>
          <w:sz w:val="21"/>
          <w:szCs w:val="20"/>
          <w:lang w:val="en-US" w:eastAsia="zh-CN"/>
        </w:rPr>
        <w:t>，厂址为</w:t>
      </w:r>
      <w:r>
        <w:rPr>
          <w:rFonts w:hint="default" w:ascii="Times New Roman" w:hAnsi="Times New Roman" w:cs="Times New Roman"/>
          <w:color w:val="auto"/>
          <w:sz w:val="21"/>
          <w:szCs w:val="20"/>
          <w:u w:val="single"/>
          <w:lang w:val="en-US" w:eastAsia="zh-CN"/>
        </w:rPr>
        <w:t>（生产厂址）</w:t>
      </w:r>
      <w:r>
        <w:rPr>
          <w:rFonts w:hint="default" w:ascii="Times New Roman" w:hAnsi="Times New Roman" w:cs="Times New Roman"/>
          <w:color w:val="auto"/>
          <w:sz w:val="21"/>
          <w:szCs w:val="20"/>
          <w:lang w:val="en-US" w:eastAsia="zh-CN"/>
        </w:rPr>
        <w:t>。</w:t>
      </w:r>
      <w:r>
        <w:rPr>
          <w:rFonts w:hint="default" w:ascii="Times New Roman" w:hAnsi="Times New Roman" w:cs="Times New Roman"/>
          <w:color w:val="auto"/>
          <w:sz w:val="21"/>
          <w:szCs w:val="20"/>
          <w:u w:val="single"/>
          <w:lang w:val="en-US" w:eastAsia="zh-CN"/>
        </w:rPr>
        <w:t>（产品名称1）</w:t>
      </w:r>
      <w:r>
        <w:rPr>
          <w:rFonts w:hint="default" w:ascii="Times New Roman" w:hAnsi="Times New Roman" w:cs="Times New Roman"/>
          <w:color w:val="auto"/>
          <w:sz w:val="21"/>
          <w:szCs w:val="20"/>
          <w:lang w:val="en-US" w:eastAsia="zh-CN"/>
        </w:rPr>
        <w:t>的中国境内生产的组件成本占比≥</w:t>
      </w:r>
      <w:r>
        <w:rPr>
          <w:rFonts w:hint="default" w:ascii="Times New Roman" w:hAnsi="Times New Roman" w:cs="Times New Roman"/>
          <w:color w:val="auto"/>
          <w:sz w:val="21"/>
          <w:szCs w:val="20"/>
          <w:u w:val="single"/>
          <w:lang w:val="en-US" w:eastAsia="zh-CN"/>
        </w:rPr>
        <w:t>（规定比例）</w:t>
      </w:r>
      <w:r>
        <w:rPr>
          <w:rFonts w:hint="default" w:ascii="Times New Roman" w:hAnsi="Times New Roman" w:cs="Times New Roman"/>
          <w:color w:val="auto"/>
          <w:sz w:val="21"/>
          <w:szCs w:val="20"/>
          <w:vertAlign w:val="superscript"/>
          <w:lang w:val="en-US" w:eastAsia="zh-CN"/>
        </w:rPr>
        <w:t>3</w:t>
      </w:r>
      <w:r>
        <w:rPr>
          <w:rFonts w:hint="default" w:ascii="Times New Roman" w:hAnsi="Times New Roman" w:cs="Times New Roman"/>
          <w:color w:val="auto"/>
          <w:sz w:val="21"/>
          <w:szCs w:val="20"/>
          <w:lang w:val="en-US" w:eastAsia="zh-CN"/>
        </w:rPr>
        <w:t>。</w:t>
      </w:r>
      <w:r>
        <w:rPr>
          <w:rFonts w:hint="default" w:ascii="Times New Roman" w:hAnsi="Times New Roman" w:cs="Times New Roman"/>
          <w:color w:val="auto"/>
          <w:sz w:val="21"/>
          <w:szCs w:val="20"/>
          <w:u w:val="single"/>
          <w:lang w:val="en-US" w:eastAsia="zh-CN"/>
        </w:rPr>
        <w:t>（产品名称1）</w:t>
      </w:r>
      <w:r>
        <w:rPr>
          <w:rFonts w:hint="default" w:ascii="Times New Roman" w:hAnsi="Times New Roman" w:cs="Times New Roman"/>
          <w:color w:val="auto"/>
          <w:sz w:val="21"/>
          <w:szCs w:val="20"/>
          <w:lang w:val="en-US" w:eastAsia="zh-CN"/>
        </w:rPr>
        <w:t>的</w:t>
      </w:r>
      <w:r>
        <w:rPr>
          <w:rFonts w:hint="default" w:ascii="Times New Roman" w:hAnsi="Times New Roman" w:cs="Times New Roman"/>
          <w:color w:val="auto"/>
          <w:sz w:val="21"/>
          <w:szCs w:val="20"/>
          <w:u w:val="single"/>
          <w:lang w:val="en-US" w:eastAsia="zh-CN"/>
        </w:rPr>
        <w:t>（关键组件）</w:t>
      </w:r>
      <w:r>
        <w:rPr>
          <w:rFonts w:hint="default" w:ascii="Times New Roman" w:hAnsi="Times New Roman" w:cs="Times New Roman"/>
          <w:color w:val="auto"/>
          <w:sz w:val="21"/>
          <w:szCs w:val="20"/>
          <w:vertAlign w:val="superscript"/>
          <w:lang w:val="en-US" w:eastAsia="zh-CN"/>
        </w:rPr>
        <w:t>4</w:t>
      </w:r>
      <w:r>
        <w:rPr>
          <w:rFonts w:hint="default" w:ascii="Times New Roman" w:hAnsi="Times New Roman" w:cs="Times New Roman"/>
          <w:color w:val="auto"/>
          <w:sz w:val="21"/>
          <w:szCs w:val="20"/>
          <w:lang w:val="en-US" w:eastAsia="zh-CN"/>
        </w:rPr>
        <w:t>在中国境内生产。</w:t>
      </w:r>
      <w:r>
        <w:rPr>
          <w:rFonts w:hint="default" w:ascii="Times New Roman" w:hAnsi="Times New Roman" w:cs="Times New Roman"/>
          <w:color w:val="auto"/>
          <w:sz w:val="21"/>
          <w:szCs w:val="20"/>
          <w:u w:val="single"/>
          <w:lang w:val="en-US" w:eastAsia="zh-CN"/>
        </w:rPr>
        <w:t>（产品名称1）</w:t>
      </w:r>
      <w:r>
        <w:rPr>
          <w:rFonts w:hint="default" w:ascii="Times New Roman" w:hAnsi="Times New Roman" w:cs="Times New Roman"/>
          <w:color w:val="auto"/>
          <w:sz w:val="21"/>
          <w:szCs w:val="20"/>
          <w:lang w:val="en-US" w:eastAsia="zh-CN"/>
        </w:rPr>
        <w:t>的</w:t>
      </w:r>
      <w:r>
        <w:rPr>
          <w:rFonts w:hint="default" w:ascii="Times New Roman" w:hAnsi="Times New Roman" w:cs="Times New Roman"/>
          <w:color w:val="auto"/>
          <w:sz w:val="21"/>
          <w:szCs w:val="20"/>
          <w:u w:val="single"/>
          <w:lang w:val="en-US" w:eastAsia="zh-CN"/>
        </w:rPr>
        <w:t>（关键工序）</w:t>
      </w:r>
      <w:r>
        <w:rPr>
          <w:rFonts w:hint="default" w:ascii="Times New Roman" w:hAnsi="Times New Roman" w:cs="Times New Roman"/>
          <w:color w:val="auto"/>
          <w:sz w:val="21"/>
          <w:szCs w:val="20"/>
          <w:vertAlign w:val="superscript"/>
          <w:lang w:val="en-US" w:eastAsia="zh-CN"/>
        </w:rPr>
        <w:t>5</w:t>
      </w:r>
      <w:r>
        <w:rPr>
          <w:rFonts w:hint="default" w:ascii="Times New Roman" w:hAnsi="Times New Roman" w:cs="Times New Roman"/>
          <w:color w:val="auto"/>
          <w:sz w:val="21"/>
          <w:szCs w:val="20"/>
          <w:lang w:val="en-US" w:eastAsia="zh-CN"/>
        </w:rPr>
        <w:t>在中国境内完成。</w:t>
      </w:r>
    </w:p>
    <w:p w14:paraId="401737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2.</w:t>
      </w:r>
      <w:r>
        <w:rPr>
          <w:rFonts w:hint="default" w:ascii="Times New Roman" w:hAnsi="Times New Roman" w:cs="Times New Roman"/>
          <w:color w:val="auto"/>
          <w:sz w:val="21"/>
          <w:szCs w:val="20"/>
          <w:u w:val="single"/>
          <w:lang w:val="en-US" w:eastAsia="zh-CN"/>
        </w:rPr>
        <w:t>（产品名称2）</w:t>
      </w:r>
      <w:r>
        <w:rPr>
          <w:rFonts w:hint="default" w:ascii="Times New Roman" w:hAnsi="Times New Roman" w:cs="Times New Roman"/>
          <w:color w:val="auto"/>
          <w:sz w:val="21"/>
          <w:szCs w:val="20"/>
          <w:lang w:val="en-US" w:eastAsia="zh-CN"/>
        </w:rPr>
        <w:t>，生产厂为</w:t>
      </w:r>
      <w:r>
        <w:rPr>
          <w:rFonts w:hint="default" w:ascii="Times New Roman" w:hAnsi="Times New Roman" w:cs="Times New Roman"/>
          <w:color w:val="auto"/>
          <w:sz w:val="21"/>
          <w:szCs w:val="20"/>
          <w:u w:val="single"/>
          <w:lang w:val="en-US" w:eastAsia="zh-CN"/>
        </w:rPr>
        <w:t>（厂名）</w:t>
      </w:r>
      <w:r>
        <w:rPr>
          <w:rFonts w:hint="default" w:ascii="Times New Roman" w:hAnsi="Times New Roman" w:cs="Times New Roman"/>
          <w:color w:val="auto"/>
          <w:sz w:val="21"/>
          <w:szCs w:val="20"/>
          <w:lang w:val="en-US" w:eastAsia="zh-CN"/>
        </w:rPr>
        <w:t>，厂址为</w:t>
      </w:r>
      <w:r>
        <w:rPr>
          <w:rFonts w:hint="default" w:ascii="Times New Roman" w:hAnsi="Times New Roman" w:cs="Times New Roman"/>
          <w:color w:val="auto"/>
          <w:sz w:val="21"/>
          <w:szCs w:val="20"/>
          <w:u w:val="single"/>
          <w:lang w:val="en-US" w:eastAsia="zh-CN"/>
        </w:rPr>
        <w:t>（生产厂址）</w:t>
      </w:r>
      <w:r>
        <w:rPr>
          <w:rFonts w:hint="default" w:ascii="Times New Roman" w:hAnsi="Times New Roman" w:cs="Times New Roman"/>
          <w:color w:val="auto"/>
          <w:sz w:val="21"/>
          <w:szCs w:val="20"/>
          <w:lang w:val="en-US" w:eastAsia="zh-CN"/>
        </w:rPr>
        <w:t>。</w:t>
      </w:r>
      <w:r>
        <w:rPr>
          <w:rFonts w:hint="default" w:ascii="Times New Roman" w:hAnsi="Times New Roman" w:cs="Times New Roman"/>
          <w:color w:val="auto"/>
          <w:sz w:val="21"/>
          <w:szCs w:val="20"/>
          <w:u w:val="single"/>
          <w:lang w:val="en-US" w:eastAsia="zh-CN"/>
        </w:rPr>
        <w:t>（产品名称2）</w:t>
      </w:r>
      <w:r>
        <w:rPr>
          <w:rFonts w:hint="default" w:ascii="Times New Roman" w:hAnsi="Times New Roman" w:cs="Times New Roman"/>
          <w:color w:val="auto"/>
          <w:sz w:val="21"/>
          <w:szCs w:val="20"/>
          <w:lang w:val="en-US" w:eastAsia="zh-CN"/>
        </w:rPr>
        <w:t>的中国境内生产的组件成本占比≥</w:t>
      </w:r>
      <w:r>
        <w:rPr>
          <w:rFonts w:hint="default" w:ascii="Times New Roman" w:hAnsi="Times New Roman" w:cs="Times New Roman"/>
          <w:color w:val="auto"/>
          <w:sz w:val="21"/>
          <w:szCs w:val="20"/>
          <w:u w:val="single"/>
          <w:lang w:val="en-US" w:eastAsia="zh-CN"/>
        </w:rPr>
        <w:t>（规定比例）</w:t>
      </w:r>
      <w:r>
        <w:rPr>
          <w:rFonts w:hint="default" w:ascii="Times New Roman" w:hAnsi="Times New Roman" w:cs="Times New Roman"/>
          <w:color w:val="auto"/>
          <w:sz w:val="21"/>
          <w:szCs w:val="20"/>
          <w:lang w:val="en-US" w:eastAsia="zh-CN"/>
        </w:rPr>
        <w:t>。</w:t>
      </w:r>
      <w:r>
        <w:rPr>
          <w:rFonts w:hint="default" w:ascii="Times New Roman" w:hAnsi="Times New Roman" w:cs="Times New Roman"/>
          <w:color w:val="auto"/>
          <w:sz w:val="21"/>
          <w:szCs w:val="20"/>
          <w:u w:val="single"/>
          <w:lang w:val="en-US" w:eastAsia="zh-CN"/>
        </w:rPr>
        <w:t>（产品名称2）</w:t>
      </w:r>
      <w:r>
        <w:rPr>
          <w:rFonts w:hint="default" w:ascii="Times New Roman" w:hAnsi="Times New Roman" w:cs="Times New Roman"/>
          <w:color w:val="auto"/>
          <w:sz w:val="21"/>
          <w:szCs w:val="20"/>
          <w:lang w:val="en-US" w:eastAsia="zh-CN"/>
        </w:rPr>
        <w:t>的</w:t>
      </w:r>
      <w:r>
        <w:rPr>
          <w:rFonts w:hint="default" w:ascii="Times New Roman" w:hAnsi="Times New Roman" w:cs="Times New Roman"/>
          <w:color w:val="auto"/>
          <w:sz w:val="21"/>
          <w:szCs w:val="20"/>
          <w:u w:val="single"/>
          <w:lang w:val="en-US" w:eastAsia="zh-CN"/>
        </w:rPr>
        <w:t>（关键组件）</w:t>
      </w:r>
      <w:r>
        <w:rPr>
          <w:rFonts w:hint="default" w:ascii="Times New Roman" w:hAnsi="Times New Roman" w:cs="Times New Roman"/>
          <w:color w:val="auto"/>
          <w:sz w:val="21"/>
          <w:szCs w:val="20"/>
          <w:lang w:val="en-US" w:eastAsia="zh-CN"/>
        </w:rPr>
        <w:t>在中国境内生产。</w:t>
      </w:r>
      <w:r>
        <w:rPr>
          <w:rFonts w:hint="default" w:ascii="Times New Roman" w:hAnsi="Times New Roman" w:cs="Times New Roman"/>
          <w:color w:val="auto"/>
          <w:sz w:val="21"/>
          <w:szCs w:val="20"/>
          <w:u w:val="single"/>
          <w:lang w:val="en-US" w:eastAsia="zh-CN"/>
        </w:rPr>
        <w:t>（产品名称2）</w:t>
      </w:r>
      <w:r>
        <w:rPr>
          <w:rFonts w:hint="default" w:ascii="Times New Roman" w:hAnsi="Times New Roman" w:cs="Times New Roman"/>
          <w:color w:val="auto"/>
          <w:sz w:val="21"/>
          <w:szCs w:val="20"/>
          <w:lang w:val="en-US" w:eastAsia="zh-CN"/>
        </w:rPr>
        <w:t>的</w:t>
      </w:r>
      <w:r>
        <w:rPr>
          <w:rFonts w:hint="default" w:ascii="Times New Roman" w:hAnsi="Times New Roman" w:cs="Times New Roman"/>
          <w:color w:val="auto"/>
          <w:sz w:val="21"/>
          <w:szCs w:val="20"/>
          <w:u w:val="single"/>
          <w:lang w:val="en-US" w:eastAsia="zh-CN"/>
        </w:rPr>
        <w:t>（关键工序）</w:t>
      </w:r>
      <w:r>
        <w:rPr>
          <w:rFonts w:hint="default" w:ascii="Times New Roman" w:hAnsi="Times New Roman" w:cs="Times New Roman"/>
          <w:color w:val="auto"/>
          <w:sz w:val="21"/>
          <w:szCs w:val="20"/>
          <w:lang w:val="en-US" w:eastAsia="zh-CN"/>
        </w:rPr>
        <w:t>在中国境内完成。</w:t>
      </w:r>
    </w:p>
    <w:p w14:paraId="319AA0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w:t>
      </w:r>
    </w:p>
    <w:p w14:paraId="6B511C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本公司（单位）对上述声明内容的真实性负责。如有虚假，愿承担相应法律责任。</w:t>
      </w:r>
    </w:p>
    <w:p w14:paraId="6D812F0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0"/>
          <w:lang w:val="en-US" w:eastAsia="zh-CN"/>
        </w:rPr>
      </w:pPr>
    </w:p>
    <w:p w14:paraId="7DCF81C8">
      <w:pPr>
        <w:keepNext w:val="0"/>
        <w:keepLines w:val="0"/>
        <w:pageBreakBefore w:val="0"/>
        <w:widowControl w:val="0"/>
        <w:kinsoku/>
        <w:wordWrap/>
        <w:overflowPunct/>
        <w:topLinePunct w:val="0"/>
        <w:autoSpaceDE/>
        <w:autoSpaceDN/>
        <w:bidi w:val="0"/>
        <w:adjustRightInd/>
        <w:snapToGrid/>
        <w:spacing w:line="240" w:lineRule="auto"/>
        <w:ind w:left="0" w:leftChars="0" w:firstLine="3780" w:firstLineChars="18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公司（单位）名称：（公章）</w:t>
      </w:r>
    </w:p>
    <w:p w14:paraId="69BF91A4">
      <w:pPr>
        <w:keepNext w:val="0"/>
        <w:keepLines w:val="0"/>
        <w:pageBreakBefore w:val="0"/>
        <w:widowControl w:val="0"/>
        <w:kinsoku/>
        <w:wordWrap w:val="0"/>
        <w:overflowPunct/>
        <w:topLinePunct w:val="0"/>
        <w:autoSpaceDE/>
        <w:autoSpaceDN/>
        <w:bidi w:val="0"/>
        <w:adjustRightInd/>
        <w:snapToGrid/>
        <w:spacing w:line="240" w:lineRule="auto"/>
        <w:ind w:left="0" w:leftChars="0" w:firstLine="3780" w:firstLineChars="1800"/>
        <w:jc w:val="both"/>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 xml:space="preserve">日期：    年    月　  日    </w:t>
      </w:r>
    </w:p>
    <w:p w14:paraId="1AC2150C">
      <w:pPr>
        <w:keepNext w:val="0"/>
        <w:keepLines w:val="0"/>
        <w:pageBreakBefore w:val="0"/>
        <w:widowControl w:val="0"/>
        <w:kinsoku/>
        <w:wordWrap w:val="0"/>
        <w:overflowPunct/>
        <w:topLinePunct w:val="0"/>
        <w:autoSpaceDE/>
        <w:autoSpaceDN/>
        <w:bidi w:val="0"/>
        <w:adjustRightInd/>
        <w:snapToGrid/>
        <w:spacing w:line="240" w:lineRule="auto"/>
        <w:ind w:left="0" w:leftChars="0" w:firstLine="3780" w:firstLineChars="1800"/>
        <w:jc w:val="both"/>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 xml:space="preserve">      </w:t>
      </w:r>
    </w:p>
    <w:p w14:paraId="0F8846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__________________</w:t>
      </w:r>
    </w:p>
    <w:p w14:paraId="355D98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1.产品如有型号，请在“产品名称”栏一并填写。</w:t>
      </w:r>
    </w:p>
    <w:p w14:paraId="02059E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2.生产厂名与厂址应与生产厂营业执照载明的相关信息保持一致。</w:t>
      </w:r>
    </w:p>
    <w:p w14:paraId="5E122F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3.该产品的中国境内生产的组件成本占比相关要求实施前，“规定比例”栏可不填，下同。</w:t>
      </w:r>
    </w:p>
    <w:p w14:paraId="27B54B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4.该产品的关键组件要求实施前，“关键组件”栏可不填，下同。</w:t>
      </w:r>
    </w:p>
    <w:p w14:paraId="43EF09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5.该产品的关键工序要求实施前，“关键工序”栏可不填，下同。</w:t>
      </w:r>
    </w:p>
    <w:p w14:paraId="28AECE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32"/>
          <w:szCs w:val="28"/>
          <w:lang w:val="en-US" w:eastAsia="zh-CN"/>
        </w:rPr>
      </w:pPr>
      <w:r>
        <w:rPr>
          <w:rFonts w:hint="default" w:ascii="Times New Roman" w:hAnsi="Times New Roman" w:eastAsia="黑体" w:cs="Times New Roman"/>
          <w:color w:val="auto"/>
          <w:sz w:val="32"/>
          <w:szCs w:val="28"/>
          <w:lang w:val="en-US" w:eastAsia="zh-CN"/>
        </w:rPr>
        <w:t>关于符合本国产品标准的成本占比承诺函</w:t>
      </w:r>
    </w:p>
    <w:tbl>
      <w:tblPr>
        <w:tblStyle w:val="31"/>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1"/>
        <w:gridCol w:w="2849"/>
      </w:tblGrid>
      <w:tr w14:paraId="6617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noWrap w:val="0"/>
            <w:vAlign w:val="center"/>
          </w:tcPr>
          <w:p w14:paraId="17BE75CE">
            <w:pPr>
              <w:jc w:val="center"/>
              <w:rPr>
                <w:rFonts w:hint="default" w:ascii="Times New Roman" w:hAnsi="Times New Roman" w:eastAsia="宋体" w:cs="Times New Roman"/>
                <w:b/>
                <w:bCs/>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b/>
                <w:bCs/>
                <w:i w:val="0"/>
                <w:iCs w:val="0"/>
                <w:caps w:val="0"/>
                <w:color w:val="auto"/>
                <w:spacing w:val="0"/>
                <w:sz w:val="21"/>
                <w:szCs w:val="21"/>
                <w:u w:val="none"/>
                <w:shd w:val="clear" w:color="auto" w:fill="FFFFFF"/>
                <w:vertAlign w:val="baseline"/>
                <w:lang w:val="en-US" w:eastAsia="zh-CN"/>
              </w:rPr>
              <w:t>项目</w:t>
            </w:r>
          </w:p>
        </w:tc>
        <w:tc>
          <w:tcPr>
            <w:tcW w:w="2849" w:type="dxa"/>
            <w:noWrap w:val="0"/>
            <w:vAlign w:val="center"/>
          </w:tcPr>
          <w:p w14:paraId="7E35AD96">
            <w:pPr>
              <w:jc w:val="center"/>
              <w:rPr>
                <w:rFonts w:hint="default" w:ascii="Times New Roman" w:hAnsi="Times New Roman" w:eastAsia="宋体" w:cs="Times New Roman"/>
                <w:b/>
                <w:bCs/>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b/>
                <w:bCs/>
                <w:i w:val="0"/>
                <w:iCs w:val="0"/>
                <w:caps w:val="0"/>
                <w:color w:val="auto"/>
                <w:spacing w:val="0"/>
                <w:sz w:val="21"/>
                <w:szCs w:val="21"/>
                <w:u w:val="none"/>
                <w:shd w:val="clear" w:color="auto" w:fill="FFFFFF"/>
                <w:vertAlign w:val="baseline"/>
                <w:lang w:val="en-US" w:eastAsia="zh-CN"/>
              </w:rPr>
              <w:t>填写内容</w:t>
            </w:r>
          </w:p>
        </w:tc>
      </w:tr>
      <w:tr w14:paraId="20CD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noWrap w:val="0"/>
            <w:vAlign w:val="center"/>
          </w:tcPr>
          <w:p w14:paraId="6142F566">
            <w:pPr>
              <w:jc w:val="cente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p>
          <w:p w14:paraId="752E9489">
            <w:pPr>
              <w:jc w:val="center"/>
              <w:rPr>
                <w:rFonts w:hint="default" w:ascii="Times New Roman" w:hAnsi="Times New Roman" w:eastAsia="Consolas" w:cs="Times New Roman"/>
                <w:i w:val="0"/>
                <w:iCs w:val="0"/>
                <w:caps w:val="0"/>
                <w:color w:val="auto"/>
                <w:spacing w:val="4"/>
                <w:sz w:val="21"/>
                <w:szCs w:val="21"/>
                <w:bdr w:val="single" w:color="auto" w:sz="2" w:space="0"/>
                <w:shd w:val="clear" w:color="auto" w:fill="FFFFFF"/>
              </w:rPr>
            </w:pPr>
            <m:oMathPara>
              <m:oMath>
                <m:r>
                  <m:rPr>
                    <m:sty m:val="p"/>
                  </m:rPr>
                  <w:rPr>
                    <w:rFonts w:hint="default" w:ascii="Cambria Math" w:hAnsi="Cambria Math" w:eastAsia="Consolas"/>
                    <w:sz w:val="21"/>
                    <w:szCs w:val="21"/>
                  </w:rPr>
                  <m:t>比例</m:t>
                </m:r>
                <m:r>
                  <m:rPr/>
                  <w:rPr>
                    <w:rFonts w:hint="default" w:ascii="Cambria Math" w:hAnsi="Cambria Math" w:eastAsia="Consolas"/>
                    <w:sz w:val="21"/>
                    <w:szCs w:val="21"/>
                  </w:rPr>
                  <m:t>=</m:t>
                </m:r>
                <m:f>
                  <m:fPr>
                    <m:ctrlPr>
                      <w:rPr>
                        <w:rFonts w:hint="default" w:ascii="Cambria Math" w:hAnsi="Cambria Math" w:eastAsia="Consolas"/>
                        <w:i/>
                        <w:sz w:val="21"/>
                        <w:szCs w:val="21"/>
                      </w:rPr>
                    </m:ctrlPr>
                  </m:fPr>
                  <m:num>
                    <m:r>
                      <m:rPr>
                        <m:sty m:val="p"/>
                      </m:rPr>
                      <w:rPr>
                        <w:rFonts w:hint="default" w:ascii="Cambria Math" w:hAnsi="Cambria Math" w:eastAsia="Consolas"/>
                        <w:sz w:val="21"/>
                        <w:szCs w:val="21"/>
                      </w:rPr>
                      <m:t>符合本国产品标准的投标产品成本之和</m:t>
                    </m:r>
                    <m:ctrlPr>
                      <w:rPr>
                        <w:rFonts w:hint="default" w:ascii="Cambria Math" w:hAnsi="Cambria Math" w:eastAsia="Consolas"/>
                        <w:sz w:val="21"/>
                        <w:szCs w:val="21"/>
                      </w:rPr>
                    </m:ctrlPr>
                  </m:num>
                  <m:den>
                    <m:r>
                      <m:rPr>
                        <m:sty m:val="p"/>
                      </m:rPr>
                      <w:rPr>
                        <w:rFonts w:hint="default" w:ascii="Cambria Math" w:hAnsi="Cambria Math" w:eastAsia="Consolas"/>
                        <w:sz w:val="21"/>
                        <w:szCs w:val="21"/>
                      </w:rPr>
                      <m:t>提供的全部产品成本之和</m:t>
                    </m:r>
                    <m:ctrlPr>
                      <w:rPr>
                        <w:rFonts w:hint="default" w:ascii="Cambria Math" w:hAnsi="Cambria Math" w:eastAsia="Consolas"/>
                        <w:sz w:val="21"/>
                        <w:szCs w:val="21"/>
                      </w:rPr>
                    </m:ctrlPr>
                  </m:den>
                </m:f>
                <m:r>
                  <m:rPr>
                    <m:sty m:val="p"/>
                  </m:rPr>
                  <w:rPr>
                    <w:rFonts w:hint="default" w:ascii="Cambria Math" w:hAnsi="Cambria Math" w:eastAsia="Consolas"/>
                    <w:sz w:val="21"/>
                    <w:szCs w:val="21"/>
                  </w:rPr>
                  <m:t>×</m:t>
                </m:r>
                <m:r>
                  <m:rPr/>
                  <w:rPr>
                    <w:rFonts w:hint="default" w:ascii="Cambria Math" w:hAnsi="Cambria Math" w:eastAsia="Consolas"/>
                    <w:sz w:val="21"/>
                    <w:szCs w:val="21"/>
                  </w:rPr>
                  <m:t>100%</m:t>
                </m:r>
              </m:oMath>
            </m:oMathPara>
          </w:p>
          <w:p w14:paraId="79F5B63F">
            <w:pPr>
              <w:jc w:val="center"/>
              <w:rPr>
                <w:rFonts w:hint="default" w:ascii="Times New Roman" w:hAnsi="Times New Roman" w:eastAsia="Consolas" w:cs="Times New Roman"/>
                <w:i w:val="0"/>
                <w:iCs w:val="0"/>
                <w:caps w:val="0"/>
                <w:color w:val="auto"/>
                <w:spacing w:val="4"/>
                <w:sz w:val="21"/>
                <w:szCs w:val="21"/>
                <w:bdr w:val="single" w:color="auto" w:sz="2" w:space="0"/>
                <w:shd w:val="clear" w:color="auto" w:fill="FFFFFF"/>
                <w:lang w:val="en-US" w:eastAsia="zh-CN"/>
              </w:rPr>
            </w:pPr>
          </w:p>
          <w:p w14:paraId="0CC2EE44">
            <w:pPr>
              <w:jc w:val="cente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p>
        </w:tc>
        <w:tc>
          <w:tcPr>
            <w:tcW w:w="2849" w:type="dxa"/>
            <w:noWrap w:val="0"/>
            <w:vAlign w:val="center"/>
          </w:tcPr>
          <w:p w14:paraId="75826C8A">
            <w:pPr>
              <w:jc w:val="cente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u w:val="single"/>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w:t>
            </w:r>
          </w:p>
        </w:tc>
      </w:tr>
    </w:tbl>
    <w:p w14:paraId="7AEDA7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本公司（单位）填写、盖章与签署，</w:t>
      </w:r>
      <w:r>
        <w:rPr>
          <w:rFonts w:hint="default" w:ascii="Times New Roman" w:hAnsi="Times New Roman" w:cs="Times New Roman"/>
          <w:i w:val="0"/>
          <w:iCs w:val="0"/>
          <w:caps w:val="0"/>
          <w:color w:val="auto"/>
          <w:spacing w:val="0"/>
          <w:sz w:val="21"/>
          <w:szCs w:val="21"/>
          <w:u w:val="none"/>
          <w:shd w:val="clear" w:color="auto" w:fill="FFFFFF"/>
          <w:vertAlign w:val="baseline"/>
          <w:lang w:val="en-US" w:eastAsia="zh-CN"/>
        </w:rPr>
        <w:t>即视为对</w:t>
      </w: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表格内容真实、准确、完整的正式承诺。如存在任何虚假、误导性陈述或重大遗漏，本公司（单位）</w:t>
      </w:r>
      <w:r>
        <w:rPr>
          <w:rFonts w:hint="default" w:ascii="Times New Roman" w:hAnsi="Times New Roman" w:cs="Times New Roman"/>
          <w:i w:val="0"/>
          <w:iCs w:val="0"/>
          <w:caps w:val="0"/>
          <w:color w:val="auto"/>
          <w:spacing w:val="0"/>
          <w:sz w:val="21"/>
          <w:szCs w:val="21"/>
          <w:u w:val="none"/>
          <w:shd w:val="clear" w:color="auto" w:fill="FFFFFF"/>
          <w:vertAlign w:val="baseline"/>
          <w:lang w:val="en-US" w:eastAsia="zh-CN"/>
        </w:rPr>
        <w:t>愿</w:t>
      </w: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承担由此产生的一切法律后果及责任。</w:t>
      </w:r>
    </w:p>
    <w:p w14:paraId="0E84B5C9">
      <w:pP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 </w:t>
      </w:r>
    </w:p>
    <w:p w14:paraId="6D9DFAAB">
      <w:pPr>
        <w:keepNext w:val="0"/>
        <w:keepLines w:val="0"/>
        <w:pageBreakBefore w:val="0"/>
        <w:widowControl w:val="0"/>
        <w:kinsoku/>
        <w:wordWrap w:val="0"/>
        <w:overflowPunct/>
        <w:topLinePunct w:val="0"/>
        <w:autoSpaceDE/>
        <w:autoSpaceDN/>
        <w:bidi w:val="0"/>
        <w:adjustRightInd/>
        <w:snapToGrid/>
        <w:ind w:left="0" w:leftChars="0" w:firstLine="3780" w:firstLineChars="1800"/>
        <w:jc w:val="both"/>
        <w:textAlignment w:val="auto"/>
        <w:rPr>
          <w:rFonts w:hint="default" w:ascii="Times New Roman" w:hAnsi="Times New Roman" w:cs="Times New Roman"/>
          <w:color w:val="auto"/>
          <w:sz w:val="21"/>
          <w:szCs w:val="20"/>
          <w:lang w:val="en-US" w:eastAsia="zh-CN"/>
        </w:rPr>
      </w:pPr>
      <w:r>
        <w:rPr>
          <w:rFonts w:hint="default" w:ascii="Times New Roman" w:hAnsi="Times New Roman" w:cs="Times New Roman"/>
          <w:color w:val="auto"/>
          <w:sz w:val="21"/>
          <w:szCs w:val="20"/>
          <w:lang w:val="en-US" w:eastAsia="zh-CN"/>
        </w:rPr>
        <w:t>公司（单位）名称：（公章）</w:t>
      </w:r>
    </w:p>
    <w:p w14:paraId="68E6710C">
      <w:pPr>
        <w:keepNext w:val="0"/>
        <w:keepLines w:val="0"/>
        <w:pageBreakBefore w:val="0"/>
        <w:widowControl w:val="0"/>
        <w:kinsoku/>
        <w:wordWrap w:val="0"/>
        <w:overflowPunct/>
        <w:topLinePunct w:val="0"/>
        <w:autoSpaceDE/>
        <w:autoSpaceDN/>
        <w:bidi w:val="0"/>
        <w:adjustRightInd/>
        <w:snapToGrid/>
        <w:ind w:left="0" w:leftChars="0" w:firstLine="3780" w:firstLineChars="18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0"/>
          <w:lang w:val="en-US" w:eastAsia="zh-CN"/>
        </w:rPr>
        <w:t>日期：    年    月　  日</w:t>
      </w:r>
      <w:r>
        <w:rPr>
          <w:rFonts w:hint="default" w:ascii="Times New Roman" w:hAnsi="Times New Roman" w:eastAsia="宋体" w:cs="Times New Roman"/>
          <w:i w:val="0"/>
          <w:iCs w:val="0"/>
          <w:caps w:val="0"/>
          <w:color w:val="auto"/>
          <w:spacing w:val="0"/>
          <w:kern w:val="0"/>
          <w:sz w:val="21"/>
          <w:szCs w:val="21"/>
          <w:u w:val="none"/>
          <w:shd w:val="clear" w:color="auto" w:fill="FFFFFF"/>
          <w:vertAlign w:val="baseline"/>
          <w:lang w:val="en-US" w:eastAsia="zh-CN" w:bidi="ar"/>
        </w:rPr>
        <w:t>         </w:t>
      </w:r>
    </w:p>
    <w:p w14:paraId="00418F31">
      <w:pP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p>
    <w:p w14:paraId="512F5167">
      <w:pP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注：</w:t>
      </w:r>
    </w:p>
    <w:p w14:paraId="0D1EF510">
      <w:pP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1、单一产品投标（响应）无须填写此函</w:t>
      </w:r>
      <w:r>
        <w:rPr>
          <w:rFonts w:hint="default" w:ascii="Times New Roman" w:hAnsi="Times New Roman" w:cs="Times New Roman"/>
          <w:i w:val="0"/>
          <w:iCs w:val="0"/>
          <w:caps w:val="0"/>
          <w:color w:val="auto"/>
          <w:spacing w:val="0"/>
          <w:sz w:val="21"/>
          <w:szCs w:val="21"/>
          <w:u w:val="none"/>
          <w:shd w:val="clear" w:color="auto" w:fill="FFFFFF"/>
          <w:vertAlign w:val="baseline"/>
          <w:lang w:val="en-US" w:eastAsia="zh-CN"/>
        </w:rPr>
        <w:t>，如果所投采购包所有产品均为本国产品并已经填写《关于符合本国产品标准的声明函》则</w:t>
      </w: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无须</w:t>
      </w:r>
      <w:r>
        <w:rPr>
          <w:rFonts w:hint="default" w:ascii="Times New Roman" w:hAnsi="Times New Roman" w:cs="Times New Roman"/>
          <w:i w:val="0"/>
          <w:iCs w:val="0"/>
          <w:caps w:val="0"/>
          <w:color w:val="auto"/>
          <w:spacing w:val="0"/>
          <w:sz w:val="21"/>
          <w:szCs w:val="21"/>
          <w:u w:val="none"/>
          <w:shd w:val="clear" w:color="auto" w:fill="FFFFFF"/>
          <w:vertAlign w:val="baseline"/>
          <w:lang w:val="en-US" w:eastAsia="zh-CN"/>
        </w:rPr>
        <w:t>填写此函。</w:t>
      </w:r>
    </w:p>
    <w:p w14:paraId="4F3A49AD">
      <w:pPr>
        <w:spacing w:line="360" w:lineRule="auto"/>
        <w:rPr>
          <w:rFonts w:hint="default" w:ascii="Times New Roman" w:hAnsi="Times New Roman" w:cs="Times New Roman"/>
          <w:color w:val="auto"/>
        </w:rPr>
      </w:pPr>
      <w:r>
        <w:rPr>
          <w:rFonts w:hint="default" w:ascii="Times New Roman" w:hAnsi="Times New Roman" w:cs="Times New Roman"/>
          <w:i w:val="0"/>
          <w:iCs w:val="0"/>
          <w:caps w:val="0"/>
          <w:color w:val="auto"/>
          <w:spacing w:val="0"/>
          <w:sz w:val="21"/>
          <w:szCs w:val="21"/>
          <w:u w:val="none"/>
          <w:shd w:val="clear" w:color="auto" w:fill="FFFFFF"/>
          <w:vertAlign w:val="baseline"/>
          <w:lang w:val="en-US" w:eastAsia="zh-CN"/>
        </w:rPr>
        <w:t>2</w:t>
      </w:r>
      <w:r>
        <w:rPr>
          <w:rFonts w:hint="default" w:ascii="Times New Roman" w:hAnsi="Times New Roman" w:eastAsia="宋体" w:cs="Times New Roman"/>
          <w:i w:val="0"/>
          <w:iCs w:val="0"/>
          <w:caps w:val="0"/>
          <w:color w:val="auto"/>
          <w:spacing w:val="0"/>
          <w:sz w:val="21"/>
          <w:szCs w:val="21"/>
          <w:u w:val="none"/>
          <w:shd w:val="clear" w:color="auto" w:fill="FFFFFF"/>
          <w:vertAlign w:val="baseline"/>
          <w:lang w:val="en-US" w:eastAsia="zh-CN"/>
        </w:rPr>
        <w:t>、根据《国务院办公厅关于在政府采购中实施本国产品标准及相关政策的通知》（国办发〔2025〕34号）</w:t>
      </w:r>
      <w:r>
        <w:rPr>
          <w:rFonts w:hint="default" w:ascii="Times New Roman" w:hAnsi="Times New Roman" w:cs="Times New Roman"/>
          <w:i w:val="0"/>
          <w:iCs w:val="0"/>
          <w:caps w:val="0"/>
          <w:color w:val="auto"/>
          <w:spacing w:val="0"/>
          <w:sz w:val="21"/>
          <w:szCs w:val="21"/>
          <w:u w:val="none"/>
          <w:shd w:val="clear" w:color="auto" w:fill="FFFFFF"/>
          <w:vertAlign w:val="baseline"/>
          <w:lang w:val="en-US" w:eastAsia="zh-CN"/>
        </w:rPr>
        <w:t>的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14:paraId="6D505CA3">
      <w:pPr>
        <w:pStyle w:val="10"/>
        <w:rPr>
          <w:rFonts w:hint="default"/>
          <w:color w:val="auto"/>
          <w:highlight w:val="none"/>
          <w:lang w:val="en-US" w:eastAsia="zh-CN"/>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D0B3">
    <w:pPr>
      <w:pStyle w:val="17"/>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631B60">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Fj9/BXQAQAAnAMAAA4AAAAAAAAAAQAgAAAAHwEAAGRy&#10;cy9lMm9Eb2MueG1sUEsFBgAAAAAGAAYAWQEAAGEFAAAAAA==&#10;">
              <v:fill on="f" focussize="0,0"/>
              <v:stroke on="f"/>
              <v:imagedata o:title=""/>
              <o:lock v:ext="edit" aspectratio="f"/>
              <v:textbox inset="0mm,0mm,0mm,0mm" style="mso-fit-shape-to-text:t;">
                <w:txbxContent>
                  <w:p w14:paraId="4B631B60">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9282">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D1D908">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O8Qp7SAQAAnw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cpUs6gNWdPM+3MGUIYVJ79CCTV9SwoZs6/lqqxoik7S5XK/W65Icl3Q2J4RTPDwPgPG98pal&#10;oOZAfct2itNHjOPV+UqqZlxanb/VxoynaadINEdiKYrDfpjY7n1zJpk09QTeefjGWU89r7mjEefM&#10;fHBkaRqPOYA52M+BcJIe1jxydgygD10epUQDw7tjJCqZZyo8Vpv4UN+y0mnG0mA8zvOth/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87xCntIBAACfAwAADgAAAAAAAAABACAAAAAfAQAA&#10;ZHJzL2Uyb0RvYy54bWxQSwUGAAAAAAYABgBZAQAAYwUAAAAA&#10;">
              <v:fill on="f" focussize="0,0"/>
              <v:stroke on="f"/>
              <v:imagedata o:title=""/>
              <o:lock v:ext="edit" aspectratio="f"/>
              <v:textbox inset="0mm,0mm,0mm,0mm" style="mso-fit-shape-to-text:t;">
                <w:txbxContent>
                  <w:p w14:paraId="28D1D908">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61C9">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4F94F2E">
                          <w:pPr>
                            <w:pStyle w:val="17"/>
                          </w:pPr>
                          <w:r>
                            <w:fldChar w:fldCharType="begin"/>
                          </w:r>
                          <w:r>
                            <w:instrText xml:space="preserve"> PAGE  \* MERGEFORMAT </w:instrText>
                          </w:r>
                          <w:r>
                            <w:fldChar w:fldCharType="separate"/>
                          </w:r>
                          <w:r>
                            <w:t>78</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Jdo3R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rJFCcsvfnl54/Lrz+X&#10;399ZdZMs6gOu6eRDuIcpQwqT3qEFm76khA3Z1vPVVjVEJmmzWi1Xq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diXaN0QEAAJ8DAAAOAAAAAAAAAAEAIAAAAB8BAABk&#10;cnMvZTJvRG9jLnhtbFBLBQYAAAAABgAGAFkBAABiBQAAAAA=&#10;">
              <v:fill on="f" focussize="0,0"/>
              <v:stroke on="f"/>
              <v:imagedata o:title=""/>
              <o:lock v:ext="edit" aspectratio="f"/>
              <v:textbox inset="0mm,0mm,0mm,0mm" style="mso-fit-shape-to-text:t;">
                <w:txbxContent>
                  <w:p w14:paraId="44F94F2E">
                    <w:pPr>
                      <w:pStyle w:val="17"/>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134D">
    <w:pPr>
      <w:pStyle w:val="17"/>
      <w:rPr>
        <w:rFonts w:hint="eastAsia"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D1D9D7">
                          <w:pPr>
                            <w:pStyle w:val="1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ynY1ZwgEAAIcDAAAOAAAAAAAAAAEAIAAAAB8BAABkcnMvZTJvRG9jLnhtbFBL&#10;BQYAAAAABgAGAFkBAABTBQAAAAA=&#10;">
              <v:fill on="f" focussize="0,0"/>
              <v:stroke on="f"/>
              <v:imagedata o:title=""/>
              <o:lock v:ext="edit" aspectratio="f"/>
              <v:textbox inset="0mm,0mm,0mm,0mm" style="mso-fit-shape-to-text:t;">
                <w:txbxContent>
                  <w:p w14:paraId="07D1D9D7">
                    <w:pPr>
                      <w:pStyle w:val="1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AC7E">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9D6023">
                          <w:pPr>
                            <w:pStyle w:val="17"/>
                          </w:pPr>
                          <w:r>
                            <w:fldChar w:fldCharType="begin"/>
                          </w:r>
                          <w:r>
                            <w:instrText xml:space="preserve"> PAGE  \* MERGEFORMAT </w:instrText>
                          </w:r>
                          <w:r>
                            <w:fldChar w:fldCharType="separate"/>
                          </w:r>
                          <w:r>
                            <w:t>98</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zJ8r/TAQAAnwMAAA4AAAAAAAAAAQAgAAAAHwEA&#10;AGRycy9lMm9Eb2MueG1sUEsFBgAAAAAGAAYAWQEAAGQFAAAAAA==&#10;">
              <v:fill on="f" focussize="0,0"/>
              <v:stroke on="f"/>
              <v:imagedata o:title=""/>
              <o:lock v:ext="edit" aspectratio="f"/>
              <v:textbox inset="0mm,0mm,0mm,0mm" style="mso-fit-shape-to-text:t;">
                <w:txbxContent>
                  <w:p w14:paraId="729D6023">
                    <w:pPr>
                      <w:pStyle w:val="17"/>
                    </w:pPr>
                    <w:r>
                      <w:fldChar w:fldCharType="begin"/>
                    </w:r>
                    <w:r>
                      <w:instrText xml:space="preserve"> PAGE  \* MERGEFORMAT </w:instrText>
                    </w:r>
                    <w:r>
                      <w:fldChar w:fldCharType="separate"/>
                    </w:r>
                    <w:r>
                      <w:t>98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C54B">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CEE3A8">
                          <w:pPr>
                            <w:pStyle w:val="17"/>
                          </w:pPr>
                          <w:r>
                            <w:fldChar w:fldCharType="begin"/>
                          </w:r>
                          <w:r>
                            <w:instrText xml:space="preserve"> PAGE  \* MERGEFORMAT </w:instrText>
                          </w:r>
                          <w:r>
                            <w:fldChar w:fldCharType="separate"/>
                          </w:r>
                          <w:r>
                            <w:t>99</w:t>
                          </w:r>
                          <w: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ien2jTAQAAnwMAAA4AAAAAAAAAAQAgAAAAHwEA&#10;AGRycy9lMm9Eb2MueG1sUEsFBgAAAAAGAAYAWQEAAGQFAAAAAA==&#10;">
              <v:fill on="f" focussize="0,0"/>
              <v:stroke on="f"/>
              <v:imagedata o:title=""/>
              <o:lock v:ext="edit" aspectratio="f"/>
              <v:textbox inset="0mm,0mm,0mm,0mm" style="mso-fit-shape-to-text:t;">
                <w:txbxContent>
                  <w:p w14:paraId="13CEE3A8">
                    <w:pPr>
                      <w:pStyle w:val="17"/>
                    </w:pPr>
                    <w:r>
                      <w:fldChar w:fldCharType="begin"/>
                    </w:r>
                    <w:r>
                      <w:instrText xml:space="preserve"> PAGE  \* MERGEFORMAT </w:instrText>
                    </w:r>
                    <w:r>
                      <w:fldChar w:fldCharType="separate"/>
                    </w:r>
                    <w:r>
                      <w:t>99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1487">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B8C2">
    <w:pPr>
      <w:pStyle w:val="19"/>
      <w:rPr>
        <w:rFonts w:hint="eastAsia" w:eastAsia="宋体"/>
        <w:i/>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pPr>
        <w:ind w:left="600" w:firstLine="0"/>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2"/>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4"/>
      <w:numFmt w:val="chineseCounting"/>
      <w:suff w:val="space"/>
      <w:lvlText w:val="第%1章"/>
      <w:lvlJc w:val="left"/>
      <w:rPr>
        <w:rFonts w:hint="eastAsia"/>
      </w:rPr>
    </w:lvl>
  </w:abstractNum>
  <w:abstractNum w:abstractNumId="8">
    <w:nsid w:val="00000008"/>
    <w:multiLevelType w:val="singleLevel"/>
    <w:tmpl w:val="00000008"/>
    <w:lvl w:ilvl="0" w:tentative="0">
      <w:start w:val="1"/>
      <w:numFmt w:val="decimal"/>
      <w:suff w:val="nothing"/>
      <w:lvlText w:val="%1、"/>
      <w:lvlJc w:val="left"/>
    </w:lvl>
  </w:abstractNum>
  <w:abstractNum w:abstractNumId="9">
    <w:nsid w:val="00000009"/>
    <w:multiLevelType w:val="multilevel"/>
    <w:tmpl w:val="00000009"/>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pStyle w:val="4"/>
      <w:isLgl/>
      <w:suff w:val="space"/>
      <w:lvlText w:val="%1.%2.%3"/>
      <w:lvlJc w:val="left"/>
      <w:pPr>
        <w:ind w:left="2410"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10">
    <w:nsid w:val="0000000A"/>
    <w:multiLevelType w:val="singleLevel"/>
    <w:tmpl w:val="0000000A"/>
    <w:lvl w:ilvl="0" w:tentative="0">
      <w:start w:val="1"/>
      <w:numFmt w:val="decimal"/>
      <w:lvlText w:val="(%1)"/>
      <w:lvlJc w:val="left"/>
      <w:pPr>
        <w:ind w:left="425" w:hanging="425"/>
      </w:pPr>
      <w:rPr>
        <w:rFonts w:hint="default"/>
      </w:rPr>
    </w:lvl>
  </w:abstractNum>
  <w:abstractNum w:abstractNumId="11">
    <w:nsid w:val="0000000B"/>
    <w:multiLevelType w:val="multilevel"/>
    <w:tmpl w:val="0000000B"/>
    <w:lvl w:ilvl="0" w:tentative="0">
      <w:start w:val="1"/>
      <w:numFmt w:val="decimal"/>
      <w:lvlText w:val="%1、"/>
      <w:lvlJc w:val="left"/>
      <w:pPr>
        <w:tabs>
          <w:tab w:val="left" w:pos="740"/>
        </w:tabs>
        <w:ind w:left="1081" w:hanging="1081"/>
      </w:pPr>
      <w:rPr>
        <w:rFonts w:hint="default"/>
      </w:rPr>
    </w:lvl>
    <w:lvl w:ilvl="1" w:tentative="0">
      <w:start w:val="1"/>
      <w:numFmt w:val="decimal"/>
      <w:pStyle w:val="100"/>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D"/>
    <w:multiLevelType w:val="singleLevel"/>
    <w:tmpl w:val="0000000D"/>
    <w:lvl w:ilvl="0" w:tentative="0">
      <w:start w:val="1"/>
      <w:numFmt w:val="decimal"/>
      <w:suff w:val="nothing"/>
      <w:lvlText w:val="%1、"/>
      <w:lvlJc w:val="left"/>
    </w:lvl>
  </w:abstractNum>
  <w:abstractNum w:abstractNumId="13">
    <w:nsid w:val="03CCB385"/>
    <w:multiLevelType w:val="singleLevel"/>
    <w:tmpl w:val="03CCB385"/>
    <w:lvl w:ilvl="0" w:tentative="0">
      <w:start w:val="3"/>
      <w:numFmt w:val="chineseCounting"/>
      <w:suff w:val="nothing"/>
      <w:lvlText w:val="%1、"/>
      <w:lvlJc w:val="left"/>
      <w:rPr>
        <w:rFonts w:hint="eastAsia"/>
      </w:rPr>
    </w:lvl>
  </w:abstractNum>
  <w:abstractNum w:abstractNumId="14">
    <w:nsid w:val="71D00BD5"/>
    <w:multiLevelType w:val="singleLevel"/>
    <w:tmpl w:val="71D00BD5"/>
    <w:lvl w:ilvl="0" w:tentative="0">
      <w:start w:val="1"/>
      <w:numFmt w:val="decimal"/>
      <w:suff w:val="nothing"/>
      <w:lvlText w:val="%1、"/>
      <w:lvlJc w:val="left"/>
    </w:lvl>
  </w:abstractNum>
  <w:num w:numId="1">
    <w:abstractNumId w:val="9"/>
  </w:num>
  <w:num w:numId="2">
    <w:abstractNumId w:val="5"/>
  </w:num>
  <w:num w:numId="3">
    <w:abstractNumId w:val="11"/>
  </w:num>
  <w:num w:numId="4">
    <w:abstractNumId w:val="10"/>
  </w:num>
  <w:num w:numId="5">
    <w:abstractNumId w:val="2"/>
  </w:num>
  <w:num w:numId="6">
    <w:abstractNumId w:val="6"/>
  </w:num>
  <w:num w:numId="7">
    <w:abstractNumId w:val="14"/>
  </w:num>
  <w:num w:numId="8">
    <w:abstractNumId w:val="12"/>
  </w:num>
  <w:num w:numId="9">
    <w:abstractNumId w:val="3"/>
  </w:num>
  <w:num w:numId="10">
    <w:abstractNumId w:val="8"/>
  </w:num>
  <w:num w:numId="11">
    <w:abstractNumId w:val="4"/>
  </w:num>
  <w:num w:numId="12">
    <w:abstractNumId w:val="0"/>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71ECE"/>
    <w:rsid w:val="034E2890"/>
    <w:rsid w:val="039B271F"/>
    <w:rsid w:val="04190A2F"/>
    <w:rsid w:val="072E0776"/>
    <w:rsid w:val="0A6B76F3"/>
    <w:rsid w:val="0BC95965"/>
    <w:rsid w:val="0E07013E"/>
    <w:rsid w:val="103A670E"/>
    <w:rsid w:val="1207218E"/>
    <w:rsid w:val="13976D14"/>
    <w:rsid w:val="14804946"/>
    <w:rsid w:val="159C7218"/>
    <w:rsid w:val="16D260E4"/>
    <w:rsid w:val="170A14F1"/>
    <w:rsid w:val="17993132"/>
    <w:rsid w:val="179B3F36"/>
    <w:rsid w:val="18B1550E"/>
    <w:rsid w:val="18BE407D"/>
    <w:rsid w:val="1A56033F"/>
    <w:rsid w:val="1F11795C"/>
    <w:rsid w:val="1F514BA6"/>
    <w:rsid w:val="216B6466"/>
    <w:rsid w:val="296072FA"/>
    <w:rsid w:val="2CC82C80"/>
    <w:rsid w:val="2F6261E7"/>
    <w:rsid w:val="2F971ABA"/>
    <w:rsid w:val="32615A71"/>
    <w:rsid w:val="32CB7252"/>
    <w:rsid w:val="33B8504A"/>
    <w:rsid w:val="360B3318"/>
    <w:rsid w:val="364E71E9"/>
    <w:rsid w:val="38F84C98"/>
    <w:rsid w:val="39F07CBA"/>
    <w:rsid w:val="3A186045"/>
    <w:rsid w:val="3D43514A"/>
    <w:rsid w:val="3E817795"/>
    <w:rsid w:val="416912CE"/>
    <w:rsid w:val="42CC4E81"/>
    <w:rsid w:val="43453FEA"/>
    <w:rsid w:val="438A4178"/>
    <w:rsid w:val="44A55A64"/>
    <w:rsid w:val="46980435"/>
    <w:rsid w:val="4905747A"/>
    <w:rsid w:val="4FCE009D"/>
    <w:rsid w:val="50465AF8"/>
    <w:rsid w:val="51F7530E"/>
    <w:rsid w:val="52224CF7"/>
    <w:rsid w:val="526542F4"/>
    <w:rsid w:val="55EC2558"/>
    <w:rsid w:val="56980FAA"/>
    <w:rsid w:val="56F94A4A"/>
    <w:rsid w:val="5701777F"/>
    <w:rsid w:val="593E4146"/>
    <w:rsid w:val="5F0B4E21"/>
    <w:rsid w:val="625B143B"/>
    <w:rsid w:val="642C1AEE"/>
    <w:rsid w:val="65F65031"/>
    <w:rsid w:val="67B00EF8"/>
    <w:rsid w:val="6EF06559"/>
    <w:rsid w:val="6F6D49E6"/>
    <w:rsid w:val="75252915"/>
    <w:rsid w:val="76AC75E0"/>
    <w:rsid w:val="788E2E4E"/>
    <w:rsid w:val="789B35E5"/>
    <w:rsid w:val="7B660096"/>
    <w:rsid w:val="7D9520A1"/>
    <w:rsid w:val="7EE22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paragraph" w:styleId="5">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character" w:default="1" w:styleId="32">
    <w:name w:val="Default Paragraph Font"/>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link w:val="95"/>
    <w:qFormat/>
    <w:uiPriority w:val="0"/>
    <w:pPr>
      <w:jc w:val="left"/>
    </w:pPr>
  </w:style>
  <w:style w:type="paragraph" w:styleId="10">
    <w:name w:val="Body Text"/>
    <w:basedOn w:val="1"/>
    <w:next w:val="11"/>
    <w:qFormat/>
    <w:uiPriority w:val="0"/>
    <w:pPr>
      <w:spacing w:after="120"/>
    </w:pPr>
  </w:style>
  <w:style w:type="paragraph" w:customStyle="1" w:styleId="11">
    <w:name w:val="Default"/>
    <w:basedOn w:val="12"/>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paragraph" w:styleId="13">
    <w:name w:val="Body Text Indent"/>
    <w:basedOn w:val="1"/>
    <w:qFormat/>
    <w:uiPriority w:val="0"/>
    <w:pPr>
      <w:ind w:firstLine="630"/>
    </w:pPr>
    <w:rPr>
      <w:sz w:val="32"/>
      <w:szCs w:val="20"/>
    </w:rPr>
  </w:style>
  <w:style w:type="paragraph" w:styleId="14">
    <w:name w:val="Plain Text"/>
    <w:basedOn w:val="1"/>
    <w:qFormat/>
    <w:uiPriority w:val="0"/>
    <w:rPr>
      <w:rFonts w:ascii="宋体" w:hAnsi="Courier New"/>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9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spacing w:line="480" w:lineRule="auto"/>
    </w:pPr>
    <w:rPr>
      <w:rFonts w:ascii="Times New Roman" w:hAnsi="Times New Roman"/>
      <w:sz w:val="30"/>
    </w:rPr>
  </w:style>
  <w:style w:type="paragraph" w:styleId="21">
    <w:name w:val="index heading"/>
    <w:basedOn w:val="1"/>
    <w:next w:val="22"/>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qFormat/>
    <w:uiPriority w:val="0"/>
  </w:style>
  <w:style w:type="paragraph" w:styleId="23">
    <w:name w:val="toc 6"/>
    <w:next w:val="1"/>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24">
    <w:name w:val="List 5"/>
    <w:basedOn w:val="1"/>
    <w:qFormat/>
    <w:uiPriority w:val="0"/>
    <w:pPr>
      <w:ind w:left="2100" w:hanging="420"/>
    </w:pPr>
    <w:rPr>
      <w:rFonts w:eastAsia="楷体_GB2312"/>
      <w:sz w:val="32"/>
      <w:szCs w:val="20"/>
    </w:rPr>
  </w:style>
  <w:style w:type="paragraph" w:styleId="25">
    <w:name w:val="index 7"/>
    <w:basedOn w:val="1"/>
    <w:next w:val="1"/>
    <w:qFormat/>
    <w:uiPriority w:val="0"/>
    <w:pPr>
      <w:autoSpaceDE/>
      <w:autoSpaceDN/>
      <w:adjustRightInd/>
      <w:ind w:left="1200" w:leftChars="1200"/>
    </w:pPr>
    <w:rPr>
      <w:color w:val="auto"/>
      <w:kern w:val="2"/>
      <w:szCs w:val="24"/>
    </w:rPr>
  </w:style>
  <w:style w:type="paragraph" w:styleId="2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7">
    <w:name w:val="annotation subject"/>
    <w:basedOn w:val="9"/>
    <w:next w:val="9"/>
    <w:link w:val="96"/>
    <w:qFormat/>
    <w:uiPriority w:val="0"/>
    <w:rPr>
      <w:b/>
      <w:bCs/>
    </w:rPr>
  </w:style>
  <w:style w:type="paragraph" w:styleId="28">
    <w:name w:val="Body Text First Indent"/>
    <w:basedOn w:val="10"/>
    <w:qFormat/>
    <w:uiPriority w:val="0"/>
    <w:pPr>
      <w:ind w:firstLine="420" w:firstLineChars="100"/>
    </w:pPr>
  </w:style>
  <w:style w:type="paragraph" w:styleId="29">
    <w:name w:val="Body Text First Indent 2"/>
    <w:basedOn w:val="13"/>
    <w:next w:val="28"/>
    <w:qFormat/>
    <w:uiPriority w:val="0"/>
    <w:pPr>
      <w:ind w:firstLine="42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Hyperlink"/>
    <w:basedOn w:val="32"/>
    <w:qFormat/>
    <w:uiPriority w:val="0"/>
    <w:rPr>
      <w:rFonts w:ascii="Times New Roman" w:hAnsi="Times New Roman" w:eastAsia="微软雅黑" w:cs="Times New Roman"/>
      <w:color w:val="0000FF"/>
      <w:u w:val="single"/>
    </w:rPr>
  </w:style>
  <w:style w:type="character" w:styleId="36">
    <w:name w:val="annotation reference"/>
    <w:basedOn w:val="32"/>
    <w:qFormat/>
    <w:uiPriority w:val="0"/>
    <w:rPr>
      <w:sz w:val="21"/>
      <w:szCs w:val="21"/>
    </w:rPr>
  </w:style>
  <w:style w:type="paragraph" w:customStyle="1" w:styleId="37">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customStyle="1" w:styleId="38">
    <w:name w:val="大标题"/>
    <w:basedOn w:val="1"/>
    <w:next w:val="29"/>
    <w:qFormat/>
    <w:uiPriority w:val="0"/>
    <w:pPr>
      <w:jc w:val="center"/>
    </w:pPr>
    <w:rPr>
      <w:rFonts w:ascii="Arial" w:hAnsi="Arial" w:eastAsia="宋体" w:cs="Times New Roman"/>
      <w:b/>
      <w:sz w:val="28"/>
      <w:szCs w:val="24"/>
    </w:rPr>
  </w:style>
  <w:style w:type="paragraph" w:customStyle="1" w:styleId="39">
    <w:name w:val="无间隔1"/>
    <w:qFormat/>
    <w:uiPriority w:val="1"/>
    <w:pPr>
      <w:widowControl w:val="0"/>
    </w:pPr>
    <w:rPr>
      <w:rFonts w:ascii="Calibri" w:hAnsi="Calibri" w:eastAsia="仿宋_GB2312" w:cs="Times New Roman"/>
      <w:kern w:val="2"/>
      <w:sz w:val="28"/>
      <w:szCs w:val="21"/>
      <w:lang w:val="en-US" w:eastAsia="zh-CN" w:bidi="ar-SA"/>
    </w:rPr>
  </w:style>
  <w:style w:type="character" w:customStyle="1" w:styleId="40">
    <w:name w:val="标题 1 Char"/>
    <w:link w:val="2"/>
    <w:qFormat/>
    <w:uiPriority w:val="0"/>
    <w:rPr>
      <w:rFonts w:ascii="Calibri" w:hAnsi="Calibri" w:eastAsia="宋体" w:cs="Times New Roman"/>
      <w:kern w:val="44"/>
      <w:sz w:val="44"/>
      <w:szCs w:val="44"/>
    </w:rPr>
  </w:style>
  <w:style w:type="paragraph" w:customStyle="1" w:styleId="41">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2">
    <w:name w:val="NormalCharacter"/>
    <w:link w:val="43"/>
    <w:qFormat/>
    <w:uiPriority w:val="0"/>
    <w:rPr>
      <w:rFonts w:ascii="Calibri" w:hAnsi="Calibri" w:eastAsia="宋体" w:cs="Times New Roman"/>
      <w:kern w:val="2"/>
      <w:sz w:val="21"/>
      <w:szCs w:val="24"/>
      <w:lang w:val="en-US" w:eastAsia="zh-CN" w:bidi="ar-SA"/>
    </w:rPr>
  </w:style>
  <w:style w:type="paragraph" w:customStyle="1" w:styleId="43">
    <w:name w:val="UserStyle_20"/>
    <w:basedOn w:val="1"/>
    <w:link w:val="42"/>
    <w:qFormat/>
    <w:uiPriority w:val="0"/>
    <w:pPr>
      <w:spacing w:after="160" w:line="240" w:lineRule="exact"/>
      <w:jc w:val="left"/>
    </w:pPr>
    <w:rPr>
      <w:rFonts w:ascii="Verdana" w:hAnsi="Verdana" w:eastAsia="仿宋_GB2312"/>
      <w:kern w:val="0"/>
      <w:sz w:val="24"/>
      <w:szCs w:val="20"/>
      <w:lang w:eastAsia="en-US"/>
    </w:rPr>
  </w:style>
  <w:style w:type="character" w:customStyle="1" w:styleId="44">
    <w:name w:val="UserStyle_3"/>
    <w:qFormat/>
    <w:uiPriority w:val="0"/>
    <w:rPr>
      <w:rFonts w:ascii="宋体" w:hAnsi="宋体" w:eastAsia="宋体"/>
      <w:b/>
      <w:sz w:val="32"/>
      <w:szCs w:val="32"/>
    </w:rPr>
  </w:style>
  <w:style w:type="paragraph" w:customStyle="1" w:styleId="45">
    <w:name w:val="正文_2_0"/>
    <w:basedOn w:val="46"/>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2_1"/>
    <w:basedOn w:val="47"/>
    <w:next w:val="68"/>
    <w:qFormat/>
    <w:uiPriority w:val="0"/>
    <w:rPr>
      <w:szCs w:val="24"/>
    </w:rPr>
  </w:style>
  <w:style w:type="paragraph" w:customStyle="1" w:styleId="47">
    <w:name w:val="正文_3_0"/>
    <w:basedOn w:val="48"/>
    <w:next w:val="51"/>
    <w:qFormat/>
    <w:uiPriority w:val="0"/>
  </w:style>
  <w:style w:type="paragraph" w:customStyle="1" w:styleId="48">
    <w:name w:val="Normal_0_0"/>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Body Text_0"/>
    <w:basedOn w:val="50"/>
    <w:qFormat/>
    <w:uiPriority w:val="0"/>
    <w:pPr>
      <w:spacing w:after="120"/>
    </w:pPr>
  </w:style>
  <w:style w:type="paragraph" w:customStyle="1" w:styleId="50">
    <w:name w:val="Normal_1"/>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缩进_0_0_1"/>
    <w:basedOn w:val="52"/>
    <w:qFormat/>
    <w:uiPriority w:val="0"/>
    <w:pPr>
      <w:ind w:firstLine="420" w:firstLineChars="200"/>
    </w:pPr>
  </w:style>
  <w:style w:type="paragraph" w:customStyle="1" w:styleId="52">
    <w:name w:val="正文_0_1_1"/>
    <w:basedOn w:val="53"/>
    <w:next w:val="65"/>
    <w:qFormat/>
    <w:uiPriority w:val="0"/>
    <w:rPr>
      <w:rFonts w:eastAsia="Calibri"/>
    </w:rPr>
  </w:style>
  <w:style w:type="paragraph" w:customStyle="1" w:styleId="53">
    <w:name w:val="正文_3_1"/>
    <w:basedOn w:val="54"/>
    <w:next w:val="57"/>
    <w:qFormat/>
    <w:uiPriority w:val="0"/>
    <w:rPr>
      <w:rFonts w:ascii="Calibri" w:hAnsi="Calibri"/>
      <w:sz w:val="21"/>
      <w:szCs w:val="22"/>
    </w:rPr>
  </w:style>
  <w:style w:type="paragraph" w:customStyle="1" w:styleId="54">
    <w:name w:val="Normal_0_1"/>
    <w:basedOn w:val="55"/>
    <w:qFormat/>
    <w:uiPriority w:val="0"/>
    <w:rPr>
      <w:rFonts w:ascii="黑体" w:hAnsi="黑体" w:eastAsia="黑体"/>
      <w:b/>
      <w:sz w:val="32"/>
      <w:szCs w:val="24"/>
    </w:rPr>
  </w:style>
  <w:style w:type="paragraph" w:customStyle="1" w:styleId="55">
    <w:name w:val="Normal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Body Text_1"/>
    <w:basedOn w:val="55"/>
    <w:qFormat/>
    <w:uiPriority w:val="0"/>
    <w:pPr>
      <w:spacing w:after="120"/>
    </w:pPr>
  </w:style>
  <w:style w:type="paragraph" w:customStyle="1" w:styleId="57">
    <w:name w:val="正文缩进_0_0_0"/>
    <w:basedOn w:val="58"/>
    <w:qFormat/>
    <w:uiPriority w:val="0"/>
    <w:pPr>
      <w:ind w:firstLine="420" w:firstLineChars="200"/>
    </w:pPr>
  </w:style>
  <w:style w:type="paragraph" w:customStyle="1" w:styleId="58">
    <w:name w:val="正文_0_1_0"/>
    <w:basedOn w:val="59"/>
    <w:next w:val="60"/>
    <w:qFormat/>
    <w:uiPriority w:val="0"/>
    <w:rPr>
      <w:rFonts w:eastAsia="Calibri"/>
    </w:rPr>
  </w:style>
  <w:style w:type="paragraph" w:customStyle="1" w:styleId="59">
    <w:name w:val="正文_1_1"/>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脚注文本_0"/>
    <w:basedOn w:val="61"/>
    <w:next w:val="63"/>
    <w:qFormat/>
    <w:uiPriority w:val="99"/>
    <w:pPr>
      <w:snapToGrid w:val="0"/>
      <w:jc w:val="left"/>
    </w:pPr>
    <w:rPr>
      <w:rFonts w:ascii="Calibri" w:hAnsi="Calibri" w:eastAsia="Calibri"/>
      <w:sz w:val="18"/>
    </w:rPr>
  </w:style>
  <w:style w:type="paragraph" w:customStyle="1" w:styleId="61">
    <w:name w:val="正文_0_2"/>
    <w:next w:val="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页脚_0_0"/>
    <w:basedOn w:val="61"/>
    <w:qFormat/>
    <w:uiPriority w:val="99"/>
    <w:pPr>
      <w:tabs>
        <w:tab w:val="center" w:pos="4153"/>
        <w:tab w:val="right" w:pos="8306"/>
      </w:tabs>
      <w:snapToGrid w:val="0"/>
      <w:jc w:val="left"/>
    </w:pPr>
    <w:rPr>
      <w:sz w:val="18"/>
      <w:szCs w:val="18"/>
    </w:rPr>
  </w:style>
  <w:style w:type="paragraph" w:customStyle="1" w:styleId="63">
    <w:name w:val="正文_2"/>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文本_0"/>
    <w:basedOn w:val="45"/>
    <w:qFormat/>
    <w:uiPriority w:val="0"/>
  </w:style>
  <w:style w:type="paragraph" w:customStyle="1" w:styleId="65">
    <w:name w:val="脚注文本1"/>
    <w:basedOn w:val="66"/>
    <w:next w:val="67"/>
    <w:qFormat/>
    <w:uiPriority w:val="0"/>
    <w:pPr>
      <w:snapToGrid w:val="0"/>
      <w:jc w:val="left"/>
    </w:pPr>
    <w:rPr>
      <w:kern w:val="0"/>
      <w:sz w:val="18"/>
      <w:szCs w:val="18"/>
    </w:rPr>
  </w:style>
  <w:style w:type="paragraph" w:customStyle="1" w:styleId="66">
    <w:name w:val="正文_1_0"/>
    <w:next w:val="65"/>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索引 51"/>
    <w:basedOn w:val="66"/>
    <w:next w:val="66"/>
    <w:qFormat/>
    <w:uiPriority w:val="99"/>
    <w:pPr>
      <w:ind w:left="1680"/>
    </w:pPr>
  </w:style>
  <w:style w:type="paragraph" w:customStyle="1" w:styleId="68">
    <w:name w:val="No Spacing_0"/>
    <w:basedOn w:val="69"/>
    <w:qFormat/>
    <w:uiPriority w:val="1"/>
  </w:style>
  <w:style w:type="paragraph" w:customStyle="1" w:styleId="69">
    <w:name w:val="正文_5"/>
    <w:basedOn w:val="63"/>
    <w:next w:val="70"/>
    <w:qFormat/>
    <w:uiPriority w:val="0"/>
    <w:rPr>
      <w:rFonts w:ascii="Calibri" w:hAnsi="Calibri"/>
      <w:szCs w:val="22"/>
    </w:rPr>
  </w:style>
  <w:style w:type="paragraph" w:customStyle="1" w:styleId="70">
    <w:name w:val="段_0"/>
    <w:next w:val="6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1">
    <w:name w:val="正文1_0"/>
    <w:basedOn w:val="72"/>
    <w:qFormat/>
    <w:uiPriority w:val="0"/>
    <w:pPr>
      <w:widowControl/>
      <w:spacing w:before="120" w:after="120"/>
      <w:ind w:firstLine="200" w:firstLineChars="200"/>
      <w:jc w:val="left"/>
    </w:pPr>
    <w:rPr>
      <w:rFonts w:ascii="Times New Roman" w:hAnsi="Times New Roman" w:eastAsia="Adobe 仿宋 Std R"/>
    </w:rPr>
  </w:style>
  <w:style w:type="paragraph" w:customStyle="1" w:styleId="72">
    <w:name w:val="正文_3"/>
    <w:basedOn w:val="73"/>
    <w:next w:val="75"/>
    <w:qFormat/>
    <w:uiPriority w:val="0"/>
  </w:style>
  <w:style w:type="paragraph" w:customStyle="1" w:styleId="73">
    <w:name w:val="Normal_0"/>
    <w:basedOn w:val="74"/>
    <w:next w:val="29"/>
    <w:qFormat/>
    <w:uiPriority w:val="0"/>
    <w:rPr>
      <w:rFonts w:ascii="Calibri" w:hAnsi="Calibri"/>
      <w:sz w:val="21"/>
    </w:rPr>
  </w:style>
  <w:style w:type="paragraph" w:customStyle="1" w:styleId="74">
    <w:name w:val="正文1"/>
    <w:next w:val="29"/>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正文缩进_0_0"/>
    <w:basedOn w:val="76"/>
    <w:qFormat/>
    <w:uiPriority w:val="0"/>
    <w:pPr>
      <w:ind w:firstLine="420" w:firstLineChars="200"/>
    </w:pPr>
  </w:style>
  <w:style w:type="paragraph" w:customStyle="1" w:styleId="76">
    <w:name w:val="正文_2_0_0"/>
    <w:basedOn w:val="77"/>
    <w:next w:val="81"/>
    <w:qFormat/>
    <w:uiPriority w:val="0"/>
    <w:rPr>
      <w:rFonts w:cs="Calibri"/>
      <w:szCs w:val="21"/>
    </w:rPr>
  </w:style>
  <w:style w:type="paragraph" w:customStyle="1" w:styleId="77">
    <w:name w:val="正文_3_0_0"/>
    <w:basedOn w:val="78"/>
    <w:next w:val="79"/>
    <w:qFormat/>
    <w:uiPriority w:val="0"/>
    <w:rPr>
      <w:rFonts w:ascii="Calibri" w:hAnsi="Calibri"/>
    </w:rPr>
  </w:style>
  <w:style w:type="paragraph" w:customStyle="1" w:styleId="78">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文本_1_0_0"/>
    <w:basedOn w:val="80"/>
    <w:qFormat/>
    <w:uiPriority w:val="0"/>
    <w:pPr>
      <w:spacing w:after="120"/>
    </w:pPr>
  </w:style>
  <w:style w:type="paragraph" w:customStyle="1" w:styleId="80">
    <w:name w:val="正文_2_0_0_0_0"/>
    <w:next w:val="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首行缩进 2_4"/>
    <w:basedOn w:val="82"/>
    <w:qFormat/>
    <w:uiPriority w:val="99"/>
    <w:pPr>
      <w:ind w:firstLine="420" w:firstLineChars="200"/>
    </w:pPr>
  </w:style>
  <w:style w:type="paragraph" w:customStyle="1" w:styleId="82">
    <w:name w:val="正文文本缩进_5"/>
    <w:basedOn w:val="83"/>
    <w:qFormat/>
    <w:uiPriority w:val="0"/>
    <w:pPr>
      <w:spacing w:line="500" w:lineRule="exact"/>
      <w:ind w:left="1588" w:leftChars="832" w:firstLine="433" w:firstLineChars="196"/>
    </w:pPr>
    <w:rPr>
      <w:kern w:val="0"/>
      <w:sz w:val="24"/>
    </w:rPr>
  </w:style>
  <w:style w:type="paragraph" w:customStyle="1" w:styleId="83">
    <w:name w:val="正文_2_0_0_0"/>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4正文"/>
    <w:basedOn w:val="1"/>
    <w:qFormat/>
    <w:uiPriority w:val="0"/>
    <w:pPr>
      <w:snapToGrid w:val="0"/>
      <w:spacing w:line="360" w:lineRule="auto"/>
      <w:ind w:firstLine="480" w:firstLineChars="200"/>
    </w:pPr>
    <w:rPr>
      <w:rFonts w:eastAsia="仿宋"/>
      <w:sz w:val="24"/>
    </w:rPr>
  </w:style>
  <w:style w:type="paragraph" w:customStyle="1" w:styleId="85">
    <w:name w:val="首行缩进:  0.85 厘米"/>
    <w:basedOn w:val="1"/>
    <w:qFormat/>
    <w:uiPriority w:val="0"/>
    <w:pPr>
      <w:widowControl/>
      <w:spacing w:after="100" w:line="360" w:lineRule="auto"/>
      <w:ind w:firstLine="482"/>
      <w:jc w:val="left"/>
    </w:pPr>
    <w:rPr>
      <w:kern w:val="0"/>
      <w:sz w:val="24"/>
      <w:lang w:eastAsia="en-US"/>
    </w:rPr>
  </w:style>
  <w:style w:type="paragraph" w:customStyle="1" w:styleId="86">
    <w:name w:val="Table Paragraph"/>
    <w:basedOn w:val="1"/>
    <w:qFormat/>
    <w:uiPriority w:val="1"/>
    <w:rPr>
      <w:sz w:val="24"/>
    </w:rPr>
  </w:style>
  <w:style w:type="paragraph" w:customStyle="1" w:styleId="87">
    <w:name w:val="列出段落1"/>
    <w:basedOn w:val="1"/>
    <w:qFormat/>
    <w:uiPriority w:val="0"/>
    <w:pPr>
      <w:spacing w:line="360" w:lineRule="auto"/>
      <w:ind w:firstLine="420" w:firstLineChars="200"/>
    </w:pPr>
    <w:rPr>
      <w:rFonts w:ascii="等线" w:hAnsi="等线"/>
      <w:szCs w:val="22"/>
    </w:rPr>
  </w:style>
  <w:style w:type="paragraph" w:customStyle="1" w:styleId="88">
    <w:name w:val="样式 正文缩进 + 首行缩进:  2 字符"/>
    <w:basedOn w:val="6"/>
    <w:qFormat/>
    <w:uiPriority w:val="0"/>
    <w:pPr>
      <w:spacing w:line="360" w:lineRule="auto"/>
      <w:ind w:firstLine="200"/>
    </w:pPr>
    <w:rPr>
      <w:rFonts w:cs="宋体"/>
      <w:sz w:val="24"/>
      <w:szCs w:val="20"/>
    </w:rPr>
  </w:style>
  <w:style w:type="paragraph" w:customStyle="1" w:styleId="89">
    <w:name w:val="WPS Plain"/>
    <w:basedOn w:val="1"/>
    <w:qFormat/>
    <w:uiPriority w:val="0"/>
    <w:pPr>
      <w:widowControl/>
      <w:jc w:val="left"/>
    </w:pPr>
    <w:rPr>
      <w:rFonts w:ascii="Times New Roman"/>
      <w:sz w:val="24"/>
    </w:rPr>
  </w:style>
  <w:style w:type="paragraph" w:customStyle="1" w:styleId="90">
    <w:name w:val="普通(网站)1"/>
    <w:basedOn w:val="1"/>
    <w:qFormat/>
    <w:uiPriority w:val="0"/>
    <w:pPr>
      <w:jc w:val="left"/>
    </w:pPr>
    <w:rPr>
      <w:kern w:val="0"/>
      <w:sz w:val="24"/>
    </w:rPr>
  </w:style>
  <w:style w:type="paragraph" w:customStyle="1" w:styleId="91">
    <w:name w:val="Body text|1"/>
    <w:basedOn w:val="1"/>
    <w:qFormat/>
    <w:uiPriority w:val="0"/>
    <w:pPr>
      <w:spacing w:line="290" w:lineRule="auto"/>
      <w:ind w:firstLine="400"/>
    </w:pPr>
    <w:rPr>
      <w:rFonts w:ascii="宋体" w:hAnsi="宋体" w:cs="宋体"/>
      <w:sz w:val="22"/>
      <w:szCs w:val="22"/>
      <w:lang w:val="zh-CN" w:bidi="zh-CN"/>
    </w:rPr>
  </w:style>
  <w:style w:type="paragraph" w:customStyle="1" w:styleId="92">
    <w:name w:val="纯文本1"/>
    <w:basedOn w:val="1"/>
    <w:qFormat/>
    <w:uiPriority w:val="0"/>
    <w:rPr>
      <w:rFonts w:ascii="宋体" w:hAnsi="Courier New"/>
      <w:szCs w:val="22"/>
    </w:rPr>
  </w:style>
  <w:style w:type="paragraph" w:customStyle="1" w:styleId="93">
    <w:name w:val="List Paragraph_5824fe03-824c-4284-be20-0199ea947a55"/>
    <w:basedOn w:val="1"/>
    <w:qFormat/>
    <w:uiPriority w:val="99"/>
    <w:pPr>
      <w:ind w:firstLine="420" w:firstLineChars="200"/>
    </w:pPr>
  </w:style>
  <w:style w:type="character" w:customStyle="1" w:styleId="94">
    <w:name w:val="批注框文本 Char"/>
    <w:basedOn w:val="32"/>
    <w:link w:val="16"/>
    <w:qFormat/>
    <w:uiPriority w:val="0"/>
    <w:rPr>
      <w:rFonts w:ascii="Calibri" w:hAnsi="Calibri"/>
      <w:kern w:val="2"/>
      <w:sz w:val="18"/>
      <w:szCs w:val="18"/>
    </w:rPr>
  </w:style>
  <w:style w:type="character" w:customStyle="1" w:styleId="95">
    <w:name w:val="批注文字 Char"/>
    <w:basedOn w:val="32"/>
    <w:link w:val="9"/>
    <w:qFormat/>
    <w:uiPriority w:val="0"/>
    <w:rPr>
      <w:rFonts w:ascii="Calibri" w:hAnsi="Calibri"/>
      <w:kern w:val="2"/>
      <w:sz w:val="21"/>
      <w:szCs w:val="24"/>
    </w:rPr>
  </w:style>
  <w:style w:type="character" w:customStyle="1" w:styleId="96">
    <w:name w:val="批注主题 Char"/>
    <w:basedOn w:val="95"/>
    <w:link w:val="27"/>
    <w:qFormat/>
    <w:uiPriority w:val="0"/>
    <w:rPr>
      <w:rFonts w:ascii="Calibri" w:hAnsi="Calibri"/>
      <w:b/>
      <w:bCs/>
      <w:kern w:val="2"/>
      <w:sz w:val="21"/>
      <w:szCs w:val="24"/>
    </w:rPr>
  </w:style>
  <w:style w:type="paragraph" w:customStyle="1" w:styleId="97">
    <w:name w:val="普通(网站)2"/>
    <w:basedOn w:val="1"/>
    <w:qFormat/>
    <w:uiPriority w:val="0"/>
    <w:pPr>
      <w:jc w:val="left"/>
    </w:pPr>
    <w:rPr>
      <w:rFonts w:ascii="Times New Roman" w:hAnsi="Times New Roman"/>
      <w:kern w:val="0"/>
      <w:sz w:val="24"/>
    </w:rPr>
  </w:style>
  <w:style w:type="paragraph" w:customStyle="1" w:styleId="98">
    <w:name w:val="普通(网站)3"/>
    <w:basedOn w:val="1"/>
    <w:qFormat/>
    <w:uiPriority w:val="0"/>
    <w:pPr>
      <w:jc w:val="left"/>
    </w:pPr>
    <w:rPr>
      <w:kern w:val="0"/>
      <w:sz w:val="24"/>
    </w:rPr>
  </w:style>
  <w:style w:type="paragraph" w:customStyle="1" w:styleId="9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0">
    <w:name w:val="题注5"/>
    <w:basedOn w:val="1"/>
    <w:next w:val="7"/>
    <w:qFormat/>
    <w:uiPriority w:val="0"/>
    <w:pPr>
      <w:numPr>
        <w:ilvl w:val="1"/>
        <w:numId w:val="3"/>
      </w:numPr>
      <w:tabs>
        <w:tab w:val="left" w:pos="0"/>
        <w:tab w:val="left" w:pos="720"/>
      </w:tabs>
      <w:spacing w:line="360" w:lineRule="auto"/>
      <w:ind w:left="720" w:hanging="720"/>
    </w:pPr>
    <w:rPr>
      <w:b/>
      <w:color w:val="000000"/>
      <w:sz w:val="28"/>
      <w:szCs w:val="28"/>
    </w:rPr>
  </w:style>
  <w:style w:type="character" w:customStyle="1" w:styleId="101">
    <w:name w:val="ft7"/>
    <w:basedOn w:val="32"/>
    <w:qFormat/>
    <w:uiPriority w:val="0"/>
  </w:style>
  <w:style w:type="character" w:customStyle="1" w:styleId="102">
    <w:name w:val="ft35"/>
    <w:basedOn w:val="32"/>
    <w:qFormat/>
    <w:uiPriority w:val="0"/>
  </w:style>
  <w:style w:type="paragraph" w:customStyle="1" w:styleId="10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5">
    <w:name w:val="p0"/>
    <w:basedOn w:val="1"/>
    <w:qFormat/>
    <w:uiPriority w:val="0"/>
    <w:pPr>
      <w:widowControl/>
    </w:pPr>
    <w:rPr>
      <w:rFonts w:ascii="Times New Roman" w:hAnsi="Times New Roman" w:eastAsia="宋体" w:cs="Times New Roman"/>
      <w:kern w:val="0"/>
      <w:szCs w:val="21"/>
    </w:rPr>
  </w:style>
  <w:style w:type="paragraph" w:customStyle="1" w:styleId="106">
    <w:name w:val="样式2"/>
    <w:basedOn w:val="1"/>
    <w:qFormat/>
    <w:uiPriority w:val="0"/>
    <w:pPr>
      <w:spacing w:before="120" w:after="120"/>
    </w:pPr>
  </w:style>
  <w:style w:type="paragraph" w:customStyle="1" w:styleId="107">
    <w:name w:val="样式 微软雅黑 小四 行距: 固定值 22 磅 首行缩进:  2 字符"/>
    <w:basedOn w:val="1"/>
    <w:qFormat/>
    <w:uiPriority w:val="0"/>
    <w:pPr>
      <w:spacing w:line="440" w:lineRule="exact"/>
      <w:jc w:val="both"/>
    </w:pPr>
    <w:rPr>
      <w:rFonts w:eastAsia="微软雅黑"/>
      <w:sz w:val="24"/>
      <w:szCs w:val="20"/>
    </w:rPr>
  </w:style>
  <w:style w:type="paragraph" w:customStyle="1" w:styleId="108">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Normal (Web)_89412de9-eabe-45fd-80f8-9d59422cc8be"/>
    <w:basedOn w:val="1"/>
    <w:qFormat/>
    <w:uiPriority w:val="0"/>
    <w:pPr>
      <w:spacing w:before="0" w:beforeAutospacing="0" w:after="0" w:afterAutospacing="0"/>
      <w:ind w:left="0" w:right="0"/>
      <w:jc w:val="left"/>
    </w:pPr>
    <w:rPr>
      <w:kern w:val="0"/>
      <w:sz w:val="24"/>
      <w:lang w:val="en-US" w:eastAsia="zh-CN"/>
    </w:rPr>
  </w:style>
  <w:style w:type="table" w:customStyle="1" w:styleId="110">
    <w:name w:val="Table Normal"/>
    <w:qFormat/>
    <w:uiPriority w:val="0"/>
    <w:tblPr>
      <w:tblCellMar>
        <w:top w:w="0" w:type="dxa"/>
        <w:left w:w="0" w:type="dxa"/>
        <w:bottom w:w="0" w:type="dxa"/>
        <w:right w:w="0" w:type="dxa"/>
      </w:tblCellMar>
    </w:tblPr>
  </w:style>
  <w:style w:type="paragraph" w:customStyle="1" w:styleId="111">
    <w:name w:val="Table Text"/>
    <w:basedOn w:val="1"/>
    <w:qFormat/>
    <w:uiPriority w:val="0"/>
    <w:rPr>
      <w:rFonts w:ascii="Arial" w:hAnsi="Arial" w:eastAsia="Arial" w:cs="Arial"/>
      <w:sz w:val="24"/>
      <w:szCs w:val="24"/>
      <w:lang w:val="en-US" w:eastAsia="en-US" w:bidi="ar-SA"/>
    </w:rPr>
  </w:style>
  <w:style w:type="paragraph" w:customStyle="1" w:styleId="112">
    <w:name w:val="表格"/>
    <w:basedOn w:val="1"/>
    <w:qFormat/>
    <w:uiPriority w:val="0"/>
    <w:pPr>
      <w:spacing w:line="400" w:lineRule="exact"/>
    </w:pPr>
    <w:rPr>
      <w:rFonts w:ascii="Times New Roman" w:hAnsi="Times New Roman" w:eastAsia="宋体" w:cs="Times New Roman"/>
      <w:sz w:val="24"/>
    </w:rPr>
  </w:style>
  <w:style w:type="character" w:customStyle="1" w:styleId="113">
    <w:name w:val="font31"/>
    <w:basedOn w:val="32"/>
    <w:qFormat/>
    <w:uiPriority w:val="0"/>
    <w:rPr>
      <w:rFonts w:hint="eastAsia" w:ascii="宋体" w:hAnsi="宋体" w:eastAsia="宋体" w:cs="宋体"/>
      <w:color w:val="000000"/>
      <w:sz w:val="24"/>
      <w:szCs w:val="24"/>
      <w:u w:val="none"/>
    </w:rPr>
  </w:style>
  <w:style w:type="character" w:customStyle="1" w:styleId="114">
    <w:name w:val="font41"/>
    <w:basedOn w:val="32"/>
    <w:qFormat/>
    <w:uiPriority w:val="0"/>
    <w:rPr>
      <w:rFonts w:hint="eastAsia" w:ascii="宋体" w:hAnsi="宋体" w:eastAsia="宋体" w:cs="宋体"/>
      <w:color w:val="000000"/>
      <w:sz w:val="24"/>
      <w:szCs w:val="24"/>
      <w:u w:val="none"/>
    </w:rPr>
  </w:style>
  <w:style w:type="character" w:customStyle="1" w:styleId="115">
    <w:name w:val="font61"/>
    <w:basedOn w:val="32"/>
    <w:qFormat/>
    <w:uiPriority w:val="0"/>
    <w:rPr>
      <w:rFonts w:hint="eastAsia" w:ascii="宋体" w:hAnsi="宋体" w:eastAsia="宋体" w:cs="宋体"/>
      <w:color w:val="000000"/>
      <w:sz w:val="24"/>
      <w:szCs w:val="24"/>
      <w:u w:val="none"/>
    </w:rPr>
  </w:style>
  <w:style w:type="paragraph" w:customStyle="1" w:styleId="116">
    <w:name w:val="Other|1"/>
    <w:basedOn w:val="1"/>
    <w:qFormat/>
    <w:uiPriority w:val="0"/>
    <w:pPr>
      <w:jc w:val="center"/>
    </w:pPr>
    <w:rPr>
      <w:rFonts w:ascii="宋体" w:hAnsi="宋体" w:eastAsia="宋体" w:cs="宋体"/>
      <w:sz w:val="16"/>
      <w:szCs w:val="16"/>
      <w:lang w:val="zh-TW" w:eastAsia="zh-TW" w:bidi="zh-TW"/>
    </w:rPr>
  </w:style>
  <w:style w:type="paragraph" w:customStyle="1" w:styleId="117">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ui-provider"/>
    <w:basedOn w:val="32"/>
    <w:qFormat/>
    <w:uiPriority w:val="0"/>
  </w:style>
  <w:style w:type="character" w:customStyle="1" w:styleId="119">
    <w:name w:val="font11"/>
    <w:basedOn w:val="32"/>
    <w:qFormat/>
    <w:uiPriority w:val="0"/>
    <w:rPr>
      <w:rFonts w:hint="eastAsia" w:ascii="宋体" w:hAnsi="宋体" w:eastAsia="宋体" w:cs="宋体"/>
      <w:color w:val="FF0000"/>
      <w:sz w:val="24"/>
      <w:szCs w:val="24"/>
      <w:u w:val="none"/>
    </w:rPr>
  </w:style>
  <w:style w:type="paragraph" w:customStyle="1" w:styleId="120">
    <w:name w:val="_Style 1"/>
    <w:basedOn w:val="1"/>
    <w:qFormat/>
    <w:uiPriority w:val="34"/>
    <w:pPr>
      <w:ind w:firstLine="420" w:firstLineChars="200"/>
    </w:pPr>
  </w:style>
  <w:style w:type="character" w:customStyle="1" w:styleId="121">
    <w:name w:val="Font Style12"/>
    <w:qFormat/>
    <w:uiPriority w:val="0"/>
    <w:rPr>
      <w:rFonts w:ascii="宋体" w:eastAsia="宋体" w:cs="宋体"/>
      <w:b/>
      <w:bCs/>
      <w:spacing w:val="-10"/>
      <w:sz w:val="22"/>
      <w:szCs w:val="22"/>
    </w:rPr>
  </w:style>
  <w:style w:type="character" w:customStyle="1" w:styleId="122">
    <w:name w:val="Font Style21"/>
    <w:basedOn w:val="32"/>
    <w:qFormat/>
    <w:uiPriority w:val="0"/>
    <w:rPr>
      <w:rFonts w:ascii="宋体" w:eastAsia="宋体" w:cs="宋体"/>
      <w:sz w:val="22"/>
      <w:szCs w:val="22"/>
    </w:rPr>
  </w:style>
  <w:style w:type="character" w:customStyle="1" w:styleId="123">
    <w:name w:val="Font Style14"/>
    <w:basedOn w:val="32"/>
    <w:qFormat/>
    <w:uiPriority w:val="0"/>
    <w:rPr>
      <w:rFonts w:ascii="宋体" w:eastAsia="宋体" w:cs="宋体"/>
    </w:rPr>
  </w:style>
  <w:style w:type="character" w:customStyle="1" w:styleId="124">
    <w:name w:val="Font Style15"/>
    <w:basedOn w:val="32"/>
    <w:qFormat/>
    <w:uiPriority w:val="0"/>
    <w:rPr>
      <w:rFonts w:ascii="黑体" w:hAnsi="黑体" w:eastAsia="黑体" w:cs="黑体"/>
      <w:b/>
      <w:bCs/>
      <w:sz w:val="16"/>
      <w:szCs w:val="16"/>
    </w:rPr>
  </w:style>
  <w:style w:type="character" w:customStyle="1" w:styleId="125">
    <w:name w:val="Font Style11"/>
    <w:basedOn w:val="32"/>
    <w:qFormat/>
    <w:uiPriority w:val="0"/>
    <w:rPr>
      <w:rFonts w:ascii="宋体" w:eastAsia="宋体" w:cs="宋体"/>
      <w:b/>
      <w:bCs/>
      <w:spacing w:val="-10"/>
      <w:sz w:val="22"/>
      <w:szCs w:val="22"/>
    </w:rPr>
  </w:style>
  <w:style w:type="character" w:customStyle="1" w:styleId="126">
    <w:name w:val="font21"/>
    <w:basedOn w:val="32"/>
    <w:qFormat/>
    <w:uiPriority w:val="0"/>
    <w:rPr>
      <w:rFonts w:hint="eastAsia" w:ascii="宋体" w:hAnsi="宋体" w:eastAsia="宋体" w:cs="宋体"/>
      <w:color w:val="000000"/>
      <w:sz w:val="21"/>
      <w:szCs w:val="21"/>
      <w:u w:val="none"/>
    </w:rPr>
  </w:style>
  <w:style w:type="character" w:customStyle="1" w:styleId="127">
    <w:name w:val="15"/>
    <w:basedOn w:val="32"/>
    <w:qFormat/>
    <w:uiPriority w:val="0"/>
    <w:rPr>
      <w:rFonts w:hint="default" w:ascii="Times New Roman" w:hAnsi="Times New Roman" w:cs="Times New Roman"/>
    </w:rPr>
  </w:style>
  <w:style w:type="paragraph" w:customStyle="1" w:styleId="128">
    <w:name w:val="答复表头"/>
    <w:basedOn w:val="129"/>
    <w:next w:val="1"/>
    <w:qFormat/>
    <w:uiPriority w:val="0"/>
    <w:pPr>
      <w:tabs>
        <w:tab w:val="left" w:pos="480"/>
      </w:tabs>
    </w:pPr>
    <w:rPr>
      <w:b/>
    </w:rPr>
  </w:style>
  <w:style w:type="paragraph" w:customStyle="1" w:styleId="1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30">
    <w:name w:val="BodyText1I"/>
    <w:basedOn w:val="13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131">
    <w:name w:val="BodyText"/>
    <w:basedOn w:val="1"/>
    <w:next w:val="132"/>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13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character" w:customStyle="1" w:styleId="133">
    <w:name w:val="font51"/>
    <w:basedOn w:val="32"/>
    <w:qFormat/>
    <w:uiPriority w:val="0"/>
    <w:rPr>
      <w:rFonts w:hint="eastAsia" w:ascii="宋体" w:hAnsi="宋体" w:eastAsia="宋体" w:cs="宋体"/>
      <w:color w:val="FF0000"/>
      <w:sz w:val="22"/>
      <w:szCs w:val="22"/>
      <w:u w:val="none"/>
    </w:rPr>
  </w:style>
  <w:style w:type="character" w:customStyle="1" w:styleId="134">
    <w:name w:val="font01"/>
    <w:basedOn w:val="32"/>
    <w:qFormat/>
    <w:uiPriority w:val="0"/>
    <w:rPr>
      <w:rFonts w:hint="eastAsia" w:ascii="宋体" w:hAnsi="宋体" w:eastAsia="宋体" w:cs="宋体"/>
      <w:color w:val="000000"/>
      <w:sz w:val="22"/>
      <w:szCs w:val="22"/>
      <w:u w:val="none"/>
    </w:rPr>
  </w:style>
  <w:style w:type="paragraph" w:customStyle="1" w:styleId="135">
    <w:name w:val="5）标书正文 首行缩进2字符"/>
    <w:basedOn w:val="1"/>
    <w:qFormat/>
    <w:uiPriority w:val="0"/>
    <w:pPr>
      <w:spacing w:line="480" w:lineRule="exact"/>
      <w:ind w:firstLine="200" w:firstLineChars="200"/>
    </w:pPr>
    <w:rPr>
      <w:rFonts w:ascii="仿宋_GB2312" w:eastAsia="仿宋_GB2312"/>
      <w:sz w:val="28"/>
    </w:rPr>
  </w:style>
  <w:style w:type="paragraph" w:styleId="136">
    <w:name w:val="List Paragraph"/>
    <w:basedOn w:val="1"/>
    <w:qFormat/>
    <w:uiPriority w:val="34"/>
    <w:pPr>
      <w:ind w:firstLine="420" w:firstLineChars="200"/>
    </w:pPr>
  </w:style>
  <w:style w:type="paragraph" w:customStyle="1" w:styleId="1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15968</Words>
  <Characters>16939</Characters>
  <Paragraphs>1891</Paragraphs>
  <TotalTime>0</TotalTime>
  <ScaleCrop>false</ScaleCrop>
  <LinksUpToDate>false</LinksUpToDate>
  <CharactersWithSpaces>19026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2023-02-26T09:34:00Z</dcterms:created>
  <dc:creator>lenovo</dc:creator>
  <cp:lastModifiedBy>哒哒哒</cp:lastModifiedBy>
  <cp:lastPrinted>2024-06-14T03:57:00Z</cp:lastPrinted>
  <dcterms:modified xsi:type="dcterms:W3CDTF">2026-03-27T07:45:26Z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D8D85E4187D14811A382BC4A69C6D533_13</vt:lpwstr>
  </property>
  <property fmtid="{D5CDD505-2E9C-101B-9397-08002B2CF9AE}" pid="4" name="KSOTemplateDocerSaveRecord">
    <vt:lpwstr>eyJoZGlkIjoiMjhiZmU0Y2Q5NTE5MThkMWI4M2RkMDI3NzM0ZTY3YjUiLCJ1c2VySWQiOiIzODMwNTU3MDIifQ==</vt:lpwstr>
  </property>
</Properties>
</file>