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50EF">
      <w:pPr>
        <w:bidi w:val="0"/>
        <w:rPr>
          <w:rFonts w:hint="eastAsia"/>
          <w:color w:val="auto"/>
          <w:lang w:eastAsia="zh-CN"/>
        </w:rPr>
      </w:pPr>
    </w:p>
    <w:p w14:paraId="1BA922DB">
      <w:pPr>
        <w:pStyle w:val="30"/>
        <w:rPr>
          <w:rFonts w:hint="eastAsia"/>
          <w:color w:val="auto"/>
          <w:lang w:eastAsia="zh-CN"/>
        </w:rPr>
      </w:pPr>
    </w:p>
    <w:p w14:paraId="0D869D61">
      <w:pPr>
        <w:pStyle w:val="12"/>
        <w:rPr>
          <w:rFonts w:hint="eastAsia"/>
          <w:color w:val="auto"/>
          <w:lang w:eastAsia="zh-CN"/>
        </w:rPr>
      </w:pPr>
    </w:p>
    <w:p w14:paraId="18916F64">
      <w:pPr>
        <w:rPr>
          <w:rFonts w:hint="eastAsia"/>
          <w:color w:val="auto"/>
          <w:lang w:eastAsia="zh-CN"/>
        </w:rPr>
      </w:pPr>
    </w:p>
    <w:p w14:paraId="2908012E">
      <w:pPr>
        <w:pStyle w:val="9"/>
        <w:kinsoku w:val="0"/>
        <w:overflowPunct w:val="0"/>
        <w:spacing w:beforeLines="0" w:afterLines="0" w:line="360" w:lineRule="auto"/>
        <w:jc w:val="center"/>
        <w:rPr>
          <w:rFonts w:hint="eastAsia" w:ascii="黑体" w:hAnsi="黑体" w:eastAsia="黑体"/>
          <w:color w:val="auto"/>
          <w:sz w:val="40"/>
          <w:szCs w:val="16"/>
          <w:highlight w:val="none"/>
          <w:lang w:eastAsia="zh-CN"/>
        </w:rPr>
      </w:pPr>
    </w:p>
    <w:p w14:paraId="4D6769B2">
      <w:pPr>
        <w:pStyle w:val="9"/>
        <w:kinsoku w:val="0"/>
        <w:overflowPunct w:val="0"/>
        <w:spacing w:beforeLines="0" w:afterLines="0" w:line="360" w:lineRule="auto"/>
        <w:jc w:val="center"/>
        <w:rPr>
          <w:rFonts w:hint="eastAsia" w:ascii="黑体" w:hAnsi="黑体" w:eastAsia="黑体"/>
          <w:color w:val="auto"/>
          <w:sz w:val="40"/>
          <w:szCs w:val="16"/>
          <w:highlight w:val="none"/>
          <w:lang w:eastAsia="zh-CN"/>
        </w:rPr>
      </w:pPr>
      <w:r>
        <w:rPr>
          <w:rFonts w:hint="eastAsia" w:ascii="黑体" w:hAnsi="黑体" w:eastAsia="黑体"/>
          <w:color w:val="auto"/>
          <w:sz w:val="40"/>
          <w:szCs w:val="16"/>
          <w:highlight w:val="none"/>
          <w:lang w:eastAsia="zh-CN"/>
        </w:rPr>
        <w:t>长春市人民检察院消防排烟、烟感报警系统</w:t>
      </w:r>
    </w:p>
    <w:p w14:paraId="5D213E94">
      <w:pPr>
        <w:pStyle w:val="9"/>
        <w:kinsoku w:val="0"/>
        <w:overflowPunct w:val="0"/>
        <w:spacing w:beforeLines="0" w:afterLines="0" w:line="360" w:lineRule="auto"/>
        <w:jc w:val="center"/>
        <w:rPr>
          <w:rFonts w:hint="eastAsia" w:ascii="黑体" w:hAnsi="黑体" w:eastAsia="黑体"/>
          <w:color w:val="auto"/>
          <w:sz w:val="48"/>
          <w:highlight w:val="none"/>
          <w:lang w:eastAsia="zh-CN"/>
        </w:rPr>
      </w:pPr>
      <w:r>
        <w:rPr>
          <w:rFonts w:hint="eastAsia" w:ascii="黑体" w:hAnsi="黑体" w:eastAsia="黑体"/>
          <w:color w:val="auto"/>
          <w:sz w:val="40"/>
          <w:szCs w:val="16"/>
          <w:highlight w:val="none"/>
          <w:lang w:eastAsia="zh-CN"/>
        </w:rPr>
        <w:t>改造工程</w:t>
      </w:r>
    </w:p>
    <w:p w14:paraId="2061075E">
      <w:pPr>
        <w:pStyle w:val="9"/>
        <w:kinsoku w:val="0"/>
        <w:overflowPunct w:val="0"/>
        <w:spacing w:beforeLines="0" w:afterLines="0"/>
        <w:rPr>
          <w:rFonts w:hint="eastAsia" w:ascii="黑体" w:hAnsi="黑体" w:eastAsia="黑体"/>
          <w:color w:val="auto"/>
          <w:sz w:val="48"/>
          <w:highlight w:val="none"/>
        </w:rPr>
      </w:pPr>
    </w:p>
    <w:p w14:paraId="033F3E50">
      <w:pPr>
        <w:pStyle w:val="9"/>
        <w:kinsoku w:val="0"/>
        <w:overflowPunct w:val="0"/>
        <w:spacing w:beforeLines="0" w:afterLines="0"/>
        <w:rPr>
          <w:rFonts w:hint="eastAsia" w:ascii="黑体" w:hAnsi="黑体" w:eastAsia="黑体"/>
          <w:color w:val="auto"/>
          <w:sz w:val="48"/>
          <w:highlight w:val="none"/>
        </w:rPr>
      </w:pPr>
    </w:p>
    <w:p w14:paraId="031090FA">
      <w:pPr>
        <w:pStyle w:val="9"/>
        <w:kinsoku w:val="0"/>
        <w:overflowPunct w:val="0"/>
        <w:spacing w:before="8" w:beforeLines="0" w:afterLines="0"/>
        <w:rPr>
          <w:rFonts w:hint="eastAsia" w:ascii="黑体" w:hAnsi="黑体" w:eastAsia="黑体"/>
          <w:color w:val="auto"/>
          <w:sz w:val="35"/>
          <w:highlight w:val="none"/>
        </w:rPr>
      </w:pPr>
    </w:p>
    <w:p w14:paraId="394172E1">
      <w:pPr>
        <w:jc w:val="center"/>
        <w:rPr>
          <w:rFonts w:hint="eastAsia" w:ascii="宋体" w:hAnsi="宋体" w:cs="宋体"/>
          <w:b/>
          <w:bCs/>
          <w:color w:val="auto"/>
          <w:sz w:val="52"/>
          <w:szCs w:val="52"/>
        </w:rPr>
      </w:pPr>
      <w:r>
        <w:rPr>
          <w:rFonts w:hint="eastAsia" w:ascii="宋体" w:hAnsi="宋体" w:cs="宋体"/>
          <w:b/>
          <w:bCs/>
          <w:color w:val="auto"/>
          <w:sz w:val="52"/>
          <w:szCs w:val="52"/>
          <w:lang w:val="en-US" w:eastAsia="zh-CN"/>
        </w:rPr>
        <w:t>竞争性磋商</w:t>
      </w:r>
      <w:r>
        <w:rPr>
          <w:rFonts w:hint="eastAsia" w:ascii="宋体" w:hAnsi="宋体" w:cs="宋体"/>
          <w:b/>
          <w:bCs/>
          <w:color w:val="auto"/>
          <w:sz w:val="52"/>
          <w:szCs w:val="52"/>
        </w:rPr>
        <w:t>文件</w:t>
      </w:r>
    </w:p>
    <w:p w14:paraId="3F1CB97D">
      <w:pPr>
        <w:pStyle w:val="21"/>
        <w:ind w:left="0" w:leftChars="0" w:firstLine="0" w:firstLineChars="0"/>
        <w:jc w:val="center"/>
        <w:rPr>
          <w:rFonts w:hint="eastAsia" w:ascii="黑体" w:eastAsia="黑体"/>
          <w:color w:val="auto"/>
          <w:sz w:val="28"/>
          <w:szCs w:val="28"/>
        </w:rPr>
      </w:pPr>
    </w:p>
    <w:p w14:paraId="0ECE1658">
      <w:pPr>
        <w:spacing w:line="400" w:lineRule="exact"/>
        <w:jc w:val="center"/>
        <w:rPr>
          <w:rFonts w:hint="default"/>
          <w:color w:val="auto"/>
          <w:highlight w:val="yellow"/>
          <w:lang w:val="en-US"/>
        </w:rPr>
      </w:pPr>
      <w:r>
        <w:rPr>
          <w:rFonts w:hint="eastAsia" w:ascii="宋体" w:hAnsi="宋体" w:cs="宋体"/>
          <w:b/>
          <w:color w:val="auto"/>
          <w:sz w:val="30"/>
          <w:szCs w:val="30"/>
          <w:lang w:val="zh-CN" w:bidi="zh-CN"/>
        </w:rPr>
        <w:t>项目编</w:t>
      </w:r>
      <w:r>
        <w:rPr>
          <w:rFonts w:hint="eastAsia" w:ascii="宋体" w:hAnsi="宋体" w:cs="宋体"/>
          <w:b/>
          <w:color w:val="auto"/>
          <w:sz w:val="30"/>
          <w:szCs w:val="30"/>
          <w:highlight w:val="none"/>
          <w:lang w:val="zh-CN" w:bidi="zh-CN"/>
        </w:rPr>
        <w:t>号：</w:t>
      </w:r>
      <w:r>
        <w:rPr>
          <w:rFonts w:hint="eastAsia" w:ascii="宋体" w:hAnsi="宋体" w:cs="宋体"/>
          <w:b/>
          <w:color w:val="auto"/>
          <w:sz w:val="30"/>
          <w:szCs w:val="30"/>
          <w:highlight w:val="none"/>
          <w:lang w:val="en-US" w:bidi="zh-CN"/>
        </w:rPr>
        <w:t>采购计划-[2026]-04481号-ZJZB-2026-019</w:t>
      </w:r>
    </w:p>
    <w:p w14:paraId="05C5B854">
      <w:pPr>
        <w:spacing w:line="400" w:lineRule="exact"/>
        <w:rPr>
          <w:color w:val="auto"/>
        </w:rPr>
      </w:pPr>
    </w:p>
    <w:p w14:paraId="59F40671">
      <w:pPr>
        <w:spacing w:line="400" w:lineRule="exact"/>
        <w:rPr>
          <w:rFonts w:hint="eastAsia"/>
          <w:color w:val="auto"/>
        </w:rPr>
      </w:pPr>
    </w:p>
    <w:p w14:paraId="0045AEAE">
      <w:pPr>
        <w:spacing w:line="400" w:lineRule="exact"/>
        <w:rPr>
          <w:rFonts w:hint="eastAsia"/>
          <w:color w:val="auto"/>
        </w:rPr>
      </w:pPr>
    </w:p>
    <w:p w14:paraId="26F4A617">
      <w:pPr>
        <w:spacing w:line="400" w:lineRule="exact"/>
        <w:rPr>
          <w:color w:val="auto"/>
        </w:rPr>
      </w:pPr>
    </w:p>
    <w:p w14:paraId="1B08853E">
      <w:pPr>
        <w:pStyle w:val="9"/>
        <w:rPr>
          <w:color w:val="auto"/>
        </w:rPr>
      </w:pPr>
    </w:p>
    <w:p w14:paraId="450DDCC4">
      <w:pPr>
        <w:pStyle w:val="9"/>
        <w:rPr>
          <w:color w:val="auto"/>
        </w:rPr>
      </w:pPr>
    </w:p>
    <w:p w14:paraId="3FA66181">
      <w:pPr>
        <w:spacing w:line="400" w:lineRule="exact"/>
        <w:rPr>
          <w:color w:val="auto"/>
        </w:rPr>
      </w:pPr>
    </w:p>
    <w:p w14:paraId="482DCA26">
      <w:pPr>
        <w:spacing w:line="400" w:lineRule="exact"/>
        <w:rPr>
          <w:color w:val="auto"/>
        </w:rPr>
      </w:pPr>
    </w:p>
    <w:p w14:paraId="6D78B3B4">
      <w:pPr>
        <w:spacing w:line="400" w:lineRule="exact"/>
        <w:rPr>
          <w:color w:val="auto"/>
        </w:rPr>
      </w:pPr>
    </w:p>
    <w:p w14:paraId="68D94292">
      <w:pPr>
        <w:spacing w:line="400" w:lineRule="exact"/>
        <w:rPr>
          <w:color w:val="auto"/>
        </w:rPr>
      </w:pPr>
    </w:p>
    <w:p w14:paraId="21A51887">
      <w:pPr>
        <w:spacing w:line="480" w:lineRule="auto"/>
        <w:jc w:val="center"/>
        <w:rPr>
          <w:rFonts w:hint="default" w:ascii="宋体" w:hAnsi="宋体" w:eastAsia="宋体"/>
          <w:b/>
          <w:color w:val="auto"/>
          <w:sz w:val="30"/>
          <w:szCs w:val="30"/>
          <w:lang w:eastAsia="zh-CN"/>
        </w:rPr>
      </w:pPr>
      <w:r>
        <w:rPr>
          <w:rFonts w:hint="eastAsia" w:ascii="宋体" w:hAnsi="宋体"/>
          <w:b/>
          <w:color w:val="auto"/>
          <w:sz w:val="30"/>
          <w:szCs w:val="30"/>
          <w:lang w:val="en-US" w:eastAsia="zh-CN"/>
        </w:rPr>
        <w:t>采购</w:t>
      </w:r>
      <w:r>
        <w:rPr>
          <w:rFonts w:hint="eastAsia" w:ascii="宋体" w:hAnsi="宋体"/>
          <w:b/>
          <w:color w:val="auto"/>
          <w:sz w:val="30"/>
          <w:szCs w:val="30"/>
        </w:rPr>
        <w:t>人：</w:t>
      </w:r>
      <w:r>
        <w:rPr>
          <w:rFonts w:hint="eastAsia" w:ascii="宋体" w:hAnsi="宋体"/>
          <w:b/>
          <w:color w:val="auto"/>
          <w:sz w:val="30"/>
          <w:szCs w:val="30"/>
          <w:lang w:eastAsia="zh-CN"/>
        </w:rPr>
        <w:t>吉林省长春市人民检察院</w:t>
      </w:r>
    </w:p>
    <w:p w14:paraId="0E9CFE85">
      <w:pPr>
        <w:spacing w:line="480" w:lineRule="auto"/>
        <w:jc w:val="center"/>
        <w:rPr>
          <w:rFonts w:hint="default" w:ascii="宋体" w:hAnsi="宋体" w:eastAsia="宋体"/>
          <w:b/>
          <w:color w:val="auto"/>
          <w:sz w:val="30"/>
          <w:szCs w:val="30"/>
          <w:lang w:eastAsia="zh-CN"/>
        </w:rPr>
      </w:pPr>
      <w:r>
        <w:rPr>
          <w:rFonts w:hint="eastAsia" w:ascii="宋体" w:hAnsi="宋体"/>
          <w:b/>
          <w:color w:val="auto"/>
          <w:sz w:val="30"/>
          <w:szCs w:val="30"/>
          <w:lang w:val="en-US" w:eastAsia="zh-CN"/>
        </w:rPr>
        <w:t>采购</w:t>
      </w:r>
      <w:r>
        <w:rPr>
          <w:rFonts w:hint="eastAsia" w:ascii="宋体" w:hAnsi="宋体"/>
          <w:b/>
          <w:color w:val="auto"/>
          <w:sz w:val="30"/>
          <w:szCs w:val="30"/>
        </w:rPr>
        <w:t>代理机构：</w:t>
      </w:r>
      <w:r>
        <w:rPr>
          <w:rFonts w:hint="eastAsia" w:ascii="宋体"/>
          <w:b/>
          <w:color w:val="auto"/>
          <w:sz w:val="30"/>
          <w:szCs w:val="30"/>
          <w:lang w:eastAsia="zh-CN"/>
        </w:rPr>
        <w:t>吉林省中基筑城项目管理有限公司</w:t>
      </w:r>
    </w:p>
    <w:p w14:paraId="762B7F75">
      <w:pPr>
        <w:spacing w:line="480" w:lineRule="auto"/>
        <w:jc w:val="center"/>
        <w:rPr>
          <w:rFonts w:hint="eastAsia"/>
          <w:b/>
          <w:color w:val="auto"/>
          <w:szCs w:val="44"/>
        </w:rPr>
      </w:pPr>
      <w:r>
        <w:rPr>
          <w:rFonts w:hint="eastAsia" w:ascii="宋体" w:hAnsi="宋体"/>
          <w:b/>
          <w:color w:val="auto"/>
          <w:sz w:val="30"/>
          <w:szCs w:val="30"/>
          <w:lang w:val="en-US" w:eastAsia="zh-CN"/>
        </w:rPr>
        <w:t>2026</w:t>
      </w:r>
      <w:r>
        <w:rPr>
          <w:rFonts w:hint="eastAsia" w:ascii="宋体" w:hAnsi="宋体"/>
          <w:b/>
          <w:color w:val="auto"/>
          <w:sz w:val="30"/>
          <w:szCs w:val="30"/>
        </w:rPr>
        <w:t>年</w:t>
      </w:r>
      <w:r>
        <w:rPr>
          <w:rFonts w:hint="eastAsia" w:ascii="宋体" w:hAnsi="宋体"/>
          <w:b/>
          <w:color w:val="auto"/>
          <w:sz w:val="30"/>
          <w:szCs w:val="30"/>
          <w:lang w:val="en-US" w:eastAsia="zh-CN"/>
        </w:rPr>
        <w:t>4</w:t>
      </w:r>
      <w:r>
        <w:rPr>
          <w:rFonts w:hint="eastAsia" w:ascii="宋体" w:hAnsi="宋体"/>
          <w:b/>
          <w:color w:val="auto"/>
          <w:sz w:val="30"/>
          <w:szCs w:val="30"/>
        </w:rPr>
        <w:t>月</w:t>
      </w:r>
    </w:p>
    <w:p w14:paraId="531541FA">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br w:type="page"/>
      </w:r>
    </w:p>
    <w:p w14:paraId="327545F2">
      <w:pPr>
        <w:jc w:val="center"/>
        <w:rPr>
          <w:rFonts w:hint="eastAsia" w:ascii="黑体" w:eastAsia="黑体" w:cs="黑体"/>
          <w:b/>
          <w:bCs/>
          <w:color w:val="auto"/>
          <w:sz w:val="36"/>
          <w:szCs w:val="36"/>
          <w:lang w:val="zh-CN"/>
        </w:rPr>
      </w:pPr>
      <w:r>
        <w:rPr>
          <w:rFonts w:hint="eastAsia" w:ascii="黑体" w:eastAsia="黑体" w:cs="黑体"/>
          <w:b/>
          <w:bCs/>
          <w:color w:val="auto"/>
          <w:sz w:val="36"/>
          <w:szCs w:val="36"/>
          <w:lang w:val="en-US" w:eastAsia="zh-CN"/>
        </w:rPr>
        <w:t>目录</w:t>
      </w:r>
    </w:p>
    <w:p w14:paraId="2D3F6001">
      <w:pPr>
        <w:pStyle w:val="16"/>
        <w:tabs>
          <w:tab w:val="right" w:leader="dot" w:pos="9638"/>
        </w:tabs>
        <w:rPr>
          <w:rFonts w:hint="eastAsia"/>
          <w:color w:val="auto"/>
          <w:sz w:val="28"/>
          <w:szCs w:val="28"/>
          <w:lang w:val="zh-CN"/>
        </w:rPr>
      </w:pPr>
    </w:p>
    <w:p w14:paraId="273153B1">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TOC \o "1-2" \h \u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_Toc28533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zh-CN"/>
        </w:rPr>
        <w:t>第一章竞争性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_Toc28533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5796B24E">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_Toc2670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pacing w:val="4"/>
          <w:sz w:val="24"/>
          <w:szCs w:val="24"/>
        </w:rPr>
        <w:t>第二章供应商须知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_Toc2670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3C281DB7">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_Toc21687 </w:instrText>
      </w:r>
      <w:r>
        <w:rPr>
          <w:rFonts w:hint="eastAsia" w:ascii="宋体" w:hAnsi="宋体" w:eastAsia="宋体" w:cs="宋体"/>
          <w:color w:val="auto"/>
          <w:sz w:val="24"/>
          <w:szCs w:val="24"/>
          <w:lang w:val="zh-CN"/>
        </w:rPr>
        <w:fldChar w:fldCharType="separate"/>
      </w:r>
      <w:r>
        <w:rPr>
          <w:rFonts w:hint="eastAsia" w:ascii="宋体" w:hAnsi="宋体" w:eastAsia="宋体" w:cs="宋体"/>
          <w:color w:val="auto"/>
          <w:sz w:val="24"/>
          <w:szCs w:val="24"/>
          <w:lang w:val="en-US" w:eastAsia="zh-CN"/>
        </w:rPr>
        <w:t xml:space="preserve">第三章 </w:t>
      </w:r>
      <w:r>
        <w:rPr>
          <w:rFonts w:hint="eastAsia" w:ascii="宋体" w:hAnsi="宋体" w:eastAsia="宋体" w:cs="宋体"/>
          <w:color w:val="auto"/>
          <w:sz w:val="24"/>
          <w:szCs w:val="24"/>
        </w:rPr>
        <w:t>评标办法（综合评估法）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_Toc21687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7E94E9A8">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_Toc13390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pacing w:val="6"/>
          <w:sz w:val="24"/>
          <w:szCs w:val="24"/>
        </w:rPr>
        <w:t>第四章合同条款及格式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_Toc13390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2214545F">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_Toc7415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pacing w:val="5"/>
          <w:sz w:val="24"/>
          <w:szCs w:val="24"/>
        </w:rPr>
        <w:t>第五章工程量清单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_Toc7415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58C1A5D1">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_Toc6690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pacing w:val="6"/>
          <w:sz w:val="24"/>
          <w:szCs w:val="24"/>
        </w:rPr>
        <w:t>第六章技术标准及要求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_Toc6690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38EB515F">
      <w:pPr>
        <w:pStyle w:val="16"/>
        <w:tabs>
          <w:tab w:val="right" w:leader="dot" w:pos="830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fldChar w:fldCharType="begin"/>
      </w:r>
      <w:r>
        <w:rPr>
          <w:rFonts w:hint="eastAsia" w:ascii="宋体" w:hAnsi="宋体" w:eastAsia="宋体" w:cs="宋体"/>
          <w:color w:val="auto"/>
          <w:sz w:val="24"/>
          <w:szCs w:val="24"/>
          <w:lang w:val="zh-CN"/>
        </w:rPr>
        <w:instrText xml:space="preserve"> HYPERLINK \l _Toc26844 </w:instrText>
      </w:r>
      <w:r>
        <w:rPr>
          <w:rFonts w:hint="eastAsia" w:ascii="宋体" w:hAnsi="宋体" w:eastAsia="宋体" w:cs="宋体"/>
          <w:color w:val="auto"/>
          <w:sz w:val="24"/>
          <w:szCs w:val="24"/>
          <w:lang w:val="zh-CN"/>
        </w:rPr>
        <w:fldChar w:fldCharType="separate"/>
      </w:r>
      <w:r>
        <w:rPr>
          <w:rFonts w:hint="eastAsia" w:ascii="宋体" w:hAnsi="宋体" w:eastAsia="宋体" w:cs="宋体"/>
          <w:bCs/>
          <w:color w:val="auto"/>
          <w:spacing w:val="6"/>
          <w:sz w:val="24"/>
          <w:szCs w:val="24"/>
        </w:rPr>
        <w:t>第七章响应文件内容及格式要求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_Toc26844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zh-CN"/>
        </w:rPr>
        <w:fldChar w:fldCharType="end"/>
      </w:r>
    </w:p>
    <w:p w14:paraId="44D8E868">
      <w:pPr>
        <w:bidi w:val="0"/>
        <w:spacing w:line="360" w:lineRule="auto"/>
        <w:rPr>
          <w:rFonts w:hint="eastAsia"/>
          <w:color w:val="auto"/>
          <w:lang w:val="zh-CN"/>
        </w:rPr>
      </w:pPr>
      <w:r>
        <w:rPr>
          <w:rFonts w:hint="eastAsia" w:ascii="宋体" w:hAnsi="宋体" w:eastAsia="宋体" w:cs="宋体"/>
          <w:color w:val="auto"/>
          <w:sz w:val="24"/>
          <w:szCs w:val="24"/>
          <w:lang w:val="zh-CN"/>
        </w:rPr>
        <w:fldChar w:fldCharType="end"/>
      </w:r>
    </w:p>
    <w:p w14:paraId="4B4528FA">
      <w:pPr>
        <w:snapToGrid w:val="0"/>
        <w:jc w:val="center"/>
        <w:rPr>
          <w:rFonts w:hint="eastAsia" w:ascii="黑体" w:eastAsia="黑体" w:cs="黑体"/>
          <w:b/>
          <w:bCs/>
          <w:color w:val="auto"/>
          <w:sz w:val="36"/>
          <w:szCs w:val="36"/>
          <w:lang w:val="zh-CN"/>
        </w:rPr>
        <w:sectPr>
          <w:headerReference r:id="rId3" w:type="default"/>
          <w:pgSz w:w="11906" w:h="16838"/>
          <w:pgMar w:top="1134" w:right="1803" w:bottom="1134" w:left="1803" w:header="851" w:footer="992" w:gutter="0"/>
          <w:pgBorders>
            <w:top w:val="none" w:sz="0" w:space="0"/>
            <w:left w:val="none" w:sz="0" w:space="0"/>
            <w:bottom w:val="none" w:sz="0" w:space="0"/>
            <w:right w:val="none" w:sz="0" w:space="0"/>
          </w:pgBorders>
          <w:cols w:space="720" w:num="1"/>
          <w:docGrid w:type="lines" w:linePitch="312" w:charSpace="0"/>
        </w:sectPr>
      </w:pPr>
    </w:p>
    <w:p w14:paraId="38DF47FF">
      <w:pPr>
        <w:snapToGrid w:val="0"/>
        <w:jc w:val="center"/>
        <w:rPr>
          <w:rFonts w:hint="eastAsia" w:ascii="黑体" w:eastAsia="黑体" w:cs="黑体"/>
          <w:b/>
          <w:bCs/>
          <w:color w:val="auto"/>
          <w:sz w:val="36"/>
          <w:szCs w:val="36"/>
          <w:lang w:val="zh-CN"/>
        </w:rPr>
      </w:pPr>
    </w:p>
    <w:p w14:paraId="0650D607">
      <w:pPr>
        <w:snapToGrid w:val="0"/>
        <w:jc w:val="center"/>
        <w:rPr>
          <w:rFonts w:hint="eastAsia" w:ascii="黑体" w:eastAsia="黑体" w:cs="黑体"/>
          <w:b/>
          <w:bCs/>
          <w:color w:val="auto"/>
          <w:sz w:val="36"/>
          <w:szCs w:val="36"/>
          <w:lang w:val="zh-CN"/>
        </w:rPr>
      </w:pPr>
      <w:r>
        <w:rPr>
          <w:rFonts w:hint="eastAsia" w:ascii="黑体" w:eastAsia="黑体" w:cs="黑体"/>
          <w:b/>
          <w:bCs/>
          <w:color w:val="auto"/>
          <w:sz w:val="36"/>
          <w:szCs w:val="36"/>
          <w:lang w:val="zh-CN"/>
        </w:rPr>
        <w:t>长春市人民检察院消防排烟、烟感报警系统改造工程</w:t>
      </w:r>
    </w:p>
    <w:p w14:paraId="2B9836BC">
      <w:pPr>
        <w:snapToGrid w:val="0"/>
        <w:jc w:val="center"/>
        <w:rPr>
          <w:rFonts w:hint="eastAsia" w:ascii="黑体" w:eastAsia="黑体" w:cs="黑体"/>
          <w:b/>
          <w:bCs/>
          <w:color w:val="auto"/>
          <w:sz w:val="36"/>
          <w:szCs w:val="36"/>
          <w:lang w:val="zh-CN"/>
        </w:rPr>
      </w:pPr>
      <w:r>
        <w:rPr>
          <w:rFonts w:hint="eastAsia" w:ascii="黑体" w:eastAsia="黑体" w:cs="黑体"/>
          <w:b/>
          <w:bCs/>
          <w:color w:val="auto"/>
          <w:sz w:val="36"/>
          <w:szCs w:val="36"/>
          <w:lang w:val="zh-CN"/>
        </w:rPr>
        <w:t>竞争性</w:t>
      </w:r>
      <w:r>
        <w:rPr>
          <w:rFonts w:hint="eastAsia" w:ascii="黑体" w:hAnsi="黑体" w:eastAsia="黑体" w:cs="黑体"/>
          <w:b/>
          <w:bCs/>
          <w:color w:val="auto"/>
          <w:sz w:val="36"/>
          <w:szCs w:val="36"/>
          <w:lang w:val="zh-CN"/>
        </w:rPr>
        <w:t>磋商文件</w:t>
      </w:r>
    </w:p>
    <w:p w14:paraId="455F19DE">
      <w:pPr>
        <w:pageBreakBefore w:val="0"/>
        <w:widowControl w:val="0"/>
        <w:wordWrap/>
        <w:topLinePunct w:val="0"/>
        <w:autoSpaceDE/>
        <w:autoSpaceDN/>
        <w:bidi w:val="0"/>
        <w:adjustRightInd/>
        <w:snapToGrid/>
        <w:spacing w:line="360" w:lineRule="auto"/>
        <w:jc w:val="center"/>
        <w:textAlignment w:val="auto"/>
        <w:rPr>
          <w:rFonts w:ascii="黑体" w:eastAsia="黑体"/>
          <w:b/>
          <w:bCs/>
          <w:color w:val="auto"/>
          <w:sz w:val="36"/>
          <w:szCs w:val="36"/>
          <w:lang w:val="zh-CN"/>
        </w:rPr>
      </w:pPr>
      <w:r>
        <w:rPr>
          <w:rFonts w:hint="eastAsia" w:ascii="黑体" w:hAnsi="黑体" w:eastAsia="黑体" w:cs="黑体"/>
          <w:b/>
          <w:bCs/>
          <w:color w:val="auto"/>
          <w:sz w:val="30"/>
          <w:szCs w:val="30"/>
          <w:lang w:val="zh-CN"/>
        </w:rPr>
        <w:t>（通用部分）</w:t>
      </w:r>
    </w:p>
    <w:p w14:paraId="13A898C9">
      <w:pPr>
        <w:pStyle w:val="2"/>
        <w:pageBreakBefore w:val="0"/>
        <w:widowControl w:val="0"/>
        <w:wordWrap/>
        <w:topLinePunct w:val="0"/>
        <w:autoSpaceDE/>
        <w:autoSpaceDN/>
        <w:bidi w:val="0"/>
        <w:adjustRightInd/>
        <w:snapToGrid/>
        <w:spacing w:before="0" w:after="0" w:line="360" w:lineRule="auto"/>
        <w:jc w:val="center"/>
        <w:textAlignment w:val="auto"/>
        <w:rPr>
          <w:rFonts w:hint="eastAsia" w:eastAsia="宋体" w:cs="Times New Roman"/>
          <w:color w:val="auto"/>
          <w:lang w:val="zh-CN"/>
        </w:rPr>
      </w:pPr>
      <w:bookmarkStart w:id="0" w:name="_Toc28533"/>
      <w:r>
        <w:rPr>
          <w:rFonts w:hint="eastAsia"/>
          <w:color w:val="auto"/>
          <w:lang w:val="zh-CN"/>
        </w:rPr>
        <w:t>第一章</w:t>
      </w:r>
      <w:r>
        <w:rPr>
          <w:rFonts w:hint="eastAsia" w:eastAsia="宋体" w:cs="Times New Roman"/>
          <w:color w:val="auto"/>
          <w:lang w:val="zh-CN"/>
        </w:rPr>
        <w:t>竞争性</w:t>
      </w:r>
      <w:r>
        <w:rPr>
          <w:rFonts w:hint="eastAsia" w:eastAsia="宋体" w:cs="Times New Roman"/>
          <w:color w:val="auto"/>
          <w:lang w:val="en-US" w:eastAsia="zh-CN"/>
        </w:rPr>
        <w:t>磋商</w:t>
      </w:r>
      <w:r>
        <w:rPr>
          <w:rFonts w:hint="eastAsia" w:eastAsia="宋体" w:cs="Times New Roman"/>
          <w:color w:val="auto"/>
          <w:lang w:val="zh-CN"/>
        </w:rPr>
        <w:t>公告</w:t>
      </w:r>
      <w:bookmarkEnd w:id="0"/>
    </w:p>
    <w:p w14:paraId="65A812B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u w:val="single"/>
        </w:rPr>
      </w:pPr>
      <w:bookmarkStart w:id="1" w:name="_Toc17155"/>
      <w:bookmarkStart w:id="2" w:name="_Toc27279"/>
      <w:bookmarkStart w:id="3" w:name="_Toc13784"/>
      <w:bookmarkStart w:id="4" w:name="_Toc1968"/>
      <w:bookmarkStart w:id="5" w:name="_Toc5265"/>
      <w:bookmarkStart w:id="6" w:name="_Toc6383"/>
      <w:bookmarkStart w:id="7" w:name="_Toc20670"/>
      <w:bookmarkStart w:id="8" w:name="_Toc6376"/>
      <w:r>
        <w:rPr>
          <w:rFonts w:hint="eastAsia" w:ascii="宋体" w:hAnsi="宋体" w:cs="宋体"/>
          <w:color w:val="auto"/>
          <w:sz w:val="24"/>
          <w:szCs w:val="24"/>
          <w:u w:val="single"/>
          <w:lang w:val="en-US" w:eastAsia="zh-CN"/>
        </w:rPr>
        <w:t>项目概况</w:t>
      </w:r>
      <w:r>
        <w:rPr>
          <w:rFonts w:hint="eastAsia" w:ascii="宋体" w:hAnsi="宋体" w:cs="宋体"/>
          <w:color w:val="auto"/>
          <w:sz w:val="24"/>
          <w:szCs w:val="24"/>
          <w:u w:val="single"/>
        </w:rPr>
        <w:t xml:space="preserve"> </w:t>
      </w:r>
    </w:p>
    <w:p w14:paraId="4490F539">
      <w:pPr>
        <w:pBdr>
          <w:top w:val="single" w:color="auto" w:sz="4" w:space="1"/>
          <w:left w:val="single" w:color="auto" w:sz="4" w:space="4"/>
          <w:bottom w:val="single" w:color="auto" w:sz="4" w:space="1"/>
          <w:right w:val="single" w:color="auto" w:sz="4" w:space="4"/>
        </w:pBdr>
        <w:spacing w:line="360" w:lineRule="auto"/>
        <w:ind w:firstLine="456" w:firstLineChars="200"/>
        <w:rPr>
          <w:rFonts w:hint="eastAsia" w:ascii="宋体" w:hAnsi="宋体" w:cs="宋体"/>
          <w:color w:val="auto"/>
          <w:sz w:val="24"/>
          <w:szCs w:val="24"/>
        </w:rPr>
      </w:pPr>
      <w:r>
        <w:rPr>
          <w:rFonts w:hint="eastAsia" w:ascii="宋体" w:hAnsi="宋体" w:cs="宋体"/>
          <w:i w:val="0"/>
          <w:iCs w:val="0"/>
          <w:caps w:val="0"/>
          <w:color w:val="auto"/>
          <w:spacing w:val="-6"/>
          <w:sz w:val="24"/>
          <w:szCs w:val="24"/>
          <w:highlight w:val="none"/>
          <w:u w:val="none"/>
          <w:shd w:val="clear" w:color="auto" w:fill="FFFFFF"/>
          <w:lang w:eastAsia="zh-CN"/>
        </w:rPr>
        <w:t>长春市人民检察院消防排烟、烟感报警系统改造工程</w:t>
      </w:r>
      <w:r>
        <w:rPr>
          <w:rFonts w:hint="eastAsia" w:ascii="宋体" w:hAnsi="宋体" w:cs="宋体"/>
          <w:color w:val="auto"/>
          <w:sz w:val="24"/>
          <w:szCs w:val="24"/>
        </w:rPr>
        <w:t>的潜在投标人应在</w:t>
      </w:r>
      <w:r>
        <w:rPr>
          <w:rFonts w:hint="eastAsia" w:ascii="宋体" w:hAnsi="宋体" w:cs="宋体"/>
          <w:color w:val="auto"/>
          <w:sz w:val="24"/>
          <w:szCs w:val="24"/>
          <w:u w:val="single"/>
        </w:rPr>
        <w:t>“政采云”平台（http：//www.zcygov.cn）</w:t>
      </w:r>
      <w:r>
        <w:rPr>
          <w:rFonts w:hint="eastAsia" w:ascii="宋体" w:hAnsi="宋体" w:cs="宋体"/>
          <w:color w:val="auto"/>
          <w:sz w:val="24"/>
          <w:szCs w:val="24"/>
        </w:rPr>
        <w:t>获取招标文件，并于</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19</w:t>
      </w:r>
      <w:r>
        <w:rPr>
          <w:rFonts w:hint="eastAsia" w:ascii="宋体" w:hAnsi="宋体" w:cs="宋体"/>
          <w:color w:val="auto"/>
          <w:sz w:val="24"/>
          <w:szCs w:val="24"/>
          <w:u w:val="single"/>
        </w:rPr>
        <w:t>日</w:t>
      </w:r>
      <w:r>
        <w:rPr>
          <w:rFonts w:hint="eastAsia" w:ascii="宋体" w:hAnsi="宋体" w:cs="宋体"/>
          <w:color w:val="auto"/>
          <w:sz w:val="24"/>
          <w:u w:val="single"/>
          <w:lang w:val="en-US" w:eastAsia="zh-CN"/>
        </w:rPr>
        <w:t>13</w:t>
      </w:r>
      <w:r>
        <w:rPr>
          <w:rFonts w:hint="eastAsia" w:ascii="宋体" w:hAnsi="宋体" w:cs="宋体"/>
          <w:color w:val="auto"/>
          <w:sz w:val="24"/>
          <w:u w:val="single"/>
        </w:rPr>
        <w:t>时</w:t>
      </w:r>
      <w:r>
        <w:rPr>
          <w:rFonts w:hint="eastAsia" w:ascii="宋体" w:hAnsi="宋体" w:cs="宋体"/>
          <w:color w:val="auto"/>
          <w:sz w:val="24"/>
          <w:u w:val="single"/>
          <w:lang w:val="en-US" w:eastAsia="zh-CN"/>
        </w:rPr>
        <w:t>30</w:t>
      </w:r>
      <w:r>
        <w:rPr>
          <w:rFonts w:hint="eastAsia" w:ascii="宋体" w:hAnsi="宋体" w:cs="宋体"/>
          <w:color w:val="auto"/>
          <w:sz w:val="24"/>
          <w:u w:val="single"/>
        </w:rPr>
        <w:t>分</w:t>
      </w:r>
      <w:r>
        <w:rPr>
          <w:rFonts w:hint="eastAsia" w:ascii="宋体" w:hAnsi="宋体" w:cs="宋体"/>
          <w:bCs/>
          <w:color w:val="auto"/>
          <w:sz w:val="24"/>
          <w:szCs w:val="24"/>
          <w:u w:val="single"/>
        </w:rPr>
        <w:t>（</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14:paraId="18BD9F48">
      <w:pPr>
        <w:bidi w:val="0"/>
        <w:rPr>
          <w:rFonts w:hint="default" w:eastAsia="宋体"/>
          <w:color w:val="auto"/>
          <w:lang w:val="en-US" w:eastAsia="zh-CN"/>
        </w:rPr>
      </w:pPr>
    </w:p>
    <w:p w14:paraId="7B0006B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rPr>
      </w:pPr>
      <w:r>
        <w:rPr>
          <w:rFonts w:hint="eastAsia" w:ascii="宋体" w:hAnsi="宋体" w:eastAsia="宋体" w:cs="宋体"/>
          <w:b w:val="0"/>
          <w:bCs/>
          <w:color w:val="auto"/>
          <w:sz w:val="24"/>
          <w:szCs w:val="20"/>
        </w:rPr>
        <w:t>一、项目基本情况</w:t>
      </w:r>
      <w:bookmarkEnd w:id="1"/>
      <w:bookmarkEnd w:id="2"/>
      <w:bookmarkEnd w:id="3"/>
      <w:bookmarkEnd w:id="4"/>
      <w:bookmarkEnd w:id="5"/>
      <w:bookmarkEnd w:id="6"/>
      <w:bookmarkEnd w:id="7"/>
      <w:bookmarkEnd w:id="8"/>
    </w:p>
    <w:p w14:paraId="55ADFF87">
      <w:pPr>
        <w:spacing w:line="360" w:lineRule="auto"/>
        <w:ind w:firstLine="480" w:firstLineChars="200"/>
        <w:rPr>
          <w:rFonts w:hint="default" w:eastAsia="宋体"/>
          <w:color w:val="auto"/>
          <w:sz w:val="24"/>
          <w:szCs w:val="24"/>
          <w:lang w:val="en-US" w:eastAsia="zh-CN"/>
        </w:rPr>
      </w:pPr>
      <w:bookmarkStart w:id="9" w:name="OLE_LINK9"/>
      <w:r>
        <w:rPr>
          <w:rFonts w:hint="eastAsia"/>
          <w:color w:val="auto"/>
          <w:sz w:val="24"/>
          <w:szCs w:val="24"/>
          <w:lang w:val="en-US"/>
        </w:rPr>
        <w:t>1、</w:t>
      </w:r>
      <w:r>
        <w:rPr>
          <w:rFonts w:hint="eastAsia"/>
          <w:color w:val="auto"/>
          <w:sz w:val="24"/>
          <w:szCs w:val="24"/>
          <w:lang w:val="en-US" w:eastAsia="zh-CN"/>
        </w:rPr>
        <w:t>项目编号：</w:t>
      </w:r>
      <w:r>
        <w:rPr>
          <w:rFonts w:hint="eastAsia" w:ascii="宋体" w:hAnsi="宋体" w:cs="宋体"/>
          <w:color w:val="auto"/>
          <w:kern w:val="0"/>
          <w:sz w:val="24"/>
          <w:szCs w:val="24"/>
          <w:lang w:val="en-US" w:eastAsia="zh-CN" w:bidi="ar"/>
        </w:rPr>
        <w:t>采购计划-[2026]-04481号-ZJZB-2026-019</w:t>
      </w:r>
    </w:p>
    <w:p w14:paraId="2FB23406">
      <w:pPr>
        <w:spacing w:line="360" w:lineRule="auto"/>
        <w:ind w:firstLine="480" w:firstLineChars="200"/>
        <w:rPr>
          <w:color w:val="auto"/>
          <w:spacing w:val="-6"/>
          <w:sz w:val="24"/>
          <w:szCs w:val="24"/>
          <w:u w:val="none"/>
          <w:lang w:val="en-US"/>
        </w:rPr>
      </w:pPr>
      <w:r>
        <w:rPr>
          <w:rFonts w:hint="eastAsia"/>
          <w:color w:val="auto"/>
          <w:sz w:val="24"/>
          <w:szCs w:val="24"/>
          <w:u w:val="none"/>
          <w:lang w:val="en-US" w:eastAsia="zh-CN"/>
        </w:rPr>
        <w:t>2、</w:t>
      </w:r>
      <w:r>
        <w:rPr>
          <w:rFonts w:hint="eastAsia"/>
          <w:color w:val="auto"/>
          <w:sz w:val="24"/>
          <w:szCs w:val="24"/>
          <w:u w:val="none"/>
          <w:lang w:val="en-US"/>
        </w:rPr>
        <w:t>项目名称：</w:t>
      </w:r>
      <w:r>
        <w:rPr>
          <w:rFonts w:hint="eastAsia" w:ascii="宋体" w:hAnsi="宋体" w:cs="宋体"/>
          <w:i w:val="0"/>
          <w:iCs w:val="0"/>
          <w:caps w:val="0"/>
          <w:color w:val="auto"/>
          <w:spacing w:val="-6"/>
          <w:sz w:val="24"/>
          <w:szCs w:val="24"/>
          <w:highlight w:val="none"/>
          <w:u w:val="none"/>
          <w:shd w:val="clear" w:color="auto" w:fill="FFFFFF"/>
          <w:lang w:eastAsia="zh-CN"/>
        </w:rPr>
        <w:t>长春市人民检察院消防排烟、烟感报警系统改造工程</w:t>
      </w:r>
    </w:p>
    <w:p w14:paraId="62B1B938">
      <w:pPr>
        <w:spacing w:line="360" w:lineRule="auto"/>
        <w:ind w:right="-78" w:rightChars="-37" w:firstLine="480" w:firstLineChars="200"/>
        <w:rPr>
          <w:color w:val="auto"/>
          <w:sz w:val="24"/>
          <w:szCs w:val="24"/>
          <w:u w:val="none"/>
          <w:lang w:val="en-US"/>
        </w:rPr>
      </w:pPr>
      <w:r>
        <w:rPr>
          <w:rFonts w:hint="eastAsia"/>
          <w:color w:val="auto"/>
          <w:sz w:val="24"/>
          <w:szCs w:val="24"/>
          <w:u w:val="none"/>
          <w:lang w:val="en-US" w:eastAsia="zh-CN"/>
        </w:rPr>
        <w:t>3</w:t>
      </w:r>
      <w:r>
        <w:rPr>
          <w:rFonts w:hint="eastAsia"/>
          <w:color w:val="auto"/>
          <w:sz w:val="24"/>
          <w:szCs w:val="24"/>
          <w:u w:val="none"/>
          <w:lang w:val="en-US"/>
        </w:rPr>
        <w:t>、招标范围：</w:t>
      </w:r>
      <w:r>
        <w:rPr>
          <w:rFonts w:hint="eastAsia"/>
          <w:color w:val="auto"/>
          <w:sz w:val="24"/>
          <w:szCs w:val="24"/>
          <w:u w:val="none"/>
          <w:lang w:val="en-US" w:eastAsia="zh-CN"/>
        </w:rPr>
        <w:t>工程量清单、施工图纸及施工现场实际情况</w:t>
      </w:r>
    </w:p>
    <w:p w14:paraId="08F4E496">
      <w:pPr>
        <w:spacing w:line="360" w:lineRule="auto"/>
        <w:ind w:firstLine="480" w:firstLineChars="200"/>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4</w:t>
      </w:r>
      <w:r>
        <w:rPr>
          <w:rFonts w:hint="eastAsia"/>
          <w:color w:val="auto"/>
          <w:sz w:val="24"/>
          <w:szCs w:val="24"/>
          <w:highlight w:val="none"/>
          <w:u w:val="none"/>
          <w:lang w:val="en-US"/>
        </w:rPr>
        <w:t>、</w:t>
      </w:r>
      <w:r>
        <w:rPr>
          <w:rFonts w:hint="eastAsia"/>
          <w:color w:val="auto"/>
          <w:sz w:val="24"/>
          <w:szCs w:val="24"/>
          <w:highlight w:val="none"/>
          <w:u w:val="none"/>
          <w:lang w:val="en-US" w:eastAsia="zh-CN"/>
        </w:rPr>
        <w:t>工程</w:t>
      </w:r>
      <w:r>
        <w:rPr>
          <w:rFonts w:hint="eastAsia"/>
          <w:color w:val="auto"/>
          <w:sz w:val="24"/>
          <w:szCs w:val="24"/>
          <w:highlight w:val="none"/>
          <w:u w:val="none"/>
          <w:lang w:val="en-US"/>
        </w:rPr>
        <w:t>地点：</w:t>
      </w:r>
      <w:r>
        <w:rPr>
          <w:rFonts w:hint="eastAsia" w:ascii="宋体" w:hAnsi="宋体" w:cs="宋体"/>
          <w:i w:val="0"/>
          <w:iCs w:val="0"/>
          <w:caps w:val="0"/>
          <w:color w:val="auto"/>
          <w:spacing w:val="-6"/>
          <w:sz w:val="24"/>
          <w:szCs w:val="24"/>
          <w:highlight w:val="none"/>
          <w:u w:val="none"/>
          <w:shd w:val="clear" w:color="auto" w:fill="FFFFFF"/>
          <w:lang w:eastAsia="zh-CN"/>
        </w:rPr>
        <w:t>吉林省长春市人民检察院</w:t>
      </w:r>
      <w:r>
        <w:rPr>
          <w:rFonts w:hint="eastAsia" w:ascii="宋体" w:hAnsi="宋体" w:cs="宋体"/>
          <w:i w:val="0"/>
          <w:iCs w:val="0"/>
          <w:caps w:val="0"/>
          <w:color w:val="auto"/>
          <w:spacing w:val="-6"/>
          <w:sz w:val="24"/>
          <w:szCs w:val="24"/>
          <w:highlight w:val="none"/>
          <w:u w:val="none"/>
          <w:shd w:val="clear" w:color="auto" w:fill="FFFFFF"/>
          <w:lang w:val="en-US" w:eastAsia="zh-CN"/>
        </w:rPr>
        <w:t>院内</w:t>
      </w:r>
    </w:p>
    <w:p w14:paraId="487837FE">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5、最高限</w:t>
      </w:r>
      <w:r>
        <w:rPr>
          <w:rFonts w:hint="eastAsia"/>
          <w:color w:val="auto"/>
          <w:sz w:val="24"/>
          <w:szCs w:val="24"/>
          <w:highlight w:val="none"/>
          <w:lang w:val="en-US"/>
        </w:rPr>
        <w:t>价</w:t>
      </w:r>
      <w:r>
        <w:rPr>
          <w:rFonts w:hint="eastAsia"/>
          <w:color w:val="auto"/>
          <w:sz w:val="24"/>
          <w:szCs w:val="24"/>
          <w:highlight w:val="none"/>
          <w:lang w:val="en-US" w:eastAsia="zh-CN"/>
        </w:rPr>
        <w:t>（预算</w:t>
      </w:r>
      <w:r>
        <w:rPr>
          <w:rFonts w:hint="eastAsia"/>
          <w:color w:val="auto"/>
          <w:sz w:val="24"/>
          <w:szCs w:val="24"/>
          <w:highlight w:val="none"/>
          <w:u w:val="none"/>
          <w:lang w:val="en-US" w:eastAsia="zh-CN"/>
        </w:rPr>
        <w:t>）</w:t>
      </w:r>
      <w:r>
        <w:rPr>
          <w:rFonts w:hint="eastAsia"/>
          <w:color w:val="auto"/>
          <w:sz w:val="24"/>
          <w:szCs w:val="24"/>
          <w:highlight w:val="none"/>
          <w:u w:val="none"/>
          <w:lang w:val="en-US"/>
        </w:rPr>
        <w:t>：</w:t>
      </w:r>
      <w:r>
        <w:rPr>
          <w:rFonts w:hint="eastAsia" w:ascii="宋体" w:hAnsi="宋体" w:eastAsia="宋体" w:cs="宋体"/>
          <w:color w:val="auto"/>
          <w:sz w:val="24"/>
          <w:szCs w:val="24"/>
          <w:highlight w:val="none"/>
          <w:u w:val="none"/>
          <w:lang w:val="en-US" w:eastAsia="zh-CN"/>
        </w:rPr>
        <w:t>9972</w:t>
      </w:r>
      <w:r>
        <w:rPr>
          <w:rFonts w:hint="eastAsia" w:ascii="宋体" w:hAnsi="宋体" w:cs="宋体"/>
          <w:color w:val="auto"/>
          <w:sz w:val="24"/>
          <w:szCs w:val="24"/>
          <w:highlight w:val="none"/>
          <w:u w:val="none"/>
          <w:lang w:val="en-US" w:eastAsia="zh-CN"/>
        </w:rPr>
        <w:t>00</w:t>
      </w:r>
      <w:r>
        <w:rPr>
          <w:rFonts w:hint="eastAsia"/>
          <w:color w:val="auto"/>
          <w:sz w:val="24"/>
          <w:szCs w:val="24"/>
          <w:highlight w:val="none"/>
          <w:u w:val="none"/>
          <w:lang w:val="en-US" w:eastAsia="zh-CN"/>
        </w:rPr>
        <w:t>元</w:t>
      </w:r>
    </w:p>
    <w:p w14:paraId="757465FB">
      <w:pPr>
        <w:spacing w:line="360" w:lineRule="auto"/>
        <w:ind w:right="-78" w:rightChars="-37" w:firstLine="480" w:firstLineChars="200"/>
        <w:rPr>
          <w:rFonts w:hint="default"/>
          <w:color w:val="auto"/>
          <w:sz w:val="24"/>
          <w:szCs w:val="24"/>
          <w:u w:val="none"/>
          <w:lang w:val="en-US" w:eastAsia="zh-CN"/>
        </w:rPr>
      </w:pPr>
      <w:r>
        <w:rPr>
          <w:rFonts w:hint="eastAsia" w:ascii="宋体" w:hAnsi="宋体" w:eastAsia="宋体" w:cs="宋体"/>
          <w:color w:val="auto"/>
          <w:sz w:val="24"/>
          <w:szCs w:val="24"/>
          <w:u w:val="none"/>
          <w:lang w:val="en-US" w:eastAsia="zh-CN"/>
        </w:rPr>
        <w:t>（消防排烟系统改造:260</w:t>
      </w:r>
      <w:r>
        <w:rPr>
          <w:rFonts w:hint="eastAsia" w:ascii="宋体" w:hAnsi="宋体" w:cs="宋体"/>
          <w:color w:val="auto"/>
          <w:sz w:val="24"/>
          <w:szCs w:val="24"/>
          <w:u w:val="none"/>
          <w:lang w:val="en-US" w:eastAsia="zh-CN"/>
        </w:rPr>
        <w:t>700</w:t>
      </w:r>
      <w:r>
        <w:rPr>
          <w:rFonts w:hint="eastAsia" w:ascii="宋体" w:hAnsi="宋体" w:eastAsia="宋体" w:cs="宋体"/>
          <w:color w:val="auto"/>
          <w:sz w:val="24"/>
          <w:szCs w:val="24"/>
          <w:u w:val="none"/>
          <w:lang w:val="en-US" w:eastAsia="zh-CN"/>
        </w:rPr>
        <w:t>元，消防烟感报警系统：7365</w:t>
      </w:r>
      <w:r>
        <w:rPr>
          <w:rFonts w:hint="eastAsia" w:ascii="宋体" w:hAnsi="宋体" w:cs="宋体"/>
          <w:color w:val="auto"/>
          <w:sz w:val="24"/>
          <w:szCs w:val="24"/>
          <w:u w:val="none"/>
          <w:lang w:val="en-US" w:eastAsia="zh-CN"/>
        </w:rPr>
        <w:t>00</w:t>
      </w:r>
      <w:r>
        <w:rPr>
          <w:rFonts w:hint="eastAsia" w:ascii="宋体" w:hAnsi="宋体" w:eastAsia="宋体" w:cs="宋体"/>
          <w:color w:val="auto"/>
          <w:sz w:val="24"/>
          <w:szCs w:val="24"/>
          <w:u w:val="none"/>
          <w:lang w:val="en-US" w:eastAsia="zh-CN"/>
        </w:rPr>
        <w:t>元）</w:t>
      </w:r>
    </w:p>
    <w:p w14:paraId="50A590D7">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6</w:t>
      </w:r>
      <w:r>
        <w:rPr>
          <w:rFonts w:hint="eastAsia"/>
          <w:color w:val="auto"/>
          <w:sz w:val="24"/>
          <w:szCs w:val="24"/>
          <w:highlight w:val="none"/>
          <w:lang w:val="en-US"/>
        </w:rPr>
        <w:t>、</w:t>
      </w:r>
      <w:bookmarkStart w:id="10" w:name="OLE_LINK8"/>
      <w:r>
        <w:rPr>
          <w:rFonts w:hint="eastAsia"/>
          <w:color w:val="auto"/>
          <w:sz w:val="24"/>
          <w:szCs w:val="24"/>
          <w:highlight w:val="none"/>
          <w:lang w:val="en-US" w:eastAsia="zh-CN"/>
        </w:rPr>
        <w:t>工期</w:t>
      </w:r>
      <w:r>
        <w:rPr>
          <w:rFonts w:hint="eastAsia"/>
          <w:color w:val="auto"/>
          <w:sz w:val="24"/>
          <w:szCs w:val="24"/>
          <w:highlight w:val="none"/>
          <w:lang w:val="en-US"/>
        </w:rPr>
        <w:t>：</w:t>
      </w:r>
      <w:bookmarkEnd w:id="10"/>
      <w:r>
        <w:rPr>
          <w:rFonts w:hint="eastAsia"/>
          <w:color w:val="auto"/>
          <w:sz w:val="24"/>
          <w:szCs w:val="24"/>
          <w:highlight w:val="none"/>
          <w:lang w:val="en-US" w:eastAsia="zh-CN"/>
        </w:rPr>
        <w:t>合同签订后45天内</w:t>
      </w:r>
    </w:p>
    <w:p w14:paraId="6BB89489">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val="en-US" w:eastAsia="zh-CN"/>
        </w:rPr>
        <w:t>7</w:t>
      </w:r>
      <w:r>
        <w:rPr>
          <w:rFonts w:hint="eastAsia"/>
          <w:color w:val="auto"/>
          <w:sz w:val="24"/>
          <w:szCs w:val="24"/>
          <w:highlight w:val="none"/>
          <w:lang w:val="en-US"/>
        </w:rPr>
        <w:t>、质量要求：</w:t>
      </w:r>
      <w:r>
        <w:rPr>
          <w:rFonts w:hint="eastAsia"/>
          <w:color w:val="auto"/>
          <w:sz w:val="24"/>
          <w:szCs w:val="24"/>
          <w:highlight w:val="none"/>
          <w:lang w:val="en-US" w:eastAsia="zh-CN"/>
        </w:rPr>
        <w:t>达到国家现行相关工程施工质量验收规范的合格工程，并确保通过消防专业服务机构验收合格。</w:t>
      </w:r>
    </w:p>
    <w:bookmarkEnd w:id="9"/>
    <w:p w14:paraId="5989E58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rPr>
        <w:t>本次招标不接受联合体投标。</w:t>
      </w:r>
    </w:p>
    <w:p w14:paraId="1545A37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rPr>
      </w:pPr>
      <w:bookmarkStart w:id="11" w:name="_Toc28923"/>
      <w:bookmarkStart w:id="12" w:name="_Toc21551"/>
      <w:bookmarkStart w:id="13" w:name="_Toc15363"/>
      <w:bookmarkStart w:id="14" w:name="_Toc1773"/>
      <w:bookmarkStart w:id="15" w:name="_Toc3765"/>
      <w:bookmarkStart w:id="16" w:name="_Toc657"/>
      <w:bookmarkStart w:id="17" w:name="_Toc30556"/>
      <w:bookmarkStart w:id="18" w:name="_Toc17495"/>
      <w:r>
        <w:rPr>
          <w:rFonts w:hint="eastAsia" w:ascii="宋体" w:hAnsi="宋体" w:eastAsia="宋体" w:cs="宋体"/>
          <w:b w:val="0"/>
          <w:bCs/>
          <w:color w:val="auto"/>
          <w:sz w:val="24"/>
          <w:szCs w:val="20"/>
        </w:rPr>
        <w:t>二、供应商的资格要求：</w:t>
      </w:r>
      <w:bookmarkEnd w:id="11"/>
      <w:bookmarkEnd w:id="12"/>
      <w:bookmarkEnd w:id="13"/>
      <w:bookmarkEnd w:id="14"/>
      <w:bookmarkEnd w:id="15"/>
      <w:bookmarkEnd w:id="16"/>
      <w:bookmarkEnd w:id="17"/>
      <w:bookmarkEnd w:id="18"/>
    </w:p>
    <w:p w14:paraId="3A5930AE">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1.满足《中华人民共和国政府采购法》第二十二条规定。</w:t>
      </w:r>
    </w:p>
    <w:p w14:paraId="1338446E">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2.具备国家有关主管部门批准的本招标项目标的的合法资格。</w:t>
      </w:r>
    </w:p>
    <w:p w14:paraId="7403C640">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3.企业名称不同但法定代表人为同一个自然人的两个或者两个以上的投标人不得参加同一采购项目的投标。</w:t>
      </w:r>
    </w:p>
    <w:p w14:paraId="51624B70">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一般须具备法人资格，分公司或者分支机构须取得总公司授权。</w:t>
      </w:r>
    </w:p>
    <w:p w14:paraId="56524F6D">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须在投标文件里提供投标人代表和项目管理主要成员（不含退休人员）以投标人名义缴纳的、正常缴费状态的个人参保证明，证明上的二维码要保证移动终端可以扫描识别验证真伪，如该投标人所在的地区确实没有带二维码的证明，须提供网上查询方式，否则投标无效。</w:t>
      </w:r>
    </w:p>
    <w:p w14:paraId="059324CF">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5.落实政府采购政策需满足的资格要求：本项目专门面向中小企业采购。</w:t>
      </w:r>
    </w:p>
    <w:p w14:paraId="60CF3D18">
      <w:pPr>
        <w:pStyle w:val="19"/>
        <w:shd w:val="clear" w:color="auto" w:fill="FFFFFF"/>
        <w:spacing w:before="0" w:beforeAutospacing="0" w:after="0" w:afterAutospacing="0" w:line="360" w:lineRule="auto"/>
        <w:ind w:firstLine="480" w:firstLineChars="200"/>
        <w:rPr>
          <w:rFonts w:hint="eastAsia" w:ascii="宋体" w:hAnsi="宋体" w:eastAsia="宋体" w:cs="宋体"/>
          <w:i w:val="0"/>
          <w:caps w:val="0"/>
          <w:color w:val="auto"/>
          <w:spacing w:val="0"/>
          <w:kern w:val="0"/>
          <w:sz w:val="24"/>
          <w:szCs w:val="24"/>
          <w:u w:val="none"/>
          <w:shd w:val="clear" w:fill="FFFFFF"/>
          <w:lang w:val="en-US" w:eastAsia="zh-CN" w:bidi="ar"/>
        </w:rPr>
      </w:pPr>
      <w:r>
        <w:rPr>
          <w:rFonts w:hint="eastAsia" w:ascii="宋体" w:hAnsi="宋体" w:eastAsia="宋体" w:cs="宋体"/>
          <w:color w:val="auto"/>
          <w:sz w:val="24"/>
          <w:szCs w:val="24"/>
          <w:shd w:val="clear" w:color="auto" w:fill="FFFFFF"/>
        </w:rPr>
        <w:t>6.本项目的特定资格要求：</w:t>
      </w:r>
      <w:r>
        <w:rPr>
          <w:rFonts w:hint="eastAsia" w:ascii="宋体" w:hAnsi="宋体" w:eastAsia="宋体" w:cs="宋体"/>
          <w:i w:val="0"/>
          <w:caps w:val="0"/>
          <w:color w:val="auto"/>
          <w:spacing w:val="0"/>
          <w:kern w:val="0"/>
          <w:sz w:val="24"/>
          <w:szCs w:val="24"/>
          <w:u w:val="none"/>
          <w:shd w:val="clear" w:fill="FFFFFF"/>
          <w:lang w:val="en-US" w:eastAsia="zh-CN" w:bidi="ar"/>
        </w:rPr>
        <w:t>具备建设行政主管部门核发的</w:t>
      </w:r>
      <w:r>
        <w:rPr>
          <w:rFonts w:hint="eastAsia" w:ascii="宋体" w:hAnsi="宋体" w:cs="宋体"/>
          <w:i w:val="0"/>
          <w:caps w:val="0"/>
          <w:color w:val="auto"/>
          <w:spacing w:val="0"/>
          <w:kern w:val="0"/>
          <w:sz w:val="24"/>
          <w:szCs w:val="24"/>
          <w:u w:val="none"/>
          <w:shd w:val="clear" w:fill="FFFFFF"/>
          <w:lang w:val="en-US" w:eastAsia="zh-CN" w:bidi="ar"/>
        </w:rPr>
        <w:t>消防设施工程专业承包贰级(含)及以上资质</w:t>
      </w:r>
      <w:r>
        <w:rPr>
          <w:rFonts w:hint="eastAsia" w:ascii="宋体" w:hAnsi="宋体" w:eastAsia="宋体" w:cs="宋体"/>
          <w:i w:val="0"/>
          <w:caps w:val="0"/>
          <w:color w:val="auto"/>
          <w:spacing w:val="0"/>
          <w:kern w:val="0"/>
          <w:sz w:val="24"/>
          <w:szCs w:val="24"/>
          <w:u w:val="none"/>
          <w:shd w:val="clear" w:fill="FFFFFF"/>
          <w:lang w:val="en-US" w:eastAsia="zh-CN" w:bidi="ar"/>
        </w:rPr>
        <w:t>，具有有效的安全生产许可证，并在人员、设备、资金等方面具有相应的施工能力，其中，拟派项目经理须具备</w:t>
      </w:r>
      <w:r>
        <w:rPr>
          <w:rFonts w:hint="eastAsia" w:ascii="宋体" w:hAnsi="宋体" w:cs="宋体"/>
          <w:i w:val="0"/>
          <w:caps w:val="0"/>
          <w:color w:val="auto"/>
          <w:spacing w:val="0"/>
          <w:kern w:val="0"/>
          <w:sz w:val="24"/>
          <w:szCs w:val="24"/>
          <w:u w:val="none"/>
          <w:shd w:val="clear" w:fill="FFFFFF"/>
          <w:lang w:val="en-US" w:eastAsia="zh-CN" w:bidi="ar"/>
        </w:rPr>
        <w:t>机电</w:t>
      </w:r>
      <w:r>
        <w:rPr>
          <w:rFonts w:hint="eastAsia" w:ascii="宋体" w:hAnsi="宋体" w:eastAsia="宋体" w:cs="宋体"/>
          <w:i w:val="0"/>
          <w:caps w:val="0"/>
          <w:color w:val="auto"/>
          <w:spacing w:val="0"/>
          <w:kern w:val="0"/>
          <w:sz w:val="24"/>
          <w:szCs w:val="24"/>
          <w:u w:val="none"/>
          <w:shd w:val="clear" w:fill="FFFFFF"/>
          <w:lang w:val="en-US" w:eastAsia="zh-CN" w:bidi="ar"/>
        </w:rPr>
        <w:t>工程贰级(含)以上级注册建造师执业资格和有效的安全生产考核合格证书（B本），且在成交阶段不得担任其他在施建设工程项目的项目经理。</w:t>
      </w:r>
    </w:p>
    <w:p w14:paraId="6FE19F21">
      <w:pPr>
        <w:spacing w:line="360" w:lineRule="auto"/>
        <w:ind w:firstLine="480" w:firstLineChars="200"/>
        <w:rPr>
          <w:color w:val="auto"/>
          <w:sz w:val="24"/>
          <w:szCs w:val="24"/>
          <w:lang w:val="en-US"/>
        </w:rPr>
      </w:pPr>
      <w:r>
        <w:rPr>
          <w:rFonts w:hint="eastAsia"/>
          <w:color w:val="auto"/>
          <w:sz w:val="24"/>
          <w:szCs w:val="24"/>
          <w:lang w:val="en-US" w:eastAsia="zh-CN"/>
        </w:rPr>
        <w:t>7</w:t>
      </w:r>
      <w:r>
        <w:rPr>
          <w:rFonts w:hint="eastAsia"/>
          <w:color w:val="auto"/>
          <w:sz w:val="24"/>
          <w:szCs w:val="24"/>
          <w:lang w:val="en-US"/>
        </w:rPr>
        <w:t>、拒绝列入政府取消投标资格期间的企业或个人投标。未被最高人民法院在“信用中国”网站（www.creditchina.gov.cn）或各级信用信息共享平台中列入失信被执行人名单。</w:t>
      </w:r>
    </w:p>
    <w:p w14:paraId="510CC8A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val="en-US" w:eastAsia="zh-CN"/>
        </w:rPr>
        <w:t>、外省入吉建筑企业应按照吉林省相关文件要求办理企业信息登记，登记后方可参加投标</w:t>
      </w:r>
      <w:r>
        <w:rPr>
          <w:rFonts w:hint="eastAsia" w:ascii="宋体" w:hAnsi="宋体" w:cs="宋体"/>
          <w:i w:val="0"/>
          <w:iCs w:val="0"/>
          <w:caps w:val="0"/>
          <w:color w:val="auto"/>
          <w:spacing w:val="0"/>
          <w:sz w:val="24"/>
          <w:szCs w:val="24"/>
          <w:shd w:val="clear" w:color="auto" w:fill="FFFFFF"/>
          <w:lang w:val="en-US" w:eastAsia="zh-CN"/>
        </w:rPr>
        <w:t>。</w:t>
      </w:r>
    </w:p>
    <w:p w14:paraId="0F1DCB54">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rPr>
      </w:pPr>
      <w:bookmarkStart w:id="19" w:name="_Toc2303"/>
      <w:bookmarkStart w:id="20" w:name="_Toc11644"/>
      <w:bookmarkStart w:id="21" w:name="_Toc6104"/>
      <w:bookmarkStart w:id="22" w:name="_Toc17235"/>
      <w:bookmarkStart w:id="23" w:name="_Toc9507"/>
      <w:bookmarkStart w:id="24" w:name="_Toc29339"/>
      <w:bookmarkStart w:id="25" w:name="_Toc11549"/>
      <w:bookmarkStart w:id="26" w:name="_Toc14811"/>
      <w:bookmarkStart w:id="27" w:name="_Toc1370"/>
      <w:bookmarkStart w:id="28" w:name="_Toc22651"/>
      <w:r>
        <w:rPr>
          <w:rFonts w:hint="eastAsia" w:ascii="宋体" w:hAnsi="宋体" w:eastAsia="宋体" w:cs="宋体"/>
          <w:b w:val="0"/>
          <w:bCs/>
          <w:color w:val="auto"/>
          <w:sz w:val="24"/>
          <w:szCs w:val="20"/>
        </w:rPr>
        <w:t>三、项目需要落实的政府采购政策：（是否专门面向中小企业采购：</w:t>
      </w:r>
      <w:r>
        <w:rPr>
          <w:rFonts w:hint="eastAsia" w:ascii="宋体" w:hAnsi="宋体" w:eastAsia="宋体" w:cs="宋体"/>
          <w:b w:val="0"/>
          <w:bCs/>
          <w:color w:val="auto"/>
          <w:sz w:val="24"/>
          <w:szCs w:val="20"/>
          <w:lang w:val="en-US" w:eastAsia="zh-CN"/>
        </w:rPr>
        <w:t>是</w:t>
      </w:r>
      <w:r>
        <w:rPr>
          <w:rFonts w:hint="eastAsia" w:ascii="宋体" w:hAnsi="宋体" w:eastAsia="宋体" w:cs="宋体"/>
          <w:b w:val="0"/>
          <w:bCs/>
          <w:color w:val="auto"/>
          <w:sz w:val="24"/>
          <w:szCs w:val="20"/>
        </w:rPr>
        <w:t>）</w:t>
      </w:r>
      <w:bookmarkEnd w:id="19"/>
      <w:bookmarkEnd w:id="20"/>
    </w:p>
    <w:p w14:paraId="363F6ECF">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按照现行《财政部、发展改革委、生态环境部、市场监管总局关于调整优化节能产品、环境标志产品政府采购执行机制的通知》文件要求，对政府采购清单中的节能环保产品采用优先采购或强制采购的评标方法。</w:t>
      </w:r>
    </w:p>
    <w:p w14:paraId="20D6C57B">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2、按照现行《财政部、环保部关于调整环境标志产品政府采购清单的通知》文件要求，对政府采购清单中的环境标志产品采用优先采购的评标方法。</w:t>
      </w:r>
    </w:p>
    <w:p w14:paraId="1001EA8A">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w:t>
      </w:r>
    </w:p>
    <w:p w14:paraId="57F415DB">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4、执行财政部发布的《政府采购促进中小企业发展暂行办法》及关于印发《吉林省强化政府采购政策支持中小企业发展落实举措》的规定，对小型和微型企业的产品给予10%的价格扣除。</w:t>
      </w:r>
    </w:p>
    <w:p w14:paraId="1690634C">
      <w:pPr>
        <w:pStyle w:val="1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5、根据财政部发布的《关于政府采购支持监狱企业发展有关问题的通知》规定，本项目对监狱企业产品的价格给予6%的扣除。</w:t>
      </w:r>
    </w:p>
    <w:p w14:paraId="17698185">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6、根据财政部、民政部、中国残疾人联合会发布的《关于促进残疾人就业政府采购政策的通知》规定，本项目对残疾人福利性单位产品的价格给予6%的扣除。</w:t>
      </w:r>
    </w:p>
    <w:p w14:paraId="0E1E212F">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注：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6C5EDC4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四、获取采购文件</w:t>
      </w:r>
      <w:bookmarkEnd w:id="21"/>
      <w:bookmarkEnd w:id="22"/>
      <w:bookmarkEnd w:id="23"/>
      <w:bookmarkEnd w:id="24"/>
      <w:bookmarkEnd w:id="25"/>
      <w:bookmarkEnd w:id="26"/>
      <w:bookmarkEnd w:id="27"/>
      <w:bookmarkEnd w:id="28"/>
    </w:p>
    <w:p w14:paraId="34B583A2">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bookmarkStart w:id="29" w:name="_Toc13399"/>
      <w:bookmarkStart w:id="30" w:name="_Toc6507"/>
      <w:bookmarkStart w:id="31" w:name="_Toc22444"/>
      <w:bookmarkStart w:id="32" w:name="_Toc32476"/>
      <w:bookmarkStart w:id="33" w:name="_Toc28723"/>
      <w:bookmarkStart w:id="34" w:name="_Toc30814"/>
      <w:bookmarkStart w:id="35" w:name="_Toc28359092"/>
      <w:bookmarkStart w:id="36" w:name="_Toc22023"/>
      <w:r>
        <w:rPr>
          <w:rFonts w:hint="eastAsia" w:ascii="宋体" w:hAnsi="宋体" w:eastAsia="宋体" w:cs="宋体"/>
          <w:color w:val="auto"/>
          <w:sz w:val="24"/>
          <w:szCs w:val="24"/>
          <w:shd w:val="clear" w:color="auto" w:fill="FFFFFF"/>
        </w:rPr>
        <w:t>1、时间：</w:t>
      </w:r>
      <w:r>
        <w:rPr>
          <w:rFonts w:hint="eastAsia" w:ascii="宋体" w:hAnsi="宋体" w:eastAsia="宋体" w:cs="宋体"/>
          <w:color w:val="auto"/>
          <w:kern w:val="2"/>
          <w:sz w:val="24"/>
          <w:szCs w:val="24"/>
          <w:shd w:val="clear" w:color="auto" w:fill="FFFFFF"/>
        </w:rPr>
        <w:t>202</w:t>
      </w:r>
      <w:r>
        <w:rPr>
          <w:rFonts w:hint="eastAsia" w:ascii="宋体" w:hAnsi="宋体" w:eastAsia="宋体" w:cs="宋体"/>
          <w:color w:val="auto"/>
          <w:kern w:val="2"/>
          <w:sz w:val="24"/>
          <w:szCs w:val="24"/>
          <w:shd w:val="clear" w:color="auto" w:fill="FFFFFF"/>
          <w:lang w:val="en-US" w:eastAsia="zh-CN"/>
        </w:rPr>
        <w:t>6</w:t>
      </w:r>
      <w:r>
        <w:rPr>
          <w:rFonts w:hint="eastAsia" w:ascii="宋体" w:hAnsi="宋体" w:eastAsia="宋体" w:cs="宋体"/>
          <w:color w:val="auto"/>
          <w:kern w:val="2"/>
          <w:sz w:val="24"/>
          <w:szCs w:val="24"/>
          <w:shd w:val="clear" w:color="auto" w:fill="FFFFFF"/>
        </w:rPr>
        <w:t>年</w:t>
      </w:r>
      <w:r>
        <w:rPr>
          <w:rFonts w:hint="eastAsia" w:ascii="宋体" w:hAnsi="宋体" w:cs="宋体"/>
          <w:color w:val="auto"/>
          <w:kern w:val="2"/>
          <w:sz w:val="24"/>
          <w:szCs w:val="24"/>
          <w:shd w:val="clear" w:color="auto" w:fill="FFFFFF"/>
          <w:lang w:val="en-US" w:eastAsia="zh-CN"/>
        </w:rPr>
        <w:t>4</w:t>
      </w:r>
      <w:r>
        <w:rPr>
          <w:rFonts w:hint="eastAsia" w:ascii="宋体" w:hAnsi="宋体" w:eastAsia="宋体" w:cs="宋体"/>
          <w:color w:val="auto"/>
          <w:kern w:val="2"/>
          <w:sz w:val="24"/>
          <w:szCs w:val="24"/>
          <w:shd w:val="clear" w:color="auto" w:fill="FFFFFF"/>
        </w:rPr>
        <w:t>月</w:t>
      </w:r>
      <w:r>
        <w:rPr>
          <w:rFonts w:hint="eastAsia" w:ascii="宋体" w:hAnsi="宋体" w:cs="宋体"/>
          <w:color w:val="auto"/>
          <w:kern w:val="2"/>
          <w:sz w:val="24"/>
          <w:szCs w:val="24"/>
          <w:shd w:val="clear" w:color="auto" w:fill="FFFFFF"/>
          <w:lang w:val="en-US" w:eastAsia="zh-CN"/>
        </w:rPr>
        <w:t>28</w:t>
      </w:r>
      <w:r>
        <w:rPr>
          <w:rFonts w:hint="eastAsia" w:ascii="宋体" w:hAnsi="宋体" w:eastAsia="宋体" w:cs="宋体"/>
          <w:color w:val="auto"/>
          <w:kern w:val="2"/>
          <w:sz w:val="24"/>
          <w:szCs w:val="24"/>
          <w:shd w:val="clear" w:color="auto" w:fill="FFFFFF"/>
        </w:rPr>
        <w:t>日至202</w:t>
      </w:r>
      <w:r>
        <w:rPr>
          <w:rFonts w:hint="eastAsia" w:ascii="宋体" w:hAnsi="宋体" w:eastAsia="宋体" w:cs="宋体"/>
          <w:color w:val="auto"/>
          <w:kern w:val="2"/>
          <w:sz w:val="24"/>
          <w:szCs w:val="24"/>
          <w:shd w:val="clear" w:color="auto" w:fill="FFFFFF"/>
          <w:lang w:val="en-US" w:eastAsia="zh-CN"/>
        </w:rPr>
        <w:t>6</w:t>
      </w:r>
      <w:r>
        <w:rPr>
          <w:rFonts w:hint="eastAsia" w:ascii="宋体" w:hAnsi="宋体" w:eastAsia="宋体" w:cs="宋体"/>
          <w:color w:val="auto"/>
          <w:kern w:val="2"/>
          <w:sz w:val="24"/>
          <w:szCs w:val="24"/>
          <w:shd w:val="clear" w:color="auto" w:fill="FFFFFF"/>
        </w:rPr>
        <w:t>年</w:t>
      </w:r>
      <w:r>
        <w:rPr>
          <w:rFonts w:hint="eastAsia" w:ascii="宋体" w:hAnsi="宋体" w:cs="宋体"/>
          <w:color w:val="auto"/>
          <w:kern w:val="2"/>
          <w:sz w:val="24"/>
          <w:szCs w:val="24"/>
          <w:shd w:val="clear" w:color="auto" w:fill="FFFFFF"/>
          <w:lang w:val="en-US" w:eastAsia="zh-CN"/>
        </w:rPr>
        <w:t>5</w:t>
      </w:r>
      <w:r>
        <w:rPr>
          <w:rFonts w:hint="eastAsia" w:ascii="宋体" w:hAnsi="宋体" w:eastAsia="宋体" w:cs="宋体"/>
          <w:color w:val="auto"/>
          <w:kern w:val="2"/>
          <w:sz w:val="24"/>
          <w:szCs w:val="24"/>
          <w:shd w:val="clear" w:color="auto" w:fill="FFFFFF"/>
        </w:rPr>
        <w:t>月</w:t>
      </w:r>
      <w:r>
        <w:rPr>
          <w:rFonts w:hint="eastAsia" w:ascii="宋体" w:hAnsi="宋体" w:cs="宋体"/>
          <w:color w:val="auto"/>
          <w:kern w:val="2"/>
          <w:sz w:val="24"/>
          <w:szCs w:val="24"/>
          <w:shd w:val="clear" w:color="auto" w:fill="FFFFFF"/>
          <w:lang w:val="en-US" w:eastAsia="zh-CN"/>
        </w:rPr>
        <w:t>8</w:t>
      </w:r>
      <w:r>
        <w:rPr>
          <w:rFonts w:hint="eastAsia" w:ascii="宋体" w:hAnsi="宋体" w:eastAsia="宋体" w:cs="宋体"/>
          <w:color w:val="auto"/>
          <w:kern w:val="2"/>
          <w:sz w:val="24"/>
          <w:szCs w:val="24"/>
          <w:shd w:val="clear" w:color="auto" w:fill="FFFFFF"/>
        </w:rPr>
        <w:t>日</w:t>
      </w:r>
    </w:p>
    <w:p w14:paraId="5E4B2FA9">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2、地点：“政采云”平台（http：//www.zcygov.cn）</w:t>
      </w:r>
    </w:p>
    <w:p w14:paraId="18C6482E">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3、方式：网上免费获取，潜在供应商自行登录政府采购云平台（网址：http://www.zcygov.cn）网上注册并下载</w:t>
      </w:r>
      <w:r>
        <w:rPr>
          <w:rFonts w:hint="eastAsia" w:eastAsia="宋体" w:cs="宋体"/>
          <w:color w:val="auto"/>
          <w:sz w:val="24"/>
          <w:szCs w:val="24"/>
          <w:shd w:val="clear" w:color="auto" w:fill="FFFFFF"/>
          <w:lang w:eastAsia="zh-CN"/>
        </w:rPr>
        <w:t>招标</w:t>
      </w:r>
      <w:r>
        <w:rPr>
          <w:rFonts w:hint="eastAsia" w:ascii="宋体" w:hAnsi="宋体" w:eastAsia="宋体" w:cs="宋体"/>
          <w:color w:val="auto"/>
          <w:sz w:val="24"/>
          <w:szCs w:val="24"/>
          <w:shd w:val="clear" w:color="auto" w:fill="FFFFFF"/>
        </w:rPr>
        <w:t>文件（操作路径：登录“政采云”平台-项目采购-获取</w:t>
      </w:r>
      <w:r>
        <w:rPr>
          <w:rFonts w:hint="eastAsia" w:ascii="宋体" w:hAnsi="宋体" w:eastAsia="宋体" w:cs="宋体"/>
          <w:color w:val="auto"/>
          <w:sz w:val="24"/>
          <w:szCs w:val="24"/>
          <w:shd w:val="clear" w:color="auto" w:fill="FFFFFF"/>
          <w:lang w:eastAsia="zh-CN"/>
        </w:rPr>
        <w:t>招标</w:t>
      </w:r>
      <w:r>
        <w:rPr>
          <w:rFonts w:hint="eastAsia" w:ascii="宋体" w:hAnsi="宋体" w:eastAsia="宋体" w:cs="宋体"/>
          <w:color w:val="auto"/>
          <w:sz w:val="24"/>
          <w:szCs w:val="24"/>
          <w:shd w:val="clear" w:color="auto" w:fill="FFFFFF"/>
        </w:rPr>
        <w:t>文件-找到本项目-点击“申请获取</w:t>
      </w:r>
      <w:r>
        <w:rPr>
          <w:rFonts w:hint="eastAsia" w:ascii="宋体" w:hAnsi="宋体" w:eastAsia="宋体" w:cs="宋体"/>
          <w:color w:val="auto"/>
          <w:sz w:val="24"/>
          <w:szCs w:val="24"/>
          <w:shd w:val="clear" w:color="auto" w:fill="FFFFFF"/>
          <w:lang w:eastAsia="zh-CN"/>
        </w:rPr>
        <w:t>招标</w:t>
      </w:r>
      <w:r>
        <w:rPr>
          <w:rFonts w:hint="eastAsia" w:ascii="宋体" w:hAnsi="宋体" w:eastAsia="宋体" w:cs="宋体"/>
          <w:color w:val="auto"/>
          <w:sz w:val="24"/>
          <w:szCs w:val="24"/>
          <w:shd w:val="clear" w:color="auto" w:fill="FFFFFF"/>
        </w:rPr>
        <w:t>文件”），其他途径获取的</w:t>
      </w:r>
      <w:r>
        <w:rPr>
          <w:rFonts w:hint="eastAsia" w:ascii="宋体" w:hAnsi="宋体" w:eastAsia="宋体" w:cs="宋体"/>
          <w:color w:val="auto"/>
          <w:sz w:val="24"/>
          <w:szCs w:val="24"/>
          <w:shd w:val="clear" w:color="auto" w:fill="FFFFFF"/>
          <w:lang w:eastAsia="zh-CN"/>
        </w:rPr>
        <w:t>招标</w:t>
      </w:r>
      <w:r>
        <w:rPr>
          <w:rFonts w:hint="eastAsia" w:ascii="宋体" w:hAnsi="宋体" w:eastAsia="宋体" w:cs="宋体"/>
          <w:color w:val="auto"/>
          <w:sz w:val="24"/>
          <w:szCs w:val="24"/>
          <w:shd w:val="clear" w:color="auto" w:fill="FFFFFF"/>
        </w:rPr>
        <w:t>文件开标时一律按无效投标处理。</w:t>
      </w:r>
    </w:p>
    <w:bookmarkEnd w:id="29"/>
    <w:bookmarkEnd w:id="30"/>
    <w:bookmarkEnd w:id="31"/>
    <w:bookmarkEnd w:id="32"/>
    <w:bookmarkEnd w:id="33"/>
    <w:bookmarkEnd w:id="34"/>
    <w:bookmarkEnd w:id="35"/>
    <w:bookmarkEnd w:id="36"/>
    <w:p w14:paraId="514BD299">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zh-CN" w:eastAsia="zh-CN"/>
        </w:rPr>
      </w:pPr>
      <w:bookmarkStart w:id="37" w:name="_Toc22361"/>
      <w:bookmarkStart w:id="38" w:name="_Toc24672"/>
      <w:r>
        <w:rPr>
          <w:rFonts w:hint="eastAsia" w:ascii="宋体" w:hAnsi="宋体" w:eastAsia="宋体" w:cs="宋体"/>
          <w:b w:val="0"/>
          <w:bCs/>
          <w:color w:val="auto"/>
          <w:sz w:val="24"/>
          <w:szCs w:val="20"/>
          <w:lang w:val="en-US" w:eastAsia="zh-CN"/>
        </w:rPr>
        <w:t>五</w:t>
      </w:r>
      <w:r>
        <w:rPr>
          <w:rFonts w:hint="eastAsia" w:ascii="宋体" w:hAnsi="宋体" w:eastAsia="宋体" w:cs="宋体"/>
          <w:b w:val="0"/>
          <w:bCs/>
          <w:color w:val="auto"/>
          <w:sz w:val="24"/>
          <w:szCs w:val="20"/>
          <w:lang w:val="zh-CN" w:eastAsia="zh-CN"/>
        </w:rPr>
        <w:t>、项目答疑会和踏勘现场：</w:t>
      </w:r>
      <w:r>
        <w:rPr>
          <w:rFonts w:hint="eastAsia" w:cs="Times New Roman"/>
          <w:color w:val="auto"/>
          <w:sz w:val="21"/>
          <w:szCs w:val="21"/>
          <w:lang w:val="en-US" w:eastAsia="zh-CN"/>
        </w:rPr>
        <w:t>2026年5月8日上午9：00，</w:t>
      </w:r>
      <w:r>
        <w:rPr>
          <w:rFonts w:hint="eastAsia" w:ascii="宋体" w:hAnsi="宋体" w:eastAsia="宋体" w:cs="宋体"/>
          <w:b w:val="0"/>
          <w:bCs/>
          <w:color w:val="auto"/>
          <w:sz w:val="24"/>
          <w:szCs w:val="20"/>
          <w:lang w:val="en-US" w:eastAsia="zh-CN"/>
        </w:rPr>
        <w:t>统一组织现场踏勘。</w:t>
      </w:r>
      <w:bookmarkEnd w:id="37"/>
      <w:bookmarkEnd w:id="38"/>
      <w:bookmarkStart w:id="39" w:name="_Toc26472"/>
      <w:bookmarkStart w:id="40" w:name="_Toc27448"/>
    </w:p>
    <w:p w14:paraId="53D72166">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六、投标文件递交方式要求、截止时间和地点：</w:t>
      </w:r>
      <w:bookmarkEnd w:id="39"/>
      <w:bookmarkEnd w:id="40"/>
    </w:p>
    <w:p w14:paraId="7DA4EC79">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kern w:val="2"/>
          <w:sz w:val="24"/>
          <w:szCs w:val="24"/>
          <w:shd w:val="clear" w:color="auto" w:fill="FFFFFF"/>
        </w:rPr>
      </w:pPr>
      <w:r>
        <w:rPr>
          <w:rFonts w:hint="eastAsia" w:ascii="宋体" w:hAnsi="宋体" w:eastAsia="宋体" w:cs="宋体"/>
          <w:color w:val="auto"/>
          <w:sz w:val="24"/>
          <w:szCs w:val="24"/>
          <w:shd w:val="clear" w:color="auto" w:fill="FFFFFF"/>
        </w:rPr>
        <w:t>1、投标文件递交的截止时间(投标截止时间)：</w:t>
      </w:r>
      <w:r>
        <w:rPr>
          <w:rFonts w:hint="eastAsia" w:ascii="宋体" w:hAnsi="宋体" w:eastAsia="宋体" w:cs="宋体"/>
          <w:color w:val="auto"/>
          <w:kern w:val="2"/>
          <w:sz w:val="24"/>
          <w:szCs w:val="24"/>
          <w:shd w:val="clear" w:color="auto" w:fill="FFFFFF"/>
        </w:rPr>
        <w:t>202</w:t>
      </w:r>
      <w:r>
        <w:rPr>
          <w:rFonts w:hint="eastAsia" w:eastAsia="宋体" w:cs="宋体"/>
          <w:color w:val="auto"/>
          <w:kern w:val="2"/>
          <w:sz w:val="24"/>
          <w:szCs w:val="24"/>
          <w:shd w:val="clear" w:color="auto" w:fill="FFFFFF"/>
          <w:lang w:val="en-US" w:eastAsia="zh-CN"/>
        </w:rPr>
        <w:t>6</w:t>
      </w:r>
      <w:r>
        <w:rPr>
          <w:rFonts w:hint="eastAsia" w:ascii="宋体" w:hAnsi="宋体" w:eastAsia="宋体" w:cs="宋体"/>
          <w:color w:val="auto"/>
          <w:kern w:val="2"/>
          <w:sz w:val="24"/>
          <w:szCs w:val="24"/>
          <w:shd w:val="clear" w:color="auto" w:fill="FFFFFF"/>
        </w:rPr>
        <w:t>年</w:t>
      </w:r>
      <w:r>
        <w:rPr>
          <w:rFonts w:hint="eastAsia" w:ascii="宋体" w:hAnsi="宋体" w:cs="宋体"/>
          <w:color w:val="auto"/>
          <w:kern w:val="2"/>
          <w:sz w:val="24"/>
          <w:szCs w:val="24"/>
          <w:shd w:val="clear" w:color="auto" w:fill="FFFFFF"/>
          <w:lang w:val="en-US" w:eastAsia="zh-CN"/>
        </w:rPr>
        <w:t>5</w:t>
      </w:r>
      <w:r>
        <w:rPr>
          <w:rFonts w:hint="eastAsia" w:ascii="宋体" w:hAnsi="宋体" w:eastAsia="宋体" w:cs="宋体"/>
          <w:color w:val="auto"/>
          <w:kern w:val="2"/>
          <w:sz w:val="24"/>
          <w:szCs w:val="24"/>
          <w:shd w:val="clear" w:color="auto" w:fill="FFFFFF"/>
        </w:rPr>
        <w:t>月</w:t>
      </w:r>
      <w:r>
        <w:rPr>
          <w:rFonts w:hint="eastAsia" w:cs="宋体"/>
          <w:color w:val="auto"/>
          <w:kern w:val="2"/>
          <w:sz w:val="24"/>
          <w:szCs w:val="24"/>
          <w:shd w:val="clear" w:color="auto" w:fill="FFFFFF"/>
          <w:lang w:val="en-US" w:eastAsia="zh-CN"/>
        </w:rPr>
        <w:t>19</w:t>
      </w:r>
      <w:r>
        <w:rPr>
          <w:rFonts w:hint="eastAsia" w:ascii="宋体" w:hAnsi="宋体" w:eastAsia="宋体" w:cs="宋体"/>
          <w:color w:val="auto"/>
          <w:kern w:val="2"/>
          <w:sz w:val="24"/>
          <w:szCs w:val="24"/>
          <w:shd w:val="clear" w:color="auto" w:fill="FFFFFF"/>
        </w:rPr>
        <w:t>日</w:t>
      </w:r>
      <w:r>
        <w:rPr>
          <w:rFonts w:hint="eastAsia" w:ascii="宋体" w:hAnsi="宋体" w:cs="宋体"/>
          <w:color w:val="auto"/>
          <w:kern w:val="2"/>
          <w:sz w:val="24"/>
          <w:szCs w:val="24"/>
          <w:shd w:val="clear" w:color="auto" w:fill="FFFFFF"/>
          <w:lang w:val="en-US" w:eastAsia="zh-CN"/>
        </w:rPr>
        <w:t>13</w:t>
      </w:r>
      <w:r>
        <w:rPr>
          <w:rFonts w:hint="eastAsia" w:ascii="宋体" w:hAnsi="宋体" w:eastAsia="宋体" w:cs="宋体"/>
          <w:color w:val="auto"/>
          <w:kern w:val="2"/>
          <w:sz w:val="24"/>
          <w:szCs w:val="24"/>
          <w:shd w:val="clear" w:color="auto" w:fill="FFFFFF"/>
        </w:rPr>
        <w:t>时</w:t>
      </w:r>
      <w:r>
        <w:rPr>
          <w:rFonts w:hint="eastAsia" w:ascii="宋体" w:hAnsi="宋体" w:cs="宋体"/>
          <w:color w:val="auto"/>
          <w:kern w:val="2"/>
          <w:sz w:val="24"/>
          <w:szCs w:val="24"/>
          <w:shd w:val="clear" w:color="auto" w:fill="FFFFFF"/>
          <w:lang w:val="en-US" w:eastAsia="zh-CN"/>
        </w:rPr>
        <w:t>3</w:t>
      </w:r>
      <w:r>
        <w:rPr>
          <w:rFonts w:hint="eastAsia" w:ascii="宋体" w:hAnsi="宋体" w:eastAsia="宋体" w:cs="宋体"/>
          <w:color w:val="auto"/>
          <w:kern w:val="2"/>
          <w:sz w:val="24"/>
          <w:szCs w:val="24"/>
          <w:shd w:val="clear" w:color="auto" w:fill="FFFFFF"/>
        </w:rPr>
        <w:t>0分（北京时间）</w:t>
      </w:r>
    </w:p>
    <w:p w14:paraId="6BE3BA3B">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2、开标地点：</w:t>
      </w:r>
      <w:r>
        <w:rPr>
          <w:rFonts w:hint="eastAsia" w:ascii="宋体" w:hAnsi="宋体" w:cs="宋体"/>
          <w:color w:val="auto"/>
          <w:sz w:val="24"/>
          <w:szCs w:val="24"/>
          <w:shd w:val="clear" w:color="auto" w:fill="FFFFFF"/>
          <w:lang w:eastAsia="zh-CN"/>
        </w:rPr>
        <w:t>长春市二道区洋浦大街6669号凯利中心AB栋101开标</w:t>
      </w:r>
      <w:r>
        <w:rPr>
          <w:rFonts w:hint="eastAsia" w:ascii="宋体" w:hAnsi="宋体" w:cs="宋体"/>
          <w:color w:val="auto"/>
          <w:sz w:val="24"/>
          <w:szCs w:val="24"/>
          <w:shd w:val="clear" w:color="auto" w:fill="FFFFFF"/>
          <w:lang w:val="en-US" w:eastAsia="zh-CN"/>
        </w:rPr>
        <w:t>2</w:t>
      </w:r>
      <w:r>
        <w:rPr>
          <w:rFonts w:hint="eastAsia" w:ascii="宋体" w:hAnsi="宋体" w:cs="宋体"/>
          <w:color w:val="auto"/>
          <w:sz w:val="24"/>
          <w:szCs w:val="24"/>
          <w:shd w:val="clear" w:color="auto" w:fill="FFFFFF"/>
          <w:lang w:eastAsia="zh-CN"/>
        </w:rPr>
        <w:t>室</w:t>
      </w:r>
    </w:p>
    <w:p w14:paraId="16615B56">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3、本项目为全流程电子化项目，通过“政采云”平台（http：//www.zcygov.cn）实行在线电子投标，供应商应先安装“政采云投标客户端”（请自行前往“政采云”平台进行下载），并按照本项目</w:t>
      </w:r>
      <w:r>
        <w:rPr>
          <w:rFonts w:hint="eastAsia" w:eastAsia="宋体" w:cs="宋体"/>
          <w:color w:val="auto"/>
          <w:sz w:val="24"/>
          <w:szCs w:val="24"/>
          <w:shd w:val="clear" w:color="auto" w:fill="FFFFFF"/>
          <w:lang w:eastAsia="zh-CN"/>
        </w:rPr>
        <w:t>招标</w:t>
      </w:r>
      <w:r>
        <w:rPr>
          <w:rFonts w:hint="eastAsia" w:ascii="宋体" w:hAnsi="宋体" w:eastAsia="宋体" w:cs="宋体"/>
          <w:color w:val="auto"/>
          <w:sz w:val="24"/>
          <w:szCs w:val="24"/>
          <w:shd w:val="clear" w:color="auto" w:fill="FFFFFF"/>
        </w:rPr>
        <w:t>文件和“政采云”平台的要求编制、加密后在投标截止时间前通过网络上传至“政采云”平台，供应商在“政采云”平台提交电子版投标文件时，请填写参加开标活动经办人联系方式</w:t>
      </w:r>
      <w:r>
        <w:rPr>
          <w:rFonts w:hint="eastAsia" w:ascii="宋体" w:hAnsi="宋体" w:eastAsia="宋体" w:cs="宋体"/>
          <w:color w:val="auto"/>
          <w:sz w:val="24"/>
          <w:szCs w:val="24"/>
          <w:shd w:val="clear" w:color="auto" w:fill="FFFFFF"/>
          <w:lang w:val="zh-CN"/>
        </w:rPr>
        <w:t>。</w:t>
      </w:r>
    </w:p>
    <w:p w14:paraId="3C33C4C8">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4、电子投标文件解密期限及方式：开启时间后</w:t>
      </w:r>
      <w:r>
        <w:rPr>
          <w:rFonts w:hint="eastAsia" w:eastAsia="宋体" w:cs="宋体"/>
          <w:color w:val="auto"/>
          <w:sz w:val="24"/>
          <w:szCs w:val="24"/>
          <w:shd w:val="clear" w:color="auto" w:fill="FFFFFF"/>
          <w:lang w:val="en-US" w:eastAsia="zh-CN"/>
        </w:rPr>
        <w:t>30</w:t>
      </w:r>
      <w:r>
        <w:rPr>
          <w:rFonts w:hint="eastAsia" w:ascii="宋体" w:hAnsi="宋体" w:eastAsia="宋体" w:cs="宋体"/>
          <w:color w:val="auto"/>
          <w:sz w:val="24"/>
          <w:szCs w:val="24"/>
          <w:shd w:val="clear" w:color="auto" w:fill="FFFFFF"/>
        </w:rPr>
        <w:t>分钟内，由供应商持制作该电子投标文件的同一数字证书（CA锁）及电脑进行远程解密（各供应商开标前及网上开评标系统公布供应商名单前，不要提前进行远程解密；具体解密时间在开标直播时</w:t>
      </w:r>
      <w:r>
        <w:rPr>
          <w:rFonts w:hint="eastAsia" w:eastAsia="宋体" w:cs="宋体"/>
          <w:color w:val="auto"/>
          <w:sz w:val="24"/>
          <w:szCs w:val="24"/>
          <w:shd w:val="clear" w:color="auto" w:fill="FFFFFF"/>
          <w:lang w:eastAsia="zh-CN"/>
        </w:rPr>
        <w:t>采购代理机构</w:t>
      </w:r>
      <w:r>
        <w:rPr>
          <w:rFonts w:hint="eastAsia" w:ascii="宋体" w:hAnsi="宋体" w:eastAsia="宋体" w:cs="宋体"/>
          <w:color w:val="auto"/>
          <w:sz w:val="24"/>
          <w:szCs w:val="24"/>
          <w:shd w:val="clear" w:color="auto" w:fill="FFFFFF"/>
        </w:rPr>
        <w:t>工作人员会进行通知），因投标人自身原因未能成功解密的，投标无效。</w:t>
      </w:r>
    </w:p>
    <w:p w14:paraId="490A62A8">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w:t>
      </w:r>
      <w:r>
        <w:rPr>
          <w:rFonts w:hint="eastAsia" w:ascii="宋体" w:hAnsi="宋体" w:eastAsia="宋体" w:cs="宋体"/>
          <w:color w:val="auto"/>
          <w:sz w:val="24"/>
          <w:szCs w:val="32"/>
          <w:highlight w:val="none"/>
          <w:lang w:val="zh-CN"/>
        </w:rPr>
        <w:t>投标文件</w:t>
      </w:r>
      <w:r>
        <w:rPr>
          <w:rFonts w:hint="eastAsia" w:ascii="宋体" w:hAnsi="宋体" w:eastAsia="宋体" w:cs="宋体"/>
          <w:color w:val="auto"/>
          <w:sz w:val="24"/>
          <w:szCs w:val="32"/>
          <w:highlight w:val="none"/>
          <w:lang w:val="en-US" w:eastAsia="zh-CN"/>
        </w:rPr>
        <w:t>开</w:t>
      </w:r>
      <w:r>
        <w:rPr>
          <w:rFonts w:hint="eastAsia" w:ascii="宋体" w:hAnsi="宋体" w:cs="宋体"/>
          <w:color w:val="auto"/>
          <w:sz w:val="24"/>
          <w:szCs w:val="32"/>
          <w:highlight w:val="none"/>
          <w:lang w:val="en-US" w:eastAsia="zh-CN"/>
        </w:rPr>
        <w:t>启</w:t>
      </w:r>
      <w:r>
        <w:rPr>
          <w:rFonts w:hint="eastAsia" w:ascii="宋体" w:hAnsi="宋体" w:eastAsia="宋体" w:cs="宋体"/>
          <w:color w:val="auto"/>
          <w:sz w:val="24"/>
          <w:szCs w:val="32"/>
          <w:highlight w:val="none"/>
          <w:lang w:val="zh-CN"/>
        </w:rPr>
        <w:t>方式：投标文件解密截止时间后，</w:t>
      </w:r>
      <w:r>
        <w:rPr>
          <w:rFonts w:hint="eastAsia" w:ascii="宋体" w:hAnsi="宋体" w:eastAsia="宋体" w:cs="宋体"/>
          <w:color w:val="auto"/>
          <w:sz w:val="24"/>
          <w:szCs w:val="24"/>
          <w:shd w:val="clear" w:color="auto" w:fill="FFFFFF"/>
        </w:rPr>
        <w:t>“政采云”平台手动公布投标报价信息，供应商持企业数字证书登录“政采云”平台在线查询投标报价信息。</w:t>
      </w:r>
    </w:p>
    <w:p w14:paraId="1361D91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en-US" w:eastAsia="zh-CN"/>
        </w:rPr>
      </w:pPr>
      <w:bookmarkStart w:id="41" w:name="_Toc21332"/>
      <w:bookmarkStart w:id="42" w:name="_Toc27529"/>
      <w:r>
        <w:rPr>
          <w:rFonts w:hint="eastAsia" w:ascii="宋体" w:hAnsi="宋体" w:eastAsia="宋体" w:cs="宋体"/>
          <w:b w:val="0"/>
          <w:bCs/>
          <w:color w:val="auto"/>
          <w:sz w:val="24"/>
          <w:szCs w:val="20"/>
          <w:lang w:val="en-US" w:eastAsia="zh-CN"/>
        </w:rPr>
        <w:t>七、开标时间及地点:</w:t>
      </w:r>
      <w:bookmarkEnd w:id="41"/>
      <w:bookmarkEnd w:id="42"/>
    </w:p>
    <w:p w14:paraId="0E574479">
      <w:pPr>
        <w:pStyle w:val="19"/>
        <w:shd w:val="clear" w:color="auto" w:fill="FFFFFF"/>
        <w:spacing w:before="0" w:beforeAutospacing="0" w:after="0" w:afterAutospacing="0" w:line="360" w:lineRule="auto"/>
        <w:ind w:firstLine="480" w:firstLineChars="200"/>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shd w:val="clear" w:color="auto" w:fill="FFFFFF"/>
        </w:rPr>
        <w:t>开标时间:</w:t>
      </w:r>
      <w:r>
        <w:rPr>
          <w:rFonts w:hint="eastAsia" w:ascii="宋体" w:hAnsi="宋体" w:eastAsia="宋体" w:cs="宋体"/>
          <w:b w:val="0"/>
          <w:bCs/>
          <w:color w:val="auto"/>
          <w:kern w:val="2"/>
          <w:sz w:val="24"/>
          <w:szCs w:val="24"/>
          <w:shd w:val="clear" w:color="auto" w:fill="FFFFFF"/>
        </w:rPr>
        <w:t>202</w:t>
      </w:r>
      <w:r>
        <w:rPr>
          <w:rFonts w:hint="eastAsia" w:eastAsia="宋体" w:cs="宋体"/>
          <w:b w:val="0"/>
          <w:bCs/>
          <w:color w:val="auto"/>
          <w:kern w:val="2"/>
          <w:sz w:val="24"/>
          <w:szCs w:val="24"/>
          <w:shd w:val="clear" w:color="auto" w:fill="FFFFFF"/>
          <w:lang w:val="en-US" w:eastAsia="zh-CN"/>
        </w:rPr>
        <w:t>6</w:t>
      </w:r>
      <w:r>
        <w:rPr>
          <w:rFonts w:hint="eastAsia" w:ascii="宋体" w:hAnsi="宋体" w:eastAsia="宋体" w:cs="宋体"/>
          <w:b w:val="0"/>
          <w:bCs/>
          <w:color w:val="auto"/>
          <w:kern w:val="2"/>
          <w:sz w:val="24"/>
          <w:szCs w:val="24"/>
          <w:shd w:val="clear" w:color="auto" w:fill="FFFFFF"/>
        </w:rPr>
        <w:t>年</w:t>
      </w:r>
      <w:r>
        <w:rPr>
          <w:rFonts w:hint="eastAsia" w:cs="宋体"/>
          <w:b w:val="0"/>
          <w:bCs/>
          <w:color w:val="auto"/>
          <w:kern w:val="2"/>
          <w:sz w:val="24"/>
          <w:szCs w:val="24"/>
          <w:shd w:val="clear" w:color="auto" w:fill="FFFFFF"/>
          <w:lang w:val="en-US" w:eastAsia="zh-CN"/>
        </w:rPr>
        <w:t>5</w:t>
      </w:r>
      <w:r>
        <w:rPr>
          <w:rFonts w:hint="eastAsia" w:ascii="宋体" w:hAnsi="宋体" w:eastAsia="宋体" w:cs="宋体"/>
          <w:b w:val="0"/>
          <w:bCs/>
          <w:color w:val="auto"/>
          <w:kern w:val="2"/>
          <w:sz w:val="24"/>
          <w:szCs w:val="24"/>
          <w:shd w:val="clear" w:color="auto" w:fill="FFFFFF"/>
        </w:rPr>
        <w:t>月</w:t>
      </w:r>
      <w:r>
        <w:rPr>
          <w:rFonts w:hint="eastAsia" w:cs="宋体"/>
          <w:b w:val="0"/>
          <w:bCs/>
          <w:color w:val="auto"/>
          <w:kern w:val="2"/>
          <w:sz w:val="24"/>
          <w:szCs w:val="24"/>
          <w:shd w:val="clear" w:color="auto" w:fill="FFFFFF"/>
          <w:lang w:val="en-US" w:eastAsia="zh-CN"/>
        </w:rPr>
        <w:t>19</w:t>
      </w:r>
      <w:r>
        <w:rPr>
          <w:rFonts w:hint="eastAsia" w:ascii="宋体" w:hAnsi="宋体" w:eastAsia="宋体" w:cs="宋体"/>
          <w:b w:val="0"/>
          <w:bCs/>
          <w:color w:val="auto"/>
          <w:kern w:val="2"/>
          <w:sz w:val="24"/>
          <w:szCs w:val="24"/>
          <w:shd w:val="clear" w:color="auto" w:fill="FFFFFF"/>
        </w:rPr>
        <w:t>日</w:t>
      </w:r>
      <w:r>
        <w:rPr>
          <w:rFonts w:hint="eastAsia" w:ascii="宋体" w:hAnsi="宋体" w:cs="宋体"/>
          <w:b w:val="0"/>
          <w:bCs/>
          <w:color w:val="auto"/>
          <w:kern w:val="2"/>
          <w:sz w:val="24"/>
          <w:szCs w:val="24"/>
          <w:shd w:val="clear" w:color="auto" w:fill="FFFFFF"/>
          <w:lang w:val="en-US" w:eastAsia="zh-CN"/>
        </w:rPr>
        <w:t>13</w:t>
      </w:r>
      <w:r>
        <w:rPr>
          <w:rFonts w:hint="eastAsia" w:ascii="宋体" w:hAnsi="宋体" w:eastAsia="宋体" w:cs="宋体"/>
          <w:b w:val="0"/>
          <w:bCs/>
          <w:color w:val="auto"/>
          <w:kern w:val="2"/>
          <w:sz w:val="24"/>
          <w:szCs w:val="24"/>
          <w:shd w:val="clear" w:color="auto" w:fill="FFFFFF"/>
        </w:rPr>
        <w:t>时</w:t>
      </w:r>
      <w:r>
        <w:rPr>
          <w:rFonts w:hint="eastAsia" w:ascii="宋体" w:hAnsi="宋体" w:cs="宋体"/>
          <w:b w:val="0"/>
          <w:bCs/>
          <w:color w:val="auto"/>
          <w:kern w:val="2"/>
          <w:sz w:val="24"/>
          <w:szCs w:val="24"/>
          <w:shd w:val="clear" w:color="auto" w:fill="FFFFFF"/>
          <w:lang w:val="en-US" w:eastAsia="zh-CN"/>
        </w:rPr>
        <w:t>3</w:t>
      </w:r>
      <w:r>
        <w:rPr>
          <w:rFonts w:hint="eastAsia" w:ascii="宋体" w:hAnsi="宋体" w:eastAsia="宋体" w:cs="宋体"/>
          <w:b w:val="0"/>
          <w:bCs/>
          <w:color w:val="auto"/>
          <w:kern w:val="2"/>
          <w:sz w:val="24"/>
          <w:szCs w:val="24"/>
          <w:shd w:val="clear" w:color="auto" w:fill="FFFFFF"/>
        </w:rPr>
        <w:t>0分（北京时间）</w:t>
      </w:r>
    </w:p>
    <w:p w14:paraId="008D3B4A">
      <w:pPr>
        <w:pStyle w:val="19"/>
        <w:shd w:val="clear" w:color="auto" w:fill="FFFFFF"/>
        <w:spacing w:before="0" w:beforeAutospacing="0" w:after="0" w:afterAutospacing="0" w:line="360" w:lineRule="auto"/>
        <w:ind w:firstLine="480" w:firstLineChars="200"/>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shd w:val="clear" w:color="auto" w:fill="FFFFFF"/>
        </w:rPr>
        <w:t>开标地点：</w:t>
      </w:r>
      <w:r>
        <w:rPr>
          <w:rFonts w:hint="eastAsia" w:ascii="宋体" w:hAnsi="宋体" w:eastAsia="宋体" w:cs="宋体"/>
          <w:b w:val="0"/>
          <w:bCs/>
          <w:color w:val="auto"/>
          <w:kern w:val="2"/>
          <w:sz w:val="24"/>
          <w:szCs w:val="24"/>
          <w:shd w:val="clear" w:color="auto" w:fill="FFFFFF"/>
        </w:rPr>
        <w:t>长春市二道区洋浦大街6669号凯利中心AB栋101开标</w:t>
      </w:r>
      <w:r>
        <w:rPr>
          <w:rFonts w:hint="eastAsia" w:ascii="宋体" w:hAnsi="宋体" w:cs="宋体"/>
          <w:b w:val="0"/>
          <w:bCs/>
          <w:color w:val="auto"/>
          <w:kern w:val="2"/>
          <w:sz w:val="24"/>
          <w:szCs w:val="24"/>
          <w:shd w:val="clear" w:color="auto" w:fill="FFFFFF"/>
          <w:lang w:val="en-US" w:eastAsia="zh-CN"/>
        </w:rPr>
        <w:t>2</w:t>
      </w:r>
      <w:r>
        <w:rPr>
          <w:rFonts w:hint="eastAsia" w:ascii="宋体" w:hAnsi="宋体" w:eastAsia="宋体" w:cs="宋体"/>
          <w:b w:val="0"/>
          <w:bCs/>
          <w:color w:val="auto"/>
          <w:kern w:val="2"/>
          <w:sz w:val="24"/>
          <w:szCs w:val="24"/>
          <w:shd w:val="clear" w:color="auto" w:fill="FFFFFF"/>
        </w:rPr>
        <w:t>室</w:t>
      </w:r>
    </w:p>
    <w:p w14:paraId="504D02B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en-US" w:eastAsia="zh-CN"/>
        </w:rPr>
      </w:pPr>
      <w:bookmarkStart w:id="43" w:name="_Toc25979"/>
      <w:bookmarkStart w:id="44" w:name="_Toc23031"/>
      <w:r>
        <w:rPr>
          <w:rFonts w:hint="eastAsia" w:ascii="宋体" w:hAnsi="宋体" w:eastAsia="宋体" w:cs="宋体"/>
          <w:b w:val="0"/>
          <w:bCs/>
          <w:color w:val="auto"/>
          <w:sz w:val="24"/>
          <w:szCs w:val="20"/>
          <w:lang w:val="en-US" w:eastAsia="zh-CN"/>
        </w:rPr>
        <w:t>八、公告期限：</w:t>
      </w:r>
      <w:bookmarkEnd w:id="43"/>
      <w:bookmarkEnd w:id="44"/>
    </w:p>
    <w:p w14:paraId="31AFD202">
      <w:pPr>
        <w:pStyle w:val="19"/>
        <w:shd w:val="clear" w:color="auto" w:fill="FFFFFF"/>
        <w:spacing w:before="0" w:beforeAutospacing="0" w:after="0" w:afterAutospacing="0" w:line="360" w:lineRule="auto"/>
        <w:ind w:firstLine="480" w:firstLineChars="200"/>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shd w:val="clear" w:color="auto" w:fill="FFFFFF"/>
        </w:rPr>
        <w:t>自本公告发布之日起5个工作日。</w:t>
      </w:r>
    </w:p>
    <w:p w14:paraId="332FD406">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宋体" w:hAnsi="宋体" w:eastAsia="宋体" w:cs="宋体"/>
          <w:b w:val="0"/>
          <w:bCs/>
          <w:color w:val="auto"/>
          <w:sz w:val="24"/>
          <w:szCs w:val="20"/>
          <w:lang w:val="en-US" w:eastAsia="zh-CN"/>
        </w:rPr>
      </w:pPr>
      <w:r>
        <w:rPr>
          <w:rFonts w:hint="eastAsia" w:ascii="宋体" w:hAnsi="宋体" w:eastAsia="宋体" w:cs="宋体"/>
          <w:b w:val="0"/>
          <w:bCs/>
          <w:color w:val="auto"/>
          <w:sz w:val="24"/>
          <w:szCs w:val="20"/>
          <w:lang w:val="en-US" w:eastAsia="zh-CN"/>
        </w:rPr>
        <w:t>九、磋商保证金：19500元</w:t>
      </w:r>
    </w:p>
    <w:p w14:paraId="71E677ED">
      <w:pPr>
        <w:pStyle w:val="19"/>
        <w:shd w:val="clear" w:color="auto" w:fill="FFFFFF"/>
        <w:spacing w:before="0" w:beforeAutospacing="0" w:after="0" w:afterAutospacing="0" w:line="360" w:lineRule="auto"/>
        <w:ind w:firstLine="480" w:firstLineChars="200"/>
        <w:rPr>
          <w:rFonts w:hint="eastAsia" w:ascii="宋体" w:hAnsi="宋体" w:eastAsia="宋体" w:cs="宋体"/>
          <w:b w:val="0"/>
          <w:bCs/>
          <w:color w:val="auto"/>
          <w:sz w:val="24"/>
          <w:szCs w:val="24"/>
          <w:shd w:val="clear" w:color="auto" w:fill="FFFFFF"/>
        </w:rPr>
      </w:pPr>
      <w:r>
        <w:rPr>
          <w:rFonts w:hint="eastAsia" w:ascii="宋体" w:hAnsi="宋体" w:cs="宋体"/>
          <w:b w:val="0"/>
          <w:bCs/>
          <w:color w:val="auto"/>
          <w:sz w:val="24"/>
          <w:szCs w:val="24"/>
          <w:lang w:val="en-US" w:eastAsia="zh-CN" w:bidi="ar"/>
        </w:rPr>
        <w:t>磋商</w:t>
      </w:r>
      <w:r>
        <w:rPr>
          <w:rFonts w:hint="eastAsia" w:ascii="宋体" w:hAnsi="宋体" w:eastAsia="宋体" w:cs="宋体"/>
          <w:b w:val="0"/>
          <w:bCs/>
          <w:color w:val="auto"/>
          <w:sz w:val="24"/>
          <w:szCs w:val="24"/>
          <w:highlight w:val="none"/>
          <w:lang w:val="zh-CN"/>
        </w:rPr>
        <w:t>保证金应当以支票、汇票、本票或者金融机构、担保机构出具的保函等非现金形式提交。票据有效时限为自开标当日起不少于25天（遇到国家法定3天假日的，在假期结束后3日内开标的，有效期为自开标之日起不少于18天）。投标人未按照招标文件要求提交投标保证金的，投标无效。投标人必须将票据复印件（加盖投标人公章或财务章）</w:t>
      </w:r>
      <w:r>
        <w:rPr>
          <w:rFonts w:hint="eastAsia" w:ascii="宋体" w:hAnsi="宋体" w:cs="宋体"/>
          <w:b w:val="0"/>
          <w:bCs/>
          <w:color w:val="auto"/>
          <w:sz w:val="24"/>
          <w:szCs w:val="24"/>
          <w:highlight w:val="none"/>
          <w:lang w:val="en-US" w:eastAsia="zh-CN"/>
        </w:rPr>
        <w:t>放置于</w:t>
      </w:r>
      <w:r>
        <w:rPr>
          <w:rFonts w:hint="eastAsia" w:ascii="宋体" w:hAnsi="宋体" w:eastAsia="宋体" w:cs="宋体"/>
          <w:b w:val="0"/>
          <w:bCs/>
          <w:color w:val="auto"/>
          <w:sz w:val="24"/>
          <w:szCs w:val="24"/>
          <w:highlight w:val="none"/>
          <w:lang w:val="zh-CN"/>
        </w:rPr>
        <w:t>响应文件内</w:t>
      </w:r>
      <w:r>
        <w:rPr>
          <w:rFonts w:hint="eastAsia" w:ascii="宋体" w:hAnsi="宋体" w:cs="宋体"/>
          <w:b w:val="0"/>
          <w:bCs/>
          <w:color w:val="auto"/>
          <w:sz w:val="24"/>
          <w:szCs w:val="24"/>
          <w:highlight w:val="none"/>
          <w:lang w:val="zh-CN"/>
        </w:rPr>
        <w:t>，</w:t>
      </w:r>
      <w:r>
        <w:rPr>
          <w:rFonts w:hint="eastAsia" w:ascii="宋体" w:hAnsi="宋体" w:eastAsia="宋体" w:cs="宋体"/>
          <w:b w:val="0"/>
          <w:bCs/>
          <w:color w:val="auto"/>
          <w:sz w:val="24"/>
          <w:szCs w:val="24"/>
          <w:highlight w:val="none"/>
          <w:lang w:val="zh-CN"/>
        </w:rPr>
        <w:t>否则响应无效。</w:t>
      </w:r>
    </w:p>
    <w:p w14:paraId="14729CBA">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en-US" w:eastAsia="zh-CN"/>
        </w:rPr>
      </w:pPr>
      <w:bookmarkStart w:id="45" w:name="_Toc11938"/>
      <w:bookmarkStart w:id="46" w:name="_Toc19143"/>
      <w:r>
        <w:rPr>
          <w:rFonts w:hint="eastAsia" w:ascii="宋体" w:hAnsi="宋体" w:eastAsia="宋体" w:cs="宋体"/>
          <w:b w:val="0"/>
          <w:bCs/>
          <w:color w:val="auto"/>
          <w:sz w:val="24"/>
          <w:szCs w:val="20"/>
          <w:lang w:val="en-US" w:eastAsia="zh-CN"/>
        </w:rPr>
        <w:t>十、发布媒体：</w:t>
      </w:r>
      <w:bookmarkEnd w:id="45"/>
      <w:bookmarkEnd w:id="46"/>
    </w:p>
    <w:p w14:paraId="7D089E13">
      <w:pPr>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color w:val="auto"/>
          <w:sz w:val="24"/>
          <w:highlight w:val="none"/>
        </w:rPr>
      </w:pPr>
      <w:bookmarkStart w:id="47" w:name="_Toc32352"/>
      <w:r>
        <w:rPr>
          <w:rFonts w:hint="eastAsia" w:ascii="宋体" w:hAnsi="宋体" w:eastAsia="宋体" w:cs="宋体"/>
          <w:b w:val="0"/>
          <w:bCs/>
          <w:color w:val="auto"/>
          <w:sz w:val="24"/>
          <w:highlight w:val="none"/>
        </w:rPr>
        <w:t>本次招标公告在</w:t>
      </w:r>
      <w:r>
        <w:rPr>
          <w:rFonts w:hint="eastAsia" w:ascii="宋体" w:hAnsi="宋体" w:cs="宋体"/>
          <w:b w:val="0"/>
          <w:bCs/>
          <w:color w:val="auto"/>
          <w:sz w:val="24"/>
          <w:szCs w:val="32"/>
          <w:highlight w:val="none"/>
          <w:lang w:val="zh-CN"/>
        </w:rPr>
        <w:t>政采云”平台（</w:t>
      </w:r>
      <w:r>
        <w:rPr>
          <w:rFonts w:hint="eastAsia" w:ascii="宋体" w:hAnsi="宋体"/>
          <w:b w:val="0"/>
          <w:bCs/>
          <w:color w:val="auto"/>
          <w:sz w:val="24"/>
          <w:szCs w:val="24"/>
          <w:highlight w:val="none"/>
          <w:lang w:val="zh-CN" w:eastAsia="zh-CN"/>
        </w:rPr>
        <w:t>https://www.zcygov.cn/</w:t>
      </w:r>
      <w:r>
        <w:rPr>
          <w:rFonts w:hint="eastAsia" w:ascii="宋体" w:hAnsi="宋体" w:cs="宋体"/>
          <w:b w:val="0"/>
          <w:bCs/>
          <w:color w:val="auto"/>
          <w:sz w:val="24"/>
          <w:szCs w:val="32"/>
          <w:highlight w:val="none"/>
          <w:lang w:val="zh-CN"/>
        </w:rPr>
        <w:t>）</w:t>
      </w:r>
      <w:r>
        <w:rPr>
          <w:rFonts w:hint="eastAsia" w:ascii="宋体" w:hAnsi="宋体"/>
          <w:b w:val="0"/>
          <w:bCs/>
          <w:color w:val="auto"/>
          <w:sz w:val="24"/>
          <w:highlight w:val="none"/>
        </w:rPr>
        <w:t>上发布并同步推送到吉林省政府采购网（http://www.ccgp-jilin.gov.cn/）</w:t>
      </w:r>
      <w:r>
        <w:rPr>
          <w:rFonts w:hint="eastAsia" w:ascii="宋体" w:hAnsi="宋体" w:eastAsia="宋体" w:cs="宋体"/>
          <w:b w:val="0"/>
          <w:bCs/>
          <w:color w:val="auto"/>
          <w:sz w:val="24"/>
          <w:highlight w:val="none"/>
        </w:rPr>
        <w:t>。</w:t>
      </w:r>
    </w:p>
    <w:p w14:paraId="42601EE2">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en-US" w:eastAsia="zh-CN"/>
        </w:rPr>
      </w:pPr>
      <w:bookmarkStart w:id="48" w:name="_Toc30502"/>
      <w:r>
        <w:rPr>
          <w:rFonts w:hint="eastAsia" w:ascii="宋体" w:hAnsi="宋体" w:eastAsia="宋体" w:cs="宋体"/>
          <w:b w:val="0"/>
          <w:bCs/>
          <w:color w:val="auto"/>
          <w:sz w:val="24"/>
          <w:szCs w:val="20"/>
          <w:lang w:val="en-US" w:eastAsia="zh-CN"/>
        </w:rPr>
        <w:t>十一、其他补充事宜</w:t>
      </w:r>
      <w:bookmarkEnd w:id="47"/>
      <w:bookmarkEnd w:id="48"/>
    </w:p>
    <w:p w14:paraId="2B07A0CF">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highlight w:val="none"/>
          <w:lang w:val="en-US" w:eastAsia="zh-CN"/>
        </w:rPr>
      </w:pPr>
      <w:bookmarkStart w:id="49" w:name="_Toc35393805"/>
      <w:r>
        <w:rPr>
          <w:rFonts w:hint="eastAsia" w:ascii="宋体" w:hAnsi="宋体" w:eastAsia="宋体" w:cs="宋体"/>
          <w:b w:val="0"/>
          <w:bCs/>
          <w:color w:val="auto"/>
          <w:sz w:val="24"/>
          <w:szCs w:val="24"/>
          <w:highlight w:val="none"/>
          <w:lang w:val="en-US" w:eastAsia="zh-CN"/>
        </w:rPr>
        <w:t>1、CA锁办理网址：请供应商自行办理</w:t>
      </w:r>
      <w:bookmarkEnd w:id="49"/>
      <w:r>
        <w:rPr>
          <w:rFonts w:hint="eastAsia" w:ascii="宋体" w:hAnsi="宋体" w:eastAsia="宋体" w:cs="宋体"/>
          <w:b w:val="0"/>
          <w:bCs/>
          <w:color w:val="auto"/>
          <w:sz w:val="24"/>
          <w:szCs w:val="24"/>
          <w:highlight w:val="none"/>
          <w:lang w:val="en-US" w:eastAsia="zh-CN"/>
        </w:rPr>
        <w:t>CA锁，网址链接（http://www.anxinca.com/kehu/zcy/kh-zcy-zsshenqing.html。）</w:t>
      </w:r>
    </w:p>
    <w:p w14:paraId="08B4556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2、收到CA锁以后在“政采云”登陆界面，点击CA登录-CA驱动下载-下载并安装政采云投标客户端和安信CA驱动，账号绑定CA后才能进行投标文件制作。</w:t>
      </w:r>
    </w:p>
    <w:p w14:paraId="7EA7FF5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3、未进行网上注册并办理CA认证的投标人将无法参与本次采购活动。数字证书办理时限为3-5个工作日，投标人须自行考虑办理时间，由于投标人自身原因在开标前无法完成办理，后果自负。</w:t>
      </w:r>
    </w:p>
    <w:p w14:paraId="243DF564">
      <w:pPr>
        <w:spacing w:line="360" w:lineRule="auto"/>
        <w:ind w:firstLine="480" w:firstLineChars="200"/>
        <w:jc w:val="both"/>
        <w:outlineLvl w:val="9"/>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lang w:val="en-US" w:eastAsia="zh-CN"/>
        </w:rPr>
        <w:t>4、有效递交投标文件的供应商不足三家时，采购人另行组织采购。</w:t>
      </w:r>
    </w:p>
    <w:p w14:paraId="2014DFBC">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5.平台技术问题咨询电话：95763。</w:t>
      </w:r>
    </w:p>
    <w:p w14:paraId="5F86D0F6">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val="0"/>
          <w:bCs/>
          <w:color w:val="auto"/>
          <w:sz w:val="24"/>
          <w:szCs w:val="20"/>
          <w:lang w:val="zh-CN" w:eastAsia="zh-CN"/>
        </w:rPr>
      </w:pPr>
      <w:bookmarkStart w:id="50" w:name="_Toc35393626"/>
      <w:bookmarkStart w:id="51" w:name="_Toc35393795"/>
      <w:bookmarkStart w:id="52" w:name="_Toc21735"/>
      <w:bookmarkStart w:id="53" w:name="_Toc5860"/>
      <w:r>
        <w:rPr>
          <w:rFonts w:hint="eastAsia" w:ascii="宋体" w:hAnsi="宋体" w:eastAsia="宋体" w:cs="宋体"/>
          <w:b w:val="0"/>
          <w:bCs/>
          <w:color w:val="auto"/>
          <w:sz w:val="24"/>
          <w:szCs w:val="20"/>
          <w:lang w:val="zh-CN" w:eastAsia="zh-CN"/>
        </w:rPr>
        <w:t>十</w:t>
      </w:r>
      <w:r>
        <w:rPr>
          <w:rFonts w:hint="eastAsia" w:ascii="宋体" w:hAnsi="宋体" w:eastAsia="宋体" w:cs="宋体"/>
          <w:b w:val="0"/>
          <w:bCs/>
          <w:color w:val="auto"/>
          <w:sz w:val="24"/>
          <w:szCs w:val="20"/>
          <w:lang w:val="en-US" w:eastAsia="zh-CN"/>
        </w:rPr>
        <w:t>二</w:t>
      </w:r>
      <w:r>
        <w:rPr>
          <w:rFonts w:hint="eastAsia" w:ascii="宋体" w:hAnsi="宋体" w:eastAsia="宋体" w:cs="宋体"/>
          <w:b w:val="0"/>
          <w:bCs/>
          <w:color w:val="auto"/>
          <w:sz w:val="24"/>
          <w:szCs w:val="20"/>
          <w:lang w:val="zh-CN" w:eastAsia="zh-CN"/>
        </w:rPr>
        <w:t>、</w:t>
      </w:r>
      <w:bookmarkEnd w:id="50"/>
      <w:bookmarkEnd w:id="51"/>
      <w:bookmarkStart w:id="54" w:name="_Toc35393796"/>
      <w:bookmarkStart w:id="55" w:name="_Toc28359085"/>
      <w:bookmarkStart w:id="56" w:name="_Toc35393627"/>
      <w:bookmarkStart w:id="57" w:name="_Toc28359008"/>
      <w:r>
        <w:rPr>
          <w:rFonts w:hint="eastAsia" w:ascii="宋体" w:hAnsi="宋体" w:eastAsia="宋体" w:cs="宋体"/>
          <w:b w:val="0"/>
          <w:bCs/>
          <w:color w:val="auto"/>
          <w:sz w:val="24"/>
          <w:szCs w:val="20"/>
          <w:lang w:val="zh-CN" w:eastAsia="zh-CN"/>
        </w:rPr>
        <w:t>对本次招标提出询问，请按以下方式联系</w:t>
      </w:r>
      <w:bookmarkEnd w:id="54"/>
      <w:bookmarkEnd w:id="55"/>
      <w:bookmarkEnd w:id="56"/>
      <w:bookmarkEnd w:id="57"/>
      <w:r>
        <w:rPr>
          <w:rFonts w:hint="eastAsia" w:ascii="宋体" w:hAnsi="宋体" w:eastAsia="宋体" w:cs="宋体"/>
          <w:b w:val="0"/>
          <w:bCs/>
          <w:color w:val="auto"/>
          <w:sz w:val="24"/>
          <w:szCs w:val="20"/>
          <w:lang w:val="zh-CN" w:eastAsia="zh-CN"/>
        </w:rPr>
        <w:t>：</w:t>
      </w:r>
      <w:bookmarkEnd w:id="52"/>
      <w:bookmarkEnd w:id="53"/>
    </w:p>
    <w:p w14:paraId="32A865FC">
      <w:pPr>
        <w:pStyle w:val="19"/>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bookmarkStart w:id="58" w:name="_Toc28359086"/>
      <w:bookmarkStart w:id="59" w:name="_Toc28359009"/>
      <w:r>
        <w:rPr>
          <w:rFonts w:hint="eastAsia" w:ascii="宋体" w:hAnsi="宋体" w:eastAsia="宋体" w:cs="宋体"/>
          <w:color w:val="auto"/>
          <w:sz w:val="24"/>
          <w:szCs w:val="24"/>
          <w:shd w:val="clear" w:color="auto" w:fill="FFFFFF"/>
        </w:rPr>
        <w:t>1.</w:t>
      </w:r>
      <w:r>
        <w:rPr>
          <w:rFonts w:hint="eastAsia" w:eastAsia="宋体" w:cs="宋体"/>
          <w:color w:val="auto"/>
          <w:sz w:val="24"/>
          <w:szCs w:val="24"/>
          <w:shd w:val="clear" w:color="auto" w:fill="FFFFFF"/>
          <w:lang w:eastAsia="zh-CN"/>
        </w:rPr>
        <w:t>采购人</w:t>
      </w:r>
      <w:r>
        <w:rPr>
          <w:rFonts w:hint="eastAsia" w:ascii="宋体" w:hAnsi="宋体" w:eastAsia="宋体" w:cs="宋体"/>
          <w:color w:val="auto"/>
          <w:sz w:val="24"/>
          <w:szCs w:val="24"/>
          <w:shd w:val="clear" w:color="auto" w:fill="FFFFFF"/>
        </w:rPr>
        <w:t>信息</w:t>
      </w:r>
    </w:p>
    <w:p w14:paraId="69C5AF4A">
      <w:pPr>
        <w:keepNext w:val="0"/>
        <w:keepLines w:val="0"/>
        <w:pageBreakBefore w:val="0"/>
        <w:widowControl w:val="0"/>
        <w:kinsoku/>
        <w:wordWrap/>
        <w:overflowPunct/>
        <w:topLinePunct w:val="0"/>
        <w:bidi w:val="0"/>
        <w:snapToGrid/>
        <w:spacing w:line="360" w:lineRule="auto"/>
        <w:ind w:left="0" w:leftChars="0" w:firstLine="480" w:firstLineChars="200"/>
        <w:jc w:val="left"/>
        <w:rPr>
          <w:rFonts w:ascii="宋体" w:hAnsi="宋体" w:eastAsia="宋体" w:cs="宋体"/>
          <w:color w:val="auto"/>
          <w:sz w:val="24"/>
          <w:highlight w:val="none"/>
        </w:rPr>
      </w:pPr>
      <w:r>
        <w:rPr>
          <w:rFonts w:hint="eastAsia" w:ascii="宋体" w:hAnsi="宋体" w:eastAsia="宋体" w:cs="宋体"/>
          <w:color w:val="auto"/>
          <w:sz w:val="24"/>
          <w:szCs w:val="24"/>
          <w:shd w:val="clear" w:color="auto" w:fill="FFFFFF"/>
        </w:rPr>
        <w:t>名称:</w:t>
      </w:r>
      <w:r>
        <w:rPr>
          <w:rFonts w:hint="eastAsia" w:ascii="宋体" w:hAnsi="宋体" w:eastAsia="宋体" w:cs="宋体"/>
          <w:color w:val="auto"/>
          <w:sz w:val="24"/>
          <w:highlight w:val="none"/>
          <w:lang w:eastAsia="zh-CN"/>
        </w:rPr>
        <w:t>吉林省长春市人民检察院</w:t>
      </w:r>
      <w:r>
        <w:rPr>
          <w:rFonts w:hint="eastAsia" w:ascii="宋体" w:hAnsi="宋体" w:eastAsia="宋体" w:cs="宋体"/>
          <w:color w:val="auto"/>
          <w:sz w:val="24"/>
          <w:highlight w:val="none"/>
        </w:rPr>
        <w:t>　　　　　　　　　　　</w:t>
      </w:r>
    </w:p>
    <w:p w14:paraId="025B4BC6">
      <w:pPr>
        <w:keepNext w:val="0"/>
        <w:keepLines w:val="0"/>
        <w:pageBreakBefore w:val="0"/>
        <w:widowControl w:val="0"/>
        <w:kinsoku/>
        <w:wordWrap/>
        <w:overflowPunct/>
        <w:topLinePunct w:val="0"/>
        <w:bidi w:val="0"/>
        <w:snapToGrid/>
        <w:spacing w:line="360" w:lineRule="auto"/>
        <w:ind w:left="0" w:leftChars="0"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地址：吉林省长春市南环城路3999号</w:t>
      </w:r>
    </w:p>
    <w:p w14:paraId="15C01C21">
      <w:pPr>
        <w:keepNext w:val="0"/>
        <w:keepLines w:val="0"/>
        <w:pageBreakBefore w:val="0"/>
        <w:widowControl w:val="0"/>
        <w:kinsoku/>
        <w:wordWrap/>
        <w:overflowPunct/>
        <w:topLinePunct w:val="0"/>
        <w:bidi w:val="0"/>
        <w:snapToGrid/>
        <w:spacing w:line="360" w:lineRule="auto"/>
        <w:ind w:left="0" w:leftChars="0"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联系人：汲寿奎</w:t>
      </w:r>
    </w:p>
    <w:p w14:paraId="6A54FC62">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highlight w:val="none"/>
        </w:rPr>
        <w:t>联系方式：15568866372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办公电话）</w:t>
      </w:r>
      <w:r>
        <w:rPr>
          <w:rFonts w:hint="eastAsia" w:ascii="宋体" w:hAnsi="宋体" w:eastAsia="宋体" w:cs="宋体"/>
          <w:color w:val="auto"/>
          <w:sz w:val="24"/>
          <w:szCs w:val="24"/>
          <w:shd w:val="clear" w:color="auto" w:fill="FFFFFF"/>
        </w:rPr>
        <w:t>　　</w:t>
      </w:r>
    </w:p>
    <w:p w14:paraId="531A0DBD">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eastAsia="宋体" w:cs="宋体"/>
          <w:color w:val="auto"/>
          <w:sz w:val="24"/>
          <w:szCs w:val="24"/>
          <w:shd w:val="clear" w:color="auto" w:fill="FFFFFF"/>
          <w:lang w:eastAsia="zh-CN"/>
        </w:rPr>
        <w:t>采购代理机构</w:t>
      </w:r>
      <w:r>
        <w:rPr>
          <w:rFonts w:hint="eastAsia" w:ascii="宋体" w:hAnsi="宋体" w:eastAsia="宋体" w:cs="宋体"/>
          <w:color w:val="auto"/>
          <w:sz w:val="24"/>
          <w:szCs w:val="24"/>
          <w:shd w:val="clear" w:color="auto" w:fill="FFFFFF"/>
        </w:rPr>
        <w:t>信息</w:t>
      </w:r>
      <w:bookmarkEnd w:id="58"/>
      <w:bookmarkEnd w:id="59"/>
    </w:p>
    <w:p w14:paraId="73AE348E">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名称：吉林省中基筑城项目管理有限公司</w:t>
      </w:r>
    </w:p>
    <w:p w14:paraId="524A4679">
      <w:pPr>
        <w:pStyle w:val="19"/>
        <w:shd w:val="clear" w:color="auto" w:fill="FFFFFF"/>
        <w:spacing w:before="0" w:beforeAutospacing="0" w:after="0" w:afterAutospacing="0" w:line="360" w:lineRule="auto"/>
        <w:ind w:firstLine="436" w:firstLineChars="200"/>
        <w:rPr>
          <w:rFonts w:hint="eastAsia" w:ascii="宋体" w:hAnsi="宋体" w:eastAsia="宋体" w:cs="宋体"/>
          <w:color w:val="auto"/>
          <w:spacing w:val="-11"/>
          <w:sz w:val="24"/>
          <w:szCs w:val="24"/>
          <w:shd w:val="clear" w:color="auto" w:fill="FFFFFF"/>
        </w:rPr>
      </w:pPr>
      <w:r>
        <w:rPr>
          <w:rFonts w:hint="eastAsia" w:ascii="宋体" w:hAnsi="宋体" w:eastAsia="宋体" w:cs="宋体"/>
          <w:color w:val="auto"/>
          <w:spacing w:val="-11"/>
          <w:sz w:val="24"/>
          <w:szCs w:val="24"/>
          <w:shd w:val="clear" w:color="auto" w:fill="FFFFFF"/>
        </w:rPr>
        <w:t>地址：长春市朝阳区卫星路7440号远创国际2、3号楼1909室</w:t>
      </w:r>
    </w:p>
    <w:p w14:paraId="5EF36481">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联系方式：</w:t>
      </w:r>
      <w:bookmarkStart w:id="60" w:name="_Toc28359010"/>
      <w:bookmarkStart w:id="61" w:name="_Toc28359087"/>
      <w:r>
        <w:rPr>
          <w:rFonts w:hint="eastAsia" w:ascii="宋体" w:hAnsi="宋体" w:eastAsia="宋体" w:cs="宋体"/>
          <w:color w:val="auto"/>
          <w:sz w:val="24"/>
          <w:szCs w:val="24"/>
          <w:shd w:val="clear" w:color="auto" w:fill="FFFFFF"/>
        </w:rPr>
        <w:t>0431-80541923</w:t>
      </w:r>
    </w:p>
    <w:p w14:paraId="59A78423">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3.项目联系方式</w:t>
      </w:r>
      <w:bookmarkEnd w:id="60"/>
      <w:bookmarkEnd w:id="61"/>
    </w:p>
    <w:p w14:paraId="7F183E31">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项目联系人：马宁</w:t>
      </w:r>
    </w:p>
    <w:p w14:paraId="727A9AE0">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电　话：0431-80541923</w:t>
      </w:r>
    </w:p>
    <w:p w14:paraId="2ACB5647">
      <w:pPr>
        <w:pStyle w:val="19"/>
        <w:shd w:val="clear" w:color="auto" w:fill="FFFFFF"/>
        <w:spacing w:before="0" w:beforeAutospacing="0" w:after="0" w:afterAutospacing="0" w:line="360" w:lineRule="auto"/>
        <w:ind w:firstLine="480" w:firstLineChars="200"/>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shd w:val="clear" w:color="auto" w:fill="FFFFFF"/>
        </w:rPr>
        <w:t>十</w:t>
      </w:r>
      <w:r>
        <w:rPr>
          <w:rFonts w:hint="eastAsia" w:eastAsia="宋体" w:cs="宋体"/>
          <w:b w:val="0"/>
          <w:bCs w:val="0"/>
          <w:color w:val="auto"/>
          <w:sz w:val="24"/>
          <w:szCs w:val="24"/>
          <w:shd w:val="clear" w:color="auto" w:fill="FFFFFF"/>
          <w:lang w:val="en-US" w:eastAsia="zh-CN"/>
        </w:rPr>
        <w:t>三</w:t>
      </w:r>
      <w:r>
        <w:rPr>
          <w:rFonts w:hint="eastAsia" w:ascii="宋体" w:hAnsi="宋体" w:eastAsia="宋体" w:cs="宋体"/>
          <w:b w:val="0"/>
          <w:bCs w:val="0"/>
          <w:color w:val="auto"/>
          <w:sz w:val="24"/>
          <w:szCs w:val="24"/>
          <w:shd w:val="clear" w:color="auto" w:fill="FFFFFF"/>
        </w:rPr>
        <w:t>、代理机构账户信息：</w:t>
      </w:r>
    </w:p>
    <w:p w14:paraId="435D49D9">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zh-CN"/>
        </w:rPr>
        <w:t>开户行:</w:t>
      </w:r>
      <w:r>
        <w:rPr>
          <w:rFonts w:hint="eastAsia" w:ascii="宋体" w:hAnsi="宋体" w:eastAsia="宋体" w:cs="宋体"/>
          <w:color w:val="auto"/>
          <w:sz w:val="24"/>
          <w:szCs w:val="24"/>
          <w:shd w:val="clear" w:color="auto" w:fill="FFFFFF"/>
        </w:rPr>
        <w:t>中国农业银行股份有限公司长春北安路支行</w:t>
      </w:r>
    </w:p>
    <w:p w14:paraId="7CCEDD9A">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开户行行号:103241018306</w:t>
      </w:r>
    </w:p>
    <w:p w14:paraId="5E5084F7">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zh-CN"/>
        </w:rPr>
        <w:t>账户名称:</w:t>
      </w:r>
      <w:r>
        <w:rPr>
          <w:rFonts w:hint="eastAsia" w:ascii="宋体" w:hAnsi="宋体" w:eastAsia="宋体" w:cs="宋体"/>
          <w:color w:val="auto"/>
          <w:sz w:val="24"/>
          <w:szCs w:val="24"/>
          <w:shd w:val="clear" w:color="auto" w:fill="FFFFFF"/>
        </w:rPr>
        <w:t>吉林省中基筑城项目管理有限公司</w:t>
      </w:r>
    </w:p>
    <w:p w14:paraId="4145C464">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shd w:val="clear" w:color="auto" w:fill="FFFFFF"/>
        </w:rPr>
        <w:sectPr>
          <w:footerReference r:id="rId4" w:type="default"/>
          <w:pgSz w:w="11906" w:h="16838"/>
          <w:pgMar w:top="1134" w:right="1440" w:bottom="1134" w:left="1440" w:header="567" w:footer="567"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宋体" w:hAnsi="宋体" w:eastAsia="宋体" w:cs="宋体"/>
          <w:color w:val="auto"/>
          <w:sz w:val="24"/>
          <w:szCs w:val="24"/>
          <w:shd w:val="clear" w:color="auto" w:fill="FFFFFF"/>
        </w:rPr>
        <w:t>账号：07100001040009943</w:t>
      </w:r>
    </w:p>
    <w:p w14:paraId="58B62224">
      <w:pPr>
        <w:spacing w:before="140" w:line="222" w:lineRule="auto"/>
        <w:jc w:val="center"/>
        <w:outlineLvl w:val="0"/>
        <w:rPr>
          <w:rFonts w:ascii="宋体" w:hAnsi="宋体" w:eastAsia="宋体" w:cs="宋体"/>
          <w:color w:val="auto"/>
          <w:sz w:val="43"/>
          <w:szCs w:val="43"/>
        </w:rPr>
      </w:pPr>
      <w:bookmarkStart w:id="62" w:name="_Toc2670"/>
      <w:r>
        <w:rPr>
          <w:rFonts w:ascii="宋体" w:hAnsi="宋体" w:eastAsia="宋体" w:cs="宋体"/>
          <w:b/>
          <w:bCs/>
          <w:color w:val="auto"/>
          <w:spacing w:val="4"/>
          <w:sz w:val="43"/>
          <w:szCs w:val="43"/>
        </w:rPr>
        <w:t>第二章供应商须知</w:t>
      </w:r>
      <w:bookmarkEnd w:id="62"/>
    </w:p>
    <w:p w14:paraId="5A7B0991">
      <w:pPr>
        <w:bidi w:val="0"/>
        <w:jc w:val="center"/>
        <w:rPr>
          <w:sz w:val="32"/>
          <w:szCs w:val="36"/>
        </w:rPr>
      </w:pPr>
      <w:bookmarkStart w:id="63" w:name="_Toc420"/>
      <w:r>
        <w:rPr>
          <w:sz w:val="32"/>
          <w:szCs w:val="36"/>
        </w:rPr>
        <w:t>供应商须知前附表</w:t>
      </w:r>
      <w:bookmarkEnd w:id="63"/>
    </w:p>
    <w:tbl>
      <w:tblPr>
        <w:tblStyle w:val="46"/>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2294"/>
        <w:gridCol w:w="7182"/>
      </w:tblGrid>
      <w:tr w14:paraId="60A3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01" w:type="dxa"/>
            <w:vAlign w:val="center"/>
          </w:tcPr>
          <w:p w14:paraId="10498574">
            <w:pPr>
              <w:bidi w:val="0"/>
              <w:spacing w:line="360" w:lineRule="auto"/>
              <w:jc w:val="both"/>
              <w:rPr>
                <w:color w:val="auto"/>
                <w:sz w:val="21"/>
                <w:szCs w:val="21"/>
              </w:rPr>
            </w:pPr>
            <w:r>
              <w:rPr>
                <w:color w:val="auto"/>
                <w:sz w:val="21"/>
                <w:szCs w:val="21"/>
              </w:rPr>
              <w:t>序号</w:t>
            </w:r>
          </w:p>
        </w:tc>
        <w:tc>
          <w:tcPr>
            <w:tcW w:w="2294" w:type="dxa"/>
            <w:vAlign w:val="center"/>
          </w:tcPr>
          <w:p w14:paraId="1C25753F">
            <w:pPr>
              <w:bidi w:val="0"/>
              <w:spacing w:line="360" w:lineRule="auto"/>
              <w:jc w:val="both"/>
              <w:rPr>
                <w:color w:val="auto"/>
                <w:sz w:val="21"/>
                <w:szCs w:val="21"/>
              </w:rPr>
            </w:pPr>
            <w:r>
              <w:rPr>
                <w:color w:val="auto"/>
                <w:sz w:val="21"/>
                <w:szCs w:val="21"/>
              </w:rPr>
              <w:t>名称</w:t>
            </w:r>
          </w:p>
        </w:tc>
        <w:tc>
          <w:tcPr>
            <w:tcW w:w="7182" w:type="dxa"/>
            <w:vAlign w:val="center"/>
          </w:tcPr>
          <w:p w14:paraId="4A71F8BB">
            <w:pPr>
              <w:bidi w:val="0"/>
              <w:spacing w:line="360" w:lineRule="auto"/>
              <w:jc w:val="both"/>
              <w:rPr>
                <w:color w:val="auto"/>
                <w:sz w:val="21"/>
                <w:szCs w:val="21"/>
              </w:rPr>
            </w:pPr>
            <w:r>
              <w:rPr>
                <w:color w:val="auto"/>
                <w:sz w:val="21"/>
                <w:szCs w:val="21"/>
              </w:rPr>
              <w:t>编列内容</w:t>
            </w:r>
          </w:p>
        </w:tc>
      </w:tr>
      <w:tr w14:paraId="78F66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901" w:type="dxa"/>
            <w:vAlign w:val="center"/>
          </w:tcPr>
          <w:p w14:paraId="61EB4992">
            <w:pPr>
              <w:bidi w:val="0"/>
              <w:spacing w:line="360" w:lineRule="auto"/>
              <w:jc w:val="both"/>
              <w:rPr>
                <w:color w:val="auto"/>
                <w:sz w:val="21"/>
                <w:szCs w:val="21"/>
              </w:rPr>
            </w:pPr>
          </w:p>
          <w:p w14:paraId="238F4272">
            <w:pPr>
              <w:bidi w:val="0"/>
              <w:spacing w:line="360" w:lineRule="auto"/>
              <w:jc w:val="both"/>
              <w:rPr>
                <w:color w:val="auto"/>
                <w:sz w:val="21"/>
                <w:szCs w:val="21"/>
              </w:rPr>
            </w:pPr>
          </w:p>
          <w:p w14:paraId="1AA18AA2">
            <w:pPr>
              <w:bidi w:val="0"/>
              <w:spacing w:line="360" w:lineRule="auto"/>
              <w:jc w:val="both"/>
              <w:rPr>
                <w:color w:val="auto"/>
                <w:sz w:val="21"/>
                <w:szCs w:val="21"/>
              </w:rPr>
            </w:pPr>
            <w:r>
              <w:rPr>
                <w:color w:val="auto"/>
                <w:sz w:val="21"/>
                <w:szCs w:val="21"/>
              </w:rPr>
              <w:t>1</w:t>
            </w:r>
          </w:p>
        </w:tc>
        <w:tc>
          <w:tcPr>
            <w:tcW w:w="2294" w:type="dxa"/>
            <w:vAlign w:val="center"/>
          </w:tcPr>
          <w:p w14:paraId="3B9C3A6C">
            <w:pPr>
              <w:bidi w:val="0"/>
              <w:spacing w:line="360" w:lineRule="auto"/>
              <w:jc w:val="both"/>
              <w:rPr>
                <w:color w:val="auto"/>
                <w:sz w:val="21"/>
                <w:szCs w:val="21"/>
              </w:rPr>
            </w:pPr>
          </w:p>
          <w:p w14:paraId="0E60DFE6">
            <w:pPr>
              <w:bidi w:val="0"/>
              <w:spacing w:line="360" w:lineRule="auto"/>
              <w:jc w:val="both"/>
              <w:rPr>
                <w:color w:val="auto"/>
                <w:sz w:val="21"/>
                <w:szCs w:val="21"/>
              </w:rPr>
            </w:pPr>
          </w:p>
          <w:p w14:paraId="7EDC8B03">
            <w:pPr>
              <w:bidi w:val="0"/>
              <w:spacing w:line="360" w:lineRule="auto"/>
              <w:jc w:val="both"/>
              <w:rPr>
                <w:color w:val="auto"/>
                <w:sz w:val="21"/>
                <w:szCs w:val="21"/>
              </w:rPr>
            </w:pPr>
            <w:r>
              <w:rPr>
                <w:color w:val="auto"/>
                <w:sz w:val="21"/>
                <w:szCs w:val="21"/>
              </w:rPr>
              <w:t>采购人</w:t>
            </w:r>
          </w:p>
        </w:tc>
        <w:tc>
          <w:tcPr>
            <w:tcW w:w="7182" w:type="dxa"/>
            <w:vAlign w:val="center"/>
          </w:tcPr>
          <w:p w14:paraId="02171298">
            <w:pPr>
              <w:bidi w:val="0"/>
              <w:spacing w:line="360" w:lineRule="auto"/>
              <w:jc w:val="both"/>
              <w:rPr>
                <w:rFonts w:hint="eastAsia"/>
                <w:color w:val="auto"/>
                <w:sz w:val="21"/>
                <w:szCs w:val="21"/>
                <w:lang w:eastAsia="zh-CN"/>
              </w:rPr>
            </w:pPr>
            <w:r>
              <w:rPr>
                <w:rFonts w:hint="eastAsia"/>
                <w:color w:val="auto"/>
                <w:sz w:val="21"/>
                <w:szCs w:val="21"/>
                <w:lang w:eastAsia="zh-CN"/>
              </w:rPr>
              <w:t>名称：吉林省长春市人民检察院　　　　　　　　　　　</w:t>
            </w:r>
          </w:p>
          <w:p w14:paraId="4A0D91D1">
            <w:pPr>
              <w:bidi w:val="0"/>
              <w:spacing w:line="360" w:lineRule="auto"/>
              <w:jc w:val="both"/>
              <w:rPr>
                <w:rFonts w:hint="eastAsia"/>
                <w:color w:val="auto"/>
                <w:sz w:val="21"/>
                <w:szCs w:val="21"/>
                <w:lang w:eastAsia="zh-CN"/>
              </w:rPr>
            </w:pPr>
            <w:r>
              <w:rPr>
                <w:rFonts w:hint="eastAsia"/>
                <w:color w:val="auto"/>
                <w:sz w:val="21"/>
                <w:szCs w:val="21"/>
                <w:lang w:eastAsia="zh-CN"/>
              </w:rPr>
              <w:t>地址：吉林省长春市南环城路3999号</w:t>
            </w:r>
          </w:p>
          <w:p w14:paraId="16B9A239">
            <w:pPr>
              <w:bidi w:val="0"/>
              <w:spacing w:line="360" w:lineRule="auto"/>
              <w:jc w:val="both"/>
              <w:rPr>
                <w:rFonts w:hint="eastAsia"/>
                <w:color w:val="auto"/>
                <w:sz w:val="21"/>
                <w:szCs w:val="21"/>
                <w:lang w:eastAsia="zh-CN"/>
              </w:rPr>
            </w:pPr>
            <w:r>
              <w:rPr>
                <w:rFonts w:hint="eastAsia"/>
                <w:color w:val="auto"/>
                <w:sz w:val="21"/>
                <w:szCs w:val="21"/>
                <w:lang w:eastAsia="zh-CN"/>
              </w:rPr>
              <w:t>联系人：汲寿奎</w:t>
            </w:r>
          </w:p>
          <w:p w14:paraId="6307FEFD">
            <w:pPr>
              <w:bidi w:val="0"/>
              <w:spacing w:line="360" w:lineRule="auto"/>
              <w:jc w:val="both"/>
              <w:rPr>
                <w:rFonts w:hint="eastAsia"/>
                <w:color w:val="auto"/>
                <w:sz w:val="21"/>
                <w:szCs w:val="21"/>
                <w:lang w:eastAsia="zh-CN"/>
              </w:rPr>
            </w:pPr>
            <w:r>
              <w:rPr>
                <w:rFonts w:hint="eastAsia"/>
                <w:color w:val="auto"/>
                <w:sz w:val="21"/>
                <w:szCs w:val="21"/>
                <w:lang w:eastAsia="zh-CN"/>
              </w:rPr>
              <w:t>联系方式：15568866372（办公电话）</w:t>
            </w:r>
          </w:p>
        </w:tc>
      </w:tr>
      <w:tr w14:paraId="0EB17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901" w:type="dxa"/>
            <w:vAlign w:val="center"/>
          </w:tcPr>
          <w:p w14:paraId="5E98F027">
            <w:pPr>
              <w:bidi w:val="0"/>
              <w:spacing w:line="360" w:lineRule="auto"/>
              <w:jc w:val="both"/>
              <w:rPr>
                <w:color w:val="auto"/>
                <w:sz w:val="21"/>
                <w:szCs w:val="21"/>
              </w:rPr>
            </w:pPr>
          </w:p>
          <w:p w14:paraId="5042B06D">
            <w:pPr>
              <w:bidi w:val="0"/>
              <w:spacing w:line="360" w:lineRule="auto"/>
              <w:jc w:val="both"/>
              <w:rPr>
                <w:color w:val="auto"/>
                <w:sz w:val="21"/>
                <w:szCs w:val="21"/>
              </w:rPr>
            </w:pPr>
            <w:r>
              <w:rPr>
                <w:color w:val="auto"/>
                <w:sz w:val="21"/>
                <w:szCs w:val="21"/>
              </w:rPr>
              <w:t>2</w:t>
            </w:r>
          </w:p>
        </w:tc>
        <w:tc>
          <w:tcPr>
            <w:tcW w:w="2294" w:type="dxa"/>
            <w:vAlign w:val="center"/>
          </w:tcPr>
          <w:p w14:paraId="30822261">
            <w:pPr>
              <w:bidi w:val="0"/>
              <w:spacing w:line="360" w:lineRule="auto"/>
              <w:jc w:val="both"/>
              <w:rPr>
                <w:color w:val="auto"/>
                <w:sz w:val="21"/>
                <w:szCs w:val="21"/>
              </w:rPr>
            </w:pPr>
          </w:p>
          <w:p w14:paraId="58400593">
            <w:pPr>
              <w:bidi w:val="0"/>
              <w:spacing w:line="360" w:lineRule="auto"/>
              <w:jc w:val="both"/>
              <w:rPr>
                <w:color w:val="auto"/>
                <w:sz w:val="21"/>
                <w:szCs w:val="21"/>
              </w:rPr>
            </w:pPr>
            <w:r>
              <w:rPr>
                <w:color w:val="auto"/>
                <w:sz w:val="21"/>
                <w:szCs w:val="21"/>
              </w:rPr>
              <w:t>采购代理机构</w:t>
            </w:r>
          </w:p>
        </w:tc>
        <w:tc>
          <w:tcPr>
            <w:tcW w:w="7182" w:type="dxa"/>
            <w:vAlign w:val="center"/>
          </w:tcPr>
          <w:p w14:paraId="01E0BB75">
            <w:pPr>
              <w:bidi w:val="0"/>
              <w:spacing w:line="360" w:lineRule="auto"/>
              <w:jc w:val="both"/>
              <w:rPr>
                <w:rFonts w:hint="eastAsia" w:eastAsia="宋体"/>
                <w:color w:val="auto"/>
                <w:sz w:val="21"/>
                <w:szCs w:val="21"/>
                <w:lang w:eastAsia="zh-CN"/>
              </w:rPr>
            </w:pPr>
            <w:r>
              <w:rPr>
                <w:rFonts w:hint="eastAsia"/>
                <w:color w:val="auto"/>
                <w:sz w:val="21"/>
                <w:szCs w:val="21"/>
              </w:rPr>
              <w:t>名称：</w:t>
            </w:r>
            <w:r>
              <w:rPr>
                <w:rFonts w:hint="eastAsia"/>
                <w:color w:val="auto"/>
                <w:sz w:val="21"/>
                <w:szCs w:val="21"/>
                <w:lang w:eastAsia="zh-CN"/>
              </w:rPr>
              <w:t>吉林省中基筑城项目管理有限公司</w:t>
            </w:r>
          </w:p>
          <w:p w14:paraId="4CAAC923">
            <w:pPr>
              <w:bidi w:val="0"/>
              <w:spacing w:line="360" w:lineRule="auto"/>
              <w:jc w:val="both"/>
              <w:rPr>
                <w:rFonts w:hint="eastAsia" w:eastAsia="宋体"/>
                <w:color w:val="auto"/>
                <w:sz w:val="21"/>
                <w:szCs w:val="21"/>
                <w:lang w:eastAsia="zh-CN"/>
              </w:rPr>
            </w:pPr>
            <w:r>
              <w:rPr>
                <w:rFonts w:hint="eastAsia"/>
                <w:color w:val="auto"/>
                <w:sz w:val="21"/>
                <w:szCs w:val="21"/>
              </w:rPr>
              <w:t>地址：</w:t>
            </w:r>
            <w:r>
              <w:rPr>
                <w:rFonts w:hint="eastAsia"/>
                <w:color w:val="auto"/>
                <w:sz w:val="21"/>
                <w:szCs w:val="21"/>
                <w:lang w:eastAsia="zh-CN"/>
              </w:rPr>
              <w:t>长春市朝阳区卫星路7440号远创国际2、3号楼1909室</w:t>
            </w:r>
          </w:p>
          <w:p w14:paraId="4C934580">
            <w:pPr>
              <w:bidi w:val="0"/>
              <w:spacing w:line="360" w:lineRule="auto"/>
              <w:jc w:val="both"/>
              <w:rPr>
                <w:rFonts w:hint="eastAsia"/>
                <w:color w:val="auto"/>
                <w:sz w:val="21"/>
                <w:szCs w:val="21"/>
              </w:rPr>
            </w:pPr>
            <w:r>
              <w:rPr>
                <w:rFonts w:hint="eastAsia"/>
                <w:color w:val="auto"/>
                <w:sz w:val="21"/>
                <w:szCs w:val="21"/>
              </w:rPr>
              <w:t>联系人：</w:t>
            </w:r>
            <w:r>
              <w:rPr>
                <w:rFonts w:hint="eastAsia"/>
                <w:color w:val="auto"/>
                <w:sz w:val="21"/>
                <w:szCs w:val="21"/>
                <w:lang w:val="en-US" w:eastAsia="zh-CN"/>
              </w:rPr>
              <w:t>马</w:t>
            </w:r>
            <w:r>
              <w:rPr>
                <w:rFonts w:hint="eastAsia"/>
                <w:color w:val="auto"/>
                <w:sz w:val="21"/>
                <w:szCs w:val="21"/>
              </w:rPr>
              <w:t>经理</w:t>
            </w:r>
          </w:p>
          <w:p w14:paraId="2A9065E6">
            <w:pPr>
              <w:bidi w:val="0"/>
              <w:spacing w:line="360" w:lineRule="auto"/>
              <w:jc w:val="both"/>
              <w:rPr>
                <w:color w:val="auto"/>
                <w:sz w:val="21"/>
                <w:szCs w:val="21"/>
              </w:rPr>
            </w:pPr>
            <w:r>
              <w:rPr>
                <w:rFonts w:hint="eastAsia"/>
                <w:color w:val="auto"/>
                <w:sz w:val="21"/>
                <w:szCs w:val="21"/>
              </w:rPr>
              <w:t>电话：0431-80541923</w:t>
            </w:r>
            <w:r>
              <w:rPr>
                <w:rFonts w:hint="eastAsia"/>
                <w:color w:val="auto"/>
                <w:sz w:val="21"/>
                <w:szCs w:val="21"/>
                <w:lang w:eastAsia="zh-CN"/>
              </w:rPr>
              <w:t>（</w:t>
            </w:r>
            <w:r>
              <w:rPr>
                <w:rFonts w:hint="eastAsia"/>
                <w:color w:val="auto"/>
                <w:sz w:val="21"/>
                <w:szCs w:val="21"/>
              </w:rPr>
              <w:t>办公电话）</w:t>
            </w:r>
          </w:p>
        </w:tc>
      </w:tr>
      <w:tr w14:paraId="30A77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01" w:type="dxa"/>
            <w:vAlign w:val="center"/>
          </w:tcPr>
          <w:p w14:paraId="544A1329">
            <w:pPr>
              <w:bidi w:val="0"/>
              <w:spacing w:line="360" w:lineRule="auto"/>
              <w:jc w:val="both"/>
              <w:rPr>
                <w:color w:val="auto"/>
                <w:sz w:val="21"/>
                <w:szCs w:val="21"/>
              </w:rPr>
            </w:pPr>
            <w:r>
              <w:rPr>
                <w:color w:val="auto"/>
                <w:sz w:val="21"/>
                <w:szCs w:val="21"/>
              </w:rPr>
              <w:t>3</w:t>
            </w:r>
          </w:p>
        </w:tc>
        <w:tc>
          <w:tcPr>
            <w:tcW w:w="2294" w:type="dxa"/>
            <w:vAlign w:val="center"/>
          </w:tcPr>
          <w:p w14:paraId="3448ACA7">
            <w:pPr>
              <w:bidi w:val="0"/>
              <w:spacing w:line="360" w:lineRule="auto"/>
              <w:jc w:val="both"/>
              <w:rPr>
                <w:color w:val="auto"/>
                <w:sz w:val="21"/>
                <w:szCs w:val="21"/>
              </w:rPr>
            </w:pPr>
            <w:r>
              <w:rPr>
                <w:color w:val="auto"/>
                <w:sz w:val="21"/>
                <w:szCs w:val="21"/>
              </w:rPr>
              <w:t>项目名称及项目编号</w:t>
            </w:r>
          </w:p>
        </w:tc>
        <w:tc>
          <w:tcPr>
            <w:tcW w:w="7182" w:type="dxa"/>
            <w:vAlign w:val="center"/>
          </w:tcPr>
          <w:p w14:paraId="40AB16D5">
            <w:pPr>
              <w:bidi w:val="0"/>
              <w:spacing w:line="360" w:lineRule="auto"/>
              <w:jc w:val="both"/>
              <w:rPr>
                <w:rFonts w:eastAsia="宋体"/>
                <w:color w:val="auto"/>
                <w:sz w:val="21"/>
                <w:szCs w:val="21"/>
              </w:rPr>
            </w:pPr>
            <w:r>
              <w:rPr>
                <w:rFonts w:eastAsia="宋体"/>
                <w:color w:val="auto"/>
                <w:sz w:val="21"/>
                <w:szCs w:val="21"/>
              </w:rPr>
              <w:t>项目名称：</w:t>
            </w:r>
            <w:r>
              <w:rPr>
                <w:rFonts w:hint="eastAsia"/>
                <w:color w:val="auto"/>
                <w:sz w:val="21"/>
                <w:szCs w:val="21"/>
                <w:lang w:eastAsia="zh-CN"/>
              </w:rPr>
              <w:t>长春市人民检察院消防排烟、烟感报警系统改造工程</w:t>
            </w:r>
          </w:p>
          <w:p w14:paraId="78DBC50B">
            <w:pPr>
              <w:bidi w:val="0"/>
              <w:spacing w:line="360" w:lineRule="auto"/>
              <w:jc w:val="both"/>
              <w:rPr>
                <w:rFonts w:hint="eastAsia" w:eastAsia="宋体"/>
                <w:color w:val="auto"/>
                <w:sz w:val="21"/>
                <w:szCs w:val="21"/>
                <w:lang w:eastAsia="zh-CN"/>
              </w:rPr>
            </w:pPr>
            <w:r>
              <w:rPr>
                <w:rFonts w:eastAsia="宋体"/>
                <w:color w:val="auto"/>
                <w:sz w:val="21"/>
                <w:szCs w:val="21"/>
              </w:rPr>
              <w:t>项目编号：</w:t>
            </w:r>
            <w:r>
              <w:rPr>
                <w:rFonts w:hint="eastAsia"/>
                <w:color w:val="auto"/>
                <w:sz w:val="21"/>
                <w:szCs w:val="21"/>
                <w:lang w:val="en-US" w:eastAsia="zh-CN"/>
              </w:rPr>
              <w:t>采购计划-[2026]-04481号-ZJZB-2026-019</w:t>
            </w:r>
          </w:p>
        </w:tc>
      </w:tr>
      <w:tr w14:paraId="12C83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901" w:type="dxa"/>
            <w:vAlign w:val="center"/>
          </w:tcPr>
          <w:p w14:paraId="790DDC97">
            <w:pPr>
              <w:bidi w:val="0"/>
              <w:spacing w:line="360" w:lineRule="auto"/>
              <w:jc w:val="both"/>
              <w:rPr>
                <w:color w:val="auto"/>
                <w:sz w:val="21"/>
                <w:szCs w:val="21"/>
              </w:rPr>
            </w:pPr>
            <w:r>
              <w:rPr>
                <w:color w:val="auto"/>
                <w:sz w:val="21"/>
                <w:szCs w:val="21"/>
              </w:rPr>
              <w:t>4</w:t>
            </w:r>
          </w:p>
        </w:tc>
        <w:tc>
          <w:tcPr>
            <w:tcW w:w="2294" w:type="dxa"/>
            <w:vAlign w:val="center"/>
          </w:tcPr>
          <w:p w14:paraId="089ED3A5">
            <w:pPr>
              <w:bidi w:val="0"/>
              <w:spacing w:line="360" w:lineRule="auto"/>
              <w:jc w:val="both"/>
              <w:rPr>
                <w:color w:val="auto"/>
                <w:sz w:val="21"/>
                <w:szCs w:val="21"/>
              </w:rPr>
            </w:pPr>
            <w:r>
              <w:rPr>
                <w:color w:val="auto"/>
                <w:sz w:val="21"/>
                <w:szCs w:val="21"/>
              </w:rPr>
              <w:t>建设地点</w:t>
            </w:r>
          </w:p>
        </w:tc>
        <w:tc>
          <w:tcPr>
            <w:tcW w:w="7182" w:type="dxa"/>
            <w:vAlign w:val="center"/>
          </w:tcPr>
          <w:p w14:paraId="19332E5D">
            <w:pPr>
              <w:bidi w:val="0"/>
              <w:spacing w:line="360" w:lineRule="auto"/>
              <w:jc w:val="both"/>
              <w:rPr>
                <w:rFonts w:hint="default" w:eastAsia="宋体"/>
                <w:color w:val="auto"/>
                <w:sz w:val="21"/>
                <w:szCs w:val="21"/>
                <w:lang w:val="en-US" w:eastAsia="zh-CN"/>
              </w:rPr>
            </w:pPr>
            <w:r>
              <w:rPr>
                <w:rFonts w:hint="eastAsia"/>
                <w:color w:val="auto"/>
                <w:sz w:val="21"/>
                <w:szCs w:val="21"/>
                <w:lang w:val="en-US" w:eastAsia="zh-CN"/>
              </w:rPr>
              <w:t>吉林省长春市人民检察院</w:t>
            </w:r>
            <w:r>
              <w:rPr>
                <w:rFonts w:hint="default" w:eastAsia="宋体"/>
                <w:color w:val="auto"/>
                <w:sz w:val="21"/>
                <w:szCs w:val="21"/>
                <w:lang w:val="en-US" w:eastAsia="zh-CN"/>
              </w:rPr>
              <w:t>院内</w:t>
            </w:r>
          </w:p>
        </w:tc>
      </w:tr>
      <w:tr w14:paraId="167B2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901" w:type="dxa"/>
            <w:vAlign w:val="center"/>
          </w:tcPr>
          <w:p w14:paraId="2B9AB2EE">
            <w:pPr>
              <w:bidi w:val="0"/>
              <w:spacing w:line="360" w:lineRule="auto"/>
              <w:jc w:val="both"/>
              <w:rPr>
                <w:color w:val="auto"/>
                <w:sz w:val="21"/>
                <w:szCs w:val="21"/>
              </w:rPr>
            </w:pPr>
            <w:r>
              <w:rPr>
                <w:color w:val="auto"/>
                <w:sz w:val="21"/>
                <w:szCs w:val="21"/>
              </w:rPr>
              <w:t>5</w:t>
            </w:r>
          </w:p>
        </w:tc>
        <w:tc>
          <w:tcPr>
            <w:tcW w:w="2294" w:type="dxa"/>
            <w:shd w:val="clear" w:color="auto" w:fill="auto"/>
            <w:vAlign w:val="center"/>
          </w:tcPr>
          <w:p w14:paraId="68C8B957">
            <w:pPr>
              <w:bidi w:val="0"/>
              <w:spacing w:line="360" w:lineRule="auto"/>
              <w:jc w:val="both"/>
              <w:rPr>
                <w:color w:val="auto"/>
                <w:sz w:val="21"/>
                <w:szCs w:val="21"/>
                <w:lang w:val="en-US" w:eastAsia="en-US"/>
              </w:rPr>
            </w:pPr>
            <w:r>
              <w:rPr>
                <w:color w:val="auto"/>
                <w:sz w:val="21"/>
                <w:szCs w:val="21"/>
              </w:rPr>
              <w:t>采购需求</w:t>
            </w:r>
          </w:p>
        </w:tc>
        <w:tc>
          <w:tcPr>
            <w:tcW w:w="7182" w:type="dxa"/>
            <w:shd w:val="clear" w:color="auto" w:fill="auto"/>
            <w:vAlign w:val="center"/>
          </w:tcPr>
          <w:p w14:paraId="5BE9F27D">
            <w:pPr>
              <w:bidi w:val="0"/>
              <w:spacing w:line="360" w:lineRule="auto"/>
              <w:jc w:val="both"/>
              <w:rPr>
                <w:rFonts w:hint="eastAsia" w:eastAsia="宋体"/>
                <w:color w:val="auto"/>
                <w:sz w:val="21"/>
                <w:szCs w:val="21"/>
                <w:lang w:val="en-US" w:eastAsia="zh-CN"/>
              </w:rPr>
            </w:pPr>
            <w:r>
              <w:rPr>
                <w:rFonts w:hint="eastAsia"/>
                <w:color w:val="auto"/>
                <w:sz w:val="21"/>
                <w:szCs w:val="21"/>
                <w:lang w:eastAsia="zh-CN"/>
              </w:rPr>
              <w:t>详见工程量清单、图纸及现场踏勘情况。</w:t>
            </w:r>
          </w:p>
        </w:tc>
      </w:tr>
      <w:tr w14:paraId="375C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901" w:type="dxa"/>
            <w:vAlign w:val="center"/>
          </w:tcPr>
          <w:p w14:paraId="191A0A29">
            <w:pPr>
              <w:bidi w:val="0"/>
              <w:spacing w:line="360" w:lineRule="auto"/>
              <w:jc w:val="both"/>
              <w:rPr>
                <w:color w:val="auto"/>
                <w:sz w:val="21"/>
                <w:szCs w:val="21"/>
              </w:rPr>
            </w:pPr>
            <w:r>
              <w:rPr>
                <w:color w:val="auto"/>
                <w:sz w:val="21"/>
                <w:szCs w:val="21"/>
              </w:rPr>
              <w:t>6</w:t>
            </w:r>
          </w:p>
        </w:tc>
        <w:tc>
          <w:tcPr>
            <w:tcW w:w="2294" w:type="dxa"/>
            <w:shd w:val="clear" w:color="auto" w:fill="auto"/>
            <w:vAlign w:val="center"/>
          </w:tcPr>
          <w:p w14:paraId="5C6F7690">
            <w:pPr>
              <w:bidi w:val="0"/>
              <w:spacing w:line="360" w:lineRule="auto"/>
              <w:jc w:val="both"/>
              <w:rPr>
                <w:color w:val="auto"/>
                <w:sz w:val="21"/>
                <w:szCs w:val="21"/>
                <w:lang w:val="en-US" w:eastAsia="en-US"/>
              </w:rPr>
            </w:pPr>
            <w:r>
              <w:rPr>
                <w:color w:val="auto"/>
                <w:sz w:val="21"/>
                <w:szCs w:val="21"/>
              </w:rPr>
              <w:t>计划工期</w:t>
            </w:r>
          </w:p>
        </w:tc>
        <w:tc>
          <w:tcPr>
            <w:tcW w:w="7182" w:type="dxa"/>
            <w:shd w:val="clear" w:color="auto" w:fill="auto"/>
            <w:vAlign w:val="center"/>
          </w:tcPr>
          <w:p w14:paraId="5E3A5744">
            <w:pPr>
              <w:bidi w:val="0"/>
              <w:spacing w:line="360" w:lineRule="auto"/>
              <w:jc w:val="both"/>
              <w:rPr>
                <w:rFonts w:eastAsia="宋体"/>
                <w:color w:val="auto"/>
                <w:sz w:val="21"/>
                <w:szCs w:val="21"/>
                <w:lang w:val="en-US" w:eastAsia="en-US"/>
              </w:rPr>
            </w:pPr>
            <w:r>
              <w:rPr>
                <w:rFonts w:hint="eastAsia"/>
                <w:color w:val="auto"/>
                <w:sz w:val="21"/>
                <w:szCs w:val="21"/>
                <w:lang w:val="en-US" w:eastAsia="zh-CN"/>
              </w:rPr>
              <w:t>合同签订后45天内</w:t>
            </w:r>
          </w:p>
        </w:tc>
      </w:tr>
      <w:tr w14:paraId="0C435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901" w:type="dxa"/>
            <w:vAlign w:val="center"/>
          </w:tcPr>
          <w:p w14:paraId="45F3B75B">
            <w:pPr>
              <w:bidi w:val="0"/>
              <w:spacing w:line="360" w:lineRule="auto"/>
              <w:jc w:val="both"/>
              <w:rPr>
                <w:color w:val="auto"/>
                <w:sz w:val="21"/>
                <w:szCs w:val="21"/>
              </w:rPr>
            </w:pPr>
            <w:r>
              <w:rPr>
                <w:color w:val="auto"/>
                <w:sz w:val="21"/>
                <w:szCs w:val="21"/>
              </w:rPr>
              <w:t>7</w:t>
            </w:r>
          </w:p>
        </w:tc>
        <w:tc>
          <w:tcPr>
            <w:tcW w:w="2294" w:type="dxa"/>
            <w:shd w:val="clear" w:color="auto" w:fill="auto"/>
            <w:vAlign w:val="center"/>
          </w:tcPr>
          <w:p w14:paraId="145E208E">
            <w:pPr>
              <w:bidi w:val="0"/>
              <w:spacing w:line="360" w:lineRule="auto"/>
              <w:jc w:val="both"/>
              <w:rPr>
                <w:color w:val="auto"/>
                <w:sz w:val="21"/>
                <w:szCs w:val="21"/>
                <w:lang w:val="en-US" w:eastAsia="en-US"/>
              </w:rPr>
            </w:pPr>
            <w:r>
              <w:rPr>
                <w:color w:val="auto"/>
                <w:sz w:val="21"/>
                <w:szCs w:val="21"/>
              </w:rPr>
              <w:t>质量标准</w:t>
            </w:r>
          </w:p>
        </w:tc>
        <w:tc>
          <w:tcPr>
            <w:tcW w:w="7182" w:type="dxa"/>
            <w:shd w:val="clear" w:color="auto" w:fill="auto"/>
            <w:vAlign w:val="center"/>
          </w:tcPr>
          <w:p w14:paraId="6FB89F2F">
            <w:pPr>
              <w:bidi w:val="0"/>
              <w:spacing w:line="360" w:lineRule="auto"/>
              <w:jc w:val="both"/>
              <w:rPr>
                <w:rFonts w:hint="eastAsia" w:eastAsia="宋体"/>
                <w:color w:val="auto"/>
                <w:sz w:val="21"/>
                <w:szCs w:val="21"/>
                <w:lang w:val="en-US" w:eastAsia="zh-CN"/>
              </w:rPr>
            </w:pPr>
            <w:r>
              <w:rPr>
                <w:rFonts w:hint="eastAsia"/>
                <w:color w:val="auto"/>
                <w:sz w:val="21"/>
                <w:szCs w:val="21"/>
                <w:lang w:eastAsia="zh-CN"/>
              </w:rPr>
              <w:t>达到国家现行相关工程施工质量验收规范的合格工程，并确保通过消防专业服务机构验收</w:t>
            </w:r>
            <w:r>
              <w:rPr>
                <w:rFonts w:hint="eastAsia"/>
                <w:color w:val="auto"/>
                <w:sz w:val="21"/>
                <w:szCs w:val="21"/>
                <w:lang w:val="en-US" w:eastAsia="zh-CN"/>
              </w:rPr>
              <w:t>合格</w:t>
            </w:r>
            <w:r>
              <w:rPr>
                <w:rFonts w:hint="eastAsia"/>
                <w:color w:val="auto"/>
                <w:sz w:val="21"/>
                <w:szCs w:val="21"/>
                <w:lang w:eastAsia="zh-CN"/>
              </w:rPr>
              <w:t>。</w:t>
            </w:r>
          </w:p>
        </w:tc>
      </w:tr>
      <w:tr w14:paraId="764FF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jc w:val="center"/>
        </w:trPr>
        <w:tc>
          <w:tcPr>
            <w:tcW w:w="901" w:type="dxa"/>
            <w:vAlign w:val="center"/>
          </w:tcPr>
          <w:p w14:paraId="1F5BAF43">
            <w:pPr>
              <w:bidi w:val="0"/>
              <w:spacing w:line="360" w:lineRule="auto"/>
              <w:jc w:val="both"/>
              <w:rPr>
                <w:color w:val="auto"/>
                <w:sz w:val="21"/>
                <w:szCs w:val="21"/>
              </w:rPr>
            </w:pPr>
            <w:r>
              <w:rPr>
                <w:color w:val="auto"/>
                <w:sz w:val="21"/>
                <w:szCs w:val="21"/>
              </w:rPr>
              <w:t>8</w:t>
            </w:r>
          </w:p>
        </w:tc>
        <w:tc>
          <w:tcPr>
            <w:tcW w:w="2294" w:type="dxa"/>
            <w:shd w:val="clear" w:color="auto" w:fill="auto"/>
            <w:vAlign w:val="center"/>
          </w:tcPr>
          <w:p w14:paraId="102D5CC3">
            <w:pPr>
              <w:bidi w:val="0"/>
              <w:spacing w:line="360" w:lineRule="auto"/>
              <w:jc w:val="both"/>
              <w:rPr>
                <w:rFonts w:eastAsia="宋体" w:cs="Times New Roman"/>
                <w:color w:val="auto"/>
                <w:sz w:val="21"/>
                <w:szCs w:val="21"/>
              </w:rPr>
            </w:pPr>
          </w:p>
          <w:p w14:paraId="56BF5BD1">
            <w:pPr>
              <w:bidi w:val="0"/>
              <w:spacing w:line="360" w:lineRule="auto"/>
              <w:jc w:val="both"/>
              <w:rPr>
                <w:rFonts w:eastAsia="宋体" w:cs="Times New Roman"/>
                <w:color w:val="auto"/>
                <w:sz w:val="21"/>
                <w:szCs w:val="21"/>
              </w:rPr>
            </w:pPr>
          </w:p>
          <w:p w14:paraId="71CC698B">
            <w:pPr>
              <w:bidi w:val="0"/>
              <w:spacing w:line="360" w:lineRule="auto"/>
              <w:jc w:val="both"/>
              <w:rPr>
                <w:rFonts w:eastAsia="宋体" w:cs="Times New Roman"/>
                <w:color w:val="auto"/>
                <w:sz w:val="21"/>
                <w:szCs w:val="21"/>
              </w:rPr>
            </w:pPr>
          </w:p>
          <w:p w14:paraId="4616E5C9">
            <w:pPr>
              <w:bidi w:val="0"/>
              <w:spacing w:line="360" w:lineRule="auto"/>
              <w:jc w:val="both"/>
              <w:rPr>
                <w:rFonts w:eastAsia="宋体" w:cs="Times New Roman"/>
                <w:color w:val="auto"/>
                <w:sz w:val="21"/>
                <w:szCs w:val="21"/>
              </w:rPr>
            </w:pPr>
          </w:p>
          <w:p w14:paraId="2C44A875">
            <w:pPr>
              <w:bidi w:val="0"/>
              <w:spacing w:line="360" w:lineRule="auto"/>
              <w:jc w:val="both"/>
              <w:rPr>
                <w:rFonts w:eastAsia="宋体" w:cs="Times New Roman"/>
                <w:color w:val="auto"/>
                <w:sz w:val="21"/>
                <w:szCs w:val="21"/>
              </w:rPr>
            </w:pPr>
          </w:p>
          <w:p w14:paraId="509DCE87">
            <w:pPr>
              <w:bidi w:val="0"/>
              <w:spacing w:line="360" w:lineRule="auto"/>
              <w:jc w:val="both"/>
              <w:rPr>
                <w:rFonts w:eastAsia="宋体" w:cs="Times New Roman"/>
                <w:color w:val="auto"/>
                <w:sz w:val="21"/>
                <w:szCs w:val="21"/>
              </w:rPr>
            </w:pPr>
          </w:p>
          <w:p w14:paraId="189729A7">
            <w:pPr>
              <w:bidi w:val="0"/>
              <w:spacing w:line="360" w:lineRule="auto"/>
              <w:jc w:val="both"/>
              <w:rPr>
                <w:rFonts w:eastAsia="宋体" w:cs="Times New Roman"/>
                <w:color w:val="auto"/>
                <w:sz w:val="21"/>
                <w:szCs w:val="21"/>
              </w:rPr>
            </w:pPr>
          </w:p>
          <w:p w14:paraId="26FE32F1">
            <w:pPr>
              <w:bidi w:val="0"/>
              <w:spacing w:line="360" w:lineRule="auto"/>
              <w:jc w:val="both"/>
              <w:rPr>
                <w:rFonts w:eastAsia="宋体" w:cs="Times New Roman"/>
                <w:color w:val="auto"/>
                <w:sz w:val="21"/>
                <w:szCs w:val="21"/>
              </w:rPr>
            </w:pPr>
          </w:p>
          <w:p w14:paraId="0CA9B299">
            <w:pPr>
              <w:bidi w:val="0"/>
              <w:spacing w:line="360" w:lineRule="auto"/>
              <w:jc w:val="both"/>
              <w:rPr>
                <w:rFonts w:eastAsia="宋体" w:cs="Times New Roman"/>
                <w:color w:val="auto"/>
                <w:sz w:val="21"/>
                <w:szCs w:val="21"/>
                <w:lang w:val="en-US" w:eastAsia="en-US"/>
              </w:rPr>
            </w:pPr>
            <w:r>
              <w:rPr>
                <w:rFonts w:eastAsia="宋体" w:cs="Times New Roman"/>
                <w:color w:val="auto"/>
                <w:sz w:val="21"/>
                <w:szCs w:val="21"/>
              </w:rPr>
              <w:t>供应商资质条件、能力和信誉</w:t>
            </w:r>
          </w:p>
        </w:tc>
        <w:tc>
          <w:tcPr>
            <w:tcW w:w="7182" w:type="dxa"/>
            <w:shd w:val="clear" w:color="auto" w:fill="auto"/>
            <w:vAlign w:val="center"/>
          </w:tcPr>
          <w:p w14:paraId="43E0DB8F">
            <w:pPr>
              <w:bidi w:val="0"/>
              <w:spacing w:line="360" w:lineRule="auto"/>
              <w:jc w:val="both"/>
              <w:rPr>
                <w:rFonts w:hint="eastAsia" w:eastAsia="宋体" w:cs="Times New Roman"/>
                <w:color w:val="auto"/>
                <w:sz w:val="21"/>
                <w:szCs w:val="21"/>
              </w:rPr>
            </w:pPr>
            <w:r>
              <w:rPr>
                <w:rFonts w:hint="eastAsia" w:eastAsia="宋体" w:cs="Times New Roman"/>
                <w:color w:val="auto"/>
                <w:sz w:val="21"/>
                <w:szCs w:val="21"/>
              </w:rPr>
              <w:t>1.满足《中华人民共和国政府采购法》第二十二条规定。</w:t>
            </w:r>
          </w:p>
          <w:p w14:paraId="1F274B7D">
            <w:pPr>
              <w:bidi w:val="0"/>
              <w:spacing w:line="360" w:lineRule="auto"/>
              <w:jc w:val="both"/>
              <w:rPr>
                <w:rFonts w:hint="eastAsia" w:eastAsia="宋体" w:cs="Times New Roman"/>
                <w:color w:val="auto"/>
                <w:sz w:val="21"/>
                <w:szCs w:val="21"/>
              </w:rPr>
            </w:pPr>
            <w:r>
              <w:rPr>
                <w:rFonts w:hint="eastAsia" w:eastAsia="宋体" w:cs="Times New Roman"/>
                <w:color w:val="auto"/>
                <w:sz w:val="21"/>
                <w:szCs w:val="21"/>
              </w:rPr>
              <w:t>2.具备国家有关主管部门批准的本招标项目标的的合法资格。</w:t>
            </w:r>
          </w:p>
          <w:p w14:paraId="3605C970">
            <w:pPr>
              <w:bidi w:val="0"/>
              <w:spacing w:line="360" w:lineRule="auto"/>
              <w:jc w:val="both"/>
              <w:rPr>
                <w:rFonts w:hint="eastAsia" w:eastAsia="宋体" w:cs="Times New Roman"/>
                <w:color w:val="auto"/>
                <w:sz w:val="21"/>
                <w:szCs w:val="21"/>
              </w:rPr>
            </w:pPr>
            <w:r>
              <w:rPr>
                <w:rFonts w:hint="eastAsia" w:eastAsia="宋体" w:cs="Times New Roman"/>
                <w:color w:val="auto"/>
                <w:sz w:val="21"/>
                <w:szCs w:val="21"/>
              </w:rPr>
              <w:t>3.企业名称不同但法定代表人为同一个自然人的两个或者两个以上的投标人不得参加同一采购项目的投标。</w:t>
            </w:r>
          </w:p>
          <w:p w14:paraId="2E15290F">
            <w:pPr>
              <w:bidi w:val="0"/>
              <w:spacing w:line="360" w:lineRule="auto"/>
              <w:jc w:val="both"/>
              <w:rPr>
                <w:rFonts w:hint="eastAsia" w:eastAsia="宋体" w:cs="Times New Roman"/>
                <w:color w:val="auto"/>
                <w:sz w:val="21"/>
                <w:szCs w:val="21"/>
              </w:rPr>
            </w:pPr>
            <w:r>
              <w:rPr>
                <w:rFonts w:hint="eastAsia" w:eastAsia="宋体" w:cs="Times New Roman"/>
                <w:color w:val="auto"/>
                <w:sz w:val="21"/>
                <w:szCs w:val="21"/>
              </w:rPr>
              <w:t>一般须具备法人资格，分公司或者分支机构须取得总公司授权。</w:t>
            </w:r>
          </w:p>
          <w:p w14:paraId="14BFB905">
            <w:pPr>
              <w:bidi w:val="0"/>
              <w:spacing w:line="360" w:lineRule="auto"/>
              <w:jc w:val="both"/>
              <w:rPr>
                <w:rFonts w:hint="eastAsia" w:eastAsia="宋体" w:cs="Times New Roman"/>
                <w:color w:val="auto"/>
                <w:sz w:val="21"/>
                <w:szCs w:val="21"/>
              </w:rPr>
            </w:pPr>
            <w:r>
              <w:rPr>
                <w:rFonts w:hint="eastAsia" w:eastAsia="宋体" w:cs="Times New Roman"/>
                <w:color w:val="auto"/>
                <w:sz w:val="21"/>
                <w:szCs w:val="21"/>
              </w:rPr>
              <w:t>4.须在投标文件里提供投标人代表和项目管理主要成员（不含退休人员）以投标人名义缴纳的、正常缴费状态的个人参保证明，证明上的二维码要保证移动终端可以扫描识别验证真伪，如该投标人所在的地区确实没有带二维码的证明，须提供网上查询方式，否则投标无效。</w:t>
            </w:r>
          </w:p>
          <w:p w14:paraId="24131EF4">
            <w:pPr>
              <w:bidi w:val="0"/>
              <w:spacing w:line="360" w:lineRule="auto"/>
              <w:jc w:val="both"/>
              <w:rPr>
                <w:rFonts w:hint="eastAsia" w:eastAsia="宋体" w:cs="Times New Roman"/>
                <w:color w:val="auto"/>
                <w:sz w:val="21"/>
                <w:szCs w:val="21"/>
              </w:rPr>
            </w:pPr>
            <w:r>
              <w:rPr>
                <w:rFonts w:hint="eastAsia" w:eastAsia="宋体" w:cs="Times New Roman"/>
                <w:color w:val="auto"/>
                <w:sz w:val="21"/>
                <w:szCs w:val="21"/>
              </w:rPr>
              <w:t>5.落实政府采购政策需满足的资格要求：本项目专门面向中小企业采购。</w:t>
            </w:r>
          </w:p>
          <w:p w14:paraId="0F45BADF">
            <w:pPr>
              <w:bidi w:val="0"/>
              <w:spacing w:line="360" w:lineRule="auto"/>
              <w:jc w:val="both"/>
              <w:rPr>
                <w:rFonts w:hint="eastAsia" w:eastAsia="宋体" w:cs="Times New Roman"/>
                <w:color w:val="auto"/>
                <w:sz w:val="21"/>
                <w:szCs w:val="21"/>
                <w:lang w:val="en-US" w:eastAsia="zh-CN"/>
              </w:rPr>
            </w:pPr>
            <w:r>
              <w:rPr>
                <w:rFonts w:hint="eastAsia" w:eastAsia="宋体" w:cs="Times New Roman"/>
                <w:color w:val="auto"/>
                <w:sz w:val="21"/>
                <w:szCs w:val="21"/>
              </w:rPr>
              <w:t>6.本项目的特定资格要求：</w:t>
            </w:r>
            <w:r>
              <w:rPr>
                <w:rFonts w:hint="eastAsia" w:eastAsia="宋体" w:cs="Times New Roman"/>
                <w:color w:val="auto"/>
                <w:sz w:val="21"/>
                <w:szCs w:val="21"/>
                <w:lang w:val="en-US" w:eastAsia="zh-CN"/>
              </w:rPr>
              <w:t>具备建设行政主管部门核发的消防设施工程专业承包贰级(含)及以上资质，具有有效的安全生产许可证，并在人员、设备、资金等方面具有相应的施工能力，其中，拟派项目经理须具备机电工程贰级(含)以上级注册建造师执业资格和有效的安全生产考核合格证书（B本），且在成交阶段不得担任其他在施建设工程项目的项目经理。</w:t>
            </w:r>
          </w:p>
          <w:p w14:paraId="2E72227D">
            <w:pPr>
              <w:bidi w:val="0"/>
              <w:spacing w:line="360" w:lineRule="auto"/>
              <w:jc w:val="both"/>
              <w:rPr>
                <w:rFonts w:eastAsia="宋体" w:cs="Times New Roman"/>
                <w:color w:val="auto"/>
                <w:sz w:val="21"/>
                <w:szCs w:val="21"/>
                <w:lang w:val="en-US"/>
              </w:rPr>
            </w:pPr>
            <w:r>
              <w:rPr>
                <w:rFonts w:hint="eastAsia" w:eastAsia="宋体" w:cs="Times New Roman"/>
                <w:color w:val="auto"/>
                <w:sz w:val="21"/>
                <w:szCs w:val="21"/>
                <w:lang w:val="en-US" w:eastAsia="zh-CN"/>
              </w:rPr>
              <w:t>7</w:t>
            </w:r>
            <w:r>
              <w:rPr>
                <w:rFonts w:hint="eastAsia" w:eastAsia="宋体" w:cs="Times New Roman"/>
                <w:color w:val="auto"/>
                <w:sz w:val="21"/>
                <w:szCs w:val="21"/>
                <w:lang w:val="en-US"/>
              </w:rPr>
              <w:t>、拒绝列入政府取消投标资格期间的企业或个人投标。未被最高人民法院在“信用中国”网站（www.creditchina.gov.cn）或各级信用信息共享平台中列入失信被执行人名单。</w:t>
            </w:r>
          </w:p>
          <w:p w14:paraId="771563F3">
            <w:pPr>
              <w:bidi w:val="0"/>
              <w:spacing w:line="360" w:lineRule="auto"/>
              <w:jc w:val="both"/>
              <w:rPr>
                <w:rFonts w:eastAsia="宋体" w:cs="Times New Roman"/>
                <w:color w:val="auto"/>
                <w:sz w:val="21"/>
                <w:szCs w:val="21"/>
                <w:lang w:val="en-US" w:eastAsia="en-US"/>
              </w:rPr>
            </w:pPr>
            <w:r>
              <w:rPr>
                <w:rFonts w:hint="eastAsia" w:eastAsia="宋体" w:cs="Times New Roman"/>
                <w:color w:val="auto"/>
                <w:sz w:val="21"/>
                <w:szCs w:val="21"/>
                <w:lang w:val="en-US" w:eastAsia="zh-CN"/>
              </w:rPr>
              <w:t>8、外省入吉建筑企业应按照吉林省相关文件要求办理企业信息登记，登记后方可参加投标；</w:t>
            </w:r>
          </w:p>
        </w:tc>
      </w:tr>
      <w:tr w14:paraId="4F615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01" w:type="dxa"/>
            <w:vAlign w:val="center"/>
          </w:tcPr>
          <w:p w14:paraId="5F7C8C29">
            <w:pPr>
              <w:bidi w:val="0"/>
              <w:spacing w:line="360" w:lineRule="auto"/>
              <w:jc w:val="both"/>
              <w:rPr>
                <w:rFonts w:hint="eastAsia"/>
                <w:color w:val="auto"/>
                <w:sz w:val="21"/>
                <w:szCs w:val="21"/>
                <w:lang w:eastAsia="zh-CN"/>
              </w:rPr>
            </w:pPr>
            <w:r>
              <w:rPr>
                <w:rFonts w:hint="eastAsia"/>
                <w:color w:val="auto"/>
                <w:sz w:val="21"/>
                <w:szCs w:val="21"/>
                <w:lang w:val="en-US" w:eastAsia="zh-CN"/>
              </w:rPr>
              <w:t>9</w:t>
            </w:r>
          </w:p>
        </w:tc>
        <w:tc>
          <w:tcPr>
            <w:tcW w:w="2294" w:type="dxa"/>
            <w:vAlign w:val="center"/>
          </w:tcPr>
          <w:p w14:paraId="43E26447">
            <w:pPr>
              <w:bidi w:val="0"/>
              <w:spacing w:line="360" w:lineRule="auto"/>
              <w:jc w:val="both"/>
              <w:rPr>
                <w:color w:val="auto"/>
                <w:sz w:val="21"/>
                <w:szCs w:val="21"/>
              </w:rPr>
            </w:pPr>
            <w:r>
              <w:rPr>
                <w:color w:val="auto"/>
                <w:sz w:val="21"/>
                <w:szCs w:val="21"/>
              </w:rPr>
              <w:t>是否接受联合体参与</w:t>
            </w:r>
          </w:p>
        </w:tc>
        <w:tc>
          <w:tcPr>
            <w:tcW w:w="7182" w:type="dxa"/>
            <w:vAlign w:val="center"/>
          </w:tcPr>
          <w:p w14:paraId="6DFADCF3">
            <w:pPr>
              <w:bidi w:val="0"/>
              <w:spacing w:line="360" w:lineRule="auto"/>
              <w:jc w:val="both"/>
              <w:rPr>
                <w:color w:val="auto"/>
                <w:sz w:val="21"/>
                <w:szCs w:val="21"/>
              </w:rPr>
            </w:pPr>
            <w:r>
              <w:rPr>
                <w:color w:val="auto"/>
                <w:sz w:val="21"/>
                <w:szCs w:val="21"/>
              </w:rPr>
              <w:t>不接受</w:t>
            </w:r>
          </w:p>
        </w:tc>
      </w:tr>
      <w:tr w14:paraId="1C34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901" w:type="dxa"/>
            <w:vAlign w:val="center"/>
          </w:tcPr>
          <w:p w14:paraId="2E17B21E">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0</w:t>
            </w:r>
          </w:p>
        </w:tc>
        <w:tc>
          <w:tcPr>
            <w:tcW w:w="2294" w:type="dxa"/>
            <w:vAlign w:val="center"/>
          </w:tcPr>
          <w:p w14:paraId="26DD7CD2">
            <w:pPr>
              <w:bidi w:val="0"/>
              <w:spacing w:line="360" w:lineRule="auto"/>
              <w:jc w:val="both"/>
              <w:rPr>
                <w:color w:val="auto"/>
                <w:sz w:val="21"/>
                <w:szCs w:val="21"/>
              </w:rPr>
            </w:pPr>
            <w:r>
              <w:rPr>
                <w:color w:val="auto"/>
                <w:sz w:val="21"/>
                <w:szCs w:val="21"/>
              </w:rPr>
              <w:t>现场踏勘</w:t>
            </w:r>
          </w:p>
        </w:tc>
        <w:tc>
          <w:tcPr>
            <w:tcW w:w="7182" w:type="dxa"/>
            <w:vAlign w:val="center"/>
          </w:tcPr>
          <w:p w14:paraId="011A2F0C">
            <w:pPr>
              <w:bidi w:val="0"/>
              <w:spacing w:line="360" w:lineRule="auto"/>
              <w:jc w:val="both"/>
              <w:rPr>
                <w:rFonts w:hint="eastAsia" w:eastAsia="宋体" w:cs="Times New Roman"/>
                <w:color w:val="auto"/>
                <w:sz w:val="21"/>
                <w:szCs w:val="21"/>
                <w:lang w:val="en-US" w:eastAsia="zh-CN"/>
              </w:rPr>
            </w:pPr>
            <w:r>
              <w:rPr>
                <w:rFonts w:hint="eastAsia" w:eastAsia="宋体" w:cs="Times New Roman"/>
                <w:color w:val="auto"/>
                <w:sz w:val="21"/>
                <w:szCs w:val="21"/>
              </w:rPr>
              <w:t>本项目由</w:t>
            </w:r>
            <w:r>
              <w:rPr>
                <w:rFonts w:hint="eastAsia" w:cs="Times New Roman"/>
                <w:color w:val="auto"/>
                <w:sz w:val="21"/>
                <w:szCs w:val="21"/>
                <w:lang w:val="en-US" w:eastAsia="zh-CN"/>
              </w:rPr>
              <w:t>采购</w:t>
            </w:r>
            <w:r>
              <w:rPr>
                <w:rFonts w:hint="eastAsia" w:eastAsia="宋体" w:cs="Times New Roman"/>
                <w:color w:val="auto"/>
                <w:sz w:val="21"/>
                <w:szCs w:val="21"/>
              </w:rPr>
              <w:t>人统一组织集中现场踏勘，所有潜在投标人须于同一时间、统一集合地点参与，不接受单独踏勘申请。潜在投标人未按期参加现场踏勘的，视同完全知晓项目现场现状及全部踏勘信息，认可本次踏勘结果，后续不得以此为由提出异议、索赔及相关诉求，投标风险自行承担。</w:t>
            </w:r>
            <w:r>
              <w:rPr>
                <w:rFonts w:hint="eastAsia" w:cs="Times New Roman"/>
                <w:color w:val="auto"/>
                <w:sz w:val="21"/>
                <w:szCs w:val="21"/>
                <w:lang w:eastAsia="zh-CN"/>
              </w:rPr>
              <w:t>（</w:t>
            </w:r>
            <w:r>
              <w:rPr>
                <w:rFonts w:hint="eastAsia" w:cs="Times New Roman"/>
                <w:color w:val="0000FF"/>
                <w:sz w:val="21"/>
                <w:szCs w:val="21"/>
                <w:lang w:val="en-US" w:eastAsia="zh-CN"/>
              </w:rPr>
              <w:t>注：潜在供应商自备U盘，现场发放电子版图纸</w:t>
            </w:r>
            <w:r>
              <w:rPr>
                <w:rFonts w:hint="eastAsia" w:cs="Times New Roman"/>
                <w:color w:val="auto"/>
                <w:sz w:val="21"/>
                <w:szCs w:val="21"/>
                <w:lang w:eastAsia="zh-CN"/>
              </w:rPr>
              <w:t>）</w:t>
            </w:r>
          </w:p>
          <w:p w14:paraId="730069B2">
            <w:pPr>
              <w:bidi w:val="0"/>
              <w:spacing w:line="360" w:lineRule="auto"/>
              <w:jc w:val="both"/>
              <w:rPr>
                <w:rFonts w:hint="default" w:cs="Times New Roman"/>
                <w:color w:val="auto"/>
                <w:sz w:val="21"/>
                <w:szCs w:val="21"/>
                <w:lang w:val="en-US" w:eastAsia="zh-CN"/>
              </w:rPr>
            </w:pPr>
            <w:r>
              <w:rPr>
                <w:rFonts w:hint="eastAsia" w:cs="Times New Roman"/>
                <w:color w:val="auto"/>
                <w:sz w:val="21"/>
                <w:szCs w:val="21"/>
                <w:lang w:val="en-US" w:eastAsia="zh-CN"/>
              </w:rPr>
              <w:t>踏勘时间：2026年5月8日上午9：00</w:t>
            </w:r>
          </w:p>
          <w:p w14:paraId="2D5FF812">
            <w:pPr>
              <w:bidi w:val="0"/>
              <w:spacing w:line="360" w:lineRule="auto"/>
              <w:jc w:val="both"/>
              <w:rPr>
                <w:rFonts w:hint="default" w:cs="Times New Roman"/>
                <w:color w:val="auto"/>
                <w:sz w:val="21"/>
                <w:szCs w:val="21"/>
                <w:lang w:val="en-US" w:eastAsia="zh-CN"/>
              </w:rPr>
            </w:pPr>
            <w:r>
              <w:rPr>
                <w:rFonts w:hint="eastAsia" w:cs="Times New Roman"/>
                <w:color w:val="auto"/>
                <w:sz w:val="21"/>
                <w:szCs w:val="21"/>
                <w:lang w:val="en-US" w:eastAsia="zh-CN"/>
              </w:rPr>
              <w:t>踏勘联系人及电话：马经理0431-80541923</w:t>
            </w:r>
          </w:p>
        </w:tc>
      </w:tr>
      <w:tr w14:paraId="64887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6" w:hRule="atLeast"/>
          <w:jc w:val="center"/>
        </w:trPr>
        <w:tc>
          <w:tcPr>
            <w:tcW w:w="901" w:type="dxa"/>
            <w:vAlign w:val="center"/>
          </w:tcPr>
          <w:p w14:paraId="765EE5FA">
            <w:pPr>
              <w:bidi w:val="0"/>
              <w:spacing w:line="360" w:lineRule="auto"/>
              <w:jc w:val="both"/>
              <w:rPr>
                <w:color w:val="auto"/>
                <w:sz w:val="21"/>
                <w:szCs w:val="21"/>
              </w:rPr>
            </w:pPr>
          </w:p>
          <w:p w14:paraId="6D7D97EC">
            <w:pPr>
              <w:bidi w:val="0"/>
              <w:spacing w:line="360" w:lineRule="auto"/>
              <w:jc w:val="both"/>
              <w:rPr>
                <w:color w:val="auto"/>
                <w:sz w:val="21"/>
                <w:szCs w:val="21"/>
              </w:rPr>
            </w:pPr>
          </w:p>
          <w:p w14:paraId="317431E7">
            <w:pPr>
              <w:bidi w:val="0"/>
              <w:spacing w:line="360" w:lineRule="auto"/>
              <w:jc w:val="both"/>
              <w:rPr>
                <w:color w:val="auto"/>
                <w:sz w:val="21"/>
                <w:szCs w:val="21"/>
              </w:rPr>
            </w:pPr>
          </w:p>
          <w:p w14:paraId="2DB89785">
            <w:pPr>
              <w:bidi w:val="0"/>
              <w:spacing w:line="360" w:lineRule="auto"/>
              <w:jc w:val="both"/>
              <w:rPr>
                <w:color w:val="auto"/>
                <w:sz w:val="21"/>
                <w:szCs w:val="21"/>
              </w:rPr>
            </w:pPr>
          </w:p>
          <w:p w14:paraId="1C56B1A7">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1</w:t>
            </w:r>
          </w:p>
        </w:tc>
        <w:tc>
          <w:tcPr>
            <w:tcW w:w="2294" w:type="dxa"/>
            <w:vAlign w:val="center"/>
          </w:tcPr>
          <w:p w14:paraId="05CD2919">
            <w:pPr>
              <w:bidi w:val="0"/>
              <w:spacing w:line="360" w:lineRule="auto"/>
              <w:jc w:val="both"/>
              <w:rPr>
                <w:color w:val="auto"/>
                <w:sz w:val="21"/>
                <w:szCs w:val="21"/>
              </w:rPr>
            </w:pPr>
          </w:p>
          <w:p w14:paraId="36112FAE">
            <w:pPr>
              <w:bidi w:val="0"/>
              <w:spacing w:line="360" w:lineRule="auto"/>
              <w:jc w:val="both"/>
              <w:rPr>
                <w:color w:val="auto"/>
                <w:sz w:val="21"/>
                <w:szCs w:val="21"/>
              </w:rPr>
            </w:pPr>
          </w:p>
          <w:p w14:paraId="750DA812">
            <w:pPr>
              <w:bidi w:val="0"/>
              <w:spacing w:line="360" w:lineRule="auto"/>
              <w:jc w:val="both"/>
              <w:rPr>
                <w:color w:val="auto"/>
                <w:sz w:val="21"/>
                <w:szCs w:val="21"/>
              </w:rPr>
            </w:pPr>
          </w:p>
          <w:p w14:paraId="2AAA8BE7">
            <w:pPr>
              <w:bidi w:val="0"/>
              <w:spacing w:line="360" w:lineRule="auto"/>
              <w:jc w:val="both"/>
              <w:rPr>
                <w:color w:val="auto"/>
                <w:sz w:val="21"/>
                <w:szCs w:val="21"/>
              </w:rPr>
            </w:pPr>
            <w:r>
              <w:rPr>
                <w:color w:val="auto"/>
                <w:sz w:val="21"/>
                <w:szCs w:val="21"/>
              </w:rPr>
              <w:t>供应商提出问题的截止时间</w:t>
            </w:r>
          </w:p>
        </w:tc>
        <w:tc>
          <w:tcPr>
            <w:tcW w:w="7182" w:type="dxa"/>
            <w:vAlign w:val="center"/>
          </w:tcPr>
          <w:p w14:paraId="433B6567">
            <w:pPr>
              <w:bidi w:val="0"/>
              <w:spacing w:line="360" w:lineRule="auto"/>
              <w:jc w:val="both"/>
              <w:rPr>
                <w:color w:val="auto"/>
                <w:sz w:val="21"/>
                <w:szCs w:val="21"/>
              </w:rPr>
            </w:pPr>
            <w:r>
              <w:rPr>
                <w:color w:val="auto"/>
                <w:sz w:val="21"/>
                <w:szCs w:val="21"/>
              </w:rPr>
              <w:t>疑问的提出：</w:t>
            </w:r>
          </w:p>
          <w:p w14:paraId="372BF7DB">
            <w:pPr>
              <w:bidi w:val="0"/>
              <w:spacing w:line="360" w:lineRule="auto"/>
              <w:jc w:val="both"/>
              <w:rPr>
                <w:color w:val="auto"/>
                <w:sz w:val="21"/>
                <w:szCs w:val="21"/>
              </w:rPr>
            </w:pPr>
            <w:r>
              <w:rPr>
                <w:color w:val="auto"/>
                <w:sz w:val="21"/>
                <w:szCs w:val="21"/>
              </w:rPr>
              <w:t>提交疑问截止时间：递交响应文件截止时间5日前</w:t>
            </w:r>
          </w:p>
          <w:p w14:paraId="5A6708FA">
            <w:pPr>
              <w:bidi w:val="0"/>
              <w:spacing w:line="360" w:lineRule="auto"/>
              <w:jc w:val="both"/>
              <w:rPr>
                <w:color w:val="auto"/>
                <w:sz w:val="21"/>
                <w:szCs w:val="21"/>
              </w:rPr>
            </w:pPr>
            <w:r>
              <w:rPr>
                <w:color w:val="auto"/>
                <w:sz w:val="21"/>
                <w:szCs w:val="21"/>
              </w:rPr>
              <w:t>提交地址：</w:t>
            </w:r>
            <w:r>
              <w:rPr>
                <w:rFonts w:hint="eastAsia"/>
                <w:color w:val="auto"/>
                <w:sz w:val="21"/>
                <w:szCs w:val="21"/>
                <w:lang w:eastAsia="zh-CN"/>
              </w:rPr>
              <w:t>吉林省中基筑城项目管理有限公司</w:t>
            </w:r>
            <w:r>
              <w:rPr>
                <w:color w:val="auto"/>
                <w:sz w:val="21"/>
                <w:szCs w:val="21"/>
              </w:rPr>
              <w:t>，同时将电子版word版发送到采购代理公司邮箱（</w:t>
            </w:r>
            <w:r>
              <w:rPr>
                <w:rFonts w:hint="eastAsia"/>
                <w:color w:val="auto"/>
                <w:sz w:val="21"/>
                <w:szCs w:val="21"/>
                <w:lang w:eastAsia="zh-CN"/>
              </w:rPr>
              <w:t>103628189@qq.com</w:t>
            </w:r>
            <w:r>
              <w:rPr>
                <w:color w:val="auto"/>
                <w:sz w:val="21"/>
                <w:szCs w:val="21"/>
              </w:rPr>
              <w:t>）</w:t>
            </w:r>
          </w:p>
          <w:p w14:paraId="7C32D2DA">
            <w:pPr>
              <w:bidi w:val="0"/>
              <w:spacing w:line="360" w:lineRule="auto"/>
              <w:jc w:val="both"/>
              <w:rPr>
                <w:color w:val="auto"/>
                <w:sz w:val="21"/>
                <w:szCs w:val="21"/>
              </w:rPr>
            </w:pPr>
            <w:r>
              <w:rPr>
                <w:color w:val="auto"/>
                <w:sz w:val="21"/>
                <w:szCs w:val="21"/>
              </w:rPr>
              <w:t>用A4纸打印，一式</w:t>
            </w:r>
            <w:r>
              <w:rPr>
                <w:rFonts w:hint="eastAsia"/>
                <w:color w:val="auto"/>
                <w:sz w:val="21"/>
                <w:szCs w:val="21"/>
                <w:lang w:val="en-US" w:eastAsia="zh-CN"/>
              </w:rPr>
              <w:t>二</w:t>
            </w:r>
            <w:r>
              <w:rPr>
                <w:color w:val="auto"/>
                <w:sz w:val="21"/>
                <w:szCs w:val="21"/>
              </w:rPr>
              <w:t>份，并加盖公章。</w:t>
            </w:r>
          </w:p>
          <w:p w14:paraId="41CA745E">
            <w:pPr>
              <w:bidi w:val="0"/>
              <w:spacing w:line="360" w:lineRule="auto"/>
              <w:jc w:val="both"/>
              <w:rPr>
                <w:color w:val="auto"/>
                <w:sz w:val="21"/>
                <w:szCs w:val="21"/>
              </w:rPr>
            </w:pPr>
            <w:r>
              <w:rPr>
                <w:color w:val="auto"/>
                <w:sz w:val="21"/>
                <w:szCs w:val="21"/>
              </w:rPr>
              <w:t>若供应商未按规定提交，则视为其无疑问。</w:t>
            </w:r>
          </w:p>
        </w:tc>
      </w:tr>
      <w:tr w14:paraId="0429D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901" w:type="dxa"/>
            <w:tcBorders>
              <w:bottom w:val="single" w:color="000000" w:sz="2" w:space="0"/>
            </w:tcBorders>
            <w:vAlign w:val="center"/>
          </w:tcPr>
          <w:p w14:paraId="322711E9">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2</w:t>
            </w:r>
          </w:p>
        </w:tc>
        <w:tc>
          <w:tcPr>
            <w:tcW w:w="2294" w:type="dxa"/>
            <w:vAlign w:val="center"/>
          </w:tcPr>
          <w:p w14:paraId="10B2CB6C">
            <w:pPr>
              <w:bidi w:val="0"/>
              <w:spacing w:line="360" w:lineRule="auto"/>
              <w:jc w:val="both"/>
              <w:rPr>
                <w:color w:val="auto"/>
                <w:sz w:val="21"/>
                <w:szCs w:val="21"/>
              </w:rPr>
            </w:pPr>
            <w:r>
              <w:rPr>
                <w:color w:val="auto"/>
                <w:sz w:val="21"/>
                <w:szCs w:val="21"/>
              </w:rPr>
              <w:t>采购人书面澄清的时间</w:t>
            </w:r>
          </w:p>
        </w:tc>
        <w:tc>
          <w:tcPr>
            <w:tcW w:w="7182" w:type="dxa"/>
            <w:vAlign w:val="center"/>
          </w:tcPr>
          <w:p w14:paraId="15B03FA4">
            <w:pPr>
              <w:bidi w:val="0"/>
              <w:spacing w:line="360" w:lineRule="auto"/>
              <w:jc w:val="both"/>
              <w:rPr>
                <w:color w:val="auto"/>
                <w:sz w:val="21"/>
                <w:szCs w:val="21"/>
              </w:rPr>
            </w:pPr>
            <w:r>
              <w:rPr>
                <w:color w:val="auto"/>
                <w:sz w:val="21"/>
                <w:szCs w:val="21"/>
              </w:rPr>
              <w:t>递交响应文件截止时间5日前</w:t>
            </w:r>
          </w:p>
        </w:tc>
      </w:tr>
      <w:tr w14:paraId="041B3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901" w:type="dxa"/>
            <w:vAlign w:val="center"/>
          </w:tcPr>
          <w:p w14:paraId="6C6E3B71">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3</w:t>
            </w:r>
          </w:p>
        </w:tc>
        <w:tc>
          <w:tcPr>
            <w:tcW w:w="2294" w:type="dxa"/>
            <w:vAlign w:val="center"/>
          </w:tcPr>
          <w:p w14:paraId="725F23A5">
            <w:pPr>
              <w:bidi w:val="0"/>
              <w:spacing w:line="360" w:lineRule="auto"/>
              <w:jc w:val="both"/>
              <w:rPr>
                <w:color w:val="auto"/>
                <w:sz w:val="21"/>
                <w:szCs w:val="21"/>
              </w:rPr>
            </w:pPr>
            <w:r>
              <w:rPr>
                <w:color w:val="auto"/>
                <w:sz w:val="21"/>
                <w:szCs w:val="21"/>
              </w:rPr>
              <w:t>偏离</w:t>
            </w:r>
          </w:p>
        </w:tc>
        <w:tc>
          <w:tcPr>
            <w:tcW w:w="7182" w:type="dxa"/>
            <w:vAlign w:val="center"/>
          </w:tcPr>
          <w:p w14:paraId="0C9455DB">
            <w:pPr>
              <w:bidi w:val="0"/>
              <w:spacing w:line="360" w:lineRule="auto"/>
              <w:jc w:val="both"/>
              <w:rPr>
                <w:color w:val="auto"/>
                <w:sz w:val="21"/>
                <w:szCs w:val="21"/>
              </w:rPr>
            </w:pPr>
            <w:r>
              <w:rPr>
                <w:color w:val="auto"/>
                <w:sz w:val="21"/>
                <w:szCs w:val="21"/>
              </w:rPr>
              <w:t>不允许</w:t>
            </w:r>
          </w:p>
        </w:tc>
      </w:tr>
      <w:tr w14:paraId="5C3C8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01" w:type="dxa"/>
            <w:vAlign w:val="center"/>
          </w:tcPr>
          <w:p w14:paraId="6B325208">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4</w:t>
            </w:r>
          </w:p>
        </w:tc>
        <w:tc>
          <w:tcPr>
            <w:tcW w:w="2294" w:type="dxa"/>
            <w:vAlign w:val="center"/>
          </w:tcPr>
          <w:p w14:paraId="636401B2">
            <w:pPr>
              <w:bidi w:val="0"/>
              <w:spacing w:line="360" w:lineRule="auto"/>
              <w:jc w:val="both"/>
              <w:rPr>
                <w:color w:val="auto"/>
                <w:sz w:val="21"/>
                <w:szCs w:val="21"/>
              </w:rPr>
            </w:pPr>
            <w:r>
              <w:rPr>
                <w:color w:val="auto"/>
                <w:sz w:val="21"/>
                <w:szCs w:val="21"/>
              </w:rPr>
              <w:t>分包</w:t>
            </w:r>
          </w:p>
        </w:tc>
        <w:tc>
          <w:tcPr>
            <w:tcW w:w="7182" w:type="dxa"/>
            <w:vAlign w:val="center"/>
          </w:tcPr>
          <w:p w14:paraId="2CCD8C85">
            <w:pPr>
              <w:bidi w:val="0"/>
              <w:spacing w:line="360" w:lineRule="auto"/>
              <w:jc w:val="both"/>
              <w:rPr>
                <w:color w:val="auto"/>
                <w:sz w:val="21"/>
                <w:szCs w:val="21"/>
              </w:rPr>
            </w:pPr>
            <w:r>
              <w:rPr>
                <w:color w:val="auto"/>
                <w:sz w:val="21"/>
                <w:szCs w:val="21"/>
              </w:rPr>
              <w:t>不允许违法分包</w:t>
            </w:r>
          </w:p>
        </w:tc>
      </w:tr>
      <w:tr w14:paraId="3A08A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901" w:type="dxa"/>
            <w:tcBorders>
              <w:bottom w:val="single" w:color="000000" w:sz="2" w:space="0"/>
            </w:tcBorders>
            <w:vAlign w:val="center"/>
          </w:tcPr>
          <w:p w14:paraId="593443B9">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5</w:t>
            </w:r>
          </w:p>
        </w:tc>
        <w:tc>
          <w:tcPr>
            <w:tcW w:w="2294" w:type="dxa"/>
            <w:vAlign w:val="center"/>
          </w:tcPr>
          <w:p w14:paraId="7EC88992">
            <w:pPr>
              <w:bidi w:val="0"/>
              <w:spacing w:line="360" w:lineRule="auto"/>
              <w:jc w:val="both"/>
              <w:rPr>
                <w:color w:val="auto"/>
                <w:sz w:val="21"/>
                <w:szCs w:val="21"/>
              </w:rPr>
            </w:pPr>
            <w:r>
              <w:rPr>
                <w:color w:val="auto"/>
                <w:sz w:val="21"/>
                <w:szCs w:val="21"/>
              </w:rPr>
              <w:t>构成竞争性磋商文件的其他材料</w:t>
            </w:r>
          </w:p>
        </w:tc>
        <w:tc>
          <w:tcPr>
            <w:tcW w:w="7182" w:type="dxa"/>
            <w:vAlign w:val="center"/>
          </w:tcPr>
          <w:p w14:paraId="44F3C328">
            <w:pPr>
              <w:bidi w:val="0"/>
              <w:spacing w:line="360" w:lineRule="auto"/>
              <w:jc w:val="both"/>
              <w:rPr>
                <w:color w:val="auto"/>
                <w:sz w:val="21"/>
                <w:szCs w:val="21"/>
              </w:rPr>
            </w:pPr>
            <w:r>
              <w:rPr>
                <w:color w:val="auto"/>
                <w:sz w:val="21"/>
                <w:szCs w:val="21"/>
              </w:rPr>
              <w:t>工程量清单</w:t>
            </w:r>
          </w:p>
        </w:tc>
      </w:tr>
      <w:tr w14:paraId="6670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901" w:type="dxa"/>
            <w:tcBorders>
              <w:top w:val="single" w:color="000000" w:sz="2" w:space="0"/>
              <w:bottom w:val="single" w:color="000000" w:sz="2" w:space="0"/>
            </w:tcBorders>
            <w:vAlign w:val="center"/>
          </w:tcPr>
          <w:p w14:paraId="0DB23196">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6</w:t>
            </w:r>
          </w:p>
        </w:tc>
        <w:tc>
          <w:tcPr>
            <w:tcW w:w="2294" w:type="dxa"/>
            <w:vAlign w:val="center"/>
          </w:tcPr>
          <w:p w14:paraId="49F1F451">
            <w:pPr>
              <w:bidi w:val="0"/>
              <w:spacing w:line="360" w:lineRule="auto"/>
              <w:jc w:val="both"/>
              <w:rPr>
                <w:color w:val="auto"/>
                <w:sz w:val="21"/>
                <w:szCs w:val="21"/>
              </w:rPr>
            </w:pPr>
            <w:r>
              <w:rPr>
                <w:color w:val="auto"/>
                <w:sz w:val="21"/>
                <w:szCs w:val="21"/>
              </w:rPr>
              <w:t>供应商确认收到竞争性磋商文件澄清的时间</w:t>
            </w:r>
          </w:p>
        </w:tc>
        <w:tc>
          <w:tcPr>
            <w:tcW w:w="7182" w:type="dxa"/>
            <w:vAlign w:val="center"/>
          </w:tcPr>
          <w:p w14:paraId="574F882D">
            <w:pPr>
              <w:bidi w:val="0"/>
              <w:spacing w:line="360" w:lineRule="auto"/>
              <w:jc w:val="both"/>
              <w:rPr>
                <w:color w:val="auto"/>
                <w:sz w:val="21"/>
                <w:szCs w:val="21"/>
              </w:rPr>
            </w:pPr>
            <w:r>
              <w:rPr>
                <w:color w:val="auto"/>
                <w:sz w:val="21"/>
                <w:szCs w:val="21"/>
              </w:rPr>
              <w:t>在收到相应澄清文件后24小时内</w:t>
            </w:r>
          </w:p>
        </w:tc>
      </w:tr>
      <w:tr w14:paraId="4709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901" w:type="dxa"/>
            <w:tcBorders>
              <w:top w:val="single" w:color="000000" w:sz="2" w:space="0"/>
            </w:tcBorders>
            <w:vAlign w:val="center"/>
          </w:tcPr>
          <w:p w14:paraId="1DBCAF94">
            <w:pPr>
              <w:bidi w:val="0"/>
              <w:spacing w:line="360" w:lineRule="auto"/>
              <w:jc w:val="both"/>
              <w:rPr>
                <w:color w:val="auto"/>
                <w:sz w:val="21"/>
                <w:szCs w:val="21"/>
              </w:rPr>
            </w:pPr>
          </w:p>
          <w:p w14:paraId="50E56874">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7</w:t>
            </w:r>
          </w:p>
        </w:tc>
        <w:tc>
          <w:tcPr>
            <w:tcW w:w="2294" w:type="dxa"/>
            <w:vAlign w:val="center"/>
          </w:tcPr>
          <w:p w14:paraId="0E78F6F8">
            <w:pPr>
              <w:bidi w:val="0"/>
              <w:spacing w:line="360" w:lineRule="auto"/>
              <w:jc w:val="both"/>
              <w:rPr>
                <w:color w:val="auto"/>
                <w:sz w:val="21"/>
                <w:szCs w:val="21"/>
              </w:rPr>
            </w:pPr>
            <w:r>
              <w:rPr>
                <w:color w:val="auto"/>
                <w:sz w:val="21"/>
                <w:szCs w:val="21"/>
              </w:rPr>
              <w:t>供应商确认收到竞争性磋商文件修改内容的时间</w:t>
            </w:r>
          </w:p>
        </w:tc>
        <w:tc>
          <w:tcPr>
            <w:tcW w:w="7182" w:type="dxa"/>
            <w:vAlign w:val="center"/>
          </w:tcPr>
          <w:p w14:paraId="4205771C">
            <w:pPr>
              <w:bidi w:val="0"/>
              <w:spacing w:line="360" w:lineRule="auto"/>
              <w:jc w:val="both"/>
              <w:rPr>
                <w:color w:val="auto"/>
                <w:sz w:val="21"/>
                <w:szCs w:val="21"/>
              </w:rPr>
            </w:pPr>
          </w:p>
          <w:p w14:paraId="4EB18D3E">
            <w:pPr>
              <w:bidi w:val="0"/>
              <w:spacing w:line="360" w:lineRule="auto"/>
              <w:jc w:val="both"/>
              <w:rPr>
                <w:color w:val="auto"/>
                <w:sz w:val="21"/>
                <w:szCs w:val="21"/>
              </w:rPr>
            </w:pPr>
            <w:r>
              <w:rPr>
                <w:color w:val="auto"/>
                <w:sz w:val="21"/>
                <w:szCs w:val="21"/>
              </w:rPr>
              <w:t>在收到相应修改文件后24小时内</w:t>
            </w:r>
          </w:p>
        </w:tc>
      </w:tr>
      <w:tr w14:paraId="4AE5E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01" w:type="dxa"/>
            <w:vAlign w:val="center"/>
          </w:tcPr>
          <w:p w14:paraId="2FA6CC26">
            <w:pPr>
              <w:bidi w:val="0"/>
              <w:spacing w:line="360" w:lineRule="auto"/>
              <w:jc w:val="both"/>
              <w:rPr>
                <w:rFonts w:hint="eastAsia"/>
                <w:color w:val="auto"/>
                <w:sz w:val="21"/>
                <w:szCs w:val="21"/>
                <w:lang w:eastAsia="zh-CN"/>
              </w:rPr>
            </w:pPr>
            <w:r>
              <w:rPr>
                <w:color w:val="auto"/>
                <w:sz w:val="21"/>
                <w:szCs w:val="21"/>
              </w:rPr>
              <w:t>1</w:t>
            </w:r>
            <w:r>
              <w:rPr>
                <w:rFonts w:hint="eastAsia"/>
                <w:color w:val="auto"/>
                <w:sz w:val="21"/>
                <w:szCs w:val="21"/>
                <w:lang w:val="en-US" w:eastAsia="zh-CN"/>
              </w:rPr>
              <w:t>8</w:t>
            </w:r>
          </w:p>
        </w:tc>
        <w:tc>
          <w:tcPr>
            <w:tcW w:w="2294" w:type="dxa"/>
            <w:vAlign w:val="center"/>
          </w:tcPr>
          <w:p w14:paraId="6AC68AC7">
            <w:pPr>
              <w:bidi w:val="0"/>
              <w:spacing w:line="360" w:lineRule="auto"/>
              <w:jc w:val="both"/>
              <w:rPr>
                <w:color w:val="auto"/>
                <w:sz w:val="21"/>
                <w:szCs w:val="21"/>
              </w:rPr>
            </w:pPr>
            <w:r>
              <w:rPr>
                <w:color w:val="auto"/>
                <w:sz w:val="21"/>
                <w:szCs w:val="21"/>
              </w:rPr>
              <w:t>构成响应文件的其他材料</w:t>
            </w:r>
          </w:p>
        </w:tc>
        <w:tc>
          <w:tcPr>
            <w:tcW w:w="7182" w:type="dxa"/>
            <w:vAlign w:val="center"/>
          </w:tcPr>
          <w:p w14:paraId="5CCB73C3">
            <w:pPr>
              <w:bidi w:val="0"/>
              <w:spacing w:line="360" w:lineRule="auto"/>
              <w:jc w:val="both"/>
              <w:rPr>
                <w:color w:val="auto"/>
                <w:sz w:val="21"/>
                <w:szCs w:val="21"/>
              </w:rPr>
            </w:pPr>
            <w:r>
              <w:rPr>
                <w:color w:val="auto"/>
                <w:sz w:val="21"/>
                <w:szCs w:val="21"/>
              </w:rPr>
              <w:t>/</w:t>
            </w:r>
          </w:p>
        </w:tc>
      </w:tr>
      <w:tr w14:paraId="1D0EF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901" w:type="dxa"/>
            <w:vAlign w:val="center"/>
          </w:tcPr>
          <w:p w14:paraId="59C0291C">
            <w:pPr>
              <w:bidi w:val="0"/>
              <w:spacing w:line="360" w:lineRule="auto"/>
              <w:jc w:val="both"/>
              <w:rPr>
                <w:color w:val="auto"/>
                <w:sz w:val="21"/>
                <w:szCs w:val="21"/>
              </w:rPr>
            </w:pPr>
          </w:p>
          <w:p w14:paraId="3E9B6D31">
            <w:pPr>
              <w:bidi w:val="0"/>
              <w:spacing w:line="360" w:lineRule="auto"/>
              <w:jc w:val="both"/>
              <w:rPr>
                <w:rFonts w:hint="default"/>
                <w:color w:val="auto"/>
                <w:sz w:val="21"/>
                <w:szCs w:val="21"/>
                <w:lang w:val="en-US" w:eastAsia="zh-CN"/>
              </w:rPr>
            </w:pPr>
            <w:r>
              <w:rPr>
                <w:rFonts w:hint="eastAsia"/>
                <w:color w:val="auto"/>
                <w:sz w:val="21"/>
                <w:szCs w:val="21"/>
                <w:lang w:val="en-US" w:eastAsia="zh-CN"/>
              </w:rPr>
              <w:t>19</w:t>
            </w:r>
          </w:p>
        </w:tc>
        <w:tc>
          <w:tcPr>
            <w:tcW w:w="2294" w:type="dxa"/>
            <w:vAlign w:val="center"/>
          </w:tcPr>
          <w:p w14:paraId="3A9449E4">
            <w:pPr>
              <w:bidi w:val="0"/>
              <w:spacing w:line="360" w:lineRule="auto"/>
              <w:jc w:val="both"/>
              <w:rPr>
                <w:color w:val="auto"/>
                <w:sz w:val="21"/>
                <w:szCs w:val="21"/>
              </w:rPr>
            </w:pPr>
            <w:r>
              <w:rPr>
                <w:color w:val="auto"/>
                <w:sz w:val="21"/>
                <w:szCs w:val="21"/>
              </w:rPr>
              <w:t>采购预算</w:t>
            </w:r>
          </w:p>
          <w:p w14:paraId="3753A2AC">
            <w:pPr>
              <w:bidi w:val="0"/>
              <w:spacing w:line="360" w:lineRule="auto"/>
              <w:jc w:val="both"/>
              <w:rPr>
                <w:color w:val="auto"/>
                <w:sz w:val="21"/>
                <w:szCs w:val="21"/>
              </w:rPr>
            </w:pPr>
            <w:r>
              <w:rPr>
                <w:color w:val="auto"/>
                <w:sz w:val="21"/>
                <w:szCs w:val="21"/>
              </w:rPr>
              <w:t>（最高投标限价）</w:t>
            </w:r>
          </w:p>
        </w:tc>
        <w:tc>
          <w:tcPr>
            <w:tcW w:w="7182" w:type="dxa"/>
            <w:vAlign w:val="center"/>
          </w:tcPr>
          <w:p w14:paraId="128E83D5">
            <w:pPr>
              <w:bidi w:val="0"/>
              <w:spacing w:line="360" w:lineRule="auto"/>
              <w:jc w:val="both"/>
              <w:rPr>
                <w:rFonts w:hint="eastAsia" w:eastAsia="宋体"/>
                <w:color w:val="auto"/>
                <w:sz w:val="21"/>
                <w:szCs w:val="21"/>
                <w:lang w:val="zh-CN"/>
              </w:rPr>
            </w:pPr>
            <w:r>
              <w:rPr>
                <w:rFonts w:hint="eastAsia" w:eastAsia="宋体"/>
                <w:color w:val="auto"/>
                <w:sz w:val="21"/>
                <w:szCs w:val="21"/>
                <w:lang w:val="zh-CN"/>
              </w:rPr>
              <w:t>最高限价（预算）：997200元</w:t>
            </w:r>
          </w:p>
          <w:p w14:paraId="45BFE1C7">
            <w:pPr>
              <w:bidi w:val="0"/>
              <w:spacing w:line="360" w:lineRule="auto"/>
              <w:jc w:val="both"/>
              <w:rPr>
                <w:color w:val="auto"/>
                <w:sz w:val="21"/>
                <w:szCs w:val="21"/>
              </w:rPr>
            </w:pPr>
            <w:r>
              <w:rPr>
                <w:rFonts w:hint="eastAsia" w:eastAsia="宋体"/>
                <w:color w:val="auto"/>
                <w:sz w:val="21"/>
                <w:szCs w:val="21"/>
                <w:lang w:val="zh-CN"/>
              </w:rPr>
              <w:t>（消防排烟系统改造:260700元，消防烟感报警系统：736500元）（供应商总价报价，不得超过最高限价，不得低于成本，否则投标无效</w:t>
            </w:r>
            <w:r>
              <w:rPr>
                <w:rFonts w:hint="eastAsia" w:eastAsia="宋体"/>
                <w:color w:val="auto"/>
                <w:sz w:val="21"/>
                <w:szCs w:val="21"/>
                <w:lang w:val="zh-CN" w:eastAsia="zh-CN"/>
              </w:rPr>
              <w:t>。</w:t>
            </w:r>
            <w:r>
              <w:rPr>
                <w:rFonts w:hint="eastAsia" w:eastAsia="宋体"/>
                <w:color w:val="auto"/>
                <w:sz w:val="21"/>
                <w:szCs w:val="21"/>
                <w:lang w:val="zh-CN"/>
              </w:rPr>
              <w:t>单项工程不允许超过单项工程最高投标限价）</w:t>
            </w:r>
          </w:p>
        </w:tc>
      </w:tr>
      <w:tr w14:paraId="469F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01" w:type="dxa"/>
            <w:vAlign w:val="center"/>
          </w:tcPr>
          <w:p w14:paraId="5B6C1AC6">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0</w:t>
            </w:r>
          </w:p>
        </w:tc>
        <w:tc>
          <w:tcPr>
            <w:tcW w:w="2294" w:type="dxa"/>
            <w:vAlign w:val="center"/>
          </w:tcPr>
          <w:p w14:paraId="29CCD24C">
            <w:pPr>
              <w:bidi w:val="0"/>
              <w:spacing w:line="360" w:lineRule="auto"/>
              <w:jc w:val="both"/>
              <w:rPr>
                <w:color w:val="auto"/>
                <w:sz w:val="21"/>
                <w:szCs w:val="21"/>
              </w:rPr>
            </w:pPr>
            <w:r>
              <w:rPr>
                <w:color w:val="auto"/>
                <w:sz w:val="21"/>
                <w:szCs w:val="21"/>
              </w:rPr>
              <w:t>报价有效期</w:t>
            </w:r>
          </w:p>
        </w:tc>
        <w:tc>
          <w:tcPr>
            <w:tcW w:w="7182" w:type="dxa"/>
            <w:vAlign w:val="center"/>
          </w:tcPr>
          <w:p w14:paraId="14178C6C">
            <w:pPr>
              <w:bidi w:val="0"/>
              <w:spacing w:line="360" w:lineRule="auto"/>
              <w:jc w:val="both"/>
              <w:rPr>
                <w:color w:val="auto"/>
                <w:sz w:val="21"/>
                <w:szCs w:val="21"/>
              </w:rPr>
            </w:pPr>
            <w:r>
              <w:rPr>
                <w:color w:val="auto"/>
                <w:sz w:val="21"/>
                <w:szCs w:val="21"/>
              </w:rPr>
              <w:t>90日</w:t>
            </w:r>
          </w:p>
        </w:tc>
      </w:tr>
      <w:tr w14:paraId="0C28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1" w:hRule="atLeast"/>
          <w:jc w:val="center"/>
        </w:trPr>
        <w:tc>
          <w:tcPr>
            <w:tcW w:w="901" w:type="dxa"/>
            <w:vAlign w:val="center"/>
          </w:tcPr>
          <w:p w14:paraId="2892F983">
            <w:pPr>
              <w:bidi w:val="0"/>
              <w:spacing w:line="360" w:lineRule="auto"/>
              <w:jc w:val="both"/>
              <w:rPr>
                <w:color w:val="auto"/>
                <w:sz w:val="21"/>
                <w:szCs w:val="21"/>
              </w:rPr>
            </w:pPr>
          </w:p>
          <w:p w14:paraId="09F1590E">
            <w:pPr>
              <w:bidi w:val="0"/>
              <w:spacing w:line="360" w:lineRule="auto"/>
              <w:jc w:val="both"/>
              <w:rPr>
                <w:color w:val="auto"/>
                <w:sz w:val="21"/>
                <w:szCs w:val="21"/>
              </w:rPr>
            </w:pPr>
          </w:p>
          <w:p w14:paraId="0C597964">
            <w:pPr>
              <w:bidi w:val="0"/>
              <w:spacing w:line="360" w:lineRule="auto"/>
              <w:jc w:val="both"/>
              <w:rPr>
                <w:color w:val="auto"/>
                <w:sz w:val="21"/>
                <w:szCs w:val="21"/>
              </w:rPr>
            </w:pPr>
          </w:p>
          <w:p w14:paraId="40F73ED6">
            <w:pPr>
              <w:bidi w:val="0"/>
              <w:spacing w:line="360" w:lineRule="auto"/>
              <w:jc w:val="both"/>
              <w:rPr>
                <w:color w:val="auto"/>
                <w:sz w:val="21"/>
                <w:szCs w:val="21"/>
              </w:rPr>
            </w:pPr>
          </w:p>
          <w:p w14:paraId="77FDB106">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1</w:t>
            </w:r>
          </w:p>
        </w:tc>
        <w:tc>
          <w:tcPr>
            <w:tcW w:w="2294" w:type="dxa"/>
            <w:vAlign w:val="center"/>
          </w:tcPr>
          <w:p w14:paraId="578761FF">
            <w:pPr>
              <w:bidi w:val="0"/>
              <w:spacing w:line="360" w:lineRule="auto"/>
              <w:jc w:val="both"/>
              <w:rPr>
                <w:rFonts w:hint="eastAsia" w:eastAsia="宋体"/>
                <w:color w:val="auto"/>
                <w:sz w:val="21"/>
                <w:szCs w:val="21"/>
                <w:lang w:val="zh-CN"/>
              </w:rPr>
            </w:pPr>
            <w:r>
              <w:rPr>
                <w:rFonts w:hint="eastAsia" w:eastAsia="宋体"/>
                <w:color w:val="auto"/>
                <w:sz w:val="21"/>
                <w:szCs w:val="21"/>
                <w:lang w:val="zh-CN"/>
              </w:rPr>
              <w:t>磋商保证金</w:t>
            </w:r>
          </w:p>
        </w:tc>
        <w:tc>
          <w:tcPr>
            <w:tcW w:w="7182" w:type="dxa"/>
            <w:vAlign w:val="center"/>
          </w:tcPr>
          <w:p w14:paraId="2AFD6EB5">
            <w:pPr>
              <w:bidi w:val="0"/>
              <w:spacing w:line="360" w:lineRule="auto"/>
              <w:jc w:val="both"/>
              <w:rPr>
                <w:rFonts w:hint="eastAsia" w:eastAsia="宋体"/>
                <w:color w:val="auto"/>
                <w:sz w:val="21"/>
                <w:szCs w:val="21"/>
                <w:lang w:val="zh-CN"/>
              </w:rPr>
            </w:pPr>
            <w:r>
              <w:rPr>
                <w:rFonts w:hint="eastAsia" w:eastAsia="宋体"/>
                <w:color w:val="auto"/>
                <w:sz w:val="21"/>
                <w:szCs w:val="21"/>
                <w:lang w:val="zh-CN"/>
              </w:rPr>
              <w:t>磋商保证金应当以支票、汇票、本票或者金融机构、担保机构出具的保函等非现金形式提交。票据有效时限为自开标当日起不少于25天（遇到国家法定3天假日的，在假期结束后3日内开标的，有效期为自开标之日起不少于18天）。投标人未按照招标文件要求提交投标保证金的，投标无效。投标人必须将票据复印件（加盖投标人公章或财务章）放置于响应文件内，否则响应无效。</w:t>
            </w:r>
          </w:p>
          <w:p w14:paraId="04FD56D1">
            <w:pPr>
              <w:bidi w:val="0"/>
              <w:spacing w:line="360" w:lineRule="auto"/>
              <w:jc w:val="both"/>
              <w:rPr>
                <w:rFonts w:hint="eastAsia" w:eastAsia="宋体"/>
                <w:color w:val="auto"/>
                <w:sz w:val="21"/>
                <w:szCs w:val="21"/>
                <w:lang w:val="zh-CN"/>
              </w:rPr>
            </w:pPr>
            <w:r>
              <w:rPr>
                <w:rFonts w:hint="eastAsia" w:eastAsia="宋体"/>
                <w:color w:val="auto"/>
                <w:sz w:val="21"/>
                <w:szCs w:val="21"/>
                <w:lang w:val="zh-CN"/>
              </w:rPr>
              <w:t>投标保证金的金额：</w:t>
            </w:r>
            <w:r>
              <w:rPr>
                <w:rFonts w:hint="eastAsia"/>
                <w:color w:val="auto"/>
                <w:sz w:val="21"/>
                <w:szCs w:val="21"/>
                <w:lang w:val="en-US" w:eastAsia="zh-CN"/>
              </w:rPr>
              <w:t>19500</w:t>
            </w:r>
            <w:r>
              <w:rPr>
                <w:rFonts w:hint="eastAsia" w:eastAsia="宋体"/>
                <w:color w:val="auto"/>
                <w:sz w:val="21"/>
                <w:szCs w:val="21"/>
                <w:lang w:val="zh-CN"/>
              </w:rPr>
              <w:t>元人民币</w:t>
            </w:r>
          </w:p>
          <w:p w14:paraId="19429295">
            <w:pPr>
              <w:bidi w:val="0"/>
              <w:spacing w:line="360" w:lineRule="auto"/>
              <w:jc w:val="both"/>
              <w:rPr>
                <w:rFonts w:hint="eastAsia" w:eastAsia="宋体"/>
                <w:color w:val="auto"/>
                <w:sz w:val="21"/>
                <w:szCs w:val="21"/>
                <w:lang w:val="zh-CN"/>
              </w:rPr>
            </w:pPr>
            <w:r>
              <w:rPr>
                <w:rFonts w:hint="eastAsia" w:eastAsia="宋体"/>
                <w:color w:val="auto"/>
                <w:sz w:val="21"/>
                <w:szCs w:val="21"/>
                <w:lang w:val="zh-CN"/>
              </w:rPr>
              <w:t>以现金或支票、汇票形式提交的投标保证金应当从投标单位的基本账户转出，转至吉林省中基筑城项目管理有限公司账号中。投标保证金的确认以最终到账日期为准。</w:t>
            </w:r>
          </w:p>
          <w:p w14:paraId="5FFF4798">
            <w:pPr>
              <w:bidi w:val="0"/>
              <w:spacing w:line="360" w:lineRule="auto"/>
              <w:jc w:val="both"/>
              <w:rPr>
                <w:rFonts w:hint="eastAsia" w:eastAsia="宋体"/>
                <w:color w:val="auto"/>
                <w:sz w:val="21"/>
                <w:szCs w:val="21"/>
                <w:lang w:val="zh-CN"/>
              </w:rPr>
            </w:pPr>
            <w:r>
              <w:rPr>
                <w:rFonts w:hint="eastAsia" w:eastAsia="宋体"/>
                <w:color w:val="auto"/>
                <w:sz w:val="21"/>
                <w:szCs w:val="21"/>
                <w:lang w:val="zh-CN"/>
              </w:rPr>
              <w:t>帐户名称：吉林省中基筑城项目管理有限公司</w:t>
            </w:r>
          </w:p>
          <w:p w14:paraId="7295B537">
            <w:pPr>
              <w:bidi w:val="0"/>
              <w:spacing w:line="360" w:lineRule="auto"/>
              <w:jc w:val="both"/>
              <w:rPr>
                <w:rFonts w:hint="eastAsia" w:eastAsia="宋体"/>
                <w:color w:val="auto"/>
                <w:sz w:val="21"/>
                <w:szCs w:val="21"/>
                <w:lang w:val="zh-CN"/>
              </w:rPr>
            </w:pPr>
            <w:r>
              <w:rPr>
                <w:rFonts w:hint="eastAsia" w:eastAsia="宋体"/>
                <w:color w:val="auto"/>
                <w:sz w:val="21"/>
                <w:szCs w:val="21"/>
                <w:lang w:val="zh-CN"/>
              </w:rPr>
              <w:t>账号：07100001040009943</w:t>
            </w:r>
          </w:p>
          <w:p w14:paraId="0C2977B6">
            <w:pPr>
              <w:bidi w:val="0"/>
              <w:spacing w:line="360" w:lineRule="auto"/>
              <w:jc w:val="both"/>
              <w:rPr>
                <w:rFonts w:hint="eastAsia" w:eastAsia="宋体"/>
                <w:color w:val="auto"/>
                <w:sz w:val="21"/>
                <w:szCs w:val="21"/>
                <w:lang w:val="zh-CN"/>
              </w:rPr>
            </w:pPr>
            <w:r>
              <w:rPr>
                <w:rFonts w:hint="eastAsia" w:eastAsia="宋体"/>
                <w:color w:val="auto"/>
                <w:sz w:val="21"/>
                <w:szCs w:val="21"/>
                <w:lang w:val="zh-CN"/>
              </w:rPr>
              <w:t>开户银行:中国农业银行股份有限公司长春北安路支行</w:t>
            </w:r>
          </w:p>
        </w:tc>
      </w:tr>
      <w:tr w14:paraId="52AA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901" w:type="dxa"/>
            <w:vAlign w:val="center"/>
          </w:tcPr>
          <w:p w14:paraId="242DD4EE">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2</w:t>
            </w:r>
          </w:p>
        </w:tc>
        <w:tc>
          <w:tcPr>
            <w:tcW w:w="2294" w:type="dxa"/>
            <w:vAlign w:val="center"/>
          </w:tcPr>
          <w:p w14:paraId="74C25223">
            <w:pPr>
              <w:bidi w:val="0"/>
              <w:spacing w:line="360" w:lineRule="auto"/>
              <w:jc w:val="both"/>
              <w:rPr>
                <w:color w:val="auto"/>
                <w:sz w:val="21"/>
                <w:szCs w:val="21"/>
              </w:rPr>
            </w:pPr>
            <w:r>
              <w:rPr>
                <w:color w:val="auto"/>
                <w:sz w:val="21"/>
                <w:szCs w:val="21"/>
              </w:rPr>
              <w:t>近年财务状况的年份要求</w:t>
            </w:r>
          </w:p>
        </w:tc>
        <w:tc>
          <w:tcPr>
            <w:tcW w:w="7182" w:type="dxa"/>
            <w:vAlign w:val="center"/>
          </w:tcPr>
          <w:p w14:paraId="12845B80">
            <w:pPr>
              <w:bidi w:val="0"/>
              <w:spacing w:line="360" w:lineRule="auto"/>
              <w:jc w:val="both"/>
              <w:rPr>
                <w:color w:val="auto"/>
                <w:sz w:val="21"/>
                <w:szCs w:val="21"/>
              </w:rPr>
            </w:pPr>
            <w:r>
              <w:rPr>
                <w:color w:val="auto"/>
                <w:sz w:val="21"/>
                <w:szCs w:val="21"/>
              </w:rPr>
              <w:t>2022年1月1日起至2024年12月31日止</w:t>
            </w:r>
          </w:p>
        </w:tc>
      </w:tr>
      <w:tr w14:paraId="6BD5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901" w:type="dxa"/>
            <w:vAlign w:val="center"/>
          </w:tcPr>
          <w:p w14:paraId="06467F8B">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3</w:t>
            </w:r>
          </w:p>
        </w:tc>
        <w:tc>
          <w:tcPr>
            <w:tcW w:w="2294" w:type="dxa"/>
            <w:vAlign w:val="center"/>
          </w:tcPr>
          <w:p w14:paraId="73BC707E">
            <w:pPr>
              <w:bidi w:val="0"/>
              <w:spacing w:line="360" w:lineRule="auto"/>
              <w:jc w:val="both"/>
              <w:rPr>
                <w:color w:val="auto"/>
                <w:sz w:val="21"/>
                <w:szCs w:val="21"/>
              </w:rPr>
            </w:pPr>
            <w:r>
              <w:rPr>
                <w:color w:val="auto"/>
                <w:sz w:val="21"/>
                <w:szCs w:val="21"/>
              </w:rPr>
              <w:t>近年类似业绩的年份要求</w:t>
            </w:r>
          </w:p>
        </w:tc>
        <w:tc>
          <w:tcPr>
            <w:tcW w:w="7182" w:type="dxa"/>
            <w:vAlign w:val="center"/>
          </w:tcPr>
          <w:p w14:paraId="742BB4CB">
            <w:pPr>
              <w:bidi w:val="0"/>
              <w:spacing w:line="360" w:lineRule="auto"/>
              <w:jc w:val="both"/>
              <w:rPr>
                <w:color w:val="auto"/>
                <w:sz w:val="21"/>
                <w:szCs w:val="21"/>
              </w:rPr>
            </w:pPr>
            <w:r>
              <w:rPr>
                <w:color w:val="auto"/>
                <w:sz w:val="21"/>
                <w:szCs w:val="21"/>
              </w:rPr>
              <w:t>202</w:t>
            </w:r>
            <w:r>
              <w:rPr>
                <w:rFonts w:hint="eastAsia"/>
                <w:color w:val="auto"/>
                <w:sz w:val="21"/>
                <w:szCs w:val="21"/>
                <w:lang w:val="en-US" w:eastAsia="zh-CN"/>
              </w:rPr>
              <w:t>3</w:t>
            </w:r>
            <w:r>
              <w:rPr>
                <w:color w:val="auto"/>
                <w:sz w:val="21"/>
                <w:szCs w:val="21"/>
              </w:rPr>
              <w:t>年1月1日起至</w:t>
            </w:r>
            <w:r>
              <w:rPr>
                <w:rFonts w:hint="eastAsia"/>
                <w:color w:val="auto"/>
                <w:sz w:val="21"/>
                <w:szCs w:val="21"/>
                <w:lang w:val="en-US" w:eastAsia="zh-CN"/>
              </w:rPr>
              <w:t>开标之</w:t>
            </w:r>
            <w:r>
              <w:rPr>
                <w:color w:val="auto"/>
                <w:sz w:val="21"/>
                <w:szCs w:val="21"/>
              </w:rPr>
              <w:t>日止</w:t>
            </w:r>
          </w:p>
        </w:tc>
      </w:tr>
      <w:tr w14:paraId="23676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901" w:type="dxa"/>
            <w:tcBorders>
              <w:bottom w:val="single" w:color="000000" w:sz="2" w:space="0"/>
            </w:tcBorders>
            <w:vAlign w:val="center"/>
          </w:tcPr>
          <w:p w14:paraId="38EED8E7">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4</w:t>
            </w:r>
          </w:p>
        </w:tc>
        <w:tc>
          <w:tcPr>
            <w:tcW w:w="2294" w:type="dxa"/>
            <w:vAlign w:val="center"/>
          </w:tcPr>
          <w:p w14:paraId="1CC3C081">
            <w:pPr>
              <w:bidi w:val="0"/>
              <w:spacing w:line="360" w:lineRule="auto"/>
              <w:jc w:val="both"/>
              <w:rPr>
                <w:color w:val="auto"/>
                <w:sz w:val="21"/>
                <w:szCs w:val="21"/>
              </w:rPr>
            </w:pPr>
            <w:r>
              <w:rPr>
                <w:color w:val="auto"/>
                <w:sz w:val="21"/>
                <w:szCs w:val="21"/>
              </w:rPr>
              <w:t>是否允许递交备选响应方案</w:t>
            </w:r>
          </w:p>
        </w:tc>
        <w:tc>
          <w:tcPr>
            <w:tcW w:w="7182" w:type="dxa"/>
            <w:vAlign w:val="center"/>
          </w:tcPr>
          <w:p w14:paraId="042066B7">
            <w:pPr>
              <w:bidi w:val="0"/>
              <w:spacing w:line="360" w:lineRule="auto"/>
              <w:jc w:val="both"/>
              <w:rPr>
                <w:color w:val="auto"/>
                <w:sz w:val="21"/>
                <w:szCs w:val="21"/>
              </w:rPr>
            </w:pPr>
            <w:r>
              <w:rPr>
                <w:color w:val="auto"/>
                <w:sz w:val="21"/>
                <w:szCs w:val="21"/>
              </w:rPr>
              <w:t>不允许</w:t>
            </w:r>
          </w:p>
        </w:tc>
      </w:tr>
      <w:tr w14:paraId="6FF9F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01" w:type="dxa"/>
            <w:tcBorders>
              <w:top w:val="single" w:color="000000" w:sz="2" w:space="0"/>
            </w:tcBorders>
            <w:vAlign w:val="center"/>
          </w:tcPr>
          <w:p w14:paraId="450BAF34">
            <w:pPr>
              <w:bidi w:val="0"/>
              <w:spacing w:line="360" w:lineRule="auto"/>
              <w:jc w:val="both"/>
              <w:rPr>
                <w:rFonts w:hint="default"/>
                <w:color w:val="auto"/>
                <w:sz w:val="21"/>
                <w:szCs w:val="21"/>
                <w:lang w:val="en-US" w:eastAsia="zh-CN"/>
              </w:rPr>
            </w:pPr>
            <w:r>
              <w:rPr>
                <w:color w:val="auto"/>
                <w:sz w:val="21"/>
                <w:szCs w:val="21"/>
              </w:rPr>
              <w:t>2</w:t>
            </w:r>
            <w:r>
              <w:rPr>
                <w:rFonts w:hint="eastAsia"/>
                <w:color w:val="auto"/>
                <w:sz w:val="21"/>
                <w:szCs w:val="21"/>
                <w:lang w:val="en-US" w:eastAsia="zh-CN"/>
              </w:rPr>
              <w:t>5</w:t>
            </w:r>
          </w:p>
        </w:tc>
        <w:tc>
          <w:tcPr>
            <w:tcW w:w="2294" w:type="dxa"/>
            <w:vAlign w:val="center"/>
          </w:tcPr>
          <w:p w14:paraId="7FB92C1C">
            <w:pPr>
              <w:bidi w:val="0"/>
              <w:spacing w:line="360" w:lineRule="auto"/>
              <w:jc w:val="both"/>
              <w:rPr>
                <w:color w:val="auto"/>
                <w:sz w:val="21"/>
                <w:szCs w:val="21"/>
              </w:rPr>
            </w:pPr>
            <w:r>
              <w:rPr>
                <w:color w:val="auto"/>
                <w:sz w:val="21"/>
                <w:szCs w:val="21"/>
              </w:rPr>
              <w:t>签字或盖章要求</w:t>
            </w:r>
          </w:p>
        </w:tc>
        <w:tc>
          <w:tcPr>
            <w:tcW w:w="7182" w:type="dxa"/>
            <w:vAlign w:val="center"/>
          </w:tcPr>
          <w:p w14:paraId="2024D3D3">
            <w:pPr>
              <w:bidi w:val="0"/>
              <w:spacing w:line="360" w:lineRule="auto"/>
              <w:jc w:val="both"/>
              <w:rPr>
                <w:color w:val="auto"/>
                <w:sz w:val="21"/>
                <w:szCs w:val="21"/>
              </w:rPr>
            </w:pPr>
            <w:r>
              <w:rPr>
                <w:color w:val="auto"/>
                <w:sz w:val="21"/>
                <w:szCs w:val="21"/>
              </w:rPr>
              <w:t>按竞争性磋商文件中提供的格式及要求</w:t>
            </w:r>
          </w:p>
        </w:tc>
      </w:tr>
      <w:tr w14:paraId="1C1CD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901" w:type="dxa"/>
            <w:vAlign w:val="center"/>
          </w:tcPr>
          <w:p w14:paraId="403AFC77">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6</w:t>
            </w:r>
          </w:p>
        </w:tc>
        <w:tc>
          <w:tcPr>
            <w:tcW w:w="2294" w:type="dxa"/>
            <w:vAlign w:val="center"/>
          </w:tcPr>
          <w:p w14:paraId="5AF5606B">
            <w:pPr>
              <w:bidi w:val="0"/>
              <w:spacing w:line="360" w:lineRule="auto"/>
              <w:jc w:val="both"/>
              <w:rPr>
                <w:color w:val="auto"/>
                <w:sz w:val="21"/>
                <w:szCs w:val="21"/>
              </w:rPr>
            </w:pPr>
            <w:r>
              <w:rPr>
                <w:color w:val="auto"/>
                <w:sz w:val="21"/>
                <w:szCs w:val="21"/>
              </w:rPr>
              <w:t>响应文件份数</w:t>
            </w:r>
          </w:p>
        </w:tc>
        <w:tc>
          <w:tcPr>
            <w:tcW w:w="7182" w:type="dxa"/>
            <w:vAlign w:val="center"/>
          </w:tcPr>
          <w:p w14:paraId="1F28A37C">
            <w:pPr>
              <w:bidi w:val="0"/>
              <w:spacing w:line="360" w:lineRule="auto"/>
              <w:jc w:val="both"/>
              <w:rPr>
                <w:rFonts w:hint="eastAsia" w:eastAsia="宋体"/>
                <w:color w:val="auto"/>
                <w:sz w:val="21"/>
                <w:szCs w:val="21"/>
                <w:lang w:val="en-US" w:eastAsia="zh-CN"/>
              </w:rPr>
            </w:pPr>
            <w:r>
              <w:rPr>
                <w:rFonts w:hint="eastAsia"/>
                <w:color w:val="auto"/>
                <w:sz w:val="21"/>
                <w:szCs w:val="21"/>
                <w:lang w:val="en-US" w:eastAsia="zh-CN"/>
              </w:rPr>
              <w:t>一</w:t>
            </w:r>
            <w:r>
              <w:rPr>
                <w:rFonts w:hint="eastAsia"/>
                <w:color w:val="auto"/>
                <w:szCs w:val="21"/>
                <w:highlight w:val="none"/>
                <w:lang w:val="en-US" w:eastAsia="zh-CN"/>
              </w:rPr>
              <w:t>正一副，电子版U盘2份（开标后2个工作日内邮寄到长春市朝阳区卫星路7440号远创国际2、3号楼1909室，马经理0431-80541923）</w:t>
            </w:r>
          </w:p>
        </w:tc>
      </w:tr>
      <w:tr w14:paraId="3945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901" w:type="dxa"/>
            <w:vAlign w:val="center"/>
          </w:tcPr>
          <w:p w14:paraId="062A7BE5">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7</w:t>
            </w:r>
          </w:p>
        </w:tc>
        <w:tc>
          <w:tcPr>
            <w:tcW w:w="2294" w:type="dxa"/>
            <w:vAlign w:val="center"/>
          </w:tcPr>
          <w:p w14:paraId="5C9D4045">
            <w:pPr>
              <w:bidi w:val="0"/>
              <w:spacing w:line="360" w:lineRule="auto"/>
              <w:jc w:val="both"/>
              <w:rPr>
                <w:color w:val="auto"/>
                <w:sz w:val="21"/>
                <w:szCs w:val="21"/>
              </w:rPr>
            </w:pPr>
            <w:r>
              <w:rPr>
                <w:color w:val="auto"/>
                <w:sz w:val="21"/>
                <w:szCs w:val="21"/>
              </w:rPr>
              <w:t>递交响应文件截止时间</w:t>
            </w:r>
          </w:p>
        </w:tc>
        <w:tc>
          <w:tcPr>
            <w:tcW w:w="7182" w:type="dxa"/>
            <w:vAlign w:val="center"/>
          </w:tcPr>
          <w:p w14:paraId="2555A226">
            <w:pPr>
              <w:bidi w:val="0"/>
              <w:spacing w:line="360" w:lineRule="auto"/>
              <w:jc w:val="both"/>
              <w:rPr>
                <w:rFonts w:hint="default"/>
                <w:color w:val="auto"/>
                <w:sz w:val="21"/>
                <w:szCs w:val="21"/>
                <w:lang w:val="en-US" w:eastAsia="zh-CN"/>
              </w:rPr>
            </w:pPr>
            <w:r>
              <w:rPr>
                <w:color w:val="auto"/>
                <w:sz w:val="21"/>
                <w:szCs w:val="21"/>
              </w:rPr>
              <w:t>开标时间</w:t>
            </w:r>
            <w:r>
              <w:rPr>
                <w:rFonts w:hint="eastAsia"/>
                <w:color w:val="auto"/>
                <w:sz w:val="21"/>
                <w:szCs w:val="21"/>
                <w:lang w:eastAsia="zh-CN"/>
              </w:rPr>
              <w:t>：</w:t>
            </w:r>
            <w:r>
              <w:rPr>
                <w:rFonts w:hint="eastAsia"/>
                <w:color w:val="auto"/>
                <w:sz w:val="21"/>
                <w:szCs w:val="21"/>
              </w:rPr>
              <w:t>202</w:t>
            </w:r>
            <w:r>
              <w:rPr>
                <w:rFonts w:hint="eastAsia"/>
                <w:color w:val="auto"/>
                <w:sz w:val="21"/>
                <w:szCs w:val="21"/>
                <w:lang w:val="en-US" w:eastAsia="zh-CN"/>
              </w:rPr>
              <w:t>6</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w:t>
            </w:r>
            <w:r>
              <w:rPr>
                <w:rFonts w:hint="eastAsia"/>
                <w:color w:val="auto"/>
                <w:sz w:val="21"/>
                <w:szCs w:val="21"/>
                <w:lang w:val="en-US" w:eastAsia="zh-CN"/>
              </w:rPr>
              <w:t>19</w:t>
            </w:r>
            <w:r>
              <w:rPr>
                <w:rFonts w:hint="eastAsia"/>
                <w:color w:val="auto"/>
                <w:sz w:val="21"/>
                <w:szCs w:val="21"/>
              </w:rPr>
              <w:t>日</w:t>
            </w:r>
            <w:r>
              <w:rPr>
                <w:rFonts w:hint="eastAsia"/>
                <w:color w:val="auto"/>
                <w:sz w:val="21"/>
                <w:szCs w:val="21"/>
                <w:lang w:val="en-US" w:eastAsia="zh-CN"/>
              </w:rPr>
              <w:t>13</w:t>
            </w:r>
            <w:r>
              <w:rPr>
                <w:rFonts w:hint="eastAsia"/>
                <w:color w:val="auto"/>
                <w:sz w:val="21"/>
                <w:szCs w:val="21"/>
              </w:rPr>
              <w:t>时</w:t>
            </w:r>
            <w:r>
              <w:rPr>
                <w:rFonts w:hint="eastAsia"/>
                <w:color w:val="auto"/>
                <w:sz w:val="21"/>
                <w:szCs w:val="21"/>
                <w:lang w:val="en-US" w:eastAsia="zh-CN"/>
              </w:rPr>
              <w:t>30</w:t>
            </w:r>
            <w:r>
              <w:rPr>
                <w:rFonts w:hint="eastAsia"/>
                <w:color w:val="auto"/>
                <w:sz w:val="21"/>
                <w:szCs w:val="21"/>
              </w:rPr>
              <w:t>分（北京时间）</w:t>
            </w:r>
          </w:p>
        </w:tc>
      </w:tr>
      <w:tr w14:paraId="4AB1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901" w:type="dxa"/>
            <w:vAlign w:val="center"/>
          </w:tcPr>
          <w:p w14:paraId="005F2353">
            <w:pPr>
              <w:bidi w:val="0"/>
              <w:spacing w:line="360" w:lineRule="auto"/>
              <w:jc w:val="both"/>
              <w:rPr>
                <w:rFonts w:hint="eastAsia"/>
                <w:color w:val="auto"/>
                <w:sz w:val="21"/>
                <w:szCs w:val="21"/>
                <w:lang w:eastAsia="zh-CN"/>
              </w:rPr>
            </w:pPr>
            <w:r>
              <w:rPr>
                <w:color w:val="auto"/>
                <w:sz w:val="21"/>
                <w:szCs w:val="21"/>
              </w:rPr>
              <w:t>2</w:t>
            </w:r>
            <w:r>
              <w:rPr>
                <w:rFonts w:hint="eastAsia"/>
                <w:color w:val="auto"/>
                <w:sz w:val="21"/>
                <w:szCs w:val="21"/>
                <w:lang w:val="en-US" w:eastAsia="zh-CN"/>
              </w:rPr>
              <w:t>8</w:t>
            </w:r>
          </w:p>
        </w:tc>
        <w:tc>
          <w:tcPr>
            <w:tcW w:w="2294" w:type="dxa"/>
            <w:vAlign w:val="center"/>
          </w:tcPr>
          <w:p w14:paraId="29565602">
            <w:pPr>
              <w:bidi w:val="0"/>
              <w:spacing w:line="360" w:lineRule="auto"/>
              <w:jc w:val="both"/>
              <w:rPr>
                <w:color w:val="auto"/>
                <w:sz w:val="21"/>
                <w:szCs w:val="21"/>
              </w:rPr>
            </w:pPr>
            <w:r>
              <w:rPr>
                <w:color w:val="auto"/>
                <w:sz w:val="21"/>
                <w:szCs w:val="21"/>
              </w:rPr>
              <w:t>递交响应文件地点</w:t>
            </w:r>
          </w:p>
        </w:tc>
        <w:tc>
          <w:tcPr>
            <w:tcW w:w="7182" w:type="dxa"/>
            <w:vAlign w:val="center"/>
          </w:tcPr>
          <w:p w14:paraId="68A23676">
            <w:pPr>
              <w:bidi w:val="0"/>
              <w:spacing w:line="360" w:lineRule="auto"/>
              <w:jc w:val="both"/>
              <w:rPr>
                <w:rFonts w:hint="eastAsia" w:eastAsia="宋体"/>
                <w:color w:val="auto"/>
                <w:sz w:val="21"/>
                <w:szCs w:val="21"/>
                <w:lang w:eastAsia="zh-CN"/>
              </w:rPr>
            </w:pPr>
            <w:r>
              <w:rPr>
                <w:color w:val="auto"/>
                <w:sz w:val="21"/>
                <w:szCs w:val="21"/>
              </w:rPr>
              <w:t>开标地点</w:t>
            </w:r>
            <w:r>
              <w:rPr>
                <w:rFonts w:hint="eastAsia"/>
                <w:color w:val="auto"/>
                <w:sz w:val="21"/>
                <w:szCs w:val="21"/>
              </w:rPr>
              <w:t>：长春市二道区洋浦大街6669号凯利中心AB栋101开标</w:t>
            </w:r>
            <w:r>
              <w:rPr>
                <w:rFonts w:hint="eastAsia"/>
                <w:color w:val="auto"/>
                <w:sz w:val="21"/>
                <w:szCs w:val="21"/>
                <w:lang w:val="en-US" w:eastAsia="zh-CN"/>
              </w:rPr>
              <w:t>2</w:t>
            </w:r>
            <w:r>
              <w:rPr>
                <w:rFonts w:hint="eastAsia"/>
                <w:color w:val="auto"/>
                <w:sz w:val="21"/>
                <w:szCs w:val="21"/>
              </w:rPr>
              <w:t>室（政采云电子评审系统上传提交电子文件）。</w:t>
            </w:r>
          </w:p>
        </w:tc>
      </w:tr>
      <w:tr w14:paraId="4DC2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901" w:type="dxa"/>
            <w:vAlign w:val="center"/>
          </w:tcPr>
          <w:p w14:paraId="2824672B">
            <w:pPr>
              <w:bidi w:val="0"/>
              <w:spacing w:line="360" w:lineRule="auto"/>
              <w:jc w:val="both"/>
              <w:rPr>
                <w:rFonts w:hint="default"/>
                <w:color w:val="auto"/>
                <w:sz w:val="21"/>
                <w:szCs w:val="21"/>
                <w:lang w:val="en-US" w:eastAsia="zh-CN"/>
              </w:rPr>
            </w:pPr>
            <w:r>
              <w:rPr>
                <w:rFonts w:hint="eastAsia"/>
                <w:color w:val="auto"/>
                <w:sz w:val="21"/>
                <w:szCs w:val="21"/>
                <w:lang w:val="en-US" w:eastAsia="zh-CN"/>
              </w:rPr>
              <w:t>29</w:t>
            </w:r>
          </w:p>
        </w:tc>
        <w:tc>
          <w:tcPr>
            <w:tcW w:w="2294" w:type="dxa"/>
            <w:vAlign w:val="center"/>
          </w:tcPr>
          <w:p w14:paraId="2788E1D2">
            <w:pPr>
              <w:bidi w:val="0"/>
              <w:spacing w:line="360" w:lineRule="auto"/>
              <w:jc w:val="both"/>
              <w:rPr>
                <w:color w:val="auto"/>
                <w:sz w:val="21"/>
                <w:szCs w:val="21"/>
              </w:rPr>
            </w:pPr>
            <w:r>
              <w:rPr>
                <w:color w:val="auto"/>
                <w:sz w:val="21"/>
                <w:szCs w:val="21"/>
              </w:rPr>
              <w:t>是否退还响应文件</w:t>
            </w:r>
          </w:p>
        </w:tc>
        <w:tc>
          <w:tcPr>
            <w:tcW w:w="7182" w:type="dxa"/>
            <w:vAlign w:val="center"/>
          </w:tcPr>
          <w:p w14:paraId="04C74F97">
            <w:pPr>
              <w:bidi w:val="0"/>
              <w:spacing w:line="360" w:lineRule="auto"/>
              <w:jc w:val="both"/>
              <w:rPr>
                <w:color w:val="auto"/>
                <w:sz w:val="21"/>
                <w:szCs w:val="21"/>
              </w:rPr>
            </w:pPr>
            <w:r>
              <w:rPr>
                <w:color w:val="auto"/>
                <w:sz w:val="21"/>
                <w:szCs w:val="21"/>
              </w:rPr>
              <w:t>否</w:t>
            </w:r>
          </w:p>
        </w:tc>
      </w:tr>
      <w:tr w14:paraId="0EFB3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901" w:type="dxa"/>
            <w:vAlign w:val="center"/>
          </w:tcPr>
          <w:p w14:paraId="7BC18AF7">
            <w:pPr>
              <w:bidi w:val="0"/>
              <w:spacing w:line="360" w:lineRule="auto"/>
              <w:jc w:val="both"/>
              <w:rPr>
                <w:color w:val="auto"/>
                <w:sz w:val="21"/>
                <w:szCs w:val="21"/>
              </w:rPr>
            </w:pPr>
          </w:p>
          <w:p w14:paraId="341E66BC">
            <w:pPr>
              <w:bidi w:val="0"/>
              <w:spacing w:line="360" w:lineRule="auto"/>
              <w:jc w:val="both"/>
              <w:rPr>
                <w:rFonts w:hint="default"/>
                <w:color w:val="auto"/>
                <w:sz w:val="21"/>
                <w:szCs w:val="21"/>
                <w:lang w:val="en-US" w:eastAsia="zh-CN"/>
              </w:rPr>
            </w:pPr>
            <w:r>
              <w:rPr>
                <w:rFonts w:hint="eastAsia"/>
                <w:color w:val="auto"/>
                <w:sz w:val="21"/>
                <w:szCs w:val="21"/>
                <w:lang w:val="en-US" w:eastAsia="zh-CN"/>
              </w:rPr>
              <w:t>30</w:t>
            </w:r>
          </w:p>
        </w:tc>
        <w:tc>
          <w:tcPr>
            <w:tcW w:w="2294" w:type="dxa"/>
            <w:vAlign w:val="center"/>
          </w:tcPr>
          <w:p w14:paraId="5DF30D18">
            <w:pPr>
              <w:bidi w:val="0"/>
              <w:spacing w:line="360" w:lineRule="auto"/>
              <w:jc w:val="both"/>
              <w:rPr>
                <w:color w:val="auto"/>
                <w:sz w:val="21"/>
                <w:szCs w:val="21"/>
              </w:rPr>
            </w:pPr>
          </w:p>
          <w:p w14:paraId="460DF851">
            <w:pPr>
              <w:bidi w:val="0"/>
              <w:spacing w:line="360" w:lineRule="auto"/>
              <w:jc w:val="both"/>
              <w:rPr>
                <w:color w:val="auto"/>
                <w:sz w:val="21"/>
                <w:szCs w:val="21"/>
              </w:rPr>
            </w:pPr>
            <w:r>
              <w:rPr>
                <w:color w:val="auto"/>
                <w:sz w:val="21"/>
                <w:szCs w:val="21"/>
              </w:rPr>
              <w:t>开启时间和地点</w:t>
            </w:r>
          </w:p>
        </w:tc>
        <w:tc>
          <w:tcPr>
            <w:tcW w:w="7182" w:type="dxa"/>
            <w:vAlign w:val="center"/>
          </w:tcPr>
          <w:p w14:paraId="7B734662">
            <w:pPr>
              <w:bidi w:val="0"/>
              <w:spacing w:line="360" w:lineRule="auto"/>
              <w:jc w:val="both"/>
              <w:rPr>
                <w:color w:val="auto"/>
                <w:sz w:val="21"/>
                <w:szCs w:val="21"/>
              </w:rPr>
            </w:pPr>
            <w:r>
              <w:rPr>
                <w:color w:val="auto"/>
                <w:sz w:val="21"/>
                <w:szCs w:val="21"/>
              </w:rPr>
              <w:t>时间：</w:t>
            </w:r>
            <w:r>
              <w:rPr>
                <w:rFonts w:hint="eastAsia"/>
                <w:color w:val="auto"/>
                <w:sz w:val="21"/>
                <w:szCs w:val="21"/>
              </w:rPr>
              <w:t>202</w:t>
            </w:r>
            <w:r>
              <w:rPr>
                <w:rFonts w:hint="eastAsia"/>
                <w:color w:val="auto"/>
                <w:sz w:val="21"/>
                <w:szCs w:val="21"/>
                <w:lang w:val="en-US" w:eastAsia="zh-CN"/>
              </w:rPr>
              <w:t>6</w:t>
            </w:r>
            <w:r>
              <w:rPr>
                <w:rFonts w:hint="eastAsia"/>
                <w:color w:val="auto"/>
                <w:sz w:val="21"/>
                <w:szCs w:val="21"/>
              </w:rPr>
              <w:t>年</w:t>
            </w:r>
            <w:r>
              <w:rPr>
                <w:rFonts w:hint="eastAsia"/>
                <w:color w:val="auto"/>
                <w:sz w:val="21"/>
                <w:szCs w:val="21"/>
                <w:lang w:val="en-US" w:eastAsia="zh-CN"/>
              </w:rPr>
              <w:t>5</w:t>
            </w:r>
            <w:r>
              <w:rPr>
                <w:rFonts w:hint="eastAsia"/>
                <w:color w:val="auto"/>
                <w:sz w:val="21"/>
                <w:szCs w:val="21"/>
              </w:rPr>
              <w:t>月</w:t>
            </w:r>
            <w:r>
              <w:rPr>
                <w:rFonts w:hint="eastAsia"/>
                <w:color w:val="auto"/>
                <w:sz w:val="21"/>
                <w:szCs w:val="21"/>
                <w:lang w:val="en-US" w:eastAsia="zh-CN"/>
              </w:rPr>
              <w:t>19</w:t>
            </w:r>
            <w:r>
              <w:rPr>
                <w:rFonts w:hint="eastAsia"/>
                <w:color w:val="auto"/>
                <w:sz w:val="21"/>
                <w:szCs w:val="21"/>
              </w:rPr>
              <w:t>日</w:t>
            </w:r>
            <w:r>
              <w:rPr>
                <w:rFonts w:hint="eastAsia"/>
                <w:color w:val="auto"/>
                <w:sz w:val="21"/>
                <w:szCs w:val="21"/>
                <w:lang w:val="en-US" w:eastAsia="zh-CN"/>
              </w:rPr>
              <w:t>13</w:t>
            </w:r>
            <w:r>
              <w:rPr>
                <w:rFonts w:hint="eastAsia"/>
                <w:color w:val="auto"/>
                <w:sz w:val="21"/>
                <w:szCs w:val="21"/>
              </w:rPr>
              <w:t>时</w:t>
            </w:r>
            <w:r>
              <w:rPr>
                <w:rFonts w:hint="eastAsia"/>
                <w:color w:val="auto"/>
                <w:sz w:val="21"/>
                <w:szCs w:val="21"/>
                <w:lang w:val="en-US" w:eastAsia="zh-CN"/>
              </w:rPr>
              <w:t>30</w:t>
            </w:r>
            <w:r>
              <w:rPr>
                <w:rFonts w:hint="eastAsia"/>
                <w:color w:val="auto"/>
                <w:sz w:val="21"/>
                <w:szCs w:val="21"/>
              </w:rPr>
              <w:t>分（北京时间）</w:t>
            </w:r>
          </w:p>
          <w:p w14:paraId="0D2F74CF">
            <w:pPr>
              <w:bidi w:val="0"/>
              <w:spacing w:line="360" w:lineRule="auto"/>
              <w:jc w:val="both"/>
              <w:rPr>
                <w:rFonts w:hint="eastAsia" w:eastAsia="宋体"/>
                <w:color w:val="auto"/>
                <w:sz w:val="21"/>
                <w:szCs w:val="21"/>
                <w:lang w:eastAsia="zh-CN"/>
              </w:rPr>
            </w:pPr>
            <w:r>
              <w:rPr>
                <w:color w:val="auto"/>
                <w:sz w:val="21"/>
                <w:szCs w:val="21"/>
              </w:rPr>
              <w:t>地点：</w:t>
            </w:r>
            <w:r>
              <w:rPr>
                <w:rFonts w:hint="eastAsia"/>
                <w:color w:val="auto"/>
                <w:sz w:val="21"/>
                <w:szCs w:val="21"/>
              </w:rPr>
              <w:t>长春市二道区洋浦大街6669号凯利中心AB栋101开标</w:t>
            </w:r>
            <w:r>
              <w:rPr>
                <w:rFonts w:hint="eastAsia"/>
                <w:color w:val="auto"/>
                <w:sz w:val="21"/>
                <w:szCs w:val="21"/>
                <w:lang w:val="en-US" w:eastAsia="zh-CN"/>
              </w:rPr>
              <w:t>2</w:t>
            </w:r>
            <w:r>
              <w:rPr>
                <w:rFonts w:hint="eastAsia"/>
                <w:color w:val="auto"/>
                <w:sz w:val="21"/>
                <w:szCs w:val="21"/>
              </w:rPr>
              <w:t>室（政采云电子评审系统上传提交电子文件）。</w:t>
            </w:r>
          </w:p>
        </w:tc>
      </w:tr>
      <w:tr w14:paraId="3CE9D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901" w:type="dxa"/>
            <w:vAlign w:val="center"/>
          </w:tcPr>
          <w:p w14:paraId="6A9BEAD2">
            <w:pPr>
              <w:bidi w:val="0"/>
              <w:spacing w:line="360" w:lineRule="auto"/>
              <w:jc w:val="both"/>
              <w:rPr>
                <w:rFonts w:hint="eastAsia"/>
                <w:color w:val="auto"/>
                <w:sz w:val="21"/>
                <w:szCs w:val="21"/>
                <w:lang w:eastAsia="zh-CN"/>
              </w:rPr>
            </w:pPr>
            <w:r>
              <w:rPr>
                <w:color w:val="auto"/>
                <w:sz w:val="21"/>
                <w:szCs w:val="21"/>
              </w:rPr>
              <w:t>3</w:t>
            </w:r>
            <w:r>
              <w:rPr>
                <w:rFonts w:hint="eastAsia"/>
                <w:color w:val="auto"/>
                <w:sz w:val="21"/>
                <w:szCs w:val="21"/>
                <w:lang w:val="en-US" w:eastAsia="zh-CN"/>
              </w:rPr>
              <w:t>1</w:t>
            </w:r>
          </w:p>
        </w:tc>
        <w:tc>
          <w:tcPr>
            <w:tcW w:w="2294" w:type="dxa"/>
            <w:vAlign w:val="center"/>
          </w:tcPr>
          <w:p w14:paraId="5F64CA61">
            <w:pPr>
              <w:bidi w:val="0"/>
              <w:spacing w:line="360" w:lineRule="auto"/>
              <w:jc w:val="both"/>
              <w:rPr>
                <w:color w:val="auto"/>
                <w:sz w:val="21"/>
                <w:szCs w:val="21"/>
              </w:rPr>
            </w:pPr>
            <w:r>
              <w:rPr>
                <w:color w:val="auto"/>
                <w:sz w:val="21"/>
                <w:szCs w:val="21"/>
              </w:rPr>
              <w:t>磋商小组的组建</w:t>
            </w:r>
          </w:p>
        </w:tc>
        <w:tc>
          <w:tcPr>
            <w:tcW w:w="7182" w:type="dxa"/>
            <w:vAlign w:val="center"/>
          </w:tcPr>
          <w:p w14:paraId="4554FBDE">
            <w:pPr>
              <w:bidi w:val="0"/>
              <w:spacing w:line="360" w:lineRule="auto"/>
              <w:jc w:val="both"/>
              <w:rPr>
                <w:color w:val="auto"/>
                <w:sz w:val="21"/>
                <w:szCs w:val="21"/>
              </w:rPr>
            </w:pPr>
            <w:r>
              <w:rPr>
                <w:color w:val="auto"/>
                <w:sz w:val="21"/>
                <w:szCs w:val="21"/>
              </w:rPr>
              <w:t>磋商小组构成：相关专家3人。</w:t>
            </w:r>
          </w:p>
          <w:p w14:paraId="43CF0FB9">
            <w:pPr>
              <w:bidi w:val="0"/>
              <w:spacing w:line="360" w:lineRule="auto"/>
              <w:jc w:val="both"/>
              <w:rPr>
                <w:color w:val="auto"/>
                <w:sz w:val="21"/>
                <w:szCs w:val="21"/>
              </w:rPr>
            </w:pPr>
            <w:r>
              <w:rPr>
                <w:color w:val="auto"/>
                <w:sz w:val="21"/>
                <w:szCs w:val="21"/>
              </w:rPr>
              <w:t>专家确定方式：从专家库中随机抽取</w:t>
            </w:r>
          </w:p>
        </w:tc>
      </w:tr>
      <w:tr w14:paraId="73EE7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901" w:type="dxa"/>
            <w:vAlign w:val="center"/>
          </w:tcPr>
          <w:p w14:paraId="3F0CA2EA">
            <w:pPr>
              <w:bidi w:val="0"/>
              <w:spacing w:line="360" w:lineRule="auto"/>
              <w:jc w:val="both"/>
              <w:rPr>
                <w:rFonts w:hint="eastAsia"/>
                <w:color w:val="auto"/>
                <w:sz w:val="21"/>
                <w:szCs w:val="21"/>
                <w:lang w:eastAsia="zh-CN"/>
              </w:rPr>
            </w:pPr>
            <w:r>
              <w:rPr>
                <w:color w:val="auto"/>
                <w:sz w:val="21"/>
                <w:szCs w:val="21"/>
              </w:rPr>
              <w:t>3</w:t>
            </w:r>
            <w:r>
              <w:rPr>
                <w:rFonts w:hint="eastAsia"/>
                <w:color w:val="auto"/>
                <w:sz w:val="21"/>
                <w:szCs w:val="21"/>
                <w:lang w:val="en-US" w:eastAsia="zh-CN"/>
              </w:rPr>
              <w:t>2</w:t>
            </w:r>
          </w:p>
        </w:tc>
        <w:tc>
          <w:tcPr>
            <w:tcW w:w="2294" w:type="dxa"/>
            <w:vAlign w:val="center"/>
          </w:tcPr>
          <w:p w14:paraId="0D31DE48">
            <w:pPr>
              <w:bidi w:val="0"/>
              <w:spacing w:line="360" w:lineRule="auto"/>
              <w:jc w:val="both"/>
              <w:rPr>
                <w:color w:val="auto"/>
                <w:sz w:val="21"/>
                <w:szCs w:val="21"/>
              </w:rPr>
            </w:pPr>
            <w:r>
              <w:rPr>
                <w:color w:val="auto"/>
                <w:sz w:val="21"/>
                <w:szCs w:val="21"/>
              </w:rPr>
              <w:t>成交结果公告媒介及</w:t>
            </w:r>
          </w:p>
          <w:p w14:paraId="7696A9F5">
            <w:pPr>
              <w:bidi w:val="0"/>
              <w:spacing w:line="360" w:lineRule="auto"/>
              <w:jc w:val="both"/>
              <w:rPr>
                <w:color w:val="auto"/>
                <w:sz w:val="21"/>
                <w:szCs w:val="21"/>
              </w:rPr>
            </w:pPr>
            <w:r>
              <w:rPr>
                <w:color w:val="auto"/>
                <w:sz w:val="21"/>
                <w:szCs w:val="21"/>
              </w:rPr>
              <w:t>期限</w:t>
            </w:r>
          </w:p>
        </w:tc>
        <w:tc>
          <w:tcPr>
            <w:tcW w:w="7182" w:type="dxa"/>
            <w:vAlign w:val="center"/>
          </w:tcPr>
          <w:p w14:paraId="664BAB66">
            <w:pPr>
              <w:bidi w:val="0"/>
              <w:spacing w:line="360" w:lineRule="auto"/>
              <w:jc w:val="both"/>
              <w:rPr>
                <w:color w:val="auto"/>
                <w:sz w:val="21"/>
                <w:szCs w:val="21"/>
              </w:rPr>
            </w:pPr>
            <w:r>
              <w:rPr>
                <w:color w:val="auto"/>
                <w:sz w:val="21"/>
                <w:szCs w:val="21"/>
              </w:rPr>
              <w:t>同公告发布媒介</w:t>
            </w:r>
          </w:p>
          <w:p w14:paraId="174227CC">
            <w:pPr>
              <w:bidi w:val="0"/>
              <w:spacing w:line="360" w:lineRule="auto"/>
              <w:jc w:val="both"/>
              <w:rPr>
                <w:color w:val="auto"/>
                <w:sz w:val="21"/>
                <w:szCs w:val="21"/>
              </w:rPr>
            </w:pPr>
            <w:r>
              <w:rPr>
                <w:color w:val="auto"/>
                <w:sz w:val="21"/>
                <w:szCs w:val="21"/>
              </w:rPr>
              <w:t>公示期限：1个工作日</w:t>
            </w:r>
          </w:p>
        </w:tc>
      </w:tr>
      <w:tr w14:paraId="2A19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901" w:type="dxa"/>
            <w:vAlign w:val="center"/>
          </w:tcPr>
          <w:p w14:paraId="26AAAE2D">
            <w:pPr>
              <w:bidi w:val="0"/>
              <w:spacing w:line="360" w:lineRule="auto"/>
              <w:jc w:val="both"/>
              <w:rPr>
                <w:rFonts w:hint="eastAsia"/>
                <w:color w:val="auto"/>
                <w:sz w:val="21"/>
                <w:szCs w:val="21"/>
                <w:lang w:eastAsia="zh-CN"/>
              </w:rPr>
            </w:pPr>
            <w:r>
              <w:rPr>
                <w:color w:val="auto"/>
                <w:sz w:val="21"/>
                <w:szCs w:val="21"/>
              </w:rPr>
              <w:t>3</w:t>
            </w:r>
            <w:r>
              <w:rPr>
                <w:rFonts w:hint="eastAsia"/>
                <w:color w:val="auto"/>
                <w:sz w:val="21"/>
                <w:szCs w:val="21"/>
                <w:lang w:val="en-US" w:eastAsia="zh-CN"/>
              </w:rPr>
              <w:t>3</w:t>
            </w:r>
          </w:p>
        </w:tc>
        <w:tc>
          <w:tcPr>
            <w:tcW w:w="2294" w:type="dxa"/>
            <w:vAlign w:val="center"/>
          </w:tcPr>
          <w:p w14:paraId="4CAC94C6">
            <w:pPr>
              <w:bidi w:val="0"/>
              <w:spacing w:line="360" w:lineRule="auto"/>
              <w:jc w:val="both"/>
              <w:rPr>
                <w:color w:val="auto"/>
                <w:sz w:val="21"/>
                <w:szCs w:val="21"/>
              </w:rPr>
            </w:pPr>
            <w:r>
              <w:rPr>
                <w:color w:val="auto"/>
                <w:sz w:val="21"/>
                <w:szCs w:val="21"/>
              </w:rPr>
              <w:t>合同方式</w:t>
            </w:r>
          </w:p>
        </w:tc>
        <w:tc>
          <w:tcPr>
            <w:tcW w:w="7182" w:type="dxa"/>
            <w:vAlign w:val="center"/>
          </w:tcPr>
          <w:p w14:paraId="7FF8C756">
            <w:pPr>
              <w:bidi w:val="0"/>
              <w:spacing w:line="360" w:lineRule="auto"/>
              <w:jc w:val="both"/>
              <w:rPr>
                <w:rFonts w:hint="eastAsia" w:eastAsia="宋体"/>
                <w:color w:val="auto"/>
                <w:sz w:val="21"/>
                <w:szCs w:val="21"/>
                <w:lang w:eastAsia="zh-CN"/>
              </w:rPr>
            </w:pPr>
            <w:r>
              <w:rPr>
                <w:color w:val="auto"/>
                <w:sz w:val="21"/>
                <w:szCs w:val="21"/>
              </w:rPr>
              <w:t>单价合同</w:t>
            </w:r>
            <w:r>
              <w:rPr>
                <w:rFonts w:hint="eastAsia"/>
                <w:color w:val="auto"/>
                <w:sz w:val="21"/>
                <w:szCs w:val="21"/>
                <w:lang w:eastAsia="zh-CN"/>
              </w:rPr>
              <w:t>（</w:t>
            </w:r>
            <w:r>
              <w:rPr>
                <w:rFonts w:hint="eastAsia"/>
                <w:color w:val="auto"/>
                <w:sz w:val="21"/>
                <w:szCs w:val="21"/>
                <w:lang w:val="en-US" w:eastAsia="zh-CN"/>
              </w:rPr>
              <w:t>工程范围以施工图纸、现场踏勘时委托人要求为限，结算总价不得超过项目总预算</w:t>
            </w:r>
            <w:r>
              <w:rPr>
                <w:rFonts w:hint="eastAsia"/>
                <w:color w:val="auto"/>
                <w:sz w:val="21"/>
                <w:szCs w:val="21"/>
                <w:lang w:eastAsia="zh-CN"/>
              </w:rPr>
              <w:t>）</w:t>
            </w:r>
          </w:p>
        </w:tc>
      </w:tr>
      <w:tr w14:paraId="4912E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901" w:type="dxa"/>
            <w:vAlign w:val="center"/>
          </w:tcPr>
          <w:p w14:paraId="413AA2E8">
            <w:pPr>
              <w:bidi w:val="0"/>
              <w:spacing w:line="360" w:lineRule="auto"/>
              <w:jc w:val="both"/>
              <w:rPr>
                <w:rFonts w:hint="eastAsia"/>
                <w:color w:val="auto"/>
                <w:sz w:val="21"/>
                <w:szCs w:val="21"/>
                <w:lang w:eastAsia="zh-CN"/>
              </w:rPr>
            </w:pPr>
            <w:r>
              <w:rPr>
                <w:color w:val="auto"/>
                <w:sz w:val="21"/>
                <w:szCs w:val="21"/>
              </w:rPr>
              <w:t>3</w:t>
            </w:r>
            <w:r>
              <w:rPr>
                <w:rFonts w:hint="eastAsia"/>
                <w:color w:val="auto"/>
                <w:sz w:val="21"/>
                <w:szCs w:val="21"/>
                <w:lang w:val="en-US" w:eastAsia="zh-CN"/>
              </w:rPr>
              <w:t>4</w:t>
            </w:r>
          </w:p>
        </w:tc>
        <w:tc>
          <w:tcPr>
            <w:tcW w:w="2294" w:type="dxa"/>
            <w:vAlign w:val="center"/>
          </w:tcPr>
          <w:p w14:paraId="0CB168CC">
            <w:pPr>
              <w:bidi w:val="0"/>
              <w:spacing w:line="360" w:lineRule="auto"/>
              <w:jc w:val="both"/>
              <w:rPr>
                <w:color w:val="auto"/>
                <w:sz w:val="21"/>
                <w:szCs w:val="21"/>
              </w:rPr>
            </w:pPr>
            <w:r>
              <w:rPr>
                <w:color w:val="auto"/>
                <w:sz w:val="21"/>
                <w:szCs w:val="21"/>
              </w:rPr>
              <w:t>报价方式</w:t>
            </w:r>
          </w:p>
        </w:tc>
        <w:tc>
          <w:tcPr>
            <w:tcW w:w="7182" w:type="dxa"/>
            <w:vAlign w:val="center"/>
          </w:tcPr>
          <w:p w14:paraId="35B9FD91">
            <w:pPr>
              <w:bidi w:val="0"/>
              <w:spacing w:line="360" w:lineRule="auto"/>
              <w:jc w:val="both"/>
              <w:rPr>
                <w:color w:val="auto"/>
                <w:sz w:val="21"/>
                <w:szCs w:val="21"/>
              </w:rPr>
            </w:pPr>
            <w:r>
              <w:rPr>
                <w:color w:val="auto"/>
                <w:sz w:val="21"/>
                <w:szCs w:val="21"/>
              </w:rPr>
              <w:t>采用综合单价方式</w:t>
            </w:r>
          </w:p>
        </w:tc>
      </w:tr>
      <w:tr w14:paraId="7F97C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01" w:type="dxa"/>
            <w:vAlign w:val="center"/>
          </w:tcPr>
          <w:p w14:paraId="7890184F">
            <w:pPr>
              <w:bidi w:val="0"/>
              <w:spacing w:line="360" w:lineRule="auto"/>
              <w:jc w:val="both"/>
              <w:rPr>
                <w:rFonts w:hint="eastAsia"/>
                <w:color w:val="auto"/>
                <w:sz w:val="21"/>
                <w:szCs w:val="21"/>
                <w:lang w:eastAsia="zh-CN"/>
              </w:rPr>
            </w:pPr>
            <w:r>
              <w:rPr>
                <w:color w:val="auto"/>
                <w:sz w:val="21"/>
                <w:szCs w:val="21"/>
              </w:rPr>
              <w:t>3</w:t>
            </w:r>
            <w:r>
              <w:rPr>
                <w:rFonts w:hint="eastAsia"/>
                <w:color w:val="auto"/>
                <w:sz w:val="21"/>
                <w:szCs w:val="21"/>
                <w:lang w:val="en-US" w:eastAsia="zh-CN"/>
              </w:rPr>
              <w:t>5</w:t>
            </w:r>
          </w:p>
        </w:tc>
        <w:tc>
          <w:tcPr>
            <w:tcW w:w="2294" w:type="dxa"/>
            <w:vAlign w:val="center"/>
          </w:tcPr>
          <w:p w14:paraId="67C4B679">
            <w:pPr>
              <w:bidi w:val="0"/>
              <w:spacing w:line="360" w:lineRule="auto"/>
              <w:jc w:val="both"/>
              <w:rPr>
                <w:color w:val="auto"/>
                <w:sz w:val="21"/>
                <w:szCs w:val="21"/>
              </w:rPr>
            </w:pPr>
            <w:r>
              <w:rPr>
                <w:color w:val="auto"/>
                <w:sz w:val="21"/>
                <w:szCs w:val="21"/>
              </w:rPr>
              <w:t>是否授权磋商小组确定成交供应商</w:t>
            </w:r>
          </w:p>
        </w:tc>
        <w:tc>
          <w:tcPr>
            <w:tcW w:w="7182" w:type="dxa"/>
            <w:vAlign w:val="center"/>
          </w:tcPr>
          <w:p w14:paraId="789058E1">
            <w:pPr>
              <w:bidi w:val="0"/>
              <w:spacing w:line="360" w:lineRule="auto"/>
              <w:jc w:val="both"/>
              <w:rPr>
                <w:color w:val="auto"/>
                <w:sz w:val="21"/>
                <w:szCs w:val="21"/>
              </w:rPr>
            </w:pPr>
            <w:r>
              <w:rPr>
                <w:color w:val="auto"/>
                <w:sz w:val="21"/>
                <w:szCs w:val="21"/>
              </w:rPr>
              <w:t>是</w:t>
            </w:r>
          </w:p>
        </w:tc>
      </w:tr>
      <w:tr w14:paraId="3F2F9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tcW w:w="901" w:type="dxa"/>
            <w:vAlign w:val="center"/>
          </w:tcPr>
          <w:p w14:paraId="2220A6D4">
            <w:pPr>
              <w:bidi w:val="0"/>
              <w:spacing w:line="360" w:lineRule="auto"/>
              <w:jc w:val="both"/>
              <w:rPr>
                <w:rFonts w:hint="eastAsia"/>
                <w:color w:val="auto"/>
                <w:sz w:val="21"/>
                <w:szCs w:val="21"/>
                <w:lang w:eastAsia="zh-CN"/>
              </w:rPr>
            </w:pPr>
            <w:r>
              <w:rPr>
                <w:color w:val="auto"/>
                <w:sz w:val="21"/>
                <w:szCs w:val="21"/>
              </w:rPr>
              <w:t>3</w:t>
            </w:r>
            <w:r>
              <w:rPr>
                <w:rFonts w:hint="eastAsia"/>
                <w:color w:val="auto"/>
                <w:sz w:val="21"/>
                <w:szCs w:val="21"/>
                <w:lang w:val="en-US" w:eastAsia="zh-CN"/>
              </w:rPr>
              <w:t>6</w:t>
            </w:r>
          </w:p>
        </w:tc>
        <w:tc>
          <w:tcPr>
            <w:tcW w:w="2294" w:type="dxa"/>
            <w:vAlign w:val="center"/>
          </w:tcPr>
          <w:p w14:paraId="4389ABE0">
            <w:pPr>
              <w:bidi w:val="0"/>
              <w:spacing w:line="360" w:lineRule="auto"/>
              <w:jc w:val="both"/>
              <w:rPr>
                <w:color w:val="auto"/>
                <w:sz w:val="21"/>
                <w:szCs w:val="21"/>
              </w:rPr>
            </w:pPr>
            <w:r>
              <w:rPr>
                <w:color w:val="auto"/>
                <w:sz w:val="21"/>
                <w:szCs w:val="21"/>
              </w:rPr>
              <w:t>采购代理服务费</w:t>
            </w:r>
          </w:p>
        </w:tc>
        <w:tc>
          <w:tcPr>
            <w:tcW w:w="7182" w:type="dxa"/>
            <w:vAlign w:val="center"/>
          </w:tcPr>
          <w:p w14:paraId="620287FD">
            <w:pPr>
              <w:bidi w:val="0"/>
              <w:spacing w:line="360" w:lineRule="auto"/>
              <w:jc w:val="both"/>
              <w:rPr>
                <w:color w:val="auto"/>
                <w:sz w:val="21"/>
                <w:szCs w:val="21"/>
              </w:rPr>
            </w:pPr>
            <w:r>
              <w:rPr>
                <w:color w:val="auto"/>
                <w:sz w:val="21"/>
                <w:szCs w:val="21"/>
              </w:rPr>
              <w:t>参照国家发改委关于进一步放开建设项目专业服务价格的通知（发改价格</w:t>
            </w:r>
          </w:p>
          <w:p w14:paraId="534A934B">
            <w:pPr>
              <w:bidi w:val="0"/>
              <w:spacing w:line="360" w:lineRule="auto"/>
              <w:jc w:val="both"/>
              <w:rPr>
                <w:color w:val="auto"/>
                <w:sz w:val="21"/>
                <w:szCs w:val="21"/>
              </w:rPr>
            </w:pPr>
            <w:r>
              <w:rPr>
                <w:color w:val="auto"/>
                <w:sz w:val="21"/>
                <w:szCs w:val="21"/>
              </w:rPr>
              <w:t>【2015】299号）的收费标准</w:t>
            </w:r>
            <w:r>
              <w:rPr>
                <w:rFonts w:hint="eastAsia"/>
                <w:color w:val="auto"/>
                <w:sz w:val="21"/>
                <w:szCs w:val="21"/>
                <w:lang w:eastAsia="zh-CN"/>
              </w:rPr>
              <w:t>，</w:t>
            </w:r>
            <w:r>
              <w:rPr>
                <w:rFonts w:hint="eastAsia"/>
                <w:color w:val="auto"/>
                <w:sz w:val="21"/>
                <w:szCs w:val="21"/>
                <w:lang w:val="en-US" w:eastAsia="zh-CN"/>
              </w:rPr>
              <w:t>代理服务费20000元</w:t>
            </w:r>
            <w:r>
              <w:rPr>
                <w:color w:val="auto"/>
                <w:sz w:val="21"/>
                <w:szCs w:val="21"/>
              </w:rPr>
              <w:t>。由成交供应商在成交结果公示结束后一次性支付。</w:t>
            </w:r>
          </w:p>
          <w:p w14:paraId="3992CD6F">
            <w:pPr>
              <w:bidi w:val="0"/>
              <w:spacing w:line="360" w:lineRule="auto"/>
              <w:jc w:val="both"/>
              <w:rPr>
                <w:color w:val="auto"/>
                <w:sz w:val="21"/>
                <w:szCs w:val="21"/>
              </w:rPr>
            </w:pPr>
            <w:r>
              <w:rPr>
                <w:color w:val="auto"/>
                <w:sz w:val="21"/>
                <w:szCs w:val="21"/>
              </w:rPr>
              <w:t>服务费账号信息:</w:t>
            </w:r>
          </w:p>
          <w:p w14:paraId="59D4AED2">
            <w:pPr>
              <w:bidi w:val="0"/>
              <w:spacing w:line="360" w:lineRule="auto"/>
              <w:jc w:val="both"/>
              <w:rPr>
                <w:rFonts w:hint="eastAsia"/>
                <w:color w:val="auto"/>
                <w:sz w:val="21"/>
                <w:szCs w:val="21"/>
              </w:rPr>
            </w:pPr>
            <w:r>
              <w:rPr>
                <w:rFonts w:hint="eastAsia"/>
                <w:color w:val="auto"/>
                <w:sz w:val="21"/>
                <w:szCs w:val="21"/>
              </w:rPr>
              <w:t>帐户名称：吉林省中基筑城项目管理有限公司</w:t>
            </w:r>
          </w:p>
          <w:p w14:paraId="55DFA66C">
            <w:pPr>
              <w:bidi w:val="0"/>
              <w:spacing w:line="360" w:lineRule="auto"/>
              <w:jc w:val="both"/>
              <w:rPr>
                <w:rFonts w:hint="eastAsia"/>
                <w:color w:val="auto"/>
                <w:sz w:val="21"/>
                <w:szCs w:val="21"/>
              </w:rPr>
            </w:pPr>
            <w:r>
              <w:rPr>
                <w:rFonts w:hint="eastAsia"/>
                <w:color w:val="auto"/>
                <w:sz w:val="21"/>
                <w:szCs w:val="21"/>
              </w:rPr>
              <w:t>账号：07100001040009943</w:t>
            </w:r>
          </w:p>
          <w:p w14:paraId="789286FD">
            <w:pPr>
              <w:bidi w:val="0"/>
              <w:spacing w:line="360" w:lineRule="auto"/>
              <w:jc w:val="both"/>
              <w:rPr>
                <w:color w:val="auto"/>
                <w:sz w:val="21"/>
                <w:szCs w:val="21"/>
              </w:rPr>
            </w:pPr>
            <w:r>
              <w:rPr>
                <w:rFonts w:hint="eastAsia"/>
                <w:color w:val="auto"/>
                <w:sz w:val="21"/>
                <w:szCs w:val="21"/>
              </w:rPr>
              <w:t>开户银行:中国农业银行股份有限公司长春北安路支行</w:t>
            </w:r>
          </w:p>
        </w:tc>
      </w:tr>
      <w:tr w14:paraId="7717A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5" w:hRule="atLeast"/>
          <w:jc w:val="center"/>
        </w:trPr>
        <w:tc>
          <w:tcPr>
            <w:tcW w:w="901" w:type="dxa"/>
            <w:vAlign w:val="center"/>
          </w:tcPr>
          <w:p w14:paraId="043C9509">
            <w:pPr>
              <w:bidi w:val="0"/>
              <w:spacing w:line="360" w:lineRule="auto"/>
              <w:jc w:val="both"/>
              <w:rPr>
                <w:color w:val="auto"/>
                <w:sz w:val="21"/>
                <w:szCs w:val="21"/>
              </w:rPr>
            </w:pPr>
          </w:p>
          <w:p w14:paraId="783AC758">
            <w:pPr>
              <w:bidi w:val="0"/>
              <w:spacing w:line="360" w:lineRule="auto"/>
              <w:jc w:val="both"/>
              <w:rPr>
                <w:color w:val="auto"/>
                <w:sz w:val="21"/>
                <w:szCs w:val="21"/>
              </w:rPr>
            </w:pPr>
          </w:p>
          <w:p w14:paraId="30986BEB">
            <w:pPr>
              <w:bidi w:val="0"/>
              <w:spacing w:line="360" w:lineRule="auto"/>
              <w:jc w:val="both"/>
              <w:rPr>
                <w:color w:val="auto"/>
                <w:sz w:val="21"/>
                <w:szCs w:val="21"/>
              </w:rPr>
            </w:pPr>
          </w:p>
          <w:p w14:paraId="094A0724">
            <w:pPr>
              <w:bidi w:val="0"/>
              <w:spacing w:line="360" w:lineRule="auto"/>
              <w:jc w:val="both"/>
              <w:rPr>
                <w:rFonts w:hint="default"/>
                <w:color w:val="auto"/>
                <w:sz w:val="21"/>
                <w:szCs w:val="21"/>
                <w:lang w:val="en-US" w:eastAsia="zh-CN"/>
              </w:rPr>
            </w:pPr>
            <w:r>
              <w:rPr>
                <w:rFonts w:hint="eastAsia"/>
                <w:color w:val="auto"/>
                <w:sz w:val="21"/>
                <w:szCs w:val="21"/>
                <w:lang w:val="en-US" w:eastAsia="zh-CN"/>
              </w:rPr>
              <w:t>37</w:t>
            </w:r>
          </w:p>
        </w:tc>
        <w:tc>
          <w:tcPr>
            <w:tcW w:w="9476" w:type="dxa"/>
            <w:gridSpan w:val="2"/>
            <w:vAlign w:val="center"/>
          </w:tcPr>
          <w:p w14:paraId="6762508E">
            <w:pPr>
              <w:bidi w:val="0"/>
              <w:spacing w:line="360" w:lineRule="auto"/>
              <w:jc w:val="both"/>
              <w:rPr>
                <w:color w:val="auto"/>
                <w:sz w:val="21"/>
                <w:szCs w:val="21"/>
              </w:rPr>
            </w:pPr>
            <w:r>
              <w:rPr>
                <w:color w:val="auto"/>
                <w:sz w:val="21"/>
                <w:szCs w:val="21"/>
              </w:rPr>
              <w:t>构成本竞争性磋商文件的各个组成文件应互为解释，互为说明；如有不明确或不一致，构成合同文件组成内容的，以合同文件约定内容为准，且以专用合同条款约定的合同文件优先顺序解释；除竞争性磋商文件中有特别规定外，仅适用于磋商报价阶段的规定，按竞争性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44341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jc w:val="center"/>
        </w:trPr>
        <w:tc>
          <w:tcPr>
            <w:tcW w:w="901" w:type="dxa"/>
            <w:vAlign w:val="center"/>
          </w:tcPr>
          <w:p w14:paraId="597FF0F0">
            <w:pPr>
              <w:bidi w:val="0"/>
              <w:spacing w:line="360" w:lineRule="auto"/>
              <w:jc w:val="both"/>
              <w:rPr>
                <w:color w:val="auto"/>
                <w:sz w:val="21"/>
                <w:szCs w:val="21"/>
              </w:rPr>
            </w:pPr>
          </w:p>
          <w:p w14:paraId="7041684C">
            <w:pPr>
              <w:bidi w:val="0"/>
              <w:spacing w:line="360" w:lineRule="auto"/>
              <w:jc w:val="both"/>
              <w:rPr>
                <w:color w:val="auto"/>
                <w:sz w:val="21"/>
                <w:szCs w:val="21"/>
              </w:rPr>
            </w:pPr>
          </w:p>
          <w:p w14:paraId="4F1D1B25">
            <w:pPr>
              <w:bidi w:val="0"/>
              <w:spacing w:line="360" w:lineRule="auto"/>
              <w:jc w:val="both"/>
              <w:rPr>
                <w:rFonts w:hint="default"/>
                <w:color w:val="auto"/>
                <w:sz w:val="21"/>
                <w:szCs w:val="21"/>
                <w:lang w:val="en-US" w:eastAsia="zh-CN"/>
              </w:rPr>
            </w:pPr>
            <w:r>
              <w:rPr>
                <w:rFonts w:hint="eastAsia"/>
                <w:color w:val="auto"/>
                <w:sz w:val="21"/>
                <w:szCs w:val="21"/>
                <w:lang w:val="en-US" w:eastAsia="zh-CN"/>
              </w:rPr>
              <w:t>38</w:t>
            </w:r>
          </w:p>
        </w:tc>
        <w:tc>
          <w:tcPr>
            <w:tcW w:w="9476" w:type="dxa"/>
            <w:gridSpan w:val="2"/>
            <w:vAlign w:val="center"/>
          </w:tcPr>
          <w:p w14:paraId="65781F4D">
            <w:pPr>
              <w:bidi w:val="0"/>
              <w:spacing w:line="360" w:lineRule="auto"/>
              <w:jc w:val="both"/>
              <w:rPr>
                <w:color w:val="auto"/>
                <w:sz w:val="21"/>
                <w:szCs w:val="21"/>
              </w:rPr>
            </w:pPr>
            <w:r>
              <w:rPr>
                <w:color w:val="auto"/>
                <w:sz w:val="21"/>
                <w:szCs w:val="21"/>
              </w:rPr>
              <w:t>本项目竞争性磋商公告与竞争性磋商文件供应商须知内容有不符之处，以本竞争性磋商文件供应商须知内容为准。竞争性磋商文件中的供应商须知总则部分是竞争性磋商文件标准文本通用条款，供应商须知前附表是采购人对总则相应条款重点表述的明示和补充，如条款有不一致，总则部分相应条款不适用本文件。</w:t>
            </w:r>
          </w:p>
        </w:tc>
      </w:tr>
      <w:tr w14:paraId="5FA20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1" w:type="dxa"/>
            <w:vAlign w:val="center"/>
          </w:tcPr>
          <w:p w14:paraId="067BB947">
            <w:pPr>
              <w:bidi w:val="0"/>
              <w:spacing w:line="360" w:lineRule="auto"/>
              <w:jc w:val="both"/>
              <w:rPr>
                <w:rFonts w:hint="default"/>
                <w:color w:val="auto"/>
                <w:sz w:val="21"/>
                <w:szCs w:val="21"/>
                <w:lang w:val="en-US" w:eastAsia="zh-CN"/>
              </w:rPr>
            </w:pPr>
            <w:r>
              <w:rPr>
                <w:rFonts w:hint="eastAsia"/>
                <w:color w:val="auto"/>
                <w:sz w:val="21"/>
                <w:szCs w:val="21"/>
                <w:lang w:val="en-US" w:eastAsia="zh-CN"/>
              </w:rPr>
              <w:t>39</w:t>
            </w:r>
          </w:p>
        </w:tc>
        <w:tc>
          <w:tcPr>
            <w:tcW w:w="9476" w:type="dxa"/>
            <w:gridSpan w:val="2"/>
            <w:vAlign w:val="center"/>
          </w:tcPr>
          <w:p w14:paraId="3584B0DB">
            <w:pPr>
              <w:bidi w:val="0"/>
              <w:spacing w:line="360" w:lineRule="auto"/>
              <w:jc w:val="both"/>
              <w:rPr>
                <w:color w:val="auto"/>
                <w:sz w:val="21"/>
                <w:szCs w:val="21"/>
              </w:rPr>
            </w:pPr>
            <w:r>
              <w:rPr>
                <w:color w:val="auto"/>
                <w:sz w:val="21"/>
                <w:szCs w:val="21"/>
              </w:rPr>
              <w:t>本项目所属行业为建筑业。</w:t>
            </w:r>
          </w:p>
        </w:tc>
      </w:tr>
      <w:tr w14:paraId="11F0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1" w:type="dxa"/>
            <w:vAlign w:val="center"/>
          </w:tcPr>
          <w:p w14:paraId="0A1C8D2F">
            <w:pPr>
              <w:bidi w:val="0"/>
              <w:spacing w:line="360" w:lineRule="auto"/>
              <w:jc w:val="both"/>
              <w:rPr>
                <w:rFonts w:hint="default"/>
                <w:color w:val="auto"/>
                <w:sz w:val="21"/>
                <w:szCs w:val="21"/>
                <w:lang w:val="en-US" w:eastAsia="zh-CN"/>
              </w:rPr>
            </w:pPr>
            <w:r>
              <w:rPr>
                <w:rFonts w:hint="eastAsia"/>
                <w:color w:val="auto"/>
                <w:sz w:val="21"/>
                <w:szCs w:val="21"/>
                <w:lang w:val="en-US" w:eastAsia="zh-CN"/>
              </w:rPr>
              <w:t>40</w:t>
            </w:r>
          </w:p>
        </w:tc>
        <w:tc>
          <w:tcPr>
            <w:tcW w:w="9476" w:type="dxa"/>
            <w:gridSpan w:val="2"/>
            <w:vAlign w:val="center"/>
          </w:tcPr>
          <w:p w14:paraId="1580CA44">
            <w:pPr>
              <w:bidi w:val="0"/>
              <w:spacing w:line="360" w:lineRule="auto"/>
              <w:jc w:val="both"/>
              <w:rPr>
                <w:rFonts w:hint="eastAsia"/>
                <w:color w:val="auto"/>
                <w:sz w:val="21"/>
                <w:szCs w:val="21"/>
                <w:lang w:val="en-US" w:eastAsia="zh-CN"/>
              </w:rPr>
            </w:pPr>
            <w:r>
              <w:rPr>
                <w:rFonts w:hint="eastAsia"/>
                <w:color w:val="auto"/>
                <w:sz w:val="21"/>
                <w:szCs w:val="21"/>
                <w:lang w:val="en-US" w:eastAsia="zh-CN"/>
              </w:rPr>
              <w:t>本项目技术部分采用暗标评分</w:t>
            </w:r>
          </w:p>
          <w:p w14:paraId="05907490">
            <w:pPr>
              <w:ind w:firstLine="480"/>
              <w:rPr>
                <w:rFonts w:hint="eastAsia" w:ascii="宋体" w:hAnsi="宋体" w:cs="宋体"/>
                <w:color w:val="FF0000"/>
                <w:sz w:val="22"/>
                <w:szCs w:val="22"/>
                <w:lang w:val="zh-CN"/>
              </w:rPr>
            </w:pPr>
            <w:r>
              <w:rPr>
                <w:rFonts w:hint="eastAsia" w:ascii="宋体" w:hAnsi="宋体" w:eastAsia="宋体" w:cs="宋体"/>
                <w:color w:val="FF0000"/>
                <w:sz w:val="22"/>
                <w:szCs w:val="22"/>
                <w:lang w:val="en-US" w:eastAsia="zh-CN"/>
              </w:rPr>
              <w:t>注：</w:t>
            </w:r>
            <w:r>
              <w:rPr>
                <w:rFonts w:hint="eastAsia" w:ascii="宋体" w:hAnsi="宋体" w:eastAsia="宋体" w:cs="宋体"/>
                <w:color w:val="FF0000"/>
                <w:sz w:val="22"/>
                <w:szCs w:val="22"/>
                <w:lang w:val="zh-CN"/>
              </w:rPr>
              <w:t>技术文件（暗标）未按以下“盲评”要求制作的，为无效响应，除下列要求外，不得因</w:t>
            </w:r>
            <w:r>
              <w:rPr>
                <w:rFonts w:hint="eastAsia" w:ascii="宋体" w:hAnsi="宋体" w:cs="宋体"/>
                <w:color w:val="FF0000"/>
                <w:sz w:val="22"/>
                <w:szCs w:val="22"/>
                <w:lang w:val="zh-CN"/>
              </w:rPr>
              <w:t>暗标格式问题认定为无效响应：</w:t>
            </w:r>
          </w:p>
          <w:p w14:paraId="636089C9">
            <w:pPr>
              <w:ind w:firstLine="480"/>
              <w:rPr>
                <w:rFonts w:hint="eastAsia" w:ascii="宋体" w:hAnsi="宋体" w:cs="宋体"/>
                <w:color w:val="FF0000"/>
                <w:sz w:val="22"/>
                <w:szCs w:val="22"/>
                <w:lang w:val="zh-CN"/>
              </w:rPr>
            </w:pPr>
            <w:r>
              <w:rPr>
                <w:rFonts w:hint="eastAsia" w:ascii="宋体" w:hAnsi="宋体" w:cs="宋体"/>
                <w:color w:val="FF0000"/>
                <w:sz w:val="22"/>
                <w:szCs w:val="22"/>
                <w:lang w:val="zh-CN"/>
              </w:rPr>
              <w:t>（1）版面要求：A4纸张大小；</w:t>
            </w:r>
          </w:p>
          <w:p w14:paraId="20AECE3B">
            <w:pPr>
              <w:ind w:firstLine="480"/>
              <w:rPr>
                <w:rFonts w:hint="eastAsia" w:ascii="宋体" w:hAnsi="宋体" w:cs="宋体"/>
                <w:color w:val="FF0000"/>
                <w:sz w:val="22"/>
                <w:szCs w:val="22"/>
                <w:lang w:val="zh-CN"/>
              </w:rPr>
            </w:pPr>
            <w:r>
              <w:rPr>
                <w:rFonts w:hint="eastAsia" w:ascii="宋体" w:hAnsi="宋体" w:cs="宋体"/>
                <w:color w:val="FF0000"/>
                <w:sz w:val="22"/>
                <w:szCs w:val="22"/>
                <w:lang w:val="zh-CN"/>
              </w:rPr>
              <w:t>（2）颜色要求：所有文字、图表为黑色；</w:t>
            </w:r>
          </w:p>
          <w:p w14:paraId="24FE1838">
            <w:pPr>
              <w:ind w:firstLine="480"/>
              <w:rPr>
                <w:rFonts w:hint="eastAsia" w:ascii="宋体" w:hAnsi="宋体" w:cs="宋体"/>
                <w:color w:val="FF0000"/>
                <w:sz w:val="22"/>
                <w:szCs w:val="22"/>
                <w:lang w:val="zh-CN"/>
              </w:rPr>
            </w:pPr>
            <w:r>
              <w:rPr>
                <w:rFonts w:hint="eastAsia" w:ascii="宋体" w:hAnsi="宋体" w:cs="宋体"/>
                <w:color w:val="FF0000"/>
                <w:sz w:val="22"/>
                <w:szCs w:val="22"/>
                <w:lang w:val="zh-CN"/>
              </w:rPr>
              <w:t>（3）字体要求：标题及正文部分所用的文字均采用“宋体”四号“常规”字；图、表内的字体及字号不作要求；全部使用中文标点符号；所有字体均不得出现加粗、加色、倾斜、下划线等标记；</w:t>
            </w:r>
          </w:p>
          <w:p w14:paraId="054427D2">
            <w:pPr>
              <w:ind w:firstLine="480"/>
              <w:rPr>
                <w:rFonts w:hint="eastAsia" w:ascii="宋体" w:hAnsi="宋体" w:cs="宋体"/>
                <w:color w:val="FF0000"/>
                <w:sz w:val="22"/>
                <w:szCs w:val="22"/>
                <w:lang w:val="zh-CN"/>
              </w:rPr>
            </w:pPr>
            <w:r>
              <w:rPr>
                <w:rFonts w:hint="eastAsia" w:ascii="宋体" w:hAnsi="宋体" w:cs="宋体"/>
                <w:color w:val="FF0000"/>
                <w:sz w:val="22"/>
                <w:szCs w:val="22"/>
                <w:lang w:val="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CD14BC7">
            <w:pPr>
              <w:ind w:firstLine="480"/>
              <w:rPr>
                <w:rFonts w:hint="eastAsia" w:ascii="宋体" w:hAnsi="宋体" w:cs="宋体"/>
                <w:color w:val="FF0000"/>
                <w:sz w:val="22"/>
                <w:szCs w:val="22"/>
                <w:lang w:val="zh-CN"/>
              </w:rPr>
            </w:pPr>
            <w:r>
              <w:rPr>
                <w:rFonts w:hint="eastAsia" w:ascii="宋体" w:hAnsi="宋体" w:cs="宋体"/>
                <w:color w:val="FF0000"/>
                <w:sz w:val="22"/>
                <w:szCs w:val="22"/>
                <w:lang w:val="zh-CN"/>
              </w:rPr>
              <w:t>（5）其它：除满足上述各项要求外，构成磋商文件的“技术暗标”的正文中均不得出现供应商的名称和其它可识别供应商身份的字符、徽标、人员名称以及其他可能被辨别出供应商身份的任何标记。</w:t>
            </w:r>
          </w:p>
          <w:p w14:paraId="65D2EB66">
            <w:pPr>
              <w:bidi w:val="0"/>
              <w:spacing w:line="360" w:lineRule="auto"/>
              <w:jc w:val="both"/>
              <w:rPr>
                <w:rFonts w:hint="default"/>
                <w:color w:val="auto"/>
                <w:sz w:val="21"/>
                <w:szCs w:val="21"/>
                <w:lang w:val="en-US" w:eastAsia="zh-CN"/>
              </w:rPr>
            </w:pPr>
          </w:p>
        </w:tc>
      </w:tr>
      <w:tr w14:paraId="7F5FC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901" w:type="dxa"/>
            <w:vAlign w:val="center"/>
          </w:tcPr>
          <w:p w14:paraId="7D0C3567">
            <w:pPr>
              <w:jc w:val="both"/>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41</w:t>
            </w:r>
          </w:p>
        </w:tc>
        <w:tc>
          <w:tcPr>
            <w:tcW w:w="9476" w:type="dxa"/>
            <w:gridSpan w:val="2"/>
            <w:vAlign w:val="center"/>
          </w:tcPr>
          <w:p w14:paraId="3B1CE733">
            <w:pPr>
              <w:ind w:firstLine="48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 xml:space="preserve">评审中出现下列情形之一的，磋商小组应当启动异常低价投标审查程序： </w:t>
            </w:r>
          </w:p>
          <w:p w14:paraId="202339B4">
            <w:pPr>
              <w:ind w:firstLine="48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1、响应报价低于全部通过符合性审查供应商响应报价平均值50％的；</w:t>
            </w:r>
          </w:p>
          <w:p w14:paraId="1A2F496E">
            <w:pPr>
              <w:ind w:firstLine="48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2、响应报价低于通过符合性审查的次低报价供应商响应报价50％的；</w:t>
            </w:r>
          </w:p>
          <w:p w14:paraId="0E4B111C">
            <w:pPr>
              <w:ind w:firstLine="48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3、响应报价低于采购项目最高限价45％的；</w:t>
            </w:r>
          </w:p>
          <w:p w14:paraId="62996615">
            <w:pPr>
              <w:ind w:firstLine="48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4、磋商小组基于专业判断，认为供应商报价过低，有可能影响产品质量或者不能诚信履约的其他情形。</w:t>
            </w:r>
          </w:p>
          <w:p w14:paraId="2489E037">
            <w:pPr>
              <w:ind w:firstLine="480"/>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相关法律法规对供应商报价有规定的，从其规定。</w:t>
            </w:r>
          </w:p>
          <w:p w14:paraId="1E2D6033">
            <w:pPr>
              <w:ind w:firstLine="48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w:t>
            </w:r>
            <w:r>
              <w:rPr>
                <w:rFonts w:hint="default" w:ascii="宋体" w:hAnsi="宋体" w:cs="宋体"/>
                <w:color w:val="auto"/>
                <w:sz w:val="22"/>
                <w:szCs w:val="22"/>
                <w:lang w:val="en-US" w:eastAsia="zh-CN"/>
              </w:rPr>
              <w:t>异常低价审查 ：本项目评审中出现异常低价情形，磋商小组应当启动异常低价响应审查程序。本项目适用情形详见“服务需求和评审方法”的规定。</w:t>
            </w:r>
          </w:p>
          <w:p w14:paraId="06CF27B5">
            <w:pPr>
              <w:ind w:firstLine="48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（2）</w:t>
            </w:r>
            <w:r>
              <w:rPr>
                <w:rFonts w:hint="default" w:ascii="宋体" w:hAnsi="宋体" w:cs="宋体"/>
                <w:color w:val="auto"/>
                <w:sz w:val="22"/>
                <w:szCs w:val="22"/>
                <w:lang w:val="en-US" w:eastAsia="zh-CN"/>
              </w:rPr>
              <w:t>磋商小组启动异常低价响应审查后，属于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19FC0569">
            <w:pPr>
              <w:ind w:firstLine="48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（3）</w:t>
            </w:r>
            <w:r>
              <w:rPr>
                <w:rFonts w:hint="default" w:ascii="宋体" w:hAnsi="宋体" w:cs="宋体"/>
                <w:color w:val="auto"/>
                <w:sz w:val="22"/>
                <w:szCs w:val="22"/>
                <w:lang w:val="en-US" w:eastAsia="zh-CN"/>
              </w:rPr>
              <w:t xml:space="preserve"> 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1EF9026">
            <w:pPr>
              <w:ind w:firstLine="48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（4）</w:t>
            </w:r>
            <w:r>
              <w:rPr>
                <w:rFonts w:hint="default" w:ascii="宋体" w:hAnsi="宋体" w:cs="宋体"/>
                <w:color w:val="auto"/>
                <w:sz w:val="22"/>
                <w:szCs w:val="22"/>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4552793">
            <w:pPr>
              <w:ind w:firstLine="480"/>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（5）</w:t>
            </w:r>
            <w:r>
              <w:rPr>
                <w:rFonts w:hint="default" w:ascii="宋体" w:hAnsi="宋体" w:cs="宋体"/>
                <w:color w:val="auto"/>
                <w:sz w:val="22"/>
                <w:szCs w:val="22"/>
                <w:lang w:val="en-US" w:eastAsia="zh-CN"/>
              </w:rPr>
              <w:t xml:space="preserve"> 异常低价响应审查的启动原因、审查意见和审查结果应当在评审报告中记录，并随供应商提供的相关书面说明及证明材料，以及磋商小组有关互联网浏览、查询历史一并归档。</w:t>
            </w:r>
          </w:p>
        </w:tc>
      </w:tr>
    </w:tbl>
    <w:p w14:paraId="5A55761B">
      <w:pPr>
        <w:ind w:left="0" w:leftChars="0" w:firstLine="420" w:firstLineChars="200"/>
        <w:rPr>
          <w:color w:val="auto"/>
        </w:rPr>
        <w:sectPr>
          <w:footerReference r:id="rId5" w:type="default"/>
          <w:pgSz w:w="11907" w:h="16840"/>
          <w:pgMar w:top="1431" w:right="1746" w:bottom="1043" w:left="1803" w:header="0" w:footer="994" w:gutter="0"/>
          <w:pgNumType w:fmt="decimal"/>
          <w:cols w:space="720" w:num="1"/>
        </w:sectPr>
      </w:pPr>
    </w:p>
    <w:p w14:paraId="47214DF4">
      <w:pPr>
        <w:spacing w:line="89" w:lineRule="auto"/>
        <w:rPr>
          <w:rFonts w:ascii="Arial"/>
          <w:color w:val="auto"/>
          <w:sz w:val="2"/>
        </w:rPr>
      </w:pPr>
    </w:p>
    <w:p w14:paraId="515CB0B8">
      <w:pPr>
        <w:rPr>
          <w:color w:val="auto"/>
        </w:rPr>
      </w:pPr>
    </w:p>
    <w:p w14:paraId="6568DB89">
      <w:pPr>
        <w:tabs>
          <w:tab w:val="left" w:pos="421"/>
        </w:tabs>
        <w:bidi w:val="0"/>
        <w:jc w:val="left"/>
        <w:rPr>
          <w:rFonts w:ascii="Arial"/>
          <w:color w:val="auto"/>
          <w:sz w:val="2"/>
        </w:rPr>
      </w:pPr>
      <w:r>
        <w:rPr>
          <w:rFonts w:hint="eastAsia" w:cs="Times New Roman"/>
          <w:color w:val="auto"/>
          <w:kern w:val="2"/>
          <w:sz w:val="21"/>
          <w:szCs w:val="22"/>
          <w:lang w:val="en-US" w:eastAsia="zh-CN" w:bidi="ar-SA"/>
        </w:rPr>
        <w:tab/>
      </w:r>
    </w:p>
    <w:p w14:paraId="641F8416">
      <w:pPr>
        <w:spacing w:before="48" w:line="220" w:lineRule="auto"/>
        <w:jc w:val="center"/>
        <w:rPr>
          <w:rFonts w:ascii="宋体" w:hAnsi="宋体" w:eastAsia="宋体" w:cs="宋体"/>
          <w:color w:val="auto"/>
          <w:sz w:val="24"/>
          <w:szCs w:val="24"/>
        </w:rPr>
      </w:pPr>
      <w:r>
        <w:rPr>
          <w:rFonts w:ascii="宋体" w:hAnsi="宋体" w:eastAsia="宋体" w:cs="宋体"/>
          <w:b/>
          <w:bCs/>
          <w:color w:val="auto"/>
          <w:spacing w:val="-11"/>
          <w:sz w:val="24"/>
          <w:szCs w:val="24"/>
        </w:rPr>
        <w:t>总则</w:t>
      </w:r>
    </w:p>
    <w:p w14:paraId="4DB5D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一、竞争性磋商费用</w:t>
      </w:r>
    </w:p>
    <w:p w14:paraId="19690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参与竞争性磋商的供应商应承担其编制竞争性磋商响应文件与递交竞争性磋商响应文件所涉及的一切费用，不论竞争性磋商结果如何，需方（采购人）在任何情况下无义务也无责任承担这些费用。</w:t>
      </w:r>
    </w:p>
    <w:p w14:paraId="61BCF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二、竞争性磋商</w:t>
      </w:r>
    </w:p>
    <w:p w14:paraId="690DAC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1．竞争性磋商文件由竞争性磋商公告、供应商须知、评审办法、合同条款及格式、工程量清单、技术标准及要求、竞争性磋商响应文件内容及格式要求七部分组成。</w:t>
      </w:r>
    </w:p>
    <w:p w14:paraId="1E1E1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2．供应商所作的一切有效的书面通知、修改及补充，都是竞争性磋商不可分割的部分。</w:t>
      </w:r>
    </w:p>
    <w:p w14:paraId="6479A5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3．本项目不允许违法分包。</w:t>
      </w:r>
    </w:p>
    <w:p w14:paraId="57528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4.本项目不允许偏离。</w:t>
      </w:r>
    </w:p>
    <w:p w14:paraId="671730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三、竞争性磋商要求</w:t>
      </w:r>
    </w:p>
    <w:p w14:paraId="64B17D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供应商提交的响应文件由以下部分和供应商所作的一切有效补充、修改和承诺等文件组成，具体详见第七章“响应文件内容及格式要求”，供应商也可在此基础上对文件进行扩展。未规定的内容及格式由供应商自定。</w:t>
      </w:r>
    </w:p>
    <w:p w14:paraId="7A5DA8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2．磋商保证金</w:t>
      </w:r>
    </w:p>
    <w:p w14:paraId="4AE56E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（1）供应商在递交响应文件的同时，应按供应商须知规定的金额、形式递交磋商保证金，并作为其响应文件的组成部分。</w:t>
      </w:r>
    </w:p>
    <w:p w14:paraId="305AF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（2）供应商不按本项要求提交磋商保证金的，作废标处理。</w:t>
      </w:r>
    </w:p>
    <w:p w14:paraId="453BA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（3）在成交通知书发出后五个工作日内退还未成交供应商的磋商保证金，在签订合同后五个工作日内退还成交供应商的磋商保证金。</w:t>
      </w:r>
    </w:p>
    <w:p w14:paraId="0C2E2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（4）有下列情形之一的，磋商保证金将不予退还：</w:t>
      </w:r>
    </w:p>
    <w:p w14:paraId="2807AC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供应商在规定的报价有效期内撤销或修改其响应文件；</w:t>
      </w:r>
    </w:p>
    <w:p w14:paraId="25AF1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成交供应商在收到成交通知书后，无正当理由拒签合同协议书。</w:t>
      </w:r>
    </w:p>
    <w:p w14:paraId="57A9B4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3．竞争性磋商报价</w:t>
      </w:r>
    </w:p>
    <w:p w14:paraId="1D7D3C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报价为供应商在响应文件中提出的各项支付金额的总和。报价应包括承担本项目的全部费用，包括劳务、防护人员工资、福利、保险、成本、利润、税金及风险等全部费用。报价若有遗漏，视为免费提供，采购人不再另行支付。</w:t>
      </w:r>
    </w:p>
    <w:p w14:paraId="54E742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（2）采购人不接受任何有选择的报价。</w:t>
      </w:r>
    </w:p>
    <w:p w14:paraId="0FD2C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（3）采购人设有采购预算（最高投标限价）的，供应商的报价不得超过采购预算（最高投标限价），采购预算（最高投标限价）在供应商须知前附表中载明。</w:t>
      </w:r>
    </w:p>
    <w:p w14:paraId="2DE20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4.提交响应文件要求</w:t>
      </w:r>
    </w:p>
    <w:p w14:paraId="7B4B9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供应商必须在“供应商须知前附表”规定的响应文件接收时间和地点提交/上传响应文件，未在规定时间内提交或者未按照竞争性磋商文件要求密封或者标记的响应文件，将拒收。</w:t>
      </w:r>
    </w:p>
    <w:p w14:paraId="37BE1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5.响应文件的递交</w:t>
      </w:r>
    </w:p>
    <w:p w14:paraId="36D745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供应商应在供应商须知前附表规定的响应截止时间前递交响应文件。除供应商须知前附表另有规定外，供应商所递交的响应文件不予退还。逾期送达的响应文件，采购人将予以拒收。</w:t>
      </w:r>
    </w:p>
    <w:p w14:paraId="642B2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6.竞磋响应文件语言：简体中文。如有特殊情况需要外语支持的应在对应的栏目下有中文译释。</w:t>
      </w:r>
    </w:p>
    <w:p w14:paraId="049A0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四、竞争性磋商程序</w:t>
      </w:r>
    </w:p>
    <w:p w14:paraId="10FAE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1.磋商会议的准备工作由采购代理机构负责落实。供应商（法人或法人授权代表）准时参加，未在规定时间</w:t>
      </w:r>
      <w:r>
        <w:rPr>
          <w:rFonts w:hint="eastAsia" w:asciiTheme="majorEastAsia" w:hAnsiTheme="majorEastAsia" w:eastAsiaTheme="majorEastAsia" w:cstheme="majorEastAsia"/>
          <w:color w:val="auto"/>
          <w:sz w:val="24"/>
          <w:szCs w:val="28"/>
          <w:lang w:val="en-US" w:eastAsia="zh-CN"/>
        </w:rPr>
        <w:t>内</w:t>
      </w:r>
      <w:r>
        <w:rPr>
          <w:rFonts w:hint="eastAsia" w:asciiTheme="majorEastAsia" w:hAnsiTheme="majorEastAsia" w:eastAsiaTheme="majorEastAsia" w:cstheme="majorEastAsia"/>
          <w:color w:val="auto"/>
          <w:sz w:val="24"/>
          <w:szCs w:val="28"/>
        </w:rPr>
        <w:t>递交响应文件的，视其为自动放弃本次竞争性磋商，逾期送达的响应文件将被拒收。会议开始后，供应商需等候磋商小组发起二次报价环节，进行二次报价。未按规定时间和方式提交二次报价的，磋商小组有权拒绝接受其报价。</w:t>
      </w:r>
    </w:p>
    <w:p w14:paraId="6AA18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8736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5706D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4.磋商小组所有成员应当集中与单一供应商分别进行磋商，并给予所有参加磋商的供应商平等的磋商机会。</w:t>
      </w:r>
    </w:p>
    <w:p w14:paraId="5CA561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8630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6.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60F87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7．在竞磋过程中，竞磋的任何一方不得向他人透露与竞磋有关的技术资料或其他信息。</w:t>
      </w:r>
    </w:p>
    <w:p w14:paraId="43A36B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五、成交原则</w:t>
      </w:r>
    </w:p>
    <w:p w14:paraId="3B312E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1.磋商小组由专家库中随机抽取的专家组成，磋商小组将客观、公正地履行职务，遵守职业道德，对所提出的评审意见承担个人责任。磋商小组成员在成交结果确定前将严格保密。</w:t>
      </w:r>
    </w:p>
    <w:p w14:paraId="5423A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竞争性磋商采用二次报价+综合评分法（附后）。磋商小组仅对确定为实质上响应竞争性磋商要求的响应文件进行评价和比较。磋商小组根据综合评分情况，按照评审得分由高到低顺序推荐三名成交候选供应商，得分最高排名第一的推荐为成交供应商。评审得分相同的，按照最后报价由低到高的顺序推荐。评审得分且最后报价相同的，按照施工组织设计、项目管理机构、其它因素优劣顺序推荐。对于明显低于成本的报价，采购人将不予采用。</w:t>
      </w:r>
    </w:p>
    <w:p w14:paraId="172534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六、重新采购</w:t>
      </w:r>
    </w:p>
    <w:p w14:paraId="64EB5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出现以下情况之一的，经磋商小组评审后原则上重新组织采购：</w:t>
      </w:r>
    </w:p>
    <w:p w14:paraId="32668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1.符合专业条件的供应商或者对响应文件作出实质响应的供应商未形成有效竞争的；</w:t>
      </w:r>
    </w:p>
    <w:p w14:paraId="53999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2.至递交响应文件截止时间递交响应文件的供应商少于3家；</w:t>
      </w:r>
    </w:p>
    <w:p w14:paraId="120F71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3.出现影响采购公正的违法、违规行为的；</w:t>
      </w:r>
    </w:p>
    <w:p w14:paraId="4F1358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4.所有供应商的报价均超出采购预算（视为未实质性响应竞争性磋商要求）的；</w:t>
      </w:r>
    </w:p>
    <w:p w14:paraId="093FE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5.因不可抗力导致重大变故，采购任务取消的。</w:t>
      </w:r>
    </w:p>
    <w:p w14:paraId="6C173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6.其他符合规定应当终止的。</w:t>
      </w:r>
    </w:p>
    <w:p w14:paraId="43A03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七、成交通知</w:t>
      </w:r>
    </w:p>
    <w:p w14:paraId="50254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1.竞争性磋商后，在有效期内，采购人以书面形式向成交供应商发出成交通知书，同时将成交结果通知未成交的供应商，采购人与成交供应商签订合同。</w:t>
      </w:r>
    </w:p>
    <w:p w14:paraId="1C38A9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2.成交通知书将是合同的一个组成部分，逾期未办理作自动放弃处理。</w:t>
      </w:r>
    </w:p>
    <w:p w14:paraId="102AA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3.成交供应商不得向他人转让成交项目，也不得将成交项目支解后分别向他人转让。</w:t>
      </w:r>
    </w:p>
    <w:p w14:paraId="52A871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八、成交服务费</w:t>
      </w:r>
    </w:p>
    <w:p w14:paraId="4F8C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见竞争性磋商须知前附表。</w:t>
      </w:r>
    </w:p>
    <w:p w14:paraId="3C9E8F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九、签订合同</w:t>
      </w:r>
    </w:p>
    <w:p w14:paraId="09736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1.采购人和成交供应商应当自成交通知书发出之日起30日内，根据响应文件和成交供应商的响应文件订立书面合同。成交供应商无正当理由拒签合同的，采购人取消其成交资格，其磋商保证金不予退还；给采购人造成的损失超过磋商保证金数额的，成交供应商还应当对超过部分予以赔偿。</w:t>
      </w:r>
    </w:p>
    <w:p w14:paraId="7E938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2.发出成交通知书后，采购人无正当理由拒签合同的，采购人向成交供应商退还磋商保证金；给成交供应商造成损失的，还应当赔偿损失。</w:t>
      </w:r>
    </w:p>
    <w:p w14:paraId="36A3D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3.签订合同前，根据需要采购人有权提出对技术条件发生变化的货物作局部调整或变更数量，但需经竞争性磋商成交双方共同认定。</w:t>
      </w:r>
    </w:p>
    <w:p w14:paraId="48B0F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4.竞争性磋商文件（含澄清补遗）、成交供应商的响应文件及有效承诺文件等，均为签订合同的依据。</w:t>
      </w:r>
    </w:p>
    <w:p w14:paraId="5492F2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8"/>
        </w:rPr>
      </w:pPr>
      <w:r>
        <w:rPr>
          <w:rFonts w:hint="eastAsia" w:asciiTheme="majorEastAsia" w:hAnsiTheme="majorEastAsia" w:eastAsiaTheme="majorEastAsia" w:cstheme="majorEastAsia"/>
          <w:color w:val="auto"/>
          <w:sz w:val="24"/>
          <w:szCs w:val="28"/>
        </w:rPr>
        <w:t>十、补充条款</w:t>
      </w:r>
    </w:p>
    <w:p w14:paraId="044C7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ajorEastAsia" w:hAnsiTheme="majorEastAsia" w:eastAsiaTheme="majorEastAsia" w:cstheme="majorEastAsia"/>
          <w:color w:val="auto"/>
          <w:sz w:val="24"/>
          <w:szCs w:val="22"/>
        </w:rPr>
      </w:pPr>
      <w:r>
        <w:rPr>
          <w:rFonts w:hint="eastAsia" w:asciiTheme="majorEastAsia" w:hAnsiTheme="majorEastAsia" w:eastAsiaTheme="majorEastAsia" w:cstheme="majorEastAsia"/>
          <w:color w:val="auto"/>
          <w:sz w:val="24"/>
          <w:szCs w:val="28"/>
        </w:rPr>
        <w:t>1、供应商对成交结果提出质疑的，应当在质疑期间内将质疑事项一次性向采购人（采购代理机构）提出。质疑书须提供纸质，并应当经法定代表人或委托代理人签字并加盖公章。</w:t>
      </w:r>
    </w:p>
    <w:p w14:paraId="37C40D62">
      <w:pPr>
        <w:rPr>
          <w:rFonts w:hint="eastAsia"/>
          <w:color w:val="auto"/>
          <w:sz w:val="24"/>
          <w:szCs w:val="24"/>
          <w:highlight w:val="none"/>
        </w:rPr>
      </w:pPr>
      <w:r>
        <w:rPr>
          <w:rFonts w:hint="eastAsia"/>
          <w:color w:val="auto"/>
          <w:sz w:val="24"/>
          <w:szCs w:val="24"/>
          <w:highlight w:val="none"/>
        </w:rPr>
        <w:br w:type="page"/>
      </w:r>
    </w:p>
    <w:p w14:paraId="340F4B5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rPr>
      </w:pPr>
      <w:bookmarkStart w:id="64" w:name="_Toc21687"/>
      <w:r>
        <w:rPr>
          <w:rFonts w:hint="eastAsia"/>
          <w:color w:val="auto"/>
          <w:lang w:val="en-US" w:eastAsia="zh-CN"/>
        </w:rPr>
        <w:t xml:space="preserve">第三章 </w:t>
      </w:r>
      <w:r>
        <w:rPr>
          <w:rFonts w:hint="eastAsia"/>
          <w:color w:val="auto"/>
        </w:rPr>
        <w:t>评标办法（综合评估法）</w:t>
      </w:r>
      <w:bookmarkEnd w:id="64"/>
    </w:p>
    <w:p w14:paraId="3C69E180">
      <w:pPr>
        <w:autoSpaceDE w:val="0"/>
        <w:autoSpaceDN w:val="0"/>
        <w:adjustRightInd w:val="0"/>
        <w:spacing w:line="400" w:lineRule="exact"/>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28"/>
          <w:szCs w:val="28"/>
          <w:lang w:val="zh-CN"/>
        </w:rPr>
        <w:t>（一）初步评审</w:t>
      </w:r>
      <w:r>
        <w:rPr>
          <w:rFonts w:hint="eastAsia" w:ascii="宋体" w:hAnsi="宋体" w:eastAsia="宋体" w:cs="宋体"/>
          <w:b/>
          <w:bCs/>
          <w:color w:val="auto"/>
          <w:sz w:val="28"/>
          <w:szCs w:val="28"/>
          <w:lang w:val="en-US" w:eastAsia="zh-CN"/>
        </w:rPr>
        <w:t>表</w:t>
      </w:r>
    </w:p>
    <w:tbl>
      <w:tblPr>
        <w:tblStyle w:val="46"/>
        <w:tblW w:w="945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2000"/>
        <w:gridCol w:w="6086"/>
      </w:tblGrid>
      <w:tr w14:paraId="42A63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jc w:val="center"/>
        </w:trPr>
        <w:tc>
          <w:tcPr>
            <w:tcW w:w="1372" w:type="dxa"/>
            <w:gridSpan w:val="2"/>
            <w:tcBorders>
              <w:tl2br w:val="nil"/>
              <w:tr2bl w:val="nil"/>
            </w:tcBorders>
            <w:vAlign w:val="top"/>
          </w:tcPr>
          <w:p w14:paraId="05558529">
            <w:pPr>
              <w:pStyle w:val="47"/>
              <w:spacing w:before="185" w:line="228" w:lineRule="auto"/>
              <w:ind w:left="377"/>
              <w:rPr>
                <w:color w:val="auto"/>
              </w:rPr>
            </w:pPr>
            <w:r>
              <w:rPr>
                <w:b/>
                <w:bCs/>
                <w:color w:val="auto"/>
                <w:spacing w:val="5"/>
              </w:rPr>
              <w:t>条款号</w:t>
            </w:r>
          </w:p>
        </w:tc>
        <w:tc>
          <w:tcPr>
            <w:tcW w:w="2000" w:type="dxa"/>
            <w:tcBorders>
              <w:tl2br w:val="nil"/>
              <w:tr2bl w:val="nil"/>
            </w:tcBorders>
            <w:vAlign w:val="top"/>
          </w:tcPr>
          <w:p w14:paraId="73CE972B">
            <w:pPr>
              <w:pStyle w:val="47"/>
              <w:spacing w:before="185" w:line="228" w:lineRule="auto"/>
              <w:ind w:left="582"/>
              <w:rPr>
                <w:color w:val="auto"/>
              </w:rPr>
            </w:pPr>
            <w:r>
              <w:rPr>
                <w:b/>
                <w:bCs/>
                <w:color w:val="auto"/>
                <w:spacing w:val="6"/>
              </w:rPr>
              <w:t>评审因素</w:t>
            </w:r>
          </w:p>
        </w:tc>
        <w:tc>
          <w:tcPr>
            <w:tcW w:w="6086" w:type="dxa"/>
            <w:tcBorders>
              <w:tl2br w:val="nil"/>
              <w:tr2bl w:val="nil"/>
            </w:tcBorders>
            <w:vAlign w:val="top"/>
          </w:tcPr>
          <w:p w14:paraId="712EFC74">
            <w:pPr>
              <w:pStyle w:val="47"/>
              <w:spacing w:before="185" w:line="228" w:lineRule="auto"/>
              <w:ind w:left="2626"/>
              <w:rPr>
                <w:color w:val="auto"/>
              </w:rPr>
            </w:pPr>
            <w:r>
              <w:rPr>
                <w:b/>
                <w:bCs/>
                <w:color w:val="auto"/>
                <w:spacing w:val="6"/>
              </w:rPr>
              <w:t>评审标准</w:t>
            </w:r>
          </w:p>
        </w:tc>
      </w:tr>
      <w:tr w14:paraId="23871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652" w:type="dxa"/>
            <w:vMerge w:val="restart"/>
            <w:tcBorders>
              <w:tl2br w:val="nil"/>
              <w:tr2bl w:val="nil"/>
            </w:tcBorders>
            <w:vAlign w:val="top"/>
          </w:tcPr>
          <w:p w14:paraId="792E8EEC">
            <w:pPr>
              <w:spacing w:line="430" w:lineRule="auto"/>
              <w:rPr>
                <w:rFonts w:ascii="Arial"/>
                <w:color w:val="auto"/>
                <w:sz w:val="21"/>
              </w:rPr>
            </w:pPr>
          </w:p>
          <w:p w14:paraId="18BD319A">
            <w:pPr>
              <w:pStyle w:val="47"/>
              <w:spacing w:before="65" w:line="268" w:lineRule="exact"/>
              <w:ind w:left="123"/>
              <w:rPr>
                <w:color w:val="auto"/>
              </w:rPr>
            </w:pPr>
            <w:r>
              <w:rPr>
                <w:color w:val="auto"/>
                <w:spacing w:val="2"/>
                <w:position w:val="1"/>
              </w:rPr>
              <w:t>2.1.</w:t>
            </w:r>
          </w:p>
          <w:p w14:paraId="5527583C">
            <w:pPr>
              <w:pStyle w:val="47"/>
              <w:spacing w:before="133" w:line="270" w:lineRule="exact"/>
              <w:ind w:left="295"/>
              <w:rPr>
                <w:color w:val="auto"/>
              </w:rPr>
            </w:pPr>
            <w:r>
              <w:rPr>
                <w:color w:val="auto"/>
                <w:position w:val="1"/>
              </w:rPr>
              <w:t>1</w:t>
            </w:r>
          </w:p>
        </w:tc>
        <w:tc>
          <w:tcPr>
            <w:tcW w:w="720" w:type="dxa"/>
            <w:vMerge w:val="restart"/>
            <w:tcBorders>
              <w:tl2br w:val="nil"/>
              <w:tr2bl w:val="nil"/>
            </w:tcBorders>
            <w:vAlign w:val="top"/>
          </w:tcPr>
          <w:p w14:paraId="2A8D887E">
            <w:pPr>
              <w:pStyle w:val="47"/>
              <w:spacing w:before="299" w:line="229" w:lineRule="auto"/>
              <w:ind w:left="155"/>
              <w:rPr>
                <w:color w:val="auto"/>
              </w:rPr>
            </w:pPr>
            <w:r>
              <w:rPr>
                <w:color w:val="auto"/>
                <w:spacing w:val="3"/>
              </w:rPr>
              <w:t>形式</w:t>
            </w:r>
          </w:p>
          <w:p w14:paraId="1FFD4A65">
            <w:pPr>
              <w:pStyle w:val="47"/>
              <w:spacing w:before="150" w:line="228" w:lineRule="auto"/>
              <w:ind w:left="152"/>
              <w:rPr>
                <w:color w:val="auto"/>
              </w:rPr>
            </w:pPr>
            <w:r>
              <w:rPr>
                <w:color w:val="auto"/>
                <w:spacing w:val="5"/>
              </w:rPr>
              <w:t>评审</w:t>
            </w:r>
          </w:p>
          <w:p w14:paraId="336CE1FB">
            <w:pPr>
              <w:pStyle w:val="47"/>
              <w:spacing w:before="153" w:line="228" w:lineRule="auto"/>
              <w:ind w:left="154"/>
              <w:rPr>
                <w:color w:val="auto"/>
              </w:rPr>
            </w:pPr>
            <w:r>
              <w:rPr>
                <w:color w:val="auto"/>
                <w:spacing w:val="4"/>
              </w:rPr>
              <w:t>标准</w:t>
            </w:r>
          </w:p>
        </w:tc>
        <w:tc>
          <w:tcPr>
            <w:tcW w:w="2000" w:type="dxa"/>
            <w:tcBorders>
              <w:tl2br w:val="nil"/>
              <w:tr2bl w:val="nil"/>
            </w:tcBorders>
            <w:vAlign w:val="top"/>
          </w:tcPr>
          <w:p w14:paraId="3F28471B">
            <w:pPr>
              <w:pStyle w:val="47"/>
              <w:spacing w:before="157" w:line="227" w:lineRule="auto"/>
              <w:ind w:left="479"/>
              <w:rPr>
                <w:color w:val="auto"/>
              </w:rPr>
            </w:pPr>
            <w:r>
              <w:rPr>
                <w:color w:val="auto"/>
                <w:spacing w:val="8"/>
              </w:rPr>
              <w:t>供应商名称</w:t>
            </w:r>
          </w:p>
        </w:tc>
        <w:tc>
          <w:tcPr>
            <w:tcW w:w="6086" w:type="dxa"/>
            <w:tcBorders>
              <w:tl2br w:val="nil"/>
              <w:tr2bl w:val="nil"/>
            </w:tcBorders>
            <w:vAlign w:val="top"/>
          </w:tcPr>
          <w:p w14:paraId="69885FDC">
            <w:pPr>
              <w:pStyle w:val="47"/>
              <w:spacing w:before="157" w:line="227" w:lineRule="auto"/>
              <w:ind w:left="115"/>
              <w:rPr>
                <w:color w:val="auto"/>
              </w:rPr>
            </w:pPr>
            <w:r>
              <w:rPr>
                <w:color w:val="auto"/>
                <w:spacing w:val="8"/>
              </w:rPr>
              <w:t>与营业执照、资质证书、安全生产许可证一致。</w:t>
            </w:r>
          </w:p>
        </w:tc>
      </w:tr>
      <w:tr w14:paraId="791A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652" w:type="dxa"/>
            <w:vMerge w:val="continue"/>
            <w:tcBorders>
              <w:tl2br w:val="nil"/>
              <w:tr2bl w:val="nil"/>
            </w:tcBorders>
            <w:vAlign w:val="top"/>
          </w:tcPr>
          <w:p w14:paraId="65862F80">
            <w:pPr>
              <w:rPr>
                <w:rFonts w:ascii="Arial"/>
                <w:color w:val="auto"/>
                <w:sz w:val="21"/>
              </w:rPr>
            </w:pPr>
          </w:p>
        </w:tc>
        <w:tc>
          <w:tcPr>
            <w:tcW w:w="720" w:type="dxa"/>
            <w:vMerge w:val="continue"/>
            <w:tcBorders>
              <w:tl2br w:val="nil"/>
              <w:tr2bl w:val="nil"/>
            </w:tcBorders>
            <w:vAlign w:val="top"/>
          </w:tcPr>
          <w:p w14:paraId="2B56504E">
            <w:pPr>
              <w:rPr>
                <w:rFonts w:ascii="Arial"/>
                <w:color w:val="auto"/>
                <w:sz w:val="21"/>
              </w:rPr>
            </w:pPr>
          </w:p>
        </w:tc>
        <w:tc>
          <w:tcPr>
            <w:tcW w:w="2000" w:type="dxa"/>
            <w:tcBorders>
              <w:tl2br w:val="nil"/>
              <w:tr2bl w:val="nil"/>
            </w:tcBorders>
            <w:vAlign w:val="top"/>
          </w:tcPr>
          <w:p w14:paraId="7006BC06">
            <w:pPr>
              <w:pStyle w:val="47"/>
              <w:spacing w:before="194" w:line="226" w:lineRule="auto"/>
              <w:ind w:left="266"/>
              <w:rPr>
                <w:color w:val="auto"/>
              </w:rPr>
            </w:pPr>
            <w:r>
              <w:rPr>
                <w:color w:val="auto"/>
                <w:spacing w:val="8"/>
              </w:rPr>
              <w:t>报价函签字盖章</w:t>
            </w:r>
          </w:p>
        </w:tc>
        <w:tc>
          <w:tcPr>
            <w:tcW w:w="6086" w:type="dxa"/>
            <w:tcBorders>
              <w:tl2br w:val="nil"/>
              <w:tr2bl w:val="nil"/>
            </w:tcBorders>
            <w:vAlign w:val="top"/>
          </w:tcPr>
          <w:p w14:paraId="088A7A22">
            <w:pPr>
              <w:pStyle w:val="47"/>
              <w:spacing w:before="194" w:line="227" w:lineRule="auto"/>
              <w:ind w:left="112"/>
              <w:rPr>
                <w:color w:val="auto"/>
              </w:rPr>
            </w:pPr>
            <w:r>
              <w:rPr>
                <w:color w:val="auto"/>
                <w:spacing w:val="9"/>
              </w:rPr>
              <w:t>有法定代表人或其委托代理人签字并加盖单位公章。</w:t>
            </w:r>
          </w:p>
        </w:tc>
      </w:tr>
      <w:tr w14:paraId="67D7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652" w:type="dxa"/>
            <w:vMerge w:val="continue"/>
            <w:tcBorders>
              <w:tl2br w:val="nil"/>
              <w:tr2bl w:val="nil"/>
            </w:tcBorders>
            <w:vAlign w:val="top"/>
          </w:tcPr>
          <w:p w14:paraId="68344336">
            <w:pPr>
              <w:rPr>
                <w:rFonts w:ascii="Arial"/>
                <w:color w:val="auto"/>
                <w:sz w:val="21"/>
              </w:rPr>
            </w:pPr>
          </w:p>
        </w:tc>
        <w:tc>
          <w:tcPr>
            <w:tcW w:w="720" w:type="dxa"/>
            <w:vMerge w:val="continue"/>
            <w:tcBorders>
              <w:tl2br w:val="nil"/>
              <w:tr2bl w:val="nil"/>
            </w:tcBorders>
            <w:vAlign w:val="top"/>
          </w:tcPr>
          <w:p w14:paraId="09237B81">
            <w:pPr>
              <w:rPr>
                <w:rFonts w:ascii="Arial"/>
                <w:color w:val="auto"/>
                <w:sz w:val="21"/>
              </w:rPr>
            </w:pPr>
          </w:p>
        </w:tc>
        <w:tc>
          <w:tcPr>
            <w:tcW w:w="2000" w:type="dxa"/>
            <w:tcBorders>
              <w:tl2br w:val="nil"/>
              <w:tr2bl w:val="nil"/>
            </w:tcBorders>
            <w:vAlign w:val="top"/>
          </w:tcPr>
          <w:p w14:paraId="53A9DA62">
            <w:pPr>
              <w:pStyle w:val="47"/>
              <w:spacing w:before="218" w:line="228" w:lineRule="auto"/>
              <w:ind w:left="384"/>
              <w:rPr>
                <w:color w:val="auto"/>
              </w:rPr>
            </w:pPr>
            <w:r>
              <w:rPr>
                <w:color w:val="auto"/>
                <w:spacing w:val="6"/>
              </w:rPr>
              <w:t>响应文件格式</w:t>
            </w:r>
          </w:p>
        </w:tc>
        <w:tc>
          <w:tcPr>
            <w:tcW w:w="6086" w:type="dxa"/>
            <w:tcBorders>
              <w:tl2br w:val="nil"/>
              <w:tr2bl w:val="nil"/>
            </w:tcBorders>
            <w:vAlign w:val="top"/>
          </w:tcPr>
          <w:p w14:paraId="02C59C3C">
            <w:pPr>
              <w:pStyle w:val="47"/>
              <w:spacing w:before="218" w:line="227" w:lineRule="auto"/>
              <w:ind w:left="113"/>
              <w:rPr>
                <w:color w:val="auto"/>
              </w:rPr>
            </w:pPr>
            <w:r>
              <w:rPr>
                <w:color w:val="auto"/>
                <w:spacing w:val="7"/>
              </w:rPr>
              <w:t>符合第七章“响应文件内容及格式要求”的要求。</w:t>
            </w:r>
          </w:p>
        </w:tc>
      </w:tr>
      <w:tr w14:paraId="203A7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jc w:val="center"/>
        </w:trPr>
        <w:tc>
          <w:tcPr>
            <w:tcW w:w="652" w:type="dxa"/>
            <w:vMerge w:val="restart"/>
            <w:tcBorders>
              <w:tl2br w:val="nil"/>
              <w:tr2bl w:val="nil"/>
            </w:tcBorders>
            <w:vAlign w:val="top"/>
          </w:tcPr>
          <w:p w14:paraId="21C0DF25">
            <w:pPr>
              <w:spacing w:line="243" w:lineRule="auto"/>
              <w:rPr>
                <w:rFonts w:ascii="Arial"/>
                <w:color w:val="auto"/>
                <w:sz w:val="21"/>
              </w:rPr>
            </w:pPr>
          </w:p>
          <w:p w14:paraId="00013E3A">
            <w:pPr>
              <w:spacing w:line="243" w:lineRule="auto"/>
              <w:rPr>
                <w:rFonts w:ascii="Arial"/>
                <w:color w:val="auto"/>
                <w:sz w:val="21"/>
              </w:rPr>
            </w:pPr>
          </w:p>
          <w:p w14:paraId="49E3B729">
            <w:pPr>
              <w:spacing w:line="243" w:lineRule="auto"/>
              <w:rPr>
                <w:rFonts w:ascii="Arial"/>
                <w:color w:val="auto"/>
                <w:sz w:val="21"/>
              </w:rPr>
            </w:pPr>
          </w:p>
          <w:p w14:paraId="2BC7C95B">
            <w:pPr>
              <w:spacing w:line="243" w:lineRule="auto"/>
              <w:rPr>
                <w:rFonts w:ascii="Arial"/>
                <w:color w:val="auto"/>
                <w:sz w:val="21"/>
              </w:rPr>
            </w:pPr>
          </w:p>
          <w:p w14:paraId="3ECD0714">
            <w:pPr>
              <w:spacing w:line="243" w:lineRule="auto"/>
              <w:rPr>
                <w:rFonts w:ascii="Arial"/>
                <w:color w:val="auto"/>
                <w:sz w:val="21"/>
              </w:rPr>
            </w:pPr>
          </w:p>
          <w:p w14:paraId="0AD3B18D">
            <w:pPr>
              <w:spacing w:line="243" w:lineRule="auto"/>
              <w:rPr>
                <w:rFonts w:ascii="Arial"/>
                <w:color w:val="auto"/>
                <w:sz w:val="21"/>
              </w:rPr>
            </w:pPr>
          </w:p>
          <w:p w14:paraId="7B2721F0">
            <w:pPr>
              <w:spacing w:line="244" w:lineRule="auto"/>
              <w:rPr>
                <w:rFonts w:ascii="Arial"/>
                <w:color w:val="auto"/>
                <w:sz w:val="21"/>
              </w:rPr>
            </w:pPr>
          </w:p>
          <w:p w14:paraId="1C96E71D">
            <w:pPr>
              <w:spacing w:line="244" w:lineRule="auto"/>
              <w:rPr>
                <w:rFonts w:ascii="Arial"/>
                <w:color w:val="auto"/>
                <w:sz w:val="21"/>
              </w:rPr>
            </w:pPr>
          </w:p>
          <w:p w14:paraId="4355C825">
            <w:pPr>
              <w:spacing w:line="244" w:lineRule="auto"/>
              <w:rPr>
                <w:rFonts w:ascii="Arial"/>
                <w:color w:val="auto"/>
                <w:sz w:val="21"/>
              </w:rPr>
            </w:pPr>
          </w:p>
          <w:p w14:paraId="033B7511">
            <w:pPr>
              <w:spacing w:line="244" w:lineRule="auto"/>
              <w:rPr>
                <w:rFonts w:ascii="Arial"/>
                <w:color w:val="auto"/>
                <w:sz w:val="21"/>
              </w:rPr>
            </w:pPr>
          </w:p>
          <w:p w14:paraId="4ED1A536">
            <w:pPr>
              <w:spacing w:line="244" w:lineRule="auto"/>
              <w:rPr>
                <w:rFonts w:ascii="Arial"/>
                <w:color w:val="auto"/>
                <w:sz w:val="21"/>
              </w:rPr>
            </w:pPr>
          </w:p>
          <w:p w14:paraId="19CC5CB1">
            <w:pPr>
              <w:spacing w:line="244" w:lineRule="auto"/>
              <w:rPr>
                <w:rFonts w:ascii="Arial"/>
                <w:color w:val="auto"/>
                <w:sz w:val="21"/>
              </w:rPr>
            </w:pPr>
          </w:p>
          <w:p w14:paraId="393BC4EB">
            <w:pPr>
              <w:spacing w:line="244" w:lineRule="auto"/>
              <w:rPr>
                <w:rFonts w:ascii="Arial"/>
                <w:color w:val="auto"/>
                <w:sz w:val="21"/>
              </w:rPr>
            </w:pPr>
          </w:p>
          <w:p w14:paraId="59745C47">
            <w:pPr>
              <w:spacing w:line="244" w:lineRule="auto"/>
              <w:rPr>
                <w:rFonts w:ascii="Arial"/>
                <w:color w:val="auto"/>
                <w:sz w:val="21"/>
              </w:rPr>
            </w:pPr>
          </w:p>
          <w:p w14:paraId="0A7543A8">
            <w:pPr>
              <w:spacing w:line="244" w:lineRule="auto"/>
              <w:rPr>
                <w:rFonts w:ascii="Arial"/>
                <w:color w:val="auto"/>
                <w:sz w:val="21"/>
              </w:rPr>
            </w:pPr>
          </w:p>
          <w:p w14:paraId="57839843">
            <w:pPr>
              <w:spacing w:line="244" w:lineRule="auto"/>
              <w:rPr>
                <w:rFonts w:ascii="Arial"/>
                <w:color w:val="auto"/>
                <w:sz w:val="21"/>
              </w:rPr>
            </w:pPr>
          </w:p>
          <w:p w14:paraId="07B31301">
            <w:pPr>
              <w:spacing w:line="244" w:lineRule="auto"/>
              <w:rPr>
                <w:rFonts w:ascii="Arial"/>
                <w:color w:val="auto"/>
                <w:sz w:val="21"/>
              </w:rPr>
            </w:pPr>
          </w:p>
          <w:p w14:paraId="07CB6E49">
            <w:pPr>
              <w:spacing w:line="244" w:lineRule="auto"/>
              <w:rPr>
                <w:rFonts w:ascii="Arial"/>
                <w:color w:val="auto"/>
                <w:sz w:val="21"/>
              </w:rPr>
            </w:pPr>
          </w:p>
          <w:p w14:paraId="2B3207CF">
            <w:pPr>
              <w:spacing w:line="244" w:lineRule="auto"/>
              <w:rPr>
                <w:rFonts w:ascii="Arial"/>
                <w:color w:val="auto"/>
                <w:sz w:val="21"/>
              </w:rPr>
            </w:pPr>
          </w:p>
          <w:p w14:paraId="3CA490E4">
            <w:pPr>
              <w:pStyle w:val="47"/>
              <w:spacing w:before="65" w:line="267" w:lineRule="exact"/>
              <w:ind w:left="123"/>
              <w:rPr>
                <w:color w:val="auto"/>
              </w:rPr>
            </w:pPr>
            <w:r>
              <w:rPr>
                <w:color w:val="auto"/>
                <w:spacing w:val="2"/>
                <w:position w:val="1"/>
              </w:rPr>
              <w:t>2.1.</w:t>
            </w:r>
          </w:p>
          <w:p w14:paraId="7C727EB9">
            <w:pPr>
              <w:pStyle w:val="47"/>
              <w:spacing w:before="133" w:line="270" w:lineRule="exact"/>
              <w:ind w:left="282"/>
              <w:rPr>
                <w:color w:val="auto"/>
              </w:rPr>
            </w:pPr>
            <w:r>
              <w:rPr>
                <w:color w:val="auto"/>
                <w:position w:val="1"/>
              </w:rPr>
              <w:t>2</w:t>
            </w:r>
          </w:p>
        </w:tc>
        <w:tc>
          <w:tcPr>
            <w:tcW w:w="720" w:type="dxa"/>
            <w:vMerge w:val="restart"/>
            <w:tcBorders>
              <w:tl2br w:val="nil"/>
              <w:tr2bl w:val="nil"/>
            </w:tcBorders>
            <w:vAlign w:val="top"/>
          </w:tcPr>
          <w:p w14:paraId="3D87802F">
            <w:pPr>
              <w:spacing w:line="246" w:lineRule="auto"/>
              <w:rPr>
                <w:rFonts w:ascii="Arial"/>
                <w:color w:val="auto"/>
                <w:sz w:val="21"/>
              </w:rPr>
            </w:pPr>
          </w:p>
          <w:p w14:paraId="51DEDB76">
            <w:pPr>
              <w:spacing w:line="246" w:lineRule="auto"/>
              <w:rPr>
                <w:rFonts w:ascii="Arial"/>
                <w:color w:val="auto"/>
                <w:sz w:val="21"/>
              </w:rPr>
            </w:pPr>
          </w:p>
          <w:p w14:paraId="75782A35">
            <w:pPr>
              <w:spacing w:line="246" w:lineRule="auto"/>
              <w:rPr>
                <w:rFonts w:ascii="Arial"/>
                <w:color w:val="auto"/>
                <w:sz w:val="21"/>
              </w:rPr>
            </w:pPr>
          </w:p>
          <w:p w14:paraId="2B2D9D6D">
            <w:pPr>
              <w:spacing w:line="246" w:lineRule="auto"/>
              <w:rPr>
                <w:rFonts w:ascii="Arial"/>
                <w:color w:val="auto"/>
                <w:sz w:val="21"/>
              </w:rPr>
            </w:pPr>
          </w:p>
          <w:p w14:paraId="286065FB">
            <w:pPr>
              <w:spacing w:line="246" w:lineRule="auto"/>
              <w:rPr>
                <w:rFonts w:ascii="Arial"/>
                <w:color w:val="auto"/>
                <w:sz w:val="21"/>
              </w:rPr>
            </w:pPr>
          </w:p>
          <w:p w14:paraId="0291BE2A">
            <w:pPr>
              <w:spacing w:line="246" w:lineRule="auto"/>
              <w:rPr>
                <w:rFonts w:ascii="Arial"/>
                <w:color w:val="auto"/>
                <w:sz w:val="21"/>
              </w:rPr>
            </w:pPr>
          </w:p>
          <w:p w14:paraId="6AA38BA1">
            <w:pPr>
              <w:spacing w:line="246" w:lineRule="auto"/>
              <w:rPr>
                <w:rFonts w:ascii="Arial"/>
                <w:color w:val="auto"/>
                <w:sz w:val="21"/>
              </w:rPr>
            </w:pPr>
          </w:p>
          <w:p w14:paraId="31B1C6EB">
            <w:pPr>
              <w:spacing w:line="246" w:lineRule="auto"/>
              <w:rPr>
                <w:rFonts w:ascii="Arial"/>
                <w:color w:val="auto"/>
                <w:sz w:val="21"/>
              </w:rPr>
            </w:pPr>
          </w:p>
          <w:p w14:paraId="0EDF8E05">
            <w:pPr>
              <w:spacing w:line="246" w:lineRule="auto"/>
              <w:rPr>
                <w:rFonts w:ascii="Arial"/>
                <w:color w:val="auto"/>
                <w:sz w:val="21"/>
              </w:rPr>
            </w:pPr>
          </w:p>
          <w:p w14:paraId="3F265E0A">
            <w:pPr>
              <w:spacing w:line="246" w:lineRule="auto"/>
              <w:rPr>
                <w:rFonts w:ascii="Arial"/>
                <w:color w:val="auto"/>
                <w:sz w:val="21"/>
              </w:rPr>
            </w:pPr>
          </w:p>
          <w:p w14:paraId="793594A9">
            <w:pPr>
              <w:spacing w:line="246" w:lineRule="auto"/>
              <w:rPr>
                <w:rFonts w:ascii="Arial"/>
                <w:color w:val="auto"/>
                <w:sz w:val="21"/>
              </w:rPr>
            </w:pPr>
          </w:p>
          <w:p w14:paraId="2ADD2F22">
            <w:pPr>
              <w:spacing w:line="246" w:lineRule="auto"/>
              <w:rPr>
                <w:rFonts w:ascii="Arial"/>
                <w:color w:val="auto"/>
                <w:sz w:val="21"/>
              </w:rPr>
            </w:pPr>
          </w:p>
          <w:p w14:paraId="22A7BE51">
            <w:pPr>
              <w:spacing w:line="246" w:lineRule="auto"/>
              <w:rPr>
                <w:rFonts w:ascii="Arial"/>
                <w:color w:val="auto"/>
                <w:sz w:val="21"/>
              </w:rPr>
            </w:pPr>
          </w:p>
          <w:p w14:paraId="61C80494">
            <w:pPr>
              <w:spacing w:line="246" w:lineRule="auto"/>
              <w:rPr>
                <w:rFonts w:ascii="Arial"/>
                <w:color w:val="auto"/>
                <w:sz w:val="21"/>
              </w:rPr>
            </w:pPr>
          </w:p>
          <w:p w14:paraId="7781403D">
            <w:pPr>
              <w:spacing w:line="246" w:lineRule="auto"/>
              <w:rPr>
                <w:rFonts w:ascii="Arial"/>
                <w:color w:val="auto"/>
                <w:sz w:val="21"/>
              </w:rPr>
            </w:pPr>
          </w:p>
          <w:p w14:paraId="643BE18B">
            <w:pPr>
              <w:spacing w:line="247" w:lineRule="auto"/>
              <w:rPr>
                <w:rFonts w:ascii="Arial"/>
                <w:color w:val="auto"/>
                <w:sz w:val="21"/>
              </w:rPr>
            </w:pPr>
          </w:p>
          <w:p w14:paraId="3D9D7B69">
            <w:pPr>
              <w:spacing w:line="247" w:lineRule="auto"/>
              <w:rPr>
                <w:rFonts w:ascii="Arial"/>
                <w:color w:val="auto"/>
                <w:sz w:val="21"/>
              </w:rPr>
            </w:pPr>
          </w:p>
          <w:p w14:paraId="7F489228">
            <w:pPr>
              <w:spacing w:line="247" w:lineRule="auto"/>
              <w:rPr>
                <w:rFonts w:ascii="Arial"/>
                <w:color w:val="auto"/>
                <w:sz w:val="21"/>
              </w:rPr>
            </w:pPr>
          </w:p>
          <w:p w14:paraId="53F1C704">
            <w:pPr>
              <w:pStyle w:val="47"/>
              <w:spacing w:before="65" w:line="228" w:lineRule="auto"/>
              <w:ind w:left="162"/>
              <w:rPr>
                <w:color w:val="auto"/>
              </w:rPr>
            </w:pPr>
            <w:r>
              <w:rPr>
                <w:color w:val="auto"/>
              </w:rPr>
              <w:t>资格</w:t>
            </w:r>
          </w:p>
          <w:p w14:paraId="054A655B">
            <w:pPr>
              <w:pStyle w:val="47"/>
              <w:spacing w:before="152" w:line="228" w:lineRule="auto"/>
              <w:ind w:left="152"/>
              <w:rPr>
                <w:color w:val="auto"/>
              </w:rPr>
            </w:pPr>
            <w:r>
              <w:rPr>
                <w:color w:val="auto"/>
                <w:spacing w:val="5"/>
              </w:rPr>
              <w:t>评审</w:t>
            </w:r>
          </w:p>
          <w:p w14:paraId="2F9D35CA">
            <w:pPr>
              <w:pStyle w:val="47"/>
              <w:spacing w:before="153" w:line="228" w:lineRule="auto"/>
              <w:ind w:left="154"/>
              <w:rPr>
                <w:color w:val="auto"/>
              </w:rPr>
            </w:pPr>
            <w:r>
              <w:rPr>
                <w:color w:val="auto"/>
                <w:spacing w:val="4"/>
              </w:rPr>
              <w:t>标准</w:t>
            </w:r>
          </w:p>
        </w:tc>
        <w:tc>
          <w:tcPr>
            <w:tcW w:w="2000" w:type="dxa"/>
            <w:tcBorders>
              <w:tl2br w:val="nil"/>
              <w:tr2bl w:val="nil"/>
            </w:tcBorders>
            <w:vAlign w:val="top"/>
          </w:tcPr>
          <w:p w14:paraId="5358BE70">
            <w:pPr>
              <w:spacing w:line="326" w:lineRule="auto"/>
              <w:rPr>
                <w:rFonts w:ascii="Arial"/>
                <w:color w:val="auto"/>
                <w:sz w:val="21"/>
              </w:rPr>
            </w:pPr>
          </w:p>
          <w:p w14:paraId="5B8670BE">
            <w:pPr>
              <w:pStyle w:val="47"/>
              <w:spacing w:before="65" w:line="228" w:lineRule="auto"/>
              <w:ind w:left="589"/>
              <w:rPr>
                <w:color w:val="auto"/>
              </w:rPr>
            </w:pPr>
            <w:r>
              <w:rPr>
                <w:color w:val="auto"/>
                <w:spacing w:val="5"/>
              </w:rPr>
              <w:t>营业执照</w:t>
            </w:r>
          </w:p>
        </w:tc>
        <w:tc>
          <w:tcPr>
            <w:tcW w:w="6086" w:type="dxa"/>
            <w:tcBorders>
              <w:tl2br w:val="nil"/>
              <w:tr2bl w:val="nil"/>
            </w:tcBorders>
            <w:vAlign w:val="top"/>
          </w:tcPr>
          <w:p w14:paraId="1D362D77">
            <w:pPr>
              <w:pStyle w:val="47"/>
              <w:spacing w:before="191" w:line="327" w:lineRule="auto"/>
              <w:ind w:left="112" w:right="109" w:firstLine="3"/>
              <w:rPr>
                <w:color w:val="auto"/>
              </w:rPr>
            </w:pPr>
            <w:r>
              <w:rPr>
                <w:color w:val="auto"/>
                <w:spacing w:val="9"/>
              </w:rPr>
              <w:t>具备有效的营业执照，响应文件内附营业执照（副本）复印件加</w:t>
            </w:r>
            <w:r>
              <w:rPr>
                <w:color w:val="auto"/>
                <w:spacing w:val="4"/>
              </w:rPr>
              <w:t>盖公章。</w:t>
            </w:r>
          </w:p>
        </w:tc>
      </w:tr>
      <w:tr w14:paraId="39E26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52" w:type="dxa"/>
            <w:vMerge w:val="continue"/>
            <w:tcBorders>
              <w:tl2br w:val="nil"/>
              <w:tr2bl w:val="nil"/>
            </w:tcBorders>
            <w:vAlign w:val="top"/>
          </w:tcPr>
          <w:p w14:paraId="1CD05919">
            <w:pPr>
              <w:rPr>
                <w:rFonts w:ascii="Arial"/>
                <w:color w:val="auto"/>
                <w:sz w:val="21"/>
              </w:rPr>
            </w:pPr>
          </w:p>
        </w:tc>
        <w:tc>
          <w:tcPr>
            <w:tcW w:w="720" w:type="dxa"/>
            <w:vMerge w:val="continue"/>
            <w:tcBorders>
              <w:tl2br w:val="nil"/>
              <w:tr2bl w:val="nil"/>
            </w:tcBorders>
            <w:vAlign w:val="top"/>
          </w:tcPr>
          <w:p w14:paraId="04B48AFF">
            <w:pPr>
              <w:rPr>
                <w:rFonts w:ascii="Arial"/>
                <w:color w:val="auto"/>
                <w:sz w:val="21"/>
              </w:rPr>
            </w:pPr>
          </w:p>
        </w:tc>
        <w:tc>
          <w:tcPr>
            <w:tcW w:w="2000" w:type="dxa"/>
            <w:tcBorders>
              <w:tl2br w:val="nil"/>
              <w:tr2bl w:val="nil"/>
            </w:tcBorders>
            <w:vAlign w:val="top"/>
          </w:tcPr>
          <w:p w14:paraId="639E996E">
            <w:pPr>
              <w:spacing w:line="278" w:lineRule="auto"/>
              <w:rPr>
                <w:rFonts w:ascii="Arial"/>
                <w:color w:val="auto"/>
                <w:sz w:val="21"/>
              </w:rPr>
            </w:pPr>
          </w:p>
          <w:p w14:paraId="68FCB294">
            <w:pPr>
              <w:pStyle w:val="47"/>
              <w:spacing w:before="65" w:line="228" w:lineRule="auto"/>
              <w:ind w:left="586"/>
              <w:rPr>
                <w:color w:val="auto"/>
              </w:rPr>
            </w:pPr>
            <w:r>
              <w:rPr>
                <w:color w:val="auto"/>
                <w:spacing w:val="6"/>
              </w:rPr>
              <w:t>企业资质</w:t>
            </w:r>
          </w:p>
        </w:tc>
        <w:tc>
          <w:tcPr>
            <w:tcW w:w="6086" w:type="dxa"/>
            <w:tcBorders>
              <w:tl2br w:val="nil"/>
              <w:tr2bl w:val="nil"/>
            </w:tcBorders>
            <w:vAlign w:val="top"/>
          </w:tcPr>
          <w:p w14:paraId="751918AC">
            <w:pPr>
              <w:pStyle w:val="47"/>
              <w:spacing w:before="143" w:line="369" w:lineRule="auto"/>
              <w:ind w:left="110" w:right="38" w:firstLine="1"/>
              <w:rPr>
                <w:color w:val="auto"/>
              </w:rPr>
            </w:pPr>
            <w:r>
              <w:rPr>
                <w:color w:val="auto"/>
                <w:spacing w:val="9"/>
              </w:rPr>
              <w:t>具备建设行政主管部门核发的</w:t>
            </w:r>
            <w:r>
              <w:rPr>
                <w:rFonts w:hint="eastAsia"/>
                <w:color w:val="auto"/>
                <w:lang w:eastAsia="zh-CN"/>
              </w:rPr>
              <w:t>消防设施工程专业承包贰级(含)及以上资质，</w:t>
            </w:r>
            <w:r>
              <w:rPr>
                <w:rFonts w:hint="eastAsia"/>
                <w:color w:val="auto"/>
                <w:spacing w:val="7"/>
              </w:rPr>
              <w:t>响应文件内附复印件加盖单位公章。</w:t>
            </w:r>
          </w:p>
        </w:tc>
      </w:tr>
      <w:tr w14:paraId="2F9FE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jc w:val="center"/>
        </w:trPr>
        <w:tc>
          <w:tcPr>
            <w:tcW w:w="652" w:type="dxa"/>
            <w:vMerge w:val="continue"/>
            <w:tcBorders>
              <w:tl2br w:val="nil"/>
              <w:tr2bl w:val="nil"/>
            </w:tcBorders>
            <w:vAlign w:val="top"/>
          </w:tcPr>
          <w:p w14:paraId="2AA35F8F">
            <w:pPr>
              <w:rPr>
                <w:rFonts w:ascii="Arial"/>
                <w:color w:val="auto"/>
                <w:sz w:val="21"/>
              </w:rPr>
            </w:pPr>
          </w:p>
        </w:tc>
        <w:tc>
          <w:tcPr>
            <w:tcW w:w="720" w:type="dxa"/>
            <w:vMerge w:val="continue"/>
            <w:tcBorders>
              <w:tl2br w:val="nil"/>
              <w:tr2bl w:val="nil"/>
            </w:tcBorders>
            <w:vAlign w:val="top"/>
          </w:tcPr>
          <w:p w14:paraId="3E07C15C">
            <w:pPr>
              <w:rPr>
                <w:rFonts w:ascii="Arial"/>
                <w:color w:val="auto"/>
                <w:sz w:val="21"/>
              </w:rPr>
            </w:pPr>
          </w:p>
        </w:tc>
        <w:tc>
          <w:tcPr>
            <w:tcW w:w="2000" w:type="dxa"/>
            <w:tcBorders>
              <w:tl2br w:val="nil"/>
              <w:tr2bl w:val="nil"/>
            </w:tcBorders>
            <w:vAlign w:val="top"/>
          </w:tcPr>
          <w:p w14:paraId="1B8329CE">
            <w:pPr>
              <w:spacing w:line="327" w:lineRule="auto"/>
              <w:rPr>
                <w:rFonts w:ascii="Arial"/>
                <w:color w:val="auto"/>
                <w:sz w:val="21"/>
              </w:rPr>
            </w:pPr>
          </w:p>
          <w:p w14:paraId="4B6D09A2">
            <w:pPr>
              <w:pStyle w:val="47"/>
              <w:spacing w:before="65" w:line="228" w:lineRule="auto"/>
              <w:ind w:left="272"/>
              <w:rPr>
                <w:color w:val="auto"/>
              </w:rPr>
            </w:pPr>
            <w:r>
              <w:rPr>
                <w:color w:val="auto"/>
                <w:spacing w:val="8"/>
              </w:rPr>
              <w:t>安全生产许可证</w:t>
            </w:r>
          </w:p>
        </w:tc>
        <w:tc>
          <w:tcPr>
            <w:tcW w:w="6086" w:type="dxa"/>
            <w:tcBorders>
              <w:tl2br w:val="nil"/>
              <w:tr2bl w:val="nil"/>
            </w:tcBorders>
            <w:vAlign w:val="top"/>
          </w:tcPr>
          <w:p w14:paraId="28D62911">
            <w:pPr>
              <w:pStyle w:val="47"/>
              <w:spacing w:before="160" w:line="302" w:lineRule="auto"/>
              <w:ind w:left="110" w:right="109" w:firstLine="5"/>
              <w:rPr>
                <w:color w:val="auto"/>
              </w:rPr>
            </w:pPr>
            <w:r>
              <w:rPr>
                <w:color w:val="auto"/>
                <w:spacing w:val="9"/>
              </w:rPr>
              <w:t>具备有效的安全生产许可证，响应文件内附安全生产许可证复印</w:t>
            </w:r>
            <w:r>
              <w:rPr>
                <w:color w:val="auto"/>
                <w:spacing w:val="6"/>
              </w:rPr>
              <w:t>件加盖公章。</w:t>
            </w:r>
          </w:p>
        </w:tc>
      </w:tr>
      <w:tr w14:paraId="5FDF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52" w:type="dxa"/>
            <w:vMerge w:val="continue"/>
            <w:tcBorders>
              <w:tl2br w:val="nil"/>
              <w:tr2bl w:val="nil"/>
            </w:tcBorders>
            <w:vAlign w:val="top"/>
          </w:tcPr>
          <w:p w14:paraId="20CB613D">
            <w:pPr>
              <w:rPr>
                <w:rFonts w:ascii="Arial"/>
                <w:color w:val="auto"/>
                <w:sz w:val="21"/>
              </w:rPr>
            </w:pPr>
          </w:p>
        </w:tc>
        <w:tc>
          <w:tcPr>
            <w:tcW w:w="720" w:type="dxa"/>
            <w:vMerge w:val="continue"/>
            <w:tcBorders>
              <w:tl2br w:val="nil"/>
              <w:tr2bl w:val="nil"/>
            </w:tcBorders>
            <w:vAlign w:val="top"/>
          </w:tcPr>
          <w:p w14:paraId="6C9E268A">
            <w:pPr>
              <w:rPr>
                <w:rFonts w:ascii="Arial"/>
                <w:color w:val="auto"/>
                <w:sz w:val="21"/>
              </w:rPr>
            </w:pPr>
          </w:p>
        </w:tc>
        <w:tc>
          <w:tcPr>
            <w:tcW w:w="2000" w:type="dxa"/>
            <w:tcBorders>
              <w:tl2br w:val="nil"/>
              <w:tr2bl w:val="nil"/>
            </w:tcBorders>
            <w:vAlign w:val="top"/>
          </w:tcPr>
          <w:p w14:paraId="7BF29CC2">
            <w:pPr>
              <w:pStyle w:val="47"/>
              <w:spacing w:before="65" w:line="228" w:lineRule="auto"/>
              <w:ind w:left="586"/>
              <w:rPr>
                <w:color w:val="auto"/>
                <w:spacing w:val="6"/>
              </w:rPr>
            </w:pPr>
          </w:p>
          <w:p w14:paraId="3E000C32">
            <w:pPr>
              <w:pStyle w:val="47"/>
              <w:spacing w:before="65" w:line="228" w:lineRule="auto"/>
              <w:ind w:left="586"/>
              <w:rPr>
                <w:color w:val="auto"/>
              </w:rPr>
            </w:pPr>
            <w:r>
              <w:rPr>
                <w:color w:val="auto"/>
                <w:spacing w:val="6"/>
              </w:rPr>
              <w:t>项目经理</w:t>
            </w:r>
          </w:p>
        </w:tc>
        <w:tc>
          <w:tcPr>
            <w:tcW w:w="6086" w:type="dxa"/>
            <w:tcBorders>
              <w:tl2br w:val="nil"/>
              <w:tr2bl w:val="nil"/>
            </w:tcBorders>
            <w:vAlign w:val="top"/>
          </w:tcPr>
          <w:p w14:paraId="3CCFB627">
            <w:pPr>
              <w:pStyle w:val="47"/>
              <w:spacing w:before="35" w:line="301" w:lineRule="auto"/>
              <w:ind w:left="110" w:right="109" w:firstLine="1"/>
              <w:rPr>
                <w:color w:val="auto"/>
              </w:rPr>
            </w:pPr>
            <w:r>
              <w:rPr>
                <w:color w:val="auto"/>
                <w:spacing w:val="9"/>
              </w:rPr>
              <w:t>项目经理须具备</w:t>
            </w:r>
            <w:r>
              <w:rPr>
                <w:rFonts w:hint="eastAsia"/>
                <w:color w:val="auto"/>
                <w:spacing w:val="9"/>
                <w:lang w:val="en-US" w:eastAsia="zh-CN"/>
              </w:rPr>
              <w:t>机电</w:t>
            </w:r>
            <w:r>
              <w:rPr>
                <w:color w:val="auto"/>
                <w:spacing w:val="9"/>
              </w:rPr>
              <w:t>工程专业二级及以上注册建造师执业资格，具备有效的安全生产考核合格证书，且未担任其他在施</w:t>
            </w:r>
            <w:r>
              <w:rPr>
                <w:color w:val="auto"/>
                <w:spacing w:val="8"/>
              </w:rPr>
              <w:t>建设工程项目的项目经理。</w:t>
            </w:r>
          </w:p>
        </w:tc>
      </w:tr>
      <w:tr w14:paraId="70D76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52" w:type="dxa"/>
            <w:vMerge w:val="continue"/>
            <w:tcBorders>
              <w:tl2br w:val="nil"/>
              <w:tr2bl w:val="nil"/>
            </w:tcBorders>
            <w:vAlign w:val="top"/>
          </w:tcPr>
          <w:p w14:paraId="63AC1B3B">
            <w:pPr>
              <w:rPr>
                <w:rFonts w:ascii="Arial"/>
                <w:color w:val="auto"/>
                <w:sz w:val="21"/>
              </w:rPr>
            </w:pPr>
          </w:p>
        </w:tc>
        <w:tc>
          <w:tcPr>
            <w:tcW w:w="720" w:type="dxa"/>
            <w:vMerge w:val="continue"/>
            <w:tcBorders>
              <w:tl2br w:val="nil"/>
              <w:tr2bl w:val="nil"/>
            </w:tcBorders>
            <w:vAlign w:val="top"/>
          </w:tcPr>
          <w:p w14:paraId="049F91BD">
            <w:pPr>
              <w:rPr>
                <w:rFonts w:ascii="Arial"/>
                <w:color w:val="auto"/>
                <w:sz w:val="21"/>
              </w:rPr>
            </w:pPr>
          </w:p>
        </w:tc>
        <w:tc>
          <w:tcPr>
            <w:tcW w:w="2000" w:type="dxa"/>
            <w:tcBorders>
              <w:tl2br w:val="nil"/>
              <w:tr2bl w:val="nil"/>
            </w:tcBorders>
            <w:vAlign w:val="top"/>
          </w:tcPr>
          <w:p w14:paraId="21135775">
            <w:pPr>
              <w:spacing w:line="276" w:lineRule="auto"/>
              <w:rPr>
                <w:rFonts w:ascii="Arial"/>
                <w:color w:val="auto"/>
                <w:sz w:val="21"/>
              </w:rPr>
            </w:pPr>
          </w:p>
          <w:p w14:paraId="3AC32328">
            <w:pPr>
              <w:pStyle w:val="47"/>
              <w:spacing w:before="65" w:line="227" w:lineRule="auto"/>
              <w:ind w:left="377"/>
              <w:rPr>
                <w:color w:val="auto"/>
                <w:spacing w:val="7"/>
              </w:rPr>
            </w:pPr>
          </w:p>
          <w:p w14:paraId="4FE5F7FC">
            <w:pPr>
              <w:pStyle w:val="47"/>
              <w:spacing w:before="65" w:line="227" w:lineRule="auto"/>
              <w:ind w:left="377"/>
              <w:rPr>
                <w:color w:val="auto"/>
              </w:rPr>
            </w:pPr>
            <w:r>
              <w:rPr>
                <w:color w:val="auto"/>
                <w:spacing w:val="7"/>
              </w:rPr>
              <w:t>项目管理机构</w:t>
            </w:r>
          </w:p>
        </w:tc>
        <w:tc>
          <w:tcPr>
            <w:tcW w:w="6086" w:type="dxa"/>
            <w:tcBorders>
              <w:tl2br w:val="nil"/>
              <w:tr2bl w:val="nil"/>
            </w:tcBorders>
            <w:vAlign w:val="top"/>
          </w:tcPr>
          <w:p w14:paraId="0C8DC3E7">
            <w:pPr>
              <w:pStyle w:val="47"/>
              <w:spacing w:before="144" w:line="301" w:lineRule="auto"/>
              <w:ind w:left="115" w:right="109" w:hanging="3"/>
              <w:rPr>
                <w:color w:val="auto"/>
              </w:rPr>
            </w:pPr>
            <w:r>
              <w:rPr>
                <w:color w:val="auto"/>
                <w:spacing w:val="9"/>
              </w:rPr>
              <w:t>本项目施工过程中投入项目管理机构人员，应为本单位人员，且与其响应文件中所报的项目管理机构人员一致，且未经采购人同意，不允许随意更换。响应文件内提供由法定代表人签字或盖章</w:t>
            </w:r>
            <w:r>
              <w:rPr>
                <w:color w:val="auto"/>
                <w:spacing w:val="7"/>
              </w:rPr>
              <w:t>并加盖公章的承诺书。</w:t>
            </w:r>
          </w:p>
        </w:tc>
      </w:tr>
      <w:tr w14:paraId="473F8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652" w:type="dxa"/>
            <w:vMerge w:val="continue"/>
            <w:tcBorders>
              <w:tl2br w:val="nil"/>
              <w:tr2bl w:val="nil"/>
            </w:tcBorders>
            <w:vAlign w:val="top"/>
          </w:tcPr>
          <w:p w14:paraId="1A236302">
            <w:pPr>
              <w:rPr>
                <w:rFonts w:ascii="Arial"/>
                <w:color w:val="auto"/>
                <w:sz w:val="21"/>
              </w:rPr>
            </w:pPr>
          </w:p>
        </w:tc>
        <w:tc>
          <w:tcPr>
            <w:tcW w:w="720" w:type="dxa"/>
            <w:vMerge w:val="continue"/>
            <w:tcBorders>
              <w:tl2br w:val="nil"/>
              <w:tr2bl w:val="nil"/>
            </w:tcBorders>
            <w:vAlign w:val="top"/>
          </w:tcPr>
          <w:p w14:paraId="476B233A">
            <w:pPr>
              <w:rPr>
                <w:rFonts w:ascii="Arial"/>
                <w:color w:val="auto"/>
                <w:sz w:val="21"/>
              </w:rPr>
            </w:pPr>
          </w:p>
        </w:tc>
        <w:tc>
          <w:tcPr>
            <w:tcW w:w="2000" w:type="dxa"/>
            <w:tcBorders>
              <w:tl2br w:val="nil"/>
              <w:tr2bl w:val="nil"/>
            </w:tcBorders>
            <w:shd w:val="clear" w:color="auto" w:fill="auto"/>
            <w:vAlign w:val="top"/>
          </w:tcPr>
          <w:p w14:paraId="7EB0C6D7">
            <w:pPr>
              <w:pStyle w:val="47"/>
              <w:spacing w:before="220" w:line="227" w:lineRule="auto"/>
              <w:ind w:left="269" w:leftChars="0"/>
              <w:rPr>
                <w:rFonts w:ascii="宋体" w:hAnsi="宋体" w:eastAsia="宋体" w:cs="宋体"/>
                <w:color w:val="auto"/>
                <w:spacing w:val="7"/>
                <w:kern w:val="2"/>
                <w:sz w:val="20"/>
                <w:szCs w:val="20"/>
                <w:lang w:val="en-US" w:eastAsia="en-US" w:bidi="ar-SA"/>
              </w:rPr>
            </w:pPr>
            <w:r>
              <w:rPr>
                <w:color w:val="auto"/>
                <w:spacing w:val="8"/>
              </w:rPr>
              <w:t>法人授权委托书</w:t>
            </w:r>
          </w:p>
        </w:tc>
        <w:tc>
          <w:tcPr>
            <w:tcW w:w="6086" w:type="dxa"/>
            <w:tcBorders>
              <w:tl2br w:val="nil"/>
              <w:tr2bl w:val="nil"/>
            </w:tcBorders>
            <w:shd w:val="clear" w:color="auto" w:fill="auto"/>
            <w:vAlign w:val="top"/>
          </w:tcPr>
          <w:p w14:paraId="37538873">
            <w:pPr>
              <w:pStyle w:val="47"/>
              <w:spacing w:before="220" w:line="227" w:lineRule="auto"/>
              <w:ind w:left="112" w:leftChars="0"/>
              <w:rPr>
                <w:rFonts w:ascii="宋体" w:hAnsi="宋体" w:eastAsia="宋体" w:cs="宋体"/>
                <w:color w:val="auto"/>
                <w:spacing w:val="9"/>
                <w:kern w:val="2"/>
                <w:sz w:val="20"/>
                <w:szCs w:val="20"/>
                <w:lang w:val="en-US" w:eastAsia="en-US" w:bidi="ar-SA"/>
              </w:rPr>
            </w:pPr>
            <w:r>
              <w:rPr>
                <w:color w:val="auto"/>
                <w:spacing w:val="8"/>
              </w:rPr>
              <w:t>有法定代表人及委托代理人签字和加盖公章。</w:t>
            </w:r>
          </w:p>
        </w:tc>
      </w:tr>
      <w:tr w14:paraId="2EC4D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52" w:type="dxa"/>
            <w:vMerge w:val="continue"/>
            <w:tcBorders>
              <w:tl2br w:val="nil"/>
              <w:tr2bl w:val="nil"/>
            </w:tcBorders>
            <w:vAlign w:val="top"/>
          </w:tcPr>
          <w:p w14:paraId="7466D5B7">
            <w:pPr>
              <w:rPr>
                <w:rFonts w:ascii="Arial"/>
                <w:color w:val="auto"/>
                <w:sz w:val="21"/>
              </w:rPr>
            </w:pPr>
          </w:p>
        </w:tc>
        <w:tc>
          <w:tcPr>
            <w:tcW w:w="720" w:type="dxa"/>
            <w:vMerge w:val="continue"/>
            <w:tcBorders>
              <w:tl2br w:val="nil"/>
              <w:tr2bl w:val="nil"/>
            </w:tcBorders>
            <w:vAlign w:val="top"/>
          </w:tcPr>
          <w:p w14:paraId="68DFD734">
            <w:pPr>
              <w:rPr>
                <w:rFonts w:ascii="Arial"/>
                <w:color w:val="auto"/>
                <w:sz w:val="21"/>
              </w:rPr>
            </w:pPr>
          </w:p>
        </w:tc>
        <w:tc>
          <w:tcPr>
            <w:tcW w:w="2000" w:type="dxa"/>
            <w:tcBorders>
              <w:tl2br w:val="nil"/>
              <w:tr2bl w:val="nil"/>
            </w:tcBorders>
            <w:shd w:val="clear" w:color="auto" w:fill="auto"/>
            <w:vAlign w:val="top"/>
          </w:tcPr>
          <w:p w14:paraId="33986A65">
            <w:pPr>
              <w:spacing w:line="473" w:lineRule="auto"/>
              <w:rPr>
                <w:rFonts w:ascii="Arial"/>
                <w:color w:val="auto"/>
                <w:sz w:val="21"/>
              </w:rPr>
            </w:pPr>
          </w:p>
          <w:p w14:paraId="5E8F1691">
            <w:pPr>
              <w:pStyle w:val="47"/>
              <w:spacing w:before="65" w:line="228" w:lineRule="auto"/>
              <w:ind w:left="583" w:leftChars="0"/>
              <w:rPr>
                <w:rFonts w:ascii="宋体" w:hAnsi="宋体" w:eastAsia="宋体" w:cs="宋体"/>
                <w:color w:val="auto"/>
                <w:spacing w:val="7"/>
                <w:kern w:val="2"/>
                <w:sz w:val="20"/>
                <w:szCs w:val="20"/>
                <w:lang w:val="en-US" w:eastAsia="en-US" w:bidi="ar-SA"/>
              </w:rPr>
            </w:pPr>
            <w:r>
              <w:rPr>
                <w:color w:val="auto"/>
                <w:spacing w:val="7"/>
              </w:rPr>
              <w:t>财务要求</w:t>
            </w:r>
          </w:p>
        </w:tc>
        <w:tc>
          <w:tcPr>
            <w:tcW w:w="6086" w:type="dxa"/>
            <w:tcBorders>
              <w:tl2br w:val="nil"/>
              <w:tr2bl w:val="nil"/>
            </w:tcBorders>
            <w:shd w:val="clear" w:color="auto" w:fill="auto"/>
            <w:vAlign w:val="top"/>
          </w:tcPr>
          <w:p w14:paraId="094572D5">
            <w:pPr>
              <w:pStyle w:val="47"/>
              <w:spacing w:before="144" w:line="323" w:lineRule="auto"/>
              <w:ind w:left="117" w:leftChars="0" w:right="109" w:rightChars="0" w:hanging="5" w:firstLineChars="0"/>
              <w:jc w:val="both"/>
              <w:rPr>
                <w:rFonts w:hint="eastAsia"/>
                <w:color w:val="auto"/>
                <w:spacing w:val="7"/>
              </w:rPr>
            </w:pPr>
            <w:r>
              <w:rPr>
                <w:rFonts w:hint="eastAsia"/>
                <w:color w:val="auto"/>
                <w:spacing w:val="7"/>
              </w:rPr>
              <w:t>供应商提供①2022年-2024年经会计师事务所或审计机构审计的财务审计报告，如供应商成立日期在2022年-2024年之间的，提供从成立之日起到2024年度经会计师事务所或审计机构审计的财务审计报告；②2025年1月1日至今的财务状况良好承诺。注：如供应商在2025年1月1日后成立的，只提供成立之日至今的财务状况良好承诺即可。（复印件，加盖供应商公章）</w:t>
            </w:r>
          </w:p>
          <w:p w14:paraId="48546917">
            <w:pPr>
              <w:pStyle w:val="47"/>
              <w:spacing w:before="144" w:line="323" w:lineRule="auto"/>
              <w:ind w:left="117" w:leftChars="0" w:right="109" w:rightChars="0" w:hanging="5" w:firstLineChars="0"/>
              <w:jc w:val="both"/>
              <w:rPr>
                <w:rFonts w:ascii="宋体" w:hAnsi="宋体" w:eastAsia="宋体" w:cs="宋体"/>
                <w:color w:val="auto"/>
                <w:spacing w:val="9"/>
                <w:kern w:val="2"/>
                <w:sz w:val="20"/>
                <w:szCs w:val="20"/>
                <w:lang w:val="en-US" w:eastAsia="en-US" w:bidi="ar-SA"/>
              </w:rPr>
            </w:pPr>
            <w:r>
              <w:rPr>
                <w:rFonts w:hint="eastAsia"/>
                <w:color w:val="auto"/>
                <w:spacing w:val="7"/>
              </w:rPr>
              <w:t>响应文件内附复印件加盖单位公章。</w:t>
            </w:r>
          </w:p>
        </w:tc>
      </w:tr>
      <w:tr w14:paraId="47CDC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52" w:type="dxa"/>
            <w:vMerge w:val="continue"/>
            <w:tcBorders>
              <w:tl2br w:val="nil"/>
              <w:tr2bl w:val="nil"/>
            </w:tcBorders>
            <w:vAlign w:val="top"/>
          </w:tcPr>
          <w:p w14:paraId="7EC82700">
            <w:pPr>
              <w:rPr>
                <w:rFonts w:ascii="Arial"/>
                <w:color w:val="auto"/>
                <w:sz w:val="21"/>
              </w:rPr>
            </w:pPr>
          </w:p>
        </w:tc>
        <w:tc>
          <w:tcPr>
            <w:tcW w:w="720" w:type="dxa"/>
            <w:vMerge w:val="continue"/>
            <w:tcBorders>
              <w:tl2br w:val="nil"/>
              <w:tr2bl w:val="nil"/>
            </w:tcBorders>
            <w:vAlign w:val="top"/>
          </w:tcPr>
          <w:p w14:paraId="6413DFB9">
            <w:pPr>
              <w:rPr>
                <w:rFonts w:ascii="Arial"/>
                <w:color w:val="auto"/>
                <w:sz w:val="21"/>
              </w:rPr>
            </w:pPr>
          </w:p>
        </w:tc>
        <w:tc>
          <w:tcPr>
            <w:tcW w:w="2000" w:type="dxa"/>
            <w:tcBorders>
              <w:tl2br w:val="nil"/>
              <w:tr2bl w:val="nil"/>
            </w:tcBorders>
            <w:shd w:val="clear" w:color="auto" w:fill="auto"/>
            <w:vAlign w:val="top"/>
          </w:tcPr>
          <w:p w14:paraId="3DE3C333">
            <w:pPr>
              <w:spacing w:line="267" w:lineRule="auto"/>
              <w:rPr>
                <w:rFonts w:ascii="Arial"/>
                <w:color w:val="auto"/>
                <w:sz w:val="21"/>
              </w:rPr>
            </w:pPr>
          </w:p>
          <w:p w14:paraId="1060F8BB">
            <w:pPr>
              <w:spacing w:line="267" w:lineRule="auto"/>
              <w:rPr>
                <w:rFonts w:ascii="Arial"/>
                <w:color w:val="auto"/>
                <w:sz w:val="21"/>
              </w:rPr>
            </w:pPr>
          </w:p>
          <w:p w14:paraId="6230615A">
            <w:pPr>
              <w:spacing w:line="268" w:lineRule="auto"/>
              <w:rPr>
                <w:rFonts w:ascii="Arial"/>
                <w:color w:val="auto"/>
                <w:sz w:val="21"/>
              </w:rPr>
            </w:pPr>
          </w:p>
          <w:p w14:paraId="042CA4D8">
            <w:pPr>
              <w:spacing w:line="268" w:lineRule="auto"/>
              <w:rPr>
                <w:rFonts w:ascii="Arial"/>
                <w:color w:val="auto"/>
                <w:sz w:val="21"/>
              </w:rPr>
            </w:pPr>
          </w:p>
          <w:p w14:paraId="4D456C13">
            <w:pPr>
              <w:pStyle w:val="47"/>
              <w:spacing w:before="65" w:line="227" w:lineRule="auto"/>
              <w:ind w:left="582" w:leftChars="0"/>
              <w:rPr>
                <w:rFonts w:ascii="宋体" w:hAnsi="宋体" w:eastAsia="宋体" w:cs="宋体"/>
                <w:color w:val="auto"/>
                <w:spacing w:val="7"/>
                <w:kern w:val="2"/>
                <w:sz w:val="20"/>
                <w:szCs w:val="20"/>
                <w:lang w:val="en-US" w:eastAsia="en-US" w:bidi="ar-SA"/>
              </w:rPr>
            </w:pPr>
            <w:r>
              <w:rPr>
                <w:color w:val="auto"/>
                <w:spacing w:val="7"/>
              </w:rPr>
              <w:t>信誉要求</w:t>
            </w:r>
          </w:p>
        </w:tc>
        <w:tc>
          <w:tcPr>
            <w:tcW w:w="6086" w:type="dxa"/>
            <w:tcBorders>
              <w:tl2br w:val="nil"/>
              <w:tr2bl w:val="nil"/>
            </w:tcBorders>
            <w:shd w:val="clear" w:color="auto" w:fill="auto"/>
            <w:vAlign w:val="top"/>
          </w:tcPr>
          <w:p w14:paraId="6F112362">
            <w:pPr>
              <w:pStyle w:val="47"/>
              <w:spacing w:before="144" w:line="323" w:lineRule="auto"/>
              <w:ind w:left="117" w:right="109" w:hanging="5"/>
              <w:jc w:val="both"/>
              <w:rPr>
                <w:rFonts w:hint="eastAsia" w:ascii="宋体" w:hAnsi="宋体" w:eastAsia="宋体" w:cs="宋体"/>
                <w:color w:val="auto"/>
                <w:spacing w:val="7"/>
                <w:lang w:eastAsia="zh-CN"/>
              </w:rPr>
            </w:pPr>
            <w:r>
              <w:rPr>
                <w:rFonts w:ascii="宋体" w:hAnsi="宋体" w:eastAsia="宋体" w:cs="宋体"/>
                <w:color w:val="auto"/>
                <w:spacing w:val="7"/>
              </w:rPr>
              <w:t>①不接受被政府列入取消投标资格期间的企业或个人参加。②具有参加政府采购活动前三年内（202</w:t>
            </w:r>
            <w:r>
              <w:rPr>
                <w:rFonts w:hint="eastAsia" w:cs="宋体"/>
                <w:color w:val="auto"/>
                <w:spacing w:val="7"/>
                <w:lang w:val="en-US" w:eastAsia="zh-CN"/>
              </w:rPr>
              <w:t>3</w:t>
            </w:r>
            <w:r>
              <w:rPr>
                <w:rFonts w:ascii="宋体" w:hAnsi="宋体" w:eastAsia="宋体" w:cs="宋体"/>
                <w:color w:val="auto"/>
                <w:spacing w:val="7"/>
              </w:rPr>
              <w:t>年-202</w:t>
            </w:r>
            <w:r>
              <w:rPr>
                <w:rFonts w:hint="eastAsia" w:cs="宋体"/>
                <w:color w:val="auto"/>
                <w:spacing w:val="7"/>
                <w:lang w:val="en-US" w:eastAsia="zh-CN"/>
              </w:rPr>
              <w:t>5</w:t>
            </w:r>
            <w:r>
              <w:rPr>
                <w:rFonts w:ascii="宋体" w:hAnsi="宋体" w:eastAsia="宋体" w:cs="宋体"/>
                <w:color w:val="auto"/>
                <w:spacing w:val="7"/>
              </w:rPr>
              <w:t>年）在经营活动中没有重大违法记录书面声明。③单位负责人为同一人或者存在控股、管理关系的不同单位，不得参加同一标段或者未划分标段的同一采购项目。</w:t>
            </w:r>
            <w:r>
              <w:rPr>
                <w:rFonts w:hint="eastAsia" w:ascii="宋体" w:hAnsi="宋体" w:eastAsia="宋体" w:cs="宋体"/>
                <w:color w:val="auto"/>
                <w:spacing w:val="7"/>
                <w:lang w:val="en-US" w:eastAsia="zh-CN"/>
              </w:rPr>
              <w:t>④</w:t>
            </w:r>
            <w:r>
              <w:rPr>
                <w:rFonts w:hint="eastAsia" w:ascii="宋体" w:hAnsi="宋体" w:eastAsia="宋体" w:cs="宋体"/>
                <w:color w:val="auto"/>
                <w:spacing w:val="7"/>
              </w:rPr>
              <w:t>2022年1月1日至今不得为“信用中国”网站中重大税收违法失信主体名单，不得为中国政府采购网</w:t>
            </w:r>
            <w:r>
              <w:rPr>
                <w:rFonts w:hint="eastAsia" w:ascii="宋体" w:hAnsi="宋体" w:eastAsia="宋体" w:cs="宋体"/>
                <w:color w:val="auto"/>
                <w:spacing w:val="7"/>
                <w:lang w:val="en-US" w:eastAsia="zh-CN"/>
              </w:rPr>
              <w:t>列入</w:t>
            </w:r>
            <w:r>
              <w:rPr>
                <w:rFonts w:hint="eastAsia" w:ascii="宋体" w:hAnsi="宋体" w:eastAsia="宋体" w:cs="宋体"/>
                <w:color w:val="auto"/>
                <w:spacing w:val="7"/>
              </w:rPr>
              <w:t>政府采购严重违法失信行为记录名单</w:t>
            </w:r>
            <w:r>
              <w:rPr>
                <w:rFonts w:hint="eastAsia" w:ascii="宋体" w:hAnsi="宋体" w:eastAsia="宋体" w:cs="宋体"/>
                <w:color w:val="auto"/>
                <w:spacing w:val="7"/>
                <w:lang w:eastAsia="zh-CN"/>
              </w:rPr>
              <w:t>。</w:t>
            </w:r>
          </w:p>
          <w:p w14:paraId="2C507F81">
            <w:pPr>
              <w:pStyle w:val="47"/>
              <w:spacing w:before="144" w:line="323" w:lineRule="auto"/>
              <w:ind w:left="117" w:right="109" w:hanging="5"/>
              <w:jc w:val="both"/>
              <w:rPr>
                <w:rFonts w:hint="eastAsia" w:ascii="宋体" w:hAnsi="宋体" w:eastAsia="宋体" w:cs="宋体"/>
                <w:color w:val="auto"/>
                <w:spacing w:val="7"/>
                <w:lang w:val="en-US" w:eastAsia="zh-CN"/>
              </w:rPr>
            </w:pPr>
            <w:r>
              <w:rPr>
                <w:rFonts w:hint="eastAsia" w:ascii="宋体" w:hAnsi="宋体" w:eastAsia="宋体" w:cs="宋体"/>
                <w:color w:val="auto"/>
                <w:spacing w:val="7"/>
              </w:rPr>
              <w:t>上述</w:t>
            </w:r>
            <w:r>
              <w:rPr>
                <w:rFonts w:ascii="宋体" w:hAnsi="宋体" w:eastAsia="宋体" w:cs="宋体"/>
                <w:color w:val="auto"/>
                <w:spacing w:val="7"/>
              </w:rPr>
              <w:t>①</w:t>
            </w:r>
            <w:r>
              <w:rPr>
                <w:rFonts w:hint="eastAsia" w:ascii="宋体" w:hAnsi="宋体" w:eastAsia="宋体" w:cs="宋体"/>
                <w:color w:val="auto"/>
                <w:spacing w:val="7"/>
                <w:lang w:val="en-US" w:eastAsia="zh-CN"/>
              </w:rPr>
              <w:t>-</w:t>
            </w:r>
            <w:r>
              <w:rPr>
                <w:rFonts w:ascii="宋体" w:hAnsi="宋体" w:eastAsia="宋体" w:cs="宋体"/>
                <w:color w:val="auto"/>
                <w:spacing w:val="7"/>
              </w:rPr>
              <w:t>③</w:t>
            </w:r>
            <w:r>
              <w:rPr>
                <w:rFonts w:hint="eastAsia" w:ascii="宋体" w:hAnsi="宋体" w:eastAsia="宋体" w:cs="宋体"/>
                <w:color w:val="auto"/>
                <w:spacing w:val="7"/>
                <w:lang w:val="en-US" w:eastAsia="zh-CN"/>
              </w:rPr>
              <w:t>标书内</w:t>
            </w:r>
            <w:r>
              <w:rPr>
                <w:rFonts w:hint="eastAsia" w:ascii="宋体" w:hAnsi="宋体" w:eastAsia="宋体" w:cs="宋体"/>
                <w:color w:val="auto"/>
                <w:spacing w:val="7"/>
                <w:lang w:val="zh-CN"/>
              </w:rPr>
              <w:t>附由法定代表人或其委托代理人签字</w:t>
            </w:r>
            <w:r>
              <w:rPr>
                <w:rFonts w:hint="eastAsia" w:ascii="宋体" w:hAnsi="宋体" w:eastAsia="宋体" w:cs="宋体"/>
                <w:color w:val="auto"/>
                <w:spacing w:val="7"/>
              </w:rPr>
              <w:t>（或盖章）</w:t>
            </w:r>
            <w:r>
              <w:rPr>
                <w:rFonts w:hint="eastAsia" w:ascii="宋体" w:hAnsi="宋体" w:eastAsia="宋体" w:cs="宋体"/>
                <w:color w:val="auto"/>
                <w:spacing w:val="7"/>
                <w:lang w:val="zh-CN"/>
              </w:rPr>
              <w:t>并加盖公章的承诺书；</w:t>
            </w:r>
            <w:r>
              <w:rPr>
                <w:rFonts w:hint="eastAsia" w:ascii="宋体" w:hAnsi="宋体" w:eastAsia="宋体" w:cs="宋体"/>
                <w:color w:val="auto"/>
                <w:spacing w:val="7"/>
                <w:lang w:val="en-US" w:eastAsia="zh-CN"/>
              </w:rPr>
              <w:t>④</w:t>
            </w:r>
            <w:r>
              <w:rPr>
                <w:rFonts w:ascii="宋体" w:hAnsi="宋体" w:eastAsia="宋体" w:cs="宋体"/>
                <w:color w:val="auto"/>
                <w:spacing w:val="7"/>
              </w:rPr>
              <w:t>标书内</w:t>
            </w:r>
            <w:r>
              <w:rPr>
                <w:rFonts w:hint="eastAsia" w:ascii="宋体" w:hAnsi="宋体" w:eastAsia="宋体" w:cs="宋体"/>
                <w:color w:val="auto"/>
                <w:spacing w:val="7"/>
              </w:rPr>
              <w:t>有官网截图</w:t>
            </w:r>
            <w:r>
              <w:rPr>
                <w:rFonts w:ascii="宋体" w:hAnsi="宋体" w:eastAsia="宋体" w:cs="宋体"/>
                <w:color w:val="auto"/>
                <w:spacing w:val="7"/>
              </w:rPr>
              <w:t>复印件加盖公章</w:t>
            </w:r>
            <w:r>
              <w:rPr>
                <w:rFonts w:hint="eastAsia" w:ascii="宋体" w:hAnsi="宋体" w:eastAsia="宋体" w:cs="宋体"/>
                <w:color w:val="auto"/>
                <w:spacing w:val="7"/>
              </w:rPr>
              <w:t>（</w:t>
            </w:r>
            <w:r>
              <w:rPr>
                <w:rFonts w:ascii="宋体" w:hAnsi="宋体" w:eastAsia="宋体" w:cs="宋体"/>
                <w:color w:val="auto"/>
                <w:spacing w:val="7"/>
              </w:rPr>
              <w:t>需在公告发布之后至</w:t>
            </w:r>
            <w:r>
              <w:rPr>
                <w:rFonts w:hint="eastAsia" w:ascii="宋体" w:hAnsi="宋体" w:eastAsia="宋体" w:cs="宋体"/>
                <w:color w:val="auto"/>
                <w:spacing w:val="7"/>
              </w:rPr>
              <w:t>响应文件递交</w:t>
            </w:r>
            <w:r>
              <w:rPr>
                <w:rFonts w:ascii="宋体" w:hAnsi="宋体" w:eastAsia="宋体" w:cs="宋体"/>
                <w:color w:val="auto"/>
                <w:spacing w:val="7"/>
              </w:rPr>
              <w:t>截止期间查询打印网站查询结果截图</w:t>
            </w:r>
            <w:r>
              <w:rPr>
                <w:rFonts w:hint="eastAsia" w:ascii="宋体" w:hAnsi="宋体" w:eastAsia="宋体" w:cs="宋体"/>
                <w:color w:val="auto"/>
                <w:spacing w:val="7"/>
              </w:rPr>
              <w:t>）。</w:t>
            </w:r>
          </w:p>
          <w:p w14:paraId="0570664D">
            <w:pPr>
              <w:pStyle w:val="47"/>
              <w:spacing w:before="144" w:line="323" w:lineRule="auto"/>
              <w:ind w:left="117" w:leftChars="0" w:right="109" w:rightChars="0" w:hanging="5" w:firstLineChars="0"/>
              <w:jc w:val="both"/>
              <w:rPr>
                <w:rFonts w:ascii="宋体" w:hAnsi="宋体" w:eastAsia="宋体" w:cs="宋体"/>
                <w:color w:val="auto"/>
                <w:spacing w:val="9"/>
                <w:kern w:val="2"/>
                <w:sz w:val="20"/>
                <w:szCs w:val="20"/>
                <w:lang w:val="en-US" w:eastAsia="en-US" w:bidi="ar-SA"/>
              </w:rPr>
            </w:pPr>
            <w:r>
              <w:rPr>
                <w:rFonts w:ascii="宋体" w:hAnsi="宋体" w:eastAsia="宋体" w:cs="宋体"/>
                <w:color w:val="auto"/>
                <w:spacing w:val="7"/>
              </w:rPr>
              <w:t>响应文件内提供由法定代表人签字或盖章并加盖公章的承诺书。</w:t>
            </w:r>
          </w:p>
        </w:tc>
      </w:tr>
      <w:tr w14:paraId="44030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52" w:type="dxa"/>
            <w:vMerge w:val="continue"/>
            <w:tcBorders>
              <w:tl2br w:val="nil"/>
              <w:tr2bl w:val="nil"/>
            </w:tcBorders>
            <w:vAlign w:val="top"/>
          </w:tcPr>
          <w:p w14:paraId="7CE2CF60">
            <w:pPr>
              <w:rPr>
                <w:rFonts w:ascii="Arial"/>
                <w:color w:val="auto"/>
                <w:sz w:val="21"/>
              </w:rPr>
            </w:pPr>
          </w:p>
        </w:tc>
        <w:tc>
          <w:tcPr>
            <w:tcW w:w="720" w:type="dxa"/>
            <w:vMerge w:val="continue"/>
            <w:tcBorders>
              <w:tl2br w:val="nil"/>
              <w:tr2bl w:val="nil"/>
            </w:tcBorders>
            <w:vAlign w:val="top"/>
          </w:tcPr>
          <w:p w14:paraId="6BEDD666">
            <w:pPr>
              <w:rPr>
                <w:rFonts w:ascii="Arial"/>
                <w:color w:val="auto"/>
                <w:sz w:val="21"/>
              </w:rPr>
            </w:pPr>
          </w:p>
        </w:tc>
        <w:tc>
          <w:tcPr>
            <w:tcW w:w="2000" w:type="dxa"/>
            <w:tcBorders>
              <w:tl2br w:val="nil"/>
              <w:tr2bl w:val="nil"/>
            </w:tcBorders>
            <w:shd w:val="clear" w:color="auto" w:fill="auto"/>
            <w:vAlign w:val="top"/>
          </w:tcPr>
          <w:p w14:paraId="4CD6DF70">
            <w:pPr>
              <w:pStyle w:val="47"/>
              <w:spacing w:before="276" w:line="227" w:lineRule="auto"/>
              <w:ind w:left="587" w:leftChars="0"/>
              <w:rPr>
                <w:rFonts w:ascii="宋体" w:hAnsi="宋体" w:eastAsia="宋体" w:cs="宋体"/>
                <w:color w:val="auto"/>
                <w:spacing w:val="7"/>
                <w:kern w:val="2"/>
                <w:sz w:val="20"/>
                <w:szCs w:val="20"/>
                <w:lang w:val="en-US" w:eastAsia="en-US" w:bidi="ar-SA"/>
              </w:rPr>
            </w:pPr>
            <w:r>
              <w:rPr>
                <w:color w:val="auto"/>
                <w:spacing w:val="6"/>
              </w:rPr>
              <w:t>外埠企业</w:t>
            </w:r>
          </w:p>
        </w:tc>
        <w:tc>
          <w:tcPr>
            <w:tcW w:w="6086" w:type="dxa"/>
            <w:tcBorders>
              <w:tl2br w:val="nil"/>
              <w:tr2bl w:val="nil"/>
            </w:tcBorders>
            <w:shd w:val="clear" w:color="auto" w:fill="auto"/>
            <w:vAlign w:val="top"/>
          </w:tcPr>
          <w:p w14:paraId="2FB3CD70">
            <w:pPr>
              <w:pStyle w:val="47"/>
              <w:spacing w:before="37" w:line="251" w:lineRule="auto"/>
              <w:ind w:left="112" w:leftChars="0" w:right="109" w:rightChars="0" w:firstLine="3" w:firstLineChars="0"/>
              <w:rPr>
                <w:rFonts w:ascii="宋体" w:hAnsi="宋体" w:eastAsia="宋体" w:cs="宋体"/>
                <w:color w:val="auto"/>
                <w:spacing w:val="9"/>
                <w:kern w:val="2"/>
                <w:sz w:val="20"/>
                <w:szCs w:val="20"/>
                <w:lang w:val="en-US" w:eastAsia="en-US" w:bidi="ar-SA"/>
              </w:rPr>
            </w:pPr>
            <w:r>
              <w:rPr>
                <w:color w:val="auto"/>
                <w:spacing w:val="9"/>
              </w:rPr>
              <w:t>外省企业应按照吉林省相关文件规定办理企业信息登记。提供吉林省建筑市场监管公共服务平台查询截图并加盖公章。</w:t>
            </w:r>
          </w:p>
        </w:tc>
      </w:tr>
      <w:tr w14:paraId="22504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jc w:val="center"/>
        </w:trPr>
        <w:tc>
          <w:tcPr>
            <w:tcW w:w="652" w:type="dxa"/>
            <w:vMerge w:val="restart"/>
            <w:tcBorders>
              <w:tl2br w:val="nil"/>
              <w:tr2bl w:val="nil"/>
            </w:tcBorders>
            <w:vAlign w:val="top"/>
          </w:tcPr>
          <w:p w14:paraId="71A4DD4B">
            <w:pPr>
              <w:spacing w:line="246" w:lineRule="auto"/>
              <w:rPr>
                <w:rFonts w:ascii="Arial"/>
                <w:color w:val="auto"/>
                <w:sz w:val="21"/>
              </w:rPr>
            </w:pPr>
          </w:p>
          <w:p w14:paraId="67268A72">
            <w:pPr>
              <w:spacing w:line="246" w:lineRule="auto"/>
              <w:rPr>
                <w:rFonts w:ascii="Arial"/>
                <w:color w:val="auto"/>
                <w:sz w:val="21"/>
              </w:rPr>
            </w:pPr>
          </w:p>
          <w:p w14:paraId="343B4580">
            <w:pPr>
              <w:spacing w:line="246" w:lineRule="auto"/>
              <w:rPr>
                <w:rFonts w:ascii="Arial"/>
                <w:color w:val="auto"/>
                <w:sz w:val="21"/>
              </w:rPr>
            </w:pPr>
          </w:p>
          <w:p w14:paraId="60806979">
            <w:pPr>
              <w:spacing w:line="246" w:lineRule="auto"/>
              <w:rPr>
                <w:rFonts w:ascii="Arial"/>
                <w:color w:val="auto"/>
                <w:sz w:val="21"/>
              </w:rPr>
            </w:pPr>
          </w:p>
          <w:p w14:paraId="5EDD5444">
            <w:pPr>
              <w:spacing w:line="246" w:lineRule="auto"/>
              <w:rPr>
                <w:rFonts w:ascii="Arial"/>
                <w:color w:val="auto"/>
                <w:sz w:val="21"/>
              </w:rPr>
            </w:pPr>
          </w:p>
          <w:p w14:paraId="072A1EAF">
            <w:pPr>
              <w:spacing w:line="246" w:lineRule="auto"/>
              <w:rPr>
                <w:rFonts w:ascii="Arial"/>
                <w:color w:val="auto"/>
                <w:sz w:val="21"/>
              </w:rPr>
            </w:pPr>
          </w:p>
          <w:p w14:paraId="27C90ADA">
            <w:pPr>
              <w:spacing w:line="247" w:lineRule="auto"/>
              <w:rPr>
                <w:rFonts w:ascii="Arial"/>
                <w:color w:val="auto"/>
                <w:sz w:val="21"/>
              </w:rPr>
            </w:pPr>
          </w:p>
          <w:p w14:paraId="023FDFEF">
            <w:pPr>
              <w:spacing w:line="247" w:lineRule="auto"/>
              <w:rPr>
                <w:rFonts w:ascii="Arial"/>
                <w:color w:val="auto"/>
                <w:sz w:val="21"/>
              </w:rPr>
            </w:pPr>
          </w:p>
          <w:p w14:paraId="3D9D5611">
            <w:pPr>
              <w:spacing w:line="247" w:lineRule="auto"/>
              <w:rPr>
                <w:rFonts w:ascii="Arial"/>
                <w:color w:val="auto"/>
                <w:sz w:val="21"/>
              </w:rPr>
            </w:pPr>
          </w:p>
          <w:p w14:paraId="604A0BC3">
            <w:pPr>
              <w:spacing w:line="247" w:lineRule="auto"/>
              <w:rPr>
                <w:rFonts w:ascii="Arial"/>
                <w:color w:val="auto"/>
                <w:sz w:val="21"/>
              </w:rPr>
            </w:pPr>
          </w:p>
          <w:p w14:paraId="15ED7CB8">
            <w:pPr>
              <w:pStyle w:val="47"/>
              <w:spacing w:before="65" w:line="267" w:lineRule="exact"/>
              <w:ind w:left="123"/>
              <w:rPr>
                <w:color w:val="auto"/>
              </w:rPr>
            </w:pPr>
            <w:r>
              <w:rPr>
                <w:color w:val="auto"/>
                <w:spacing w:val="2"/>
                <w:position w:val="1"/>
              </w:rPr>
              <w:t>2.1.</w:t>
            </w:r>
          </w:p>
          <w:p w14:paraId="2AEA3945">
            <w:pPr>
              <w:pStyle w:val="47"/>
              <w:spacing w:before="130" w:line="269" w:lineRule="exact"/>
              <w:ind w:left="283" w:leftChars="0"/>
              <w:rPr>
                <w:rFonts w:ascii="Arial"/>
                <w:color w:val="auto"/>
                <w:sz w:val="21"/>
              </w:rPr>
            </w:pPr>
            <w:r>
              <w:rPr>
                <w:color w:val="auto"/>
                <w:position w:val="1"/>
              </w:rPr>
              <w:t>3</w:t>
            </w:r>
          </w:p>
        </w:tc>
        <w:tc>
          <w:tcPr>
            <w:tcW w:w="720" w:type="dxa"/>
            <w:vMerge w:val="restart"/>
            <w:tcBorders>
              <w:tl2br w:val="nil"/>
              <w:tr2bl w:val="nil"/>
            </w:tcBorders>
            <w:vAlign w:val="top"/>
          </w:tcPr>
          <w:p w14:paraId="0A00922D">
            <w:pPr>
              <w:spacing w:line="266" w:lineRule="auto"/>
              <w:rPr>
                <w:rFonts w:ascii="Arial"/>
                <w:color w:val="auto"/>
                <w:sz w:val="21"/>
              </w:rPr>
            </w:pPr>
          </w:p>
          <w:p w14:paraId="7BB750E4">
            <w:pPr>
              <w:spacing w:line="267" w:lineRule="auto"/>
              <w:rPr>
                <w:rFonts w:ascii="Arial"/>
                <w:color w:val="auto"/>
                <w:sz w:val="21"/>
              </w:rPr>
            </w:pPr>
          </w:p>
          <w:p w14:paraId="48EED945">
            <w:pPr>
              <w:spacing w:line="267" w:lineRule="auto"/>
              <w:rPr>
                <w:rFonts w:ascii="Arial"/>
                <w:color w:val="auto"/>
                <w:sz w:val="21"/>
              </w:rPr>
            </w:pPr>
          </w:p>
          <w:p w14:paraId="6225F08B">
            <w:pPr>
              <w:spacing w:line="267" w:lineRule="auto"/>
              <w:rPr>
                <w:rFonts w:ascii="Arial"/>
                <w:color w:val="auto"/>
                <w:sz w:val="21"/>
              </w:rPr>
            </w:pPr>
          </w:p>
          <w:p w14:paraId="252DD24D">
            <w:pPr>
              <w:spacing w:line="267" w:lineRule="auto"/>
              <w:rPr>
                <w:rFonts w:ascii="Arial"/>
                <w:color w:val="auto"/>
                <w:sz w:val="21"/>
              </w:rPr>
            </w:pPr>
          </w:p>
          <w:p w14:paraId="73383C7A">
            <w:pPr>
              <w:spacing w:line="267" w:lineRule="auto"/>
              <w:rPr>
                <w:rFonts w:ascii="Arial"/>
                <w:color w:val="auto"/>
                <w:sz w:val="21"/>
              </w:rPr>
            </w:pPr>
          </w:p>
          <w:p w14:paraId="6AB5885C">
            <w:pPr>
              <w:spacing w:line="267" w:lineRule="auto"/>
              <w:rPr>
                <w:rFonts w:ascii="宋体" w:hAnsi="宋体" w:eastAsia="宋体" w:cs="宋体"/>
                <w:color w:val="auto"/>
                <w:spacing w:val="7"/>
                <w:kern w:val="2"/>
                <w:sz w:val="20"/>
                <w:szCs w:val="20"/>
                <w:lang w:val="en-US" w:eastAsia="en-US" w:bidi="ar-SA"/>
              </w:rPr>
            </w:pPr>
          </w:p>
          <w:p w14:paraId="3CAEC411">
            <w:pPr>
              <w:pStyle w:val="47"/>
              <w:spacing w:before="65" w:line="369" w:lineRule="auto"/>
              <w:ind w:left="152" w:right="152" w:firstLine="11"/>
              <w:jc w:val="center"/>
              <w:rPr>
                <w:rFonts w:ascii="宋体" w:hAnsi="宋体" w:eastAsia="宋体" w:cs="宋体"/>
                <w:color w:val="auto"/>
                <w:spacing w:val="7"/>
                <w:kern w:val="2"/>
                <w:sz w:val="20"/>
                <w:szCs w:val="20"/>
                <w:lang w:val="en-US" w:eastAsia="en-US" w:bidi="ar-SA"/>
              </w:rPr>
            </w:pPr>
            <w:r>
              <w:rPr>
                <w:rFonts w:hint="eastAsia" w:cs="宋体"/>
                <w:color w:val="auto"/>
                <w:spacing w:val="7"/>
                <w:kern w:val="2"/>
                <w:sz w:val="20"/>
                <w:szCs w:val="20"/>
                <w:lang w:val="en-US" w:eastAsia="zh-CN" w:bidi="ar-SA"/>
              </w:rPr>
              <w:t>符合</w:t>
            </w:r>
            <w:r>
              <w:rPr>
                <w:rFonts w:ascii="宋体" w:hAnsi="宋体" w:eastAsia="宋体" w:cs="宋体"/>
                <w:color w:val="auto"/>
                <w:spacing w:val="7"/>
                <w:kern w:val="2"/>
                <w:sz w:val="20"/>
                <w:szCs w:val="20"/>
                <w:lang w:val="en-US" w:eastAsia="en-US" w:bidi="ar-SA"/>
              </w:rPr>
              <w:t>性评审</w:t>
            </w:r>
          </w:p>
          <w:p w14:paraId="23B36FB0">
            <w:pPr>
              <w:pStyle w:val="47"/>
              <w:spacing w:line="228" w:lineRule="auto"/>
              <w:ind w:firstLine="214" w:firstLineChars="100"/>
              <w:jc w:val="both"/>
              <w:rPr>
                <w:rFonts w:ascii="宋体" w:hAnsi="宋体" w:eastAsia="宋体" w:cs="宋体"/>
                <w:color w:val="auto"/>
                <w:spacing w:val="7"/>
                <w:kern w:val="2"/>
                <w:sz w:val="20"/>
                <w:szCs w:val="20"/>
                <w:lang w:val="en-US" w:eastAsia="en-US" w:bidi="ar-SA"/>
              </w:rPr>
            </w:pPr>
            <w:r>
              <w:rPr>
                <w:rFonts w:ascii="宋体" w:hAnsi="宋体" w:eastAsia="宋体" w:cs="宋体"/>
                <w:color w:val="auto"/>
                <w:spacing w:val="7"/>
                <w:kern w:val="2"/>
                <w:sz w:val="20"/>
                <w:szCs w:val="20"/>
                <w:lang w:val="en-US" w:eastAsia="en-US" w:bidi="ar-SA"/>
              </w:rPr>
              <w:t>标</w:t>
            </w:r>
          </w:p>
          <w:p w14:paraId="2AC90C00">
            <w:pPr>
              <w:pStyle w:val="47"/>
              <w:spacing w:line="228" w:lineRule="auto"/>
              <w:ind w:firstLine="214" w:firstLineChars="100"/>
              <w:jc w:val="both"/>
              <w:rPr>
                <w:rFonts w:hint="eastAsia" w:ascii="宋体" w:hAnsi="宋体" w:eastAsia="宋体" w:cs="宋体"/>
                <w:color w:val="auto"/>
                <w:spacing w:val="7"/>
                <w:kern w:val="2"/>
                <w:sz w:val="20"/>
                <w:szCs w:val="20"/>
                <w:lang w:val="en-US" w:eastAsia="zh-CN" w:bidi="ar-SA"/>
              </w:rPr>
            </w:pPr>
          </w:p>
          <w:p w14:paraId="023CD574">
            <w:pPr>
              <w:pStyle w:val="47"/>
              <w:spacing w:line="228" w:lineRule="auto"/>
              <w:ind w:firstLine="214" w:firstLineChars="100"/>
              <w:jc w:val="both"/>
              <w:rPr>
                <w:rFonts w:ascii="Arial"/>
                <w:color w:val="auto"/>
                <w:sz w:val="21"/>
              </w:rPr>
            </w:pPr>
            <w:r>
              <w:rPr>
                <w:rFonts w:ascii="宋体" w:hAnsi="宋体" w:eastAsia="宋体" w:cs="宋体"/>
                <w:color w:val="auto"/>
                <w:spacing w:val="7"/>
                <w:kern w:val="2"/>
                <w:sz w:val="20"/>
                <w:szCs w:val="20"/>
                <w:lang w:val="en-US" w:eastAsia="en-US" w:bidi="ar-SA"/>
              </w:rPr>
              <w:t>准</w:t>
            </w:r>
          </w:p>
        </w:tc>
        <w:tc>
          <w:tcPr>
            <w:tcW w:w="2000" w:type="dxa"/>
            <w:tcBorders>
              <w:tl2br w:val="nil"/>
              <w:tr2bl w:val="nil"/>
            </w:tcBorders>
            <w:vAlign w:val="top"/>
          </w:tcPr>
          <w:p w14:paraId="38C9F403">
            <w:pPr>
              <w:pStyle w:val="47"/>
              <w:spacing w:before="153" w:line="228" w:lineRule="auto"/>
              <w:ind w:left="582" w:leftChars="0"/>
              <w:rPr>
                <w:color w:val="auto"/>
                <w:spacing w:val="7"/>
              </w:rPr>
            </w:pPr>
            <w:r>
              <w:rPr>
                <w:color w:val="auto"/>
                <w:spacing w:val="7"/>
              </w:rPr>
              <w:t>磋商内容</w:t>
            </w:r>
          </w:p>
        </w:tc>
        <w:tc>
          <w:tcPr>
            <w:tcW w:w="6086" w:type="dxa"/>
            <w:tcBorders>
              <w:tl2br w:val="nil"/>
              <w:tr2bl w:val="nil"/>
            </w:tcBorders>
            <w:vAlign w:val="top"/>
          </w:tcPr>
          <w:p w14:paraId="042D52E0">
            <w:pPr>
              <w:pStyle w:val="47"/>
              <w:spacing w:before="153" w:line="227" w:lineRule="auto"/>
              <w:ind w:left="113" w:leftChars="0"/>
              <w:rPr>
                <w:color w:val="auto"/>
                <w:spacing w:val="9"/>
              </w:rPr>
            </w:pPr>
            <w:r>
              <w:rPr>
                <w:color w:val="auto"/>
                <w:spacing w:val="7"/>
              </w:rPr>
              <w:t>符合第二章“供应商须知前附表”规定。</w:t>
            </w:r>
          </w:p>
        </w:tc>
      </w:tr>
      <w:tr w14:paraId="4FC4F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652" w:type="dxa"/>
            <w:vMerge w:val="continue"/>
            <w:tcBorders>
              <w:tl2br w:val="nil"/>
              <w:tr2bl w:val="nil"/>
            </w:tcBorders>
            <w:vAlign w:val="top"/>
          </w:tcPr>
          <w:p w14:paraId="748C3981">
            <w:pPr>
              <w:rPr>
                <w:rFonts w:ascii="Arial"/>
                <w:color w:val="auto"/>
                <w:sz w:val="21"/>
              </w:rPr>
            </w:pPr>
          </w:p>
        </w:tc>
        <w:tc>
          <w:tcPr>
            <w:tcW w:w="720" w:type="dxa"/>
            <w:vMerge w:val="continue"/>
            <w:tcBorders>
              <w:tl2br w:val="nil"/>
              <w:tr2bl w:val="nil"/>
            </w:tcBorders>
            <w:vAlign w:val="top"/>
          </w:tcPr>
          <w:p w14:paraId="38893209">
            <w:pPr>
              <w:rPr>
                <w:rFonts w:ascii="Arial"/>
                <w:color w:val="auto"/>
                <w:sz w:val="21"/>
              </w:rPr>
            </w:pPr>
          </w:p>
        </w:tc>
        <w:tc>
          <w:tcPr>
            <w:tcW w:w="2000" w:type="dxa"/>
            <w:tcBorders>
              <w:tl2br w:val="nil"/>
              <w:tr2bl w:val="nil"/>
            </w:tcBorders>
            <w:vAlign w:val="top"/>
          </w:tcPr>
          <w:p w14:paraId="46A258CC">
            <w:pPr>
              <w:pStyle w:val="47"/>
              <w:spacing w:before="157" w:line="228" w:lineRule="auto"/>
              <w:ind w:left="582" w:leftChars="0"/>
              <w:rPr>
                <w:color w:val="auto"/>
                <w:spacing w:val="6"/>
              </w:rPr>
            </w:pPr>
            <w:r>
              <w:rPr>
                <w:color w:val="auto"/>
                <w:spacing w:val="7"/>
              </w:rPr>
              <w:t>计划工期</w:t>
            </w:r>
          </w:p>
        </w:tc>
        <w:tc>
          <w:tcPr>
            <w:tcW w:w="6086" w:type="dxa"/>
            <w:tcBorders>
              <w:tl2br w:val="nil"/>
              <w:tr2bl w:val="nil"/>
            </w:tcBorders>
            <w:vAlign w:val="top"/>
          </w:tcPr>
          <w:p w14:paraId="502904E4">
            <w:pPr>
              <w:pStyle w:val="47"/>
              <w:spacing w:before="157" w:line="228" w:lineRule="auto"/>
              <w:ind w:left="111" w:leftChars="0"/>
              <w:rPr>
                <w:rFonts w:hint="eastAsia" w:eastAsia="宋体"/>
                <w:color w:val="auto"/>
                <w:spacing w:val="9"/>
                <w:lang w:eastAsia="zh-CN"/>
              </w:rPr>
            </w:pPr>
            <w:r>
              <w:rPr>
                <w:rFonts w:hint="eastAsia"/>
                <w:color w:val="auto"/>
                <w:spacing w:val="5"/>
                <w:lang w:eastAsia="zh-CN"/>
              </w:rPr>
              <w:t>合同签订后45天内</w:t>
            </w:r>
          </w:p>
        </w:tc>
      </w:tr>
      <w:tr w14:paraId="130C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652" w:type="dxa"/>
            <w:vMerge w:val="continue"/>
            <w:tcBorders>
              <w:tl2br w:val="nil"/>
              <w:tr2bl w:val="nil"/>
            </w:tcBorders>
            <w:vAlign w:val="top"/>
          </w:tcPr>
          <w:p w14:paraId="4493573A">
            <w:pPr>
              <w:rPr>
                <w:rFonts w:ascii="Arial"/>
                <w:color w:val="auto"/>
                <w:sz w:val="21"/>
              </w:rPr>
            </w:pPr>
          </w:p>
        </w:tc>
        <w:tc>
          <w:tcPr>
            <w:tcW w:w="720" w:type="dxa"/>
            <w:vMerge w:val="continue"/>
            <w:tcBorders>
              <w:tl2br w:val="nil"/>
              <w:tr2bl w:val="nil"/>
            </w:tcBorders>
            <w:vAlign w:val="top"/>
          </w:tcPr>
          <w:p w14:paraId="582FC752">
            <w:pPr>
              <w:rPr>
                <w:rFonts w:ascii="Arial"/>
                <w:color w:val="auto"/>
                <w:sz w:val="21"/>
              </w:rPr>
            </w:pPr>
          </w:p>
        </w:tc>
        <w:tc>
          <w:tcPr>
            <w:tcW w:w="2000" w:type="dxa"/>
            <w:tcBorders>
              <w:tl2br w:val="nil"/>
              <w:tr2bl w:val="nil"/>
            </w:tcBorders>
            <w:vAlign w:val="top"/>
          </w:tcPr>
          <w:p w14:paraId="26156722">
            <w:pPr>
              <w:pStyle w:val="47"/>
              <w:spacing w:before="172" w:line="228" w:lineRule="auto"/>
              <w:ind w:left="583" w:leftChars="0"/>
              <w:rPr>
                <w:color w:val="auto"/>
                <w:spacing w:val="6"/>
              </w:rPr>
            </w:pPr>
            <w:r>
              <w:rPr>
                <w:color w:val="auto"/>
                <w:spacing w:val="7"/>
              </w:rPr>
              <w:t>质量标准</w:t>
            </w:r>
          </w:p>
        </w:tc>
        <w:tc>
          <w:tcPr>
            <w:tcW w:w="6086" w:type="dxa"/>
            <w:tcBorders>
              <w:tl2br w:val="nil"/>
              <w:tr2bl w:val="nil"/>
            </w:tcBorders>
            <w:vAlign w:val="top"/>
          </w:tcPr>
          <w:p w14:paraId="7A70CCAC">
            <w:pPr>
              <w:pStyle w:val="47"/>
              <w:spacing w:before="172" w:line="228" w:lineRule="auto"/>
              <w:ind w:left="113" w:leftChars="0"/>
              <w:rPr>
                <w:rFonts w:hint="eastAsia" w:eastAsia="宋体"/>
                <w:color w:val="auto"/>
                <w:spacing w:val="9"/>
                <w:lang w:eastAsia="zh-CN"/>
              </w:rPr>
            </w:pPr>
            <w:r>
              <w:rPr>
                <w:rFonts w:hint="eastAsia"/>
                <w:color w:val="auto"/>
                <w:spacing w:val="9"/>
                <w:lang w:eastAsia="zh-CN"/>
              </w:rPr>
              <w:t>达到国家现行相关工程施工质量验收规范的合格工程，并确保通过消防专业服务机构验收</w:t>
            </w:r>
            <w:r>
              <w:rPr>
                <w:rFonts w:hint="eastAsia"/>
                <w:color w:val="auto"/>
                <w:spacing w:val="9"/>
                <w:lang w:val="en-US" w:eastAsia="zh-CN"/>
              </w:rPr>
              <w:t>合格</w:t>
            </w:r>
            <w:r>
              <w:rPr>
                <w:rFonts w:hint="eastAsia"/>
                <w:color w:val="auto"/>
                <w:spacing w:val="9"/>
                <w:lang w:eastAsia="zh-CN"/>
              </w:rPr>
              <w:t>。</w:t>
            </w:r>
          </w:p>
        </w:tc>
      </w:tr>
      <w:tr w14:paraId="7DBE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652" w:type="dxa"/>
            <w:vMerge w:val="continue"/>
            <w:tcBorders>
              <w:tl2br w:val="nil"/>
              <w:tr2bl w:val="nil"/>
            </w:tcBorders>
            <w:vAlign w:val="top"/>
          </w:tcPr>
          <w:p w14:paraId="63ED7BEA">
            <w:pPr>
              <w:rPr>
                <w:rFonts w:ascii="Arial"/>
                <w:color w:val="auto"/>
                <w:sz w:val="21"/>
              </w:rPr>
            </w:pPr>
          </w:p>
        </w:tc>
        <w:tc>
          <w:tcPr>
            <w:tcW w:w="720" w:type="dxa"/>
            <w:vMerge w:val="continue"/>
            <w:tcBorders>
              <w:tl2br w:val="nil"/>
              <w:tr2bl w:val="nil"/>
            </w:tcBorders>
            <w:vAlign w:val="top"/>
          </w:tcPr>
          <w:p w14:paraId="09F8643B">
            <w:pPr>
              <w:rPr>
                <w:rFonts w:ascii="Arial"/>
                <w:color w:val="auto"/>
                <w:sz w:val="21"/>
              </w:rPr>
            </w:pPr>
          </w:p>
        </w:tc>
        <w:tc>
          <w:tcPr>
            <w:tcW w:w="2000" w:type="dxa"/>
            <w:tcBorders>
              <w:tl2br w:val="nil"/>
              <w:tr2bl w:val="nil"/>
            </w:tcBorders>
            <w:vAlign w:val="top"/>
          </w:tcPr>
          <w:p w14:paraId="6B7D914D">
            <w:pPr>
              <w:pStyle w:val="47"/>
              <w:spacing w:before="159" w:line="226" w:lineRule="auto"/>
              <w:ind w:left="582" w:leftChars="0"/>
              <w:rPr>
                <w:color w:val="auto"/>
                <w:spacing w:val="7"/>
              </w:rPr>
            </w:pPr>
            <w:r>
              <w:rPr>
                <w:color w:val="auto"/>
                <w:spacing w:val="7"/>
              </w:rPr>
              <w:t>磋商报价</w:t>
            </w:r>
          </w:p>
        </w:tc>
        <w:tc>
          <w:tcPr>
            <w:tcW w:w="6086" w:type="dxa"/>
            <w:tcBorders>
              <w:tl2br w:val="nil"/>
              <w:tr2bl w:val="nil"/>
            </w:tcBorders>
            <w:vAlign w:val="top"/>
          </w:tcPr>
          <w:p w14:paraId="45A77BEB">
            <w:pPr>
              <w:pStyle w:val="47"/>
              <w:spacing w:before="159" w:line="227" w:lineRule="auto"/>
              <w:ind w:left="113" w:leftChars="0"/>
              <w:rPr>
                <w:color w:val="auto"/>
                <w:spacing w:val="7"/>
              </w:rPr>
            </w:pPr>
            <w:r>
              <w:rPr>
                <w:color w:val="auto"/>
                <w:spacing w:val="7"/>
              </w:rPr>
              <w:t>符合第二章“供应商须知前附表”规定</w:t>
            </w:r>
          </w:p>
          <w:p w14:paraId="7BF8A74B">
            <w:pPr>
              <w:pStyle w:val="47"/>
              <w:spacing w:before="159" w:line="227" w:lineRule="auto"/>
              <w:ind w:left="113" w:leftChars="0"/>
              <w:rPr>
                <w:rFonts w:hint="eastAsia"/>
                <w:color w:val="auto"/>
                <w:spacing w:val="7"/>
                <w:lang w:val="en-US" w:eastAsia="zh-CN"/>
              </w:rPr>
            </w:pPr>
            <w:r>
              <w:rPr>
                <w:rFonts w:hint="eastAsia"/>
                <w:color w:val="auto"/>
                <w:spacing w:val="7"/>
                <w:lang w:val="en-US" w:eastAsia="zh-CN"/>
              </w:rPr>
              <w:t>最高限</w:t>
            </w:r>
            <w:r>
              <w:rPr>
                <w:rFonts w:hint="eastAsia"/>
                <w:color w:val="auto"/>
                <w:spacing w:val="7"/>
                <w:lang w:val="en-US"/>
              </w:rPr>
              <w:t>价</w:t>
            </w:r>
            <w:r>
              <w:rPr>
                <w:rFonts w:hint="eastAsia"/>
                <w:color w:val="auto"/>
                <w:spacing w:val="7"/>
                <w:lang w:val="en-US" w:eastAsia="zh-CN"/>
              </w:rPr>
              <w:t>（预算）</w:t>
            </w:r>
            <w:r>
              <w:rPr>
                <w:rFonts w:hint="eastAsia"/>
                <w:color w:val="auto"/>
                <w:spacing w:val="7"/>
                <w:lang w:val="en-US"/>
              </w:rPr>
              <w:t>：</w:t>
            </w:r>
            <w:r>
              <w:rPr>
                <w:rFonts w:hint="eastAsia"/>
                <w:color w:val="auto"/>
                <w:spacing w:val="7"/>
                <w:lang w:val="en-US" w:eastAsia="zh-CN"/>
              </w:rPr>
              <w:t>997200元</w:t>
            </w:r>
          </w:p>
          <w:p w14:paraId="4A03E6E7">
            <w:pPr>
              <w:pStyle w:val="47"/>
              <w:spacing w:before="159" w:line="227" w:lineRule="auto"/>
              <w:ind w:left="113" w:leftChars="0"/>
              <w:rPr>
                <w:rFonts w:hint="default"/>
                <w:color w:val="auto"/>
                <w:spacing w:val="7"/>
                <w:lang w:val="en-US" w:eastAsia="zh-CN"/>
              </w:rPr>
            </w:pPr>
            <w:r>
              <w:rPr>
                <w:rFonts w:hint="eastAsia"/>
                <w:color w:val="auto"/>
                <w:spacing w:val="7"/>
                <w:lang w:val="en-US" w:eastAsia="zh-CN"/>
              </w:rPr>
              <w:t>（消防排烟系统改造:260700元，消防烟感报警系统：736500元）</w:t>
            </w:r>
          </w:p>
          <w:p w14:paraId="4ACB4E9A">
            <w:pPr>
              <w:pStyle w:val="47"/>
              <w:spacing w:before="159" w:line="227" w:lineRule="auto"/>
              <w:ind w:left="113" w:leftChars="0"/>
              <w:rPr>
                <w:color w:val="auto"/>
                <w:spacing w:val="7"/>
              </w:rPr>
            </w:pPr>
          </w:p>
        </w:tc>
      </w:tr>
      <w:tr w14:paraId="5B96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652" w:type="dxa"/>
            <w:vMerge w:val="continue"/>
            <w:tcBorders>
              <w:tl2br w:val="nil"/>
              <w:tr2bl w:val="nil"/>
            </w:tcBorders>
            <w:vAlign w:val="top"/>
          </w:tcPr>
          <w:p w14:paraId="6D3B7084">
            <w:pPr>
              <w:rPr>
                <w:rFonts w:ascii="Arial"/>
                <w:color w:val="auto"/>
                <w:sz w:val="21"/>
              </w:rPr>
            </w:pPr>
          </w:p>
        </w:tc>
        <w:tc>
          <w:tcPr>
            <w:tcW w:w="720" w:type="dxa"/>
            <w:vMerge w:val="continue"/>
            <w:tcBorders>
              <w:tl2br w:val="nil"/>
              <w:tr2bl w:val="nil"/>
            </w:tcBorders>
            <w:vAlign w:val="top"/>
          </w:tcPr>
          <w:p w14:paraId="50E0EE99">
            <w:pPr>
              <w:rPr>
                <w:rFonts w:ascii="Arial"/>
                <w:color w:val="auto"/>
                <w:sz w:val="21"/>
              </w:rPr>
            </w:pPr>
          </w:p>
        </w:tc>
        <w:tc>
          <w:tcPr>
            <w:tcW w:w="2000" w:type="dxa"/>
            <w:tcBorders>
              <w:tl2br w:val="nil"/>
              <w:tr2bl w:val="nil"/>
            </w:tcBorders>
            <w:vAlign w:val="top"/>
          </w:tcPr>
          <w:p w14:paraId="468F7DB2">
            <w:pPr>
              <w:pStyle w:val="47"/>
              <w:spacing w:before="160" w:line="226" w:lineRule="auto"/>
              <w:ind w:left="478" w:leftChars="0"/>
              <w:rPr>
                <w:color w:val="auto"/>
                <w:spacing w:val="6"/>
              </w:rPr>
            </w:pPr>
            <w:r>
              <w:rPr>
                <w:color w:val="auto"/>
                <w:spacing w:val="8"/>
              </w:rPr>
              <w:t>报价有效期</w:t>
            </w:r>
          </w:p>
        </w:tc>
        <w:tc>
          <w:tcPr>
            <w:tcW w:w="6086" w:type="dxa"/>
            <w:tcBorders>
              <w:tl2br w:val="nil"/>
              <w:tr2bl w:val="nil"/>
            </w:tcBorders>
            <w:vAlign w:val="top"/>
          </w:tcPr>
          <w:p w14:paraId="60FDF666">
            <w:pPr>
              <w:pStyle w:val="47"/>
              <w:spacing w:before="160" w:line="228" w:lineRule="auto"/>
              <w:ind w:left="112" w:leftChars="0"/>
              <w:rPr>
                <w:color w:val="auto"/>
                <w:spacing w:val="9"/>
              </w:rPr>
            </w:pPr>
            <w:r>
              <w:rPr>
                <w:color w:val="auto"/>
              </w:rPr>
              <w:t>90天</w:t>
            </w:r>
          </w:p>
        </w:tc>
      </w:tr>
      <w:tr w14:paraId="4EDA0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jc w:val="center"/>
        </w:trPr>
        <w:tc>
          <w:tcPr>
            <w:tcW w:w="652" w:type="dxa"/>
            <w:vMerge w:val="continue"/>
            <w:tcBorders>
              <w:tl2br w:val="nil"/>
              <w:tr2bl w:val="nil"/>
            </w:tcBorders>
            <w:vAlign w:val="top"/>
          </w:tcPr>
          <w:p w14:paraId="7E78BC9A">
            <w:pPr>
              <w:rPr>
                <w:rFonts w:ascii="Arial"/>
                <w:color w:val="auto"/>
                <w:sz w:val="21"/>
              </w:rPr>
            </w:pPr>
          </w:p>
        </w:tc>
        <w:tc>
          <w:tcPr>
            <w:tcW w:w="720" w:type="dxa"/>
            <w:vMerge w:val="continue"/>
            <w:tcBorders>
              <w:tl2br w:val="nil"/>
              <w:tr2bl w:val="nil"/>
            </w:tcBorders>
            <w:vAlign w:val="top"/>
          </w:tcPr>
          <w:p w14:paraId="53941F20">
            <w:pPr>
              <w:rPr>
                <w:rFonts w:ascii="Arial"/>
                <w:color w:val="auto"/>
                <w:sz w:val="21"/>
              </w:rPr>
            </w:pPr>
          </w:p>
        </w:tc>
        <w:tc>
          <w:tcPr>
            <w:tcW w:w="2000" w:type="dxa"/>
            <w:tcBorders>
              <w:tl2br w:val="nil"/>
              <w:tr2bl w:val="nil"/>
            </w:tcBorders>
            <w:vAlign w:val="top"/>
          </w:tcPr>
          <w:p w14:paraId="372BD01D">
            <w:pPr>
              <w:pStyle w:val="47"/>
              <w:spacing w:before="179" w:line="228" w:lineRule="auto"/>
              <w:ind w:left="582" w:leftChars="0"/>
              <w:rPr>
                <w:color w:val="auto"/>
                <w:spacing w:val="6"/>
              </w:rPr>
            </w:pPr>
            <w:r>
              <w:rPr>
                <w:color w:val="auto"/>
                <w:spacing w:val="7"/>
              </w:rPr>
              <w:t>权利义务</w:t>
            </w:r>
          </w:p>
        </w:tc>
        <w:tc>
          <w:tcPr>
            <w:tcW w:w="6086" w:type="dxa"/>
            <w:tcBorders>
              <w:tl2br w:val="nil"/>
              <w:tr2bl w:val="nil"/>
            </w:tcBorders>
            <w:vAlign w:val="top"/>
          </w:tcPr>
          <w:p w14:paraId="04A110F8">
            <w:pPr>
              <w:pStyle w:val="47"/>
              <w:spacing w:before="179" w:line="227" w:lineRule="auto"/>
              <w:ind w:left="113" w:leftChars="0"/>
              <w:rPr>
                <w:color w:val="auto"/>
                <w:spacing w:val="9"/>
              </w:rPr>
            </w:pPr>
            <w:r>
              <w:rPr>
                <w:color w:val="auto"/>
                <w:spacing w:val="7"/>
              </w:rPr>
              <w:t>符合第四章“合同条款及格式”规定</w:t>
            </w:r>
          </w:p>
        </w:tc>
      </w:tr>
      <w:tr w14:paraId="65584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52" w:type="dxa"/>
            <w:vMerge w:val="continue"/>
            <w:tcBorders>
              <w:tl2br w:val="nil"/>
              <w:tr2bl w:val="nil"/>
            </w:tcBorders>
            <w:vAlign w:val="top"/>
          </w:tcPr>
          <w:p w14:paraId="4881E028">
            <w:pPr>
              <w:rPr>
                <w:rFonts w:ascii="Arial"/>
                <w:color w:val="auto"/>
                <w:sz w:val="21"/>
              </w:rPr>
            </w:pPr>
          </w:p>
        </w:tc>
        <w:tc>
          <w:tcPr>
            <w:tcW w:w="720" w:type="dxa"/>
            <w:vMerge w:val="continue"/>
            <w:tcBorders>
              <w:tl2br w:val="nil"/>
              <w:tr2bl w:val="nil"/>
            </w:tcBorders>
            <w:vAlign w:val="top"/>
          </w:tcPr>
          <w:p w14:paraId="576EDBF5">
            <w:pPr>
              <w:rPr>
                <w:rFonts w:ascii="Arial"/>
                <w:color w:val="auto"/>
                <w:sz w:val="21"/>
              </w:rPr>
            </w:pPr>
          </w:p>
        </w:tc>
        <w:tc>
          <w:tcPr>
            <w:tcW w:w="2000" w:type="dxa"/>
            <w:tcBorders>
              <w:tl2br w:val="nil"/>
              <w:tr2bl w:val="nil"/>
            </w:tcBorders>
            <w:vAlign w:val="top"/>
          </w:tcPr>
          <w:p w14:paraId="379A163F">
            <w:pPr>
              <w:spacing w:line="245" w:lineRule="auto"/>
              <w:rPr>
                <w:rFonts w:ascii="Arial"/>
                <w:color w:val="auto"/>
                <w:sz w:val="21"/>
              </w:rPr>
            </w:pPr>
          </w:p>
          <w:p w14:paraId="190044AA">
            <w:pPr>
              <w:spacing w:line="245" w:lineRule="auto"/>
              <w:rPr>
                <w:rFonts w:ascii="Arial"/>
                <w:color w:val="auto"/>
                <w:sz w:val="21"/>
              </w:rPr>
            </w:pPr>
          </w:p>
          <w:p w14:paraId="1EB19DFD">
            <w:pPr>
              <w:spacing w:line="245" w:lineRule="auto"/>
              <w:rPr>
                <w:rFonts w:ascii="Arial"/>
                <w:color w:val="auto"/>
                <w:sz w:val="21"/>
              </w:rPr>
            </w:pPr>
          </w:p>
          <w:p w14:paraId="75EFF822">
            <w:pPr>
              <w:spacing w:line="245" w:lineRule="auto"/>
              <w:rPr>
                <w:rFonts w:ascii="Arial"/>
                <w:color w:val="auto"/>
                <w:sz w:val="21"/>
              </w:rPr>
            </w:pPr>
          </w:p>
          <w:p w14:paraId="3D420888">
            <w:pPr>
              <w:spacing w:line="245" w:lineRule="auto"/>
              <w:rPr>
                <w:rFonts w:ascii="Arial"/>
                <w:color w:val="auto"/>
                <w:sz w:val="21"/>
              </w:rPr>
            </w:pPr>
          </w:p>
          <w:p w14:paraId="0E08A6EE">
            <w:pPr>
              <w:spacing w:line="246" w:lineRule="auto"/>
              <w:rPr>
                <w:rFonts w:ascii="Arial"/>
                <w:color w:val="auto"/>
                <w:sz w:val="21"/>
              </w:rPr>
            </w:pPr>
          </w:p>
          <w:p w14:paraId="736F2805">
            <w:pPr>
              <w:pStyle w:val="47"/>
              <w:spacing w:before="65" w:line="226" w:lineRule="auto"/>
              <w:ind w:left="185" w:leftChars="0"/>
              <w:rPr>
                <w:color w:val="auto"/>
                <w:spacing w:val="6"/>
              </w:rPr>
            </w:pPr>
            <w:r>
              <w:rPr>
                <w:color w:val="auto"/>
                <w:spacing w:val="5"/>
              </w:rPr>
              <w:t>已标价工程量清单</w:t>
            </w:r>
          </w:p>
        </w:tc>
        <w:tc>
          <w:tcPr>
            <w:tcW w:w="6086" w:type="dxa"/>
            <w:tcBorders>
              <w:tl2br w:val="nil"/>
              <w:tr2bl w:val="nil"/>
            </w:tcBorders>
            <w:vAlign w:val="top"/>
          </w:tcPr>
          <w:p w14:paraId="56EA236D">
            <w:pPr>
              <w:pStyle w:val="47"/>
              <w:spacing w:before="143" w:line="352" w:lineRule="auto"/>
              <w:ind w:left="110" w:leftChars="0" w:right="109" w:rightChars="0" w:firstLine="2" w:firstLineChars="0"/>
              <w:jc w:val="both"/>
              <w:rPr>
                <w:color w:val="auto"/>
                <w:spacing w:val="9"/>
              </w:rPr>
            </w:pPr>
            <w:r>
              <w:rPr>
                <w:color w:val="auto"/>
                <w:spacing w:val="8"/>
              </w:rPr>
              <w:t>符合第五章“工程量清单”给出的范围及数量，供应商应按招标</w:t>
            </w:r>
            <w:r>
              <w:rPr>
                <w:color w:val="auto"/>
                <w:spacing w:val="9"/>
              </w:rPr>
              <w:t>工程量清单填报价格，并符合相关法律及采购文件规定。项目编码、项目名称、项目特征、计量单位、工程量必须与采购人发放的工程量清单一致，报价总价表必须经有资格的注册造价师签字并加盖执业专用章。如不是本单位造价师编制，则须委托造价咨询单位编制（须提供供应商与造价咨询单位签署的委托书扫描件加盖公章）。同一单位的注册造价师在本采购项目中不能为两个及两个以上的供应商编制工程量清单，否则按废标处理。</w:t>
            </w:r>
          </w:p>
        </w:tc>
      </w:tr>
      <w:tr w14:paraId="16091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jc w:val="center"/>
        </w:trPr>
        <w:tc>
          <w:tcPr>
            <w:tcW w:w="652" w:type="dxa"/>
            <w:vMerge w:val="continue"/>
            <w:tcBorders>
              <w:tl2br w:val="nil"/>
              <w:tr2bl w:val="nil"/>
            </w:tcBorders>
            <w:vAlign w:val="top"/>
          </w:tcPr>
          <w:p w14:paraId="64C60D1A">
            <w:pPr>
              <w:rPr>
                <w:rFonts w:ascii="Arial"/>
                <w:color w:val="auto"/>
                <w:sz w:val="21"/>
              </w:rPr>
            </w:pPr>
          </w:p>
        </w:tc>
        <w:tc>
          <w:tcPr>
            <w:tcW w:w="720" w:type="dxa"/>
            <w:vMerge w:val="continue"/>
            <w:tcBorders>
              <w:tl2br w:val="nil"/>
              <w:tr2bl w:val="nil"/>
            </w:tcBorders>
            <w:vAlign w:val="top"/>
          </w:tcPr>
          <w:p w14:paraId="38D55149">
            <w:pPr>
              <w:rPr>
                <w:rFonts w:ascii="Arial"/>
                <w:color w:val="auto"/>
                <w:sz w:val="21"/>
              </w:rPr>
            </w:pPr>
          </w:p>
        </w:tc>
        <w:tc>
          <w:tcPr>
            <w:tcW w:w="2000" w:type="dxa"/>
            <w:tcBorders>
              <w:tl2br w:val="nil"/>
              <w:tr2bl w:val="nil"/>
            </w:tcBorders>
            <w:vAlign w:val="top"/>
          </w:tcPr>
          <w:p w14:paraId="27C744CB">
            <w:pPr>
              <w:pStyle w:val="47"/>
              <w:spacing w:before="188" w:line="228" w:lineRule="auto"/>
              <w:ind w:left="583" w:leftChars="0"/>
              <w:rPr>
                <w:color w:val="auto"/>
                <w:spacing w:val="6"/>
              </w:rPr>
            </w:pPr>
            <w:r>
              <w:rPr>
                <w:color w:val="auto"/>
                <w:spacing w:val="7"/>
              </w:rPr>
              <w:t>技术部分</w:t>
            </w:r>
          </w:p>
        </w:tc>
        <w:tc>
          <w:tcPr>
            <w:tcW w:w="6086" w:type="dxa"/>
            <w:tcBorders>
              <w:tl2br w:val="nil"/>
              <w:tr2bl w:val="nil"/>
            </w:tcBorders>
            <w:vAlign w:val="top"/>
          </w:tcPr>
          <w:p w14:paraId="76545F15">
            <w:pPr>
              <w:pStyle w:val="47"/>
              <w:spacing w:before="188" w:line="227" w:lineRule="auto"/>
              <w:ind w:left="113" w:leftChars="0"/>
              <w:rPr>
                <w:color w:val="auto"/>
                <w:spacing w:val="9"/>
              </w:rPr>
            </w:pPr>
            <w:r>
              <w:rPr>
                <w:color w:val="auto"/>
                <w:spacing w:val="7"/>
              </w:rPr>
              <w:t>符合第六章“技术标准和要求”规定</w:t>
            </w:r>
          </w:p>
        </w:tc>
      </w:tr>
    </w:tbl>
    <w:p w14:paraId="458F9201">
      <w:pPr>
        <w:bidi w:val="0"/>
        <w:rPr>
          <w:color w:val="auto"/>
        </w:rPr>
      </w:pPr>
      <w:r>
        <w:rPr>
          <w:color w:val="auto"/>
        </w:rPr>
        <w:t>注：1、上述表中要求提供的证书、合同文件和相关证明文件等证件的复印件附在响应文件中。</w:t>
      </w:r>
    </w:p>
    <w:p w14:paraId="5708C08B">
      <w:pPr>
        <w:bidi w:val="0"/>
        <w:rPr>
          <w:color w:val="auto"/>
        </w:rPr>
      </w:pPr>
      <w:r>
        <w:rPr>
          <w:color w:val="auto"/>
        </w:rPr>
        <w:t>2、上述内容中如某一证件正在年检或换证，需年检或换证部门出具有效证明方可确认。</w:t>
      </w:r>
    </w:p>
    <w:p w14:paraId="1AFD9DD0">
      <w:pPr>
        <w:bidi w:val="0"/>
        <w:rPr>
          <w:color w:val="auto"/>
        </w:rPr>
        <w:sectPr>
          <w:footerReference r:id="rId6" w:type="default"/>
          <w:pgSz w:w="11906" w:h="16839"/>
          <w:pgMar w:top="1431" w:right="1587" w:bottom="1017" w:left="1588" w:header="0" w:footer="852" w:gutter="0"/>
          <w:pgBorders>
            <w:top w:val="none" w:sz="0" w:space="0"/>
            <w:left w:val="none" w:sz="0" w:space="0"/>
            <w:bottom w:val="none" w:sz="0" w:space="0"/>
            <w:right w:val="none" w:sz="0" w:space="0"/>
          </w:pgBorders>
          <w:pgNumType w:fmt="decimal"/>
          <w:cols w:space="720" w:num="1"/>
        </w:sectPr>
      </w:pPr>
      <w:r>
        <w:rPr>
          <w:color w:val="auto"/>
        </w:rPr>
        <w:t>3、上述要求供应商有一项不合格的，视为未通过初步评审，将不再进入后续评审。</w:t>
      </w:r>
    </w:p>
    <w:p w14:paraId="7FCCB215">
      <w:pPr>
        <w:rPr>
          <w:rFonts w:hint="eastAsia"/>
          <w:color w:val="auto"/>
          <w:sz w:val="24"/>
          <w:szCs w:val="24"/>
          <w:highlight w:val="none"/>
        </w:rPr>
      </w:pPr>
    </w:p>
    <w:p w14:paraId="380BBCA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highlight w:val="none"/>
        </w:rPr>
      </w:pPr>
      <w:r>
        <w:rPr>
          <w:rFonts w:hint="eastAsia"/>
          <w:color w:val="auto"/>
          <w:sz w:val="24"/>
          <w:szCs w:val="24"/>
          <w:highlight w:val="none"/>
        </w:rPr>
        <w:t>评分采用百分制，评分项目、分值及评分标准如下：</w:t>
      </w:r>
    </w:p>
    <w:p w14:paraId="3CEC2C8D">
      <w:pPr>
        <w:spacing w:before="56" w:line="219" w:lineRule="auto"/>
        <w:ind w:left="4214"/>
        <w:rPr>
          <w:rFonts w:ascii="宋体" w:hAnsi="宋体" w:eastAsia="宋体" w:cs="宋体"/>
          <w:color w:val="auto"/>
          <w:sz w:val="28"/>
          <w:szCs w:val="28"/>
        </w:rPr>
      </w:pPr>
      <w:r>
        <w:rPr>
          <w:rFonts w:ascii="宋体" w:hAnsi="宋体" w:eastAsia="宋体" w:cs="宋体"/>
          <w:b/>
          <w:bCs/>
          <w:color w:val="auto"/>
          <w:spacing w:val="-3"/>
          <w:sz w:val="28"/>
          <w:szCs w:val="28"/>
        </w:rPr>
        <w:t>评审办法前附表（二）</w:t>
      </w:r>
    </w:p>
    <w:tbl>
      <w:tblPr>
        <w:tblStyle w:val="46"/>
        <w:tblW w:w="9898" w:type="dxa"/>
        <w:tblInd w:w="-8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2"/>
        <w:gridCol w:w="1098"/>
        <w:gridCol w:w="7415"/>
        <w:gridCol w:w="423"/>
      </w:tblGrid>
      <w:tr w14:paraId="4CACD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962" w:type="dxa"/>
            <w:noWrap w:val="0"/>
            <w:vAlign w:val="top"/>
          </w:tcPr>
          <w:p w14:paraId="12D8331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098" w:type="dxa"/>
            <w:noWrap w:val="0"/>
            <w:vAlign w:val="top"/>
          </w:tcPr>
          <w:p w14:paraId="4A48B8A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条款内容</w:t>
            </w:r>
          </w:p>
        </w:tc>
        <w:tc>
          <w:tcPr>
            <w:tcW w:w="7838" w:type="dxa"/>
            <w:gridSpan w:val="2"/>
            <w:noWrap w:val="0"/>
            <w:vAlign w:val="center"/>
          </w:tcPr>
          <w:p w14:paraId="3B7917C2">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编列内容</w:t>
            </w:r>
          </w:p>
        </w:tc>
      </w:tr>
      <w:tr w14:paraId="48AE4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62" w:type="dxa"/>
            <w:noWrap w:val="0"/>
            <w:vAlign w:val="center"/>
          </w:tcPr>
          <w:p w14:paraId="269141F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p>
          <w:p w14:paraId="4AF02EB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098" w:type="dxa"/>
            <w:noWrap w:val="0"/>
            <w:vAlign w:val="center"/>
          </w:tcPr>
          <w:p w14:paraId="23B93F3C">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分值构成（总分10</w:t>
            </w:r>
            <w:r>
              <w:rPr>
                <w:rFonts w:hint="eastAsia" w:ascii="宋体" w:hAnsi="宋体" w:eastAsia="宋体" w:cs="宋体"/>
                <w:color w:val="auto"/>
                <w:sz w:val="20"/>
                <w:szCs w:val="20"/>
                <w:highlight w:val="none"/>
                <w:lang w:val="en-US" w:eastAsia="zh-CN"/>
              </w:rPr>
              <w:t>0</w:t>
            </w:r>
            <w:r>
              <w:rPr>
                <w:rFonts w:hint="eastAsia" w:ascii="宋体" w:hAnsi="宋体" w:eastAsia="宋体" w:cs="宋体"/>
                <w:color w:val="auto"/>
                <w:sz w:val="20"/>
                <w:szCs w:val="20"/>
                <w:highlight w:val="none"/>
              </w:rPr>
              <w:t>分)</w:t>
            </w:r>
          </w:p>
        </w:tc>
        <w:tc>
          <w:tcPr>
            <w:tcW w:w="7838" w:type="dxa"/>
            <w:gridSpan w:val="2"/>
            <w:noWrap w:val="0"/>
            <w:vAlign w:val="center"/>
          </w:tcPr>
          <w:p w14:paraId="3B6AA3B7">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施工组织设计：</w:t>
            </w:r>
            <w:r>
              <w:rPr>
                <w:rFonts w:hint="eastAsia" w:ascii="宋体" w:hAnsi="宋体" w:eastAsia="宋体" w:cs="宋体"/>
                <w:color w:val="auto"/>
                <w:sz w:val="20"/>
                <w:szCs w:val="20"/>
                <w:highlight w:val="none"/>
                <w:u w:val="single"/>
              </w:rPr>
              <w:t>40</w:t>
            </w:r>
            <w:r>
              <w:rPr>
                <w:rFonts w:hint="eastAsia" w:ascii="宋体" w:hAnsi="宋体" w:eastAsia="宋体" w:cs="宋体"/>
                <w:color w:val="auto"/>
                <w:sz w:val="20"/>
                <w:szCs w:val="20"/>
                <w:highlight w:val="none"/>
              </w:rPr>
              <w:t>分</w:t>
            </w:r>
          </w:p>
          <w:p w14:paraId="567B70EC">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项目管理机构：</w:t>
            </w:r>
            <w:r>
              <w:rPr>
                <w:rFonts w:hint="eastAsia" w:ascii="宋体" w:hAnsi="宋体" w:eastAsia="宋体" w:cs="宋体"/>
                <w:color w:val="auto"/>
                <w:sz w:val="20"/>
                <w:szCs w:val="20"/>
                <w:highlight w:val="none"/>
                <w:u w:val="single"/>
              </w:rPr>
              <w:t>11</w:t>
            </w:r>
            <w:r>
              <w:rPr>
                <w:rFonts w:hint="eastAsia" w:ascii="宋体" w:hAnsi="宋体" w:eastAsia="宋体" w:cs="宋体"/>
                <w:color w:val="auto"/>
                <w:sz w:val="20"/>
                <w:szCs w:val="20"/>
                <w:highlight w:val="none"/>
              </w:rPr>
              <w:t>分</w:t>
            </w:r>
          </w:p>
          <w:p w14:paraId="7C78F141">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投标报价：</w:t>
            </w:r>
            <w:r>
              <w:rPr>
                <w:rFonts w:hint="eastAsia" w:ascii="宋体" w:hAnsi="宋体" w:eastAsia="宋体" w:cs="宋体"/>
                <w:color w:val="auto"/>
                <w:sz w:val="20"/>
                <w:szCs w:val="20"/>
                <w:highlight w:val="none"/>
                <w:u w:val="single"/>
              </w:rPr>
              <w:t>30</w:t>
            </w:r>
            <w:r>
              <w:rPr>
                <w:rFonts w:hint="eastAsia" w:ascii="宋体" w:hAnsi="宋体" w:eastAsia="宋体" w:cs="宋体"/>
                <w:color w:val="auto"/>
                <w:sz w:val="20"/>
                <w:szCs w:val="20"/>
                <w:highlight w:val="none"/>
              </w:rPr>
              <w:t>分</w:t>
            </w:r>
          </w:p>
          <w:p w14:paraId="469A74C0">
            <w:pPr>
              <w:keepNext w:val="0"/>
              <w:keepLines w:val="0"/>
              <w:pageBreakBefore w:val="0"/>
              <w:widowControl w:val="0"/>
              <w:kinsoku/>
              <w:wordWrap/>
              <w:overflowPunct/>
              <w:topLinePunct w:val="0"/>
              <w:autoSpaceDE w:val="0"/>
              <w:autoSpaceDN w:val="0"/>
              <w:bidi w:val="0"/>
              <w:adjustRightInd w:val="0"/>
              <w:snapToGrid/>
              <w:spacing w:line="360" w:lineRule="auto"/>
              <w:ind w:firstLine="400" w:firstLineChars="200"/>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其他评分因素：</w:t>
            </w:r>
            <w:r>
              <w:rPr>
                <w:rFonts w:hint="eastAsia" w:ascii="宋体" w:hAnsi="宋体" w:eastAsia="宋体" w:cs="宋体"/>
                <w:color w:val="auto"/>
                <w:sz w:val="20"/>
                <w:szCs w:val="20"/>
                <w:highlight w:val="none"/>
                <w:u w:val="single"/>
              </w:rPr>
              <w:t>19</w:t>
            </w:r>
            <w:r>
              <w:rPr>
                <w:rFonts w:hint="eastAsia" w:ascii="宋体" w:hAnsi="宋体" w:eastAsia="宋体" w:cs="宋体"/>
                <w:color w:val="auto"/>
                <w:sz w:val="20"/>
                <w:szCs w:val="20"/>
                <w:highlight w:val="none"/>
              </w:rPr>
              <w:t>分</w:t>
            </w:r>
          </w:p>
        </w:tc>
      </w:tr>
      <w:tr w14:paraId="7D23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noWrap w:val="0"/>
            <w:vAlign w:val="center"/>
          </w:tcPr>
          <w:p w14:paraId="55F9994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p>
          <w:p w14:paraId="691BA61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098" w:type="dxa"/>
            <w:noWrap w:val="0"/>
            <w:vAlign w:val="center"/>
          </w:tcPr>
          <w:p w14:paraId="3DC580F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评标基准价计算方法</w:t>
            </w:r>
          </w:p>
        </w:tc>
        <w:tc>
          <w:tcPr>
            <w:tcW w:w="7838" w:type="dxa"/>
            <w:gridSpan w:val="2"/>
            <w:noWrap w:val="0"/>
            <w:vAlign w:val="top"/>
          </w:tcPr>
          <w:p w14:paraId="382BC09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价格分统一采用低价优先法计算，即满足磋商文件要求且最后报价最低的供应商的价格为磋商基准价，其价格分为满分。</w:t>
            </w:r>
          </w:p>
          <w:p w14:paraId="2F4885B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注：报价得分保留小数点后两位。</w:t>
            </w:r>
          </w:p>
        </w:tc>
      </w:tr>
      <w:tr w14:paraId="339C9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962" w:type="dxa"/>
            <w:noWrap w:val="0"/>
            <w:vAlign w:val="center"/>
          </w:tcPr>
          <w:p w14:paraId="1AF45DD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p>
          <w:p w14:paraId="647F138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098" w:type="dxa"/>
            <w:noWrap w:val="0"/>
            <w:vAlign w:val="center"/>
          </w:tcPr>
          <w:p w14:paraId="7B3618A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磋商报价的计算公式</w:t>
            </w:r>
          </w:p>
        </w:tc>
        <w:tc>
          <w:tcPr>
            <w:tcW w:w="7838" w:type="dxa"/>
            <w:gridSpan w:val="2"/>
            <w:noWrap w:val="0"/>
            <w:vAlign w:val="top"/>
          </w:tcPr>
          <w:p w14:paraId="37B32EB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1A6D54E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磋商报价得分=（磋商基准价/最后磋商报价）×价格权值30%×100</w:t>
            </w:r>
          </w:p>
        </w:tc>
      </w:tr>
      <w:tr w14:paraId="6FCB3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2060" w:type="dxa"/>
            <w:gridSpan w:val="2"/>
            <w:noWrap w:val="0"/>
            <w:vAlign w:val="top"/>
          </w:tcPr>
          <w:p w14:paraId="60C7C40B">
            <w:pPr>
              <w:pStyle w:val="47"/>
              <w:keepNext w:val="0"/>
              <w:keepLines w:val="0"/>
              <w:pageBreakBefore w:val="0"/>
              <w:widowControl w:val="0"/>
              <w:kinsoku/>
              <w:wordWrap/>
              <w:overflowPunct/>
              <w:topLinePunct w:val="0"/>
              <w:autoSpaceDE w:val="0"/>
              <w:autoSpaceDN w:val="0"/>
              <w:bidi w:val="0"/>
              <w:adjustRightInd w:val="0"/>
              <w:snapToGrid/>
              <w:spacing w:before="250" w:line="360" w:lineRule="auto"/>
              <w:ind w:left="806"/>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评分因素</w:t>
            </w:r>
          </w:p>
        </w:tc>
        <w:tc>
          <w:tcPr>
            <w:tcW w:w="7415" w:type="dxa"/>
            <w:noWrap w:val="0"/>
            <w:vAlign w:val="top"/>
          </w:tcPr>
          <w:p w14:paraId="688C11E4">
            <w:pPr>
              <w:pStyle w:val="47"/>
              <w:keepNext w:val="0"/>
              <w:keepLines w:val="0"/>
              <w:pageBreakBefore w:val="0"/>
              <w:widowControl w:val="0"/>
              <w:kinsoku/>
              <w:wordWrap/>
              <w:overflowPunct/>
              <w:topLinePunct w:val="0"/>
              <w:autoSpaceDE w:val="0"/>
              <w:autoSpaceDN w:val="0"/>
              <w:bidi w:val="0"/>
              <w:adjustRightInd w:val="0"/>
              <w:snapToGrid/>
              <w:spacing w:before="251" w:line="360" w:lineRule="auto"/>
              <w:ind w:left="3093"/>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评分标准</w:t>
            </w:r>
          </w:p>
        </w:tc>
        <w:tc>
          <w:tcPr>
            <w:tcW w:w="423" w:type="dxa"/>
            <w:noWrap w:val="0"/>
            <w:vAlign w:val="top"/>
          </w:tcPr>
          <w:p w14:paraId="557F3157">
            <w:pPr>
              <w:pStyle w:val="47"/>
              <w:keepNext w:val="0"/>
              <w:keepLines w:val="0"/>
              <w:pageBreakBefore w:val="0"/>
              <w:widowControl w:val="0"/>
              <w:kinsoku/>
              <w:wordWrap/>
              <w:overflowPunct/>
              <w:topLinePunct w:val="0"/>
              <w:autoSpaceDE w:val="0"/>
              <w:autoSpaceDN w:val="0"/>
              <w:bidi w:val="0"/>
              <w:adjustRightInd w:val="0"/>
              <w:snapToGrid/>
              <w:spacing w:before="250" w:line="360" w:lineRule="auto"/>
              <w:ind w:left="166"/>
              <w:textAlignment w:val="auto"/>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分值</w:t>
            </w:r>
          </w:p>
        </w:tc>
      </w:tr>
      <w:tr w14:paraId="2090F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962" w:type="dxa"/>
            <w:vMerge w:val="restart"/>
            <w:noWrap w:val="0"/>
            <w:vAlign w:val="top"/>
          </w:tcPr>
          <w:p w14:paraId="02EA55E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529FB8C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50C8B35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0E3DB63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42E41E2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2786F3F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030DA5F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25EBF50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789FD9B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540E14F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07A6B67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（1）施工组织设计评分标准（40分）</w:t>
            </w:r>
          </w:p>
        </w:tc>
        <w:tc>
          <w:tcPr>
            <w:tcW w:w="1098" w:type="dxa"/>
            <w:noWrap w:val="0"/>
            <w:vAlign w:val="center"/>
          </w:tcPr>
          <w:p w14:paraId="3F65B3BF">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内容完整性和编制水平（6分）</w:t>
            </w:r>
          </w:p>
        </w:tc>
        <w:tc>
          <w:tcPr>
            <w:tcW w:w="7415" w:type="dxa"/>
            <w:noWrap w:val="0"/>
            <w:vAlign w:val="top"/>
          </w:tcPr>
          <w:p w14:paraId="4531E7D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根据磋商文件要求编制响应文件，包含但不限于以下几个方面：</w:t>
            </w:r>
          </w:p>
          <w:p w14:paraId="3CE614B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①招标文件中投标文件格式部分施工组织设计章节要求的内容、章节要点齐全。</w:t>
            </w:r>
          </w:p>
          <w:p w14:paraId="5C1C57B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②招标文件中投标文件格式部分施工组织设计章节要求的附表齐全。</w:t>
            </w:r>
          </w:p>
          <w:p w14:paraId="49BD8C3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③有项目概述、编制原则与依据、项目目标。</w:t>
            </w:r>
          </w:p>
          <w:p w14:paraId="51C47EE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cs="宋体"/>
                <w:color w:val="auto"/>
                <w:sz w:val="20"/>
                <w:szCs w:val="20"/>
                <w:highlight w:val="none"/>
                <w:lang w:val="en-US" w:eastAsia="zh-CN"/>
              </w:rPr>
              <w:t>以上内容要点</w:t>
            </w:r>
            <w:r>
              <w:rPr>
                <w:rFonts w:hint="eastAsia" w:ascii="宋体" w:hAnsi="宋体" w:eastAsia="宋体" w:cs="宋体"/>
                <w:color w:val="auto"/>
                <w:sz w:val="20"/>
                <w:szCs w:val="20"/>
                <w:highlight w:val="none"/>
              </w:rPr>
              <w:t>全面合理，切实可行。每有一项，得2分，满分6分。未提供方案不得分。</w:t>
            </w:r>
          </w:p>
          <w:p w14:paraId="57A735B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缺失一项核心内容扣2分，每有一项方案存在一定缺陷的，扣1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tc>
        <w:tc>
          <w:tcPr>
            <w:tcW w:w="423" w:type="dxa"/>
            <w:noWrap w:val="0"/>
            <w:vAlign w:val="center"/>
          </w:tcPr>
          <w:p w14:paraId="4720333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r>
      <w:tr w14:paraId="18D0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962" w:type="dxa"/>
            <w:vMerge w:val="continue"/>
            <w:noWrap w:val="0"/>
            <w:vAlign w:val="top"/>
          </w:tcPr>
          <w:p w14:paraId="4F24C4A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56E52D2A">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施工方案与技术措施（8分）</w:t>
            </w:r>
          </w:p>
        </w:tc>
        <w:tc>
          <w:tcPr>
            <w:tcW w:w="7415" w:type="dxa"/>
            <w:noWrap w:val="0"/>
            <w:vAlign w:val="top"/>
          </w:tcPr>
          <w:p w14:paraId="7C3B907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根据本项目实际需求提报的施工方案与技术措施进行评审，包含但不限于以下几个方面：</w:t>
            </w:r>
          </w:p>
          <w:p w14:paraId="36FAB81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①施工方案</w:t>
            </w:r>
          </w:p>
          <w:p w14:paraId="7F7B37A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②施工组织管理</w:t>
            </w:r>
          </w:p>
          <w:p w14:paraId="32C4564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③施工人员管理</w:t>
            </w:r>
          </w:p>
          <w:p w14:paraId="6583DC8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④施工安全技术措施</w:t>
            </w:r>
          </w:p>
          <w:p w14:paraId="55F0DCB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cs="宋体"/>
                <w:color w:val="auto"/>
                <w:sz w:val="20"/>
                <w:szCs w:val="20"/>
                <w:highlight w:val="none"/>
                <w:lang w:val="en-US" w:eastAsia="zh-CN"/>
              </w:rPr>
              <w:t>方案合理，</w:t>
            </w:r>
            <w:r>
              <w:rPr>
                <w:rFonts w:hint="eastAsia" w:ascii="宋体" w:hAnsi="宋体" w:eastAsia="宋体" w:cs="宋体"/>
                <w:color w:val="auto"/>
                <w:sz w:val="20"/>
                <w:szCs w:val="20"/>
                <w:highlight w:val="none"/>
              </w:rPr>
              <w:t>计划明确、措施具体可行。每有一项，得2分，满分</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分。未提供方案不得分。</w:t>
            </w:r>
          </w:p>
          <w:p w14:paraId="0FF1284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每缺失一项核心内容扣2分，每有一项方案存在一定缺陷的，扣1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tc>
        <w:tc>
          <w:tcPr>
            <w:tcW w:w="423" w:type="dxa"/>
            <w:noWrap w:val="0"/>
            <w:vAlign w:val="center"/>
          </w:tcPr>
          <w:p w14:paraId="489EB77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r>
      <w:tr w14:paraId="0C4B2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962" w:type="dxa"/>
            <w:vMerge w:val="continue"/>
            <w:noWrap w:val="0"/>
            <w:vAlign w:val="top"/>
          </w:tcPr>
          <w:p w14:paraId="3B009DD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41E6DC5C">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质量管理体系与措施（4分）</w:t>
            </w:r>
          </w:p>
        </w:tc>
        <w:tc>
          <w:tcPr>
            <w:tcW w:w="7415" w:type="dxa"/>
            <w:noWrap w:val="0"/>
            <w:vAlign w:val="top"/>
          </w:tcPr>
          <w:p w14:paraId="5F3949D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根据本项目实际需求提报的质量管理体系与措施，确保在施工质量保证体系的建立和运行及施工质量预控进行评审，包含但不限于以下几个方面：</w:t>
            </w:r>
          </w:p>
          <w:p w14:paraId="64A6A87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①质量管理目标</w:t>
            </w:r>
          </w:p>
          <w:p w14:paraId="0FA109A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②质量管理体系</w:t>
            </w:r>
          </w:p>
          <w:p w14:paraId="7A07E02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③质量保证体系</w:t>
            </w:r>
          </w:p>
          <w:p w14:paraId="65040C0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④质量计划</w:t>
            </w:r>
          </w:p>
          <w:p w14:paraId="125A60B5">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ascii="宋体" w:hAnsi="宋体" w:eastAsia="宋体" w:cs="宋体"/>
                <w:color w:val="auto"/>
                <w:sz w:val="20"/>
                <w:szCs w:val="20"/>
                <w:highlight w:val="none"/>
                <w:lang w:val="en-US" w:eastAsia="zh-CN"/>
              </w:rPr>
              <w:t>质量目标明确，体系健全，主要过程控制措施完整，满足项目质量目标</w:t>
            </w:r>
            <w:r>
              <w:rPr>
                <w:rFonts w:hint="eastAsia" w:cs="宋体"/>
                <w:color w:val="auto"/>
                <w:sz w:val="20"/>
                <w:szCs w:val="20"/>
                <w:highlight w:val="none"/>
                <w:lang w:val="en-US" w:eastAsia="zh-CN"/>
              </w:rPr>
              <w:t>，</w:t>
            </w:r>
            <w:r>
              <w:rPr>
                <w:rFonts w:hint="eastAsia" w:ascii="宋体" w:hAnsi="宋体" w:eastAsia="宋体" w:cs="宋体"/>
                <w:color w:val="auto"/>
                <w:kern w:val="2"/>
                <w:sz w:val="20"/>
                <w:szCs w:val="20"/>
                <w:highlight w:val="none"/>
                <w:lang w:val="en-US" w:eastAsia="zh-CN" w:bidi="ar-SA"/>
              </w:rPr>
              <w:t>每有一项，得</w:t>
            </w:r>
            <w:r>
              <w:rPr>
                <w:rFonts w:hint="eastAsia"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bidi="ar-SA"/>
              </w:rPr>
              <w:t>分，满分</w:t>
            </w:r>
            <w:r>
              <w:rPr>
                <w:rFonts w:hint="eastAsia" w:cs="宋体"/>
                <w:color w:val="auto"/>
                <w:kern w:val="2"/>
                <w:sz w:val="20"/>
                <w:szCs w:val="20"/>
                <w:highlight w:val="none"/>
                <w:lang w:val="en-US" w:eastAsia="zh-CN" w:bidi="ar-SA"/>
              </w:rPr>
              <w:t>4</w:t>
            </w:r>
            <w:r>
              <w:rPr>
                <w:rFonts w:hint="eastAsia" w:ascii="宋体" w:hAnsi="宋体" w:eastAsia="宋体" w:cs="宋体"/>
                <w:color w:val="auto"/>
                <w:kern w:val="2"/>
                <w:sz w:val="20"/>
                <w:szCs w:val="20"/>
                <w:highlight w:val="none"/>
                <w:lang w:val="en-US" w:eastAsia="zh-CN" w:bidi="ar-SA"/>
              </w:rPr>
              <w:t>分</w:t>
            </w:r>
            <w:r>
              <w:rPr>
                <w:rFonts w:hint="eastAsia" w:ascii="宋体" w:hAnsi="宋体" w:eastAsia="宋体" w:cs="宋体"/>
                <w:color w:val="auto"/>
                <w:sz w:val="20"/>
                <w:szCs w:val="20"/>
                <w:highlight w:val="none"/>
              </w:rPr>
              <w:t>。未提供方案不得分。</w:t>
            </w:r>
          </w:p>
          <w:p w14:paraId="05597C5B">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每缺失一项核心内容扣</w:t>
            </w:r>
            <w:r>
              <w:rPr>
                <w:rFonts w:hint="eastAsia"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每有一项方案存在一定缺陷的，扣</w:t>
            </w:r>
            <w:r>
              <w:rPr>
                <w:rFonts w:hint="eastAsia" w:cs="宋体"/>
                <w:color w:val="auto"/>
                <w:sz w:val="20"/>
                <w:szCs w:val="20"/>
                <w:highlight w:val="none"/>
                <w:lang w:val="en-US" w:eastAsia="zh-CN"/>
              </w:rPr>
              <w:t>0.5</w:t>
            </w:r>
            <w:r>
              <w:rPr>
                <w:rFonts w:hint="eastAsia" w:ascii="宋体" w:hAnsi="宋体" w:eastAsia="宋体" w:cs="宋体"/>
                <w:color w:val="auto"/>
                <w:sz w:val="20"/>
                <w:szCs w:val="20"/>
                <w:highlight w:val="none"/>
              </w:rPr>
              <w:t>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6334E21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423" w:type="dxa"/>
            <w:noWrap w:val="0"/>
            <w:vAlign w:val="center"/>
          </w:tcPr>
          <w:p w14:paraId="1DA577B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r>
      <w:tr w14:paraId="2AFD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962" w:type="dxa"/>
            <w:vMerge w:val="continue"/>
            <w:noWrap w:val="0"/>
            <w:vAlign w:val="top"/>
          </w:tcPr>
          <w:p w14:paraId="357CF05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4EF205CD">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安全管理体系与措施（4分）</w:t>
            </w:r>
          </w:p>
        </w:tc>
        <w:tc>
          <w:tcPr>
            <w:tcW w:w="7415" w:type="dxa"/>
            <w:noWrap w:val="0"/>
            <w:vAlign w:val="top"/>
          </w:tcPr>
          <w:p w14:paraId="780374B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根据本项目实际需求提报的安全管理体系与措施进行评审，包含但不限于以下几个方面：</w:t>
            </w:r>
          </w:p>
          <w:p w14:paraId="712E2CF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①安全管理体系</w:t>
            </w:r>
          </w:p>
          <w:p w14:paraId="3D876F5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②制定现场应急预案</w:t>
            </w:r>
          </w:p>
          <w:p w14:paraId="13BE380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③安全管理措施</w:t>
            </w:r>
          </w:p>
          <w:p w14:paraId="798AE2D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④安全生产管理</w:t>
            </w:r>
          </w:p>
          <w:p w14:paraId="2BC60A75">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1、有完善的安全措施管理体系及</w:t>
            </w:r>
            <w:r>
              <w:rPr>
                <w:rFonts w:hint="eastAsia" w:ascii="宋体" w:hAnsi="宋体" w:eastAsia="宋体" w:cs="宋体"/>
                <w:color w:val="auto"/>
                <w:sz w:val="20"/>
                <w:szCs w:val="20"/>
                <w:highlight w:val="none"/>
                <w:lang w:val="en-US" w:eastAsia="zh-CN"/>
              </w:rPr>
              <w:t>应急预案</w:t>
            </w:r>
            <w:r>
              <w:rPr>
                <w:rFonts w:hint="eastAsia" w:cs="宋体"/>
                <w:color w:val="auto"/>
                <w:sz w:val="20"/>
                <w:szCs w:val="20"/>
                <w:highlight w:val="none"/>
                <w:lang w:val="en-US" w:eastAsia="zh-CN"/>
              </w:rPr>
              <w:t>，措施</w:t>
            </w:r>
            <w:r>
              <w:rPr>
                <w:rFonts w:hint="eastAsia" w:ascii="宋体" w:hAnsi="宋体" w:eastAsia="宋体" w:cs="宋体"/>
                <w:color w:val="auto"/>
                <w:sz w:val="20"/>
                <w:szCs w:val="20"/>
                <w:highlight w:val="none"/>
              </w:rPr>
              <w:t>全面合理切实可行</w:t>
            </w:r>
            <w:r>
              <w:rPr>
                <w:rFonts w:hint="eastAsia" w:cs="宋体"/>
                <w:color w:val="auto"/>
                <w:sz w:val="20"/>
                <w:szCs w:val="20"/>
                <w:highlight w:val="none"/>
                <w:lang w:eastAsia="zh-CN"/>
              </w:rPr>
              <w:t>，</w:t>
            </w:r>
            <w:r>
              <w:rPr>
                <w:rFonts w:hint="eastAsia" w:ascii="宋体" w:hAnsi="宋体" w:eastAsia="宋体" w:cs="宋体"/>
                <w:color w:val="auto"/>
                <w:kern w:val="2"/>
                <w:sz w:val="20"/>
                <w:szCs w:val="20"/>
                <w:highlight w:val="none"/>
                <w:lang w:val="en-US" w:eastAsia="zh-CN" w:bidi="ar-SA"/>
              </w:rPr>
              <w:t>每有一项，得</w:t>
            </w:r>
            <w:r>
              <w:rPr>
                <w:rFonts w:hint="eastAsia"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bidi="ar-SA"/>
              </w:rPr>
              <w:t>分，满</w:t>
            </w:r>
            <w:r>
              <w:rPr>
                <w:rFonts w:hint="eastAsia" w:cs="宋体"/>
                <w:color w:val="auto"/>
                <w:kern w:val="2"/>
                <w:sz w:val="20"/>
                <w:szCs w:val="20"/>
                <w:highlight w:val="none"/>
                <w:lang w:val="en-US" w:eastAsia="zh-CN" w:bidi="ar-SA"/>
              </w:rPr>
              <w:t>分4</w:t>
            </w:r>
            <w:r>
              <w:rPr>
                <w:rFonts w:hint="eastAsia" w:ascii="宋体" w:hAnsi="宋体" w:eastAsia="宋体" w:cs="宋体"/>
                <w:color w:val="auto"/>
                <w:kern w:val="2"/>
                <w:sz w:val="20"/>
                <w:szCs w:val="20"/>
                <w:highlight w:val="none"/>
                <w:lang w:val="en-US" w:eastAsia="zh-CN" w:bidi="ar-SA"/>
              </w:rPr>
              <w:t>分</w:t>
            </w:r>
            <w:r>
              <w:rPr>
                <w:rFonts w:hint="eastAsia" w:ascii="宋体" w:hAnsi="宋体" w:eastAsia="宋体" w:cs="宋体"/>
                <w:color w:val="auto"/>
                <w:sz w:val="20"/>
                <w:szCs w:val="20"/>
                <w:highlight w:val="none"/>
              </w:rPr>
              <w:t>。未提供方案不得分。</w:t>
            </w:r>
          </w:p>
          <w:p w14:paraId="25386BD5">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每缺失一项核心内容扣</w:t>
            </w:r>
            <w:r>
              <w:rPr>
                <w:rFonts w:hint="eastAsia"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每有一项方案存在一定缺陷的，扣</w:t>
            </w:r>
            <w:r>
              <w:rPr>
                <w:rFonts w:hint="eastAsia" w:cs="宋体"/>
                <w:color w:val="auto"/>
                <w:sz w:val="20"/>
                <w:szCs w:val="20"/>
                <w:highlight w:val="none"/>
                <w:lang w:val="en-US" w:eastAsia="zh-CN"/>
              </w:rPr>
              <w:t>0.5</w:t>
            </w:r>
            <w:r>
              <w:rPr>
                <w:rFonts w:hint="eastAsia" w:ascii="宋体" w:hAnsi="宋体" w:eastAsia="宋体" w:cs="宋体"/>
                <w:color w:val="auto"/>
                <w:sz w:val="20"/>
                <w:szCs w:val="20"/>
                <w:highlight w:val="none"/>
              </w:rPr>
              <w:t>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1A7CC0BD">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423" w:type="dxa"/>
            <w:noWrap w:val="0"/>
            <w:vAlign w:val="center"/>
          </w:tcPr>
          <w:p w14:paraId="6D7E718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r>
      <w:tr w14:paraId="60D90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continue"/>
            <w:noWrap w:val="0"/>
            <w:vAlign w:val="top"/>
          </w:tcPr>
          <w:p w14:paraId="1B3746B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2492ACE3">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环境保护管理体系与措施（6分）</w:t>
            </w:r>
          </w:p>
        </w:tc>
        <w:tc>
          <w:tcPr>
            <w:tcW w:w="7415" w:type="dxa"/>
            <w:noWrap w:val="0"/>
            <w:vAlign w:val="top"/>
          </w:tcPr>
          <w:p w14:paraId="3036EA3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根据本项目实际需求提报的环境保护管理体系与措施进行评审，包含但不限于以下几个方面：</w:t>
            </w:r>
          </w:p>
          <w:p w14:paraId="3E1F75A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①环境保护管理体系</w:t>
            </w:r>
          </w:p>
          <w:p w14:paraId="2A494C3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②环境保护方针和目标</w:t>
            </w:r>
          </w:p>
          <w:p w14:paraId="6DC2DCE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③环境保护的措施</w:t>
            </w:r>
          </w:p>
          <w:p w14:paraId="3E791C10">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1、有完善的</w:t>
            </w:r>
            <w:r>
              <w:rPr>
                <w:rFonts w:hint="eastAsia" w:cs="宋体"/>
                <w:color w:val="auto"/>
                <w:sz w:val="20"/>
                <w:szCs w:val="20"/>
                <w:highlight w:val="none"/>
                <w:lang w:val="en-US" w:eastAsia="zh-CN"/>
              </w:rPr>
              <w:t>环境保护</w:t>
            </w:r>
            <w:r>
              <w:rPr>
                <w:rFonts w:hint="eastAsia" w:ascii="宋体" w:hAnsi="宋体" w:eastAsia="宋体" w:cs="宋体"/>
                <w:color w:val="auto"/>
                <w:sz w:val="20"/>
                <w:szCs w:val="20"/>
                <w:highlight w:val="none"/>
                <w:lang w:val="en-US" w:eastAsia="zh-CN"/>
              </w:rPr>
              <w:t>体系，</w:t>
            </w:r>
            <w:r>
              <w:rPr>
                <w:rFonts w:hint="eastAsia" w:cs="宋体"/>
                <w:color w:val="auto"/>
                <w:sz w:val="20"/>
                <w:szCs w:val="20"/>
                <w:highlight w:val="none"/>
                <w:lang w:val="en-US" w:eastAsia="zh-CN"/>
              </w:rPr>
              <w:t>方针</w:t>
            </w:r>
            <w:r>
              <w:rPr>
                <w:rFonts w:hint="eastAsia" w:ascii="宋体" w:hAnsi="宋体" w:eastAsia="宋体" w:cs="宋体"/>
                <w:color w:val="auto"/>
                <w:sz w:val="20"/>
                <w:szCs w:val="20"/>
                <w:highlight w:val="none"/>
                <w:lang w:val="en-US" w:eastAsia="zh-CN"/>
              </w:rPr>
              <w:t>、目标、措施</w:t>
            </w:r>
            <w:r>
              <w:rPr>
                <w:rFonts w:hint="eastAsia" w:ascii="宋体" w:hAnsi="宋体" w:eastAsia="宋体" w:cs="宋体"/>
                <w:color w:val="auto"/>
                <w:sz w:val="20"/>
                <w:szCs w:val="20"/>
                <w:highlight w:val="none"/>
              </w:rPr>
              <w:t>全面合理切实可行</w:t>
            </w:r>
            <w:r>
              <w:rPr>
                <w:rFonts w:hint="eastAsia" w:cs="宋体"/>
                <w:color w:val="auto"/>
                <w:sz w:val="20"/>
                <w:szCs w:val="20"/>
                <w:highlight w:val="none"/>
                <w:lang w:eastAsia="zh-CN"/>
              </w:rPr>
              <w:t>，</w:t>
            </w:r>
            <w:r>
              <w:rPr>
                <w:rFonts w:hint="eastAsia" w:ascii="宋体" w:hAnsi="宋体" w:eastAsia="宋体" w:cs="宋体"/>
                <w:color w:val="auto"/>
                <w:kern w:val="2"/>
                <w:sz w:val="20"/>
                <w:szCs w:val="20"/>
                <w:highlight w:val="none"/>
                <w:lang w:val="en-US" w:eastAsia="zh-CN" w:bidi="ar-SA"/>
              </w:rPr>
              <w:t>每有一项，得2分，满分6分</w:t>
            </w:r>
            <w:r>
              <w:rPr>
                <w:rFonts w:hint="eastAsia" w:ascii="宋体" w:hAnsi="宋体" w:eastAsia="宋体" w:cs="宋体"/>
                <w:color w:val="auto"/>
                <w:sz w:val="20"/>
                <w:szCs w:val="20"/>
                <w:highlight w:val="none"/>
              </w:rPr>
              <w:t>。未提供方案不得分。</w:t>
            </w:r>
          </w:p>
          <w:p w14:paraId="2E159142">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每缺失一项核心内容扣2分，</w:t>
            </w:r>
            <w:r>
              <w:rPr>
                <w:rFonts w:hint="eastAsia" w:ascii="宋体" w:hAnsi="宋体" w:eastAsia="宋体" w:cs="宋体"/>
                <w:color w:val="auto"/>
                <w:sz w:val="20"/>
                <w:szCs w:val="20"/>
                <w:highlight w:val="none"/>
              </w:rPr>
              <w:t>每有一项方案存在一定缺陷的，扣</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5A36CB9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423" w:type="dxa"/>
            <w:noWrap w:val="0"/>
            <w:vAlign w:val="center"/>
          </w:tcPr>
          <w:p w14:paraId="012BCC0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r>
      <w:tr w14:paraId="0EB5C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continue"/>
            <w:noWrap w:val="0"/>
            <w:vAlign w:val="top"/>
          </w:tcPr>
          <w:p w14:paraId="61AC64F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5B3F64C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工程进度计划与措施（4分）</w:t>
            </w:r>
          </w:p>
        </w:tc>
        <w:tc>
          <w:tcPr>
            <w:tcW w:w="7415" w:type="dxa"/>
            <w:noWrap w:val="0"/>
            <w:vAlign w:val="top"/>
          </w:tcPr>
          <w:p w14:paraId="45BB6FE8">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根据本项目实际需求提报的工程进度计划与措施进行评审，包含但不限于以下几个方面：</w:t>
            </w:r>
          </w:p>
          <w:p w14:paraId="2FD184B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①总体进度计划</w:t>
            </w:r>
          </w:p>
          <w:p w14:paraId="2F1DAC0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②保证工期措施</w:t>
            </w:r>
          </w:p>
          <w:p w14:paraId="423B6A74">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1、有完善的</w:t>
            </w:r>
            <w:r>
              <w:rPr>
                <w:rFonts w:hint="eastAsia" w:cs="宋体"/>
                <w:color w:val="auto"/>
                <w:sz w:val="20"/>
                <w:szCs w:val="20"/>
                <w:highlight w:val="none"/>
                <w:lang w:val="en-US" w:eastAsia="zh-CN"/>
              </w:rPr>
              <w:t>总体进度计划</w:t>
            </w:r>
            <w:r>
              <w:rPr>
                <w:rFonts w:hint="eastAsia" w:ascii="宋体" w:hAnsi="宋体" w:eastAsia="宋体" w:cs="宋体"/>
                <w:color w:val="auto"/>
                <w:sz w:val="20"/>
                <w:szCs w:val="20"/>
                <w:highlight w:val="none"/>
                <w:lang w:val="en-US" w:eastAsia="zh-CN"/>
              </w:rPr>
              <w:t>，</w:t>
            </w:r>
            <w:r>
              <w:rPr>
                <w:rFonts w:hint="eastAsia" w:cs="宋体"/>
                <w:color w:val="auto"/>
                <w:sz w:val="20"/>
                <w:szCs w:val="20"/>
                <w:highlight w:val="none"/>
                <w:lang w:val="en-US" w:eastAsia="zh-CN"/>
              </w:rPr>
              <w:t>保证工期的</w:t>
            </w:r>
            <w:r>
              <w:rPr>
                <w:rFonts w:hint="eastAsia" w:ascii="宋体" w:hAnsi="宋体" w:eastAsia="宋体" w:cs="宋体"/>
                <w:color w:val="auto"/>
                <w:sz w:val="20"/>
                <w:szCs w:val="20"/>
                <w:highlight w:val="none"/>
                <w:lang w:val="en-US" w:eastAsia="zh-CN"/>
              </w:rPr>
              <w:t>措施</w:t>
            </w:r>
            <w:r>
              <w:rPr>
                <w:rFonts w:hint="eastAsia" w:ascii="宋体" w:hAnsi="宋体" w:eastAsia="宋体" w:cs="宋体"/>
                <w:color w:val="auto"/>
                <w:sz w:val="20"/>
                <w:szCs w:val="20"/>
                <w:highlight w:val="none"/>
              </w:rPr>
              <w:t>全面合理切实可行</w:t>
            </w:r>
            <w:r>
              <w:rPr>
                <w:rFonts w:hint="eastAsia" w:cs="宋体"/>
                <w:color w:val="auto"/>
                <w:sz w:val="20"/>
                <w:szCs w:val="20"/>
                <w:highlight w:val="none"/>
                <w:lang w:eastAsia="zh-CN"/>
              </w:rPr>
              <w:t>，</w:t>
            </w:r>
            <w:r>
              <w:rPr>
                <w:rFonts w:hint="eastAsia" w:ascii="宋体" w:hAnsi="宋体" w:eastAsia="宋体" w:cs="宋体"/>
                <w:color w:val="auto"/>
                <w:kern w:val="2"/>
                <w:sz w:val="20"/>
                <w:szCs w:val="20"/>
                <w:highlight w:val="none"/>
                <w:lang w:val="en-US" w:eastAsia="zh-CN" w:bidi="ar-SA"/>
              </w:rPr>
              <w:t>每有一项，得</w:t>
            </w:r>
            <w:r>
              <w:rPr>
                <w:rFonts w:hint="eastAsia"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bidi="ar-SA"/>
              </w:rPr>
              <w:t>分，满分</w:t>
            </w:r>
            <w:r>
              <w:rPr>
                <w:rFonts w:hint="eastAsia" w:cs="宋体"/>
                <w:color w:val="auto"/>
                <w:kern w:val="2"/>
                <w:sz w:val="20"/>
                <w:szCs w:val="20"/>
                <w:highlight w:val="none"/>
                <w:lang w:val="en-US" w:eastAsia="zh-CN" w:bidi="ar-SA"/>
              </w:rPr>
              <w:t>4</w:t>
            </w:r>
            <w:r>
              <w:rPr>
                <w:rFonts w:hint="eastAsia" w:ascii="宋体" w:hAnsi="宋体" w:eastAsia="宋体" w:cs="宋体"/>
                <w:color w:val="auto"/>
                <w:kern w:val="2"/>
                <w:sz w:val="20"/>
                <w:szCs w:val="20"/>
                <w:highlight w:val="none"/>
                <w:lang w:val="en-US" w:eastAsia="zh-CN" w:bidi="ar-SA"/>
              </w:rPr>
              <w:t>分</w:t>
            </w:r>
            <w:r>
              <w:rPr>
                <w:rFonts w:hint="eastAsia" w:ascii="宋体" w:hAnsi="宋体" w:eastAsia="宋体" w:cs="宋体"/>
                <w:color w:val="auto"/>
                <w:sz w:val="20"/>
                <w:szCs w:val="20"/>
                <w:highlight w:val="none"/>
              </w:rPr>
              <w:t>。未提供方案不得分。</w:t>
            </w:r>
          </w:p>
          <w:p w14:paraId="078970EB">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每缺失一项核心内容扣</w:t>
            </w:r>
            <w:r>
              <w:rPr>
                <w:rFonts w:hint="eastAsia"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每有一项方案存在一定缺陷的，扣</w:t>
            </w:r>
            <w:r>
              <w:rPr>
                <w:rFonts w:hint="eastAsia" w:cs="宋体"/>
                <w:color w:val="auto"/>
                <w:sz w:val="20"/>
                <w:szCs w:val="20"/>
                <w:highlight w:val="none"/>
                <w:lang w:val="en-US" w:eastAsia="zh-CN"/>
              </w:rPr>
              <w:t>0.5</w:t>
            </w:r>
            <w:r>
              <w:rPr>
                <w:rFonts w:hint="eastAsia" w:ascii="宋体" w:hAnsi="宋体" w:eastAsia="宋体" w:cs="宋体"/>
                <w:color w:val="auto"/>
                <w:sz w:val="20"/>
                <w:szCs w:val="20"/>
                <w:highlight w:val="none"/>
              </w:rPr>
              <w:t>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20FCB22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423" w:type="dxa"/>
            <w:noWrap w:val="0"/>
            <w:vAlign w:val="center"/>
          </w:tcPr>
          <w:p w14:paraId="0722888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r>
      <w:tr w14:paraId="776FF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962" w:type="dxa"/>
            <w:vMerge w:val="continue"/>
            <w:noWrap w:val="0"/>
            <w:vAlign w:val="top"/>
          </w:tcPr>
          <w:p w14:paraId="65D2069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57E9BF53">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资源配备计划（</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tc>
        <w:tc>
          <w:tcPr>
            <w:tcW w:w="7415" w:type="dxa"/>
            <w:noWrap w:val="0"/>
            <w:vAlign w:val="top"/>
          </w:tcPr>
          <w:p w14:paraId="55E420BE">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根据本项目实际需求提报的资源配备计划进行评审，包含但不限于以下几个方面：</w:t>
            </w:r>
          </w:p>
          <w:p w14:paraId="21FFAB5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①劳动力配备计划</w:t>
            </w:r>
          </w:p>
          <w:p w14:paraId="016D420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②施工机械、设备配置计划</w:t>
            </w:r>
          </w:p>
          <w:p w14:paraId="008699E9">
            <w:pPr>
              <w:pStyle w:val="47"/>
              <w:spacing w:before="162" w:line="309" w:lineRule="auto"/>
              <w:ind w:right="108"/>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1</w:t>
            </w:r>
            <w:r>
              <w:rPr>
                <w:rFonts w:hint="eastAsia" w:ascii="宋体" w:hAnsi="宋体" w:eastAsia="宋体" w:cs="宋体"/>
                <w:color w:val="auto"/>
                <w:sz w:val="20"/>
                <w:szCs w:val="20"/>
                <w:highlight w:val="none"/>
              </w:rPr>
              <w:t>、有完善的劳动力配备计划</w:t>
            </w:r>
            <w:r>
              <w:rPr>
                <w:rFonts w:hint="eastAsia" w:ascii="宋体" w:hAnsi="宋体" w:eastAsia="宋体" w:cs="宋体"/>
                <w:color w:val="auto"/>
                <w:sz w:val="20"/>
                <w:szCs w:val="20"/>
                <w:highlight w:val="none"/>
                <w:lang w:val="en-US" w:eastAsia="zh-CN"/>
              </w:rPr>
              <w:t>，</w:t>
            </w:r>
            <w:r>
              <w:rPr>
                <w:rFonts w:hint="eastAsia" w:ascii="宋体" w:hAnsi="宋体" w:eastAsia="宋体" w:cs="宋体"/>
                <w:color w:val="auto"/>
                <w:sz w:val="20"/>
                <w:szCs w:val="20"/>
                <w:highlight w:val="none"/>
              </w:rPr>
              <w:t>施工机械、设备配置计划全面合理切实可行</w:t>
            </w:r>
            <w:r>
              <w:rPr>
                <w:rFonts w:hint="eastAsia" w:cs="宋体"/>
                <w:color w:val="auto"/>
                <w:sz w:val="20"/>
                <w:szCs w:val="20"/>
                <w:highlight w:val="none"/>
                <w:lang w:eastAsia="zh-CN"/>
              </w:rPr>
              <w:t>，</w:t>
            </w:r>
            <w:r>
              <w:rPr>
                <w:rFonts w:hint="eastAsia" w:ascii="宋体" w:hAnsi="宋体" w:eastAsia="宋体" w:cs="宋体"/>
                <w:color w:val="auto"/>
                <w:kern w:val="2"/>
                <w:sz w:val="20"/>
                <w:szCs w:val="20"/>
                <w:highlight w:val="none"/>
                <w:lang w:val="en-US" w:eastAsia="zh-CN" w:bidi="ar-SA"/>
              </w:rPr>
              <w:t>每有一项，得</w:t>
            </w:r>
            <w:r>
              <w:rPr>
                <w:rFonts w:hint="eastAsia"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bidi="ar-SA"/>
              </w:rPr>
              <w:t>分，满分</w:t>
            </w:r>
            <w:r>
              <w:rPr>
                <w:rFonts w:hint="eastAsia" w:cs="宋体"/>
                <w:color w:val="auto"/>
                <w:kern w:val="2"/>
                <w:sz w:val="20"/>
                <w:szCs w:val="20"/>
                <w:highlight w:val="none"/>
                <w:lang w:val="en-US" w:eastAsia="zh-CN" w:bidi="ar-SA"/>
              </w:rPr>
              <w:t>2</w:t>
            </w:r>
            <w:r>
              <w:rPr>
                <w:rFonts w:hint="eastAsia" w:ascii="宋体" w:hAnsi="宋体" w:eastAsia="宋体" w:cs="宋体"/>
                <w:color w:val="auto"/>
                <w:kern w:val="2"/>
                <w:sz w:val="20"/>
                <w:szCs w:val="20"/>
                <w:highlight w:val="none"/>
                <w:lang w:val="en-US" w:eastAsia="zh-CN" w:bidi="ar-SA"/>
              </w:rPr>
              <w:t>分</w:t>
            </w:r>
            <w:r>
              <w:rPr>
                <w:rFonts w:hint="eastAsia" w:ascii="宋体" w:hAnsi="宋体" w:eastAsia="宋体" w:cs="宋体"/>
                <w:color w:val="auto"/>
                <w:sz w:val="20"/>
                <w:szCs w:val="20"/>
                <w:highlight w:val="none"/>
              </w:rPr>
              <w:t>。未提供方案不得分。</w:t>
            </w:r>
          </w:p>
          <w:p w14:paraId="54283C2C">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每缺失一项核心内容扣</w:t>
            </w:r>
            <w:r>
              <w:rPr>
                <w:rFonts w:hint="eastAsia"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r>
              <w:rPr>
                <w:rFonts w:hint="eastAsia" w:ascii="宋体" w:hAnsi="宋体" w:eastAsia="宋体" w:cs="宋体"/>
                <w:color w:val="auto"/>
                <w:sz w:val="20"/>
                <w:szCs w:val="20"/>
                <w:highlight w:val="none"/>
              </w:rPr>
              <w:t>每有一项方案存在一定缺陷的，扣</w:t>
            </w:r>
            <w:r>
              <w:rPr>
                <w:rFonts w:hint="eastAsia" w:cs="宋体"/>
                <w:color w:val="auto"/>
                <w:sz w:val="20"/>
                <w:szCs w:val="20"/>
                <w:highlight w:val="none"/>
                <w:lang w:val="en-US" w:eastAsia="zh-CN"/>
              </w:rPr>
              <w:t>0.5</w:t>
            </w:r>
            <w:r>
              <w:rPr>
                <w:rFonts w:hint="eastAsia" w:ascii="宋体" w:hAnsi="宋体" w:eastAsia="宋体" w:cs="宋体"/>
                <w:color w:val="auto"/>
                <w:sz w:val="20"/>
                <w:szCs w:val="20"/>
                <w:highlight w:val="none"/>
              </w:rPr>
              <w:t>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p w14:paraId="2EDF80B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423" w:type="dxa"/>
            <w:noWrap w:val="0"/>
            <w:vAlign w:val="center"/>
          </w:tcPr>
          <w:p w14:paraId="664F6DF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r>
      <w:tr w14:paraId="62EE7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62" w:type="dxa"/>
            <w:vMerge w:val="continue"/>
            <w:noWrap w:val="0"/>
            <w:vAlign w:val="top"/>
          </w:tcPr>
          <w:p w14:paraId="7A570D9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0ED14A78">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紧急情况的处理措施、预案以及抵抗风险的措施（6分）</w:t>
            </w:r>
          </w:p>
        </w:tc>
        <w:tc>
          <w:tcPr>
            <w:tcW w:w="7415" w:type="dxa"/>
            <w:noWrap w:val="0"/>
            <w:vAlign w:val="top"/>
          </w:tcPr>
          <w:p w14:paraId="3A9DC0F9">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根据本项目实际需求提报的紧急情况的处理措施、预案以及抵抗风险的措施进行进行评审，包含但不限于以下几个方面：</w:t>
            </w:r>
          </w:p>
          <w:p w14:paraId="61A20262">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①安全事故应急救援预案</w:t>
            </w:r>
          </w:p>
          <w:p w14:paraId="78F92D0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②危险品应急预案</w:t>
            </w:r>
          </w:p>
          <w:p w14:paraId="2592E5C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③支付农民工工资保证措施</w:t>
            </w:r>
          </w:p>
          <w:p w14:paraId="3FF6DEAB">
            <w:pPr>
              <w:pStyle w:val="47"/>
              <w:spacing w:before="162" w:line="309" w:lineRule="auto"/>
              <w:ind w:right="10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r>
              <w:rPr>
                <w:rFonts w:hint="eastAsia" w:cs="宋体"/>
                <w:color w:val="auto"/>
                <w:sz w:val="20"/>
                <w:szCs w:val="20"/>
                <w:highlight w:val="none"/>
                <w:lang w:val="en-US" w:eastAsia="zh-CN"/>
              </w:rPr>
              <w:t>预案</w:t>
            </w:r>
            <w:r>
              <w:rPr>
                <w:rFonts w:hint="eastAsia" w:ascii="宋体" w:hAnsi="宋体" w:eastAsia="宋体" w:cs="宋体"/>
                <w:color w:val="auto"/>
                <w:sz w:val="20"/>
                <w:szCs w:val="20"/>
                <w:highlight w:val="none"/>
              </w:rPr>
              <w:t>流程清晰、责任到人、</w:t>
            </w:r>
            <w:r>
              <w:rPr>
                <w:rFonts w:hint="eastAsia" w:ascii="宋体" w:hAnsi="宋体" w:eastAsia="宋体" w:cs="宋体"/>
                <w:color w:val="auto"/>
                <w:sz w:val="20"/>
                <w:szCs w:val="20"/>
                <w:highlight w:val="none"/>
                <w:lang w:val="en-US" w:eastAsia="zh-CN"/>
              </w:rPr>
              <w:t>防范措施</w:t>
            </w:r>
            <w:r>
              <w:rPr>
                <w:rFonts w:hint="eastAsia" w:ascii="宋体" w:hAnsi="宋体" w:eastAsia="宋体" w:cs="宋体"/>
                <w:color w:val="auto"/>
                <w:sz w:val="20"/>
                <w:szCs w:val="20"/>
                <w:highlight w:val="none"/>
              </w:rPr>
              <w:t>到位</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kern w:val="2"/>
                <w:sz w:val="20"/>
                <w:szCs w:val="20"/>
                <w:highlight w:val="none"/>
                <w:lang w:val="en-US" w:eastAsia="zh-CN" w:bidi="ar-SA"/>
              </w:rPr>
              <w:t>每有一项，得2分，满分</w:t>
            </w:r>
            <w:r>
              <w:rPr>
                <w:rFonts w:hint="eastAsia" w:cs="宋体"/>
                <w:color w:val="auto"/>
                <w:kern w:val="2"/>
                <w:sz w:val="20"/>
                <w:szCs w:val="20"/>
                <w:highlight w:val="none"/>
                <w:lang w:val="en-US" w:eastAsia="zh-CN" w:bidi="ar-SA"/>
              </w:rPr>
              <w:t>6</w:t>
            </w:r>
            <w:r>
              <w:rPr>
                <w:rFonts w:hint="eastAsia" w:ascii="宋体" w:hAnsi="宋体" w:eastAsia="宋体" w:cs="宋体"/>
                <w:color w:val="auto"/>
                <w:kern w:val="2"/>
                <w:sz w:val="20"/>
                <w:szCs w:val="20"/>
                <w:highlight w:val="none"/>
                <w:lang w:val="en-US" w:eastAsia="zh-CN" w:bidi="ar-SA"/>
              </w:rPr>
              <w:t>分</w:t>
            </w:r>
            <w:r>
              <w:rPr>
                <w:rFonts w:hint="eastAsia" w:ascii="宋体" w:hAnsi="宋体" w:eastAsia="宋体" w:cs="宋体"/>
                <w:color w:val="auto"/>
                <w:sz w:val="20"/>
                <w:szCs w:val="20"/>
                <w:highlight w:val="none"/>
              </w:rPr>
              <w:t>。未提供方案不得分。</w:t>
            </w:r>
          </w:p>
          <w:p w14:paraId="03242D7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r>
              <w:rPr>
                <w:rFonts w:hint="eastAsia" w:ascii="宋体" w:hAnsi="宋体" w:eastAsia="宋体" w:cs="宋体"/>
                <w:color w:val="auto"/>
                <w:sz w:val="20"/>
                <w:szCs w:val="20"/>
                <w:highlight w:val="none"/>
                <w:lang w:val="en-US" w:eastAsia="zh-CN"/>
              </w:rPr>
              <w:t>每缺失一项核心内容扣2分，</w:t>
            </w:r>
            <w:r>
              <w:rPr>
                <w:rFonts w:hint="eastAsia" w:ascii="宋体" w:hAnsi="宋体" w:eastAsia="宋体" w:cs="宋体"/>
                <w:color w:val="auto"/>
                <w:sz w:val="20"/>
                <w:szCs w:val="20"/>
                <w:highlight w:val="none"/>
              </w:rPr>
              <w:t>每有一项方案存在一定缺陷的，扣</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注:内容存在缺陷是指：①方案生搬硬套，与实际情况明显不符；②或存在与项目明显无关的文字内容；③或内容不适用项目的实际情况；④或描述的内容混乱，重点不突出；⑤或内容缺失不完善，可操作性较差；⑥或凭空编造，内容矛盾，前后逻辑错误；）</w:t>
            </w:r>
          </w:p>
        </w:tc>
        <w:tc>
          <w:tcPr>
            <w:tcW w:w="423" w:type="dxa"/>
            <w:noWrap w:val="0"/>
            <w:vAlign w:val="center"/>
          </w:tcPr>
          <w:p w14:paraId="15A871D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r>
      <w:tr w14:paraId="5BD2A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962" w:type="dxa"/>
            <w:vMerge w:val="restart"/>
            <w:tcBorders>
              <w:bottom w:val="nil"/>
            </w:tcBorders>
            <w:noWrap w:val="0"/>
            <w:vAlign w:val="top"/>
          </w:tcPr>
          <w:p w14:paraId="69CBCEC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35BACAF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61A6E13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0D9B952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1F19FB2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p w14:paraId="5AB5144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（2）项目管理机构评分标准</w:t>
            </w:r>
          </w:p>
          <w:p w14:paraId="685C46E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（11分）</w:t>
            </w:r>
          </w:p>
        </w:tc>
        <w:tc>
          <w:tcPr>
            <w:tcW w:w="1098" w:type="dxa"/>
            <w:noWrap w:val="0"/>
            <w:vAlign w:val="center"/>
          </w:tcPr>
          <w:p w14:paraId="2C4CCA22">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主要人员（10分）</w:t>
            </w:r>
          </w:p>
        </w:tc>
        <w:tc>
          <w:tcPr>
            <w:tcW w:w="7415" w:type="dxa"/>
            <w:noWrap w:val="0"/>
            <w:vAlign w:val="center"/>
          </w:tcPr>
          <w:p w14:paraId="13B89CF8">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cs="宋体"/>
                <w:color w:val="auto"/>
                <w:sz w:val="20"/>
                <w:szCs w:val="20"/>
                <w:highlight w:val="none"/>
                <w:lang w:val="en-US" w:eastAsia="zh-CN"/>
              </w:rPr>
            </w:pPr>
            <w:r>
              <w:rPr>
                <w:rFonts w:hint="eastAsia" w:ascii="宋体" w:hAnsi="宋体" w:eastAsia="宋体" w:cs="宋体"/>
                <w:color w:val="auto"/>
                <w:sz w:val="20"/>
                <w:szCs w:val="20"/>
                <w:highlight w:val="none"/>
              </w:rPr>
              <w:t>技术负责人1人（具备中级及以上职称）</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中级职称得1分，高级职称得2分。</w:t>
            </w:r>
          </w:p>
          <w:p w14:paraId="77F2F67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施工员1人、安全员1人、质量员1人、材料员1人，以上人员为基本要求：</w:t>
            </w:r>
          </w:p>
          <w:p w14:paraId="628A6698">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提供施工员上岗证书、安全员上岗证、质量员上岗证书、材料员上岗证书等以上人员证书，每提供1个证书2分，满分</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p w14:paraId="6B23CB2B">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14:paraId="559E875D">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①需提供相应人员职称证书或上岗证书复印件并加盖公章，否则不计分；</w:t>
            </w:r>
          </w:p>
          <w:p w14:paraId="2756B58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②响应文件中提供证书复印件、</w:t>
            </w:r>
            <w:r>
              <w:rPr>
                <w:rFonts w:hint="eastAsia" w:ascii="宋体" w:hAnsi="宋体" w:cs="宋体"/>
                <w:color w:val="auto"/>
                <w:sz w:val="20"/>
                <w:szCs w:val="20"/>
                <w:highlight w:val="none"/>
                <w:lang w:val="en-US" w:eastAsia="zh-CN"/>
              </w:rPr>
              <w:t>近1个月</w:t>
            </w:r>
            <w:r>
              <w:rPr>
                <w:rFonts w:hint="eastAsia" w:ascii="宋体" w:hAnsi="宋体" w:eastAsia="宋体" w:cs="宋体"/>
                <w:color w:val="auto"/>
                <w:sz w:val="20"/>
                <w:szCs w:val="20"/>
                <w:highlight w:val="none"/>
              </w:rPr>
              <w:t>社保证明</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退休人员需附退休证明及返聘合同，</w:t>
            </w:r>
            <w:r>
              <w:rPr>
                <w:rFonts w:hint="eastAsia" w:ascii="宋体" w:hAnsi="宋体" w:eastAsia="宋体" w:cs="宋体"/>
                <w:color w:val="auto"/>
                <w:sz w:val="20"/>
                <w:szCs w:val="20"/>
                <w:highlight w:val="none"/>
              </w:rPr>
              <w:t>复印件加盖公章。</w:t>
            </w:r>
          </w:p>
        </w:tc>
        <w:tc>
          <w:tcPr>
            <w:tcW w:w="423" w:type="dxa"/>
            <w:noWrap w:val="0"/>
            <w:vAlign w:val="center"/>
          </w:tcPr>
          <w:p w14:paraId="6BD4A19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10</w:t>
            </w:r>
          </w:p>
        </w:tc>
      </w:tr>
      <w:tr w14:paraId="79FBA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continue"/>
            <w:tcBorders>
              <w:top w:val="nil"/>
            </w:tcBorders>
            <w:noWrap w:val="0"/>
            <w:vAlign w:val="top"/>
          </w:tcPr>
          <w:p w14:paraId="6A6D7C25">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429A2D93">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项目经理业绩（1分）</w:t>
            </w:r>
          </w:p>
        </w:tc>
        <w:tc>
          <w:tcPr>
            <w:tcW w:w="7415" w:type="dxa"/>
            <w:noWrap w:val="0"/>
            <w:vAlign w:val="center"/>
          </w:tcPr>
          <w:p w14:paraId="374F2413">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2023</w:t>
            </w:r>
            <w:r>
              <w:rPr>
                <w:rFonts w:hint="eastAsia" w:ascii="宋体" w:hAnsi="宋体" w:eastAsia="宋体" w:cs="宋体"/>
                <w:color w:val="auto"/>
                <w:sz w:val="20"/>
                <w:szCs w:val="20"/>
                <w:highlight w:val="none"/>
              </w:rPr>
              <w:t>年1月1日至今完成过同类或类似的工程业绩，每有1项得1分，</w:t>
            </w:r>
            <w:r>
              <w:rPr>
                <w:rFonts w:hint="eastAsia" w:ascii="宋体" w:hAnsi="宋体" w:eastAsia="宋体" w:cs="宋体"/>
                <w:color w:val="auto"/>
                <w:sz w:val="20"/>
                <w:szCs w:val="20"/>
                <w:highlight w:val="none"/>
                <w:lang w:val="en-US" w:eastAsia="zh-CN"/>
              </w:rPr>
              <w:t>满分</w:t>
            </w:r>
            <w:r>
              <w:rPr>
                <w:rFonts w:hint="eastAsia" w:ascii="宋体" w:hAnsi="宋体" w:eastAsia="宋体" w:cs="宋体"/>
                <w:color w:val="auto"/>
                <w:sz w:val="20"/>
                <w:szCs w:val="20"/>
                <w:highlight w:val="none"/>
              </w:rPr>
              <w:t>1分。</w:t>
            </w:r>
          </w:p>
          <w:p w14:paraId="0DC719B8">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业绩证明文件【中标通知书或合同协议书，业绩证明文件应体现项目经理姓名】</w:t>
            </w:r>
          </w:p>
          <w:p w14:paraId="353FBA4A">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提供的业绩证明文件必须为真实有效，若存在弄虚造假将按否决投标处理。</w:t>
            </w:r>
          </w:p>
        </w:tc>
        <w:tc>
          <w:tcPr>
            <w:tcW w:w="423" w:type="dxa"/>
            <w:noWrap w:val="0"/>
            <w:vAlign w:val="center"/>
          </w:tcPr>
          <w:p w14:paraId="12B2EB1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r>
      <w:tr w14:paraId="0A3AD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trPr>
        <w:tc>
          <w:tcPr>
            <w:tcW w:w="962" w:type="dxa"/>
            <w:noWrap w:val="0"/>
            <w:vAlign w:val="center"/>
          </w:tcPr>
          <w:p w14:paraId="3E627BFD">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（3）磋商报价评分标准（30分）</w:t>
            </w:r>
          </w:p>
        </w:tc>
        <w:tc>
          <w:tcPr>
            <w:tcW w:w="1098" w:type="dxa"/>
            <w:noWrap w:val="0"/>
            <w:vAlign w:val="center"/>
          </w:tcPr>
          <w:p w14:paraId="71F62BA1">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磋商报价（30分）</w:t>
            </w:r>
          </w:p>
        </w:tc>
        <w:tc>
          <w:tcPr>
            <w:tcW w:w="7415" w:type="dxa"/>
            <w:noWrap w:val="0"/>
            <w:vAlign w:val="center"/>
          </w:tcPr>
          <w:p w14:paraId="55645C13">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磋商报价得分=（磋商基准价/最后磋商报价）×价格权值30%×100</w:t>
            </w:r>
          </w:p>
        </w:tc>
        <w:tc>
          <w:tcPr>
            <w:tcW w:w="423" w:type="dxa"/>
            <w:noWrap w:val="0"/>
            <w:vAlign w:val="center"/>
          </w:tcPr>
          <w:p w14:paraId="7E95C0F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30</w:t>
            </w:r>
          </w:p>
        </w:tc>
      </w:tr>
      <w:tr w14:paraId="23A79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restart"/>
            <w:noWrap w:val="0"/>
            <w:vAlign w:val="center"/>
          </w:tcPr>
          <w:p w14:paraId="50D7E756">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（4）其他因素评分标准（19分）</w:t>
            </w:r>
          </w:p>
        </w:tc>
        <w:tc>
          <w:tcPr>
            <w:tcW w:w="1098" w:type="dxa"/>
            <w:noWrap w:val="0"/>
            <w:vAlign w:val="center"/>
          </w:tcPr>
          <w:p w14:paraId="133F9DD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类似项目业绩（</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分）</w:t>
            </w:r>
          </w:p>
        </w:tc>
        <w:tc>
          <w:tcPr>
            <w:tcW w:w="7415" w:type="dxa"/>
            <w:noWrap w:val="0"/>
            <w:vAlign w:val="center"/>
          </w:tcPr>
          <w:p w14:paraId="2F93D839">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202</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年1月1日至今（发布招标公告的前一个工作日）完成的同类或类似工程业绩，每提供一项同类或类似的工程业绩得2分，满分</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rPr>
              <w:t>分。提供中标通知书或施工合同或竣工验收报告复印件加盖公章。</w:t>
            </w:r>
          </w:p>
          <w:p w14:paraId="5AC86257">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提供的业绩证明文件必须为真实有效，若存在弄虚造假将按否决投标处理。</w:t>
            </w:r>
          </w:p>
        </w:tc>
        <w:tc>
          <w:tcPr>
            <w:tcW w:w="423" w:type="dxa"/>
            <w:noWrap w:val="0"/>
            <w:vAlign w:val="center"/>
          </w:tcPr>
          <w:p w14:paraId="74A888F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6</w:t>
            </w:r>
          </w:p>
        </w:tc>
      </w:tr>
      <w:tr w14:paraId="549CA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62" w:type="dxa"/>
            <w:vMerge w:val="continue"/>
            <w:noWrap w:val="0"/>
            <w:vAlign w:val="top"/>
          </w:tcPr>
          <w:p w14:paraId="120FD6C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1C012144">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保修</w:t>
            </w:r>
            <w:r>
              <w:rPr>
                <w:rFonts w:hint="eastAsia" w:ascii="宋体" w:hAnsi="宋体" w:eastAsia="宋体" w:cs="宋体"/>
                <w:color w:val="auto"/>
                <w:sz w:val="20"/>
                <w:szCs w:val="20"/>
                <w:highlight w:val="none"/>
              </w:rPr>
              <w:t>承诺（</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tc>
        <w:tc>
          <w:tcPr>
            <w:tcW w:w="7415" w:type="dxa"/>
            <w:noWrap w:val="0"/>
            <w:vAlign w:val="center"/>
          </w:tcPr>
          <w:p w14:paraId="02539E87">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质保期在</w:t>
            </w:r>
            <w:r>
              <w:rPr>
                <w:rFonts w:hint="eastAsia" w:ascii="宋体" w:hAnsi="宋体" w:cs="宋体"/>
                <w:color w:val="auto"/>
                <w:sz w:val="20"/>
                <w:szCs w:val="20"/>
                <w:highlight w:val="none"/>
                <w:lang w:val="en-US" w:eastAsia="zh-CN"/>
              </w:rPr>
              <w:t>保修2年</w:t>
            </w:r>
            <w:r>
              <w:rPr>
                <w:rFonts w:hint="eastAsia" w:ascii="宋体" w:hAnsi="宋体" w:eastAsia="宋体" w:cs="宋体"/>
                <w:color w:val="auto"/>
                <w:sz w:val="20"/>
                <w:szCs w:val="20"/>
                <w:highlight w:val="none"/>
              </w:rPr>
              <w:t>基础上每延长一年得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rPr>
              <w:t>分，满分</w:t>
            </w:r>
            <w:r>
              <w:rPr>
                <w:rFonts w:hint="eastAsia" w:ascii="宋体" w:hAnsi="宋体" w:cs="宋体"/>
                <w:color w:val="auto"/>
                <w:sz w:val="20"/>
                <w:szCs w:val="20"/>
                <w:highlight w:val="none"/>
                <w:lang w:val="en-US" w:eastAsia="zh-CN"/>
              </w:rPr>
              <w:t>8</w:t>
            </w:r>
            <w:r>
              <w:rPr>
                <w:rFonts w:hint="eastAsia" w:ascii="宋体" w:hAnsi="宋体" w:eastAsia="宋体" w:cs="宋体"/>
                <w:color w:val="auto"/>
                <w:sz w:val="20"/>
                <w:szCs w:val="20"/>
                <w:highlight w:val="none"/>
              </w:rPr>
              <w:t>分，无延长不得分。</w:t>
            </w:r>
          </w:p>
        </w:tc>
        <w:tc>
          <w:tcPr>
            <w:tcW w:w="423" w:type="dxa"/>
            <w:noWrap w:val="0"/>
            <w:vAlign w:val="center"/>
          </w:tcPr>
          <w:p w14:paraId="16CFDD0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cs="宋体"/>
                <w:color w:val="auto"/>
                <w:sz w:val="20"/>
                <w:szCs w:val="20"/>
                <w:highlight w:val="none"/>
                <w:lang w:val="en-US" w:eastAsia="zh-CN"/>
              </w:rPr>
              <w:t>8</w:t>
            </w:r>
          </w:p>
        </w:tc>
      </w:tr>
      <w:tr w14:paraId="6FB78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Merge w:val="continue"/>
            <w:noWrap w:val="0"/>
            <w:vAlign w:val="top"/>
          </w:tcPr>
          <w:p w14:paraId="1737EBD4">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0"/>
                <w:szCs w:val="20"/>
                <w:highlight w:val="none"/>
              </w:rPr>
            </w:pPr>
          </w:p>
        </w:tc>
        <w:tc>
          <w:tcPr>
            <w:tcW w:w="1098" w:type="dxa"/>
            <w:noWrap w:val="0"/>
            <w:vAlign w:val="center"/>
          </w:tcPr>
          <w:p w14:paraId="495BD11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优惠条件（</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w:t>
            </w:r>
          </w:p>
        </w:tc>
        <w:tc>
          <w:tcPr>
            <w:tcW w:w="7415" w:type="dxa"/>
            <w:noWrap w:val="0"/>
            <w:vAlign w:val="center"/>
          </w:tcPr>
          <w:p w14:paraId="51EF6190">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对供应商提出的符合规定且具体可行的实质性合理优惠条件每有一条得1分，满分</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分,无不得分。</w:t>
            </w:r>
          </w:p>
        </w:tc>
        <w:tc>
          <w:tcPr>
            <w:tcW w:w="423" w:type="dxa"/>
            <w:noWrap w:val="0"/>
            <w:vAlign w:val="center"/>
          </w:tcPr>
          <w:p w14:paraId="2C7735E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5</w:t>
            </w:r>
          </w:p>
        </w:tc>
      </w:tr>
    </w:tbl>
    <w:p w14:paraId="4AB4020B">
      <w:pPr>
        <w:ind w:firstLine="480"/>
        <w:rPr>
          <w:rFonts w:hint="eastAsia" w:ascii="宋体" w:hAnsi="宋体" w:cs="宋体"/>
          <w:color w:val="FF0000"/>
          <w:sz w:val="24"/>
          <w:szCs w:val="24"/>
          <w:lang w:val="zh-CN"/>
        </w:rPr>
      </w:pPr>
      <w:r>
        <w:rPr>
          <w:rFonts w:hint="eastAsia" w:ascii="宋体" w:hAnsi="宋体" w:eastAsia="宋体" w:cs="宋体"/>
          <w:color w:val="FF0000"/>
          <w:sz w:val="24"/>
          <w:szCs w:val="24"/>
          <w:lang w:val="en-US" w:eastAsia="zh-CN"/>
        </w:rPr>
        <w:t>注：</w:t>
      </w:r>
      <w:r>
        <w:rPr>
          <w:rFonts w:hint="eastAsia" w:ascii="宋体" w:hAnsi="宋体" w:eastAsia="宋体" w:cs="宋体"/>
          <w:color w:val="FF0000"/>
          <w:sz w:val="24"/>
          <w:szCs w:val="24"/>
          <w:lang w:val="zh-CN"/>
        </w:rPr>
        <w:t>技术文件（暗标）未按以下“盲评”要求制作的，为无效响应，除下列要求外，不得因</w:t>
      </w:r>
      <w:r>
        <w:rPr>
          <w:rFonts w:hint="eastAsia" w:ascii="宋体" w:hAnsi="宋体" w:cs="宋体"/>
          <w:color w:val="FF0000"/>
          <w:sz w:val="24"/>
          <w:szCs w:val="24"/>
          <w:lang w:val="zh-CN"/>
        </w:rPr>
        <w:t>暗标格式问题认定为无效响应：</w:t>
      </w:r>
    </w:p>
    <w:p w14:paraId="511C91A4">
      <w:pPr>
        <w:ind w:firstLine="480"/>
        <w:rPr>
          <w:rFonts w:hint="eastAsia" w:ascii="宋体" w:hAnsi="宋体" w:cs="宋体"/>
          <w:color w:val="FF0000"/>
          <w:sz w:val="24"/>
          <w:szCs w:val="24"/>
          <w:lang w:val="zh-CN"/>
        </w:rPr>
      </w:pPr>
      <w:r>
        <w:rPr>
          <w:rFonts w:hint="eastAsia" w:ascii="宋体" w:hAnsi="宋体" w:cs="宋体"/>
          <w:color w:val="FF0000"/>
          <w:sz w:val="24"/>
          <w:szCs w:val="24"/>
          <w:lang w:val="zh-CN"/>
        </w:rPr>
        <w:t>（1）版面要求：A4纸张大小；</w:t>
      </w:r>
    </w:p>
    <w:p w14:paraId="286F8066">
      <w:pPr>
        <w:ind w:firstLine="480"/>
        <w:rPr>
          <w:rFonts w:hint="eastAsia" w:ascii="宋体" w:hAnsi="宋体" w:cs="宋体"/>
          <w:color w:val="FF0000"/>
          <w:sz w:val="24"/>
          <w:szCs w:val="24"/>
          <w:lang w:val="zh-CN"/>
        </w:rPr>
      </w:pPr>
      <w:r>
        <w:rPr>
          <w:rFonts w:hint="eastAsia" w:ascii="宋体" w:hAnsi="宋体" w:cs="宋体"/>
          <w:color w:val="FF0000"/>
          <w:sz w:val="24"/>
          <w:szCs w:val="24"/>
          <w:lang w:val="zh-CN"/>
        </w:rPr>
        <w:t>（2）颜色要求：所有文字、图表为黑色；</w:t>
      </w:r>
    </w:p>
    <w:p w14:paraId="72B945BE">
      <w:pPr>
        <w:ind w:firstLine="480"/>
        <w:rPr>
          <w:rFonts w:hint="eastAsia" w:ascii="宋体" w:hAnsi="宋体" w:cs="宋体"/>
          <w:color w:val="FF0000"/>
          <w:sz w:val="24"/>
          <w:szCs w:val="24"/>
          <w:lang w:val="zh-CN"/>
        </w:rPr>
      </w:pPr>
      <w:r>
        <w:rPr>
          <w:rFonts w:hint="eastAsia" w:ascii="宋体" w:hAnsi="宋体" w:cs="宋体"/>
          <w:color w:val="FF0000"/>
          <w:sz w:val="24"/>
          <w:szCs w:val="24"/>
          <w:lang w:val="zh-CN"/>
        </w:rPr>
        <w:t>（3）字体要求：标题及正文部分所用的文字均采用“宋体”四号“常规”字；图、表内的字体及字号不作要求；全部使用中文标点符号；所有字体均不得出现加粗、加色、倾斜、下划线等标记；</w:t>
      </w:r>
    </w:p>
    <w:p w14:paraId="7F6AFB77">
      <w:pPr>
        <w:ind w:firstLine="480"/>
        <w:rPr>
          <w:rFonts w:hint="eastAsia" w:ascii="宋体" w:hAnsi="宋体" w:cs="宋体"/>
          <w:color w:val="FF0000"/>
          <w:sz w:val="24"/>
          <w:szCs w:val="24"/>
          <w:lang w:val="zh-CN"/>
        </w:rPr>
      </w:pPr>
      <w:r>
        <w:rPr>
          <w:rFonts w:hint="eastAsia" w:ascii="宋体" w:hAnsi="宋体" w:cs="宋体"/>
          <w:color w:val="FF0000"/>
          <w:sz w:val="24"/>
          <w:szCs w:val="24"/>
          <w:lang w:val="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6CF5F350">
      <w:pPr>
        <w:ind w:firstLine="480"/>
        <w:rPr>
          <w:rFonts w:hint="eastAsia" w:ascii="宋体" w:hAnsi="宋体" w:cs="宋体"/>
          <w:color w:val="FF0000"/>
          <w:sz w:val="24"/>
          <w:szCs w:val="24"/>
          <w:lang w:val="zh-CN"/>
        </w:rPr>
      </w:pPr>
      <w:r>
        <w:rPr>
          <w:rFonts w:hint="eastAsia" w:ascii="宋体" w:hAnsi="宋体" w:cs="宋体"/>
          <w:color w:val="FF0000"/>
          <w:sz w:val="24"/>
          <w:szCs w:val="24"/>
          <w:lang w:val="zh-CN"/>
        </w:rPr>
        <w:t>（5）其它：除满足上述各项要求外，构成磋商文件的“技术暗标”的正文中均不得出现供应商的名称和其它可识别供应商身份的字符、徽标、人员名称以及其他可能被辨别出供应商身份的任何标记。</w:t>
      </w:r>
    </w:p>
    <w:p w14:paraId="481631E7">
      <w:pPr>
        <w:pStyle w:val="9"/>
        <w:rPr>
          <w:rFonts w:hint="default" w:eastAsia="宋体"/>
          <w:color w:val="auto"/>
          <w:lang w:val="en-US" w:eastAsia="zh-CN"/>
        </w:rPr>
      </w:pPr>
    </w:p>
    <w:p w14:paraId="1DAACFAE">
      <w:pPr>
        <w:spacing w:before="284" w:line="220" w:lineRule="auto"/>
        <w:ind w:left="24"/>
        <w:rPr>
          <w:rFonts w:ascii="宋体" w:hAnsi="宋体" w:eastAsia="宋体" w:cs="宋体"/>
          <w:color w:val="auto"/>
          <w:sz w:val="28"/>
          <w:szCs w:val="28"/>
        </w:rPr>
      </w:pPr>
      <w:r>
        <w:rPr>
          <w:rFonts w:ascii="宋体" w:hAnsi="宋体" w:eastAsia="宋体" w:cs="宋体"/>
          <w:b/>
          <w:bCs/>
          <w:color w:val="auto"/>
          <w:spacing w:val="-7"/>
          <w:sz w:val="28"/>
          <w:szCs w:val="28"/>
        </w:rPr>
        <w:t>1.评审办法</w:t>
      </w:r>
    </w:p>
    <w:p w14:paraId="6B877A1A">
      <w:pPr>
        <w:spacing w:before="164" w:line="352" w:lineRule="auto"/>
        <w:ind w:firstLine="423"/>
        <w:rPr>
          <w:rFonts w:ascii="宋体" w:hAnsi="宋体" w:eastAsia="宋体" w:cs="宋体"/>
          <w:color w:val="auto"/>
          <w:sz w:val="20"/>
          <w:szCs w:val="20"/>
        </w:rPr>
      </w:pPr>
      <w:r>
        <w:rPr>
          <w:rFonts w:ascii="宋体" w:hAnsi="宋体" w:eastAsia="宋体" w:cs="宋体"/>
          <w:color w:val="auto"/>
          <w:spacing w:val="7"/>
          <w:sz w:val="20"/>
          <w:szCs w:val="20"/>
        </w:rPr>
        <w:t>竞争性磋商采用二次报价+综合评分法。磋商小组仅对确定为实质上响应竞争性磋商要求的响应</w:t>
      </w:r>
      <w:r>
        <w:rPr>
          <w:rFonts w:ascii="宋体" w:hAnsi="宋体" w:eastAsia="宋体" w:cs="宋体"/>
          <w:color w:val="auto"/>
          <w:spacing w:val="10"/>
          <w:sz w:val="20"/>
          <w:szCs w:val="20"/>
        </w:rPr>
        <w:t>文件进行评价和比较。磋商小组根据综合评分情况，按照评审得分由高到低顺序推荐三名成交候选供应商，得分最高排名第一的推荐为成交供应商。评审得分相同的，按照最后报价由低到高的顺序推荐。评审得分且最后报价相同的，按照施工组织设计、项目管理机构、其它因素优劣顺序推荐。</w:t>
      </w:r>
      <w:r>
        <w:rPr>
          <w:rFonts w:ascii="宋体" w:hAnsi="宋体" w:eastAsia="宋体" w:cs="宋体"/>
          <w:color w:val="auto"/>
          <w:spacing w:val="9"/>
          <w:sz w:val="20"/>
          <w:szCs w:val="20"/>
        </w:rPr>
        <w:t>对于明显低于成本的报价，采购人将不予采用。</w:t>
      </w:r>
    </w:p>
    <w:p w14:paraId="3C5F058D">
      <w:pPr>
        <w:spacing w:before="8" w:line="221" w:lineRule="auto"/>
        <w:ind w:left="7"/>
        <w:rPr>
          <w:rFonts w:ascii="宋体" w:hAnsi="宋体" w:eastAsia="宋体" w:cs="宋体"/>
          <w:color w:val="auto"/>
          <w:sz w:val="28"/>
          <w:szCs w:val="28"/>
        </w:rPr>
      </w:pPr>
      <w:r>
        <w:rPr>
          <w:rFonts w:ascii="宋体" w:hAnsi="宋体" w:eastAsia="宋体" w:cs="宋体"/>
          <w:b/>
          <w:bCs/>
          <w:color w:val="auto"/>
          <w:spacing w:val="-4"/>
          <w:sz w:val="28"/>
          <w:szCs w:val="28"/>
        </w:rPr>
        <w:t>2.评审标准</w:t>
      </w:r>
    </w:p>
    <w:p w14:paraId="3B0F681C">
      <w:pPr>
        <w:spacing w:before="163" w:line="228" w:lineRule="auto"/>
        <w:ind w:left="3"/>
        <w:rPr>
          <w:rFonts w:ascii="宋体" w:hAnsi="宋体" w:eastAsia="宋体" w:cs="宋体"/>
          <w:color w:val="auto"/>
          <w:sz w:val="20"/>
          <w:szCs w:val="20"/>
        </w:rPr>
      </w:pPr>
      <w:r>
        <w:rPr>
          <w:rFonts w:ascii="宋体" w:hAnsi="宋体" w:eastAsia="宋体" w:cs="宋体"/>
          <w:b/>
          <w:bCs/>
          <w:color w:val="auto"/>
          <w:spacing w:val="5"/>
          <w:sz w:val="20"/>
          <w:szCs w:val="20"/>
        </w:rPr>
        <w:t>2.1初步评审标准</w:t>
      </w:r>
    </w:p>
    <w:p w14:paraId="15DD01B9">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7"/>
          <w:sz w:val="20"/>
          <w:szCs w:val="20"/>
        </w:rPr>
        <w:t>2.1.1形式评审</w:t>
      </w:r>
      <w:r>
        <w:rPr>
          <w:rFonts w:ascii="宋体" w:hAnsi="宋体" w:eastAsia="宋体" w:cs="宋体"/>
          <w:color w:val="auto"/>
          <w:spacing w:val="10"/>
          <w:sz w:val="20"/>
          <w:szCs w:val="20"/>
        </w:rPr>
        <w:t>标准：见</w:t>
      </w:r>
      <w:r>
        <w:rPr>
          <w:rFonts w:hint="eastAsia" w:ascii="宋体" w:hAnsi="宋体" w:eastAsia="宋体" w:cs="宋体"/>
          <w:color w:val="auto"/>
          <w:spacing w:val="10"/>
          <w:sz w:val="20"/>
          <w:szCs w:val="20"/>
          <w:lang w:val="en-US" w:eastAsia="zh-CN"/>
        </w:rPr>
        <w:t>初步评审表</w:t>
      </w:r>
      <w:r>
        <w:rPr>
          <w:rFonts w:ascii="宋体" w:hAnsi="宋体" w:eastAsia="宋体" w:cs="宋体"/>
          <w:color w:val="auto"/>
          <w:spacing w:val="10"/>
          <w:sz w:val="20"/>
          <w:szCs w:val="20"/>
        </w:rPr>
        <w:t>。</w:t>
      </w:r>
    </w:p>
    <w:p w14:paraId="757A85C9">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2.1.2资格评审标准：见</w:t>
      </w:r>
      <w:r>
        <w:rPr>
          <w:rFonts w:hint="eastAsia" w:ascii="宋体" w:hAnsi="宋体" w:eastAsia="宋体" w:cs="宋体"/>
          <w:color w:val="auto"/>
          <w:spacing w:val="10"/>
          <w:sz w:val="20"/>
          <w:szCs w:val="20"/>
          <w:lang w:val="en-US" w:eastAsia="zh-CN"/>
        </w:rPr>
        <w:t>初步评审表</w:t>
      </w:r>
      <w:r>
        <w:rPr>
          <w:rFonts w:ascii="宋体" w:hAnsi="宋体" w:eastAsia="宋体" w:cs="宋体"/>
          <w:color w:val="auto"/>
          <w:spacing w:val="10"/>
          <w:sz w:val="20"/>
          <w:szCs w:val="20"/>
        </w:rPr>
        <w:t>。</w:t>
      </w:r>
    </w:p>
    <w:p w14:paraId="3C14E4A1">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2.1.3</w:t>
      </w:r>
      <w:r>
        <w:rPr>
          <w:rFonts w:hint="eastAsia" w:ascii="宋体" w:hAnsi="宋体" w:cs="宋体"/>
          <w:color w:val="auto"/>
          <w:spacing w:val="10"/>
          <w:sz w:val="20"/>
          <w:szCs w:val="20"/>
          <w:lang w:eastAsia="zh-CN"/>
        </w:rPr>
        <w:t>符合性</w:t>
      </w:r>
      <w:r>
        <w:rPr>
          <w:rFonts w:ascii="宋体" w:hAnsi="宋体" w:eastAsia="宋体" w:cs="宋体"/>
          <w:color w:val="auto"/>
          <w:spacing w:val="10"/>
          <w:sz w:val="20"/>
          <w:szCs w:val="20"/>
        </w:rPr>
        <w:t>评审标准：见</w:t>
      </w:r>
      <w:r>
        <w:rPr>
          <w:rFonts w:hint="eastAsia" w:ascii="宋体" w:hAnsi="宋体" w:eastAsia="宋体" w:cs="宋体"/>
          <w:color w:val="auto"/>
          <w:spacing w:val="10"/>
          <w:sz w:val="20"/>
          <w:szCs w:val="20"/>
          <w:lang w:val="en-US" w:eastAsia="zh-CN"/>
        </w:rPr>
        <w:t>初步评审表</w:t>
      </w:r>
      <w:r>
        <w:rPr>
          <w:rFonts w:ascii="宋体" w:hAnsi="宋体" w:eastAsia="宋体" w:cs="宋体"/>
          <w:color w:val="auto"/>
          <w:spacing w:val="10"/>
          <w:sz w:val="20"/>
          <w:szCs w:val="20"/>
        </w:rPr>
        <w:t>。</w:t>
      </w:r>
    </w:p>
    <w:p w14:paraId="36899F71">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2.2分值构成与评分标准</w:t>
      </w:r>
    </w:p>
    <w:p w14:paraId="6B45A0D0">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2.2.1分值构成</w:t>
      </w:r>
    </w:p>
    <w:p w14:paraId="4AA71C81">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（1）施工组织设计：见评审办法前附表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1DFC244D">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（2）项目管理机构：见评审办法前附表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380FBB13">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（3）磋商报价：见评审办法前附表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62CF85DA">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（4）其他评分因素：见评审办法前附表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03E36A00">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2.2.2磋商基准价计算</w:t>
      </w:r>
    </w:p>
    <w:p w14:paraId="260A1889">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磋商基准价计算方法：见评审办法前附表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41A4DC98">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2.2.3评分标准</w:t>
      </w:r>
    </w:p>
    <w:p w14:paraId="5F764B37">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（1）施工组织设计评分标准：见评审办法前附表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6E8D86A6">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（2）项目管理机构评分标准：见评审办法前附表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5E3CB631">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（3）磋商报价评分标准：见评审办法前附表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64199296">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（4）其他因素评分标准：见评审办法前附表</w:t>
      </w:r>
      <w:r>
        <w:rPr>
          <w:rFonts w:hint="eastAsia" w:ascii="宋体" w:hAnsi="宋体" w:eastAsia="宋体" w:cs="宋体"/>
          <w:color w:val="auto"/>
          <w:spacing w:val="10"/>
          <w:sz w:val="20"/>
          <w:szCs w:val="20"/>
          <w:lang w:eastAsia="zh-CN"/>
        </w:rPr>
        <w:t>（</w:t>
      </w:r>
      <w:r>
        <w:rPr>
          <w:rFonts w:hint="eastAsia" w:ascii="宋体" w:hAnsi="宋体" w:eastAsia="宋体" w:cs="宋体"/>
          <w:color w:val="auto"/>
          <w:spacing w:val="10"/>
          <w:sz w:val="20"/>
          <w:szCs w:val="20"/>
          <w:lang w:val="en-US" w:eastAsia="zh-CN"/>
        </w:rPr>
        <w:t>二</w:t>
      </w:r>
      <w:r>
        <w:rPr>
          <w:rFonts w:hint="eastAsia" w:ascii="宋体" w:hAnsi="宋体" w:eastAsia="宋体" w:cs="宋体"/>
          <w:color w:val="auto"/>
          <w:spacing w:val="10"/>
          <w:sz w:val="20"/>
          <w:szCs w:val="20"/>
          <w:lang w:eastAsia="zh-CN"/>
        </w:rPr>
        <w:t>）</w:t>
      </w:r>
      <w:r>
        <w:rPr>
          <w:rFonts w:ascii="宋体" w:hAnsi="宋体" w:eastAsia="宋体" w:cs="宋体"/>
          <w:color w:val="auto"/>
          <w:spacing w:val="10"/>
          <w:sz w:val="20"/>
          <w:szCs w:val="20"/>
        </w:rPr>
        <w:t>。</w:t>
      </w:r>
    </w:p>
    <w:p w14:paraId="443FA356">
      <w:pPr>
        <w:spacing w:before="164" w:line="352" w:lineRule="auto"/>
        <w:ind w:firstLine="423"/>
        <w:rPr>
          <w:rFonts w:ascii="宋体" w:hAnsi="宋体" w:eastAsia="宋体" w:cs="宋体"/>
          <w:color w:val="auto"/>
          <w:spacing w:val="10"/>
          <w:sz w:val="20"/>
          <w:szCs w:val="20"/>
        </w:rPr>
      </w:pPr>
      <w:r>
        <w:rPr>
          <w:rFonts w:ascii="宋体" w:hAnsi="宋体" w:eastAsia="宋体" w:cs="宋体"/>
          <w:color w:val="auto"/>
          <w:spacing w:val="10"/>
          <w:sz w:val="20"/>
          <w:szCs w:val="20"/>
        </w:rPr>
        <w:t>3.评审程序</w:t>
      </w:r>
    </w:p>
    <w:p w14:paraId="34E74C7F">
      <w:pPr>
        <w:spacing w:before="161" w:line="228" w:lineRule="auto"/>
        <w:ind w:left="5"/>
        <w:rPr>
          <w:rFonts w:ascii="宋体" w:hAnsi="宋体" w:eastAsia="宋体" w:cs="宋体"/>
          <w:color w:val="auto"/>
          <w:sz w:val="20"/>
          <w:szCs w:val="20"/>
        </w:rPr>
      </w:pPr>
      <w:r>
        <w:rPr>
          <w:rFonts w:ascii="宋体" w:hAnsi="宋体" w:eastAsia="宋体" w:cs="宋体"/>
          <w:b/>
          <w:bCs/>
          <w:color w:val="auto"/>
          <w:spacing w:val="4"/>
          <w:sz w:val="20"/>
          <w:szCs w:val="20"/>
        </w:rPr>
        <w:t>3.1初步评审</w:t>
      </w:r>
    </w:p>
    <w:p w14:paraId="22BE00DD">
      <w:pPr>
        <w:spacing w:before="136" w:line="352" w:lineRule="auto"/>
        <w:ind w:left="1" w:firstLine="423"/>
        <w:jc w:val="both"/>
        <w:rPr>
          <w:rFonts w:ascii="宋体" w:hAnsi="宋体" w:eastAsia="宋体" w:cs="宋体"/>
          <w:color w:val="auto"/>
          <w:sz w:val="20"/>
          <w:szCs w:val="20"/>
        </w:rPr>
      </w:pPr>
      <w:r>
        <w:rPr>
          <w:rFonts w:ascii="宋体" w:hAnsi="宋体" w:eastAsia="宋体" w:cs="宋体"/>
          <w:color w:val="auto"/>
          <w:spacing w:val="8"/>
          <w:sz w:val="20"/>
          <w:szCs w:val="20"/>
        </w:rPr>
        <w:t>3.1.1磋商小组可以要求供应商提交第二章“供</w:t>
      </w:r>
      <w:r>
        <w:rPr>
          <w:rFonts w:ascii="宋体" w:hAnsi="宋体" w:eastAsia="宋体" w:cs="宋体"/>
          <w:color w:val="auto"/>
          <w:spacing w:val="7"/>
          <w:sz w:val="20"/>
          <w:szCs w:val="20"/>
        </w:rPr>
        <w:t>应商须知”规定的有关证明和证件的原件，以</w:t>
      </w:r>
      <w:r>
        <w:rPr>
          <w:rFonts w:ascii="宋体" w:hAnsi="宋体" w:eastAsia="宋体" w:cs="宋体"/>
          <w:color w:val="auto"/>
          <w:spacing w:val="9"/>
          <w:sz w:val="20"/>
          <w:szCs w:val="20"/>
        </w:rPr>
        <w:t>便核验。磋商小组依据本章第2.1款规定的标准对竞蹉响应文件进行初步评审。有一项不符合评审</w:t>
      </w:r>
      <w:r>
        <w:rPr>
          <w:rFonts w:ascii="宋体" w:hAnsi="宋体" w:eastAsia="宋体" w:cs="宋体"/>
          <w:color w:val="auto"/>
          <w:spacing w:val="8"/>
          <w:sz w:val="20"/>
          <w:szCs w:val="20"/>
        </w:rPr>
        <w:t>标准的，磋商小组应当否决其响应文件。</w:t>
      </w:r>
    </w:p>
    <w:p w14:paraId="43A50A4A">
      <w:pPr>
        <w:spacing w:line="352" w:lineRule="auto"/>
        <w:ind w:left="5" w:firstLine="414"/>
        <w:rPr>
          <w:rFonts w:ascii="宋体" w:hAnsi="宋体" w:eastAsia="宋体" w:cs="宋体"/>
          <w:color w:val="auto"/>
          <w:sz w:val="20"/>
          <w:szCs w:val="20"/>
        </w:rPr>
      </w:pPr>
      <w:r>
        <w:rPr>
          <w:rFonts w:ascii="宋体" w:hAnsi="宋体" w:eastAsia="宋体" w:cs="宋体"/>
          <w:color w:val="auto"/>
          <w:spacing w:val="10"/>
          <w:sz w:val="20"/>
          <w:szCs w:val="20"/>
        </w:rPr>
        <w:t>初步评审阶段，采购人或者采购代理机构首先应当依法对供应商的资格进行审查，并将审查结</w:t>
      </w:r>
      <w:r>
        <w:rPr>
          <w:rFonts w:ascii="宋体" w:hAnsi="宋体" w:eastAsia="宋体" w:cs="宋体"/>
          <w:color w:val="auto"/>
          <w:spacing w:val="9"/>
          <w:sz w:val="20"/>
          <w:szCs w:val="20"/>
        </w:rPr>
        <w:t>果提交给评审小组；评审小组依据本章初步评审记录表规定的标准对响应文件进行初步评审。</w:t>
      </w:r>
    </w:p>
    <w:p w14:paraId="1A298AF7">
      <w:pPr>
        <w:spacing w:before="1" w:line="226" w:lineRule="auto"/>
        <w:ind w:left="5"/>
        <w:rPr>
          <w:rFonts w:ascii="宋体" w:hAnsi="宋体" w:eastAsia="宋体" w:cs="宋体"/>
          <w:color w:val="auto"/>
          <w:sz w:val="20"/>
          <w:szCs w:val="20"/>
        </w:rPr>
      </w:pPr>
      <w:r>
        <w:rPr>
          <w:rFonts w:ascii="宋体" w:hAnsi="宋体" w:eastAsia="宋体" w:cs="宋体"/>
          <w:color w:val="auto"/>
          <w:spacing w:val="8"/>
          <w:sz w:val="20"/>
          <w:szCs w:val="20"/>
        </w:rPr>
        <w:t>3.1.2供应商有以下情形之一的，磋商小组应当否决其响应文件：</w:t>
      </w:r>
    </w:p>
    <w:p w14:paraId="3435BDA3">
      <w:pPr>
        <w:spacing w:before="134" w:line="226" w:lineRule="auto"/>
        <w:ind w:left="430"/>
        <w:rPr>
          <w:rFonts w:ascii="宋体" w:hAnsi="宋体" w:eastAsia="宋体" w:cs="宋体"/>
          <w:color w:val="auto"/>
          <w:sz w:val="20"/>
          <w:szCs w:val="20"/>
        </w:rPr>
      </w:pPr>
      <w:r>
        <w:rPr>
          <w:rFonts w:ascii="宋体" w:hAnsi="宋体" w:eastAsia="宋体" w:cs="宋体"/>
          <w:color w:val="auto"/>
          <w:spacing w:val="8"/>
          <w:sz w:val="20"/>
          <w:szCs w:val="20"/>
        </w:rPr>
        <w:t>（1）串通报价或弄虚作假或有其他违法行为的；</w:t>
      </w:r>
    </w:p>
    <w:p w14:paraId="116D286F">
      <w:pPr>
        <w:spacing w:before="136" w:line="228" w:lineRule="auto"/>
        <w:ind w:left="430"/>
        <w:rPr>
          <w:rFonts w:ascii="宋体" w:hAnsi="宋体" w:eastAsia="宋体" w:cs="宋体"/>
          <w:color w:val="auto"/>
          <w:sz w:val="20"/>
          <w:szCs w:val="20"/>
        </w:rPr>
      </w:pPr>
      <w:r>
        <w:rPr>
          <w:rFonts w:ascii="宋体" w:hAnsi="宋体" w:eastAsia="宋体" w:cs="宋体"/>
          <w:color w:val="auto"/>
          <w:spacing w:val="8"/>
          <w:sz w:val="20"/>
          <w:szCs w:val="20"/>
        </w:rPr>
        <w:t>（2）不按磋商小组要求澄清、说明或补正的。</w:t>
      </w:r>
    </w:p>
    <w:p w14:paraId="358F9D6A">
      <w:pPr>
        <w:spacing w:line="228" w:lineRule="auto"/>
        <w:rPr>
          <w:rFonts w:ascii="宋体" w:hAnsi="宋体" w:eastAsia="宋体" w:cs="宋体"/>
          <w:color w:val="auto"/>
          <w:sz w:val="20"/>
          <w:szCs w:val="20"/>
        </w:rPr>
        <w:sectPr>
          <w:footerReference r:id="rId7" w:type="default"/>
          <w:pgSz w:w="11906" w:h="16839"/>
          <w:pgMar w:top="1431" w:right="1165" w:bottom="1018" w:left="1708" w:header="0" w:footer="852" w:gutter="0"/>
          <w:pgNumType w:fmt="decimal"/>
          <w:cols w:space="720" w:num="1"/>
        </w:sectPr>
      </w:pPr>
    </w:p>
    <w:p w14:paraId="70539300">
      <w:pPr>
        <w:spacing w:before="42" w:line="352" w:lineRule="auto"/>
        <w:ind w:firstLine="4"/>
        <w:rPr>
          <w:rFonts w:ascii="宋体" w:hAnsi="宋体" w:eastAsia="宋体" w:cs="宋体"/>
          <w:color w:val="auto"/>
          <w:sz w:val="20"/>
          <w:szCs w:val="20"/>
        </w:rPr>
      </w:pPr>
      <w:r>
        <w:rPr>
          <w:rFonts w:ascii="宋体" w:hAnsi="宋体" w:eastAsia="宋体" w:cs="宋体"/>
          <w:color w:val="auto"/>
          <w:spacing w:val="10"/>
          <w:sz w:val="20"/>
          <w:szCs w:val="20"/>
        </w:rPr>
        <w:t>3.1.3磋商报价有算术错误的，磋商小组按以下原则对报价进行修正，修正的价格经供应商书面确</w:t>
      </w:r>
      <w:r>
        <w:rPr>
          <w:rFonts w:ascii="宋体" w:hAnsi="宋体" w:eastAsia="宋体" w:cs="宋体"/>
          <w:color w:val="auto"/>
          <w:spacing w:val="9"/>
          <w:sz w:val="20"/>
          <w:szCs w:val="20"/>
        </w:rPr>
        <w:t>认后具有约束力。供应商不接受修正价格的，磋商小组应当否决其响应文件。</w:t>
      </w:r>
    </w:p>
    <w:p w14:paraId="04F7F1CD">
      <w:pPr>
        <w:spacing w:line="227" w:lineRule="auto"/>
        <w:ind w:left="430"/>
        <w:rPr>
          <w:rFonts w:ascii="宋体" w:hAnsi="宋体" w:eastAsia="宋体" w:cs="宋体"/>
          <w:color w:val="auto"/>
          <w:sz w:val="20"/>
          <w:szCs w:val="20"/>
        </w:rPr>
      </w:pPr>
      <w:r>
        <w:rPr>
          <w:rFonts w:ascii="宋体" w:hAnsi="宋体" w:eastAsia="宋体" w:cs="宋体"/>
          <w:color w:val="auto"/>
          <w:spacing w:val="9"/>
          <w:sz w:val="20"/>
          <w:szCs w:val="20"/>
        </w:rPr>
        <w:t>（1）响应文件中的大写金额与小写金额不一致的，以</w:t>
      </w:r>
      <w:r>
        <w:rPr>
          <w:rFonts w:ascii="宋体" w:hAnsi="宋体" w:eastAsia="宋体" w:cs="宋体"/>
          <w:color w:val="auto"/>
          <w:spacing w:val="8"/>
          <w:sz w:val="20"/>
          <w:szCs w:val="20"/>
        </w:rPr>
        <w:t>大写金额为准；</w:t>
      </w:r>
    </w:p>
    <w:p w14:paraId="45909E61">
      <w:pPr>
        <w:spacing w:before="134" w:line="290" w:lineRule="auto"/>
        <w:ind w:left="11" w:right="2" w:firstLine="419"/>
        <w:rPr>
          <w:rFonts w:ascii="宋体" w:hAnsi="宋体" w:eastAsia="宋体" w:cs="宋体"/>
          <w:color w:val="auto"/>
          <w:sz w:val="20"/>
          <w:szCs w:val="20"/>
        </w:rPr>
      </w:pPr>
      <w:r>
        <w:rPr>
          <w:rFonts w:ascii="宋体" w:hAnsi="宋体" w:eastAsia="宋体" w:cs="宋体"/>
          <w:color w:val="auto"/>
          <w:spacing w:val="7"/>
          <w:sz w:val="20"/>
          <w:szCs w:val="20"/>
        </w:rPr>
        <w:t>（2）总价金额与依据单价计算出的结果不一致的，以单价金额为准修正总价，但单价金额小数点有明显错误的除外。</w:t>
      </w:r>
    </w:p>
    <w:p w14:paraId="67D5101F">
      <w:pPr>
        <w:spacing w:before="132" w:line="228" w:lineRule="auto"/>
        <w:ind w:left="5"/>
        <w:rPr>
          <w:rFonts w:ascii="宋体" w:hAnsi="宋体" w:eastAsia="宋体" w:cs="宋体"/>
          <w:color w:val="auto"/>
          <w:sz w:val="20"/>
          <w:szCs w:val="20"/>
        </w:rPr>
      </w:pPr>
      <w:r>
        <w:rPr>
          <w:rFonts w:ascii="宋体" w:hAnsi="宋体" w:eastAsia="宋体" w:cs="宋体"/>
          <w:b/>
          <w:bCs/>
          <w:color w:val="auto"/>
          <w:spacing w:val="2"/>
          <w:sz w:val="20"/>
          <w:szCs w:val="20"/>
        </w:rPr>
        <w:t>3.2详细评审</w:t>
      </w:r>
    </w:p>
    <w:p w14:paraId="01422B13">
      <w:pPr>
        <w:spacing w:before="135" w:line="226" w:lineRule="auto"/>
        <w:ind w:left="425"/>
        <w:rPr>
          <w:rFonts w:ascii="宋体" w:hAnsi="宋体" w:eastAsia="宋体" w:cs="宋体"/>
          <w:color w:val="auto"/>
          <w:sz w:val="20"/>
          <w:szCs w:val="20"/>
        </w:rPr>
      </w:pPr>
      <w:r>
        <w:rPr>
          <w:rFonts w:ascii="宋体" w:hAnsi="宋体" w:eastAsia="宋体" w:cs="宋体"/>
          <w:color w:val="auto"/>
          <w:spacing w:val="8"/>
          <w:sz w:val="20"/>
          <w:szCs w:val="20"/>
        </w:rPr>
        <w:t>3.2.1磋商小组按本章第2.2款规定的量化因素和分值进行打分，并计算出综</w:t>
      </w:r>
      <w:r>
        <w:rPr>
          <w:rFonts w:ascii="宋体" w:hAnsi="宋体" w:eastAsia="宋体" w:cs="宋体"/>
          <w:color w:val="auto"/>
          <w:spacing w:val="7"/>
          <w:sz w:val="20"/>
          <w:szCs w:val="20"/>
        </w:rPr>
        <w:t>合评估得分。</w:t>
      </w:r>
    </w:p>
    <w:p w14:paraId="2C6FD1EB">
      <w:pPr>
        <w:spacing w:before="136" w:line="227" w:lineRule="auto"/>
        <w:ind w:left="430"/>
        <w:rPr>
          <w:rFonts w:ascii="宋体" w:hAnsi="宋体" w:eastAsia="宋体" w:cs="宋体"/>
          <w:color w:val="auto"/>
          <w:sz w:val="20"/>
          <w:szCs w:val="20"/>
        </w:rPr>
      </w:pPr>
      <w:r>
        <w:rPr>
          <w:rFonts w:ascii="宋体" w:hAnsi="宋体" w:eastAsia="宋体" w:cs="宋体"/>
          <w:color w:val="auto"/>
          <w:spacing w:val="8"/>
          <w:sz w:val="20"/>
          <w:szCs w:val="20"/>
        </w:rPr>
        <w:t>（1）按本章第2.2.3（1）目规定的评审因素和分值对施工组织设</w:t>
      </w:r>
      <w:r>
        <w:rPr>
          <w:rFonts w:ascii="宋体" w:hAnsi="宋体" w:eastAsia="宋体" w:cs="宋体"/>
          <w:color w:val="auto"/>
          <w:spacing w:val="7"/>
          <w:sz w:val="20"/>
          <w:szCs w:val="20"/>
        </w:rPr>
        <w:t>计计算出得分A；</w:t>
      </w:r>
    </w:p>
    <w:p w14:paraId="10DEFD6E">
      <w:pPr>
        <w:spacing w:before="136" w:line="227" w:lineRule="auto"/>
        <w:ind w:left="430"/>
        <w:rPr>
          <w:rFonts w:ascii="宋体" w:hAnsi="宋体" w:eastAsia="宋体" w:cs="宋体"/>
          <w:color w:val="auto"/>
          <w:sz w:val="20"/>
          <w:szCs w:val="20"/>
        </w:rPr>
      </w:pPr>
      <w:r>
        <w:rPr>
          <w:rFonts w:ascii="宋体" w:hAnsi="宋体" w:eastAsia="宋体" w:cs="宋体"/>
          <w:color w:val="auto"/>
          <w:spacing w:val="8"/>
          <w:sz w:val="20"/>
          <w:szCs w:val="20"/>
        </w:rPr>
        <w:t>（2）按本章第2.2.3（2）目规定的评审因素和分值对项目管理机</w:t>
      </w:r>
      <w:r>
        <w:rPr>
          <w:rFonts w:ascii="宋体" w:hAnsi="宋体" w:eastAsia="宋体" w:cs="宋体"/>
          <w:color w:val="auto"/>
          <w:spacing w:val="7"/>
          <w:sz w:val="20"/>
          <w:szCs w:val="20"/>
        </w:rPr>
        <w:t>构计算出得分B；</w:t>
      </w:r>
    </w:p>
    <w:p w14:paraId="11BC176C">
      <w:pPr>
        <w:spacing w:before="136" w:line="226" w:lineRule="auto"/>
        <w:ind w:left="430"/>
        <w:rPr>
          <w:rFonts w:ascii="宋体" w:hAnsi="宋体" w:eastAsia="宋体" w:cs="宋体"/>
          <w:color w:val="auto"/>
          <w:sz w:val="20"/>
          <w:szCs w:val="20"/>
        </w:rPr>
      </w:pPr>
      <w:r>
        <w:rPr>
          <w:rFonts w:ascii="宋体" w:hAnsi="宋体" w:eastAsia="宋体" w:cs="宋体"/>
          <w:color w:val="auto"/>
          <w:spacing w:val="6"/>
          <w:sz w:val="20"/>
          <w:szCs w:val="20"/>
        </w:rPr>
        <w:t>（3）按本章第2.2.3（3）目规定的评审因素和分值对报价计算</w:t>
      </w:r>
      <w:r>
        <w:rPr>
          <w:rFonts w:ascii="宋体" w:hAnsi="宋体" w:eastAsia="宋体" w:cs="宋体"/>
          <w:color w:val="auto"/>
          <w:spacing w:val="5"/>
          <w:sz w:val="20"/>
          <w:szCs w:val="20"/>
        </w:rPr>
        <w:t>出得分C；</w:t>
      </w:r>
    </w:p>
    <w:p w14:paraId="0E67FD31">
      <w:pPr>
        <w:spacing w:before="136" w:line="227" w:lineRule="auto"/>
        <w:ind w:left="430"/>
        <w:rPr>
          <w:rFonts w:ascii="宋体" w:hAnsi="宋体" w:eastAsia="宋体" w:cs="宋体"/>
          <w:color w:val="auto"/>
          <w:sz w:val="20"/>
          <w:szCs w:val="20"/>
        </w:rPr>
      </w:pPr>
      <w:r>
        <w:rPr>
          <w:rFonts w:ascii="宋体" w:hAnsi="宋体" w:eastAsia="宋体" w:cs="宋体"/>
          <w:color w:val="auto"/>
          <w:spacing w:val="6"/>
          <w:sz w:val="20"/>
          <w:szCs w:val="20"/>
        </w:rPr>
        <w:t>（4）按本章第2.2.3（4）目规定的评审因素和分值对其他部分计算出得分D。</w:t>
      </w:r>
    </w:p>
    <w:p w14:paraId="7F6FDF6F">
      <w:pPr>
        <w:spacing w:before="136" w:line="228" w:lineRule="auto"/>
        <w:ind w:left="425"/>
        <w:rPr>
          <w:rFonts w:ascii="宋体" w:hAnsi="宋体" w:eastAsia="宋体" w:cs="宋体"/>
          <w:color w:val="auto"/>
          <w:sz w:val="20"/>
          <w:szCs w:val="20"/>
        </w:rPr>
      </w:pPr>
      <w:r>
        <w:rPr>
          <w:rFonts w:ascii="宋体" w:hAnsi="宋体" w:eastAsia="宋体" w:cs="宋体"/>
          <w:color w:val="auto"/>
          <w:spacing w:val="8"/>
          <w:sz w:val="20"/>
          <w:szCs w:val="20"/>
        </w:rPr>
        <w:t>3.2.2评分分值计算保留小数点后两</w:t>
      </w:r>
      <w:r>
        <w:rPr>
          <w:rFonts w:ascii="宋体" w:hAnsi="宋体" w:eastAsia="宋体" w:cs="宋体"/>
          <w:color w:val="auto"/>
          <w:spacing w:val="7"/>
          <w:sz w:val="20"/>
          <w:szCs w:val="20"/>
        </w:rPr>
        <w:t>位，小数点后第三位“四舍五入”。</w:t>
      </w:r>
    </w:p>
    <w:p w14:paraId="41A18E0F">
      <w:pPr>
        <w:spacing w:before="134" w:line="228" w:lineRule="auto"/>
        <w:ind w:left="425"/>
        <w:rPr>
          <w:rFonts w:ascii="宋体" w:hAnsi="宋体" w:eastAsia="宋体" w:cs="宋体"/>
          <w:color w:val="auto"/>
          <w:sz w:val="20"/>
          <w:szCs w:val="20"/>
        </w:rPr>
      </w:pPr>
      <w:r>
        <w:rPr>
          <w:rFonts w:ascii="宋体" w:hAnsi="宋体" w:eastAsia="宋体" w:cs="宋体"/>
          <w:color w:val="auto"/>
          <w:spacing w:val="4"/>
          <w:sz w:val="20"/>
          <w:szCs w:val="20"/>
        </w:rPr>
        <w:t>3.2.3得分汇总E=A+B+C+D。</w:t>
      </w:r>
    </w:p>
    <w:p w14:paraId="711DA3F2">
      <w:pPr>
        <w:spacing w:before="133" w:line="227" w:lineRule="auto"/>
        <w:ind w:left="425"/>
        <w:rPr>
          <w:rFonts w:ascii="宋体" w:hAnsi="宋体" w:eastAsia="宋体" w:cs="宋体"/>
          <w:color w:val="auto"/>
          <w:sz w:val="20"/>
          <w:szCs w:val="20"/>
        </w:rPr>
      </w:pPr>
      <w:r>
        <w:rPr>
          <w:rFonts w:ascii="宋体" w:hAnsi="宋体" w:eastAsia="宋体" w:cs="宋体"/>
          <w:color w:val="auto"/>
          <w:spacing w:val="5"/>
          <w:sz w:val="20"/>
          <w:szCs w:val="20"/>
        </w:rPr>
        <w:t>3.2.4供应商得分E=（E1+E2+E3）/3</w:t>
      </w:r>
    </w:p>
    <w:p w14:paraId="4B5F4935">
      <w:pPr>
        <w:spacing w:before="136" w:line="321" w:lineRule="auto"/>
        <w:ind w:left="1" w:firstLine="423"/>
        <w:rPr>
          <w:rFonts w:ascii="宋体" w:hAnsi="宋体" w:eastAsia="宋体" w:cs="宋体"/>
          <w:color w:val="auto"/>
          <w:sz w:val="20"/>
          <w:szCs w:val="20"/>
        </w:rPr>
      </w:pPr>
      <w:r>
        <w:rPr>
          <w:rFonts w:ascii="宋体" w:hAnsi="宋体" w:eastAsia="宋体" w:cs="宋体"/>
          <w:color w:val="auto"/>
          <w:spacing w:val="9"/>
          <w:sz w:val="20"/>
          <w:szCs w:val="20"/>
        </w:rPr>
        <w:t>3.2.5磋商小组发现供应商的报价明显低于其他报价，或者在设有标底时明显低于标底，使得</w:t>
      </w:r>
      <w:r>
        <w:rPr>
          <w:rFonts w:ascii="宋体" w:hAnsi="宋体" w:eastAsia="宋体" w:cs="宋体"/>
          <w:color w:val="auto"/>
          <w:spacing w:val="10"/>
          <w:sz w:val="20"/>
          <w:szCs w:val="20"/>
        </w:rPr>
        <w:t>其报价可能低于其个别成本的，应当要求该供应商作出书面说明并提供相应的证明材料。供应</w:t>
      </w:r>
      <w:r>
        <w:rPr>
          <w:rFonts w:ascii="宋体" w:hAnsi="宋体" w:eastAsia="宋体" w:cs="宋体"/>
          <w:color w:val="auto"/>
          <w:spacing w:val="9"/>
          <w:sz w:val="20"/>
          <w:szCs w:val="20"/>
        </w:rPr>
        <w:t>商不</w:t>
      </w:r>
      <w:r>
        <w:rPr>
          <w:rFonts w:ascii="宋体" w:hAnsi="宋体" w:eastAsia="宋体" w:cs="宋体"/>
          <w:color w:val="auto"/>
          <w:spacing w:val="10"/>
          <w:sz w:val="20"/>
          <w:szCs w:val="20"/>
        </w:rPr>
        <w:t>能合理说明或者不能提供相应证明材料的，磋商小组应当认定该供应商以低于成本报价竞标，</w:t>
      </w:r>
      <w:r>
        <w:rPr>
          <w:rFonts w:ascii="宋体" w:hAnsi="宋体" w:eastAsia="宋体" w:cs="宋体"/>
          <w:color w:val="auto"/>
          <w:spacing w:val="9"/>
          <w:sz w:val="20"/>
          <w:szCs w:val="20"/>
        </w:rPr>
        <w:t>否决</w:t>
      </w:r>
      <w:r>
        <w:rPr>
          <w:rFonts w:ascii="宋体" w:hAnsi="宋体" w:eastAsia="宋体" w:cs="宋体"/>
          <w:color w:val="auto"/>
          <w:spacing w:val="6"/>
          <w:sz w:val="20"/>
          <w:szCs w:val="20"/>
        </w:rPr>
        <w:t>其响应文件。</w:t>
      </w:r>
    </w:p>
    <w:p w14:paraId="2C1334FC">
      <w:pPr>
        <w:spacing w:before="135" w:line="228" w:lineRule="auto"/>
        <w:ind w:left="5"/>
        <w:rPr>
          <w:rFonts w:ascii="宋体" w:hAnsi="宋体" w:eastAsia="宋体" w:cs="宋体"/>
          <w:color w:val="auto"/>
          <w:sz w:val="20"/>
          <w:szCs w:val="20"/>
        </w:rPr>
      </w:pPr>
      <w:r>
        <w:rPr>
          <w:rFonts w:ascii="宋体" w:hAnsi="宋体" w:eastAsia="宋体" w:cs="宋体"/>
          <w:b/>
          <w:bCs/>
          <w:color w:val="auto"/>
          <w:spacing w:val="6"/>
          <w:sz w:val="20"/>
          <w:szCs w:val="20"/>
        </w:rPr>
        <w:t>3.3响应文件的澄清和补正</w:t>
      </w:r>
    </w:p>
    <w:p w14:paraId="3D7EA63B">
      <w:pPr>
        <w:spacing w:before="136" w:line="314" w:lineRule="auto"/>
        <w:ind w:left="4" w:firstLine="420"/>
        <w:rPr>
          <w:rFonts w:ascii="宋体" w:hAnsi="宋体" w:eastAsia="宋体" w:cs="宋体"/>
          <w:color w:val="auto"/>
          <w:sz w:val="20"/>
          <w:szCs w:val="20"/>
        </w:rPr>
      </w:pPr>
      <w:r>
        <w:rPr>
          <w:rFonts w:ascii="宋体" w:hAnsi="宋体" w:eastAsia="宋体" w:cs="宋体"/>
          <w:color w:val="auto"/>
          <w:spacing w:val="10"/>
          <w:sz w:val="20"/>
          <w:szCs w:val="20"/>
        </w:rPr>
        <w:t>3.3.1在评审过程中，磋商小组可以书面形式要求供应商对所提交响应文件中不明确的内容进行书面澄清或说明，或者对细微偏差进行补正。磋商小组不接受供应商主动提出的澄清</w:t>
      </w:r>
      <w:r>
        <w:rPr>
          <w:rFonts w:ascii="宋体" w:hAnsi="宋体" w:eastAsia="宋体" w:cs="宋体"/>
          <w:color w:val="auto"/>
          <w:spacing w:val="9"/>
          <w:sz w:val="20"/>
          <w:szCs w:val="20"/>
        </w:rPr>
        <w:t>、说明或补</w:t>
      </w:r>
      <w:r>
        <w:rPr>
          <w:rFonts w:ascii="宋体" w:hAnsi="宋体" w:eastAsia="宋体" w:cs="宋体"/>
          <w:color w:val="auto"/>
          <w:spacing w:val="-2"/>
          <w:sz w:val="20"/>
          <w:szCs w:val="20"/>
        </w:rPr>
        <w:t>正。</w:t>
      </w:r>
    </w:p>
    <w:p w14:paraId="138AEDE0">
      <w:pPr>
        <w:spacing w:before="120" w:line="290" w:lineRule="auto"/>
        <w:ind w:left="4" w:firstLine="420"/>
        <w:rPr>
          <w:rFonts w:ascii="宋体" w:hAnsi="宋体" w:eastAsia="宋体" w:cs="宋体"/>
          <w:color w:val="auto"/>
          <w:sz w:val="20"/>
          <w:szCs w:val="20"/>
        </w:rPr>
      </w:pPr>
      <w:r>
        <w:rPr>
          <w:rFonts w:ascii="宋体" w:hAnsi="宋体" w:eastAsia="宋体" w:cs="宋体"/>
          <w:color w:val="auto"/>
          <w:spacing w:val="9"/>
          <w:sz w:val="20"/>
          <w:szCs w:val="20"/>
        </w:rPr>
        <w:t>3.3.2澄清、说明和补正不得改变响应文件的实质性内容。供应商的书面澄清、说明和补正属</w:t>
      </w:r>
      <w:r>
        <w:rPr>
          <w:rFonts w:ascii="宋体" w:hAnsi="宋体" w:eastAsia="宋体" w:cs="宋体"/>
          <w:color w:val="auto"/>
          <w:spacing w:val="7"/>
          <w:sz w:val="20"/>
          <w:szCs w:val="20"/>
        </w:rPr>
        <w:t>于响应文件的组成部分。</w:t>
      </w:r>
    </w:p>
    <w:p w14:paraId="0F03F7B9">
      <w:pPr>
        <w:spacing w:before="135" w:line="290" w:lineRule="auto"/>
        <w:ind w:left="20" w:firstLine="404"/>
        <w:rPr>
          <w:rFonts w:ascii="宋体" w:hAnsi="宋体" w:eastAsia="宋体" w:cs="宋体"/>
          <w:color w:val="auto"/>
          <w:sz w:val="20"/>
          <w:szCs w:val="20"/>
        </w:rPr>
      </w:pPr>
      <w:r>
        <w:rPr>
          <w:rFonts w:ascii="宋体" w:hAnsi="宋体" w:eastAsia="宋体" w:cs="宋体"/>
          <w:color w:val="auto"/>
          <w:spacing w:val="9"/>
          <w:sz w:val="20"/>
          <w:szCs w:val="20"/>
        </w:rPr>
        <w:t>3.3.3磋商小组对供应商提交的澄清、说明或补正有疑问的，可以要求供应商进一步澄清、说</w:t>
      </w:r>
      <w:r>
        <w:rPr>
          <w:rFonts w:ascii="宋体" w:hAnsi="宋体" w:eastAsia="宋体" w:cs="宋体"/>
          <w:color w:val="auto"/>
          <w:spacing w:val="7"/>
          <w:sz w:val="20"/>
          <w:szCs w:val="20"/>
        </w:rPr>
        <w:t>明或补正，直至满足磋商小组的要求。</w:t>
      </w:r>
    </w:p>
    <w:p w14:paraId="422DBF77">
      <w:pPr>
        <w:spacing w:before="136" w:line="228" w:lineRule="auto"/>
        <w:ind w:left="5"/>
        <w:rPr>
          <w:rFonts w:ascii="宋体" w:hAnsi="宋体" w:eastAsia="宋体" w:cs="宋体"/>
          <w:color w:val="auto"/>
          <w:sz w:val="20"/>
          <w:szCs w:val="20"/>
        </w:rPr>
      </w:pPr>
      <w:r>
        <w:rPr>
          <w:rFonts w:ascii="宋体" w:hAnsi="宋体" w:eastAsia="宋体" w:cs="宋体"/>
          <w:b/>
          <w:bCs/>
          <w:color w:val="auto"/>
          <w:spacing w:val="4"/>
          <w:sz w:val="20"/>
          <w:szCs w:val="20"/>
        </w:rPr>
        <w:t>3.4评审结果</w:t>
      </w:r>
    </w:p>
    <w:p w14:paraId="3E569D1D">
      <w:pPr>
        <w:spacing w:before="131" w:line="290" w:lineRule="auto"/>
        <w:ind w:firstLine="425"/>
        <w:rPr>
          <w:rFonts w:ascii="宋体" w:hAnsi="宋体" w:eastAsia="宋体" w:cs="宋体"/>
          <w:color w:val="auto"/>
          <w:sz w:val="20"/>
          <w:szCs w:val="20"/>
        </w:rPr>
      </w:pPr>
      <w:r>
        <w:rPr>
          <w:rFonts w:ascii="宋体" w:hAnsi="宋体" w:eastAsia="宋体" w:cs="宋体"/>
          <w:color w:val="auto"/>
          <w:spacing w:val="9"/>
          <w:sz w:val="20"/>
          <w:szCs w:val="20"/>
        </w:rPr>
        <w:t>3.4.1除第二章“供应商须知”前附表授权直接确定成交供应商外，磋商小组按照得分由高到</w:t>
      </w:r>
      <w:r>
        <w:rPr>
          <w:rFonts w:ascii="宋体" w:hAnsi="宋体" w:eastAsia="宋体" w:cs="宋体"/>
          <w:color w:val="auto"/>
          <w:spacing w:val="8"/>
          <w:sz w:val="20"/>
          <w:szCs w:val="20"/>
        </w:rPr>
        <w:t>低的顺序推荐成交候选人。</w:t>
      </w:r>
    </w:p>
    <w:p w14:paraId="3795F5BE">
      <w:pPr>
        <w:spacing w:before="136" w:line="226" w:lineRule="auto"/>
        <w:ind w:left="425"/>
        <w:rPr>
          <w:rFonts w:ascii="宋体" w:hAnsi="宋体" w:eastAsia="宋体" w:cs="宋体"/>
          <w:color w:val="auto"/>
          <w:sz w:val="20"/>
          <w:szCs w:val="20"/>
        </w:rPr>
      </w:pPr>
      <w:r>
        <w:rPr>
          <w:rFonts w:ascii="宋体" w:hAnsi="宋体" w:eastAsia="宋体" w:cs="宋体"/>
          <w:color w:val="auto"/>
          <w:spacing w:val="8"/>
          <w:sz w:val="20"/>
          <w:szCs w:val="20"/>
        </w:rPr>
        <w:t>3.4.2磋商小组完成评审后，应当向采购人提交书面评审报告。</w:t>
      </w:r>
    </w:p>
    <w:p w14:paraId="054AE2F8">
      <w:pPr>
        <w:spacing w:before="138" w:line="310" w:lineRule="auto"/>
        <w:ind w:left="3" w:firstLine="421"/>
        <w:rPr>
          <w:rFonts w:ascii="宋体" w:hAnsi="宋体" w:eastAsia="宋体" w:cs="宋体"/>
          <w:color w:val="auto"/>
          <w:sz w:val="20"/>
          <w:szCs w:val="20"/>
        </w:rPr>
      </w:pPr>
      <w:r>
        <w:rPr>
          <w:rFonts w:ascii="宋体" w:hAnsi="宋体" w:eastAsia="宋体" w:cs="宋体"/>
          <w:color w:val="auto"/>
          <w:spacing w:val="9"/>
          <w:sz w:val="20"/>
          <w:szCs w:val="20"/>
        </w:rPr>
        <w:t>3.4.3排名第一的成交候选人放弃成交资格、因不可抗力不能履行合同，响应文件提供虚假信</w:t>
      </w:r>
      <w:r>
        <w:rPr>
          <w:rFonts w:ascii="宋体" w:hAnsi="宋体" w:eastAsia="宋体" w:cs="宋体"/>
          <w:color w:val="auto"/>
          <w:spacing w:val="10"/>
          <w:sz w:val="20"/>
          <w:szCs w:val="20"/>
        </w:rPr>
        <w:t>息，或者被查实存在影响成交结果的违法行为等情形，不符合成交条件的，采购人可以按</w:t>
      </w:r>
      <w:r>
        <w:rPr>
          <w:rFonts w:ascii="宋体" w:hAnsi="宋体" w:eastAsia="宋体" w:cs="宋体"/>
          <w:color w:val="auto"/>
          <w:spacing w:val="9"/>
          <w:sz w:val="20"/>
          <w:szCs w:val="20"/>
        </w:rPr>
        <w:t>照磋商小组提出的成交候选人名单排序依次确定其他成交候选人为成交供应商，也可以重新采购。</w:t>
      </w:r>
    </w:p>
    <w:p w14:paraId="070052E8">
      <w:pPr>
        <w:spacing w:line="310" w:lineRule="auto"/>
        <w:rPr>
          <w:rFonts w:ascii="宋体" w:hAnsi="宋体" w:eastAsia="宋体" w:cs="宋体"/>
          <w:color w:val="auto"/>
          <w:sz w:val="20"/>
          <w:szCs w:val="20"/>
        </w:rPr>
        <w:sectPr>
          <w:footerReference r:id="rId8" w:type="default"/>
          <w:pgSz w:w="11906" w:h="16839"/>
          <w:pgMar w:top="1406" w:right="1166" w:bottom="1018" w:left="1708" w:header="0" w:footer="852" w:gutter="0"/>
          <w:pgNumType w:fmt="decimal"/>
          <w:cols w:space="720" w:num="1"/>
        </w:sectPr>
      </w:pPr>
    </w:p>
    <w:p w14:paraId="63801E6C">
      <w:pPr>
        <w:spacing w:before="41" w:line="227" w:lineRule="auto"/>
        <w:ind w:left="17"/>
        <w:rPr>
          <w:rFonts w:ascii="宋体" w:hAnsi="宋体" w:eastAsia="宋体" w:cs="宋体"/>
          <w:color w:val="auto"/>
          <w:sz w:val="20"/>
          <w:szCs w:val="20"/>
        </w:rPr>
      </w:pPr>
      <w:r>
        <w:rPr>
          <w:rFonts w:ascii="宋体" w:hAnsi="宋体" w:eastAsia="宋体" w:cs="宋体"/>
          <w:b/>
          <w:bCs/>
          <w:color w:val="auto"/>
          <w:spacing w:val="-4"/>
          <w:sz w:val="20"/>
          <w:szCs w:val="20"/>
        </w:rPr>
        <w:t>附件：</w:t>
      </w:r>
    </w:p>
    <w:p w14:paraId="5485863C">
      <w:pPr>
        <w:spacing w:before="146" w:line="219" w:lineRule="auto"/>
        <w:ind w:left="2273"/>
        <w:rPr>
          <w:rFonts w:ascii="宋体" w:hAnsi="宋体" w:eastAsia="宋体" w:cs="宋体"/>
          <w:color w:val="auto"/>
          <w:sz w:val="28"/>
          <w:szCs w:val="28"/>
        </w:rPr>
      </w:pPr>
      <w:r>
        <w:rPr>
          <w:rFonts w:ascii="宋体" w:hAnsi="宋体" w:eastAsia="宋体" w:cs="宋体"/>
          <w:b/>
          <w:bCs/>
          <w:color w:val="auto"/>
          <w:spacing w:val="-3"/>
          <w:sz w:val="28"/>
          <w:szCs w:val="28"/>
        </w:rPr>
        <w:t>政府采购促进中小企业发展管理办法</w:t>
      </w:r>
    </w:p>
    <w:p w14:paraId="1FA96C18">
      <w:pPr>
        <w:spacing w:before="129" w:line="228" w:lineRule="auto"/>
        <w:ind w:left="3650"/>
        <w:rPr>
          <w:rFonts w:ascii="宋体" w:hAnsi="宋体" w:eastAsia="宋体" w:cs="宋体"/>
          <w:color w:val="auto"/>
          <w:sz w:val="20"/>
          <w:szCs w:val="20"/>
        </w:rPr>
      </w:pPr>
      <w:r>
        <w:rPr>
          <w:rFonts w:ascii="宋体" w:hAnsi="宋体" w:eastAsia="宋体" w:cs="宋体"/>
          <w:b/>
          <w:bCs/>
          <w:color w:val="auto"/>
          <w:spacing w:val="4"/>
          <w:sz w:val="20"/>
          <w:szCs w:val="20"/>
        </w:rPr>
        <w:t>财库〔2020〕46号</w:t>
      </w:r>
    </w:p>
    <w:p w14:paraId="43610B65">
      <w:pPr>
        <w:spacing w:before="107" w:line="277" w:lineRule="auto"/>
        <w:ind w:right="56" w:firstLine="421"/>
        <w:rPr>
          <w:rFonts w:ascii="宋体" w:hAnsi="宋体" w:eastAsia="宋体" w:cs="宋体"/>
          <w:color w:val="auto"/>
          <w:sz w:val="20"/>
          <w:szCs w:val="20"/>
        </w:rPr>
      </w:pPr>
      <w:r>
        <w:rPr>
          <w:rFonts w:ascii="宋体" w:hAnsi="宋体" w:eastAsia="宋体" w:cs="宋体"/>
          <w:color w:val="auto"/>
          <w:spacing w:val="7"/>
          <w:sz w:val="20"/>
          <w:szCs w:val="20"/>
        </w:rPr>
        <w:t>第一条为了发挥政府采购的政策功能，促进中小企业健康发展，根据《中华人民共和国政府采</w:t>
      </w:r>
      <w:r>
        <w:rPr>
          <w:rFonts w:ascii="宋体" w:hAnsi="宋体" w:eastAsia="宋体" w:cs="宋体"/>
          <w:color w:val="auto"/>
          <w:spacing w:val="9"/>
          <w:sz w:val="20"/>
          <w:szCs w:val="20"/>
        </w:rPr>
        <w:t>购法》、《中华人民共和国中小企业促进法》等有关法律法规，制定本办法。</w:t>
      </w:r>
    </w:p>
    <w:p w14:paraId="405F3F7D">
      <w:pPr>
        <w:spacing w:before="106" w:line="294" w:lineRule="auto"/>
        <w:ind w:right="54" w:firstLine="420"/>
        <w:rPr>
          <w:rFonts w:ascii="宋体" w:hAnsi="宋体" w:eastAsia="宋体" w:cs="宋体"/>
          <w:color w:val="auto"/>
          <w:sz w:val="20"/>
          <w:szCs w:val="20"/>
        </w:rPr>
      </w:pPr>
      <w:r>
        <w:rPr>
          <w:rFonts w:ascii="宋体" w:hAnsi="宋体" w:eastAsia="宋体" w:cs="宋体"/>
          <w:color w:val="auto"/>
          <w:spacing w:val="7"/>
          <w:sz w:val="20"/>
          <w:szCs w:val="20"/>
        </w:rPr>
        <w:t>第二条本办法所称中小企业，是指在中华人民共和国境内依法设立，依据国务院批准的中小企</w:t>
      </w:r>
      <w:r>
        <w:rPr>
          <w:rFonts w:ascii="宋体" w:hAnsi="宋体" w:eastAsia="宋体" w:cs="宋体"/>
          <w:color w:val="auto"/>
          <w:spacing w:val="10"/>
          <w:sz w:val="20"/>
          <w:szCs w:val="20"/>
        </w:rPr>
        <w:t>业划分标准确定的中型企业、小型企业和微型企业，但与大企业的负责人为同一人，或者与大企业</w:t>
      </w:r>
      <w:r>
        <w:rPr>
          <w:rFonts w:ascii="宋体" w:hAnsi="宋体" w:eastAsia="宋体" w:cs="宋体"/>
          <w:color w:val="auto"/>
          <w:spacing w:val="8"/>
          <w:sz w:val="20"/>
          <w:szCs w:val="20"/>
        </w:rPr>
        <w:t>存在直接控股、管理关系的除外。</w:t>
      </w:r>
    </w:p>
    <w:p w14:paraId="17B6F576">
      <w:pPr>
        <w:spacing w:before="108"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符合中小企业划分标准的个体工商户，在政府采购活动中视同中小企业。</w:t>
      </w:r>
    </w:p>
    <w:p w14:paraId="0D6311A8">
      <w:pPr>
        <w:spacing w:before="108" w:line="277" w:lineRule="auto"/>
        <w:ind w:left="10" w:right="54" w:firstLine="411"/>
        <w:rPr>
          <w:rFonts w:ascii="宋体" w:hAnsi="宋体" w:eastAsia="宋体" w:cs="宋体"/>
          <w:color w:val="auto"/>
          <w:sz w:val="20"/>
          <w:szCs w:val="20"/>
        </w:rPr>
      </w:pPr>
      <w:r>
        <w:rPr>
          <w:rFonts w:ascii="宋体" w:hAnsi="宋体" w:eastAsia="宋体" w:cs="宋体"/>
          <w:color w:val="auto"/>
          <w:spacing w:val="7"/>
          <w:sz w:val="20"/>
          <w:szCs w:val="20"/>
        </w:rPr>
        <w:t>第三条采购人在政府采购活动中应当通过加强采购需求管理，落实预留采购份额、价格评审优</w:t>
      </w:r>
      <w:r>
        <w:rPr>
          <w:rFonts w:ascii="宋体" w:hAnsi="宋体" w:eastAsia="宋体" w:cs="宋体"/>
          <w:color w:val="auto"/>
          <w:spacing w:val="9"/>
          <w:sz w:val="20"/>
          <w:szCs w:val="20"/>
        </w:rPr>
        <w:t>惠、优先采购等措施，提高中小企业在政府采购中的份额，支持中小企业发展。</w:t>
      </w:r>
    </w:p>
    <w:p w14:paraId="239B9F66">
      <w:pPr>
        <w:spacing w:before="106" w:line="278" w:lineRule="auto"/>
        <w:ind w:left="6" w:right="56" w:firstLine="414"/>
        <w:rPr>
          <w:rFonts w:ascii="宋体" w:hAnsi="宋体" w:eastAsia="宋体" w:cs="宋体"/>
          <w:color w:val="auto"/>
          <w:sz w:val="20"/>
          <w:szCs w:val="20"/>
        </w:rPr>
      </w:pPr>
      <w:r>
        <w:rPr>
          <w:rFonts w:ascii="宋体" w:hAnsi="宋体" w:eastAsia="宋体" w:cs="宋体"/>
          <w:color w:val="auto"/>
          <w:spacing w:val="7"/>
          <w:sz w:val="20"/>
          <w:szCs w:val="20"/>
        </w:rPr>
        <w:t>第四条在政府采购活动中，供应商提供的货物、工程或者服务符合下列情形的，享受本办法规定的中小企业扶持政策：</w:t>
      </w:r>
    </w:p>
    <w:p w14:paraId="42A163DF">
      <w:pPr>
        <w:spacing w:before="107" w:line="278" w:lineRule="auto"/>
        <w:ind w:left="6" w:right="54" w:firstLine="425"/>
        <w:rPr>
          <w:rFonts w:ascii="宋体" w:hAnsi="宋体" w:eastAsia="宋体" w:cs="宋体"/>
          <w:color w:val="auto"/>
          <w:sz w:val="20"/>
          <w:szCs w:val="20"/>
        </w:rPr>
      </w:pPr>
      <w:r>
        <w:rPr>
          <w:rFonts w:ascii="宋体" w:hAnsi="宋体" w:eastAsia="宋体" w:cs="宋体"/>
          <w:color w:val="auto"/>
          <w:spacing w:val="10"/>
          <w:sz w:val="20"/>
          <w:szCs w:val="20"/>
        </w:rPr>
        <w:t>（一）在货物采购项目中，货物由中小企业制造，即货物由中小企</w:t>
      </w:r>
      <w:r>
        <w:rPr>
          <w:rFonts w:ascii="宋体" w:hAnsi="宋体" w:eastAsia="宋体" w:cs="宋体"/>
          <w:color w:val="auto"/>
          <w:spacing w:val="9"/>
          <w:sz w:val="20"/>
          <w:szCs w:val="20"/>
        </w:rPr>
        <w:t>业生产且使用该中小企业商</w:t>
      </w:r>
      <w:r>
        <w:rPr>
          <w:rFonts w:ascii="宋体" w:hAnsi="宋体" w:eastAsia="宋体" w:cs="宋体"/>
          <w:color w:val="auto"/>
          <w:spacing w:val="6"/>
          <w:sz w:val="20"/>
          <w:szCs w:val="20"/>
        </w:rPr>
        <w:t>号或者注册商标；</w:t>
      </w:r>
    </w:p>
    <w:p w14:paraId="3FE6ACD3">
      <w:pPr>
        <w:spacing w:before="105" w:line="227" w:lineRule="auto"/>
        <w:ind w:left="431"/>
        <w:rPr>
          <w:rFonts w:ascii="宋体" w:hAnsi="宋体" w:eastAsia="宋体" w:cs="宋体"/>
          <w:color w:val="auto"/>
          <w:sz w:val="20"/>
          <w:szCs w:val="20"/>
        </w:rPr>
      </w:pPr>
      <w:r>
        <w:rPr>
          <w:rFonts w:ascii="宋体" w:hAnsi="宋体" w:eastAsia="宋体" w:cs="宋体"/>
          <w:color w:val="auto"/>
          <w:spacing w:val="9"/>
          <w:sz w:val="20"/>
          <w:szCs w:val="20"/>
        </w:rPr>
        <w:t>（二）在工程采购项目中，工程由中小企业承建，即工程施工单位为中小企业；</w:t>
      </w:r>
    </w:p>
    <w:p w14:paraId="3AF2FB9B">
      <w:pPr>
        <w:spacing w:before="109" w:line="278" w:lineRule="auto"/>
        <w:ind w:left="22" w:right="54" w:firstLine="409"/>
        <w:rPr>
          <w:rFonts w:ascii="宋体" w:hAnsi="宋体" w:eastAsia="宋体" w:cs="宋体"/>
          <w:color w:val="auto"/>
          <w:sz w:val="20"/>
          <w:szCs w:val="20"/>
        </w:rPr>
      </w:pPr>
      <w:r>
        <w:rPr>
          <w:rFonts w:ascii="宋体" w:hAnsi="宋体" w:eastAsia="宋体" w:cs="宋体"/>
          <w:color w:val="auto"/>
          <w:spacing w:val="10"/>
          <w:sz w:val="20"/>
          <w:szCs w:val="20"/>
        </w:rPr>
        <w:t>（三）在服务采购项目中，服务由中小企业承接，即提供服务的人</w:t>
      </w:r>
      <w:r>
        <w:rPr>
          <w:rFonts w:ascii="宋体" w:hAnsi="宋体" w:eastAsia="宋体" w:cs="宋体"/>
          <w:color w:val="auto"/>
          <w:spacing w:val="9"/>
          <w:sz w:val="20"/>
          <w:szCs w:val="20"/>
        </w:rPr>
        <w:t>员为中小企业依照《中华人</w:t>
      </w:r>
      <w:r>
        <w:rPr>
          <w:rFonts w:ascii="宋体" w:hAnsi="宋体" w:eastAsia="宋体" w:cs="宋体"/>
          <w:color w:val="auto"/>
          <w:spacing w:val="8"/>
          <w:sz w:val="20"/>
          <w:szCs w:val="20"/>
        </w:rPr>
        <w:t>民共和国劳动合同法》订立劳动合同的从业人员。</w:t>
      </w:r>
    </w:p>
    <w:p w14:paraId="2A74B97C">
      <w:pPr>
        <w:spacing w:before="105" w:line="327" w:lineRule="auto"/>
        <w:ind w:left="2" w:right="54" w:firstLine="418"/>
        <w:rPr>
          <w:rFonts w:ascii="宋体" w:hAnsi="宋体" w:eastAsia="宋体" w:cs="宋体"/>
          <w:color w:val="auto"/>
          <w:sz w:val="20"/>
          <w:szCs w:val="20"/>
        </w:rPr>
      </w:pPr>
      <w:r>
        <w:rPr>
          <w:rFonts w:ascii="宋体" w:hAnsi="宋体" w:eastAsia="宋体" w:cs="宋体"/>
          <w:color w:val="auto"/>
          <w:spacing w:val="10"/>
          <w:sz w:val="20"/>
          <w:szCs w:val="20"/>
        </w:rPr>
        <w:t>在货物采购项目中，供应商提供的货物既有中小企业制造货物，也有大型企业制造货物的，不</w:t>
      </w:r>
      <w:r>
        <w:rPr>
          <w:rFonts w:ascii="宋体" w:hAnsi="宋体" w:eastAsia="宋体" w:cs="宋体"/>
          <w:color w:val="auto"/>
          <w:spacing w:val="8"/>
          <w:sz w:val="20"/>
          <w:szCs w:val="20"/>
        </w:rPr>
        <w:t>享受本办法规定的中小企业扶持政策。</w:t>
      </w:r>
    </w:p>
    <w:p w14:paraId="171A940F">
      <w:pPr>
        <w:spacing w:before="2" w:line="326" w:lineRule="auto"/>
        <w:ind w:left="2" w:right="105" w:firstLine="442"/>
        <w:rPr>
          <w:rFonts w:ascii="宋体" w:hAnsi="宋体" w:eastAsia="宋体" w:cs="宋体"/>
          <w:color w:val="auto"/>
          <w:sz w:val="20"/>
          <w:szCs w:val="20"/>
        </w:rPr>
      </w:pPr>
      <w:r>
        <w:rPr>
          <w:rFonts w:ascii="宋体" w:hAnsi="宋体" w:eastAsia="宋体" w:cs="宋体"/>
          <w:color w:val="auto"/>
          <w:spacing w:val="8"/>
          <w:sz w:val="20"/>
          <w:szCs w:val="20"/>
        </w:rPr>
        <w:t>以联合体形式参加政府采购活动，联合体各方均为中小企业的，联合体视同中小企业。其中，</w:t>
      </w:r>
      <w:r>
        <w:rPr>
          <w:rFonts w:ascii="宋体" w:hAnsi="宋体" w:eastAsia="宋体" w:cs="宋体"/>
          <w:color w:val="auto"/>
          <w:spacing w:val="9"/>
          <w:sz w:val="20"/>
          <w:szCs w:val="20"/>
        </w:rPr>
        <w:t>联合体各方均为小微企业的，联合体视同小微企业。</w:t>
      </w:r>
    </w:p>
    <w:p w14:paraId="0DACE1D6">
      <w:pPr>
        <w:spacing w:before="2" w:line="293" w:lineRule="auto"/>
        <w:ind w:left="1" w:right="54" w:firstLine="420"/>
        <w:rPr>
          <w:rFonts w:ascii="宋体" w:hAnsi="宋体" w:eastAsia="宋体" w:cs="宋体"/>
          <w:color w:val="auto"/>
          <w:sz w:val="20"/>
          <w:szCs w:val="20"/>
        </w:rPr>
      </w:pPr>
      <w:r>
        <w:rPr>
          <w:rFonts w:ascii="宋体" w:hAnsi="宋体" w:eastAsia="宋体" w:cs="宋体"/>
          <w:color w:val="auto"/>
          <w:spacing w:val="7"/>
          <w:sz w:val="20"/>
          <w:szCs w:val="20"/>
        </w:rPr>
        <w:t>第五条采购人在政府采购活动中应当合理确定采购项目的采购需求，不得以企业注册资本、资</w:t>
      </w:r>
      <w:r>
        <w:rPr>
          <w:rFonts w:ascii="宋体" w:hAnsi="宋体" w:eastAsia="宋体" w:cs="宋体"/>
          <w:color w:val="auto"/>
          <w:spacing w:val="10"/>
          <w:sz w:val="20"/>
          <w:szCs w:val="20"/>
        </w:rPr>
        <w:t>产总额、营业收入、从业人员、利润、纳税额等规模条件和财务指标作为供应商的资格要求或者评</w:t>
      </w:r>
      <w:r>
        <w:rPr>
          <w:rFonts w:ascii="宋体" w:hAnsi="宋体" w:eastAsia="宋体" w:cs="宋体"/>
          <w:color w:val="auto"/>
          <w:spacing w:val="9"/>
          <w:sz w:val="20"/>
          <w:szCs w:val="20"/>
        </w:rPr>
        <w:t>审因素，不得在企业股权结构、经营年限等方面对中小企业实行差别待遇或者歧视待遇。</w:t>
      </w:r>
    </w:p>
    <w:p w14:paraId="01B01711">
      <w:pPr>
        <w:spacing w:before="111" w:line="293" w:lineRule="auto"/>
        <w:ind w:left="5" w:right="54" w:firstLine="416"/>
        <w:rPr>
          <w:rFonts w:ascii="宋体" w:hAnsi="宋体" w:eastAsia="宋体" w:cs="宋体"/>
          <w:color w:val="auto"/>
          <w:sz w:val="20"/>
          <w:szCs w:val="20"/>
        </w:rPr>
      </w:pPr>
      <w:r>
        <w:rPr>
          <w:rFonts w:ascii="宋体" w:hAnsi="宋体" w:eastAsia="宋体" w:cs="宋体"/>
          <w:color w:val="auto"/>
          <w:spacing w:val="7"/>
          <w:sz w:val="20"/>
          <w:szCs w:val="20"/>
        </w:rPr>
        <w:t>第六条主管预算单位应当组织评估本部门及所属单位政府采购项目，统筹制定面向中小企业预</w:t>
      </w:r>
      <w:r>
        <w:rPr>
          <w:rFonts w:ascii="宋体" w:hAnsi="宋体" w:eastAsia="宋体" w:cs="宋体"/>
          <w:color w:val="auto"/>
          <w:spacing w:val="10"/>
          <w:sz w:val="20"/>
          <w:szCs w:val="20"/>
        </w:rPr>
        <w:t>留采购份额的具体方案，对适宜由中小企业提供的采购项目和采购包，预留采购份额专</w:t>
      </w:r>
      <w:r>
        <w:rPr>
          <w:rFonts w:ascii="宋体" w:hAnsi="宋体" w:eastAsia="宋体" w:cs="宋体"/>
          <w:color w:val="auto"/>
          <w:spacing w:val="9"/>
          <w:sz w:val="20"/>
          <w:szCs w:val="20"/>
        </w:rPr>
        <w:t>门面向中小</w:t>
      </w:r>
      <w:r>
        <w:rPr>
          <w:rFonts w:ascii="宋体" w:hAnsi="宋体" w:eastAsia="宋体" w:cs="宋体"/>
          <w:color w:val="auto"/>
          <w:spacing w:val="8"/>
          <w:sz w:val="20"/>
          <w:szCs w:val="20"/>
        </w:rPr>
        <w:t>企业采购，并在政府采购预算中单独列示。</w:t>
      </w:r>
    </w:p>
    <w:p w14:paraId="0292FE49">
      <w:pPr>
        <w:spacing w:before="107"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符合下列情形之一的，可不专门面向中小企业预留采购份额：</w:t>
      </w:r>
    </w:p>
    <w:p w14:paraId="0A89CE14">
      <w:pPr>
        <w:spacing w:before="110" w:line="276" w:lineRule="auto"/>
        <w:ind w:right="54" w:firstLine="430"/>
        <w:rPr>
          <w:rFonts w:ascii="宋体" w:hAnsi="宋体" w:eastAsia="宋体" w:cs="宋体"/>
          <w:color w:val="auto"/>
          <w:sz w:val="20"/>
          <w:szCs w:val="20"/>
        </w:rPr>
      </w:pPr>
      <w:r>
        <w:rPr>
          <w:rFonts w:ascii="宋体" w:hAnsi="宋体" w:eastAsia="宋体" w:cs="宋体"/>
          <w:color w:val="auto"/>
          <w:spacing w:val="10"/>
          <w:sz w:val="20"/>
          <w:szCs w:val="20"/>
        </w:rPr>
        <w:t>（一）法律法规和国家有关政策明确规定优先或者应当面向事业单</w:t>
      </w:r>
      <w:r>
        <w:rPr>
          <w:rFonts w:ascii="宋体" w:hAnsi="宋体" w:eastAsia="宋体" w:cs="宋体"/>
          <w:color w:val="auto"/>
          <w:spacing w:val="9"/>
          <w:sz w:val="20"/>
          <w:szCs w:val="20"/>
        </w:rPr>
        <w:t>位、社会组织等非企业主体</w:t>
      </w:r>
      <w:r>
        <w:rPr>
          <w:rFonts w:ascii="宋体" w:hAnsi="宋体" w:eastAsia="宋体" w:cs="宋体"/>
          <w:color w:val="auto"/>
          <w:spacing w:val="5"/>
          <w:sz w:val="20"/>
          <w:szCs w:val="20"/>
        </w:rPr>
        <w:t>采购的；</w:t>
      </w:r>
    </w:p>
    <w:p w14:paraId="1DB1655B">
      <w:pPr>
        <w:spacing w:before="110" w:line="276" w:lineRule="auto"/>
        <w:ind w:left="14" w:firstLine="417"/>
        <w:rPr>
          <w:rFonts w:ascii="宋体" w:hAnsi="宋体" w:eastAsia="宋体" w:cs="宋体"/>
          <w:color w:val="auto"/>
          <w:sz w:val="20"/>
          <w:szCs w:val="20"/>
        </w:rPr>
      </w:pPr>
      <w:r>
        <w:rPr>
          <w:rFonts w:ascii="宋体" w:hAnsi="宋体" w:eastAsia="宋体" w:cs="宋体"/>
          <w:color w:val="auto"/>
          <w:spacing w:val="6"/>
          <w:sz w:val="20"/>
          <w:szCs w:val="20"/>
        </w:rPr>
        <w:t>（二）因确需使用不可替代的专利、专有技术，基础设施限制，或者提供特定公共服务等原因，</w:t>
      </w:r>
      <w:r>
        <w:rPr>
          <w:rFonts w:ascii="宋体" w:hAnsi="宋体" w:eastAsia="宋体" w:cs="宋体"/>
          <w:color w:val="auto"/>
          <w:spacing w:val="8"/>
          <w:sz w:val="20"/>
          <w:szCs w:val="20"/>
        </w:rPr>
        <w:t>只能从中小企业之外的供应商处采购的；</w:t>
      </w:r>
    </w:p>
    <w:p w14:paraId="0E57EA96">
      <w:pPr>
        <w:spacing w:before="109" w:line="277" w:lineRule="auto"/>
        <w:ind w:right="54" w:firstLine="431"/>
        <w:rPr>
          <w:rFonts w:ascii="宋体" w:hAnsi="宋体" w:eastAsia="宋体" w:cs="宋体"/>
          <w:color w:val="auto"/>
          <w:sz w:val="20"/>
          <w:szCs w:val="20"/>
        </w:rPr>
      </w:pPr>
      <w:r>
        <w:rPr>
          <w:rFonts w:ascii="宋体" w:hAnsi="宋体" w:eastAsia="宋体" w:cs="宋体"/>
          <w:color w:val="auto"/>
          <w:spacing w:val="10"/>
          <w:sz w:val="20"/>
          <w:szCs w:val="20"/>
        </w:rPr>
        <w:t>（三）按照本办法规定预留采购份额无法确保充分供应、充分竞争</w:t>
      </w:r>
      <w:r>
        <w:rPr>
          <w:rFonts w:ascii="宋体" w:hAnsi="宋体" w:eastAsia="宋体" w:cs="宋体"/>
          <w:color w:val="auto"/>
          <w:spacing w:val="9"/>
          <w:sz w:val="20"/>
          <w:szCs w:val="20"/>
        </w:rPr>
        <w:t>，或者存在可能影响政府采</w:t>
      </w:r>
      <w:r>
        <w:rPr>
          <w:rFonts w:ascii="宋体" w:hAnsi="宋体" w:eastAsia="宋体" w:cs="宋体"/>
          <w:color w:val="auto"/>
          <w:spacing w:val="7"/>
          <w:sz w:val="20"/>
          <w:szCs w:val="20"/>
        </w:rPr>
        <w:t>购目标实现的情形；</w:t>
      </w:r>
    </w:p>
    <w:p w14:paraId="682F6EDF">
      <w:pPr>
        <w:spacing w:before="108" w:line="227" w:lineRule="auto"/>
        <w:ind w:left="431"/>
        <w:rPr>
          <w:rFonts w:ascii="宋体" w:hAnsi="宋体" w:eastAsia="宋体" w:cs="宋体"/>
          <w:color w:val="auto"/>
          <w:sz w:val="20"/>
          <w:szCs w:val="20"/>
        </w:rPr>
      </w:pPr>
      <w:r>
        <w:rPr>
          <w:rFonts w:ascii="宋体" w:hAnsi="宋体" w:eastAsia="宋体" w:cs="宋体"/>
          <w:color w:val="auto"/>
          <w:spacing w:val="7"/>
          <w:sz w:val="20"/>
          <w:szCs w:val="20"/>
        </w:rPr>
        <w:t>（四）框架协议采购项目；</w:t>
      </w:r>
    </w:p>
    <w:p w14:paraId="253E351B">
      <w:pPr>
        <w:spacing w:before="107" w:line="227" w:lineRule="auto"/>
        <w:ind w:left="431"/>
        <w:rPr>
          <w:rFonts w:ascii="宋体" w:hAnsi="宋体" w:eastAsia="宋体" w:cs="宋体"/>
          <w:color w:val="auto"/>
          <w:sz w:val="20"/>
          <w:szCs w:val="20"/>
        </w:rPr>
      </w:pPr>
      <w:r>
        <w:rPr>
          <w:rFonts w:ascii="宋体" w:hAnsi="宋体" w:eastAsia="宋体" w:cs="宋体"/>
          <w:color w:val="auto"/>
          <w:spacing w:val="8"/>
          <w:sz w:val="20"/>
          <w:szCs w:val="20"/>
        </w:rPr>
        <w:t>（五）省级以上人民政府财政部门规定的其他情形。</w:t>
      </w:r>
    </w:p>
    <w:p w14:paraId="44E3FF69">
      <w:pPr>
        <w:spacing w:before="109" w:line="227" w:lineRule="auto"/>
        <w:ind w:left="434"/>
        <w:rPr>
          <w:rFonts w:ascii="宋体" w:hAnsi="宋体" w:eastAsia="宋体" w:cs="宋体"/>
          <w:color w:val="auto"/>
          <w:sz w:val="20"/>
          <w:szCs w:val="20"/>
        </w:rPr>
      </w:pPr>
      <w:r>
        <w:rPr>
          <w:rFonts w:ascii="宋体" w:hAnsi="宋体" w:eastAsia="宋体" w:cs="宋体"/>
          <w:color w:val="auto"/>
          <w:spacing w:val="8"/>
          <w:sz w:val="20"/>
          <w:szCs w:val="20"/>
        </w:rPr>
        <w:t>除上述情形外，其他均为适宜由中小企业提供的情形。</w:t>
      </w:r>
    </w:p>
    <w:p w14:paraId="06E1D962">
      <w:pPr>
        <w:spacing w:line="227" w:lineRule="auto"/>
        <w:rPr>
          <w:rFonts w:ascii="宋体" w:hAnsi="宋体" w:eastAsia="宋体" w:cs="宋体"/>
          <w:color w:val="auto"/>
          <w:sz w:val="20"/>
          <w:szCs w:val="20"/>
        </w:rPr>
        <w:sectPr>
          <w:footerReference r:id="rId9" w:type="default"/>
          <w:pgSz w:w="11906" w:h="16839"/>
          <w:pgMar w:top="1406" w:right="1111" w:bottom="1018" w:left="1708" w:header="0" w:footer="852" w:gutter="0"/>
          <w:pgNumType w:fmt="decimal"/>
          <w:cols w:space="720" w:num="1"/>
        </w:sectPr>
      </w:pPr>
    </w:p>
    <w:p w14:paraId="44E97EB5">
      <w:pPr>
        <w:spacing w:before="42" w:line="277" w:lineRule="auto"/>
        <w:ind w:left="41" w:right="73" w:firstLine="380"/>
        <w:rPr>
          <w:rFonts w:ascii="宋体" w:hAnsi="宋体" w:eastAsia="宋体" w:cs="宋体"/>
          <w:color w:val="auto"/>
          <w:sz w:val="20"/>
          <w:szCs w:val="20"/>
        </w:rPr>
      </w:pPr>
      <w:r>
        <w:rPr>
          <w:rFonts w:ascii="宋体" w:hAnsi="宋体" w:eastAsia="宋体" w:cs="宋体"/>
          <w:color w:val="auto"/>
          <w:spacing w:val="9"/>
          <w:sz w:val="20"/>
          <w:szCs w:val="20"/>
        </w:rPr>
        <w:t>第七条采购限额标准以上，200万元以下的货物和服</w:t>
      </w:r>
      <w:r>
        <w:rPr>
          <w:rFonts w:ascii="宋体" w:hAnsi="宋体" w:eastAsia="宋体" w:cs="宋体"/>
          <w:color w:val="auto"/>
          <w:spacing w:val="8"/>
          <w:sz w:val="20"/>
          <w:szCs w:val="20"/>
        </w:rPr>
        <w:t>务采购项目、400万元以下的工程采购项目，适宜由中小企业提供的，采购人应当专门面向中小企</w:t>
      </w:r>
      <w:r>
        <w:rPr>
          <w:rFonts w:ascii="宋体" w:hAnsi="宋体" w:eastAsia="宋体" w:cs="宋体"/>
          <w:color w:val="auto"/>
          <w:spacing w:val="7"/>
          <w:sz w:val="20"/>
          <w:szCs w:val="20"/>
        </w:rPr>
        <w:t>业采购。</w:t>
      </w:r>
    </w:p>
    <w:p w14:paraId="394C8F4C">
      <w:pPr>
        <w:spacing w:before="106" w:line="294" w:lineRule="auto"/>
        <w:ind w:right="71" w:firstLine="420"/>
        <w:rPr>
          <w:rFonts w:ascii="宋体" w:hAnsi="宋体" w:eastAsia="宋体" w:cs="宋体"/>
          <w:color w:val="auto"/>
          <w:sz w:val="20"/>
          <w:szCs w:val="20"/>
        </w:rPr>
      </w:pPr>
      <w:r>
        <w:rPr>
          <w:rFonts w:ascii="宋体" w:hAnsi="宋体" w:eastAsia="宋体" w:cs="宋体"/>
          <w:color w:val="auto"/>
          <w:spacing w:val="11"/>
          <w:sz w:val="20"/>
          <w:szCs w:val="20"/>
        </w:rPr>
        <w:t>第八条超过200万元的货物和服务采购项目、超过400万元的工</w:t>
      </w:r>
      <w:r>
        <w:rPr>
          <w:rFonts w:ascii="宋体" w:hAnsi="宋体" w:eastAsia="宋体" w:cs="宋体"/>
          <w:color w:val="auto"/>
          <w:spacing w:val="10"/>
          <w:sz w:val="20"/>
          <w:szCs w:val="20"/>
        </w:rPr>
        <w:t>程采购项目中适宜由中小企</w:t>
      </w:r>
      <w:r>
        <w:rPr>
          <w:rFonts w:ascii="宋体" w:hAnsi="宋体" w:eastAsia="宋体" w:cs="宋体"/>
          <w:color w:val="auto"/>
          <w:spacing w:val="11"/>
          <w:sz w:val="20"/>
          <w:szCs w:val="20"/>
        </w:rPr>
        <w:t>业提供的，预留该部分采购项目预算总额的30%</w:t>
      </w:r>
      <w:r>
        <w:rPr>
          <w:rFonts w:ascii="宋体" w:hAnsi="宋体" w:eastAsia="宋体" w:cs="宋体"/>
          <w:color w:val="auto"/>
          <w:spacing w:val="10"/>
          <w:sz w:val="20"/>
          <w:szCs w:val="20"/>
        </w:rPr>
        <w:t>以上专门面向中小企业采购，其中预留给小微企业的比例不低于60%。预留份额通过下列措施进行：</w:t>
      </w:r>
    </w:p>
    <w:p w14:paraId="362F59DC">
      <w:pPr>
        <w:spacing w:before="108" w:line="227" w:lineRule="auto"/>
        <w:ind w:left="431"/>
        <w:rPr>
          <w:rFonts w:ascii="宋体" w:hAnsi="宋体" w:eastAsia="宋体" w:cs="宋体"/>
          <w:color w:val="auto"/>
          <w:sz w:val="20"/>
          <w:szCs w:val="20"/>
        </w:rPr>
      </w:pPr>
      <w:r>
        <w:rPr>
          <w:rFonts w:ascii="宋体" w:hAnsi="宋体" w:eastAsia="宋体" w:cs="宋体"/>
          <w:color w:val="auto"/>
          <w:spacing w:val="9"/>
          <w:sz w:val="20"/>
          <w:szCs w:val="20"/>
        </w:rPr>
        <w:t>（一）将采购项目整体或者设置采购包专门面向中小企业</w:t>
      </w:r>
      <w:r>
        <w:rPr>
          <w:rFonts w:ascii="宋体" w:hAnsi="宋体" w:eastAsia="宋体" w:cs="宋体"/>
          <w:color w:val="auto"/>
          <w:spacing w:val="8"/>
          <w:sz w:val="20"/>
          <w:szCs w:val="20"/>
        </w:rPr>
        <w:t>采购；</w:t>
      </w:r>
    </w:p>
    <w:p w14:paraId="2744AFAE">
      <w:pPr>
        <w:spacing w:before="106" w:line="227" w:lineRule="auto"/>
        <w:jc w:val="right"/>
        <w:rPr>
          <w:rFonts w:ascii="宋体" w:hAnsi="宋体" w:eastAsia="宋体" w:cs="宋体"/>
          <w:color w:val="auto"/>
          <w:sz w:val="20"/>
          <w:szCs w:val="20"/>
        </w:rPr>
      </w:pPr>
      <w:r>
        <w:rPr>
          <w:rFonts w:ascii="宋体" w:hAnsi="宋体" w:eastAsia="宋体" w:cs="宋体"/>
          <w:color w:val="auto"/>
          <w:spacing w:val="6"/>
          <w:sz w:val="20"/>
          <w:szCs w:val="20"/>
        </w:rPr>
        <w:t>（二）要求供应商以联合体形式参加采购活动，且联合体中中小企业承担的部分达到一定比例；</w:t>
      </w:r>
    </w:p>
    <w:p w14:paraId="6022D181">
      <w:pPr>
        <w:spacing w:before="109" w:line="227" w:lineRule="auto"/>
        <w:ind w:left="431"/>
        <w:rPr>
          <w:rFonts w:ascii="宋体" w:hAnsi="宋体" w:eastAsia="宋体" w:cs="宋体"/>
          <w:color w:val="auto"/>
          <w:sz w:val="20"/>
          <w:szCs w:val="20"/>
        </w:rPr>
      </w:pPr>
      <w:r>
        <w:rPr>
          <w:rFonts w:ascii="宋体" w:hAnsi="宋体" w:eastAsia="宋体" w:cs="宋体"/>
          <w:color w:val="auto"/>
          <w:spacing w:val="9"/>
          <w:sz w:val="20"/>
          <w:szCs w:val="20"/>
        </w:rPr>
        <w:t>（三）要求获得采购合同的供应商将采购项目中的一定比例分包给一家或者多家中小企业。</w:t>
      </w:r>
    </w:p>
    <w:p w14:paraId="42566B9D">
      <w:pPr>
        <w:spacing w:before="106" w:line="327" w:lineRule="auto"/>
        <w:ind w:left="1" w:right="71" w:firstLine="422"/>
        <w:rPr>
          <w:rFonts w:ascii="宋体" w:hAnsi="宋体" w:eastAsia="宋体" w:cs="宋体"/>
          <w:color w:val="auto"/>
          <w:sz w:val="20"/>
          <w:szCs w:val="20"/>
        </w:rPr>
      </w:pPr>
      <w:r>
        <w:rPr>
          <w:rFonts w:ascii="宋体" w:hAnsi="宋体" w:eastAsia="宋体" w:cs="宋体"/>
          <w:color w:val="auto"/>
          <w:spacing w:val="10"/>
          <w:sz w:val="20"/>
          <w:szCs w:val="20"/>
        </w:rPr>
        <w:t>组成联合体或者接受分包合同的中小企业与联合体内其他企业、分包企业之间不得存</w:t>
      </w:r>
      <w:r>
        <w:rPr>
          <w:rFonts w:ascii="宋体" w:hAnsi="宋体" w:eastAsia="宋体" w:cs="宋体"/>
          <w:color w:val="auto"/>
          <w:spacing w:val="9"/>
          <w:sz w:val="20"/>
          <w:szCs w:val="20"/>
        </w:rPr>
        <w:t>在直接控</w:t>
      </w:r>
      <w:r>
        <w:rPr>
          <w:rFonts w:ascii="宋体" w:hAnsi="宋体" w:eastAsia="宋体" w:cs="宋体"/>
          <w:color w:val="auto"/>
          <w:spacing w:val="7"/>
          <w:sz w:val="20"/>
          <w:szCs w:val="20"/>
        </w:rPr>
        <w:t>股、管理关系。</w:t>
      </w:r>
    </w:p>
    <w:p w14:paraId="41539066">
      <w:pPr>
        <w:spacing w:before="6" w:line="326" w:lineRule="auto"/>
        <w:ind w:right="70" w:firstLine="420"/>
        <w:jc w:val="both"/>
        <w:rPr>
          <w:rFonts w:ascii="宋体" w:hAnsi="宋体" w:eastAsia="宋体" w:cs="宋体"/>
          <w:color w:val="auto"/>
          <w:sz w:val="20"/>
          <w:szCs w:val="20"/>
        </w:rPr>
      </w:pPr>
      <w:r>
        <w:rPr>
          <w:rFonts w:ascii="宋体" w:hAnsi="宋体" w:eastAsia="宋体" w:cs="宋体"/>
          <w:color w:val="auto"/>
          <w:spacing w:val="7"/>
          <w:sz w:val="20"/>
          <w:szCs w:val="20"/>
        </w:rPr>
        <w:t>第九条对于经主管预算单位统筹后未预留份额专门面向中小企业采购的采购项目，以及预留份</w:t>
      </w:r>
      <w:r>
        <w:rPr>
          <w:rFonts w:ascii="宋体" w:hAnsi="宋体" w:eastAsia="宋体" w:cs="宋体"/>
          <w:color w:val="auto"/>
          <w:spacing w:val="10"/>
          <w:sz w:val="20"/>
          <w:szCs w:val="20"/>
        </w:rPr>
        <w:t>额项目中的非预留部分采购包，采购人、采购代理机构应当对符合本办法规</w:t>
      </w:r>
      <w:r>
        <w:rPr>
          <w:rFonts w:ascii="宋体" w:hAnsi="宋体" w:eastAsia="宋体" w:cs="宋体"/>
          <w:color w:val="auto"/>
          <w:spacing w:val="9"/>
          <w:sz w:val="20"/>
          <w:szCs w:val="20"/>
        </w:rPr>
        <w:t>定的小微企业报价给予</w:t>
      </w:r>
      <w:r>
        <w:rPr>
          <w:rFonts w:ascii="宋体" w:hAnsi="宋体" w:eastAsia="宋体" w:cs="宋体"/>
          <w:color w:val="auto"/>
          <w:spacing w:val="10"/>
          <w:sz w:val="20"/>
          <w:szCs w:val="20"/>
        </w:rPr>
        <w:t>6%—10%（工程项目为3%—5%）的扣除，用扣除后的价格参加评审。适用招标投标法</w:t>
      </w:r>
      <w:r>
        <w:rPr>
          <w:rFonts w:ascii="宋体" w:hAnsi="宋体" w:eastAsia="宋体" w:cs="宋体"/>
          <w:color w:val="auto"/>
          <w:spacing w:val="9"/>
          <w:sz w:val="20"/>
          <w:szCs w:val="20"/>
        </w:rPr>
        <w:t>的政府采购工</w:t>
      </w:r>
      <w:r>
        <w:rPr>
          <w:rFonts w:ascii="宋体" w:hAnsi="宋体" w:eastAsia="宋体" w:cs="宋体"/>
          <w:color w:val="auto"/>
          <w:spacing w:val="10"/>
          <w:sz w:val="20"/>
          <w:szCs w:val="20"/>
        </w:rPr>
        <w:t>程建设项目，采用综合评估法但未采用低价优先法计算价格分的，评标时应当在采用原报价进行评</w:t>
      </w:r>
      <w:r>
        <w:rPr>
          <w:rFonts w:ascii="宋体" w:hAnsi="宋体" w:eastAsia="宋体" w:cs="宋体"/>
          <w:color w:val="auto"/>
          <w:spacing w:val="8"/>
          <w:sz w:val="20"/>
          <w:szCs w:val="20"/>
        </w:rPr>
        <w:t>分的基础上增加其价格得分的3%—5%作</w:t>
      </w:r>
      <w:r>
        <w:rPr>
          <w:rFonts w:ascii="宋体" w:hAnsi="宋体" w:eastAsia="宋体" w:cs="宋体"/>
          <w:color w:val="auto"/>
          <w:spacing w:val="7"/>
          <w:sz w:val="20"/>
          <w:szCs w:val="20"/>
        </w:rPr>
        <w:t>为其价格分。</w:t>
      </w:r>
    </w:p>
    <w:p w14:paraId="7687870E">
      <w:pPr>
        <w:spacing w:before="7" w:line="326" w:lineRule="auto"/>
        <w:ind w:firstLine="420"/>
        <w:jc w:val="both"/>
        <w:rPr>
          <w:rFonts w:ascii="宋体" w:hAnsi="宋体" w:eastAsia="宋体" w:cs="宋体"/>
          <w:color w:val="auto"/>
          <w:sz w:val="20"/>
          <w:szCs w:val="20"/>
        </w:rPr>
      </w:pPr>
      <w:r>
        <w:rPr>
          <w:rFonts w:ascii="宋体" w:hAnsi="宋体" w:eastAsia="宋体" w:cs="宋体"/>
          <w:color w:val="auto"/>
          <w:spacing w:val="10"/>
          <w:sz w:val="20"/>
          <w:szCs w:val="20"/>
        </w:rPr>
        <w:t>接受大中型企业与小微企业组成联合体或者允许大中型企业向一家或者多家小微企业分包的采</w:t>
      </w:r>
      <w:r>
        <w:rPr>
          <w:rFonts w:ascii="宋体" w:hAnsi="宋体" w:eastAsia="宋体" w:cs="宋体"/>
          <w:color w:val="auto"/>
          <w:spacing w:val="11"/>
          <w:sz w:val="20"/>
          <w:szCs w:val="20"/>
        </w:rPr>
        <w:t>购项目，对于联合协议或者分包意向协议约定小微企业的</w:t>
      </w:r>
      <w:r>
        <w:rPr>
          <w:rFonts w:ascii="宋体" w:hAnsi="宋体" w:eastAsia="宋体" w:cs="宋体"/>
          <w:color w:val="auto"/>
          <w:spacing w:val="10"/>
          <w:sz w:val="20"/>
          <w:szCs w:val="20"/>
        </w:rPr>
        <w:t>合同份额占到合同总金额30%以上的，采</w:t>
      </w:r>
      <w:r>
        <w:rPr>
          <w:rFonts w:ascii="宋体" w:hAnsi="宋体" w:eastAsia="宋体" w:cs="宋体"/>
          <w:color w:val="auto"/>
          <w:spacing w:val="6"/>
          <w:sz w:val="20"/>
          <w:szCs w:val="20"/>
        </w:rPr>
        <w:t>购人、采购代理机构应当对联合体或者大中</w:t>
      </w:r>
      <w:r>
        <w:rPr>
          <w:rFonts w:ascii="宋体" w:hAnsi="宋体" w:eastAsia="宋体" w:cs="宋体"/>
          <w:color w:val="auto"/>
          <w:spacing w:val="5"/>
          <w:sz w:val="20"/>
          <w:szCs w:val="20"/>
        </w:rPr>
        <w:t>型企业的报价给予2%-3%（工程项目为1%—2%）的扣除，</w:t>
      </w:r>
      <w:r>
        <w:rPr>
          <w:rFonts w:ascii="宋体" w:hAnsi="宋体" w:eastAsia="宋体" w:cs="宋体"/>
          <w:color w:val="auto"/>
          <w:spacing w:val="10"/>
          <w:sz w:val="20"/>
          <w:szCs w:val="20"/>
        </w:rPr>
        <w:t>用扣除后的价格参加评审。适用招标投标法的政府采购工程建设项目，采用综合评估法但未采用低</w:t>
      </w:r>
      <w:r>
        <w:rPr>
          <w:rFonts w:ascii="宋体" w:hAnsi="宋体" w:eastAsia="宋体" w:cs="宋体"/>
          <w:color w:val="auto"/>
          <w:spacing w:val="8"/>
          <w:sz w:val="20"/>
          <w:szCs w:val="20"/>
        </w:rPr>
        <w:t>价优先法计算价格分的，评标时应当在采用原报价进行评分的基础上增加其价</w:t>
      </w:r>
      <w:r>
        <w:rPr>
          <w:rFonts w:ascii="宋体" w:hAnsi="宋体" w:eastAsia="宋体" w:cs="宋体"/>
          <w:color w:val="auto"/>
          <w:spacing w:val="7"/>
          <w:sz w:val="20"/>
          <w:szCs w:val="20"/>
        </w:rPr>
        <w:t>格得分的1%—2%作为其价格分。组成联合体或者接受分包的小微企业与联合体内其他企业、分包企业之间</w:t>
      </w:r>
      <w:r>
        <w:rPr>
          <w:rFonts w:ascii="宋体" w:hAnsi="宋体" w:eastAsia="宋体" w:cs="宋体"/>
          <w:color w:val="auto"/>
          <w:spacing w:val="6"/>
          <w:sz w:val="20"/>
          <w:szCs w:val="20"/>
        </w:rPr>
        <w:t>存在直接控股、</w:t>
      </w:r>
      <w:r>
        <w:rPr>
          <w:rFonts w:ascii="宋体" w:hAnsi="宋体" w:eastAsia="宋体" w:cs="宋体"/>
          <w:color w:val="auto"/>
          <w:spacing w:val="9"/>
          <w:sz w:val="20"/>
          <w:szCs w:val="20"/>
        </w:rPr>
        <w:t>管理关系的，不享受价格扣除优惠政策。</w:t>
      </w:r>
    </w:p>
    <w:p w14:paraId="4C066B30">
      <w:pPr>
        <w:spacing w:before="1" w:line="326" w:lineRule="auto"/>
        <w:ind w:left="3" w:right="71" w:firstLine="419"/>
        <w:jc w:val="both"/>
        <w:rPr>
          <w:rFonts w:ascii="宋体" w:hAnsi="宋体" w:eastAsia="宋体" w:cs="宋体"/>
          <w:color w:val="auto"/>
          <w:sz w:val="20"/>
          <w:szCs w:val="20"/>
        </w:rPr>
      </w:pPr>
      <w:r>
        <w:rPr>
          <w:rFonts w:ascii="宋体" w:hAnsi="宋体" w:eastAsia="宋体" w:cs="宋体"/>
          <w:color w:val="auto"/>
          <w:spacing w:val="10"/>
          <w:sz w:val="20"/>
          <w:szCs w:val="20"/>
        </w:rPr>
        <w:t>价格扣除比例或者价格分加分比例对小型企业和微型企业同等对待，不作区分。具体采购</w:t>
      </w:r>
      <w:r>
        <w:rPr>
          <w:rFonts w:ascii="宋体" w:hAnsi="宋体" w:eastAsia="宋体" w:cs="宋体"/>
          <w:color w:val="auto"/>
          <w:spacing w:val="9"/>
          <w:sz w:val="20"/>
          <w:szCs w:val="20"/>
        </w:rPr>
        <w:t>项目</w:t>
      </w:r>
      <w:r>
        <w:rPr>
          <w:rFonts w:ascii="宋体" w:hAnsi="宋体" w:eastAsia="宋体" w:cs="宋体"/>
          <w:color w:val="auto"/>
          <w:spacing w:val="10"/>
          <w:sz w:val="20"/>
          <w:szCs w:val="20"/>
        </w:rPr>
        <w:t>的价格扣除比例或者价格分加分比例，由采购人根据采购标的相关行业平均利润率、市场竞</w:t>
      </w:r>
      <w:r>
        <w:rPr>
          <w:rFonts w:ascii="宋体" w:hAnsi="宋体" w:eastAsia="宋体" w:cs="宋体"/>
          <w:color w:val="auto"/>
          <w:spacing w:val="9"/>
          <w:sz w:val="20"/>
          <w:szCs w:val="20"/>
        </w:rPr>
        <w:t>争状况</w:t>
      </w:r>
      <w:r>
        <w:rPr>
          <w:rFonts w:ascii="宋体" w:hAnsi="宋体" w:eastAsia="宋体" w:cs="宋体"/>
          <w:color w:val="auto"/>
          <w:spacing w:val="8"/>
          <w:sz w:val="20"/>
          <w:szCs w:val="20"/>
        </w:rPr>
        <w:t>等，在本办法规定的幅度内确定。</w:t>
      </w:r>
    </w:p>
    <w:p w14:paraId="5A667A08">
      <w:pPr>
        <w:spacing w:line="302" w:lineRule="auto"/>
        <w:ind w:right="71" w:firstLine="421"/>
        <w:rPr>
          <w:rFonts w:ascii="宋体" w:hAnsi="宋体" w:eastAsia="宋体" w:cs="宋体"/>
          <w:color w:val="auto"/>
          <w:sz w:val="20"/>
          <w:szCs w:val="20"/>
        </w:rPr>
      </w:pPr>
      <w:r>
        <w:rPr>
          <w:rFonts w:ascii="宋体" w:hAnsi="宋体" w:eastAsia="宋体" w:cs="宋体"/>
          <w:color w:val="auto"/>
          <w:spacing w:val="12"/>
          <w:sz w:val="20"/>
          <w:szCs w:val="20"/>
        </w:rPr>
        <w:t>第十条采购人应当严格按照本办法规定和主管预算单位制定的预留采购份额具体方案开展采</w:t>
      </w:r>
      <w:r>
        <w:rPr>
          <w:rFonts w:ascii="宋体" w:hAnsi="宋体" w:eastAsia="宋体" w:cs="宋体"/>
          <w:color w:val="auto"/>
          <w:spacing w:val="10"/>
          <w:sz w:val="20"/>
          <w:szCs w:val="20"/>
        </w:rPr>
        <w:t>购活动。预留份额的采购项目或者采购包，通过发布公告方式邀请供应商后，符合资格条件的中小</w:t>
      </w:r>
      <w:r>
        <w:rPr>
          <w:rFonts w:ascii="宋体" w:hAnsi="宋体" w:eastAsia="宋体" w:cs="宋体"/>
          <w:color w:val="auto"/>
          <w:spacing w:val="9"/>
          <w:sz w:val="20"/>
          <w:szCs w:val="20"/>
        </w:rPr>
        <w:t>企业数量不足3家的，应当中止采购活动，视同未预留份额的采购项目或者采购包，按照本办法第</w:t>
      </w:r>
      <w:r>
        <w:rPr>
          <w:rFonts w:ascii="宋体" w:hAnsi="宋体" w:eastAsia="宋体" w:cs="宋体"/>
          <w:color w:val="auto"/>
          <w:spacing w:val="8"/>
          <w:sz w:val="20"/>
          <w:szCs w:val="20"/>
        </w:rPr>
        <w:t>九条有关规定重新组织采购活动。</w:t>
      </w:r>
    </w:p>
    <w:p w14:paraId="6E1425F4">
      <w:pPr>
        <w:spacing w:before="106" w:line="294" w:lineRule="auto"/>
        <w:ind w:left="5" w:right="71" w:firstLine="415"/>
        <w:rPr>
          <w:rFonts w:ascii="宋体" w:hAnsi="宋体" w:eastAsia="宋体" w:cs="宋体"/>
          <w:color w:val="auto"/>
          <w:sz w:val="20"/>
          <w:szCs w:val="20"/>
        </w:rPr>
      </w:pPr>
      <w:r>
        <w:rPr>
          <w:rFonts w:ascii="宋体" w:hAnsi="宋体" w:eastAsia="宋体" w:cs="宋体"/>
          <w:color w:val="auto"/>
          <w:spacing w:val="8"/>
          <w:sz w:val="20"/>
          <w:szCs w:val="20"/>
        </w:rPr>
        <w:t>第十一条中小企业参加政府采购活动，应当出具本办法规定的《中小企业声明函》（附1</w:t>
      </w:r>
      <w:r>
        <w:rPr>
          <w:rFonts w:ascii="宋体" w:hAnsi="宋体" w:eastAsia="宋体" w:cs="宋体"/>
          <w:color w:val="auto"/>
          <w:spacing w:val="-8"/>
          <w:sz w:val="20"/>
          <w:szCs w:val="20"/>
        </w:rPr>
        <w:t>），</w:t>
      </w:r>
      <w:r>
        <w:rPr>
          <w:rFonts w:ascii="宋体" w:hAnsi="宋体" w:eastAsia="宋体" w:cs="宋体"/>
          <w:color w:val="auto"/>
          <w:spacing w:val="10"/>
          <w:sz w:val="20"/>
          <w:szCs w:val="20"/>
        </w:rPr>
        <w:t>否则不得享受相关中小企业扶持政策。任何单位和个人不得要求供应商提供《中小企</w:t>
      </w:r>
      <w:r>
        <w:rPr>
          <w:rFonts w:ascii="宋体" w:hAnsi="宋体" w:eastAsia="宋体" w:cs="宋体"/>
          <w:color w:val="auto"/>
          <w:spacing w:val="9"/>
          <w:sz w:val="20"/>
          <w:szCs w:val="20"/>
        </w:rPr>
        <w:t>业声明函》之</w:t>
      </w:r>
      <w:r>
        <w:rPr>
          <w:rFonts w:ascii="宋体" w:hAnsi="宋体" w:eastAsia="宋体" w:cs="宋体"/>
          <w:color w:val="auto"/>
          <w:spacing w:val="8"/>
          <w:sz w:val="20"/>
          <w:szCs w:val="20"/>
        </w:rPr>
        <w:t>外的中小企业身份证明文件。</w:t>
      </w:r>
    </w:p>
    <w:p w14:paraId="72CB4B10">
      <w:pPr>
        <w:spacing w:before="109" w:line="227" w:lineRule="auto"/>
        <w:ind w:left="421"/>
        <w:rPr>
          <w:rFonts w:ascii="宋体" w:hAnsi="宋体" w:eastAsia="宋体" w:cs="宋体"/>
          <w:color w:val="auto"/>
          <w:sz w:val="20"/>
          <w:szCs w:val="20"/>
        </w:rPr>
      </w:pPr>
      <w:r>
        <w:rPr>
          <w:rFonts w:ascii="宋体" w:hAnsi="宋体" w:eastAsia="宋体" w:cs="宋体"/>
          <w:color w:val="auto"/>
          <w:spacing w:val="9"/>
          <w:sz w:val="20"/>
          <w:szCs w:val="20"/>
        </w:rPr>
        <w:t>第十二条采购项目涉及中小企业采购的，采购文件应当明确以下内容：</w:t>
      </w:r>
    </w:p>
    <w:p w14:paraId="1D538407">
      <w:pPr>
        <w:spacing w:before="106" w:line="278" w:lineRule="auto"/>
        <w:ind w:right="71" w:firstLine="430"/>
        <w:rPr>
          <w:rFonts w:ascii="宋体" w:hAnsi="宋体" w:eastAsia="宋体" w:cs="宋体"/>
          <w:color w:val="auto"/>
          <w:sz w:val="20"/>
          <w:szCs w:val="20"/>
        </w:rPr>
      </w:pPr>
      <w:r>
        <w:rPr>
          <w:rFonts w:ascii="宋体" w:hAnsi="宋体" w:eastAsia="宋体" w:cs="宋体"/>
          <w:color w:val="auto"/>
          <w:spacing w:val="10"/>
          <w:sz w:val="20"/>
          <w:szCs w:val="20"/>
        </w:rPr>
        <w:t>（一）预留份额的采购项目或者采购包，明确该项目或相关采购包</w:t>
      </w:r>
      <w:r>
        <w:rPr>
          <w:rFonts w:ascii="宋体" w:hAnsi="宋体" w:eastAsia="宋体" w:cs="宋体"/>
          <w:color w:val="auto"/>
          <w:spacing w:val="9"/>
          <w:sz w:val="20"/>
          <w:szCs w:val="20"/>
        </w:rPr>
        <w:t>专门面向中小企业采购，以</w:t>
      </w:r>
      <w:r>
        <w:rPr>
          <w:rFonts w:ascii="宋体" w:hAnsi="宋体" w:eastAsia="宋体" w:cs="宋体"/>
          <w:color w:val="auto"/>
          <w:spacing w:val="8"/>
          <w:sz w:val="20"/>
          <w:szCs w:val="20"/>
        </w:rPr>
        <w:t>及相关标的及预算金额；</w:t>
      </w:r>
    </w:p>
    <w:p w14:paraId="5B460AF8">
      <w:pPr>
        <w:spacing w:before="108" w:line="277" w:lineRule="auto"/>
        <w:ind w:left="22" w:right="71" w:firstLine="409"/>
        <w:rPr>
          <w:rFonts w:ascii="宋体" w:hAnsi="宋体" w:eastAsia="宋体" w:cs="宋体"/>
          <w:color w:val="auto"/>
          <w:sz w:val="20"/>
          <w:szCs w:val="20"/>
        </w:rPr>
      </w:pPr>
      <w:r>
        <w:rPr>
          <w:rFonts w:ascii="宋体" w:hAnsi="宋体" w:eastAsia="宋体" w:cs="宋体"/>
          <w:color w:val="auto"/>
          <w:spacing w:val="10"/>
          <w:sz w:val="20"/>
          <w:szCs w:val="20"/>
        </w:rPr>
        <w:t>（二）要求以联合体形式参加或者合同分包的，明确联合协议或者</w:t>
      </w:r>
      <w:r>
        <w:rPr>
          <w:rFonts w:ascii="宋体" w:hAnsi="宋体" w:eastAsia="宋体" w:cs="宋体"/>
          <w:color w:val="auto"/>
          <w:spacing w:val="9"/>
          <w:sz w:val="20"/>
          <w:szCs w:val="20"/>
        </w:rPr>
        <w:t>分包意向协议中中小企业合</w:t>
      </w:r>
      <w:r>
        <w:rPr>
          <w:rFonts w:ascii="宋体" w:hAnsi="宋体" w:eastAsia="宋体" w:cs="宋体"/>
          <w:color w:val="auto"/>
          <w:spacing w:val="8"/>
          <w:sz w:val="20"/>
          <w:szCs w:val="20"/>
        </w:rPr>
        <w:t>同金额应当达到的比例，并作为供应商资格条件；</w:t>
      </w:r>
    </w:p>
    <w:p w14:paraId="3A9FD168">
      <w:pPr>
        <w:spacing w:before="107" w:line="226" w:lineRule="auto"/>
        <w:ind w:left="431"/>
        <w:rPr>
          <w:rFonts w:ascii="宋体" w:hAnsi="宋体" w:eastAsia="宋体" w:cs="宋体"/>
          <w:color w:val="auto"/>
          <w:sz w:val="20"/>
          <w:szCs w:val="20"/>
        </w:rPr>
      </w:pPr>
      <w:r>
        <w:rPr>
          <w:rFonts w:ascii="宋体" w:hAnsi="宋体" w:eastAsia="宋体" w:cs="宋体"/>
          <w:color w:val="auto"/>
          <w:spacing w:val="9"/>
          <w:sz w:val="20"/>
          <w:szCs w:val="20"/>
        </w:rPr>
        <w:t>（三）非预留份额的采购项目或者采购包，明确有关价格扣除比例或者价格分加分比例；</w:t>
      </w:r>
    </w:p>
    <w:p w14:paraId="5CB57F51">
      <w:pPr>
        <w:spacing w:before="110" w:line="227" w:lineRule="auto"/>
        <w:ind w:left="431"/>
        <w:rPr>
          <w:rFonts w:ascii="宋体" w:hAnsi="宋体" w:eastAsia="宋体" w:cs="宋体"/>
          <w:color w:val="auto"/>
          <w:sz w:val="20"/>
          <w:szCs w:val="20"/>
        </w:rPr>
      </w:pPr>
      <w:r>
        <w:rPr>
          <w:rFonts w:ascii="宋体" w:hAnsi="宋体" w:eastAsia="宋体" w:cs="宋体"/>
          <w:color w:val="auto"/>
          <w:spacing w:val="10"/>
          <w:sz w:val="20"/>
          <w:szCs w:val="20"/>
        </w:rPr>
        <w:t>（四）规定依据本办法规定享受扶持政策获得政府采购合同的，小</w:t>
      </w:r>
      <w:r>
        <w:rPr>
          <w:rFonts w:ascii="宋体" w:hAnsi="宋体" w:eastAsia="宋体" w:cs="宋体"/>
          <w:color w:val="auto"/>
          <w:spacing w:val="9"/>
          <w:sz w:val="20"/>
          <w:szCs w:val="20"/>
        </w:rPr>
        <w:t>微企业不得将合同分包给大</w:t>
      </w:r>
    </w:p>
    <w:p w14:paraId="0201220E">
      <w:pPr>
        <w:spacing w:line="227" w:lineRule="auto"/>
        <w:rPr>
          <w:rFonts w:ascii="宋体" w:hAnsi="宋体" w:eastAsia="宋体" w:cs="宋体"/>
          <w:color w:val="auto"/>
          <w:sz w:val="20"/>
          <w:szCs w:val="20"/>
        </w:rPr>
        <w:sectPr>
          <w:footerReference r:id="rId10" w:type="default"/>
          <w:pgSz w:w="11906" w:h="16839"/>
          <w:pgMar w:top="1406" w:right="1095" w:bottom="1018" w:left="1708" w:header="0" w:footer="852" w:gutter="0"/>
          <w:pgNumType w:fmt="decimal"/>
          <w:cols w:space="720" w:num="1"/>
        </w:sectPr>
      </w:pPr>
    </w:p>
    <w:p w14:paraId="3F06905A">
      <w:pPr>
        <w:spacing w:before="41" w:line="228" w:lineRule="auto"/>
        <w:ind w:left="20"/>
        <w:rPr>
          <w:rFonts w:ascii="宋体" w:hAnsi="宋体" w:eastAsia="宋体" w:cs="宋体"/>
          <w:color w:val="auto"/>
          <w:sz w:val="20"/>
          <w:szCs w:val="20"/>
        </w:rPr>
      </w:pPr>
      <w:r>
        <w:rPr>
          <w:rFonts w:ascii="宋体" w:hAnsi="宋体" w:eastAsia="宋体" w:cs="宋体"/>
          <w:color w:val="auto"/>
          <w:spacing w:val="8"/>
          <w:sz w:val="20"/>
          <w:szCs w:val="20"/>
        </w:rPr>
        <w:t>中型企业，中型企业不得将合同分包给大型企业；</w:t>
      </w:r>
    </w:p>
    <w:p w14:paraId="24505F3E">
      <w:pPr>
        <w:spacing w:before="108" w:line="277" w:lineRule="auto"/>
        <w:ind w:left="9" w:right="71" w:firstLine="421"/>
        <w:rPr>
          <w:rFonts w:ascii="宋体" w:hAnsi="宋体" w:eastAsia="宋体" w:cs="宋体"/>
          <w:color w:val="auto"/>
          <w:sz w:val="20"/>
          <w:szCs w:val="20"/>
        </w:rPr>
      </w:pPr>
      <w:r>
        <w:rPr>
          <w:rFonts w:ascii="宋体" w:hAnsi="宋体" w:eastAsia="宋体" w:cs="宋体"/>
          <w:color w:val="auto"/>
          <w:spacing w:val="10"/>
          <w:sz w:val="20"/>
          <w:szCs w:val="20"/>
        </w:rPr>
        <w:t>（五）采购人认为具备相关条件的，明确对中小企业在资金支付期</w:t>
      </w:r>
      <w:r>
        <w:rPr>
          <w:rFonts w:ascii="宋体" w:hAnsi="宋体" w:eastAsia="宋体" w:cs="宋体"/>
          <w:color w:val="auto"/>
          <w:spacing w:val="9"/>
          <w:sz w:val="20"/>
          <w:szCs w:val="20"/>
        </w:rPr>
        <w:t>限、预付款比例等方面的优</w:t>
      </w:r>
      <w:r>
        <w:rPr>
          <w:rFonts w:ascii="宋体" w:hAnsi="宋体" w:eastAsia="宋体" w:cs="宋体"/>
          <w:color w:val="auto"/>
          <w:spacing w:val="2"/>
          <w:sz w:val="20"/>
          <w:szCs w:val="20"/>
        </w:rPr>
        <w:t>惠措施；</w:t>
      </w:r>
    </w:p>
    <w:p w14:paraId="092D97B7">
      <w:pPr>
        <w:spacing w:before="107" w:line="227" w:lineRule="auto"/>
        <w:ind w:left="430"/>
        <w:rPr>
          <w:rFonts w:ascii="宋体" w:hAnsi="宋体" w:eastAsia="宋体" w:cs="宋体"/>
          <w:color w:val="auto"/>
          <w:sz w:val="20"/>
          <w:szCs w:val="20"/>
        </w:rPr>
      </w:pPr>
      <w:r>
        <w:rPr>
          <w:rFonts w:ascii="宋体" w:hAnsi="宋体" w:eastAsia="宋体" w:cs="宋体"/>
          <w:color w:val="auto"/>
          <w:spacing w:val="8"/>
          <w:sz w:val="20"/>
          <w:szCs w:val="20"/>
        </w:rPr>
        <w:t>（六）明确采购标的对应的中小企业划分标准所属行业；</w:t>
      </w:r>
    </w:p>
    <w:p w14:paraId="040376F7">
      <w:pPr>
        <w:spacing w:before="106" w:line="227" w:lineRule="auto"/>
        <w:ind w:left="430"/>
        <w:rPr>
          <w:rFonts w:ascii="宋体" w:hAnsi="宋体" w:eastAsia="宋体" w:cs="宋体"/>
          <w:color w:val="auto"/>
          <w:sz w:val="20"/>
          <w:szCs w:val="20"/>
        </w:rPr>
      </w:pPr>
      <w:r>
        <w:rPr>
          <w:rFonts w:ascii="宋体" w:hAnsi="宋体" w:eastAsia="宋体" w:cs="宋体"/>
          <w:color w:val="auto"/>
          <w:spacing w:val="9"/>
          <w:sz w:val="20"/>
          <w:szCs w:val="20"/>
        </w:rPr>
        <w:t>（七）法律法规和省级以上人民政府财政部门规定的其他</w:t>
      </w:r>
      <w:r>
        <w:rPr>
          <w:rFonts w:ascii="宋体" w:hAnsi="宋体" w:eastAsia="宋体" w:cs="宋体"/>
          <w:color w:val="auto"/>
          <w:spacing w:val="8"/>
          <w:sz w:val="20"/>
          <w:szCs w:val="20"/>
        </w:rPr>
        <w:t>事项。</w:t>
      </w:r>
    </w:p>
    <w:p w14:paraId="7547CED6">
      <w:pPr>
        <w:spacing w:before="109" w:line="327" w:lineRule="auto"/>
        <w:ind w:left="14" w:right="73" w:firstLine="406"/>
        <w:rPr>
          <w:rFonts w:ascii="宋体" w:hAnsi="宋体" w:eastAsia="宋体" w:cs="宋体"/>
          <w:color w:val="auto"/>
          <w:sz w:val="20"/>
          <w:szCs w:val="20"/>
        </w:rPr>
      </w:pPr>
      <w:r>
        <w:rPr>
          <w:rFonts w:ascii="宋体" w:hAnsi="宋体" w:eastAsia="宋体" w:cs="宋体"/>
          <w:color w:val="auto"/>
          <w:spacing w:val="7"/>
          <w:sz w:val="20"/>
          <w:szCs w:val="20"/>
        </w:rPr>
        <w:t>第十三条中标、成交供应商享受本办法规定的中小企业扶持政</w:t>
      </w:r>
      <w:r>
        <w:rPr>
          <w:rFonts w:ascii="宋体" w:hAnsi="宋体" w:eastAsia="宋体" w:cs="宋体"/>
          <w:color w:val="auto"/>
          <w:spacing w:val="6"/>
          <w:sz w:val="20"/>
          <w:szCs w:val="20"/>
        </w:rPr>
        <w:t>策的，采购人、采购代理机构应</w:t>
      </w:r>
      <w:r>
        <w:rPr>
          <w:rFonts w:ascii="宋体" w:hAnsi="宋体" w:eastAsia="宋体" w:cs="宋体"/>
          <w:color w:val="auto"/>
          <w:spacing w:val="8"/>
          <w:sz w:val="20"/>
          <w:szCs w:val="20"/>
        </w:rPr>
        <w:t>当随中标、成交结果公开中标、成交供应商的《中小企业声明函》。</w:t>
      </w:r>
    </w:p>
    <w:p w14:paraId="2497D1B2">
      <w:pPr>
        <w:spacing w:before="2" w:line="326" w:lineRule="auto"/>
        <w:ind w:left="4" w:right="71" w:firstLine="416"/>
        <w:rPr>
          <w:rFonts w:ascii="宋体" w:hAnsi="宋体" w:eastAsia="宋体" w:cs="宋体"/>
          <w:color w:val="auto"/>
          <w:sz w:val="20"/>
          <w:szCs w:val="20"/>
        </w:rPr>
      </w:pPr>
      <w:r>
        <w:rPr>
          <w:rFonts w:ascii="宋体" w:hAnsi="宋体" w:eastAsia="宋体" w:cs="宋体"/>
          <w:color w:val="auto"/>
          <w:spacing w:val="10"/>
          <w:sz w:val="20"/>
          <w:szCs w:val="20"/>
        </w:rPr>
        <w:t>适用招标投标法的政府采购工程建设项目，应当在公示中标候选人时公开中标候选人的《中小</w:t>
      </w:r>
      <w:r>
        <w:rPr>
          <w:rFonts w:ascii="宋体" w:hAnsi="宋体" w:eastAsia="宋体" w:cs="宋体"/>
          <w:color w:val="auto"/>
          <w:spacing w:val="5"/>
          <w:sz w:val="20"/>
          <w:szCs w:val="20"/>
        </w:rPr>
        <w:t>企业声明函》。</w:t>
      </w:r>
    </w:p>
    <w:p w14:paraId="34E8EE87">
      <w:pPr>
        <w:spacing w:before="1" w:line="293" w:lineRule="auto"/>
        <w:ind w:right="71" w:firstLine="420"/>
        <w:rPr>
          <w:rFonts w:ascii="宋体" w:hAnsi="宋体" w:eastAsia="宋体" w:cs="宋体"/>
          <w:color w:val="auto"/>
          <w:sz w:val="20"/>
          <w:szCs w:val="20"/>
        </w:rPr>
      </w:pPr>
      <w:r>
        <w:rPr>
          <w:rFonts w:ascii="宋体" w:hAnsi="宋体" w:eastAsia="宋体" w:cs="宋体"/>
          <w:color w:val="auto"/>
          <w:spacing w:val="7"/>
          <w:sz w:val="20"/>
          <w:szCs w:val="20"/>
        </w:rPr>
        <w:t>第十四条对于通过预留采购项目、预留专门采购包、要求以联合体形式参加或者合同分包等措</w:t>
      </w:r>
      <w:r>
        <w:rPr>
          <w:rFonts w:ascii="宋体" w:hAnsi="宋体" w:eastAsia="宋体" w:cs="宋体"/>
          <w:color w:val="auto"/>
          <w:spacing w:val="10"/>
          <w:sz w:val="20"/>
          <w:szCs w:val="20"/>
        </w:rPr>
        <w:t>施签订的采购合同，应当明确标注本合同为中小企业预留合同。其中，要求以联合体形式参加采购</w:t>
      </w:r>
      <w:r>
        <w:rPr>
          <w:rFonts w:ascii="宋体" w:hAnsi="宋体" w:eastAsia="宋体" w:cs="宋体"/>
          <w:color w:val="auto"/>
          <w:spacing w:val="9"/>
          <w:sz w:val="20"/>
          <w:szCs w:val="20"/>
        </w:rPr>
        <w:t>活动或者合同分包的，应当将联合协议或者分包意向协议作为采购合同的组成部分。</w:t>
      </w:r>
    </w:p>
    <w:p w14:paraId="7126B938">
      <w:pPr>
        <w:spacing w:before="108" w:line="277" w:lineRule="auto"/>
        <w:ind w:left="1" w:firstLine="419"/>
        <w:rPr>
          <w:rFonts w:ascii="宋体" w:hAnsi="宋体" w:eastAsia="宋体" w:cs="宋体"/>
          <w:color w:val="auto"/>
          <w:sz w:val="20"/>
          <w:szCs w:val="20"/>
        </w:rPr>
      </w:pPr>
      <w:r>
        <w:rPr>
          <w:rFonts w:ascii="宋体" w:hAnsi="宋体" w:eastAsia="宋体" w:cs="宋体"/>
          <w:color w:val="auto"/>
          <w:spacing w:val="7"/>
          <w:sz w:val="20"/>
          <w:szCs w:val="20"/>
        </w:rPr>
        <w:t>第十五条鼓励各地区、各部门在采购活动中允许中小企业引入信用担保手段，为中小企业在投标（响应）保证、履约保证等方面提供专业化服务。鼓励中小企业依法合规通过</w:t>
      </w:r>
      <w:r>
        <w:rPr>
          <w:rFonts w:ascii="宋体" w:hAnsi="宋体" w:eastAsia="宋体" w:cs="宋体"/>
          <w:color w:val="auto"/>
          <w:spacing w:val="6"/>
          <w:sz w:val="20"/>
          <w:szCs w:val="20"/>
        </w:rPr>
        <w:t>政府采购合同融资。</w:t>
      </w:r>
    </w:p>
    <w:p w14:paraId="11C95B08">
      <w:pPr>
        <w:spacing w:before="108" w:line="277" w:lineRule="auto"/>
        <w:ind w:left="5" w:right="70" w:firstLine="415"/>
        <w:rPr>
          <w:rFonts w:ascii="宋体" w:hAnsi="宋体" w:eastAsia="宋体" w:cs="宋体"/>
          <w:color w:val="auto"/>
          <w:sz w:val="20"/>
          <w:szCs w:val="20"/>
        </w:rPr>
      </w:pPr>
      <w:r>
        <w:rPr>
          <w:rFonts w:ascii="宋体" w:hAnsi="宋体" w:eastAsia="宋体" w:cs="宋体"/>
          <w:color w:val="auto"/>
          <w:spacing w:val="7"/>
          <w:sz w:val="20"/>
          <w:szCs w:val="20"/>
        </w:rPr>
        <w:t>第十六条政府采购监督检查、投诉处理及政府采购行政处罚中对中小企业的认定，由货物制造</w:t>
      </w:r>
      <w:r>
        <w:rPr>
          <w:rFonts w:ascii="宋体" w:hAnsi="宋体" w:eastAsia="宋体" w:cs="宋体"/>
          <w:color w:val="auto"/>
          <w:spacing w:val="9"/>
          <w:sz w:val="20"/>
          <w:szCs w:val="20"/>
        </w:rPr>
        <w:t>商或者工程、服务供应商注册登记所在地的县级以上人民政府中小企业主管部门负责。</w:t>
      </w:r>
    </w:p>
    <w:p w14:paraId="22FB8879">
      <w:pPr>
        <w:spacing w:before="106" w:line="327" w:lineRule="auto"/>
        <w:ind w:right="71" w:firstLine="439"/>
        <w:rPr>
          <w:rFonts w:ascii="宋体" w:hAnsi="宋体" w:eastAsia="宋体" w:cs="宋体"/>
          <w:color w:val="auto"/>
          <w:sz w:val="20"/>
          <w:szCs w:val="20"/>
        </w:rPr>
      </w:pPr>
      <w:r>
        <w:rPr>
          <w:rFonts w:ascii="宋体" w:hAnsi="宋体" w:eastAsia="宋体" w:cs="宋体"/>
          <w:color w:val="auto"/>
          <w:spacing w:val="10"/>
          <w:sz w:val="20"/>
          <w:szCs w:val="20"/>
        </w:rPr>
        <w:t>中小企业主管部门应当在收到财政部门或者有</w:t>
      </w:r>
      <w:r>
        <w:rPr>
          <w:rFonts w:ascii="宋体" w:hAnsi="宋体" w:eastAsia="宋体" w:cs="宋体"/>
          <w:color w:val="auto"/>
          <w:spacing w:val="9"/>
          <w:sz w:val="20"/>
          <w:szCs w:val="20"/>
        </w:rPr>
        <w:t>关招标投标行政监督部门关于协助开展中小企业</w:t>
      </w:r>
      <w:r>
        <w:rPr>
          <w:rFonts w:ascii="宋体" w:hAnsi="宋体" w:eastAsia="宋体" w:cs="宋体"/>
          <w:color w:val="auto"/>
          <w:spacing w:val="7"/>
          <w:sz w:val="20"/>
          <w:szCs w:val="20"/>
        </w:rPr>
        <w:t>认定函后10个工作日内做出书面答复。</w:t>
      </w:r>
    </w:p>
    <w:p w14:paraId="633942A8">
      <w:pPr>
        <w:spacing w:before="1" w:line="294" w:lineRule="auto"/>
        <w:ind w:right="71" w:firstLine="420"/>
        <w:rPr>
          <w:rFonts w:ascii="宋体" w:hAnsi="宋体" w:eastAsia="宋体" w:cs="宋体"/>
          <w:color w:val="auto"/>
          <w:sz w:val="20"/>
          <w:szCs w:val="20"/>
        </w:rPr>
      </w:pPr>
      <w:r>
        <w:rPr>
          <w:rFonts w:ascii="宋体" w:hAnsi="宋体" w:eastAsia="宋体" w:cs="宋体"/>
          <w:color w:val="auto"/>
          <w:spacing w:val="7"/>
          <w:sz w:val="20"/>
          <w:szCs w:val="20"/>
        </w:rPr>
        <w:t>第十七条各地区、各部门应当对涉及中小企业采购的预算项目实施全过程绩效管理，合理设置</w:t>
      </w:r>
      <w:r>
        <w:rPr>
          <w:rFonts w:ascii="宋体" w:hAnsi="宋体" w:eastAsia="宋体" w:cs="宋体"/>
          <w:color w:val="auto"/>
          <w:spacing w:val="10"/>
          <w:sz w:val="20"/>
          <w:szCs w:val="20"/>
        </w:rPr>
        <w:t>绩效目标和指标，落实扶持中小企业有关政策要求，定期开展绩效监控和评价，强化绩效评价结果</w:t>
      </w:r>
      <w:r>
        <w:rPr>
          <w:rFonts w:ascii="宋体" w:hAnsi="宋体" w:eastAsia="宋体" w:cs="宋体"/>
          <w:color w:val="auto"/>
          <w:spacing w:val="3"/>
          <w:sz w:val="20"/>
          <w:szCs w:val="20"/>
        </w:rPr>
        <w:t>应用。</w:t>
      </w:r>
    </w:p>
    <w:p w14:paraId="1FF4D636">
      <w:pPr>
        <w:spacing w:before="106" w:line="294" w:lineRule="auto"/>
        <w:ind w:left="2" w:right="73" w:firstLine="418"/>
        <w:rPr>
          <w:rFonts w:ascii="宋体" w:hAnsi="宋体" w:eastAsia="宋体" w:cs="宋体"/>
          <w:color w:val="auto"/>
          <w:sz w:val="20"/>
          <w:szCs w:val="20"/>
        </w:rPr>
      </w:pPr>
      <w:r>
        <w:rPr>
          <w:rFonts w:ascii="宋体" w:hAnsi="宋体" w:eastAsia="宋体" w:cs="宋体"/>
          <w:color w:val="auto"/>
          <w:spacing w:val="11"/>
          <w:sz w:val="20"/>
          <w:szCs w:val="20"/>
        </w:rPr>
        <w:t>第十八条主管预算单位应当自</w:t>
      </w:r>
      <w:r>
        <w:rPr>
          <w:rFonts w:ascii="Calibri" w:hAnsi="Calibri" w:eastAsia="Calibri" w:cs="Calibri"/>
          <w:color w:val="auto"/>
          <w:spacing w:val="11"/>
          <w:sz w:val="20"/>
          <w:szCs w:val="20"/>
        </w:rPr>
        <w:t>2022</w:t>
      </w:r>
      <w:r>
        <w:rPr>
          <w:rFonts w:ascii="宋体" w:hAnsi="宋体" w:eastAsia="宋体" w:cs="宋体"/>
          <w:color w:val="auto"/>
          <w:spacing w:val="11"/>
          <w:sz w:val="20"/>
          <w:szCs w:val="20"/>
        </w:rPr>
        <w:t>年起向同级财政部门报告本部门上一</w:t>
      </w:r>
      <w:r>
        <w:rPr>
          <w:rFonts w:ascii="宋体" w:hAnsi="宋体" w:eastAsia="宋体" w:cs="宋体"/>
          <w:color w:val="auto"/>
          <w:spacing w:val="10"/>
          <w:sz w:val="20"/>
          <w:szCs w:val="20"/>
        </w:rPr>
        <w:t>年度面向中小企业</w:t>
      </w:r>
      <w:r>
        <w:rPr>
          <w:rFonts w:ascii="宋体" w:hAnsi="宋体" w:eastAsia="宋体" w:cs="宋体"/>
          <w:color w:val="auto"/>
          <w:spacing w:val="8"/>
          <w:sz w:val="20"/>
          <w:szCs w:val="20"/>
        </w:rPr>
        <w:t>预留份额和采购的具体情况，并在中国政府采</w:t>
      </w:r>
      <w:r>
        <w:rPr>
          <w:rFonts w:ascii="宋体" w:hAnsi="宋体" w:eastAsia="宋体" w:cs="宋体"/>
          <w:color w:val="auto"/>
          <w:spacing w:val="7"/>
          <w:sz w:val="20"/>
          <w:szCs w:val="20"/>
        </w:rPr>
        <w:t>购网公开预留项目执行情况</w:t>
      </w:r>
      <w:r>
        <w:rPr>
          <w:rFonts w:hint="eastAsia" w:eastAsia="宋体" w:cs="Calibri"/>
          <w:color w:val="auto"/>
          <w:spacing w:val="7"/>
          <w:sz w:val="20"/>
          <w:szCs w:val="20"/>
          <w:lang w:eastAsia="zh-CN"/>
        </w:rPr>
        <w:t>（</w:t>
      </w:r>
      <w:r>
        <w:rPr>
          <w:rFonts w:ascii="宋体" w:hAnsi="宋体" w:eastAsia="宋体" w:cs="宋体"/>
          <w:color w:val="auto"/>
          <w:spacing w:val="7"/>
          <w:sz w:val="20"/>
          <w:szCs w:val="20"/>
        </w:rPr>
        <w:t>附</w:t>
      </w:r>
      <w:r>
        <w:rPr>
          <w:rFonts w:ascii="Calibri" w:hAnsi="Calibri" w:eastAsia="Calibri" w:cs="Calibri"/>
          <w:color w:val="auto"/>
          <w:spacing w:val="7"/>
          <w:sz w:val="20"/>
          <w:szCs w:val="20"/>
        </w:rPr>
        <w:t>2</w:t>
      </w:r>
      <w:r>
        <w:rPr>
          <w:rFonts w:hint="eastAsia" w:eastAsia="宋体" w:cs="Calibri"/>
          <w:color w:val="auto"/>
          <w:spacing w:val="7"/>
          <w:sz w:val="20"/>
          <w:szCs w:val="20"/>
          <w:lang w:eastAsia="zh-CN"/>
        </w:rPr>
        <w:t>）</w:t>
      </w:r>
      <w:r>
        <w:rPr>
          <w:rFonts w:ascii="宋体" w:hAnsi="宋体" w:eastAsia="宋体" w:cs="宋体"/>
          <w:color w:val="auto"/>
          <w:spacing w:val="7"/>
          <w:sz w:val="20"/>
          <w:szCs w:val="20"/>
        </w:rPr>
        <w:t>。未达到本办法规定</w:t>
      </w:r>
      <w:r>
        <w:rPr>
          <w:rFonts w:ascii="宋体" w:hAnsi="宋体" w:eastAsia="宋体" w:cs="宋体"/>
          <w:color w:val="auto"/>
          <w:spacing w:val="8"/>
          <w:sz w:val="20"/>
          <w:szCs w:val="20"/>
        </w:rPr>
        <w:t>的预留份额比例的，应当作出说明。</w:t>
      </w:r>
    </w:p>
    <w:p w14:paraId="53EBF1FA">
      <w:pPr>
        <w:spacing w:before="110" w:line="293" w:lineRule="auto"/>
        <w:ind w:left="5" w:right="71" w:firstLine="415"/>
        <w:rPr>
          <w:rFonts w:ascii="宋体" w:hAnsi="宋体" w:eastAsia="宋体" w:cs="宋体"/>
          <w:color w:val="auto"/>
          <w:sz w:val="20"/>
          <w:szCs w:val="20"/>
        </w:rPr>
      </w:pPr>
      <w:r>
        <w:rPr>
          <w:rFonts w:ascii="宋体" w:hAnsi="宋体" w:eastAsia="宋体" w:cs="宋体"/>
          <w:color w:val="auto"/>
          <w:spacing w:val="10"/>
          <w:sz w:val="20"/>
          <w:szCs w:val="20"/>
        </w:rPr>
        <w:t>第十九条采购人未按本办法规定为中小企业预留采购份额，采购人</w:t>
      </w:r>
      <w:r>
        <w:rPr>
          <w:rFonts w:ascii="宋体" w:hAnsi="宋体" w:eastAsia="宋体" w:cs="宋体"/>
          <w:color w:val="auto"/>
          <w:spacing w:val="9"/>
          <w:sz w:val="20"/>
          <w:szCs w:val="20"/>
        </w:rPr>
        <w:t>、采购代理机构未按照本</w:t>
      </w:r>
      <w:r>
        <w:rPr>
          <w:rFonts w:ascii="宋体" w:hAnsi="宋体" w:eastAsia="宋体" w:cs="宋体"/>
          <w:color w:val="auto"/>
          <w:spacing w:val="10"/>
          <w:sz w:val="20"/>
          <w:szCs w:val="20"/>
        </w:rPr>
        <w:t>办法规定要求实施价格扣除或者价格分加分的，属于未按照规定执行政府采购政策，</w:t>
      </w:r>
      <w:r>
        <w:rPr>
          <w:rFonts w:ascii="宋体" w:hAnsi="宋体" w:eastAsia="宋体" w:cs="宋体"/>
          <w:color w:val="auto"/>
          <w:spacing w:val="9"/>
          <w:sz w:val="20"/>
          <w:szCs w:val="20"/>
        </w:rPr>
        <w:t>依照《中华人民共和国政府采购法》等国家有关规定追究法律责任。</w:t>
      </w:r>
    </w:p>
    <w:p w14:paraId="2C52D2FF">
      <w:pPr>
        <w:spacing w:before="108" w:line="277" w:lineRule="auto"/>
        <w:ind w:left="2" w:right="28" w:firstLine="418"/>
        <w:rPr>
          <w:rFonts w:ascii="宋体" w:hAnsi="宋体" w:eastAsia="宋体" w:cs="宋体"/>
          <w:color w:val="auto"/>
          <w:sz w:val="20"/>
          <w:szCs w:val="20"/>
        </w:rPr>
      </w:pPr>
      <w:r>
        <w:rPr>
          <w:rFonts w:ascii="宋体" w:hAnsi="宋体" w:eastAsia="宋体" w:cs="宋体"/>
          <w:color w:val="auto"/>
          <w:spacing w:val="8"/>
          <w:sz w:val="20"/>
          <w:szCs w:val="20"/>
        </w:rPr>
        <w:t>第二十条供应商按照本办法规定提供声明函内容不实的，属于提供虚假材料谋取中标、成交，</w:t>
      </w:r>
      <w:r>
        <w:rPr>
          <w:rFonts w:ascii="宋体" w:hAnsi="宋体" w:eastAsia="宋体" w:cs="宋体"/>
          <w:color w:val="auto"/>
          <w:spacing w:val="9"/>
          <w:sz w:val="20"/>
          <w:szCs w:val="20"/>
        </w:rPr>
        <w:t>依照《中华人民共和国政府采购法》等国家有关规定追究相应责任。</w:t>
      </w:r>
    </w:p>
    <w:p w14:paraId="504D8C3F">
      <w:pPr>
        <w:spacing w:before="107" w:line="327" w:lineRule="auto"/>
        <w:ind w:left="4" w:right="71" w:firstLine="416"/>
        <w:rPr>
          <w:rFonts w:ascii="宋体" w:hAnsi="宋体" w:eastAsia="宋体" w:cs="宋体"/>
          <w:color w:val="auto"/>
          <w:sz w:val="20"/>
          <w:szCs w:val="20"/>
        </w:rPr>
      </w:pPr>
      <w:r>
        <w:rPr>
          <w:rFonts w:ascii="宋体" w:hAnsi="宋体" w:eastAsia="宋体" w:cs="宋体"/>
          <w:color w:val="auto"/>
          <w:spacing w:val="10"/>
          <w:sz w:val="20"/>
          <w:szCs w:val="20"/>
        </w:rPr>
        <w:t>适用招标投标法的政府采购工程建设项目，供应商按照本办法规定提供声明函内容不实的，属</w:t>
      </w:r>
      <w:r>
        <w:rPr>
          <w:rFonts w:ascii="宋体" w:hAnsi="宋体" w:eastAsia="宋体" w:cs="宋体"/>
          <w:color w:val="auto"/>
          <w:spacing w:val="9"/>
          <w:sz w:val="20"/>
          <w:szCs w:val="20"/>
        </w:rPr>
        <w:t>于弄虚作假骗取中标，依照《中华人民共和国招标投标法》等国家有关规定追究相应责任。</w:t>
      </w:r>
    </w:p>
    <w:p w14:paraId="074AFCF5">
      <w:pPr>
        <w:spacing w:before="2" w:line="300" w:lineRule="auto"/>
        <w:ind w:right="71" w:firstLine="420"/>
        <w:rPr>
          <w:rFonts w:ascii="宋体" w:hAnsi="宋体" w:eastAsia="宋体" w:cs="宋体"/>
          <w:color w:val="auto"/>
          <w:sz w:val="20"/>
          <w:szCs w:val="20"/>
        </w:rPr>
      </w:pPr>
      <w:r>
        <w:rPr>
          <w:rFonts w:ascii="宋体" w:hAnsi="宋体" w:eastAsia="宋体" w:cs="宋体"/>
          <w:color w:val="auto"/>
          <w:spacing w:val="7"/>
          <w:sz w:val="20"/>
          <w:szCs w:val="20"/>
        </w:rPr>
        <w:t>第二十一条财政部门、中小企业主管部门及其工作人员在履行职责中违反本办法规定及存在其</w:t>
      </w:r>
      <w:r>
        <w:rPr>
          <w:rFonts w:ascii="宋体" w:hAnsi="宋体" w:eastAsia="宋体" w:cs="宋体"/>
          <w:color w:val="auto"/>
          <w:spacing w:val="10"/>
          <w:sz w:val="20"/>
          <w:szCs w:val="20"/>
        </w:rPr>
        <w:t>他滥用职权、玩忽职守、徇私舞弊等违法违纪行为的，依照《中华人民共和国政府采购法》、《中华人民共和国公务员法》、《中华人民共和</w:t>
      </w:r>
      <w:r>
        <w:rPr>
          <w:color w:val="auto"/>
        </w:rPr>
        <w:fldChar w:fldCharType="begin"/>
      </w:r>
      <w:r>
        <w:rPr>
          <w:color w:val="auto"/>
        </w:rPr>
        <w:instrText xml:space="preserve"> HYPERLINK "http://10.162.100.18:168/golaw?dbnm=gjfg&amp;flid=1129012015130679" </w:instrText>
      </w:r>
      <w:r>
        <w:rPr>
          <w:color w:val="auto"/>
        </w:rPr>
        <w:fldChar w:fldCharType="separate"/>
      </w:r>
      <w:r>
        <w:rPr>
          <w:rFonts w:ascii="宋体" w:hAnsi="宋体" w:eastAsia="宋体" w:cs="宋体"/>
          <w:color w:val="auto"/>
          <w:spacing w:val="10"/>
          <w:sz w:val="20"/>
          <w:szCs w:val="20"/>
        </w:rPr>
        <w:t>国监察法》、《中华人</w:t>
      </w:r>
      <w:r>
        <w:rPr>
          <w:rFonts w:ascii="宋体" w:hAnsi="宋体" w:eastAsia="宋体" w:cs="宋体"/>
          <w:color w:val="auto"/>
          <w:spacing w:val="9"/>
          <w:sz w:val="20"/>
          <w:szCs w:val="20"/>
        </w:rPr>
        <w:t>民共和国政府采购法实施条例》</w:t>
      </w:r>
      <w:r>
        <w:rPr>
          <w:rFonts w:ascii="宋体" w:hAnsi="宋体" w:eastAsia="宋体" w:cs="宋体"/>
          <w:color w:val="auto"/>
          <w:spacing w:val="9"/>
          <w:sz w:val="20"/>
          <w:szCs w:val="20"/>
        </w:rPr>
        <w:fldChar w:fldCharType="end"/>
      </w:r>
      <w:r>
        <w:rPr>
          <w:color w:val="auto"/>
        </w:rPr>
        <w:fldChar w:fldCharType="begin"/>
      </w:r>
      <w:r>
        <w:rPr>
          <w:color w:val="auto"/>
        </w:rPr>
        <w:instrText xml:space="preserve"> HYPERLINK "http://10.162.100.18:168/golaw?dbnm=gjfg&amp;flid=1129012015130679" </w:instrText>
      </w:r>
      <w:r>
        <w:rPr>
          <w:color w:val="auto"/>
        </w:rPr>
        <w:fldChar w:fldCharType="separate"/>
      </w:r>
      <w:r>
        <w:rPr>
          <w:rFonts w:ascii="宋体" w:hAnsi="宋体" w:eastAsia="宋体" w:cs="宋体"/>
          <w:color w:val="auto"/>
          <w:spacing w:val="9"/>
          <w:sz w:val="20"/>
          <w:szCs w:val="20"/>
        </w:rPr>
        <w:t>等国家</w:t>
      </w:r>
      <w:r>
        <w:rPr>
          <w:rFonts w:ascii="宋体" w:hAnsi="宋体" w:eastAsia="宋体" w:cs="宋体"/>
          <w:color w:val="auto"/>
          <w:spacing w:val="9"/>
          <w:sz w:val="20"/>
          <w:szCs w:val="20"/>
        </w:rPr>
        <w:fldChar w:fldCharType="end"/>
      </w:r>
      <w:r>
        <w:rPr>
          <w:rFonts w:ascii="宋体" w:hAnsi="宋体" w:eastAsia="宋体" w:cs="宋体"/>
          <w:color w:val="auto"/>
          <w:spacing w:val="9"/>
          <w:sz w:val="20"/>
          <w:szCs w:val="20"/>
        </w:rPr>
        <w:t>有关规定追究相应责任；涉嫌犯罪的，依法移送有关国家机关处理。</w:t>
      </w:r>
    </w:p>
    <w:p w14:paraId="694A7087">
      <w:pPr>
        <w:spacing w:before="114" w:line="227" w:lineRule="auto"/>
        <w:jc w:val="right"/>
        <w:rPr>
          <w:rFonts w:ascii="宋体" w:hAnsi="宋体" w:eastAsia="宋体" w:cs="宋体"/>
          <w:color w:val="auto"/>
          <w:sz w:val="20"/>
          <w:szCs w:val="20"/>
        </w:rPr>
      </w:pPr>
      <w:r>
        <w:rPr>
          <w:rFonts w:ascii="宋体" w:hAnsi="宋体" w:eastAsia="宋体" w:cs="宋体"/>
          <w:color w:val="auto"/>
          <w:spacing w:val="9"/>
          <w:sz w:val="20"/>
          <w:szCs w:val="20"/>
        </w:rPr>
        <w:t>第二十二条对外援助项目、国家相关资格或者资质管理制度另有规定的</w:t>
      </w:r>
      <w:r>
        <w:rPr>
          <w:rFonts w:ascii="宋体" w:hAnsi="宋体" w:eastAsia="宋体" w:cs="宋体"/>
          <w:color w:val="auto"/>
          <w:spacing w:val="8"/>
          <w:sz w:val="20"/>
          <w:szCs w:val="20"/>
        </w:rPr>
        <w:t>项目，不适用本办法。</w:t>
      </w:r>
    </w:p>
    <w:p w14:paraId="2DEB75C3">
      <w:pPr>
        <w:spacing w:before="109" w:line="277" w:lineRule="auto"/>
        <w:ind w:left="1" w:right="71" w:firstLine="419"/>
        <w:rPr>
          <w:rFonts w:ascii="宋体" w:hAnsi="宋体" w:eastAsia="宋体" w:cs="宋体"/>
          <w:color w:val="auto"/>
          <w:sz w:val="20"/>
          <w:szCs w:val="20"/>
        </w:rPr>
      </w:pPr>
      <w:r>
        <w:rPr>
          <w:rFonts w:ascii="宋体" w:hAnsi="宋体" w:eastAsia="宋体" w:cs="宋体"/>
          <w:color w:val="auto"/>
          <w:spacing w:val="10"/>
          <w:sz w:val="20"/>
          <w:szCs w:val="20"/>
        </w:rPr>
        <w:t>第二十三条关于视同中小企业的其他主体的政府采购扶持政策，由</w:t>
      </w:r>
      <w:r>
        <w:rPr>
          <w:rFonts w:ascii="宋体" w:hAnsi="宋体" w:eastAsia="宋体" w:cs="宋体"/>
          <w:color w:val="auto"/>
          <w:spacing w:val="9"/>
          <w:sz w:val="20"/>
          <w:szCs w:val="20"/>
        </w:rPr>
        <w:t>财政部会同有关部门另行</w:t>
      </w:r>
      <w:r>
        <w:rPr>
          <w:rFonts w:ascii="宋体" w:hAnsi="宋体" w:eastAsia="宋体" w:cs="宋体"/>
          <w:color w:val="auto"/>
          <w:spacing w:val="2"/>
          <w:sz w:val="20"/>
          <w:szCs w:val="20"/>
        </w:rPr>
        <w:t>规定。</w:t>
      </w:r>
    </w:p>
    <w:p w14:paraId="4DBA8F5B">
      <w:pPr>
        <w:spacing w:before="108" w:line="227" w:lineRule="auto"/>
        <w:ind w:left="420"/>
        <w:rPr>
          <w:rFonts w:ascii="宋体" w:hAnsi="宋体" w:eastAsia="宋体" w:cs="宋体"/>
          <w:color w:val="auto"/>
          <w:sz w:val="20"/>
          <w:szCs w:val="20"/>
        </w:rPr>
      </w:pPr>
      <w:r>
        <w:rPr>
          <w:rFonts w:ascii="宋体" w:hAnsi="宋体" w:eastAsia="宋体" w:cs="宋体"/>
          <w:color w:val="auto"/>
          <w:spacing w:val="9"/>
          <w:sz w:val="20"/>
          <w:szCs w:val="20"/>
        </w:rPr>
        <w:t>第二十四条省级财政部门可以会同中小企业主管部门根据本办法的规定制定具体实施办法。</w:t>
      </w:r>
    </w:p>
    <w:p w14:paraId="4FA92A27">
      <w:pPr>
        <w:spacing w:line="227" w:lineRule="auto"/>
        <w:rPr>
          <w:rFonts w:ascii="宋体" w:hAnsi="宋体" w:eastAsia="宋体" w:cs="宋体"/>
          <w:color w:val="auto"/>
          <w:sz w:val="20"/>
          <w:szCs w:val="20"/>
        </w:rPr>
        <w:sectPr>
          <w:footerReference r:id="rId11" w:type="default"/>
          <w:pgSz w:w="11906" w:h="16839"/>
          <w:pgMar w:top="1406" w:right="1095" w:bottom="1018" w:left="1708" w:header="0" w:footer="852" w:gutter="0"/>
          <w:pgNumType w:fmt="decimal"/>
          <w:cols w:space="720" w:num="1"/>
        </w:sectPr>
      </w:pPr>
    </w:p>
    <w:p w14:paraId="3EC0BE74">
      <w:pPr>
        <w:spacing w:before="42" w:line="329" w:lineRule="auto"/>
        <w:ind w:left="18" w:hanging="19"/>
        <w:rPr>
          <w:rFonts w:ascii="宋体" w:hAnsi="宋体" w:eastAsia="宋体" w:cs="宋体"/>
          <w:color w:val="auto"/>
          <w:sz w:val="20"/>
          <w:szCs w:val="20"/>
        </w:rPr>
      </w:pPr>
      <w:r>
        <w:rPr>
          <w:rFonts w:ascii="宋体" w:hAnsi="宋体" w:eastAsia="宋体" w:cs="宋体"/>
          <w:color w:val="auto"/>
          <w:spacing w:val="4"/>
          <w:sz w:val="20"/>
          <w:szCs w:val="20"/>
        </w:rPr>
        <w:t>第二十五条本办法自</w:t>
      </w:r>
      <w:r>
        <w:rPr>
          <w:rFonts w:ascii="Calibri" w:hAnsi="Calibri" w:eastAsia="Calibri" w:cs="Calibri"/>
          <w:color w:val="auto"/>
          <w:spacing w:val="4"/>
          <w:sz w:val="20"/>
          <w:szCs w:val="20"/>
        </w:rPr>
        <w:t>2021</w:t>
      </w:r>
      <w:r>
        <w:rPr>
          <w:rFonts w:ascii="宋体" w:hAnsi="宋体" w:eastAsia="宋体" w:cs="宋体"/>
          <w:color w:val="auto"/>
          <w:spacing w:val="4"/>
          <w:sz w:val="20"/>
          <w:szCs w:val="20"/>
        </w:rPr>
        <w:t>年</w:t>
      </w:r>
      <w:r>
        <w:rPr>
          <w:rFonts w:ascii="Calibri" w:hAnsi="Calibri" w:eastAsia="Calibri" w:cs="Calibri"/>
          <w:color w:val="auto"/>
          <w:spacing w:val="4"/>
          <w:sz w:val="20"/>
          <w:szCs w:val="20"/>
        </w:rPr>
        <w:t>1</w:t>
      </w:r>
      <w:r>
        <w:rPr>
          <w:rFonts w:ascii="宋体" w:hAnsi="宋体" w:eastAsia="宋体" w:cs="宋体"/>
          <w:color w:val="auto"/>
          <w:spacing w:val="4"/>
          <w:sz w:val="20"/>
          <w:szCs w:val="20"/>
        </w:rPr>
        <w:t>月</w:t>
      </w:r>
      <w:r>
        <w:rPr>
          <w:rFonts w:ascii="Calibri" w:hAnsi="Calibri" w:eastAsia="Calibri" w:cs="Calibri"/>
          <w:color w:val="auto"/>
          <w:spacing w:val="4"/>
          <w:sz w:val="20"/>
          <w:szCs w:val="20"/>
        </w:rPr>
        <w:t>1</w:t>
      </w:r>
      <w:r>
        <w:rPr>
          <w:rFonts w:ascii="宋体" w:hAnsi="宋体" w:eastAsia="宋体" w:cs="宋体"/>
          <w:color w:val="auto"/>
          <w:spacing w:val="4"/>
          <w:sz w:val="20"/>
          <w:szCs w:val="20"/>
        </w:rPr>
        <w:t>日起施行。《财政部工业和信息化部关于印发〈政府</w:t>
      </w:r>
      <w:r>
        <w:rPr>
          <w:rFonts w:ascii="宋体" w:hAnsi="宋体" w:eastAsia="宋体" w:cs="宋体"/>
          <w:color w:val="auto"/>
          <w:spacing w:val="3"/>
          <w:sz w:val="20"/>
          <w:szCs w:val="20"/>
        </w:rPr>
        <w:t>采购促进</w:t>
      </w:r>
      <w:r>
        <w:rPr>
          <w:rFonts w:ascii="宋体" w:hAnsi="宋体" w:eastAsia="宋体" w:cs="宋体"/>
          <w:color w:val="auto"/>
          <w:spacing w:val="7"/>
          <w:sz w:val="20"/>
          <w:szCs w:val="20"/>
        </w:rPr>
        <w:t>中小企业发展暂行办法〉的通知》（财库﹝</w:t>
      </w:r>
      <w:r>
        <w:rPr>
          <w:rFonts w:ascii="Calibri" w:hAnsi="Calibri" w:eastAsia="Calibri" w:cs="Calibri"/>
          <w:color w:val="auto"/>
          <w:spacing w:val="7"/>
          <w:sz w:val="20"/>
          <w:szCs w:val="20"/>
        </w:rPr>
        <w:t>2</w:t>
      </w:r>
      <w:r>
        <w:rPr>
          <w:rFonts w:ascii="Calibri" w:hAnsi="Calibri" w:eastAsia="Calibri" w:cs="Calibri"/>
          <w:color w:val="auto"/>
          <w:spacing w:val="6"/>
          <w:sz w:val="20"/>
          <w:szCs w:val="20"/>
        </w:rPr>
        <w:t>011</w:t>
      </w:r>
      <w:r>
        <w:rPr>
          <w:rFonts w:ascii="宋体" w:hAnsi="宋体" w:eastAsia="宋体" w:cs="宋体"/>
          <w:color w:val="auto"/>
          <w:spacing w:val="6"/>
          <w:sz w:val="20"/>
          <w:szCs w:val="20"/>
        </w:rPr>
        <w:t>﹞</w:t>
      </w:r>
      <w:r>
        <w:rPr>
          <w:rFonts w:ascii="Calibri" w:hAnsi="Calibri" w:eastAsia="Calibri" w:cs="Calibri"/>
          <w:color w:val="auto"/>
          <w:spacing w:val="6"/>
          <w:sz w:val="20"/>
          <w:szCs w:val="20"/>
        </w:rPr>
        <w:t>181</w:t>
      </w:r>
      <w:r>
        <w:rPr>
          <w:rFonts w:ascii="宋体" w:hAnsi="宋体" w:eastAsia="宋体" w:cs="宋体"/>
          <w:color w:val="auto"/>
          <w:spacing w:val="6"/>
          <w:sz w:val="20"/>
          <w:szCs w:val="20"/>
        </w:rPr>
        <w:t>号）同时废止。</w:t>
      </w:r>
    </w:p>
    <w:p w14:paraId="3D270A8F">
      <w:pPr>
        <w:spacing w:line="329" w:lineRule="auto"/>
        <w:rPr>
          <w:rFonts w:ascii="宋体" w:hAnsi="宋体" w:eastAsia="宋体" w:cs="宋体"/>
          <w:color w:val="auto"/>
          <w:sz w:val="20"/>
          <w:szCs w:val="20"/>
        </w:rPr>
        <w:sectPr>
          <w:footerReference r:id="rId12" w:type="default"/>
          <w:pgSz w:w="11906" w:h="16839"/>
          <w:pgMar w:top="1406" w:right="1168" w:bottom="1018" w:left="1709" w:header="0" w:footer="852" w:gutter="0"/>
          <w:pgNumType w:fmt="decimal"/>
          <w:cols w:space="720" w:num="1"/>
        </w:sectPr>
      </w:pPr>
    </w:p>
    <w:p w14:paraId="54651691">
      <w:pPr>
        <w:pStyle w:val="9"/>
        <w:spacing w:line="290" w:lineRule="auto"/>
        <w:rPr>
          <w:color w:val="auto"/>
        </w:rPr>
      </w:pPr>
    </w:p>
    <w:p w14:paraId="20817F83">
      <w:pPr>
        <w:spacing w:before="91" w:line="219" w:lineRule="auto"/>
        <w:ind w:left="659"/>
        <w:rPr>
          <w:rFonts w:ascii="宋体" w:hAnsi="宋体" w:eastAsia="宋体" w:cs="宋体"/>
          <w:color w:val="auto"/>
          <w:sz w:val="28"/>
          <w:szCs w:val="28"/>
        </w:rPr>
      </w:pPr>
      <w:r>
        <w:rPr>
          <w:rFonts w:ascii="宋体" w:hAnsi="宋体" w:eastAsia="宋体" w:cs="宋体"/>
          <w:b/>
          <w:bCs/>
          <w:color w:val="auto"/>
          <w:spacing w:val="-2"/>
          <w:sz w:val="28"/>
          <w:szCs w:val="28"/>
        </w:rPr>
        <w:t>财政部司法部关于政府采购支持监狱企业</w:t>
      </w:r>
      <w:r>
        <w:rPr>
          <w:rFonts w:ascii="宋体" w:hAnsi="宋体" w:eastAsia="宋体" w:cs="宋体"/>
          <w:b/>
          <w:bCs/>
          <w:color w:val="auto"/>
          <w:spacing w:val="-3"/>
          <w:sz w:val="28"/>
          <w:szCs w:val="28"/>
        </w:rPr>
        <w:t>发展有关问题的通知</w:t>
      </w:r>
    </w:p>
    <w:p w14:paraId="5709B5F4">
      <w:pPr>
        <w:spacing w:before="209" w:line="220" w:lineRule="auto"/>
        <w:ind w:left="3271"/>
        <w:rPr>
          <w:rFonts w:hint="eastAsia" w:ascii="宋体" w:hAnsi="宋体" w:eastAsia="宋体" w:cs="宋体"/>
          <w:color w:val="auto"/>
          <w:sz w:val="28"/>
          <w:szCs w:val="28"/>
          <w:lang w:eastAsia="zh-CN"/>
        </w:rPr>
      </w:pPr>
      <w:r>
        <w:rPr>
          <w:rFonts w:hint="eastAsia" w:ascii="宋体" w:hAnsi="宋体" w:cs="宋体"/>
          <w:b/>
          <w:bCs/>
          <w:color w:val="auto"/>
          <w:spacing w:val="-9"/>
          <w:sz w:val="28"/>
          <w:szCs w:val="28"/>
          <w:lang w:eastAsia="zh-CN"/>
        </w:rPr>
        <w:t>（</w:t>
      </w:r>
      <w:r>
        <w:rPr>
          <w:rFonts w:ascii="宋体" w:hAnsi="宋体" w:eastAsia="宋体" w:cs="宋体"/>
          <w:b/>
          <w:bCs/>
          <w:color w:val="auto"/>
          <w:spacing w:val="-9"/>
          <w:sz w:val="28"/>
          <w:szCs w:val="28"/>
        </w:rPr>
        <w:t>财库〔2014〕68号</w:t>
      </w:r>
      <w:r>
        <w:rPr>
          <w:rFonts w:hint="eastAsia" w:ascii="宋体" w:hAnsi="宋体" w:cs="宋体"/>
          <w:b/>
          <w:bCs/>
          <w:color w:val="auto"/>
          <w:spacing w:val="-9"/>
          <w:sz w:val="28"/>
          <w:szCs w:val="28"/>
          <w:lang w:eastAsia="zh-CN"/>
        </w:rPr>
        <w:t>）</w:t>
      </w:r>
    </w:p>
    <w:p w14:paraId="7B43CF7D">
      <w:pPr>
        <w:spacing w:before="202" w:line="327" w:lineRule="auto"/>
        <w:ind w:left="1" w:right="71" w:firstLine="420"/>
        <w:jc w:val="both"/>
        <w:rPr>
          <w:rFonts w:ascii="宋体" w:hAnsi="宋体" w:eastAsia="宋体" w:cs="宋体"/>
          <w:color w:val="auto"/>
          <w:sz w:val="20"/>
          <w:szCs w:val="20"/>
        </w:rPr>
      </w:pPr>
      <w:r>
        <w:rPr>
          <w:rFonts w:ascii="宋体" w:hAnsi="宋体" w:eastAsia="宋体" w:cs="宋体"/>
          <w:color w:val="auto"/>
          <w:spacing w:val="10"/>
          <w:sz w:val="20"/>
          <w:szCs w:val="20"/>
        </w:rPr>
        <w:t>党中央有关部门，国务院各部委、各直属机构，全国人大常委会办公厅，全国政协办公厅</w:t>
      </w:r>
      <w:r>
        <w:rPr>
          <w:rFonts w:ascii="宋体" w:hAnsi="宋体" w:eastAsia="宋体" w:cs="宋体"/>
          <w:color w:val="auto"/>
          <w:spacing w:val="9"/>
          <w:sz w:val="20"/>
          <w:szCs w:val="20"/>
        </w:rPr>
        <w:t>，高</w:t>
      </w:r>
      <w:r>
        <w:rPr>
          <w:rFonts w:ascii="宋体" w:hAnsi="宋体" w:eastAsia="宋体" w:cs="宋体"/>
          <w:color w:val="auto"/>
          <w:spacing w:val="10"/>
          <w:sz w:val="20"/>
          <w:szCs w:val="20"/>
        </w:rPr>
        <w:t>法院，高检院，有关人民团体，中央国家机关政府采购中心，中共中央直属机关采购中心，全</w:t>
      </w:r>
      <w:r>
        <w:rPr>
          <w:rFonts w:ascii="宋体" w:hAnsi="宋体" w:eastAsia="宋体" w:cs="宋体"/>
          <w:color w:val="auto"/>
          <w:spacing w:val="9"/>
          <w:sz w:val="20"/>
          <w:szCs w:val="20"/>
        </w:rPr>
        <w:t>国人</w:t>
      </w:r>
      <w:r>
        <w:rPr>
          <w:rFonts w:ascii="宋体" w:hAnsi="宋体" w:eastAsia="宋体" w:cs="宋体"/>
          <w:color w:val="auto"/>
          <w:spacing w:val="8"/>
          <w:sz w:val="20"/>
          <w:szCs w:val="20"/>
        </w:rPr>
        <w:t>大机关采购中心，各省、自治区、直辖市、计划单列市财政厅（局）、司法厅（局</w:t>
      </w:r>
      <w:r>
        <w:rPr>
          <w:rFonts w:ascii="宋体" w:hAnsi="宋体" w:eastAsia="宋体" w:cs="宋体"/>
          <w:color w:val="auto"/>
          <w:spacing w:val="24"/>
          <w:sz w:val="20"/>
          <w:szCs w:val="20"/>
        </w:rPr>
        <w:t>），</w:t>
      </w:r>
      <w:r>
        <w:rPr>
          <w:rFonts w:ascii="宋体" w:hAnsi="宋体" w:eastAsia="宋体" w:cs="宋体"/>
          <w:color w:val="auto"/>
          <w:spacing w:val="8"/>
          <w:sz w:val="20"/>
          <w:szCs w:val="20"/>
        </w:rPr>
        <w:t>新疆生产建设兵团财务局、司法局、监狱管理局：</w:t>
      </w:r>
    </w:p>
    <w:p w14:paraId="13731258">
      <w:pPr>
        <w:spacing w:before="2" w:line="326" w:lineRule="auto"/>
        <w:ind w:right="16" w:firstLine="839"/>
        <w:jc w:val="both"/>
        <w:rPr>
          <w:rFonts w:ascii="宋体" w:hAnsi="宋体" w:eastAsia="宋体" w:cs="宋体"/>
          <w:color w:val="auto"/>
          <w:sz w:val="20"/>
          <w:szCs w:val="20"/>
        </w:rPr>
      </w:pPr>
      <w:r>
        <w:rPr>
          <w:rFonts w:ascii="宋体" w:hAnsi="宋体" w:eastAsia="宋体" w:cs="宋体"/>
          <w:color w:val="auto"/>
          <w:spacing w:val="10"/>
          <w:sz w:val="20"/>
          <w:szCs w:val="20"/>
        </w:rPr>
        <w:t>政府采购支持监狱和戒毒企业（以下简称监狱企业）发展对稳定监狱企业生产，提高财政</w:t>
      </w:r>
      <w:r>
        <w:rPr>
          <w:rFonts w:ascii="宋体" w:hAnsi="宋体" w:eastAsia="宋体" w:cs="宋体"/>
          <w:color w:val="auto"/>
          <w:spacing w:val="7"/>
          <w:sz w:val="20"/>
          <w:szCs w:val="20"/>
        </w:rPr>
        <w:t>资金使用效益，为罪犯和戒毒人员提供长期</w:t>
      </w:r>
      <w:r>
        <w:rPr>
          <w:rFonts w:ascii="宋体" w:hAnsi="宋体" w:eastAsia="宋体" w:cs="宋体"/>
          <w:color w:val="auto"/>
          <w:spacing w:val="6"/>
          <w:sz w:val="20"/>
          <w:szCs w:val="20"/>
        </w:rPr>
        <w:t>可靠的劳动岗位，提高罪犯和戒毒人员的教育改造质量，</w:t>
      </w:r>
      <w:r>
        <w:rPr>
          <w:rFonts w:ascii="宋体" w:hAnsi="宋体" w:eastAsia="宋体" w:cs="宋体"/>
          <w:color w:val="auto"/>
          <w:spacing w:val="10"/>
          <w:sz w:val="20"/>
          <w:szCs w:val="20"/>
        </w:rPr>
        <w:t>减少重新违法犯罪，确保监狱、戒毒场所安全稳定，促进社会和谐稳定具有十分重要的意义。为进一步贯彻落实国务院《关于解决监狱企业困难的实施方案的通知》（国发[2003]7号）文件</w:t>
      </w:r>
      <w:r>
        <w:rPr>
          <w:rFonts w:ascii="宋体" w:hAnsi="宋体" w:eastAsia="宋体" w:cs="宋体"/>
          <w:color w:val="auto"/>
          <w:spacing w:val="9"/>
          <w:sz w:val="20"/>
          <w:szCs w:val="20"/>
        </w:rPr>
        <w:t>精神，发挥政府采购支持监狱企业发展的作用，现就有关事项通知如下：</w:t>
      </w:r>
    </w:p>
    <w:p w14:paraId="438DD76A">
      <w:pPr>
        <w:spacing w:before="5" w:line="306" w:lineRule="auto"/>
        <w:ind w:right="71" w:firstLine="844"/>
        <w:rPr>
          <w:rFonts w:ascii="宋体" w:hAnsi="宋体" w:eastAsia="宋体" w:cs="宋体"/>
          <w:color w:val="auto"/>
          <w:sz w:val="20"/>
          <w:szCs w:val="20"/>
        </w:rPr>
      </w:pPr>
      <w:r>
        <w:rPr>
          <w:rFonts w:ascii="宋体" w:hAnsi="宋体" w:eastAsia="宋体" w:cs="宋体"/>
          <w:color w:val="auto"/>
          <w:spacing w:val="10"/>
          <w:sz w:val="20"/>
          <w:szCs w:val="20"/>
        </w:rPr>
        <w:t>一、监狱企业是指由司法部认定的为罪犯、戒毒人员提供生产项目和劳动对象</w:t>
      </w:r>
      <w:r>
        <w:rPr>
          <w:rFonts w:ascii="宋体" w:hAnsi="宋体" w:eastAsia="宋体" w:cs="宋体"/>
          <w:color w:val="auto"/>
          <w:spacing w:val="9"/>
          <w:sz w:val="20"/>
          <w:szCs w:val="20"/>
        </w:rPr>
        <w:t>，且全部产权属于司法部监狱管理局、戒毒管理局、直属煤矿管理局，各省、自治区、直辖市监</w:t>
      </w:r>
      <w:r>
        <w:rPr>
          <w:rFonts w:ascii="宋体" w:hAnsi="宋体" w:eastAsia="宋体" w:cs="宋体"/>
          <w:color w:val="auto"/>
          <w:spacing w:val="8"/>
          <w:sz w:val="20"/>
          <w:szCs w:val="20"/>
        </w:rPr>
        <w:t>狱管理局、戒</w:t>
      </w:r>
      <w:r>
        <w:rPr>
          <w:rFonts w:ascii="宋体" w:hAnsi="宋体" w:eastAsia="宋体" w:cs="宋体"/>
          <w:color w:val="auto"/>
          <w:spacing w:val="9"/>
          <w:sz w:val="20"/>
          <w:szCs w:val="20"/>
        </w:rPr>
        <w:t>毒管理局，各地（设区的市）监狱、强制隔离戒毒所、戒毒康复所，以及新疆生产建设兵团监狱管</w:t>
      </w:r>
      <w:r>
        <w:rPr>
          <w:rFonts w:ascii="宋体" w:hAnsi="宋体" w:eastAsia="宋体" w:cs="宋体"/>
          <w:color w:val="auto"/>
          <w:spacing w:val="10"/>
          <w:sz w:val="20"/>
          <w:szCs w:val="20"/>
        </w:rPr>
        <w:t>理局、戒毒管理局的企业。监狱企业参加政府采购活动时，应当提供由省级以上监狱管理局、戒毒</w:t>
      </w:r>
      <w:r>
        <w:rPr>
          <w:rFonts w:ascii="宋体" w:hAnsi="宋体" w:eastAsia="宋体" w:cs="宋体"/>
          <w:color w:val="auto"/>
          <w:spacing w:val="9"/>
          <w:sz w:val="20"/>
          <w:szCs w:val="20"/>
        </w:rPr>
        <w:t>管理局（含新疆生产建设兵团）出具的属于监狱企业的证明文件。</w:t>
      </w:r>
    </w:p>
    <w:p w14:paraId="3F31FE16">
      <w:pPr>
        <w:spacing w:before="108" w:line="294" w:lineRule="auto"/>
        <w:ind w:left="2" w:right="71" w:firstLine="841"/>
        <w:rPr>
          <w:rFonts w:ascii="宋体" w:hAnsi="宋体" w:eastAsia="宋体" w:cs="宋体"/>
          <w:color w:val="auto"/>
          <w:sz w:val="20"/>
          <w:szCs w:val="20"/>
        </w:rPr>
      </w:pPr>
      <w:r>
        <w:rPr>
          <w:rFonts w:ascii="宋体" w:hAnsi="宋体" w:eastAsia="宋体" w:cs="宋体"/>
          <w:color w:val="auto"/>
          <w:spacing w:val="10"/>
          <w:sz w:val="20"/>
          <w:szCs w:val="20"/>
        </w:rPr>
        <w:t>二、在政府采购活动中，监狱企业视同小型、微型企业，享受预留份额、评审</w:t>
      </w:r>
      <w:r>
        <w:rPr>
          <w:rFonts w:ascii="宋体" w:hAnsi="宋体" w:eastAsia="宋体" w:cs="宋体"/>
          <w:color w:val="auto"/>
          <w:spacing w:val="9"/>
          <w:sz w:val="20"/>
          <w:szCs w:val="20"/>
        </w:rPr>
        <w:t>中价格扣除</w:t>
      </w:r>
      <w:r>
        <w:rPr>
          <w:rFonts w:ascii="宋体" w:hAnsi="宋体" w:eastAsia="宋体" w:cs="宋体"/>
          <w:color w:val="auto"/>
          <w:spacing w:val="10"/>
          <w:sz w:val="20"/>
          <w:szCs w:val="20"/>
        </w:rPr>
        <w:t>等政府采购促进中小企业发展的政府采购政策。向监狱企业采购的金额，计入面向中小企业</w:t>
      </w:r>
      <w:r>
        <w:rPr>
          <w:rFonts w:ascii="宋体" w:hAnsi="宋体" w:eastAsia="宋体" w:cs="宋体"/>
          <w:color w:val="auto"/>
          <w:spacing w:val="9"/>
          <w:sz w:val="20"/>
          <w:szCs w:val="20"/>
        </w:rPr>
        <w:t>采购的</w:t>
      </w:r>
      <w:r>
        <w:rPr>
          <w:rFonts w:ascii="宋体" w:hAnsi="宋体" w:eastAsia="宋体" w:cs="宋体"/>
          <w:color w:val="auto"/>
          <w:spacing w:val="5"/>
          <w:sz w:val="20"/>
          <w:szCs w:val="20"/>
        </w:rPr>
        <w:t>统计数据。</w:t>
      </w:r>
    </w:p>
    <w:p w14:paraId="5A39C605">
      <w:pPr>
        <w:spacing w:before="105" w:line="307" w:lineRule="auto"/>
        <w:ind w:right="70" w:firstLine="840"/>
        <w:rPr>
          <w:rFonts w:ascii="宋体" w:hAnsi="宋体" w:eastAsia="宋体" w:cs="宋体"/>
          <w:color w:val="auto"/>
          <w:sz w:val="20"/>
          <w:szCs w:val="20"/>
        </w:rPr>
      </w:pPr>
      <w:r>
        <w:rPr>
          <w:rFonts w:ascii="宋体" w:hAnsi="宋体" w:eastAsia="宋体" w:cs="宋体"/>
          <w:color w:val="auto"/>
          <w:spacing w:val="10"/>
          <w:sz w:val="20"/>
          <w:szCs w:val="20"/>
        </w:rPr>
        <w:t>三、各地区、各部门要积极通过预留采购份额支持监狱企业。有制服采购项目的部门，应</w:t>
      </w:r>
      <w:r>
        <w:rPr>
          <w:rFonts w:ascii="宋体" w:hAnsi="宋体" w:eastAsia="宋体" w:cs="宋体"/>
          <w:color w:val="auto"/>
          <w:spacing w:val="11"/>
          <w:sz w:val="20"/>
          <w:szCs w:val="20"/>
        </w:rPr>
        <w:t>加强对政府采购预算和计划编制工作的统筹，预留本部</w:t>
      </w:r>
      <w:r>
        <w:rPr>
          <w:rFonts w:ascii="宋体" w:hAnsi="宋体" w:eastAsia="宋体" w:cs="宋体"/>
          <w:color w:val="auto"/>
          <w:spacing w:val="10"/>
          <w:sz w:val="20"/>
          <w:szCs w:val="20"/>
        </w:rPr>
        <w:t>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w:t>
      </w:r>
      <w:r>
        <w:rPr>
          <w:rFonts w:ascii="宋体" w:hAnsi="宋体" w:eastAsia="宋体" w:cs="宋体"/>
          <w:color w:val="auto"/>
          <w:spacing w:val="9"/>
          <w:sz w:val="20"/>
          <w:szCs w:val="20"/>
        </w:rPr>
        <w:t>应当根据符合教科书印制资质的监狱企业情况，提出由监狱企业印刷的比例要求。</w:t>
      </w:r>
    </w:p>
    <w:p w14:paraId="03EDBAC4">
      <w:pPr>
        <w:spacing w:before="110" w:line="276" w:lineRule="auto"/>
        <w:ind w:firstLine="859"/>
        <w:rPr>
          <w:rFonts w:ascii="宋体" w:hAnsi="宋体" w:eastAsia="宋体" w:cs="宋体"/>
          <w:color w:val="auto"/>
          <w:sz w:val="20"/>
          <w:szCs w:val="20"/>
        </w:rPr>
      </w:pPr>
      <w:r>
        <w:rPr>
          <w:rFonts w:ascii="宋体" w:hAnsi="宋体" w:eastAsia="宋体" w:cs="宋体"/>
          <w:color w:val="auto"/>
          <w:spacing w:val="9"/>
          <w:sz w:val="20"/>
          <w:szCs w:val="20"/>
        </w:rPr>
        <w:t>四、各地区可以结合本地区实际，对监狱企业生产的办公用品、家具用具、车辆维修和提</w:t>
      </w:r>
      <w:r>
        <w:rPr>
          <w:rFonts w:ascii="宋体" w:hAnsi="宋体" w:eastAsia="宋体" w:cs="宋体"/>
          <w:color w:val="auto"/>
          <w:spacing w:val="7"/>
          <w:sz w:val="20"/>
          <w:szCs w:val="20"/>
        </w:rPr>
        <w:t>供的保养服务、消防设备等，提出预留份额等政府采购支持措施，加大对监狱企业</w:t>
      </w:r>
      <w:r>
        <w:rPr>
          <w:rFonts w:ascii="宋体" w:hAnsi="宋体" w:eastAsia="宋体" w:cs="宋体"/>
          <w:color w:val="auto"/>
          <w:spacing w:val="6"/>
          <w:sz w:val="20"/>
          <w:szCs w:val="20"/>
        </w:rPr>
        <w:t>产品的采购力度。</w:t>
      </w:r>
    </w:p>
    <w:p w14:paraId="60F12A7B">
      <w:pPr>
        <w:spacing w:before="111" w:line="293" w:lineRule="auto"/>
        <w:ind w:left="8" w:right="71" w:firstLine="835"/>
        <w:rPr>
          <w:rFonts w:ascii="宋体" w:hAnsi="宋体" w:eastAsia="宋体" w:cs="宋体"/>
          <w:color w:val="auto"/>
          <w:sz w:val="20"/>
          <w:szCs w:val="20"/>
        </w:rPr>
      </w:pPr>
      <w:r>
        <w:rPr>
          <w:rFonts w:ascii="宋体" w:hAnsi="宋体" w:eastAsia="宋体" w:cs="宋体"/>
          <w:color w:val="auto"/>
          <w:spacing w:val="10"/>
          <w:sz w:val="20"/>
          <w:szCs w:val="20"/>
        </w:rPr>
        <w:t>五、各地区、各部门要高度重视，加强组织管理和监督，做好政府采购支持监</w:t>
      </w:r>
      <w:r>
        <w:rPr>
          <w:rFonts w:ascii="宋体" w:hAnsi="宋体" w:eastAsia="宋体" w:cs="宋体"/>
          <w:color w:val="auto"/>
          <w:spacing w:val="9"/>
          <w:sz w:val="20"/>
          <w:szCs w:val="20"/>
        </w:rPr>
        <w:t>狱企业发展</w:t>
      </w:r>
      <w:r>
        <w:rPr>
          <w:rFonts w:ascii="宋体" w:hAnsi="宋体" w:eastAsia="宋体" w:cs="宋体"/>
          <w:color w:val="auto"/>
          <w:spacing w:val="10"/>
          <w:sz w:val="20"/>
          <w:szCs w:val="20"/>
        </w:rPr>
        <w:t>的相关工作。有关部门要加强监管，确保面向监狱企业采购的工作依法依规</w:t>
      </w:r>
      <w:r>
        <w:rPr>
          <w:rFonts w:ascii="宋体" w:hAnsi="宋体" w:eastAsia="宋体" w:cs="宋体"/>
          <w:color w:val="auto"/>
          <w:spacing w:val="9"/>
          <w:sz w:val="20"/>
          <w:szCs w:val="20"/>
        </w:rPr>
        <w:t>进行。各监狱企业要不断提高监狱企业产品的质量和服务水平，为做好监狱企业产品政府采购工作提供有力保障。</w:t>
      </w:r>
    </w:p>
    <w:p w14:paraId="583DA533">
      <w:pPr>
        <w:spacing w:line="293" w:lineRule="auto"/>
        <w:rPr>
          <w:rFonts w:ascii="宋体" w:hAnsi="宋体" w:eastAsia="宋体" w:cs="宋体"/>
          <w:color w:val="auto"/>
          <w:sz w:val="20"/>
          <w:szCs w:val="20"/>
        </w:rPr>
        <w:sectPr>
          <w:footerReference r:id="rId13" w:type="default"/>
          <w:pgSz w:w="11906" w:h="16839"/>
          <w:pgMar w:top="1431" w:right="1095" w:bottom="1018" w:left="1708" w:header="0" w:footer="852" w:gutter="0"/>
          <w:pgNumType w:fmt="decimal"/>
          <w:cols w:space="720" w:num="1"/>
        </w:sectPr>
      </w:pPr>
    </w:p>
    <w:p w14:paraId="4BAE536C">
      <w:pPr>
        <w:pStyle w:val="9"/>
        <w:spacing w:line="327" w:lineRule="auto"/>
        <w:rPr>
          <w:color w:val="auto"/>
        </w:rPr>
      </w:pPr>
    </w:p>
    <w:p w14:paraId="63226D4A">
      <w:pPr>
        <w:spacing w:before="91" w:line="221" w:lineRule="auto"/>
        <w:ind w:left="3142"/>
        <w:rPr>
          <w:rFonts w:ascii="宋体" w:hAnsi="宋体" w:eastAsia="宋体" w:cs="宋体"/>
          <w:color w:val="auto"/>
          <w:sz w:val="28"/>
          <w:szCs w:val="28"/>
        </w:rPr>
      </w:pPr>
      <w:r>
        <w:rPr>
          <w:rFonts w:ascii="宋体" w:hAnsi="宋体" w:eastAsia="宋体" w:cs="宋体"/>
          <w:b/>
          <w:bCs/>
          <w:color w:val="auto"/>
          <w:spacing w:val="-6"/>
          <w:sz w:val="28"/>
          <w:szCs w:val="28"/>
        </w:rPr>
        <w:t>中小企业划型标准规定</w:t>
      </w:r>
    </w:p>
    <w:p w14:paraId="5AE253A0">
      <w:pPr>
        <w:pStyle w:val="9"/>
        <w:spacing w:line="413" w:lineRule="auto"/>
        <w:rPr>
          <w:color w:val="auto"/>
        </w:rPr>
      </w:pPr>
    </w:p>
    <w:p w14:paraId="2D996A58">
      <w:pPr>
        <w:spacing w:before="65" w:line="276" w:lineRule="auto"/>
        <w:ind w:left="6" w:right="71" w:firstLine="417"/>
        <w:rPr>
          <w:rFonts w:ascii="宋体" w:hAnsi="宋体" w:eastAsia="宋体" w:cs="宋体"/>
          <w:color w:val="auto"/>
          <w:sz w:val="20"/>
          <w:szCs w:val="20"/>
        </w:rPr>
      </w:pPr>
      <w:r>
        <w:rPr>
          <w:rFonts w:ascii="宋体" w:hAnsi="宋体" w:eastAsia="宋体" w:cs="宋体"/>
          <w:color w:val="auto"/>
          <w:spacing w:val="10"/>
          <w:sz w:val="20"/>
          <w:szCs w:val="20"/>
        </w:rPr>
        <w:t>一、根据《中华人民共和国中小企业促进法》和《国务院关于进一步促进中小企业</w:t>
      </w:r>
      <w:r>
        <w:rPr>
          <w:rFonts w:ascii="宋体" w:hAnsi="宋体" w:eastAsia="宋体" w:cs="宋体"/>
          <w:color w:val="auto"/>
          <w:spacing w:val="9"/>
          <w:sz w:val="20"/>
          <w:szCs w:val="20"/>
        </w:rPr>
        <w:t>发展的若干</w:t>
      </w:r>
      <w:r>
        <w:rPr>
          <w:rFonts w:ascii="宋体" w:hAnsi="宋体" w:eastAsia="宋体" w:cs="宋体"/>
          <w:color w:val="auto"/>
          <w:spacing w:val="4"/>
          <w:sz w:val="20"/>
          <w:szCs w:val="20"/>
        </w:rPr>
        <w:t>意见》</w:t>
      </w:r>
      <w:r>
        <w:rPr>
          <w:rFonts w:hint="eastAsia" w:ascii="宋体" w:hAnsi="宋体" w:cs="宋体"/>
          <w:color w:val="auto"/>
          <w:spacing w:val="4"/>
          <w:sz w:val="20"/>
          <w:szCs w:val="20"/>
          <w:lang w:eastAsia="zh-CN"/>
        </w:rPr>
        <w:t>（</w:t>
      </w:r>
      <w:r>
        <w:rPr>
          <w:rFonts w:ascii="宋体" w:hAnsi="宋体" w:eastAsia="宋体" w:cs="宋体"/>
          <w:color w:val="auto"/>
          <w:spacing w:val="4"/>
          <w:sz w:val="20"/>
          <w:szCs w:val="20"/>
        </w:rPr>
        <w:t>国发〔2009〕36号</w:t>
      </w:r>
      <w:r>
        <w:rPr>
          <w:rFonts w:hint="eastAsia" w:ascii="宋体" w:hAnsi="宋体" w:cs="宋体"/>
          <w:color w:val="auto"/>
          <w:spacing w:val="4"/>
          <w:sz w:val="20"/>
          <w:szCs w:val="20"/>
          <w:lang w:eastAsia="zh-CN"/>
        </w:rPr>
        <w:t>）</w:t>
      </w:r>
      <w:r>
        <w:rPr>
          <w:rFonts w:ascii="宋体" w:hAnsi="宋体" w:eastAsia="宋体" w:cs="宋体"/>
          <w:color w:val="auto"/>
          <w:spacing w:val="4"/>
          <w:sz w:val="20"/>
          <w:szCs w:val="20"/>
        </w:rPr>
        <w:t>，制定本规定。</w:t>
      </w:r>
    </w:p>
    <w:p w14:paraId="2567BD3F">
      <w:pPr>
        <w:spacing w:before="108" w:line="277" w:lineRule="auto"/>
        <w:ind w:right="71" w:firstLine="423"/>
        <w:rPr>
          <w:rFonts w:ascii="宋体" w:hAnsi="宋体" w:eastAsia="宋体" w:cs="宋体"/>
          <w:color w:val="auto"/>
          <w:sz w:val="20"/>
          <w:szCs w:val="20"/>
        </w:rPr>
      </w:pPr>
      <w:r>
        <w:rPr>
          <w:rFonts w:ascii="宋体" w:hAnsi="宋体" w:eastAsia="宋体" w:cs="宋体"/>
          <w:color w:val="auto"/>
          <w:spacing w:val="10"/>
          <w:sz w:val="20"/>
          <w:szCs w:val="20"/>
        </w:rPr>
        <w:t>二、中小企业划分为中型、小型、微型三种类型，具体标准根据企业从业人员、营</w:t>
      </w:r>
      <w:r>
        <w:rPr>
          <w:rFonts w:ascii="宋体" w:hAnsi="宋体" w:eastAsia="宋体" w:cs="宋体"/>
          <w:color w:val="auto"/>
          <w:spacing w:val="9"/>
          <w:sz w:val="20"/>
          <w:szCs w:val="20"/>
        </w:rPr>
        <w:t>业收入、资</w:t>
      </w:r>
      <w:r>
        <w:rPr>
          <w:rFonts w:ascii="宋体" w:hAnsi="宋体" w:eastAsia="宋体" w:cs="宋体"/>
          <w:color w:val="auto"/>
          <w:spacing w:val="8"/>
          <w:sz w:val="20"/>
          <w:szCs w:val="20"/>
        </w:rPr>
        <w:t>产总额等指标，结合行业特点制定。</w:t>
      </w:r>
    </w:p>
    <w:p w14:paraId="54BC240A">
      <w:pPr>
        <w:spacing w:before="107" w:line="307" w:lineRule="auto"/>
        <w:ind w:left="1" w:firstLine="419"/>
        <w:rPr>
          <w:rFonts w:ascii="宋体" w:hAnsi="宋体" w:eastAsia="宋体" w:cs="宋体"/>
          <w:color w:val="auto"/>
          <w:sz w:val="20"/>
          <w:szCs w:val="20"/>
        </w:rPr>
      </w:pPr>
      <w:r>
        <w:rPr>
          <w:rFonts w:ascii="宋体" w:hAnsi="宋体" w:eastAsia="宋体" w:cs="宋体"/>
          <w:color w:val="auto"/>
          <w:spacing w:val="9"/>
          <w:sz w:val="20"/>
          <w:szCs w:val="20"/>
        </w:rPr>
        <w:t>三、本规定适用的行业包括：农、林、牧、渔业，工业（包括采矿业，制造业，电力、热力、</w:t>
      </w:r>
      <w:r>
        <w:rPr>
          <w:rFonts w:ascii="宋体" w:hAnsi="宋体" w:eastAsia="宋体" w:cs="宋体"/>
          <w:color w:val="auto"/>
          <w:spacing w:val="10"/>
          <w:sz w:val="20"/>
          <w:szCs w:val="20"/>
        </w:rPr>
        <w:t>燃气及水生产和供应业</w:t>
      </w:r>
      <w:r>
        <w:rPr>
          <w:rFonts w:ascii="宋体" w:hAnsi="宋体" w:eastAsia="宋体" w:cs="宋体"/>
          <w:color w:val="auto"/>
          <w:spacing w:val="15"/>
          <w:sz w:val="20"/>
          <w:szCs w:val="20"/>
        </w:rPr>
        <w:t>），</w:t>
      </w:r>
      <w:r>
        <w:rPr>
          <w:rFonts w:ascii="宋体" w:hAnsi="宋体" w:eastAsia="宋体" w:cs="宋体"/>
          <w:color w:val="auto"/>
          <w:spacing w:val="10"/>
          <w:sz w:val="20"/>
          <w:szCs w:val="20"/>
        </w:rPr>
        <w:t>建筑业，批发业，零售业，交通运输业（不含铁路运</w:t>
      </w:r>
      <w:r>
        <w:rPr>
          <w:rFonts w:ascii="宋体" w:hAnsi="宋体" w:eastAsia="宋体" w:cs="宋体"/>
          <w:color w:val="auto"/>
          <w:spacing w:val="9"/>
          <w:sz w:val="20"/>
          <w:szCs w:val="20"/>
        </w:rPr>
        <w:t>输业</w:t>
      </w:r>
      <w:r>
        <w:rPr>
          <w:rFonts w:ascii="宋体" w:hAnsi="宋体" w:eastAsia="宋体" w:cs="宋体"/>
          <w:color w:val="auto"/>
          <w:spacing w:val="15"/>
          <w:sz w:val="20"/>
          <w:szCs w:val="20"/>
        </w:rPr>
        <w:t>），</w:t>
      </w:r>
      <w:r>
        <w:rPr>
          <w:rFonts w:ascii="宋体" w:hAnsi="宋体" w:eastAsia="宋体" w:cs="宋体"/>
          <w:color w:val="auto"/>
          <w:spacing w:val="9"/>
          <w:sz w:val="20"/>
          <w:szCs w:val="20"/>
        </w:rPr>
        <w:t>仓储业，</w:t>
      </w:r>
      <w:r>
        <w:rPr>
          <w:rFonts w:ascii="宋体" w:hAnsi="宋体" w:eastAsia="宋体" w:cs="宋体"/>
          <w:color w:val="auto"/>
          <w:spacing w:val="7"/>
          <w:sz w:val="20"/>
          <w:szCs w:val="20"/>
        </w:rPr>
        <w:t>邮政业，住宿业，餐饮业，信息传输业（包括电信、互联网和相关服务</w:t>
      </w:r>
      <w:r>
        <w:rPr>
          <w:rFonts w:ascii="宋体" w:hAnsi="宋体" w:eastAsia="宋体" w:cs="宋体"/>
          <w:color w:val="auto"/>
          <w:spacing w:val="3"/>
          <w:sz w:val="20"/>
          <w:szCs w:val="20"/>
        </w:rPr>
        <w:t>），</w:t>
      </w:r>
      <w:r>
        <w:rPr>
          <w:rFonts w:ascii="宋体" w:hAnsi="宋体" w:eastAsia="宋体" w:cs="宋体"/>
          <w:color w:val="auto"/>
          <w:spacing w:val="7"/>
          <w:sz w:val="20"/>
          <w:szCs w:val="20"/>
        </w:rPr>
        <w:t>软件和信息技术服务</w:t>
      </w:r>
      <w:r>
        <w:rPr>
          <w:rFonts w:ascii="宋体" w:hAnsi="宋体" w:eastAsia="宋体" w:cs="宋体"/>
          <w:color w:val="auto"/>
          <w:spacing w:val="6"/>
          <w:sz w:val="20"/>
          <w:szCs w:val="20"/>
        </w:rPr>
        <w:t>业，</w:t>
      </w:r>
      <w:r>
        <w:rPr>
          <w:rFonts w:ascii="宋体" w:hAnsi="宋体" w:eastAsia="宋体" w:cs="宋体"/>
          <w:color w:val="auto"/>
          <w:spacing w:val="10"/>
          <w:sz w:val="20"/>
          <w:szCs w:val="20"/>
        </w:rPr>
        <w:t>房地产开发经营，物业管理，租赁和商务服务业，其他未列明行业（包括科学研究和技术服务业，</w:t>
      </w:r>
      <w:r>
        <w:rPr>
          <w:rFonts w:ascii="宋体" w:hAnsi="宋体" w:eastAsia="宋体" w:cs="宋体"/>
          <w:color w:val="auto"/>
          <w:spacing w:val="2"/>
          <w:sz w:val="20"/>
          <w:szCs w:val="20"/>
        </w:rPr>
        <w:t>水利、环境和公共设施管理业，居民服务、修理和其他服务业，社会工作，文化、体育和娱乐业等）。</w:t>
      </w:r>
    </w:p>
    <w:p w14:paraId="07519CA2">
      <w:pPr>
        <w:spacing w:before="107" w:line="228" w:lineRule="auto"/>
        <w:ind w:left="440"/>
        <w:rPr>
          <w:rFonts w:ascii="宋体" w:hAnsi="宋体" w:eastAsia="宋体" w:cs="宋体"/>
          <w:color w:val="auto"/>
          <w:sz w:val="20"/>
          <w:szCs w:val="20"/>
        </w:rPr>
      </w:pPr>
      <w:r>
        <w:rPr>
          <w:rFonts w:ascii="宋体" w:hAnsi="宋体" w:eastAsia="宋体" w:cs="宋体"/>
          <w:color w:val="auto"/>
          <w:spacing w:val="6"/>
          <w:sz w:val="20"/>
          <w:szCs w:val="20"/>
        </w:rPr>
        <w:t>四、各行业划型标准为：</w:t>
      </w:r>
    </w:p>
    <w:p w14:paraId="69A30AE9">
      <w:pPr>
        <w:spacing w:before="109" w:line="297" w:lineRule="auto"/>
        <w:ind w:left="4" w:right="70" w:firstLine="429"/>
        <w:rPr>
          <w:rFonts w:ascii="宋体" w:hAnsi="宋体" w:eastAsia="宋体" w:cs="宋体"/>
          <w:color w:val="auto"/>
          <w:sz w:val="20"/>
          <w:szCs w:val="20"/>
        </w:rPr>
      </w:pPr>
      <w:r>
        <w:rPr>
          <w:rFonts w:ascii="宋体" w:hAnsi="宋体" w:eastAsia="宋体" w:cs="宋体"/>
          <w:color w:val="auto"/>
          <w:spacing w:val="9"/>
          <w:sz w:val="20"/>
          <w:szCs w:val="20"/>
        </w:rPr>
        <w:t>（一）农、林、牧、渔业。营业收入20000万元以下的为中小微型企业。其中，营业收</w:t>
      </w:r>
      <w:r>
        <w:rPr>
          <w:rFonts w:ascii="宋体" w:hAnsi="宋体" w:eastAsia="宋体" w:cs="宋体"/>
          <w:color w:val="auto"/>
          <w:spacing w:val="8"/>
          <w:sz w:val="20"/>
          <w:szCs w:val="20"/>
        </w:rPr>
        <w:t>入500万元及以上的为中型企业，营业收入50万元及以上的为小型企业，营业收入50万元以下的为微型</w:t>
      </w:r>
      <w:r>
        <w:rPr>
          <w:rFonts w:ascii="宋体" w:hAnsi="宋体" w:eastAsia="宋体" w:cs="宋体"/>
          <w:color w:val="auto"/>
          <w:spacing w:val="2"/>
          <w:sz w:val="20"/>
          <w:szCs w:val="20"/>
        </w:rPr>
        <w:t>企业。</w:t>
      </w:r>
    </w:p>
    <w:p w14:paraId="1804299E">
      <w:pPr>
        <w:spacing w:before="96" w:line="294" w:lineRule="auto"/>
        <w:ind w:right="70" w:firstLine="411"/>
        <w:rPr>
          <w:rFonts w:ascii="宋体" w:hAnsi="宋体" w:eastAsia="宋体" w:cs="宋体"/>
          <w:color w:val="auto"/>
          <w:sz w:val="20"/>
          <w:szCs w:val="20"/>
        </w:rPr>
      </w:pPr>
      <w:r>
        <w:rPr>
          <w:rFonts w:ascii="宋体" w:hAnsi="宋体" w:eastAsia="宋体" w:cs="宋体"/>
          <w:color w:val="auto"/>
          <w:spacing w:val="7"/>
          <w:sz w:val="20"/>
          <w:szCs w:val="20"/>
        </w:rPr>
        <w:t>（二）工业。从业人员1000人以下或营业收入40000万元以下的为中小微</w:t>
      </w:r>
      <w:r>
        <w:rPr>
          <w:rFonts w:ascii="宋体" w:hAnsi="宋体" w:eastAsia="宋体" w:cs="宋体"/>
          <w:color w:val="auto"/>
          <w:spacing w:val="6"/>
          <w:sz w:val="20"/>
          <w:szCs w:val="20"/>
        </w:rPr>
        <w:t>型企业。其中，从业</w:t>
      </w:r>
      <w:r>
        <w:rPr>
          <w:rFonts w:ascii="宋体" w:hAnsi="宋体" w:eastAsia="宋体" w:cs="宋体"/>
          <w:color w:val="auto"/>
          <w:spacing w:val="8"/>
          <w:sz w:val="20"/>
          <w:szCs w:val="20"/>
        </w:rPr>
        <w:t>人员300人及以上，且营业收入2000万元及</w:t>
      </w:r>
      <w:r>
        <w:rPr>
          <w:rFonts w:ascii="宋体" w:hAnsi="宋体" w:eastAsia="宋体" w:cs="宋体"/>
          <w:color w:val="auto"/>
          <w:spacing w:val="7"/>
          <w:sz w:val="20"/>
          <w:szCs w:val="20"/>
        </w:rPr>
        <w:t>以上的为中型企业；从业人员20人及以上，且营业收入300万元及以上的为小型企业；从业人员20人以下或营业收入300万元以下的为</w:t>
      </w:r>
      <w:r>
        <w:rPr>
          <w:rFonts w:ascii="宋体" w:hAnsi="宋体" w:eastAsia="宋体" w:cs="宋体"/>
          <w:color w:val="auto"/>
          <w:spacing w:val="6"/>
          <w:sz w:val="20"/>
          <w:szCs w:val="20"/>
        </w:rPr>
        <w:t>微型企业。</w:t>
      </w:r>
    </w:p>
    <w:p w14:paraId="526D6461">
      <w:pPr>
        <w:spacing w:before="108" w:line="304" w:lineRule="auto"/>
        <w:ind w:right="16" w:firstLine="406"/>
        <w:rPr>
          <w:rFonts w:ascii="宋体" w:hAnsi="宋体" w:eastAsia="宋体" w:cs="宋体"/>
          <w:color w:val="auto"/>
          <w:sz w:val="20"/>
          <w:szCs w:val="20"/>
        </w:rPr>
      </w:pPr>
      <w:r>
        <w:rPr>
          <w:rFonts w:ascii="宋体" w:hAnsi="宋体" w:eastAsia="宋体" w:cs="宋体"/>
          <w:color w:val="auto"/>
          <w:spacing w:val="6"/>
          <w:sz w:val="20"/>
          <w:szCs w:val="20"/>
        </w:rPr>
        <w:t>（三）建筑业。营业收入80000万元以下或资产总额80000万元以下的为中小微型企业。其中，</w:t>
      </w:r>
      <w:r>
        <w:rPr>
          <w:rFonts w:ascii="宋体" w:hAnsi="宋体" w:eastAsia="宋体" w:cs="宋体"/>
          <w:color w:val="auto"/>
          <w:spacing w:val="5"/>
          <w:sz w:val="20"/>
          <w:szCs w:val="20"/>
        </w:rPr>
        <w:t>营业收入6000万元及以上，且资产总额5000万元及以上的为中型企业；营业收入300万元及以上，</w:t>
      </w:r>
      <w:r>
        <w:rPr>
          <w:rFonts w:ascii="宋体" w:hAnsi="宋体" w:eastAsia="宋体" w:cs="宋体"/>
          <w:color w:val="auto"/>
          <w:spacing w:val="7"/>
          <w:sz w:val="20"/>
          <w:szCs w:val="20"/>
        </w:rPr>
        <w:t>且资产总额300万元及以上的为小型企业；营业收入300万元以下或资产总额300万元以下的为微</w:t>
      </w:r>
      <w:r>
        <w:rPr>
          <w:rFonts w:ascii="宋体" w:hAnsi="宋体" w:eastAsia="宋体" w:cs="宋体"/>
          <w:color w:val="auto"/>
          <w:spacing w:val="5"/>
          <w:sz w:val="20"/>
          <w:szCs w:val="20"/>
        </w:rPr>
        <w:t>型企业。</w:t>
      </w:r>
    </w:p>
    <w:p w14:paraId="2A6039DA">
      <w:pPr>
        <w:spacing w:before="96" w:line="294" w:lineRule="auto"/>
        <w:ind w:right="70" w:firstLine="430"/>
        <w:rPr>
          <w:rFonts w:ascii="宋体" w:hAnsi="宋体" w:eastAsia="宋体" w:cs="宋体"/>
          <w:color w:val="auto"/>
          <w:sz w:val="20"/>
          <w:szCs w:val="20"/>
        </w:rPr>
      </w:pPr>
      <w:r>
        <w:rPr>
          <w:rFonts w:ascii="宋体" w:hAnsi="宋体" w:eastAsia="宋体" w:cs="宋体"/>
          <w:color w:val="auto"/>
          <w:spacing w:val="9"/>
          <w:sz w:val="20"/>
          <w:szCs w:val="20"/>
        </w:rPr>
        <w:t>（四）批发业。从业人员200人以下或营业收入40000万元以下的为中小微型企业。其中，从</w:t>
      </w:r>
      <w:r>
        <w:rPr>
          <w:rFonts w:ascii="宋体" w:hAnsi="宋体" w:eastAsia="宋体" w:cs="宋体"/>
          <w:color w:val="auto"/>
          <w:spacing w:val="8"/>
          <w:sz w:val="20"/>
          <w:szCs w:val="20"/>
        </w:rPr>
        <w:t>业人员20人及以上，且营业收入5000万元及以上的为中</w:t>
      </w:r>
      <w:r>
        <w:rPr>
          <w:rFonts w:ascii="宋体" w:hAnsi="宋体" w:eastAsia="宋体" w:cs="宋体"/>
          <w:color w:val="auto"/>
          <w:spacing w:val="7"/>
          <w:sz w:val="20"/>
          <w:szCs w:val="20"/>
        </w:rPr>
        <w:t>型企业；从业人员5人及以上，且营业收</w:t>
      </w:r>
      <w:r>
        <w:rPr>
          <w:rFonts w:ascii="宋体" w:hAnsi="宋体" w:eastAsia="宋体" w:cs="宋体"/>
          <w:color w:val="auto"/>
          <w:spacing w:val="6"/>
          <w:sz w:val="20"/>
          <w:szCs w:val="20"/>
        </w:rPr>
        <w:t>入1000万元及以上的为小型企业；从业人员5人以下或营业收入1000万元以下的为微型企业。</w:t>
      </w:r>
    </w:p>
    <w:p w14:paraId="0CC82C23">
      <w:pPr>
        <w:spacing w:before="108" w:line="294" w:lineRule="auto"/>
        <w:ind w:right="70" w:firstLine="430"/>
        <w:rPr>
          <w:rFonts w:ascii="宋体" w:hAnsi="宋体" w:eastAsia="宋体" w:cs="宋体"/>
          <w:color w:val="auto"/>
          <w:sz w:val="20"/>
          <w:szCs w:val="20"/>
        </w:rPr>
      </w:pPr>
      <w:r>
        <w:rPr>
          <w:rFonts w:ascii="宋体" w:hAnsi="宋体" w:eastAsia="宋体" w:cs="宋体"/>
          <w:color w:val="auto"/>
          <w:spacing w:val="8"/>
          <w:sz w:val="20"/>
          <w:szCs w:val="20"/>
        </w:rPr>
        <w:t>（五）零售业。从业人员300人以下或营业收入20000万元以下的</w:t>
      </w:r>
      <w:r>
        <w:rPr>
          <w:rFonts w:ascii="宋体" w:hAnsi="宋体" w:eastAsia="宋体" w:cs="宋体"/>
          <w:color w:val="auto"/>
          <w:spacing w:val="7"/>
          <w:sz w:val="20"/>
          <w:szCs w:val="20"/>
        </w:rPr>
        <w:t>为中小微型企业。其中，从业人员50人及以上，且营业收入500万元及以上的为中型企业；从业人员10人及以上，且营业收</w:t>
      </w:r>
      <w:r>
        <w:rPr>
          <w:rFonts w:ascii="宋体" w:hAnsi="宋体" w:eastAsia="宋体" w:cs="宋体"/>
          <w:color w:val="auto"/>
          <w:spacing w:val="6"/>
          <w:sz w:val="20"/>
          <w:szCs w:val="20"/>
        </w:rPr>
        <w:t>入100万元及以上的为小型企业；从业人员10人以下或营业收入100万元以下的为微型企业。</w:t>
      </w:r>
    </w:p>
    <w:p w14:paraId="67E0B41E">
      <w:pPr>
        <w:spacing w:before="105" w:line="294" w:lineRule="auto"/>
        <w:ind w:right="11" w:firstLine="380"/>
        <w:rPr>
          <w:rFonts w:ascii="宋体" w:hAnsi="宋体" w:eastAsia="宋体" w:cs="宋体"/>
          <w:color w:val="auto"/>
          <w:sz w:val="20"/>
          <w:szCs w:val="20"/>
        </w:rPr>
      </w:pPr>
      <w:r>
        <w:rPr>
          <w:rFonts w:ascii="宋体" w:hAnsi="宋体" w:eastAsia="宋体" w:cs="宋体"/>
          <w:color w:val="auto"/>
          <w:spacing w:val="3"/>
          <w:sz w:val="20"/>
          <w:szCs w:val="20"/>
        </w:rPr>
        <w:t>（六）交通运输业。从业人员1000人以下或营业收入30000万元以下的为中小微型企业。其</w:t>
      </w:r>
      <w:r>
        <w:rPr>
          <w:rFonts w:ascii="宋体" w:hAnsi="宋体" w:eastAsia="宋体" w:cs="宋体"/>
          <w:color w:val="auto"/>
          <w:spacing w:val="2"/>
          <w:sz w:val="20"/>
          <w:szCs w:val="20"/>
        </w:rPr>
        <w:t>中，</w:t>
      </w:r>
      <w:r>
        <w:rPr>
          <w:rFonts w:ascii="宋体" w:hAnsi="宋体" w:eastAsia="宋体" w:cs="宋体"/>
          <w:color w:val="auto"/>
          <w:spacing w:val="8"/>
          <w:sz w:val="20"/>
          <w:szCs w:val="20"/>
        </w:rPr>
        <w:t>从业人员300人及以上，且营业收入3000万</w:t>
      </w:r>
      <w:r>
        <w:rPr>
          <w:rFonts w:ascii="宋体" w:hAnsi="宋体" w:eastAsia="宋体" w:cs="宋体"/>
          <w:color w:val="auto"/>
          <w:spacing w:val="7"/>
          <w:sz w:val="20"/>
          <w:szCs w:val="20"/>
        </w:rPr>
        <w:t>元及以上的为中型企业；从业人员20人及以上，且营业收入200万元及以上的为小型企业；从业人员20人以下</w:t>
      </w:r>
      <w:r>
        <w:rPr>
          <w:rFonts w:ascii="宋体" w:hAnsi="宋体" w:eastAsia="宋体" w:cs="宋体"/>
          <w:color w:val="auto"/>
          <w:spacing w:val="6"/>
          <w:sz w:val="20"/>
          <w:szCs w:val="20"/>
        </w:rPr>
        <w:t>或营业收入200万元以下的为微型企业。</w:t>
      </w:r>
    </w:p>
    <w:p w14:paraId="4217E4BE">
      <w:pPr>
        <w:spacing w:before="108" w:line="294" w:lineRule="auto"/>
        <w:ind w:right="70" w:firstLine="430"/>
        <w:rPr>
          <w:rFonts w:ascii="宋体" w:hAnsi="宋体" w:eastAsia="宋体" w:cs="宋体"/>
          <w:color w:val="auto"/>
          <w:sz w:val="20"/>
          <w:szCs w:val="20"/>
        </w:rPr>
      </w:pPr>
      <w:r>
        <w:rPr>
          <w:rFonts w:ascii="宋体" w:hAnsi="宋体" w:eastAsia="宋体" w:cs="宋体"/>
          <w:color w:val="auto"/>
          <w:spacing w:val="8"/>
          <w:sz w:val="20"/>
          <w:szCs w:val="20"/>
        </w:rPr>
        <w:t>（七）仓储业。从业人员200人以下或营业收入30000万元以下的</w:t>
      </w:r>
      <w:r>
        <w:rPr>
          <w:rFonts w:ascii="宋体" w:hAnsi="宋体" w:eastAsia="宋体" w:cs="宋体"/>
          <w:color w:val="auto"/>
          <w:spacing w:val="7"/>
          <w:sz w:val="20"/>
          <w:szCs w:val="20"/>
        </w:rPr>
        <w:t>为中小微型企业。其中，从业人员100人及以上，且营业收入1000万元及以上的为中型企业；从业人员20人及以</w:t>
      </w:r>
      <w:r>
        <w:rPr>
          <w:rFonts w:ascii="宋体" w:hAnsi="宋体" w:eastAsia="宋体" w:cs="宋体"/>
          <w:color w:val="auto"/>
          <w:spacing w:val="6"/>
          <w:sz w:val="20"/>
          <w:szCs w:val="20"/>
        </w:rPr>
        <w:t>上，且营业</w:t>
      </w:r>
      <w:r>
        <w:rPr>
          <w:rFonts w:ascii="宋体" w:hAnsi="宋体" w:eastAsia="宋体" w:cs="宋体"/>
          <w:color w:val="auto"/>
          <w:spacing w:val="7"/>
          <w:sz w:val="20"/>
          <w:szCs w:val="20"/>
        </w:rPr>
        <w:t>收入100万元及以上的为小型企业；从业人</w:t>
      </w:r>
      <w:r>
        <w:rPr>
          <w:rFonts w:ascii="宋体" w:hAnsi="宋体" w:eastAsia="宋体" w:cs="宋体"/>
          <w:color w:val="auto"/>
          <w:spacing w:val="6"/>
          <w:sz w:val="20"/>
          <w:szCs w:val="20"/>
        </w:rPr>
        <w:t>员20人以下或营业收入100万元以下的为微型企业。</w:t>
      </w:r>
    </w:p>
    <w:p w14:paraId="1473F054">
      <w:pPr>
        <w:spacing w:before="108" w:line="294" w:lineRule="auto"/>
        <w:ind w:right="70" w:firstLine="411"/>
        <w:rPr>
          <w:rFonts w:ascii="宋体" w:hAnsi="宋体" w:eastAsia="宋体" w:cs="宋体"/>
          <w:color w:val="auto"/>
          <w:sz w:val="20"/>
          <w:szCs w:val="20"/>
        </w:rPr>
      </w:pPr>
      <w:r>
        <w:rPr>
          <w:rFonts w:ascii="宋体" w:hAnsi="宋体" w:eastAsia="宋体" w:cs="宋体"/>
          <w:color w:val="auto"/>
          <w:spacing w:val="6"/>
          <w:sz w:val="20"/>
          <w:szCs w:val="20"/>
        </w:rPr>
        <w:t>（八）邮政业。从业人员1000人以下或</w:t>
      </w:r>
      <w:r>
        <w:rPr>
          <w:rFonts w:ascii="宋体" w:hAnsi="宋体" w:eastAsia="宋体" w:cs="宋体"/>
          <w:color w:val="auto"/>
          <w:spacing w:val="5"/>
          <w:sz w:val="20"/>
          <w:szCs w:val="20"/>
        </w:rPr>
        <w:t>营业收入30000万元以下的为中小微型企业。其中，从</w:t>
      </w:r>
      <w:r>
        <w:rPr>
          <w:rFonts w:ascii="宋体" w:hAnsi="宋体" w:eastAsia="宋体" w:cs="宋体"/>
          <w:color w:val="auto"/>
          <w:spacing w:val="8"/>
          <w:sz w:val="20"/>
          <w:szCs w:val="20"/>
        </w:rPr>
        <w:t>业人员300人及以上，且营业收入200</w:t>
      </w:r>
      <w:r>
        <w:rPr>
          <w:rFonts w:ascii="宋体" w:hAnsi="宋体" w:eastAsia="宋体" w:cs="宋体"/>
          <w:color w:val="auto"/>
          <w:spacing w:val="7"/>
          <w:sz w:val="20"/>
          <w:szCs w:val="20"/>
        </w:rPr>
        <w:t>0万元及以上的为中型企业；从业人员20人及以上，且营业收入100万元及以上的为小型企业；从业人</w:t>
      </w:r>
      <w:r>
        <w:rPr>
          <w:rFonts w:ascii="宋体" w:hAnsi="宋体" w:eastAsia="宋体" w:cs="宋体"/>
          <w:color w:val="auto"/>
          <w:spacing w:val="6"/>
          <w:sz w:val="20"/>
          <w:szCs w:val="20"/>
        </w:rPr>
        <w:t>员20人以下或营业收入100万元以下的为微型企业。</w:t>
      </w:r>
    </w:p>
    <w:p w14:paraId="248CE877">
      <w:pPr>
        <w:spacing w:before="40" w:line="294" w:lineRule="auto"/>
        <w:ind w:right="70" w:firstLine="430"/>
        <w:rPr>
          <w:rFonts w:ascii="宋体" w:hAnsi="宋体" w:eastAsia="宋体" w:cs="宋体"/>
          <w:color w:val="auto"/>
          <w:sz w:val="20"/>
          <w:szCs w:val="20"/>
        </w:rPr>
      </w:pPr>
      <w:r>
        <w:rPr>
          <w:rFonts w:ascii="宋体" w:hAnsi="宋体" w:eastAsia="宋体" w:cs="宋体"/>
          <w:color w:val="auto"/>
          <w:spacing w:val="8"/>
          <w:sz w:val="20"/>
          <w:szCs w:val="20"/>
        </w:rPr>
        <w:t>（九）住宿业。从业人员300人以下或营</w:t>
      </w:r>
      <w:r>
        <w:rPr>
          <w:rFonts w:ascii="宋体" w:hAnsi="宋体" w:eastAsia="宋体" w:cs="宋体"/>
          <w:color w:val="auto"/>
          <w:spacing w:val="7"/>
          <w:sz w:val="20"/>
          <w:szCs w:val="20"/>
        </w:rPr>
        <w:t>业收入10000万元以下的为中小微型企业。其中，从业人员100人及以上，且营业收入2000万元及以上的为中型企业；从业人员10人及以</w:t>
      </w:r>
      <w:r>
        <w:rPr>
          <w:rFonts w:ascii="宋体" w:hAnsi="宋体" w:eastAsia="宋体" w:cs="宋体"/>
          <w:color w:val="auto"/>
          <w:spacing w:val="6"/>
          <w:sz w:val="20"/>
          <w:szCs w:val="20"/>
        </w:rPr>
        <w:t>上，且营业收入100万元及以上的为小型企业；从业人员10人以下或营业收入100万元以下的为微型企业。</w:t>
      </w:r>
    </w:p>
    <w:p w14:paraId="1CD92A09">
      <w:pPr>
        <w:spacing w:before="107" w:line="294" w:lineRule="auto"/>
        <w:ind w:right="70" w:firstLine="430"/>
        <w:rPr>
          <w:rFonts w:ascii="宋体" w:hAnsi="宋体" w:eastAsia="宋体" w:cs="宋体"/>
          <w:color w:val="auto"/>
          <w:sz w:val="20"/>
          <w:szCs w:val="20"/>
        </w:rPr>
      </w:pPr>
      <w:r>
        <w:rPr>
          <w:rFonts w:ascii="宋体" w:hAnsi="宋体" w:eastAsia="宋体" w:cs="宋体"/>
          <w:color w:val="auto"/>
          <w:spacing w:val="8"/>
          <w:sz w:val="20"/>
          <w:szCs w:val="20"/>
        </w:rPr>
        <w:t>（十）餐饮业。从业人员300人以下或营</w:t>
      </w:r>
      <w:r>
        <w:rPr>
          <w:rFonts w:ascii="宋体" w:hAnsi="宋体" w:eastAsia="宋体" w:cs="宋体"/>
          <w:color w:val="auto"/>
          <w:spacing w:val="7"/>
          <w:sz w:val="20"/>
          <w:szCs w:val="20"/>
        </w:rPr>
        <w:t>业收入10000万元以下的为中小微型企业。其中，从业人员100人及以上，且营业收入2000万元及以上的为中型企业；从业人员10人及以</w:t>
      </w:r>
      <w:r>
        <w:rPr>
          <w:rFonts w:ascii="宋体" w:hAnsi="宋体" w:eastAsia="宋体" w:cs="宋体"/>
          <w:color w:val="auto"/>
          <w:spacing w:val="6"/>
          <w:sz w:val="20"/>
          <w:szCs w:val="20"/>
        </w:rPr>
        <w:t>上，且营业收入100万元及以上的为小型企业；从业人员10人以下或营业收入100万元以下的为微型企业。</w:t>
      </w:r>
    </w:p>
    <w:p w14:paraId="1222CD7E">
      <w:pPr>
        <w:spacing w:before="107" w:line="305" w:lineRule="auto"/>
        <w:ind w:right="18" w:firstLine="430"/>
        <w:rPr>
          <w:rFonts w:ascii="宋体" w:hAnsi="宋体" w:eastAsia="宋体" w:cs="宋体"/>
          <w:color w:val="auto"/>
          <w:sz w:val="20"/>
          <w:szCs w:val="20"/>
        </w:rPr>
      </w:pPr>
      <w:r>
        <w:rPr>
          <w:rFonts w:ascii="宋体" w:hAnsi="宋体" w:eastAsia="宋体" w:cs="宋体"/>
          <w:color w:val="auto"/>
          <w:spacing w:val="8"/>
          <w:sz w:val="20"/>
          <w:szCs w:val="20"/>
        </w:rPr>
        <w:t>（十一）信息传输业。从业人员2000人以下或营业收入100000万</w:t>
      </w:r>
      <w:r>
        <w:rPr>
          <w:rFonts w:ascii="宋体" w:hAnsi="宋体" w:eastAsia="宋体" w:cs="宋体"/>
          <w:color w:val="auto"/>
          <w:spacing w:val="7"/>
          <w:sz w:val="20"/>
          <w:szCs w:val="20"/>
        </w:rPr>
        <w:t>元以下的为中小微型企业。</w:t>
      </w:r>
      <w:r>
        <w:rPr>
          <w:rFonts w:ascii="宋体" w:hAnsi="宋体" w:eastAsia="宋体" w:cs="宋体"/>
          <w:color w:val="auto"/>
          <w:spacing w:val="3"/>
          <w:sz w:val="20"/>
          <w:szCs w:val="20"/>
        </w:rPr>
        <w:t>其中，从业人员100人及以上，且营业收入1000万元及以上的为中型企业；从业人员10人及以上，</w:t>
      </w:r>
      <w:r>
        <w:rPr>
          <w:rFonts w:ascii="宋体" w:hAnsi="宋体" w:eastAsia="宋体" w:cs="宋体"/>
          <w:color w:val="auto"/>
          <w:spacing w:val="5"/>
          <w:sz w:val="20"/>
          <w:szCs w:val="20"/>
        </w:rPr>
        <w:t>且营业收入100万元及以上的为小型企业；从</w:t>
      </w:r>
      <w:r>
        <w:rPr>
          <w:rFonts w:ascii="宋体" w:hAnsi="宋体" w:eastAsia="宋体" w:cs="宋体"/>
          <w:color w:val="auto"/>
          <w:spacing w:val="4"/>
          <w:sz w:val="20"/>
          <w:szCs w:val="20"/>
        </w:rPr>
        <w:t>业人员10人以下或营业收入100万元以下的为微型企</w:t>
      </w:r>
      <w:r>
        <w:rPr>
          <w:rFonts w:ascii="宋体" w:hAnsi="宋体" w:eastAsia="宋体" w:cs="宋体"/>
          <w:color w:val="auto"/>
          <w:sz w:val="20"/>
          <w:szCs w:val="20"/>
        </w:rPr>
        <w:t>业。</w:t>
      </w:r>
    </w:p>
    <w:p w14:paraId="37198A9E">
      <w:pPr>
        <w:spacing w:before="94" w:line="302" w:lineRule="auto"/>
        <w:ind w:left="2" w:right="70" w:firstLine="428"/>
        <w:rPr>
          <w:rFonts w:ascii="宋体" w:hAnsi="宋体" w:eastAsia="宋体" w:cs="宋体"/>
          <w:color w:val="auto"/>
          <w:sz w:val="20"/>
          <w:szCs w:val="20"/>
        </w:rPr>
      </w:pPr>
      <w:r>
        <w:rPr>
          <w:rFonts w:ascii="宋体" w:hAnsi="宋体" w:eastAsia="宋体" w:cs="宋体"/>
          <w:color w:val="auto"/>
          <w:spacing w:val="8"/>
          <w:sz w:val="20"/>
          <w:szCs w:val="20"/>
        </w:rPr>
        <w:t>（十二）软件和信息技术服务业。从业人员</w:t>
      </w:r>
      <w:r>
        <w:rPr>
          <w:rFonts w:ascii="宋体" w:hAnsi="宋体" w:eastAsia="宋体" w:cs="宋体"/>
          <w:color w:val="auto"/>
          <w:spacing w:val="7"/>
          <w:sz w:val="20"/>
          <w:szCs w:val="20"/>
        </w:rPr>
        <w:t>300人以下或营业收入10000万元以下的为中小微</w:t>
      </w:r>
      <w:r>
        <w:rPr>
          <w:rFonts w:ascii="宋体" w:hAnsi="宋体" w:eastAsia="宋体" w:cs="宋体"/>
          <w:color w:val="auto"/>
          <w:spacing w:val="8"/>
          <w:sz w:val="20"/>
          <w:szCs w:val="20"/>
        </w:rPr>
        <w:t>型企业。其中，从业人员100人及以上，且营业收入1000万元及以上的为中型企业</w:t>
      </w:r>
      <w:r>
        <w:rPr>
          <w:rFonts w:ascii="宋体" w:hAnsi="宋体" w:eastAsia="宋体" w:cs="宋体"/>
          <w:color w:val="auto"/>
          <w:spacing w:val="7"/>
          <w:sz w:val="20"/>
          <w:szCs w:val="20"/>
        </w:rPr>
        <w:t>；从业人员10</w:t>
      </w:r>
      <w:r>
        <w:rPr>
          <w:rFonts w:ascii="宋体" w:hAnsi="宋体" w:eastAsia="宋体" w:cs="宋体"/>
          <w:color w:val="auto"/>
          <w:spacing w:val="5"/>
          <w:sz w:val="20"/>
          <w:szCs w:val="20"/>
        </w:rPr>
        <w:t>人及以上，且营业收入50万元及以上的为小型企业；从业人员10人以下或营业收入50万</w:t>
      </w:r>
      <w:r>
        <w:rPr>
          <w:rFonts w:ascii="宋体" w:hAnsi="宋体" w:eastAsia="宋体" w:cs="宋体"/>
          <w:color w:val="auto"/>
          <w:spacing w:val="4"/>
          <w:sz w:val="20"/>
          <w:szCs w:val="20"/>
        </w:rPr>
        <w:t>元以下的</w:t>
      </w:r>
      <w:r>
        <w:rPr>
          <w:rFonts w:ascii="宋体" w:hAnsi="宋体" w:eastAsia="宋体" w:cs="宋体"/>
          <w:color w:val="auto"/>
          <w:spacing w:val="6"/>
          <w:sz w:val="20"/>
          <w:szCs w:val="20"/>
        </w:rPr>
        <w:t>为微型企业。</w:t>
      </w:r>
    </w:p>
    <w:p w14:paraId="1644BEE6">
      <w:pPr>
        <w:spacing w:before="107" w:line="302" w:lineRule="auto"/>
        <w:ind w:left="4" w:right="69" w:firstLine="395"/>
        <w:rPr>
          <w:rFonts w:ascii="宋体" w:hAnsi="宋体" w:eastAsia="宋体" w:cs="宋体"/>
          <w:color w:val="auto"/>
          <w:sz w:val="20"/>
          <w:szCs w:val="20"/>
        </w:rPr>
      </w:pPr>
      <w:r>
        <w:rPr>
          <w:rFonts w:ascii="宋体" w:hAnsi="宋体" w:eastAsia="宋体" w:cs="宋体"/>
          <w:color w:val="auto"/>
          <w:spacing w:val="6"/>
          <w:sz w:val="20"/>
          <w:szCs w:val="20"/>
        </w:rPr>
        <w:t>（十三）房地产开发经营。营业收入200000万元</w:t>
      </w:r>
      <w:r>
        <w:rPr>
          <w:rFonts w:ascii="宋体" w:hAnsi="宋体" w:eastAsia="宋体" w:cs="宋体"/>
          <w:color w:val="auto"/>
          <w:spacing w:val="5"/>
          <w:sz w:val="20"/>
          <w:szCs w:val="20"/>
        </w:rPr>
        <w:t>以下或资产总额10000万元以下的为中小微型</w:t>
      </w:r>
      <w:r>
        <w:rPr>
          <w:rFonts w:ascii="宋体" w:hAnsi="宋体" w:eastAsia="宋体" w:cs="宋体"/>
          <w:color w:val="auto"/>
          <w:spacing w:val="4"/>
          <w:sz w:val="20"/>
          <w:szCs w:val="20"/>
        </w:rPr>
        <w:t>企业。其中，营业收入1000万元及以上，且资产总额5000</w:t>
      </w:r>
      <w:r>
        <w:rPr>
          <w:rFonts w:ascii="宋体" w:hAnsi="宋体" w:eastAsia="宋体" w:cs="宋体"/>
          <w:color w:val="auto"/>
          <w:spacing w:val="3"/>
          <w:sz w:val="20"/>
          <w:szCs w:val="20"/>
        </w:rPr>
        <w:t>万元及以上的为中型企业；营业收入100</w:t>
      </w:r>
      <w:r>
        <w:rPr>
          <w:rFonts w:ascii="宋体" w:hAnsi="宋体" w:eastAsia="宋体" w:cs="宋体"/>
          <w:color w:val="auto"/>
          <w:spacing w:val="8"/>
          <w:sz w:val="20"/>
          <w:szCs w:val="20"/>
        </w:rPr>
        <w:t>万元及以上，且资产总额2000万元及以上的为小型企业；营业收入100万元以下或资产总额2000</w:t>
      </w:r>
      <w:r>
        <w:rPr>
          <w:rFonts w:ascii="宋体" w:hAnsi="宋体" w:eastAsia="宋体" w:cs="宋体"/>
          <w:color w:val="auto"/>
          <w:spacing w:val="7"/>
          <w:sz w:val="20"/>
          <w:szCs w:val="20"/>
        </w:rPr>
        <w:t>万元以下的为微型企业。</w:t>
      </w:r>
    </w:p>
    <w:p w14:paraId="00B42BB0">
      <w:pPr>
        <w:spacing w:before="105" w:line="294" w:lineRule="auto"/>
        <w:ind w:firstLine="406"/>
        <w:rPr>
          <w:rFonts w:ascii="宋体" w:hAnsi="宋体" w:eastAsia="宋体" w:cs="宋体"/>
          <w:color w:val="auto"/>
          <w:sz w:val="20"/>
          <w:szCs w:val="20"/>
        </w:rPr>
      </w:pPr>
      <w:r>
        <w:rPr>
          <w:rFonts w:ascii="宋体" w:hAnsi="宋体" w:eastAsia="宋体" w:cs="宋体"/>
          <w:color w:val="auto"/>
          <w:spacing w:val="5"/>
          <w:sz w:val="20"/>
          <w:szCs w:val="20"/>
        </w:rPr>
        <w:t>（十四）物业管理。从业人员1000人以下或营业收入5000万元以下的为中小微型企业。</w:t>
      </w:r>
      <w:r>
        <w:rPr>
          <w:rFonts w:ascii="宋体" w:hAnsi="宋体" w:eastAsia="宋体" w:cs="宋体"/>
          <w:color w:val="auto"/>
          <w:spacing w:val="4"/>
          <w:sz w:val="20"/>
          <w:szCs w:val="20"/>
        </w:rPr>
        <w:t>其中，</w:t>
      </w:r>
      <w:r>
        <w:rPr>
          <w:rFonts w:ascii="宋体" w:hAnsi="宋体" w:eastAsia="宋体" w:cs="宋体"/>
          <w:color w:val="auto"/>
          <w:spacing w:val="5"/>
          <w:sz w:val="20"/>
          <w:szCs w:val="20"/>
        </w:rPr>
        <w:t>从业人员300人及以上，且营业收入1000万元及以上的为中型</w:t>
      </w:r>
      <w:r>
        <w:rPr>
          <w:rFonts w:ascii="宋体" w:hAnsi="宋体" w:eastAsia="宋体" w:cs="宋体"/>
          <w:color w:val="auto"/>
          <w:spacing w:val="4"/>
          <w:sz w:val="20"/>
          <w:szCs w:val="20"/>
        </w:rPr>
        <w:t>企业；从业人员100人及以上，且营业收入500万元及以上的为小型企业；从业人员100人以下或营业收入500万元以下的为微型企业。</w:t>
      </w:r>
    </w:p>
    <w:p w14:paraId="3FFC7B45">
      <w:pPr>
        <w:spacing w:before="110" w:line="302" w:lineRule="auto"/>
        <w:ind w:right="70" w:firstLine="399"/>
        <w:rPr>
          <w:rFonts w:ascii="宋体" w:hAnsi="宋体" w:eastAsia="宋体" w:cs="宋体"/>
          <w:color w:val="auto"/>
          <w:sz w:val="20"/>
          <w:szCs w:val="20"/>
        </w:rPr>
      </w:pPr>
      <w:r>
        <w:rPr>
          <w:rFonts w:ascii="宋体" w:hAnsi="宋体" w:eastAsia="宋体" w:cs="宋体"/>
          <w:color w:val="auto"/>
          <w:spacing w:val="6"/>
          <w:sz w:val="20"/>
          <w:szCs w:val="20"/>
        </w:rPr>
        <w:t>（十五）租赁和商务服务业。从业人员300人以下或资产总额12000</w:t>
      </w:r>
      <w:r>
        <w:rPr>
          <w:rFonts w:ascii="宋体" w:hAnsi="宋体" w:eastAsia="宋体" w:cs="宋体"/>
          <w:color w:val="auto"/>
          <w:spacing w:val="5"/>
          <w:sz w:val="20"/>
          <w:szCs w:val="20"/>
        </w:rPr>
        <w:t>0万元以下的为中小微型企</w:t>
      </w:r>
      <w:r>
        <w:rPr>
          <w:rFonts w:ascii="宋体" w:hAnsi="宋体" w:eastAsia="宋体" w:cs="宋体"/>
          <w:color w:val="auto"/>
          <w:spacing w:val="7"/>
          <w:sz w:val="20"/>
          <w:szCs w:val="20"/>
        </w:rPr>
        <w:t>业。其中，从业人员100人及以上，且资产总额8000万元及以上的为中型企业；从业人员10人及</w:t>
      </w:r>
      <w:r>
        <w:rPr>
          <w:rFonts w:ascii="宋体" w:hAnsi="宋体" w:eastAsia="宋体" w:cs="宋体"/>
          <w:color w:val="auto"/>
          <w:spacing w:val="4"/>
          <w:sz w:val="20"/>
          <w:szCs w:val="20"/>
        </w:rPr>
        <w:t>以上，且资产总额100万元及以上的为小型企业；从业人员10人以下或资产总额100万元以下的为</w:t>
      </w:r>
      <w:r>
        <w:rPr>
          <w:rFonts w:ascii="宋体" w:hAnsi="宋体" w:eastAsia="宋体" w:cs="宋体"/>
          <w:color w:val="auto"/>
          <w:spacing w:val="6"/>
          <w:sz w:val="20"/>
          <w:szCs w:val="20"/>
        </w:rPr>
        <w:t>微型企业。</w:t>
      </w:r>
    </w:p>
    <w:p w14:paraId="11C41CAB">
      <w:pPr>
        <w:spacing w:before="106" w:line="278" w:lineRule="auto"/>
        <w:ind w:left="24" w:right="70" w:firstLine="406"/>
        <w:rPr>
          <w:rFonts w:ascii="宋体" w:hAnsi="宋体" w:eastAsia="宋体" w:cs="宋体"/>
          <w:color w:val="auto"/>
          <w:sz w:val="20"/>
          <w:szCs w:val="20"/>
        </w:rPr>
      </w:pPr>
      <w:r>
        <w:rPr>
          <w:rFonts w:ascii="宋体" w:hAnsi="宋体" w:eastAsia="宋体" w:cs="宋体"/>
          <w:color w:val="auto"/>
          <w:spacing w:val="8"/>
          <w:sz w:val="20"/>
          <w:szCs w:val="20"/>
        </w:rPr>
        <w:t>（十六）其他未列明行业。从业人员300人以下的为中小微型企业。</w:t>
      </w:r>
      <w:r>
        <w:rPr>
          <w:rFonts w:ascii="宋体" w:hAnsi="宋体" w:eastAsia="宋体" w:cs="宋体"/>
          <w:color w:val="auto"/>
          <w:spacing w:val="7"/>
          <w:sz w:val="20"/>
          <w:szCs w:val="20"/>
        </w:rPr>
        <w:t>其中，从业人员100人及以上的为中型企业；从业人员10人及以上的为小型企业；从业人员10人以下</w:t>
      </w:r>
      <w:r>
        <w:rPr>
          <w:rFonts w:ascii="宋体" w:hAnsi="宋体" w:eastAsia="宋体" w:cs="宋体"/>
          <w:color w:val="auto"/>
          <w:spacing w:val="6"/>
          <w:sz w:val="20"/>
          <w:szCs w:val="20"/>
        </w:rPr>
        <w:t>的为微型企业。</w:t>
      </w:r>
    </w:p>
    <w:p w14:paraId="426AC0BA">
      <w:pPr>
        <w:spacing w:before="106" w:line="227" w:lineRule="auto"/>
        <w:ind w:left="424"/>
        <w:rPr>
          <w:rFonts w:ascii="宋体" w:hAnsi="宋体" w:eastAsia="宋体" w:cs="宋体"/>
          <w:color w:val="auto"/>
          <w:sz w:val="20"/>
          <w:szCs w:val="20"/>
        </w:rPr>
      </w:pPr>
      <w:r>
        <w:rPr>
          <w:rFonts w:ascii="宋体" w:hAnsi="宋体" w:eastAsia="宋体" w:cs="宋体"/>
          <w:color w:val="auto"/>
          <w:spacing w:val="9"/>
          <w:sz w:val="20"/>
          <w:szCs w:val="20"/>
        </w:rPr>
        <w:t>五、企业类型的划分以统计部门的统计数据为依</w:t>
      </w:r>
      <w:r>
        <w:rPr>
          <w:rFonts w:ascii="宋体" w:hAnsi="宋体" w:eastAsia="宋体" w:cs="宋体"/>
          <w:color w:val="auto"/>
          <w:spacing w:val="8"/>
          <w:sz w:val="20"/>
          <w:szCs w:val="20"/>
        </w:rPr>
        <w:t>据。</w:t>
      </w:r>
    </w:p>
    <w:p w14:paraId="35EC9162">
      <w:pPr>
        <w:spacing w:before="110" w:line="276" w:lineRule="auto"/>
        <w:ind w:left="3" w:right="71" w:firstLine="419"/>
        <w:rPr>
          <w:rFonts w:ascii="宋体" w:hAnsi="宋体" w:eastAsia="宋体" w:cs="宋体"/>
          <w:color w:val="auto"/>
          <w:sz w:val="20"/>
          <w:szCs w:val="20"/>
        </w:rPr>
      </w:pPr>
      <w:r>
        <w:rPr>
          <w:rFonts w:ascii="宋体" w:hAnsi="宋体" w:eastAsia="宋体" w:cs="宋体"/>
          <w:color w:val="auto"/>
          <w:spacing w:val="10"/>
          <w:sz w:val="20"/>
          <w:szCs w:val="20"/>
        </w:rPr>
        <w:t>六、本规定适用于在中华人民共和国境内依法设立的各类所有制和各种组织形式的企业</w:t>
      </w:r>
      <w:r>
        <w:rPr>
          <w:rFonts w:ascii="宋体" w:hAnsi="宋体" w:eastAsia="宋体" w:cs="宋体"/>
          <w:color w:val="auto"/>
          <w:spacing w:val="9"/>
          <w:sz w:val="20"/>
          <w:szCs w:val="20"/>
        </w:rPr>
        <w:t>。个体工商户和本规定以外的行业，参照本规定进行划</w:t>
      </w:r>
      <w:r>
        <w:rPr>
          <w:rFonts w:ascii="宋体" w:hAnsi="宋体" w:eastAsia="宋体" w:cs="宋体"/>
          <w:color w:val="auto"/>
          <w:spacing w:val="8"/>
          <w:sz w:val="20"/>
          <w:szCs w:val="20"/>
        </w:rPr>
        <w:t>型。</w:t>
      </w:r>
    </w:p>
    <w:p w14:paraId="5E42C087">
      <w:pPr>
        <w:spacing w:before="110" w:line="294" w:lineRule="auto"/>
        <w:ind w:left="2" w:right="71" w:firstLine="417"/>
        <w:rPr>
          <w:rFonts w:ascii="宋体" w:hAnsi="宋体" w:eastAsia="宋体" w:cs="宋体"/>
          <w:color w:val="auto"/>
          <w:sz w:val="20"/>
          <w:szCs w:val="20"/>
        </w:rPr>
      </w:pPr>
      <w:r>
        <w:rPr>
          <w:rFonts w:ascii="宋体" w:hAnsi="宋体" w:eastAsia="宋体" w:cs="宋体"/>
          <w:color w:val="auto"/>
          <w:spacing w:val="10"/>
          <w:sz w:val="20"/>
          <w:szCs w:val="20"/>
        </w:rPr>
        <w:t>七、本规定的中型企业标准上限即为大型企业标准的下限，国家统计部门据此制定大中小微型企业的统计分类。国务院有关部门据此进行相关数据分析，不得制定与本规定不一致的企业</w:t>
      </w:r>
      <w:r>
        <w:rPr>
          <w:rFonts w:ascii="宋体" w:hAnsi="宋体" w:eastAsia="宋体" w:cs="宋体"/>
          <w:color w:val="auto"/>
          <w:spacing w:val="9"/>
          <w:sz w:val="20"/>
          <w:szCs w:val="20"/>
        </w:rPr>
        <w:t>划型标</w:t>
      </w:r>
      <w:r>
        <w:rPr>
          <w:rFonts w:ascii="宋体" w:hAnsi="宋体" w:eastAsia="宋体" w:cs="宋体"/>
          <w:color w:val="auto"/>
          <w:spacing w:val="-1"/>
          <w:sz w:val="20"/>
          <w:szCs w:val="20"/>
        </w:rPr>
        <w:t>准。</w:t>
      </w:r>
    </w:p>
    <w:p w14:paraId="6D023777">
      <w:pPr>
        <w:spacing w:before="104" w:line="278" w:lineRule="auto"/>
        <w:ind w:left="1" w:right="71" w:firstLine="422"/>
        <w:rPr>
          <w:rFonts w:ascii="宋体" w:hAnsi="宋体" w:eastAsia="宋体" w:cs="宋体"/>
          <w:color w:val="auto"/>
          <w:sz w:val="20"/>
          <w:szCs w:val="20"/>
        </w:rPr>
      </w:pPr>
      <w:r>
        <w:rPr>
          <w:rFonts w:ascii="宋体" w:hAnsi="宋体" w:eastAsia="宋体" w:cs="宋体"/>
          <w:color w:val="auto"/>
          <w:spacing w:val="10"/>
          <w:sz w:val="20"/>
          <w:szCs w:val="20"/>
        </w:rPr>
        <w:t>八、本规定由工业和信息化部、国家统计局会同有关部门根据《国民经济行业分类</w:t>
      </w:r>
      <w:r>
        <w:rPr>
          <w:rFonts w:ascii="宋体" w:hAnsi="宋体" w:eastAsia="宋体" w:cs="宋体"/>
          <w:color w:val="auto"/>
          <w:spacing w:val="9"/>
          <w:sz w:val="20"/>
          <w:szCs w:val="20"/>
        </w:rPr>
        <w:t>》修订情况</w:t>
      </w:r>
      <w:r>
        <w:rPr>
          <w:rFonts w:ascii="宋体" w:hAnsi="宋体" w:eastAsia="宋体" w:cs="宋体"/>
          <w:color w:val="auto"/>
          <w:spacing w:val="8"/>
          <w:sz w:val="20"/>
          <w:szCs w:val="20"/>
        </w:rPr>
        <w:t>和企业发展变化情况适时修订。</w:t>
      </w:r>
    </w:p>
    <w:p w14:paraId="74B5201F">
      <w:pPr>
        <w:spacing w:before="106" w:line="227" w:lineRule="auto"/>
        <w:ind w:left="425"/>
        <w:rPr>
          <w:rFonts w:ascii="宋体" w:hAnsi="宋体" w:eastAsia="宋体" w:cs="宋体"/>
          <w:color w:val="auto"/>
          <w:sz w:val="20"/>
          <w:szCs w:val="20"/>
        </w:rPr>
      </w:pPr>
      <w:r>
        <w:rPr>
          <w:rFonts w:ascii="宋体" w:hAnsi="宋体" w:eastAsia="宋体" w:cs="宋体"/>
          <w:color w:val="auto"/>
          <w:spacing w:val="9"/>
          <w:sz w:val="20"/>
          <w:szCs w:val="20"/>
        </w:rPr>
        <w:t>九、本规定由工业和信息化部、国家统计局会同有关部门负责解释。</w:t>
      </w:r>
    </w:p>
    <w:p w14:paraId="044B8420">
      <w:pPr>
        <w:spacing w:before="109" w:line="227" w:lineRule="auto"/>
        <w:ind w:left="421"/>
        <w:rPr>
          <w:rFonts w:ascii="宋体" w:hAnsi="宋体" w:eastAsia="宋体" w:cs="宋体"/>
          <w:color w:val="auto"/>
          <w:sz w:val="20"/>
          <w:szCs w:val="20"/>
        </w:rPr>
      </w:pPr>
      <w:r>
        <w:rPr>
          <w:rFonts w:ascii="宋体" w:hAnsi="宋体" w:eastAsia="宋体" w:cs="宋体"/>
          <w:color w:val="auto"/>
          <w:spacing w:val="7"/>
          <w:sz w:val="20"/>
          <w:szCs w:val="20"/>
        </w:rPr>
        <w:t>十、本规定自发布之日起执行，原国家经贸委、原国家计委</w:t>
      </w:r>
      <w:r>
        <w:rPr>
          <w:rFonts w:ascii="宋体" w:hAnsi="宋体" w:eastAsia="宋体" w:cs="宋体"/>
          <w:color w:val="auto"/>
          <w:spacing w:val="6"/>
          <w:sz w:val="20"/>
          <w:szCs w:val="20"/>
        </w:rPr>
        <w:t>、财政部和国家统计局2003年颁布</w:t>
      </w:r>
    </w:p>
    <w:p w14:paraId="5B91E261">
      <w:pPr>
        <w:bidi w:val="0"/>
      </w:pPr>
      <w:bookmarkStart w:id="65" w:name="_Toc28474"/>
      <w:bookmarkStart w:id="66" w:name="_Toc26418"/>
      <w:bookmarkStart w:id="67" w:name="_Toc9740"/>
      <w:r>
        <w:t>的《中小企业标准暂行规定》同时废止。</w:t>
      </w:r>
      <w:bookmarkEnd w:id="65"/>
      <w:bookmarkEnd w:id="66"/>
      <w:bookmarkEnd w:id="67"/>
    </w:p>
    <w:p w14:paraId="2F9EEAF2">
      <w:pPr>
        <w:spacing w:line="228" w:lineRule="auto"/>
        <w:rPr>
          <w:rFonts w:ascii="宋体" w:hAnsi="宋体" w:eastAsia="宋体" w:cs="宋体"/>
          <w:color w:val="auto"/>
          <w:sz w:val="20"/>
          <w:szCs w:val="20"/>
        </w:rPr>
        <w:sectPr>
          <w:footerReference r:id="rId14" w:type="default"/>
          <w:pgSz w:w="11906" w:h="16839"/>
          <w:pgMar w:top="1406" w:right="1095" w:bottom="1018" w:left="1708" w:header="0" w:footer="852" w:gutter="0"/>
          <w:pgNumType w:fmt="decimal"/>
          <w:cols w:space="720" w:num="1"/>
        </w:sectPr>
      </w:pPr>
    </w:p>
    <w:p w14:paraId="5591FCAD">
      <w:pPr>
        <w:spacing w:before="91" w:line="219" w:lineRule="auto"/>
        <w:ind w:left="1359"/>
        <w:rPr>
          <w:rFonts w:ascii="宋体" w:hAnsi="宋体" w:eastAsia="宋体" w:cs="宋体"/>
          <w:color w:val="auto"/>
          <w:sz w:val="28"/>
          <w:szCs w:val="28"/>
        </w:rPr>
      </w:pPr>
      <w:r>
        <w:rPr>
          <w:rFonts w:ascii="宋体" w:hAnsi="宋体" w:eastAsia="宋体" w:cs="宋体"/>
          <w:b/>
          <w:bCs/>
          <w:color w:val="auto"/>
          <w:spacing w:val="-3"/>
          <w:sz w:val="28"/>
          <w:szCs w:val="28"/>
        </w:rPr>
        <w:t>关于进一步加大政府采购支持中小企业力度的通知</w:t>
      </w:r>
    </w:p>
    <w:p w14:paraId="128229DA">
      <w:pPr>
        <w:pStyle w:val="9"/>
        <w:spacing w:line="412" w:lineRule="auto"/>
        <w:rPr>
          <w:color w:val="auto"/>
        </w:rPr>
      </w:pPr>
    </w:p>
    <w:p w14:paraId="6FA6398C">
      <w:pPr>
        <w:spacing w:before="78" w:line="219" w:lineRule="auto"/>
        <w:ind w:left="3533"/>
        <w:rPr>
          <w:rFonts w:ascii="宋体" w:hAnsi="宋体" w:eastAsia="宋体" w:cs="宋体"/>
          <w:color w:val="auto"/>
          <w:sz w:val="24"/>
          <w:szCs w:val="24"/>
        </w:rPr>
      </w:pPr>
      <w:r>
        <w:rPr>
          <w:rFonts w:ascii="宋体" w:hAnsi="宋体" w:eastAsia="宋体" w:cs="宋体"/>
          <w:b/>
          <w:bCs/>
          <w:color w:val="auto"/>
          <w:spacing w:val="-3"/>
          <w:sz w:val="24"/>
          <w:szCs w:val="24"/>
        </w:rPr>
        <w:t>财库〔2022〕19号</w:t>
      </w:r>
    </w:p>
    <w:p w14:paraId="376CC9F0">
      <w:pPr>
        <w:spacing w:before="248" w:line="252" w:lineRule="auto"/>
        <w:ind w:left="75" w:right="87"/>
        <w:rPr>
          <w:rFonts w:ascii="宋体" w:hAnsi="宋体" w:eastAsia="宋体" w:cs="宋体"/>
          <w:color w:val="auto"/>
          <w:sz w:val="20"/>
          <w:szCs w:val="20"/>
        </w:rPr>
      </w:pPr>
      <w:r>
        <w:rPr>
          <w:rFonts w:ascii="宋体" w:hAnsi="宋体" w:eastAsia="宋体" w:cs="宋体"/>
          <w:color w:val="auto"/>
          <w:spacing w:val="9"/>
          <w:sz w:val="20"/>
          <w:szCs w:val="20"/>
        </w:rPr>
        <w:t>各中央预算单位，各省、自治区、直辖市、计划单列市财政厅（局</w:t>
      </w:r>
      <w:r>
        <w:rPr>
          <w:rFonts w:ascii="宋体" w:hAnsi="宋体" w:eastAsia="宋体" w:cs="宋体"/>
          <w:color w:val="auto"/>
          <w:spacing w:val="24"/>
          <w:sz w:val="20"/>
          <w:szCs w:val="20"/>
        </w:rPr>
        <w:t>），</w:t>
      </w:r>
      <w:r>
        <w:rPr>
          <w:rFonts w:ascii="宋体" w:hAnsi="宋体" w:eastAsia="宋体" w:cs="宋体"/>
          <w:color w:val="auto"/>
          <w:spacing w:val="9"/>
          <w:sz w:val="20"/>
          <w:szCs w:val="20"/>
        </w:rPr>
        <w:t>新疆生产建设兵团财政</w:t>
      </w:r>
      <w:r>
        <w:rPr>
          <w:rFonts w:ascii="宋体" w:hAnsi="宋体" w:eastAsia="宋体" w:cs="宋体"/>
          <w:color w:val="auto"/>
          <w:spacing w:val="-1"/>
          <w:sz w:val="20"/>
          <w:szCs w:val="20"/>
        </w:rPr>
        <w:t>局：</w:t>
      </w:r>
    </w:p>
    <w:p w14:paraId="203085E0">
      <w:pPr>
        <w:pStyle w:val="9"/>
        <w:spacing w:line="291" w:lineRule="auto"/>
        <w:rPr>
          <w:color w:val="auto"/>
        </w:rPr>
      </w:pPr>
    </w:p>
    <w:p w14:paraId="0A839113">
      <w:pPr>
        <w:spacing w:before="65" w:line="253" w:lineRule="auto"/>
        <w:ind w:left="71" w:firstLine="423"/>
        <w:jc w:val="both"/>
        <w:rPr>
          <w:rFonts w:ascii="宋体" w:hAnsi="宋体" w:eastAsia="宋体" w:cs="宋体"/>
          <w:color w:val="auto"/>
          <w:sz w:val="20"/>
          <w:szCs w:val="20"/>
        </w:rPr>
      </w:pPr>
      <w:r>
        <w:rPr>
          <w:rFonts w:ascii="宋体" w:hAnsi="宋体" w:eastAsia="宋体" w:cs="宋体"/>
          <w:color w:val="auto"/>
          <w:spacing w:val="6"/>
          <w:sz w:val="20"/>
          <w:szCs w:val="20"/>
        </w:rPr>
        <w:t>为贯彻落实《国务院关于印发扎实稳住经济一揽子政策措施的通知》（国发〔2</w:t>
      </w:r>
      <w:r>
        <w:rPr>
          <w:rFonts w:ascii="宋体" w:hAnsi="宋体" w:eastAsia="宋体" w:cs="宋体"/>
          <w:color w:val="auto"/>
          <w:spacing w:val="5"/>
          <w:sz w:val="20"/>
          <w:szCs w:val="20"/>
        </w:rPr>
        <w:t>022〕12号）</w:t>
      </w:r>
      <w:r>
        <w:rPr>
          <w:rFonts w:ascii="宋体" w:hAnsi="宋体" w:eastAsia="宋体" w:cs="宋体"/>
          <w:color w:val="auto"/>
          <w:spacing w:val="11"/>
          <w:sz w:val="20"/>
          <w:szCs w:val="20"/>
        </w:rPr>
        <w:t>有关要求，做好财政政策支持中小企业纾困解难工作，助力经济平稳健康发展，现就加大政府</w:t>
      </w:r>
      <w:r>
        <w:rPr>
          <w:rFonts w:ascii="宋体" w:hAnsi="宋体" w:eastAsia="宋体" w:cs="宋体"/>
          <w:color w:val="auto"/>
          <w:spacing w:val="8"/>
          <w:sz w:val="20"/>
          <w:szCs w:val="20"/>
        </w:rPr>
        <w:t>采购支持中小企业力度有关事项通知如下：</w:t>
      </w:r>
    </w:p>
    <w:p w14:paraId="335292B1">
      <w:pPr>
        <w:pStyle w:val="9"/>
        <w:spacing w:line="291" w:lineRule="auto"/>
        <w:rPr>
          <w:color w:val="auto"/>
        </w:rPr>
      </w:pPr>
    </w:p>
    <w:p w14:paraId="4C2185B8">
      <w:pPr>
        <w:spacing w:before="65" w:line="248" w:lineRule="auto"/>
        <w:ind w:left="72" w:right="84" w:firstLine="425"/>
        <w:rPr>
          <w:rFonts w:ascii="宋体" w:hAnsi="宋体" w:eastAsia="宋体" w:cs="宋体"/>
          <w:color w:val="auto"/>
          <w:sz w:val="20"/>
          <w:szCs w:val="20"/>
        </w:rPr>
      </w:pPr>
      <w:r>
        <w:rPr>
          <w:rFonts w:ascii="宋体" w:hAnsi="宋体" w:eastAsia="宋体" w:cs="宋体"/>
          <w:b/>
          <w:bCs/>
          <w:color w:val="auto"/>
          <w:spacing w:val="10"/>
          <w:sz w:val="20"/>
          <w:szCs w:val="20"/>
        </w:rPr>
        <w:t>一、严格落实支持中小企业政府采购政策。</w:t>
      </w:r>
      <w:r>
        <w:rPr>
          <w:rFonts w:ascii="宋体" w:hAnsi="宋体" w:eastAsia="宋体" w:cs="宋体"/>
          <w:color w:val="auto"/>
          <w:spacing w:val="10"/>
          <w:sz w:val="20"/>
          <w:szCs w:val="20"/>
        </w:rPr>
        <w:t>各地区、各部门要按照国务院的统一</w:t>
      </w:r>
      <w:r>
        <w:rPr>
          <w:rFonts w:ascii="宋体" w:hAnsi="宋体" w:eastAsia="宋体" w:cs="宋体"/>
          <w:color w:val="auto"/>
          <w:spacing w:val="9"/>
          <w:sz w:val="20"/>
          <w:szCs w:val="20"/>
        </w:rPr>
        <w:t>部署，认真落实《政府采购促进中小企业发展管理办法》（财库〔2020〕46号）的</w:t>
      </w:r>
      <w:r>
        <w:rPr>
          <w:rFonts w:ascii="宋体" w:hAnsi="宋体" w:eastAsia="宋体" w:cs="宋体"/>
          <w:color w:val="auto"/>
          <w:spacing w:val="8"/>
          <w:sz w:val="20"/>
          <w:szCs w:val="20"/>
        </w:rPr>
        <w:t>规定，规范资格条件</w:t>
      </w:r>
      <w:r>
        <w:rPr>
          <w:rFonts w:ascii="宋体" w:hAnsi="宋体" w:eastAsia="宋体" w:cs="宋体"/>
          <w:color w:val="auto"/>
          <w:spacing w:val="11"/>
          <w:sz w:val="20"/>
          <w:szCs w:val="20"/>
        </w:rPr>
        <w:t>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w:t>
      </w:r>
      <w:r>
        <w:rPr>
          <w:rFonts w:ascii="宋体" w:hAnsi="宋体" w:eastAsia="宋体" w:cs="宋体"/>
          <w:color w:val="auto"/>
          <w:spacing w:val="8"/>
          <w:sz w:val="20"/>
          <w:szCs w:val="20"/>
        </w:rPr>
        <w:t>的保证金，有效减轻中小企业资金压力。</w:t>
      </w:r>
    </w:p>
    <w:p w14:paraId="4F38112B">
      <w:pPr>
        <w:pStyle w:val="9"/>
        <w:spacing w:line="322" w:lineRule="auto"/>
        <w:rPr>
          <w:color w:val="auto"/>
        </w:rPr>
      </w:pPr>
    </w:p>
    <w:p w14:paraId="7BB610F1">
      <w:pPr>
        <w:spacing w:before="65" w:line="246" w:lineRule="auto"/>
        <w:ind w:left="73" w:right="85" w:firstLine="424"/>
        <w:rPr>
          <w:rFonts w:ascii="宋体" w:hAnsi="宋体" w:eastAsia="宋体" w:cs="宋体"/>
          <w:color w:val="auto"/>
          <w:sz w:val="20"/>
          <w:szCs w:val="20"/>
        </w:rPr>
      </w:pPr>
      <w:r>
        <w:rPr>
          <w:rFonts w:ascii="宋体" w:hAnsi="宋体" w:eastAsia="宋体" w:cs="宋体"/>
          <w:b/>
          <w:bCs/>
          <w:color w:val="auto"/>
          <w:spacing w:val="10"/>
          <w:sz w:val="20"/>
          <w:szCs w:val="20"/>
        </w:rPr>
        <w:t>二、调整对小微企业的价格评审优惠幅度。</w:t>
      </w:r>
      <w:r>
        <w:rPr>
          <w:rFonts w:ascii="宋体" w:hAnsi="宋体" w:eastAsia="宋体" w:cs="宋体"/>
          <w:color w:val="auto"/>
          <w:spacing w:val="10"/>
          <w:sz w:val="20"/>
          <w:szCs w:val="20"/>
        </w:rPr>
        <w:t>货物服务采购项目给予小微企业的价</w:t>
      </w:r>
      <w:r>
        <w:rPr>
          <w:rFonts w:ascii="宋体" w:hAnsi="宋体" w:eastAsia="宋体" w:cs="宋体"/>
          <w:color w:val="auto"/>
          <w:spacing w:val="9"/>
          <w:sz w:val="20"/>
          <w:szCs w:val="20"/>
        </w:rPr>
        <w:t>格扣除优</w:t>
      </w:r>
      <w:r>
        <w:rPr>
          <w:rFonts w:ascii="宋体" w:hAnsi="宋体" w:eastAsia="宋体" w:cs="宋体"/>
          <w:color w:val="auto"/>
          <w:spacing w:val="7"/>
          <w:sz w:val="20"/>
          <w:szCs w:val="20"/>
        </w:rPr>
        <w:t>惠，由财库〔2020〕46号文件规定的6%—10%提高至10%—20%。大中型企业与小微企业组成联</w:t>
      </w:r>
      <w:r>
        <w:rPr>
          <w:rFonts w:ascii="宋体" w:hAnsi="宋体" w:eastAsia="宋体" w:cs="宋体"/>
          <w:color w:val="auto"/>
          <w:spacing w:val="9"/>
          <w:sz w:val="20"/>
          <w:szCs w:val="20"/>
        </w:rPr>
        <w:t>合体或者大中型企业向小微企业分包的，评审优惠幅度由2</w:t>
      </w:r>
      <w:r>
        <w:rPr>
          <w:rFonts w:ascii="宋体" w:hAnsi="宋体" w:eastAsia="宋体" w:cs="宋体"/>
          <w:color w:val="auto"/>
          <w:spacing w:val="8"/>
          <w:sz w:val="20"/>
          <w:szCs w:val="20"/>
        </w:rPr>
        <w:t>%—3%提高至4%—6%。政府采购工程的价格评审优惠按照财库〔2020〕46号文件的规定执行。</w:t>
      </w:r>
      <w:r>
        <w:rPr>
          <w:rFonts w:ascii="宋体" w:hAnsi="宋体" w:eastAsia="宋体" w:cs="宋体"/>
          <w:color w:val="auto"/>
          <w:spacing w:val="7"/>
          <w:sz w:val="20"/>
          <w:szCs w:val="20"/>
        </w:rPr>
        <w:t>自本通知执行之日起发布采购公告或</w:t>
      </w:r>
      <w:r>
        <w:rPr>
          <w:rFonts w:ascii="宋体" w:hAnsi="宋体" w:eastAsia="宋体" w:cs="宋体"/>
          <w:color w:val="auto"/>
          <w:spacing w:val="9"/>
          <w:sz w:val="20"/>
          <w:szCs w:val="20"/>
        </w:rPr>
        <w:t>者发出采购邀请的货物服务采购项目，按照本通知规定的评审优惠幅度执行。</w:t>
      </w:r>
    </w:p>
    <w:p w14:paraId="3709B04C">
      <w:pPr>
        <w:pStyle w:val="9"/>
        <w:spacing w:line="318" w:lineRule="auto"/>
        <w:rPr>
          <w:color w:val="auto"/>
        </w:rPr>
      </w:pPr>
    </w:p>
    <w:p w14:paraId="3E3F853B">
      <w:pPr>
        <w:spacing w:before="65" w:line="249" w:lineRule="auto"/>
        <w:ind w:left="72" w:right="84" w:firstLine="424"/>
        <w:rPr>
          <w:rFonts w:ascii="宋体" w:hAnsi="宋体" w:eastAsia="宋体" w:cs="宋体"/>
          <w:color w:val="auto"/>
          <w:sz w:val="20"/>
          <w:szCs w:val="20"/>
        </w:rPr>
      </w:pPr>
      <w:r>
        <w:rPr>
          <w:rFonts w:ascii="宋体" w:hAnsi="宋体" w:eastAsia="宋体" w:cs="宋体"/>
          <w:b/>
          <w:bCs/>
          <w:color w:val="auto"/>
          <w:spacing w:val="10"/>
          <w:sz w:val="20"/>
          <w:szCs w:val="20"/>
        </w:rPr>
        <w:t>三、提高政府采购工程面向中小企业预留份额。</w:t>
      </w:r>
      <w:r>
        <w:rPr>
          <w:rFonts w:ascii="宋体" w:hAnsi="宋体" w:eastAsia="宋体" w:cs="宋体"/>
          <w:color w:val="auto"/>
          <w:spacing w:val="10"/>
          <w:sz w:val="20"/>
          <w:szCs w:val="20"/>
        </w:rPr>
        <w:t>400万元以下的工程采购项目适宜由中小企业提供的，采购人应当专门面向中小企业采购。超过400万元的工程采购项目中适宜由中小</w:t>
      </w:r>
      <w:r>
        <w:rPr>
          <w:rFonts w:ascii="宋体" w:hAnsi="宋体" w:eastAsia="宋体" w:cs="宋体"/>
          <w:color w:val="auto"/>
          <w:spacing w:val="9"/>
          <w:sz w:val="20"/>
          <w:szCs w:val="20"/>
        </w:rPr>
        <w:t>企业提供的，在坚持公开公正、公平竞争原则和统一质量标准的前提下，2022年下半年面向中</w:t>
      </w:r>
      <w:r>
        <w:rPr>
          <w:rFonts w:ascii="宋体" w:hAnsi="宋体" w:eastAsia="宋体" w:cs="宋体"/>
          <w:color w:val="auto"/>
          <w:spacing w:val="7"/>
          <w:sz w:val="20"/>
          <w:szCs w:val="20"/>
        </w:rPr>
        <w:t>小企业的预留份额由30%以上阶段性提高至40%以上。发展改革委会同相关工程招投标行政监督</w:t>
      </w:r>
      <w:r>
        <w:rPr>
          <w:rFonts w:ascii="宋体" w:hAnsi="宋体" w:eastAsia="宋体" w:cs="宋体"/>
          <w:color w:val="auto"/>
          <w:spacing w:val="11"/>
          <w:sz w:val="20"/>
          <w:szCs w:val="20"/>
        </w:rPr>
        <w:t>部门完善工程招投标领域落实政府采购支持中小企业政策相关措施。省级财政部门要积极协调发展改革、工业和信息化、住房和城乡建设、交通、水利、商务、铁路、民航等部门调整完善</w:t>
      </w:r>
      <w:r>
        <w:rPr>
          <w:rFonts w:ascii="宋体" w:hAnsi="宋体" w:eastAsia="宋体" w:cs="宋体"/>
          <w:color w:val="auto"/>
          <w:spacing w:val="7"/>
          <w:sz w:val="20"/>
          <w:szCs w:val="20"/>
        </w:rPr>
        <w:t>工程招投标领域有关标准文本、评标制度等规定和做法，并于2022年6月30日前将落实情况汇总报财政部。</w:t>
      </w:r>
    </w:p>
    <w:p w14:paraId="4A10A674">
      <w:pPr>
        <w:pStyle w:val="9"/>
        <w:spacing w:line="320" w:lineRule="auto"/>
        <w:rPr>
          <w:color w:val="auto"/>
        </w:rPr>
      </w:pPr>
    </w:p>
    <w:p w14:paraId="4CFAF68F">
      <w:pPr>
        <w:spacing w:before="66" w:line="238" w:lineRule="auto"/>
        <w:ind w:left="74" w:right="16" w:firstLine="440"/>
        <w:rPr>
          <w:rFonts w:ascii="宋体" w:hAnsi="宋体" w:eastAsia="宋体" w:cs="宋体"/>
          <w:color w:val="auto"/>
          <w:sz w:val="20"/>
          <w:szCs w:val="20"/>
        </w:rPr>
      </w:pPr>
      <w:r>
        <w:rPr>
          <w:rFonts w:ascii="宋体" w:hAnsi="宋体" w:eastAsia="宋体" w:cs="宋体"/>
          <w:b/>
          <w:bCs/>
          <w:color w:val="auto"/>
          <w:spacing w:val="10"/>
          <w:sz w:val="20"/>
          <w:szCs w:val="20"/>
        </w:rPr>
        <w:t>四、认真做好组织实施。</w:t>
      </w:r>
      <w:r>
        <w:rPr>
          <w:rFonts w:ascii="宋体" w:hAnsi="宋体" w:eastAsia="宋体" w:cs="宋体"/>
          <w:color w:val="auto"/>
          <w:spacing w:val="10"/>
          <w:sz w:val="20"/>
          <w:szCs w:val="20"/>
        </w:rPr>
        <w:t>各地区、各部门应当加强组织领导，明确工作责任，细化</w:t>
      </w:r>
      <w:r>
        <w:rPr>
          <w:rFonts w:ascii="宋体" w:hAnsi="宋体" w:eastAsia="宋体" w:cs="宋体"/>
          <w:color w:val="auto"/>
          <w:spacing w:val="9"/>
          <w:sz w:val="20"/>
          <w:szCs w:val="20"/>
        </w:rPr>
        <w:t>执行要</w:t>
      </w:r>
      <w:r>
        <w:rPr>
          <w:rFonts w:ascii="宋体" w:hAnsi="宋体" w:eastAsia="宋体" w:cs="宋体"/>
          <w:color w:val="auto"/>
          <w:spacing w:val="8"/>
          <w:sz w:val="20"/>
          <w:szCs w:val="20"/>
        </w:rPr>
        <w:t>求，强化监督检查，确保国务院部署落实到位，对通知执行中</w:t>
      </w:r>
      <w:r>
        <w:rPr>
          <w:rFonts w:ascii="宋体" w:hAnsi="宋体" w:eastAsia="宋体" w:cs="宋体"/>
          <w:color w:val="auto"/>
          <w:spacing w:val="7"/>
          <w:sz w:val="20"/>
          <w:szCs w:val="20"/>
        </w:rPr>
        <w:t>出现的问题要及时向财政部报告。</w:t>
      </w:r>
    </w:p>
    <w:p w14:paraId="273D6892">
      <w:pPr>
        <w:pStyle w:val="9"/>
        <w:spacing w:line="323" w:lineRule="auto"/>
        <w:rPr>
          <w:color w:val="auto"/>
        </w:rPr>
      </w:pPr>
    </w:p>
    <w:p w14:paraId="4226945D">
      <w:pPr>
        <w:spacing w:before="66" w:line="227" w:lineRule="auto"/>
        <w:ind w:left="764"/>
        <w:rPr>
          <w:rFonts w:ascii="宋体" w:hAnsi="宋体" w:eastAsia="宋体" w:cs="宋体"/>
          <w:color w:val="auto"/>
          <w:sz w:val="20"/>
          <w:szCs w:val="20"/>
        </w:rPr>
      </w:pPr>
      <w:r>
        <w:rPr>
          <w:rFonts w:ascii="宋体" w:hAnsi="宋体" w:eastAsia="宋体" w:cs="宋体"/>
          <w:color w:val="auto"/>
          <w:spacing w:val="-1"/>
          <w:sz w:val="20"/>
          <w:szCs w:val="20"/>
        </w:rPr>
        <w:t>本通知自2022年7月1日起执行</w:t>
      </w:r>
    </w:p>
    <w:p w14:paraId="4E8AE3C2">
      <w:pPr>
        <w:spacing w:line="227" w:lineRule="auto"/>
        <w:rPr>
          <w:rFonts w:ascii="宋体" w:hAnsi="宋体" w:eastAsia="宋体" w:cs="宋体"/>
          <w:color w:val="auto"/>
          <w:sz w:val="20"/>
          <w:szCs w:val="20"/>
        </w:rPr>
        <w:sectPr>
          <w:footerReference r:id="rId15" w:type="default"/>
          <w:pgSz w:w="11906" w:h="16839"/>
          <w:pgMar w:top="1431" w:right="1306" w:bottom="1018" w:left="1785" w:header="0" w:footer="852" w:gutter="0"/>
          <w:pgNumType w:fmt="decimal"/>
          <w:cols w:space="720" w:num="1"/>
        </w:sectPr>
      </w:pPr>
    </w:p>
    <w:p w14:paraId="3B6ACA20">
      <w:pPr>
        <w:spacing w:before="63" w:line="224" w:lineRule="auto"/>
        <w:ind w:left="2807"/>
        <w:outlineLvl w:val="0"/>
        <w:rPr>
          <w:rFonts w:ascii="宋体" w:hAnsi="宋体" w:eastAsia="宋体" w:cs="宋体"/>
          <w:color w:val="auto"/>
          <w:sz w:val="31"/>
          <w:szCs w:val="31"/>
        </w:rPr>
      </w:pPr>
      <w:bookmarkStart w:id="68" w:name="bookmark4"/>
      <w:bookmarkEnd w:id="68"/>
      <w:bookmarkStart w:id="69" w:name="_Toc13390"/>
      <w:r>
        <w:rPr>
          <w:rFonts w:ascii="宋体" w:hAnsi="宋体" w:eastAsia="宋体" w:cs="宋体"/>
          <w:b/>
          <w:bCs/>
          <w:color w:val="auto"/>
          <w:spacing w:val="6"/>
          <w:sz w:val="31"/>
          <w:szCs w:val="31"/>
        </w:rPr>
        <w:t>第四章合同条款及格式</w:t>
      </w:r>
      <w:bookmarkEnd w:id="69"/>
    </w:p>
    <w:p w14:paraId="23D95606">
      <w:pPr>
        <w:pStyle w:val="9"/>
        <w:spacing w:line="277" w:lineRule="auto"/>
        <w:rPr>
          <w:color w:val="auto"/>
        </w:rPr>
      </w:pPr>
    </w:p>
    <w:p w14:paraId="33082199">
      <w:pPr>
        <w:spacing w:before="78" w:line="219" w:lineRule="auto"/>
        <w:rPr>
          <w:rFonts w:ascii="宋体" w:hAnsi="宋体" w:eastAsia="宋体" w:cs="宋体"/>
          <w:color w:val="auto"/>
          <w:sz w:val="24"/>
          <w:szCs w:val="24"/>
        </w:rPr>
      </w:pPr>
      <w:r>
        <w:rPr>
          <w:rFonts w:ascii="宋体" w:hAnsi="宋体" w:eastAsia="宋体" w:cs="宋体"/>
          <w:color w:val="auto"/>
          <w:spacing w:val="-6"/>
          <w:sz w:val="24"/>
          <w:szCs w:val="24"/>
        </w:rPr>
        <w:t>以最终签订为准</w:t>
      </w:r>
    </w:p>
    <w:p w14:paraId="6756FE1F">
      <w:pPr>
        <w:pStyle w:val="9"/>
        <w:spacing w:line="274" w:lineRule="auto"/>
        <w:rPr>
          <w:color w:val="auto"/>
        </w:rPr>
      </w:pPr>
    </w:p>
    <w:p w14:paraId="252197C4">
      <w:pPr>
        <w:rPr>
          <w:rFonts w:ascii="宋体" w:hAnsi="宋体" w:eastAsia="宋体" w:cs="宋体"/>
          <w:b/>
          <w:bCs/>
          <w:color w:val="auto"/>
          <w:spacing w:val="5"/>
          <w:sz w:val="31"/>
          <w:szCs w:val="31"/>
        </w:rPr>
      </w:pPr>
      <w:bookmarkStart w:id="70" w:name="bookmark5"/>
      <w:bookmarkEnd w:id="70"/>
      <w:r>
        <w:rPr>
          <w:rFonts w:ascii="宋体" w:hAnsi="宋体" w:eastAsia="宋体" w:cs="宋体"/>
          <w:b/>
          <w:bCs/>
          <w:color w:val="auto"/>
          <w:spacing w:val="5"/>
          <w:sz w:val="31"/>
          <w:szCs w:val="31"/>
        </w:rPr>
        <w:br w:type="page"/>
      </w:r>
    </w:p>
    <w:p w14:paraId="4623E6FC">
      <w:pPr>
        <w:spacing w:before="100" w:line="224" w:lineRule="auto"/>
        <w:ind w:left="3081"/>
        <w:outlineLvl w:val="0"/>
        <w:rPr>
          <w:rFonts w:ascii="宋体" w:hAnsi="宋体" w:eastAsia="宋体" w:cs="宋体"/>
          <w:color w:val="auto"/>
          <w:sz w:val="31"/>
          <w:szCs w:val="31"/>
        </w:rPr>
      </w:pPr>
      <w:bookmarkStart w:id="71" w:name="_Toc7415"/>
      <w:r>
        <w:rPr>
          <w:rFonts w:ascii="宋体" w:hAnsi="宋体" w:eastAsia="宋体" w:cs="宋体"/>
          <w:b/>
          <w:bCs/>
          <w:color w:val="auto"/>
          <w:spacing w:val="5"/>
          <w:sz w:val="31"/>
          <w:szCs w:val="31"/>
        </w:rPr>
        <w:t>第五章工程量清单</w:t>
      </w:r>
      <w:bookmarkEnd w:id="71"/>
    </w:p>
    <w:p w14:paraId="466DFEF4">
      <w:pPr>
        <w:pStyle w:val="9"/>
        <w:spacing w:line="318" w:lineRule="auto"/>
        <w:rPr>
          <w:color w:val="auto"/>
        </w:rPr>
      </w:pPr>
    </w:p>
    <w:p w14:paraId="5FE65493">
      <w:pPr>
        <w:pStyle w:val="9"/>
        <w:spacing w:line="319" w:lineRule="auto"/>
        <w:rPr>
          <w:color w:val="auto"/>
        </w:rPr>
      </w:pPr>
    </w:p>
    <w:p w14:paraId="74808B5C">
      <w:pPr>
        <w:pStyle w:val="9"/>
        <w:spacing w:line="319" w:lineRule="auto"/>
        <w:rPr>
          <w:color w:val="auto"/>
        </w:rPr>
      </w:pPr>
    </w:p>
    <w:p w14:paraId="41D82609">
      <w:pPr>
        <w:spacing w:before="78" w:line="221" w:lineRule="auto"/>
        <w:ind w:left="3975"/>
        <w:rPr>
          <w:rFonts w:ascii="宋体" w:hAnsi="宋体" w:eastAsia="宋体" w:cs="宋体"/>
          <w:color w:val="auto"/>
          <w:sz w:val="24"/>
          <w:szCs w:val="24"/>
        </w:rPr>
      </w:pPr>
      <w:r>
        <w:rPr>
          <w:rFonts w:ascii="宋体" w:hAnsi="宋体" w:eastAsia="宋体" w:cs="宋体"/>
          <w:color w:val="auto"/>
          <w:spacing w:val="-6"/>
          <w:sz w:val="24"/>
          <w:szCs w:val="24"/>
        </w:rPr>
        <w:t>（另册）</w:t>
      </w:r>
    </w:p>
    <w:p w14:paraId="7E407AD1">
      <w:pPr>
        <w:pStyle w:val="9"/>
        <w:spacing w:line="263" w:lineRule="auto"/>
        <w:rPr>
          <w:color w:val="auto"/>
        </w:rPr>
      </w:pPr>
    </w:p>
    <w:p w14:paraId="7AE69729">
      <w:pPr>
        <w:pStyle w:val="9"/>
        <w:spacing w:line="263" w:lineRule="auto"/>
        <w:rPr>
          <w:color w:val="auto"/>
        </w:rPr>
      </w:pPr>
    </w:p>
    <w:p w14:paraId="40101BA0">
      <w:pPr>
        <w:rPr>
          <w:rFonts w:ascii="宋体" w:hAnsi="宋体" w:eastAsia="宋体" w:cs="宋体"/>
          <w:b/>
          <w:bCs/>
          <w:color w:val="auto"/>
          <w:spacing w:val="6"/>
          <w:sz w:val="31"/>
          <w:szCs w:val="31"/>
        </w:rPr>
      </w:pPr>
      <w:bookmarkStart w:id="72" w:name="bookmark6"/>
      <w:bookmarkEnd w:id="72"/>
      <w:r>
        <w:rPr>
          <w:rFonts w:ascii="宋体" w:hAnsi="宋体" w:eastAsia="宋体" w:cs="宋体"/>
          <w:b/>
          <w:bCs/>
          <w:color w:val="auto"/>
          <w:spacing w:val="6"/>
          <w:sz w:val="31"/>
          <w:szCs w:val="31"/>
        </w:rPr>
        <w:br w:type="page"/>
      </w:r>
    </w:p>
    <w:p w14:paraId="4EEB650F">
      <w:pPr>
        <w:spacing w:before="101" w:line="224" w:lineRule="auto"/>
        <w:ind w:left="2680"/>
        <w:outlineLvl w:val="0"/>
        <w:rPr>
          <w:rFonts w:ascii="宋体" w:hAnsi="宋体" w:eastAsia="宋体" w:cs="宋体"/>
          <w:b/>
          <w:bCs/>
          <w:color w:val="auto"/>
          <w:spacing w:val="6"/>
          <w:sz w:val="31"/>
          <w:szCs w:val="31"/>
        </w:rPr>
      </w:pPr>
      <w:bookmarkStart w:id="73" w:name="_Toc6690"/>
      <w:r>
        <w:rPr>
          <w:rFonts w:ascii="宋体" w:hAnsi="宋体" w:eastAsia="宋体" w:cs="宋体"/>
          <w:b/>
          <w:bCs/>
          <w:color w:val="auto"/>
          <w:spacing w:val="6"/>
          <w:sz w:val="31"/>
          <w:szCs w:val="31"/>
        </w:rPr>
        <w:t>第六章技术标准及要求</w:t>
      </w:r>
      <w:bookmarkEnd w:id="73"/>
    </w:p>
    <w:p w14:paraId="38C19B1D">
      <w:pPr>
        <w:bidi w:val="0"/>
      </w:pPr>
    </w:p>
    <w:p w14:paraId="597349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rPr>
        <w:t>本项目消防工程所供全部设备、器材及材料，须为行业内知名品牌、主流一线大厂产品，具备完整的CCC认证、型式检验报告、出厂合格证等全套合法有效质量证明文件，品牌市场认可度高、技术成熟稳定、售后服务体系完善。</w:t>
      </w:r>
      <w:r>
        <w:rPr>
          <w:rFonts w:hint="eastAsia" w:ascii="宋体" w:hAnsi="宋体" w:eastAsia="宋体" w:cs="宋体"/>
          <w:b/>
          <w:bCs/>
          <w:color w:val="auto"/>
          <w:sz w:val="24"/>
          <w:szCs w:val="28"/>
          <w:lang w:val="en-US" w:eastAsia="zh-CN"/>
        </w:rPr>
        <w:t>标书内明确所提供产品品牌</w:t>
      </w:r>
      <w:r>
        <w:rPr>
          <w:rFonts w:hint="eastAsia" w:ascii="宋体" w:hAnsi="宋体" w:cs="宋体"/>
          <w:b/>
          <w:bCs/>
          <w:color w:val="auto"/>
          <w:sz w:val="24"/>
          <w:szCs w:val="28"/>
          <w:lang w:val="en-US" w:eastAsia="zh-CN"/>
        </w:rPr>
        <w:t>，</w:t>
      </w:r>
      <w:r>
        <w:rPr>
          <w:rFonts w:hint="eastAsia" w:ascii="宋体" w:hAnsi="宋体" w:eastAsia="宋体" w:cs="宋体"/>
          <w:b/>
          <w:bCs/>
          <w:color w:val="auto"/>
          <w:sz w:val="24"/>
          <w:szCs w:val="28"/>
        </w:rPr>
        <w:t>品牌官方授权、产品彩页</w:t>
      </w:r>
      <w:bookmarkStart w:id="74" w:name="bookmark7"/>
      <w:bookmarkEnd w:id="74"/>
      <w:r>
        <w:rPr>
          <w:rFonts w:hint="eastAsia" w:ascii="宋体" w:hAnsi="宋体" w:eastAsia="宋体" w:cs="宋体"/>
          <w:b/>
          <w:bCs/>
          <w:color w:val="auto"/>
          <w:sz w:val="24"/>
          <w:szCs w:val="28"/>
          <w:lang w:val="en-US" w:eastAsia="zh-CN"/>
        </w:rPr>
        <w:t>及上述产品资料。</w:t>
      </w:r>
    </w:p>
    <w:p w14:paraId="00383014">
      <w:pPr>
        <w:rPr>
          <w:rFonts w:ascii="宋体" w:hAnsi="宋体" w:eastAsia="宋体" w:cs="宋体"/>
          <w:b/>
          <w:bCs/>
          <w:color w:val="auto"/>
          <w:spacing w:val="6"/>
          <w:sz w:val="35"/>
          <w:szCs w:val="35"/>
        </w:rPr>
      </w:pPr>
      <w:bookmarkStart w:id="75" w:name="_Toc26844"/>
      <w:r>
        <w:rPr>
          <w:rFonts w:ascii="宋体" w:hAnsi="宋体" w:eastAsia="宋体" w:cs="宋体"/>
          <w:b/>
          <w:bCs/>
          <w:color w:val="auto"/>
          <w:spacing w:val="6"/>
          <w:sz w:val="35"/>
          <w:szCs w:val="35"/>
        </w:rPr>
        <w:br w:type="page"/>
      </w:r>
    </w:p>
    <w:p w14:paraId="09576F67">
      <w:pPr>
        <w:spacing w:before="113" w:line="224" w:lineRule="auto"/>
        <w:ind w:left="1739"/>
        <w:outlineLvl w:val="0"/>
        <w:rPr>
          <w:rFonts w:ascii="宋体" w:hAnsi="宋体" w:eastAsia="宋体" w:cs="宋体"/>
          <w:color w:val="auto"/>
          <w:sz w:val="35"/>
          <w:szCs w:val="35"/>
        </w:rPr>
      </w:pPr>
      <w:r>
        <w:rPr>
          <w:rFonts w:ascii="宋体" w:hAnsi="宋体" w:eastAsia="宋体" w:cs="宋体"/>
          <w:b/>
          <w:bCs/>
          <w:color w:val="auto"/>
          <w:spacing w:val="6"/>
          <w:sz w:val="35"/>
          <w:szCs w:val="35"/>
        </w:rPr>
        <w:t>第七章响应文件内容及格式要求</w:t>
      </w:r>
      <w:bookmarkEnd w:id="75"/>
    </w:p>
    <w:p w14:paraId="79851A7E">
      <w:pPr>
        <w:pStyle w:val="9"/>
        <w:spacing w:line="271" w:lineRule="auto"/>
        <w:rPr>
          <w:color w:val="auto"/>
        </w:rPr>
      </w:pPr>
    </w:p>
    <w:p w14:paraId="5A1295F9">
      <w:pPr>
        <w:pStyle w:val="9"/>
        <w:spacing w:line="271" w:lineRule="auto"/>
        <w:rPr>
          <w:color w:val="auto"/>
        </w:rPr>
      </w:pPr>
    </w:p>
    <w:p w14:paraId="5CDF9DE0">
      <w:pPr>
        <w:pStyle w:val="9"/>
        <w:spacing w:line="272" w:lineRule="auto"/>
        <w:rPr>
          <w:color w:val="auto"/>
        </w:rPr>
      </w:pPr>
    </w:p>
    <w:p w14:paraId="516E8F9A">
      <w:pPr>
        <w:pStyle w:val="9"/>
        <w:spacing w:line="272" w:lineRule="auto"/>
        <w:rPr>
          <w:color w:val="auto"/>
        </w:rPr>
      </w:pPr>
    </w:p>
    <w:p w14:paraId="43653C9D">
      <w:pPr>
        <w:pStyle w:val="9"/>
        <w:spacing w:line="272" w:lineRule="auto"/>
        <w:rPr>
          <w:color w:val="auto"/>
        </w:rPr>
      </w:pPr>
    </w:p>
    <w:p w14:paraId="3971C7F9">
      <w:pPr>
        <w:tabs>
          <w:tab w:val="left" w:pos="4715"/>
        </w:tabs>
        <w:spacing w:before="91" w:line="221" w:lineRule="auto"/>
        <w:ind w:left="2474"/>
        <w:rPr>
          <w:rFonts w:ascii="宋体" w:hAnsi="宋体" w:eastAsia="宋体" w:cs="宋体"/>
          <w:color w:val="auto"/>
          <w:sz w:val="28"/>
          <w:szCs w:val="28"/>
        </w:rPr>
      </w:pPr>
      <w:r>
        <w:rPr>
          <w:rFonts w:ascii="宋体" w:hAnsi="宋体" w:eastAsia="宋体" w:cs="宋体"/>
          <w:color w:val="auto"/>
          <w:sz w:val="28"/>
          <w:szCs w:val="28"/>
          <w:u w:val="single" w:color="auto"/>
        </w:rPr>
        <w:tab/>
      </w:r>
      <w:r>
        <w:rPr>
          <w:rFonts w:ascii="宋体" w:hAnsi="宋体" w:eastAsia="宋体" w:cs="宋体"/>
          <w:color w:val="auto"/>
          <w:sz w:val="28"/>
          <w:szCs w:val="28"/>
        </w:rPr>
        <w:t>（项目名称）</w:t>
      </w:r>
    </w:p>
    <w:p w14:paraId="2F0BF336">
      <w:pPr>
        <w:pStyle w:val="9"/>
        <w:spacing w:line="250" w:lineRule="auto"/>
        <w:rPr>
          <w:color w:val="auto"/>
        </w:rPr>
      </w:pPr>
    </w:p>
    <w:p w14:paraId="211C19E8">
      <w:pPr>
        <w:pStyle w:val="9"/>
        <w:spacing w:line="251" w:lineRule="auto"/>
        <w:rPr>
          <w:color w:val="auto"/>
        </w:rPr>
      </w:pPr>
    </w:p>
    <w:p w14:paraId="53B785FC">
      <w:pPr>
        <w:pStyle w:val="9"/>
        <w:spacing w:line="251" w:lineRule="auto"/>
        <w:rPr>
          <w:color w:val="auto"/>
        </w:rPr>
      </w:pPr>
    </w:p>
    <w:p w14:paraId="48DD47B5">
      <w:pPr>
        <w:pStyle w:val="9"/>
        <w:spacing w:line="251" w:lineRule="auto"/>
        <w:rPr>
          <w:color w:val="auto"/>
        </w:rPr>
      </w:pPr>
    </w:p>
    <w:p w14:paraId="1A0B743F">
      <w:pPr>
        <w:pStyle w:val="9"/>
        <w:spacing w:line="251" w:lineRule="auto"/>
        <w:rPr>
          <w:color w:val="auto"/>
        </w:rPr>
      </w:pPr>
    </w:p>
    <w:p w14:paraId="1D1EA56A">
      <w:pPr>
        <w:pStyle w:val="9"/>
        <w:spacing w:line="251" w:lineRule="auto"/>
        <w:rPr>
          <w:color w:val="auto"/>
        </w:rPr>
      </w:pPr>
    </w:p>
    <w:p w14:paraId="0A293F0D">
      <w:pPr>
        <w:pStyle w:val="9"/>
        <w:spacing w:line="251" w:lineRule="auto"/>
        <w:rPr>
          <w:color w:val="auto"/>
        </w:rPr>
      </w:pPr>
    </w:p>
    <w:p w14:paraId="1A6D18AD">
      <w:pPr>
        <w:pStyle w:val="9"/>
        <w:spacing w:line="251" w:lineRule="auto"/>
        <w:rPr>
          <w:color w:val="auto"/>
        </w:rPr>
      </w:pPr>
    </w:p>
    <w:p w14:paraId="72FBE822">
      <w:pPr>
        <w:spacing w:before="140" w:line="223" w:lineRule="auto"/>
        <w:ind w:left="2933"/>
        <w:rPr>
          <w:rFonts w:ascii="宋体" w:hAnsi="宋体" w:eastAsia="宋体" w:cs="宋体"/>
          <w:color w:val="auto"/>
          <w:sz w:val="43"/>
          <w:szCs w:val="43"/>
        </w:rPr>
      </w:pPr>
      <w:r>
        <w:rPr>
          <w:rFonts w:ascii="宋体" w:hAnsi="宋体" w:eastAsia="宋体" w:cs="宋体"/>
          <w:color w:val="auto"/>
          <w:spacing w:val="-13"/>
          <w:sz w:val="43"/>
          <w:szCs w:val="43"/>
        </w:rPr>
        <w:t>响应文件</w:t>
      </w:r>
    </w:p>
    <w:p w14:paraId="55B40F26">
      <w:pPr>
        <w:pStyle w:val="9"/>
        <w:spacing w:line="303" w:lineRule="auto"/>
        <w:rPr>
          <w:color w:val="auto"/>
        </w:rPr>
      </w:pPr>
    </w:p>
    <w:p w14:paraId="481E3FA4">
      <w:pPr>
        <w:spacing w:before="78" w:line="219" w:lineRule="auto"/>
        <w:ind w:left="3848"/>
        <w:rPr>
          <w:rFonts w:ascii="宋体" w:hAnsi="宋体" w:eastAsia="宋体" w:cs="宋体"/>
          <w:color w:val="auto"/>
          <w:sz w:val="24"/>
          <w:szCs w:val="24"/>
        </w:rPr>
      </w:pPr>
      <w:r>
        <w:rPr>
          <w:rFonts w:ascii="宋体" w:hAnsi="宋体" w:eastAsia="宋体" w:cs="宋体"/>
          <w:color w:val="auto"/>
          <w:spacing w:val="-3"/>
          <w:sz w:val="24"/>
          <w:szCs w:val="24"/>
        </w:rPr>
        <w:t>项目编号：</w:t>
      </w:r>
    </w:p>
    <w:p w14:paraId="33B07073">
      <w:pPr>
        <w:pStyle w:val="9"/>
        <w:spacing w:line="256" w:lineRule="auto"/>
        <w:rPr>
          <w:color w:val="auto"/>
        </w:rPr>
      </w:pPr>
    </w:p>
    <w:p w14:paraId="263DDD70">
      <w:pPr>
        <w:pStyle w:val="9"/>
        <w:spacing w:line="242" w:lineRule="auto"/>
        <w:rPr>
          <w:color w:val="auto"/>
        </w:rPr>
      </w:pPr>
    </w:p>
    <w:p w14:paraId="3B1C9F6B">
      <w:pPr>
        <w:pStyle w:val="9"/>
        <w:spacing w:line="242" w:lineRule="auto"/>
        <w:rPr>
          <w:color w:val="auto"/>
        </w:rPr>
      </w:pPr>
    </w:p>
    <w:p w14:paraId="5D507119">
      <w:pPr>
        <w:pStyle w:val="9"/>
        <w:spacing w:line="242" w:lineRule="auto"/>
        <w:rPr>
          <w:color w:val="auto"/>
        </w:rPr>
      </w:pPr>
    </w:p>
    <w:p w14:paraId="3D8C0FAA">
      <w:pPr>
        <w:pStyle w:val="9"/>
        <w:spacing w:line="243" w:lineRule="auto"/>
        <w:rPr>
          <w:color w:val="auto"/>
        </w:rPr>
      </w:pPr>
    </w:p>
    <w:p w14:paraId="4CAC9A60">
      <w:pPr>
        <w:pStyle w:val="9"/>
        <w:spacing w:line="243" w:lineRule="auto"/>
        <w:rPr>
          <w:color w:val="auto"/>
        </w:rPr>
      </w:pPr>
    </w:p>
    <w:p w14:paraId="5F351C1C">
      <w:pPr>
        <w:spacing w:before="78" w:line="219" w:lineRule="auto"/>
        <w:ind w:left="1444"/>
        <w:rPr>
          <w:rFonts w:ascii="宋体" w:hAnsi="宋体" w:eastAsia="宋体" w:cs="宋体"/>
          <w:color w:val="auto"/>
          <w:sz w:val="24"/>
          <w:szCs w:val="24"/>
        </w:rPr>
      </w:pPr>
      <w:r>
        <w:rPr>
          <w:rFonts w:ascii="宋体" w:hAnsi="宋体" w:eastAsia="宋体" w:cs="宋体"/>
          <w:color w:val="auto"/>
          <w:spacing w:val="3"/>
          <w:sz w:val="24"/>
          <w:szCs w:val="24"/>
        </w:rPr>
        <w:t>供应商</w:t>
      </w:r>
      <w:r>
        <w:rPr>
          <w:rFonts w:ascii="宋体" w:hAnsi="宋体" w:eastAsia="宋体" w:cs="宋体"/>
          <w:color w:val="auto"/>
          <w:spacing w:val="-18"/>
          <w:sz w:val="24"/>
          <w:szCs w:val="24"/>
        </w:rPr>
        <w:t>：（</w:t>
      </w:r>
      <w:r>
        <w:rPr>
          <w:rFonts w:ascii="宋体" w:hAnsi="宋体" w:eastAsia="宋体" w:cs="宋体"/>
          <w:color w:val="auto"/>
          <w:spacing w:val="3"/>
          <w:sz w:val="24"/>
          <w:szCs w:val="24"/>
        </w:rPr>
        <w:t>盖单位章）</w:t>
      </w:r>
    </w:p>
    <w:p w14:paraId="51F9B555">
      <w:pPr>
        <w:pStyle w:val="9"/>
        <w:spacing w:line="285" w:lineRule="auto"/>
        <w:rPr>
          <w:color w:val="auto"/>
        </w:rPr>
      </w:pPr>
    </w:p>
    <w:p w14:paraId="7125E18A">
      <w:pPr>
        <w:pStyle w:val="9"/>
        <w:spacing w:line="285" w:lineRule="auto"/>
        <w:rPr>
          <w:color w:val="auto"/>
        </w:rPr>
      </w:pPr>
    </w:p>
    <w:p w14:paraId="3E08A227">
      <w:pPr>
        <w:spacing w:before="79" w:line="219" w:lineRule="auto"/>
        <w:ind w:left="1445"/>
        <w:rPr>
          <w:rFonts w:ascii="宋体" w:hAnsi="宋体" w:eastAsia="宋体" w:cs="宋体"/>
          <w:color w:val="auto"/>
          <w:sz w:val="24"/>
          <w:szCs w:val="24"/>
        </w:rPr>
      </w:pPr>
      <w:r>
        <w:rPr>
          <w:rFonts w:ascii="宋体" w:hAnsi="宋体" w:eastAsia="宋体" w:cs="宋体"/>
          <w:color w:val="auto"/>
          <w:spacing w:val="1"/>
          <w:sz w:val="24"/>
          <w:szCs w:val="24"/>
        </w:rPr>
        <w:t>法定代表人或其委托代理人</w:t>
      </w:r>
      <w:r>
        <w:rPr>
          <w:rFonts w:ascii="宋体" w:hAnsi="宋体" w:eastAsia="宋体" w:cs="宋体"/>
          <w:color w:val="auto"/>
          <w:spacing w:val="-14"/>
          <w:sz w:val="24"/>
          <w:szCs w:val="24"/>
        </w:rPr>
        <w:t>：（</w:t>
      </w:r>
      <w:r>
        <w:rPr>
          <w:rFonts w:ascii="宋体" w:hAnsi="宋体" w:eastAsia="宋体" w:cs="宋体"/>
          <w:color w:val="auto"/>
          <w:spacing w:val="1"/>
          <w:sz w:val="24"/>
          <w:szCs w:val="24"/>
        </w:rPr>
        <w:t>签字）</w:t>
      </w:r>
    </w:p>
    <w:p w14:paraId="7D5D8223">
      <w:pPr>
        <w:pStyle w:val="9"/>
        <w:spacing w:line="283" w:lineRule="auto"/>
        <w:rPr>
          <w:color w:val="auto"/>
        </w:rPr>
      </w:pPr>
    </w:p>
    <w:p w14:paraId="4FD0E51C">
      <w:pPr>
        <w:pStyle w:val="9"/>
        <w:spacing w:line="284" w:lineRule="auto"/>
        <w:rPr>
          <w:color w:val="auto"/>
        </w:rPr>
      </w:pPr>
    </w:p>
    <w:p w14:paraId="0C105F11">
      <w:pPr>
        <w:tabs>
          <w:tab w:val="left" w:pos="3593"/>
        </w:tabs>
        <w:spacing w:before="78" w:line="219" w:lineRule="auto"/>
        <w:ind w:left="2634"/>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
          <w:sz w:val="24"/>
          <w:szCs w:val="24"/>
        </w:rPr>
        <w:t>年月日</w:t>
      </w:r>
    </w:p>
    <w:p w14:paraId="13F0762F">
      <w:pPr>
        <w:spacing w:line="219" w:lineRule="auto"/>
        <w:rPr>
          <w:rFonts w:ascii="宋体" w:hAnsi="宋体" w:eastAsia="宋体" w:cs="宋体"/>
          <w:color w:val="auto"/>
          <w:sz w:val="24"/>
          <w:szCs w:val="24"/>
        </w:rPr>
        <w:sectPr>
          <w:footerReference r:id="rId16" w:type="default"/>
          <w:pgSz w:w="11906" w:h="16839"/>
          <w:pgMar w:top="1431" w:right="1785" w:bottom="1018" w:left="1785" w:header="0" w:footer="852" w:gutter="0"/>
          <w:pgNumType w:fmt="decimal"/>
          <w:cols w:space="720" w:num="1"/>
        </w:sectPr>
      </w:pPr>
    </w:p>
    <w:sdt>
      <w:sdtPr>
        <w:rPr>
          <w:rFonts w:ascii="宋体" w:hAnsi="宋体" w:eastAsia="宋体" w:cs="宋体"/>
          <w:color w:val="auto"/>
          <w:sz w:val="30"/>
          <w:szCs w:val="30"/>
        </w:rPr>
        <w:id w:val="147461115"/>
        <w:docPartObj>
          <w:docPartGallery w:val="Table of Contents"/>
          <w:docPartUnique/>
        </w:docPartObj>
      </w:sdtPr>
      <w:sdtEndPr>
        <w:rPr>
          <w:rFonts w:ascii="宋体" w:hAnsi="宋体" w:eastAsia="宋体" w:cs="宋体"/>
          <w:color w:val="auto"/>
          <w:sz w:val="20"/>
          <w:szCs w:val="20"/>
        </w:rPr>
      </w:sdtEndPr>
      <w:sdtContent>
        <w:p w14:paraId="64590216">
          <w:pPr>
            <w:spacing w:before="60" w:line="221" w:lineRule="auto"/>
            <w:ind w:left="4203"/>
            <w:rPr>
              <w:rFonts w:ascii="宋体" w:hAnsi="宋体" w:eastAsia="宋体" w:cs="宋体"/>
              <w:color w:val="auto"/>
              <w:sz w:val="30"/>
              <w:szCs w:val="30"/>
            </w:rPr>
          </w:pPr>
          <w:r>
            <w:rPr>
              <w:rFonts w:ascii="宋体" w:hAnsi="宋体" w:eastAsia="宋体" w:cs="宋体"/>
              <w:b/>
              <w:bCs/>
              <w:color w:val="auto"/>
              <w:spacing w:val="-38"/>
              <w:sz w:val="30"/>
              <w:szCs w:val="30"/>
            </w:rPr>
            <w:t>目录</w:t>
          </w:r>
        </w:p>
        <w:p w14:paraId="44AD1CA6">
          <w:pPr>
            <w:pStyle w:val="9"/>
            <w:spacing w:line="275" w:lineRule="auto"/>
            <w:rPr>
              <w:color w:val="auto"/>
            </w:rPr>
          </w:pPr>
        </w:p>
        <w:p w14:paraId="01BD889C">
          <w:pPr>
            <w:pStyle w:val="9"/>
            <w:spacing w:line="275" w:lineRule="auto"/>
            <w:rPr>
              <w:color w:val="auto"/>
            </w:rPr>
          </w:pPr>
        </w:p>
        <w:p w14:paraId="6B922160">
          <w:pPr>
            <w:spacing w:before="65" w:line="226" w:lineRule="auto"/>
            <w:ind w:left="347"/>
            <w:rPr>
              <w:rFonts w:ascii="宋体" w:hAnsi="宋体" w:eastAsia="宋体" w:cs="宋体"/>
              <w:color w:val="auto"/>
              <w:sz w:val="20"/>
              <w:szCs w:val="20"/>
            </w:rPr>
          </w:pPr>
          <w:r>
            <w:rPr>
              <w:rFonts w:ascii="宋体" w:hAnsi="宋体" w:eastAsia="宋体" w:cs="宋体"/>
              <w:color w:val="auto"/>
              <w:spacing w:val="8"/>
              <w:sz w:val="20"/>
              <w:szCs w:val="20"/>
            </w:rPr>
            <w:t>一、报价函及报价函附录</w:t>
          </w:r>
        </w:p>
        <w:p w14:paraId="2BC1B092">
          <w:pPr>
            <w:spacing w:before="163" w:line="226" w:lineRule="auto"/>
            <w:ind w:left="347"/>
            <w:rPr>
              <w:rFonts w:ascii="宋体" w:hAnsi="宋体" w:eastAsia="宋体" w:cs="宋体"/>
              <w:color w:val="auto"/>
              <w:sz w:val="20"/>
              <w:szCs w:val="20"/>
            </w:rPr>
          </w:pPr>
          <w:r>
            <w:rPr>
              <w:rFonts w:ascii="宋体" w:hAnsi="宋体" w:eastAsia="宋体" w:cs="宋体"/>
              <w:color w:val="auto"/>
              <w:spacing w:val="8"/>
              <w:sz w:val="20"/>
              <w:szCs w:val="20"/>
            </w:rPr>
            <w:t>二、报价一览表</w:t>
          </w:r>
        </w:p>
        <w:p w14:paraId="175966BE">
          <w:pPr>
            <w:spacing w:before="162" w:line="228" w:lineRule="auto"/>
            <w:ind w:left="343"/>
            <w:rPr>
              <w:rFonts w:ascii="宋体" w:hAnsi="宋体" w:eastAsia="宋体" w:cs="宋体"/>
              <w:color w:val="auto"/>
              <w:sz w:val="20"/>
              <w:szCs w:val="20"/>
            </w:rPr>
          </w:pPr>
          <w:r>
            <w:rPr>
              <w:rFonts w:ascii="宋体" w:hAnsi="宋体" w:eastAsia="宋体" w:cs="宋体"/>
              <w:color w:val="auto"/>
              <w:spacing w:val="9"/>
              <w:sz w:val="20"/>
              <w:szCs w:val="20"/>
            </w:rPr>
            <w:t>三、法定代表人身份证明</w:t>
          </w:r>
        </w:p>
        <w:p w14:paraId="38BACD7F">
          <w:pPr>
            <w:spacing w:before="161" w:line="227" w:lineRule="auto"/>
            <w:ind w:left="363"/>
            <w:rPr>
              <w:rFonts w:ascii="宋体" w:hAnsi="宋体" w:eastAsia="宋体" w:cs="宋体"/>
              <w:color w:val="auto"/>
              <w:sz w:val="20"/>
              <w:szCs w:val="20"/>
            </w:rPr>
          </w:pPr>
          <w:r>
            <w:rPr>
              <w:rFonts w:ascii="宋体" w:hAnsi="宋体" w:eastAsia="宋体" w:cs="宋体"/>
              <w:color w:val="auto"/>
              <w:spacing w:val="5"/>
              <w:sz w:val="20"/>
              <w:szCs w:val="20"/>
            </w:rPr>
            <w:t>四、授权委托书</w:t>
          </w:r>
        </w:p>
        <w:p w14:paraId="7F4B7F80">
          <w:pPr>
            <w:spacing w:before="162" w:line="226" w:lineRule="auto"/>
            <w:ind w:left="347"/>
            <w:rPr>
              <w:rFonts w:hint="default" w:ascii="宋体" w:hAnsi="宋体" w:eastAsia="宋体" w:cs="宋体"/>
              <w:color w:val="auto"/>
              <w:spacing w:val="8"/>
              <w:sz w:val="20"/>
              <w:szCs w:val="20"/>
              <w:lang w:val="en-US" w:eastAsia="zh-CN"/>
            </w:rPr>
          </w:pPr>
          <w:r>
            <w:rPr>
              <w:rFonts w:ascii="宋体" w:hAnsi="宋体" w:eastAsia="宋体" w:cs="宋体"/>
              <w:color w:val="auto"/>
              <w:spacing w:val="8"/>
              <w:sz w:val="20"/>
              <w:szCs w:val="20"/>
            </w:rPr>
            <w:t>五、</w:t>
          </w:r>
          <w:r>
            <w:rPr>
              <w:rFonts w:hint="eastAsia" w:ascii="宋体" w:hAnsi="宋体" w:eastAsia="宋体" w:cs="宋体"/>
              <w:color w:val="auto"/>
              <w:spacing w:val="8"/>
              <w:sz w:val="20"/>
              <w:szCs w:val="20"/>
              <w:lang w:val="en-US" w:eastAsia="zh-CN"/>
            </w:rPr>
            <w:t>磋商保证金</w:t>
          </w:r>
        </w:p>
        <w:p w14:paraId="58817A49">
          <w:pPr>
            <w:spacing w:before="162" w:line="226" w:lineRule="auto"/>
            <w:ind w:left="347"/>
            <w:rPr>
              <w:rFonts w:ascii="宋体" w:hAnsi="宋体" w:eastAsia="宋体" w:cs="宋体"/>
              <w:color w:val="auto"/>
              <w:sz w:val="20"/>
              <w:szCs w:val="20"/>
            </w:rPr>
          </w:pPr>
          <w:r>
            <w:rPr>
              <w:rFonts w:hint="eastAsia" w:ascii="宋体" w:hAnsi="宋体" w:eastAsia="宋体" w:cs="宋体"/>
              <w:color w:val="auto"/>
              <w:spacing w:val="8"/>
              <w:sz w:val="20"/>
              <w:szCs w:val="20"/>
              <w:lang w:val="en-US" w:eastAsia="zh-CN"/>
            </w:rPr>
            <w:t>六、</w:t>
          </w:r>
          <w:r>
            <w:rPr>
              <w:rFonts w:ascii="宋体" w:hAnsi="宋体" w:eastAsia="宋体" w:cs="宋体"/>
              <w:color w:val="auto"/>
              <w:spacing w:val="8"/>
              <w:sz w:val="20"/>
              <w:szCs w:val="20"/>
            </w:rPr>
            <w:t>已标价工程量清单</w:t>
          </w:r>
        </w:p>
        <w:p w14:paraId="1F2FE898">
          <w:pPr>
            <w:spacing w:before="163" w:line="227" w:lineRule="auto"/>
            <w:ind w:left="345"/>
            <w:rPr>
              <w:rFonts w:ascii="宋体" w:hAnsi="宋体" w:eastAsia="宋体" w:cs="宋体"/>
              <w:color w:val="auto"/>
              <w:sz w:val="20"/>
              <w:szCs w:val="20"/>
            </w:rPr>
          </w:pPr>
          <w:r>
            <w:rPr>
              <w:rFonts w:hint="eastAsia" w:ascii="宋体" w:hAnsi="宋体" w:eastAsia="宋体" w:cs="宋体"/>
              <w:color w:val="auto"/>
              <w:spacing w:val="8"/>
              <w:sz w:val="20"/>
              <w:szCs w:val="20"/>
              <w:lang w:val="en-US" w:eastAsia="zh-CN"/>
            </w:rPr>
            <w:t>七</w:t>
          </w:r>
          <w:r>
            <w:rPr>
              <w:rFonts w:ascii="宋体" w:hAnsi="宋体" w:eastAsia="宋体" w:cs="宋体"/>
              <w:color w:val="auto"/>
              <w:spacing w:val="8"/>
              <w:sz w:val="20"/>
              <w:szCs w:val="20"/>
            </w:rPr>
            <w:t>、项目管理机构</w:t>
          </w:r>
        </w:p>
        <w:p w14:paraId="5F0AF097">
          <w:pPr>
            <w:spacing w:before="164" w:line="228" w:lineRule="auto"/>
            <w:ind w:left="343"/>
            <w:rPr>
              <w:rFonts w:ascii="宋体" w:hAnsi="宋体" w:eastAsia="宋体" w:cs="宋体"/>
              <w:color w:val="auto"/>
              <w:sz w:val="20"/>
              <w:szCs w:val="20"/>
            </w:rPr>
          </w:pPr>
          <w:r>
            <w:rPr>
              <w:rFonts w:hint="eastAsia" w:ascii="宋体" w:hAnsi="宋体" w:eastAsia="宋体" w:cs="宋体"/>
              <w:color w:val="auto"/>
              <w:spacing w:val="8"/>
              <w:sz w:val="20"/>
              <w:szCs w:val="20"/>
              <w:lang w:val="en-US" w:eastAsia="zh-CN"/>
            </w:rPr>
            <w:t>八</w:t>
          </w:r>
          <w:r>
            <w:rPr>
              <w:rFonts w:ascii="宋体" w:hAnsi="宋体" w:eastAsia="宋体" w:cs="宋体"/>
              <w:color w:val="auto"/>
              <w:spacing w:val="8"/>
              <w:sz w:val="20"/>
              <w:szCs w:val="20"/>
            </w:rPr>
            <w:t>、资格审查资料</w:t>
          </w:r>
        </w:p>
      </w:sdtContent>
    </w:sdt>
    <w:p w14:paraId="56465123">
      <w:pPr>
        <w:spacing w:before="161" w:line="227" w:lineRule="auto"/>
        <w:ind w:left="353"/>
        <w:rPr>
          <w:rFonts w:ascii="宋体" w:hAnsi="宋体" w:eastAsia="宋体" w:cs="宋体"/>
          <w:color w:val="auto"/>
          <w:sz w:val="20"/>
          <w:szCs w:val="20"/>
        </w:rPr>
      </w:pPr>
      <w:r>
        <w:rPr>
          <w:rFonts w:ascii="宋体" w:hAnsi="宋体" w:eastAsia="宋体" w:cs="宋体"/>
          <w:color w:val="auto"/>
          <w:spacing w:val="8"/>
          <w:sz w:val="20"/>
          <w:szCs w:val="20"/>
        </w:rPr>
        <w:t>（一）供应商基本情况表</w:t>
      </w:r>
    </w:p>
    <w:p w14:paraId="7BA9A83F">
      <w:pPr>
        <w:spacing w:before="162" w:line="228" w:lineRule="auto"/>
        <w:ind w:left="353"/>
        <w:rPr>
          <w:rFonts w:ascii="宋体" w:hAnsi="宋体" w:eastAsia="宋体" w:cs="宋体"/>
          <w:color w:val="auto"/>
          <w:sz w:val="20"/>
          <w:szCs w:val="20"/>
        </w:rPr>
      </w:pPr>
      <w:r>
        <w:rPr>
          <w:rFonts w:ascii="宋体" w:hAnsi="宋体" w:eastAsia="宋体" w:cs="宋体"/>
          <w:color w:val="auto"/>
          <w:spacing w:val="7"/>
          <w:sz w:val="20"/>
          <w:szCs w:val="20"/>
        </w:rPr>
        <w:t>（二）近年财务状况表</w:t>
      </w:r>
    </w:p>
    <w:p w14:paraId="4C3B925F">
      <w:pPr>
        <w:spacing w:before="161" w:line="228" w:lineRule="auto"/>
        <w:ind w:left="353"/>
        <w:rPr>
          <w:rFonts w:ascii="宋体" w:hAnsi="宋体" w:eastAsia="宋体" w:cs="宋体"/>
          <w:color w:val="auto"/>
          <w:sz w:val="20"/>
          <w:szCs w:val="20"/>
        </w:rPr>
      </w:pPr>
      <w:r>
        <w:rPr>
          <w:rFonts w:ascii="宋体" w:hAnsi="宋体" w:eastAsia="宋体" w:cs="宋体"/>
          <w:color w:val="auto"/>
          <w:spacing w:val="8"/>
          <w:sz w:val="20"/>
          <w:szCs w:val="20"/>
        </w:rPr>
        <w:t>（三）近年完成的类似项目情况表</w:t>
      </w:r>
    </w:p>
    <w:p w14:paraId="1755051A">
      <w:pPr>
        <w:spacing w:before="163" w:line="228" w:lineRule="auto"/>
        <w:ind w:left="353"/>
        <w:rPr>
          <w:rFonts w:ascii="宋体" w:hAnsi="宋体" w:eastAsia="宋体" w:cs="宋体"/>
          <w:color w:val="auto"/>
          <w:sz w:val="20"/>
          <w:szCs w:val="20"/>
        </w:rPr>
      </w:pPr>
      <w:r>
        <w:rPr>
          <w:rFonts w:ascii="宋体" w:hAnsi="宋体" w:eastAsia="宋体" w:cs="宋体"/>
          <w:color w:val="auto"/>
          <w:spacing w:val="8"/>
          <w:sz w:val="20"/>
          <w:szCs w:val="20"/>
        </w:rPr>
        <w:t>（四）正在实施的和新承接的项目情况表</w:t>
      </w:r>
    </w:p>
    <w:p w14:paraId="3578BCE3">
      <w:pPr>
        <w:spacing w:before="161" w:line="228" w:lineRule="auto"/>
        <w:ind w:left="353"/>
        <w:rPr>
          <w:rFonts w:ascii="宋体" w:hAnsi="宋体" w:eastAsia="宋体" w:cs="宋体"/>
          <w:color w:val="auto"/>
          <w:sz w:val="20"/>
          <w:szCs w:val="20"/>
        </w:rPr>
      </w:pPr>
      <w:r>
        <w:rPr>
          <w:rFonts w:ascii="宋体" w:hAnsi="宋体" w:eastAsia="宋体" w:cs="宋体"/>
          <w:color w:val="auto"/>
          <w:spacing w:val="8"/>
          <w:sz w:val="20"/>
          <w:szCs w:val="20"/>
        </w:rPr>
        <w:t>（五）近年发生的诉讼和仲裁情况</w:t>
      </w:r>
    </w:p>
    <w:sdt>
      <w:sdtPr>
        <w:rPr>
          <w:rFonts w:hint="default" w:ascii="宋体" w:hAnsi="宋体" w:eastAsia="宋体" w:cs="宋体"/>
          <w:color w:val="auto"/>
          <w:sz w:val="20"/>
          <w:szCs w:val="20"/>
          <w:lang w:val="en-US"/>
        </w:rPr>
        <w:id w:val="147452681"/>
        <w:docPartObj>
          <w:docPartGallery w:val="Table of Contents"/>
          <w:docPartUnique/>
        </w:docPartObj>
      </w:sdtPr>
      <w:sdtEndPr>
        <w:rPr>
          <w:rFonts w:hint="default" w:ascii="宋体" w:hAnsi="宋体" w:eastAsia="宋体" w:cs="宋体"/>
          <w:color w:val="auto"/>
          <w:sz w:val="20"/>
          <w:szCs w:val="20"/>
          <w:lang w:val="en-US"/>
        </w:rPr>
      </w:sdtEndPr>
      <w:sdtContent>
        <w:p w14:paraId="4B02931B">
          <w:pPr>
            <w:spacing w:before="162" w:line="228" w:lineRule="auto"/>
            <w:ind w:left="347"/>
            <w:rPr>
              <w:rFonts w:ascii="宋体" w:hAnsi="宋体" w:eastAsia="宋体" w:cs="宋体"/>
              <w:color w:val="auto"/>
              <w:spacing w:val="8"/>
              <w:sz w:val="20"/>
              <w:szCs w:val="20"/>
            </w:rPr>
          </w:pPr>
          <w:r>
            <w:rPr>
              <w:rFonts w:hint="eastAsia" w:ascii="宋体" w:hAnsi="宋体" w:eastAsia="宋体" w:cs="宋体"/>
              <w:color w:val="auto"/>
              <w:sz w:val="20"/>
              <w:szCs w:val="20"/>
              <w:lang w:val="en-US" w:eastAsia="zh-CN"/>
            </w:rPr>
            <w:t>九</w:t>
          </w:r>
          <w:r>
            <w:rPr>
              <w:rFonts w:ascii="宋体" w:hAnsi="宋体" w:eastAsia="宋体" w:cs="宋体"/>
              <w:color w:val="auto"/>
              <w:spacing w:val="8"/>
              <w:sz w:val="20"/>
              <w:szCs w:val="20"/>
            </w:rPr>
            <w:t>、施工组织设计</w:t>
          </w:r>
        </w:p>
        <w:p w14:paraId="34C301F6">
          <w:pPr>
            <w:ind w:firstLine="480"/>
            <w:rPr>
              <w:rFonts w:hint="eastAsia" w:ascii="宋体" w:hAnsi="宋体" w:cs="宋体"/>
              <w:color w:val="auto"/>
              <w:sz w:val="24"/>
              <w:szCs w:val="24"/>
              <w:lang w:val="zh-CN"/>
            </w:rPr>
          </w:pPr>
          <w:r>
            <w:rPr>
              <w:rFonts w:hint="eastAsia" w:ascii="宋体" w:hAnsi="宋体" w:cs="宋体"/>
              <w:color w:val="auto"/>
              <w:sz w:val="24"/>
              <w:szCs w:val="24"/>
              <w:lang w:val="zh-CN"/>
            </w:rPr>
            <w:t>技术文件（暗标）未按以下“盲评”要求制作的，为无效响应，除下列要求外，不得因暗标格式问题认定为无效响应：</w:t>
          </w:r>
        </w:p>
        <w:p w14:paraId="2FCDA123">
          <w:pPr>
            <w:ind w:firstLine="480"/>
            <w:rPr>
              <w:rFonts w:hint="eastAsia" w:ascii="宋体" w:hAnsi="宋体" w:cs="宋体"/>
              <w:color w:val="auto"/>
              <w:sz w:val="24"/>
              <w:szCs w:val="24"/>
              <w:lang w:val="zh-CN"/>
            </w:rPr>
          </w:pPr>
          <w:r>
            <w:rPr>
              <w:rFonts w:hint="eastAsia" w:ascii="宋体" w:hAnsi="宋体" w:cs="宋体"/>
              <w:color w:val="auto"/>
              <w:sz w:val="24"/>
              <w:szCs w:val="24"/>
              <w:lang w:val="zh-CN"/>
            </w:rPr>
            <w:t>（1）版面要求：A4纸张大小；</w:t>
          </w:r>
        </w:p>
        <w:p w14:paraId="515EC531">
          <w:pPr>
            <w:ind w:firstLine="480"/>
            <w:rPr>
              <w:rFonts w:hint="eastAsia" w:ascii="宋体" w:hAnsi="宋体" w:cs="宋体"/>
              <w:color w:val="auto"/>
              <w:sz w:val="24"/>
              <w:szCs w:val="24"/>
              <w:lang w:val="zh-CN"/>
            </w:rPr>
          </w:pPr>
          <w:r>
            <w:rPr>
              <w:rFonts w:hint="eastAsia" w:ascii="宋体" w:hAnsi="宋体" w:cs="宋体"/>
              <w:color w:val="auto"/>
              <w:sz w:val="24"/>
              <w:szCs w:val="24"/>
              <w:lang w:val="zh-CN"/>
            </w:rPr>
            <w:t>（2）颜色要求：所有文字、图表为黑色；</w:t>
          </w:r>
        </w:p>
        <w:p w14:paraId="0639A750">
          <w:pPr>
            <w:ind w:firstLine="480"/>
            <w:rPr>
              <w:rFonts w:hint="eastAsia" w:ascii="宋体" w:hAnsi="宋体" w:cs="宋体"/>
              <w:color w:val="auto"/>
              <w:sz w:val="24"/>
              <w:szCs w:val="24"/>
              <w:lang w:val="zh-CN"/>
            </w:rPr>
          </w:pPr>
          <w:r>
            <w:rPr>
              <w:rFonts w:hint="eastAsia" w:ascii="宋体" w:hAnsi="宋体" w:cs="宋体"/>
              <w:color w:val="auto"/>
              <w:sz w:val="24"/>
              <w:szCs w:val="24"/>
              <w:lang w:val="zh-CN"/>
            </w:rPr>
            <w:t>（3）字体要求：标题及正文部分所用的文字均采用“宋体”四号“常规”字；图、表内的字体及字号不作要求；全部使用中文标点符号；所有字体均不得出现加粗、加色、倾斜、下划线等标记；</w:t>
          </w:r>
        </w:p>
        <w:p w14:paraId="73AAA1C8">
          <w:pPr>
            <w:ind w:firstLine="480"/>
            <w:rPr>
              <w:rFonts w:hint="eastAsia" w:ascii="宋体" w:hAnsi="宋体" w:cs="宋体"/>
              <w:color w:val="auto"/>
              <w:sz w:val="24"/>
              <w:szCs w:val="24"/>
              <w:lang w:val="zh-CN"/>
            </w:rPr>
          </w:pPr>
          <w:r>
            <w:rPr>
              <w:rFonts w:hint="eastAsia" w:ascii="宋体" w:hAnsi="宋体" w:cs="宋体"/>
              <w:color w:val="auto"/>
              <w:sz w:val="24"/>
              <w:szCs w:val="24"/>
              <w:lang w:val="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CE41DA9">
          <w:pPr>
            <w:ind w:firstLine="480"/>
            <w:rPr>
              <w:rFonts w:hint="eastAsia" w:ascii="宋体" w:hAnsi="宋体" w:cs="宋体"/>
              <w:color w:val="auto"/>
              <w:sz w:val="24"/>
              <w:szCs w:val="24"/>
              <w:lang w:val="zh-CN"/>
            </w:rPr>
          </w:pPr>
          <w:r>
            <w:rPr>
              <w:rFonts w:hint="eastAsia" w:ascii="宋体" w:hAnsi="宋体" w:cs="宋体"/>
              <w:color w:val="auto"/>
              <w:sz w:val="24"/>
              <w:szCs w:val="24"/>
              <w:lang w:val="zh-CN"/>
            </w:rPr>
            <w:t>（5）其它：除满足上述各项要求外，构成磋商文件的“技术暗标”的正文中均不得出现供应商的名称和其它可识别供应商身份的字符、徽标、人员名称以及其他可能被辨别出供应商身份的任何标记。</w:t>
          </w:r>
        </w:p>
        <w:p w14:paraId="35B02410">
          <w:pPr>
            <w:spacing w:before="162" w:line="228" w:lineRule="auto"/>
            <w:ind w:left="347"/>
            <w:rPr>
              <w:rFonts w:ascii="宋体" w:hAnsi="宋体" w:eastAsia="宋体" w:cs="宋体"/>
              <w:color w:val="auto"/>
              <w:spacing w:val="8"/>
              <w:sz w:val="20"/>
              <w:szCs w:val="20"/>
            </w:rPr>
          </w:pPr>
        </w:p>
        <w:p w14:paraId="720BA8FA">
          <w:pPr>
            <w:spacing w:before="160" w:line="228" w:lineRule="auto"/>
            <w:ind w:left="348"/>
            <w:rPr>
              <w:rFonts w:ascii="宋体" w:hAnsi="宋体" w:eastAsia="宋体" w:cs="宋体"/>
              <w:color w:val="auto"/>
              <w:sz w:val="20"/>
              <w:szCs w:val="20"/>
            </w:rPr>
          </w:pPr>
          <w:r>
            <w:rPr>
              <w:rFonts w:hint="eastAsia" w:ascii="宋体" w:hAnsi="宋体" w:eastAsia="宋体" w:cs="宋体"/>
              <w:color w:val="auto"/>
              <w:spacing w:val="8"/>
              <w:sz w:val="20"/>
              <w:szCs w:val="20"/>
              <w:lang w:val="en-US" w:eastAsia="zh-CN"/>
            </w:rPr>
            <w:t>十</w:t>
          </w:r>
          <w:r>
            <w:rPr>
              <w:rFonts w:ascii="宋体" w:hAnsi="宋体" w:eastAsia="宋体" w:cs="宋体"/>
              <w:color w:val="auto"/>
              <w:spacing w:val="8"/>
              <w:sz w:val="20"/>
              <w:szCs w:val="20"/>
            </w:rPr>
            <w:t>、中小企业声明函</w:t>
          </w:r>
        </w:p>
        <w:p w14:paraId="16463333">
          <w:pPr>
            <w:spacing w:before="164" w:line="227" w:lineRule="auto"/>
            <w:ind w:left="344"/>
            <w:rPr>
              <w:rFonts w:ascii="宋体" w:hAnsi="宋体" w:eastAsia="宋体" w:cs="宋体"/>
              <w:color w:val="auto"/>
              <w:sz w:val="20"/>
              <w:szCs w:val="20"/>
            </w:rPr>
          </w:pPr>
          <w:r>
            <w:rPr>
              <w:rFonts w:ascii="宋体" w:hAnsi="宋体" w:eastAsia="宋体" w:cs="宋体"/>
              <w:color w:val="auto"/>
              <w:spacing w:val="8"/>
              <w:sz w:val="20"/>
              <w:szCs w:val="20"/>
            </w:rPr>
            <w:t>十</w:t>
          </w:r>
          <w:r>
            <w:rPr>
              <w:rFonts w:hint="eastAsia" w:ascii="宋体" w:hAnsi="宋体" w:eastAsia="宋体" w:cs="宋体"/>
              <w:color w:val="auto"/>
              <w:spacing w:val="8"/>
              <w:sz w:val="20"/>
              <w:szCs w:val="20"/>
              <w:lang w:val="en-US" w:eastAsia="zh-CN"/>
            </w:rPr>
            <w:t>一</w:t>
          </w:r>
          <w:r>
            <w:rPr>
              <w:rFonts w:ascii="宋体" w:hAnsi="宋体" w:eastAsia="宋体" w:cs="宋体"/>
              <w:color w:val="auto"/>
              <w:spacing w:val="8"/>
              <w:sz w:val="20"/>
              <w:szCs w:val="20"/>
            </w:rPr>
            <w:t>、其他材料</w:t>
          </w:r>
        </w:p>
      </w:sdtContent>
    </w:sdt>
    <w:p w14:paraId="0D68A544">
      <w:pPr>
        <w:pStyle w:val="9"/>
        <w:spacing w:line="280" w:lineRule="auto"/>
        <w:rPr>
          <w:color w:val="auto"/>
        </w:rPr>
      </w:pPr>
    </w:p>
    <w:p w14:paraId="26AB6D68">
      <w:pPr>
        <w:pStyle w:val="9"/>
        <w:spacing w:line="281" w:lineRule="auto"/>
        <w:rPr>
          <w:color w:val="auto"/>
        </w:rPr>
      </w:pPr>
    </w:p>
    <w:p w14:paraId="11AE4C4E">
      <w:pPr>
        <w:pStyle w:val="9"/>
        <w:spacing w:line="281" w:lineRule="auto"/>
        <w:rPr>
          <w:color w:val="auto"/>
        </w:rPr>
      </w:pPr>
    </w:p>
    <w:p w14:paraId="77101331">
      <w:pPr>
        <w:spacing w:before="66" w:line="228" w:lineRule="auto"/>
        <w:jc w:val="right"/>
        <w:rPr>
          <w:rFonts w:ascii="宋体" w:hAnsi="宋体" w:eastAsia="宋体" w:cs="宋体"/>
          <w:color w:val="auto"/>
          <w:sz w:val="20"/>
          <w:szCs w:val="20"/>
        </w:rPr>
      </w:pPr>
      <w:r>
        <w:rPr>
          <w:rFonts w:ascii="宋体" w:hAnsi="宋体" w:eastAsia="宋体" w:cs="宋体"/>
          <w:color w:val="auto"/>
          <w:spacing w:val="7"/>
          <w:sz w:val="20"/>
          <w:szCs w:val="20"/>
        </w:rPr>
        <w:t>须编制页码</w:t>
      </w:r>
    </w:p>
    <w:p w14:paraId="0019A857">
      <w:pPr>
        <w:spacing w:line="228" w:lineRule="auto"/>
        <w:rPr>
          <w:rFonts w:ascii="宋体" w:hAnsi="宋体" w:eastAsia="宋体" w:cs="宋体"/>
          <w:color w:val="auto"/>
          <w:sz w:val="20"/>
          <w:szCs w:val="20"/>
        </w:rPr>
        <w:sectPr>
          <w:footerReference r:id="rId17" w:type="default"/>
          <w:pgSz w:w="11906" w:h="16839"/>
          <w:pgMar w:top="1404" w:right="1165" w:bottom="1018" w:left="1785" w:header="0" w:footer="852" w:gutter="0"/>
          <w:pgNumType w:fmt="decimal"/>
          <w:cols w:space="720" w:num="1"/>
        </w:sectPr>
      </w:pPr>
    </w:p>
    <w:p w14:paraId="20BA7766">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pPr>
      <w:r>
        <w:t>一、报价函及报价函附录</w:t>
      </w:r>
    </w:p>
    <w:p w14:paraId="45A1657B">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pPr>
      <w:bookmarkStart w:id="76" w:name="_Toc16496"/>
      <w:bookmarkStart w:id="77" w:name="_Toc9967"/>
      <w:r>
        <w:t>（一）报价函</w:t>
      </w:r>
      <w:bookmarkEnd w:id="76"/>
      <w:bookmarkEnd w:id="77"/>
    </w:p>
    <w:p w14:paraId="2A33F0C4">
      <w:pPr>
        <w:spacing w:before="65" w:line="227" w:lineRule="auto"/>
        <w:rPr>
          <w:rFonts w:ascii="宋体" w:hAnsi="宋体" w:eastAsia="宋体" w:cs="宋体"/>
          <w:color w:val="auto"/>
          <w:sz w:val="20"/>
          <w:szCs w:val="20"/>
        </w:rPr>
      </w:pPr>
      <w:r>
        <w:rPr>
          <w:rFonts w:ascii="宋体" w:hAnsi="宋体" w:eastAsia="宋体" w:cs="宋体"/>
          <w:color w:val="auto"/>
          <w:spacing w:val="16"/>
          <w:sz w:val="20"/>
          <w:szCs w:val="20"/>
        </w:rPr>
        <w:t>致</w:t>
      </w:r>
      <w:r>
        <w:rPr>
          <w:rFonts w:ascii="宋体" w:hAnsi="宋体" w:eastAsia="宋体" w:cs="宋体"/>
          <w:color w:val="auto"/>
          <w:spacing w:val="-19"/>
          <w:sz w:val="20"/>
          <w:szCs w:val="20"/>
        </w:rPr>
        <w:t>：</w:t>
      </w:r>
      <w:r>
        <w:rPr>
          <w:rFonts w:ascii="宋体" w:hAnsi="宋体" w:eastAsia="宋体" w:cs="宋体"/>
          <w:color w:val="auto"/>
          <w:spacing w:val="-19"/>
          <w:sz w:val="20"/>
          <w:szCs w:val="20"/>
          <w:u w:val="single" w:color="auto"/>
        </w:rPr>
        <w:t>（</w:t>
      </w:r>
      <w:r>
        <w:rPr>
          <w:rFonts w:ascii="宋体" w:hAnsi="宋体" w:eastAsia="宋体" w:cs="宋体"/>
          <w:color w:val="auto"/>
          <w:spacing w:val="16"/>
          <w:sz w:val="20"/>
          <w:szCs w:val="20"/>
          <w:u w:val="single" w:color="auto"/>
        </w:rPr>
        <w:t>采购人名称）</w:t>
      </w:r>
    </w:p>
    <w:p w14:paraId="1BFB146E">
      <w:pPr>
        <w:pStyle w:val="9"/>
        <w:spacing w:line="403" w:lineRule="auto"/>
        <w:rPr>
          <w:color w:val="auto"/>
        </w:rPr>
      </w:pPr>
    </w:p>
    <w:p w14:paraId="1D8B7C5C">
      <w:pPr>
        <w:spacing w:before="65" w:line="383" w:lineRule="auto"/>
        <w:ind w:left="5" w:firstLine="430"/>
        <w:rPr>
          <w:rFonts w:ascii="宋体" w:hAnsi="宋体" w:eastAsia="宋体" w:cs="宋体"/>
          <w:color w:val="auto"/>
          <w:sz w:val="20"/>
          <w:szCs w:val="20"/>
        </w:rPr>
      </w:pPr>
      <w:r>
        <w:rPr>
          <w:rFonts w:ascii="宋体" w:hAnsi="宋体" w:eastAsia="宋体" w:cs="宋体"/>
          <w:color w:val="auto"/>
          <w:spacing w:val="7"/>
          <w:sz w:val="20"/>
          <w:szCs w:val="20"/>
        </w:rPr>
        <w:t>1.我方已仔细研究了</w:t>
      </w:r>
      <w:r>
        <w:rPr>
          <w:rFonts w:hint="eastAsia" w:ascii="宋体" w:hAnsi="宋体" w:cs="宋体"/>
          <w:color w:val="auto"/>
          <w:spacing w:val="7"/>
          <w:sz w:val="20"/>
          <w:szCs w:val="20"/>
          <w:u w:val="single" w:color="auto"/>
          <w:lang w:eastAsia="zh-CN"/>
        </w:rPr>
        <w:t>（</w:t>
      </w:r>
      <w:r>
        <w:rPr>
          <w:rFonts w:ascii="宋体" w:hAnsi="宋体" w:eastAsia="宋体" w:cs="宋体"/>
          <w:color w:val="auto"/>
          <w:spacing w:val="7"/>
          <w:sz w:val="20"/>
          <w:szCs w:val="20"/>
          <w:u w:val="single" w:color="auto"/>
        </w:rPr>
        <w:t>项目名称</w:t>
      </w:r>
      <w:r>
        <w:rPr>
          <w:rFonts w:hint="eastAsia" w:ascii="宋体" w:hAnsi="宋体" w:cs="宋体"/>
          <w:color w:val="auto"/>
          <w:spacing w:val="7"/>
          <w:sz w:val="20"/>
          <w:szCs w:val="20"/>
          <w:u w:val="single" w:color="auto"/>
          <w:lang w:eastAsia="zh-CN"/>
        </w:rPr>
        <w:t>）</w:t>
      </w:r>
      <w:r>
        <w:rPr>
          <w:rFonts w:ascii="宋体" w:hAnsi="宋体" w:eastAsia="宋体" w:cs="宋体"/>
          <w:color w:val="auto"/>
          <w:spacing w:val="7"/>
          <w:sz w:val="20"/>
          <w:szCs w:val="20"/>
        </w:rPr>
        <w:t>竞争性磋商文件的全部内容，我方愿按</w:t>
      </w:r>
      <w:r>
        <w:rPr>
          <w:rFonts w:ascii="宋体" w:hAnsi="宋体" w:eastAsia="宋体" w:cs="宋体"/>
          <w:color w:val="auto"/>
          <w:spacing w:val="4"/>
          <w:sz w:val="20"/>
          <w:szCs w:val="20"/>
        </w:rPr>
        <w:t>的合同方式，以人民币（大写）</w:t>
      </w:r>
      <w:r>
        <w:rPr>
          <w:rFonts w:hint="eastAsia" w:ascii="宋体" w:hAnsi="宋体" w:cs="宋体"/>
          <w:color w:val="auto"/>
          <w:spacing w:val="4"/>
          <w:sz w:val="20"/>
          <w:szCs w:val="20"/>
          <w:lang w:val="en-US" w:eastAsia="zh-CN"/>
        </w:rPr>
        <w:t xml:space="preserve">        </w:t>
      </w:r>
      <w:r>
        <w:rPr>
          <w:rFonts w:hint="eastAsia" w:ascii="宋体" w:hAnsi="宋体" w:cs="宋体"/>
          <w:color w:val="auto"/>
          <w:spacing w:val="3"/>
          <w:sz w:val="20"/>
          <w:szCs w:val="20"/>
          <w:lang w:eastAsia="zh-CN"/>
        </w:rPr>
        <w:t>（</w:t>
      </w:r>
      <w:r>
        <w:rPr>
          <w:rFonts w:ascii="宋体" w:hAnsi="宋体" w:eastAsia="宋体" w:cs="宋体"/>
          <w:color w:val="auto"/>
          <w:spacing w:val="3"/>
          <w:sz w:val="20"/>
          <w:szCs w:val="20"/>
        </w:rPr>
        <w:t>¥</w:t>
      </w:r>
      <w:r>
        <w:rPr>
          <w:rFonts w:hint="eastAsia" w:ascii="宋体" w:hAnsi="宋体" w:cs="宋体"/>
          <w:color w:val="auto"/>
          <w:spacing w:val="3"/>
          <w:sz w:val="20"/>
          <w:szCs w:val="20"/>
          <w:lang w:val="en-US" w:eastAsia="zh-CN"/>
        </w:rPr>
        <w:t xml:space="preserve">         </w:t>
      </w:r>
      <w:r>
        <w:rPr>
          <w:rFonts w:hint="eastAsia" w:ascii="宋体" w:hAnsi="宋体" w:cs="宋体"/>
          <w:color w:val="auto"/>
          <w:spacing w:val="3"/>
          <w:sz w:val="20"/>
          <w:szCs w:val="20"/>
          <w:lang w:eastAsia="zh-CN"/>
        </w:rPr>
        <w:t>）</w:t>
      </w:r>
      <w:r>
        <w:rPr>
          <w:rFonts w:ascii="宋体" w:hAnsi="宋体" w:eastAsia="宋体" w:cs="宋体"/>
          <w:color w:val="auto"/>
          <w:spacing w:val="3"/>
          <w:sz w:val="20"/>
          <w:szCs w:val="20"/>
        </w:rPr>
        <w:t>的总报价，计划工期</w:t>
      </w:r>
      <w:r>
        <w:rPr>
          <w:rFonts w:hint="eastAsia" w:ascii="宋体" w:hAnsi="宋体" w:cs="宋体"/>
          <w:color w:val="auto"/>
          <w:spacing w:val="3"/>
          <w:sz w:val="20"/>
          <w:szCs w:val="20"/>
          <w:lang w:val="en-US" w:eastAsia="zh-CN"/>
        </w:rPr>
        <w:t xml:space="preserve">         </w:t>
      </w:r>
      <w:r>
        <w:rPr>
          <w:rFonts w:ascii="宋体" w:hAnsi="宋体" w:eastAsia="宋体" w:cs="宋体"/>
          <w:color w:val="auto"/>
          <w:spacing w:val="3"/>
          <w:sz w:val="20"/>
          <w:szCs w:val="20"/>
        </w:rPr>
        <w:t>，按合同</w:t>
      </w:r>
      <w:r>
        <w:rPr>
          <w:rFonts w:ascii="宋体" w:hAnsi="宋体" w:eastAsia="宋体" w:cs="宋体"/>
          <w:color w:val="auto"/>
          <w:spacing w:val="8"/>
          <w:sz w:val="20"/>
          <w:szCs w:val="20"/>
        </w:rPr>
        <w:t>约定实施和完成承包上述采购项目。</w:t>
      </w:r>
    </w:p>
    <w:p w14:paraId="12442036">
      <w:pPr>
        <w:spacing w:before="255" w:line="226" w:lineRule="auto"/>
        <w:ind w:left="422"/>
        <w:rPr>
          <w:rFonts w:ascii="宋体" w:hAnsi="宋体" w:eastAsia="宋体" w:cs="宋体"/>
          <w:color w:val="auto"/>
          <w:sz w:val="20"/>
          <w:szCs w:val="20"/>
        </w:rPr>
      </w:pPr>
      <w:r>
        <w:rPr>
          <w:rFonts w:ascii="宋体" w:hAnsi="宋体" w:eastAsia="宋体" w:cs="宋体"/>
          <w:color w:val="auto"/>
          <w:spacing w:val="8"/>
          <w:sz w:val="20"/>
          <w:szCs w:val="20"/>
        </w:rPr>
        <w:t>2.我方承诺在报价有效期</w:t>
      </w:r>
      <w:r>
        <w:rPr>
          <w:rFonts w:hint="eastAsia" w:ascii="宋体" w:hAnsi="宋体" w:cs="宋体"/>
          <w:color w:val="auto"/>
          <w:spacing w:val="8"/>
          <w:sz w:val="20"/>
          <w:szCs w:val="20"/>
          <w:u w:val="single"/>
          <w:lang w:val="en-US" w:eastAsia="zh-CN"/>
        </w:rPr>
        <w:t xml:space="preserve">    </w:t>
      </w:r>
      <w:r>
        <w:rPr>
          <w:rFonts w:ascii="宋体" w:hAnsi="宋体" w:eastAsia="宋体" w:cs="宋体"/>
          <w:color w:val="auto"/>
          <w:spacing w:val="8"/>
          <w:sz w:val="20"/>
          <w:szCs w:val="20"/>
        </w:rPr>
        <w:t>天内不修改、撤销响应文件。</w:t>
      </w:r>
    </w:p>
    <w:p w14:paraId="0552EB33">
      <w:pPr>
        <w:spacing w:before="254" w:line="227" w:lineRule="auto"/>
        <w:ind w:left="424"/>
        <w:rPr>
          <w:rFonts w:ascii="宋体" w:hAnsi="宋体" w:eastAsia="宋体" w:cs="宋体"/>
          <w:color w:val="auto"/>
          <w:sz w:val="20"/>
          <w:szCs w:val="20"/>
        </w:rPr>
      </w:pPr>
      <w:r>
        <w:rPr>
          <w:rFonts w:ascii="宋体" w:hAnsi="宋体" w:eastAsia="宋体" w:cs="宋体"/>
          <w:color w:val="auto"/>
          <w:spacing w:val="7"/>
          <w:sz w:val="20"/>
          <w:szCs w:val="20"/>
        </w:rPr>
        <w:t>3.如我方被确定为成交供应商：</w:t>
      </w:r>
    </w:p>
    <w:p w14:paraId="5E909D97">
      <w:pPr>
        <w:spacing w:before="254" w:line="345" w:lineRule="auto"/>
        <w:ind w:left="19" w:firstLine="437"/>
        <w:rPr>
          <w:rFonts w:ascii="宋体" w:hAnsi="宋体" w:eastAsia="宋体" w:cs="宋体"/>
          <w:color w:val="auto"/>
          <w:sz w:val="20"/>
          <w:szCs w:val="20"/>
        </w:rPr>
      </w:pPr>
      <w:r>
        <w:rPr>
          <w:rFonts w:hint="eastAsia" w:ascii="宋体" w:hAnsi="宋体" w:cs="宋体"/>
          <w:color w:val="auto"/>
          <w:spacing w:val="6"/>
          <w:sz w:val="20"/>
          <w:szCs w:val="20"/>
          <w:lang w:eastAsia="zh-CN"/>
        </w:rPr>
        <w:t>（</w:t>
      </w:r>
      <w:r>
        <w:rPr>
          <w:rFonts w:ascii="宋体" w:hAnsi="宋体" w:eastAsia="宋体" w:cs="宋体"/>
          <w:color w:val="auto"/>
          <w:spacing w:val="6"/>
          <w:sz w:val="20"/>
          <w:szCs w:val="20"/>
        </w:rPr>
        <w:t>1</w:t>
      </w:r>
      <w:r>
        <w:rPr>
          <w:rFonts w:hint="eastAsia" w:ascii="宋体" w:hAnsi="宋体" w:cs="宋体"/>
          <w:color w:val="auto"/>
          <w:spacing w:val="6"/>
          <w:sz w:val="20"/>
          <w:szCs w:val="20"/>
          <w:lang w:eastAsia="zh-CN"/>
        </w:rPr>
        <w:t>）</w:t>
      </w:r>
      <w:r>
        <w:rPr>
          <w:rFonts w:ascii="宋体" w:hAnsi="宋体" w:eastAsia="宋体" w:cs="宋体"/>
          <w:color w:val="auto"/>
          <w:spacing w:val="6"/>
          <w:sz w:val="20"/>
          <w:szCs w:val="20"/>
        </w:rPr>
        <w:t>我方承诺在收到成交通知书后，在成交通知书规定的期限内，与你方签订合同，并遵守合同中关于权利和义务的约定；</w:t>
      </w:r>
    </w:p>
    <w:p w14:paraId="417784C2">
      <w:pPr>
        <w:spacing w:before="254" w:line="344" w:lineRule="auto"/>
        <w:ind w:left="2" w:right="2" w:firstLine="454"/>
        <w:rPr>
          <w:rFonts w:ascii="宋体" w:hAnsi="宋体" w:eastAsia="宋体" w:cs="宋体"/>
          <w:color w:val="auto"/>
          <w:sz w:val="20"/>
          <w:szCs w:val="20"/>
        </w:rPr>
      </w:pPr>
      <w:r>
        <w:rPr>
          <w:rFonts w:hint="eastAsia" w:ascii="宋体" w:hAnsi="宋体" w:cs="宋体"/>
          <w:color w:val="auto"/>
          <w:spacing w:val="6"/>
          <w:sz w:val="20"/>
          <w:szCs w:val="20"/>
          <w:lang w:eastAsia="zh-CN"/>
        </w:rPr>
        <w:t>（</w:t>
      </w:r>
      <w:r>
        <w:rPr>
          <w:rFonts w:ascii="宋体" w:hAnsi="宋体" w:eastAsia="宋体" w:cs="宋体"/>
          <w:color w:val="auto"/>
          <w:spacing w:val="6"/>
          <w:sz w:val="20"/>
          <w:szCs w:val="20"/>
        </w:rPr>
        <w:t>2</w:t>
      </w:r>
      <w:r>
        <w:rPr>
          <w:rFonts w:hint="eastAsia" w:ascii="宋体" w:hAnsi="宋体" w:cs="宋体"/>
          <w:color w:val="auto"/>
          <w:spacing w:val="6"/>
          <w:sz w:val="20"/>
          <w:szCs w:val="20"/>
          <w:lang w:eastAsia="zh-CN"/>
        </w:rPr>
        <w:t>）</w:t>
      </w:r>
      <w:r>
        <w:rPr>
          <w:rFonts w:ascii="宋体" w:hAnsi="宋体" w:eastAsia="宋体" w:cs="宋体"/>
          <w:color w:val="auto"/>
          <w:spacing w:val="6"/>
          <w:sz w:val="20"/>
          <w:szCs w:val="20"/>
        </w:rPr>
        <w:t>我方承诺按照竞争性磋商文件中规定的技术条件及要求在合同约定的期限内，完成并移交全部合同内容。</w:t>
      </w:r>
    </w:p>
    <w:p w14:paraId="05EC05C8">
      <w:pPr>
        <w:spacing w:before="254" w:line="228" w:lineRule="auto"/>
        <w:ind w:left="456"/>
        <w:rPr>
          <w:rFonts w:ascii="宋体" w:hAnsi="宋体" w:eastAsia="宋体" w:cs="宋体"/>
          <w:color w:val="auto"/>
          <w:sz w:val="20"/>
          <w:szCs w:val="20"/>
        </w:rPr>
      </w:pPr>
      <w:r>
        <w:rPr>
          <w:rFonts w:hint="eastAsia" w:ascii="宋体" w:hAnsi="宋体" w:cs="宋体"/>
          <w:color w:val="auto"/>
          <w:spacing w:val="7"/>
          <w:sz w:val="20"/>
          <w:szCs w:val="20"/>
          <w:lang w:eastAsia="zh-CN"/>
        </w:rPr>
        <w:t>（</w:t>
      </w:r>
      <w:r>
        <w:rPr>
          <w:rFonts w:ascii="宋体" w:hAnsi="宋体" w:eastAsia="宋体" w:cs="宋体"/>
          <w:color w:val="auto"/>
          <w:spacing w:val="7"/>
          <w:sz w:val="20"/>
          <w:szCs w:val="20"/>
        </w:rPr>
        <w:t>3</w:t>
      </w:r>
      <w:r>
        <w:rPr>
          <w:rFonts w:hint="eastAsia" w:ascii="宋体" w:hAnsi="宋体" w:cs="宋体"/>
          <w:color w:val="auto"/>
          <w:spacing w:val="7"/>
          <w:sz w:val="20"/>
          <w:szCs w:val="20"/>
          <w:lang w:eastAsia="zh-CN"/>
        </w:rPr>
        <w:t>）</w:t>
      </w:r>
      <w:r>
        <w:rPr>
          <w:rFonts w:ascii="宋体" w:hAnsi="宋体" w:eastAsia="宋体" w:cs="宋体"/>
          <w:color w:val="auto"/>
          <w:spacing w:val="7"/>
          <w:sz w:val="20"/>
          <w:szCs w:val="20"/>
        </w:rPr>
        <w:t>我方承诺按照竞争性磋商文件规定向你方递交履约担保。</w:t>
      </w:r>
    </w:p>
    <w:p w14:paraId="2DD320FF">
      <w:pPr>
        <w:spacing w:before="252" w:line="228" w:lineRule="auto"/>
        <w:ind w:left="419"/>
        <w:rPr>
          <w:rFonts w:ascii="宋体" w:hAnsi="宋体" w:eastAsia="宋体" w:cs="宋体"/>
          <w:color w:val="auto"/>
          <w:sz w:val="20"/>
          <w:szCs w:val="20"/>
        </w:rPr>
      </w:pPr>
      <w:r>
        <w:rPr>
          <w:rFonts w:ascii="宋体" w:hAnsi="宋体" w:eastAsia="宋体" w:cs="宋体"/>
          <w:color w:val="auto"/>
          <w:spacing w:val="9"/>
          <w:sz w:val="20"/>
          <w:szCs w:val="20"/>
        </w:rPr>
        <w:t>4.我方在此声明，所递交的响应文件及有关资料内容完整、真实和准确。</w:t>
      </w:r>
    </w:p>
    <w:p w14:paraId="0728084F">
      <w:pPr>
        <w:spacing w:before="205" w:line="228" w:lineRule="auto"/>
        <w:ind w:left="424"/>
        <w:rPr>
          <w:rFonts w:ascii="宋体" w:hAnsi="宋体" w:eastAsia="宋体" w:cs="宋体"/>
          <w:color w:val="auto"/>
          <w:sz w:val="20"/>
          <w:szCs w:val="20"/>
        </w:rPr>
      </w:pPr>
      <w:r>
        <w:rPr>
          <w:rFonts w:ascii="宋体" w:hAnsi="宋体" w:eastAsia="宋体" w:cs="宋体"/>
          <w:color w:val="auto"/>
          <w:spacing w:val="2"/>
          <w:sz w:val="20"/>
          <w:szCs w:val="20"/>
        </w:rPr>
        <w:t>5．</w:t>
      </w:r>
      <w:r>
        <w:rPr>
          <w:rFonts w:hint="eastAsia" w:ascii="宋体" w:hAnsi="宋体" w:cs="宋体"/>
          <w:color w:val="auto"/>
          <w:spacing w:val="2"/>
          <w:sz w:val="20"/>
          <w:szCs w:val="20"/>
          <w:lang w:eastAsia="zh-CN"/>
        </w:rPr>
        <w:t>（</w:t>
      </w:r>
      <w:r>
        <w:rPr>
          <w:rFonts w:ascii="宋体" w:hAnsi="宋体" w:eastAsia="宋体" w:cs="宋体"/>
          <w:color w:val="auto"/>
          <w:spacing w:val="2"/>
          <w:sz w:val="20"/>
          <w:szCs w:val="20"/>
        </w:rPr>
        <w:t>其他补充说明</w:t>
      </w:r>
      <w:r>
        <w:rPr>
          <w:rFonts w:hint="eastAsia" w:ascii="宋体" w:hAnsi="宋体" w:cs="宋体"/>
          <w:color w:val="auto"/>
          <w:spacing w:val="1"/>
          <w:sz w:val="20"/>
          <w:szCs w:val="20"/>
          <w:lang w:eastAsia="zh-CN"/>
        </w:rPr>
        <w:t>）</w:t>
      </w:r>
      <w:r>
        <w:rPr>
          <w:rFonts w:ascii="宋体" w:hAnsi="宋体" w:eastAsia="宋体" w:cs="宋体"/>
          <w:color w:val="auto"/>
          <w:spacing w:val="1"/>
          <w:sz w:val="20"/>
          <w:szCs w:val="20"/>
        </w:rPr>
        <w:t>。</w:t>
      </w:r>
    </w:p>
    <w:p w14:paraId="7390A699">
      <w:pPr>
        <w:pStyle w:val="9"/>
        <w:spacing w:line="282" w:lineRule="auto"/>
        <w:rPr>
          <w:color w:val="auto"/>
        </w:rPr>
      </w:pPr>
    </w:p>
    <w:p w14:paraId="184F660F">
      <w:pPr>
        <w:pStyle w:val="9"/>
        <w:spacing w:line="283" w:lineRule="auto"/>
        <w:rPr>
          <w:color w:val="auto"/>
        </w:rPr>
      </w:pPr>
    </w:p>
    <w:p w14:paraId="4681171D">
      <w:pPr>
        <w:spacing w:before="65" w:line="227" w:lineRule="auto"/>
        <w:ind w:left="3674"/>
        <w:rPr>
          <w:rFonts w:ascii="宋体" w:hAnsi="宋体" w:eastAsia="宋体" w:cs="宋体"/>
          <w:color w:val="auto"/>
          <w:sz w:val="20"/>
          <w:szCs w:val="20"/>
        </w:rPr>
      </w:pPr>
      <w:r>
        <w:rPr>
          <w:rFonts w:ascii="宋体" w:hAnsi="宋体" w:eastAsia="宋体" w:cs="宋体"/>
          <w:color w:val="auto"/>
          <w:spacing w:val="11"/>
          <w:sz w:val="20"/>
          <w:szCs w:val="20"/>
        </w:rPr>
        <w:t>供应商</w:t>
      </w:r>
      <w:r>
        <w:rPr>
          <w:rFonts w:ascii="宋体" w:hAnsi="宋体" w:eastAsia="宋体" w:cs="宋体"/>
          <w:color w:val="auto"/>
          <w:spacing w:val="-4"/>
          <w:sz w:val="20"/>
          <w:szCs w:val="20"/>
        </w:rPr>
        <w:t>：（</w:t>
      </w:r>
      <w:r>
        <w:rPr>
          <w:rFonts w:ascii="宋体" w:hAnsi="宋体" w:eastAsia="宋体" w:cs="宋体"/>
          <w:color w:val="auto"/>
          <w:spacing w:val="11"/>
          <w:sz w:val="20"/>
          <w:szCs w:val="20"/>
        </w:rPr>
        <w:t>盖单位章）</w:t>
      </w:r>
    </w:p>
    <w:p w14:paraId="447E0107">
      <w:pPr>
        <w:spacing w:before="193" w:line="228" w:lineRule="auto"/>
        <w:ind w:left="3675"/>
        <w:rPr>
          <w:rFonts w:ascii="宋体" w:hAnsi="宋体" w:eastAsia="宋体" w:cs="宋体"/>
          <w:color w:val="auto"/>
          <w:sz w:val="20"/>
          <w:szCs w:val="20"/>
        </w:rPr>
      </w:pPr>
      <w:r>
        <w:rPr>
          <w:rFonts w:ascii="宋体" w:hAnsi="宋体" w:eastAsia="宋体" w:cs="宋体"/>
          <w:color w:val="auto"/>
          <w:spacing w:val="10"/>
          <w:sz w:val="20"/>
          <w:szCs w:val="20"/>
        </w:rPr>
        <w:t>法定代表人或其委托代理人</w:t>
      </w:r>
      <w:r>
        <w:rPr>
          <w:rFonts w:ascii="宋体" w:hAnsi="宋体" w:eastAsia="宋体" w:cs="宋体"/>
          <w:color w:val="auto"/>
          <w:spacing w:val="-2"/>
          <w:sz w:val="20"/>
          <w:szCs w:val="20"/>
        </w:rPr>
        <w:t>：（</w:t>
      </w:r>
      <w:r>
        <w:rPr>
          <w:rFonts w:ascii="宋体" w:hAnsi="宋体" w:eastAsia="宋体" w:cs="宋体"/>
          <w:color w:val="auto"/>
          <w:spacing w:val="10"/>
          <w:sz w:val="20"/>
          <w:szCs w:val="20"/>
        </w:rPr>
        <w:t>签字</w:t>
      </w:r>
      <w:r>
        <w:rPr>
          <w:rFonts w:hint="eastAsia" w:ascii="宋体" w:hAnsi="宋体" w:cs="宋体"/>
          <w:color w:val="auto"/>
          <w:spacing w:val="10"/>
          <w:sz w:val="20"/>
          <w:szCs w:val="20"/>
          <w:lang w:val="en-US" w:eastAsia="zh-CN"/>
        </w:rPr>
        <w:t>并盖章</w:t>
      </w:r>
      <w:r>
        <w:rPr>
          <w:rFonts w:ascii="宋体" w:hAnsi="宋体" w:eastAsia="宋体" w:cs="宋体"/>
          <w:color w:val="auto"/>
          <w:spacing w:val="10"/>
          <w:sz w:val="20"/>
          <w:szCs w:val="20"/>
        </w:rPr>
        <w:t>）</w:t>
      </w:r>
    </w:p>
    <w:p w14:paraId="4DCB8FD2">
      <w:pPr>
        <w:spacing w:before="195" w:line="237" w:lineRule="auto"/>
        <w:ind w:left="3674"/>
        <w:rPr>
          <w:rFonts w:hint="eastAsia" w:ascii="宋体" w:hAnsi="宋体" w:eastAsia="宋体" w:cs="宋体"/>
          <w:color w:val="auto"/>
          <w:sz w:val="20"/>
          <w:szCs w:val="20"/>
          <w:lang w:eastAsia="zh-CN"/>
        </w:rPr>
      </w:pPr>
      <w:r>
        <w:rPr>
          <w:rFonts w:ascii="宋体" w:hAnsi="宋体" w:eastAsia="宋体" w:cs="宋体"/>
          <w:color w:val="auto"/>
          <w:spacing w:val="3"/>
          <w:sz w:val="20"/>
          <w:szCs w:val="20"/>
        </w:rPr>
        <w:t>地址：</w:t>
      </w:r>
    </w:p>
    <w:p w14:paraId="2F73734D">
      <w:pPr>
        <w:spacing w:before="182" w:line="230" w:lineRule="auto"/>
        <w:ind w:left="3698"/>
        <w:rPr>
          <w:rFonts w:hint="eastAsia" w:ascii="宋体" w:hAnsi="宋体" w:eastAsia="宋体" w:cs="宋体"/>
          <w:color w:val="auto"/>
          <w:sz w:val="20"/>
          <w:szCs w:val="20"/>
          <w:lang w:eastAsia="zh-CN"/>
        </w:rPr>
      </w:pPr>
      <w:r>
        <w:rPr>
          <w:rFonts w:ascii="宋体" w:hAnsi="宋体" w:eastAsia="宋体" w:cs="宋体"/>
          <w:color w:val="auto"/>
          <w:spacing w:val="-2"/>
          <w:sz w:val="20"/>
          <w:szCs w:val="20"/>
        </w:rPr>
        <w:t>电话：</w:t>
      </w:r>
    </w:p>
    <w:p w14:paraId="6F34B377">
      <w:pPr>
        <w:spacing w:before="190" w:line="228" w:lineRule="auto"/>
        <w:ind w:left="3689"/>
        <w:rPr>
          <w:rFonts w:hint="eastAsia" w:ascii="宋体" w:hAnsi="宋体" w:eastAsia="宋体" w:cs="宋体"/>
          <w:color w:val="auto"/>
          <w:sz w:val="20"/>
          <w:szCs w:val="20"/>
          <w:lang w:eastAsia="zh-CN"/>
        </w:rPr>
      </w:pPr>
      <w:r>
        <w:rPr>
          <w:rFonts w:ascii="宋体" w:hAnsi="宋体" w:eastAsia="宋体" w:cs="宋体"/>
          <w:color w:val="auto"/>
          <w:spacing w:val="2"/>
          <w:sz w:val="20"/>
          <w:szCs w:val="20"/>
        </w:rPr>
        <w:t>邮政编码：</w:t>
      </w:r>
    </w:p>
    <w:p w14:paraId="5CCD2F96">
      <w:pPr>
        <w:pStyle w:val="9"/>
        <w:spacing w:line="259" w:lineRule="auto"/>
        <w:rPr>
          <w:color w:val="auto"/>
        </w:rPr>
      </w:pPr>
    </w:p>
    <w:p w14:paraId="039EC226">
      <w:pPr>
        <w:bidi w:val="0"/>
        <w:jc w:val="right"/>
        <w:rPr>
          <w:rFonts w:ascii="宋体" w:hAnsi="宋体" w:eastAsia="宋体" w:cs="宋体"/>
          <w:color w:val="auto"/>
          <w:sz w:val="20"/>
          <w:szCs w:val="20"/>
        </w:rPr>
      </w:pPr>
      <w:bookmarkStart w:id="78" w:name="_Toc9798"/>
      <w:r>
        <w:rPr>
          <w:rFonts w:ascii="宋体" w:hAnsi="宋体" w:eastAsia="宋体" w:cs="宋体"/>
          <w:color w:val="auto"/>
          <w:spacing w:val="-2"/>
          <w:sz w:val="20"/>
          <w:szCs w:val="20"/>
        </w:rPr>
        <w:t>年月日</w:t>
      </w:r>
      <w:bookmarkEnd w:id="78"/>
    </w:p>
    <w:p w14:paraId="65AC834F">
      <w:pPr>
        <w:spacing w:line="228" w:lineRule="auto"/>
        <w:rPr>
          <w:rFonts w:ascii="宋体" w:hAnsi="宋体" w:eastAsia="宋体" w:cs="宋体"/>
          <w:color w:val="auto"/>
          <w:sz w:val="20"/>
          <w:szCs w:val="20"/>
        </w:rPr>
        <w:sectPr>
          <w:footerReference r:id="rId18" w:type="default"/>
          <w:pgSz w:w="11906" w:h="16839"/>
          <w:pgMar w:top="1431" w:right="1165" w:bottom="1018" w:left="1709" w:header="0" w:footer="852" w:gutter="0"/>
          <w:pgNumType w:fmt="decimal"/>
          <w:cols w:space="720" w:num="1"/>
        </w:sectPr>
      </w:pPr>
    </w:p>
    <w:p w14:paraId="3F6CE402">
      <w:pPr>
        <w:pStyle w:val="5"/>
        <w:bidi w:val="0"/>
      </w:pPr>
      <w:r>
        <w:t>（二）报价函附录</w:t>
      </w:r>
    </w:p>
    <w:p w14:paraId="7B9B33CF">
      <w:pPr>
        <w:pStyle w:val="9"/>
        <w:spacing w:line="354" w:lineRule="auto"/>
        <w:rPr>
          <w:color w:val="auto"/>
        </w:rPr>
      </w:pPr>
    </w:p>
    <w:p w14:paraId="675D6760">
      <w:pPr>
        <w:spacing w:before="65" w:line="228" w:lineRule="auto"/>
        <w:ind w:left="124"/>
        <w:rPr>
          <w:rFonts w:ascii="宋体" w:hAnsi="宋体" w:eastAsia="宋体" w:cs="宋体"/>
          <w:color w:val="auto"/>
          <w:sz w:val="20"/>
          <w:szCs w:val="20"/>
        </w:rPr>
      </w:pPr>
      <w:r>
        <w:rPr>
          <w:rFonts w:ascii="宋体" w:hAnsi="宋体" w:eastAsia="宋体" w:cs="宋体"/>
          <w:color w:val="auto"/>
          <w:spacing w:val="5"/>
          <w:sz w:val="20"/>
          <w:szCs w:val="20"/>
        </w:rPr>
        <w:t>项目名称：</w:t>
      </w:r>
    </w:p>
    <w:p w14:paraId="5569FA5B">
      <w:pPr>
        <w:spacing w:before="191" w:line="228" w:lineRule="auto"/>
        <w:ind w:left="124"/>
        <w:rPr>
          <w:rFonts w:ascii="宋体" w:hAnsi="宋体" w:eastAsia="宋体" w:cs="宋体"/>
          <w:color w:val="auto"/>
          <w:sz w:val="20"/>
          <w:szCs w:val="20"/>
        </w:rPr>
      </w:pPr>
      <w:r>
        <w:rPr>
          <w:rFonts w:ascii="宋体" w:hAnsi="宋体" w:eastAsia="宋体" w:cs="宋体"/>
          <w:color w:val="auto"/>
          <w:spacing w:val="5"/>
          <w:sz w:val="20"/>
          <w:szCs w:val="20"/>
        </w:rPr>
        <w:t>项目编号：</w:t>
      </w:r>
    </w:p>
    <w:p w14:paraId="31117FFE">
      <w:pPr>
        <w:spacing w:line="21" w:lineRule="exact"/>
        <w:rPr>
          <w:color w:val="auto"/>
        </w:rPr>
      </w:pPr>
    </w:p>
    <w:tbl>
      <w:tblPr>
        <w:tblStyle w:val="46"/>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2190"/>
        <w:gridCol w:w="3842"/>
        <w:gridCol w:w="2351"/>
      </w:tblGrid>
      <w:tr w14:paraId="5FF5F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41" w:type="dxa"/>
            <w:vAlign w:val="top"/>
          </w:tcPr>
          <w:p w14:paraId="64B93464">
            <w:pPr>
              <w:pStyle w:val="47"/>
              <w:spacing w:before="175" w:line="229" w:lineRule="auto"/>
              <w:ind w:left="214"/>
              <w:rPr>
                <w:color w:val="auto"/>
              </w:rPr>
            </w:pPr>
            <w:r>
              <w:rPr>
                <w:color w:val="auto"/>
                <w:spacing w:val="5"/>
              </w:rPr>
              <w:t>序号</w:t>
            </w:r>
          </w:p>
        </w:tc>
        <w:tc>
          <w:tcPr>
            <w:tcW w:w="2190" w:type="dxa"/>
            <w:vAlign w:val="top"/>
          </w:tcPr>
          <w:p w14:paraId="156641E3">
            <w:pPr>
              <w:pStyle w:val="47"/>
              <w:spacing w:before="175" w:line="228" w:lineRule="auto"/>
              <w:ind w:left="681"/>
              <w:rPr>
                <w:color w:val="auto"/>
              </w:rPr>
            </w:pPr>
            <w:r>
              <w:rPr>
                <w:color w:val="auto"/>
                <w:spacing w:val="6"/>
              </w:rPr>
              <w:t>条款名称</w:t>
            </w:r>
          </w:p>
        </w:tc>
        <w:tc>
          <w:tcPr>
            <w:tcW w:w="3842" w:type="dxa"/>
            <w:vAlign w:val="top"/>
          </w:tcPr>
          <w:p w14:paraId="00972C05">
            <w:pPr>
              <w:pStyle w:val="47"/>
              <w:spacing w:before="175" w:line="228" w:lineRule="auto"/>
              <w:ind w:left="1511"/>
              <w:rPr>
                <w:color w:val="auto"/>
              </w:rPr>
            </w:pPr>
            <w:r>
              <w:rPr>
                <w:color w:val="auto"/>
                <w:spacing w:val="6"/>
              </w:rPr>
              <w:t>约定内容</w:t>
            </w:r>
          </w:p>
        </w:tc>
        <w:tc>
          <w:tcPr>
            <w:tcW w:w="2351" w:type="dxa"/>
            <w:vAlign w:val="top"/>
          </w:tcPr>
          <w:p w14:paraId="63804E6E">
            <w:pPr>
              <w:pStyle w:val="47"/>
              <w:spacing w:before="175" w:line="228" w:lineRule="auto"/>
              <w:ind w:left="763"/>
              <w:rPr>
                <w:color w:val="auto"/>
              </w:rPr>
            </w:pPr>
            <w:r>
              <w:rPr>
                <w:color w:val="auto"/>
                <w:spacing w:val="6"/>
              </w:rPr>
              <w:t>是否响应</w:t>
            </w:r>
          </w:p>
        </w:tc>
      </w:tr>
      <w:tr w14:paraId="35C91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41" w:type="dxa"/>
            <w:vAlign w:val="top"/>
          </w:tcPr>
          <w:p w14:paraId="5EB98B3F">
            <w:pPr>
              <w:pStyle w:val="47"/>
              <w:spacing w:before="238" w:line="270" w:lineRule="exact"/>
              <w:ind w:left="388"/>
              <w:rPr>
                <w:color w:val="auto"/>
              </w:rPr>
            </w:pPr>
            <w:r>
              <w:rPr>
                <w:color w:val="auto"/>
                <w:position w:val="1"/>
              </w:rPr>
              <w:t>1</w:t>
            </w:r>
          </w:p>
        </w:tc>
        <w:tc>
          <w:tcPr>
            <w:tcW w:w="2190" w:type="dxa"/>
            <w:vAlign w:val="top"/>
          </w:tcPr>
          <w:p w14:paraId="1C5EAB3F">
            <w:pPr>
              <w:pStyle w:val="47"/>
              <w:spacing w:before="238" w:line="228" w:lineRule="auto"/>
              <w:ind w:left="682"/>
              <w:rPr>
                <w:color w:val="auto"/>
              </w:rPr>
            </w:pPr>
            <w:r>
              <w:rPr>
                <w:color w:val="auto"/>
                <w:spacing w:val="6"/>
              </w:rPr>
              <w:t>项目经理</w:t>
            </w:r>
          </w:p>
        </w:tc>
        <w:tc>
          <w:tcPr>
            <w:tcW w:w="3842" w:type="dxa"/>
            <w:vAlign w:val="top"/>
          </w:tcPr>
          <w:p w14:paraId="189CEF81">
            <w:pPr>
              <w:pStyle w:val="47"/>
              <w:spacing w:before="237" w:line="228" w:lineRule="auto"/>
              <w:ind w:left="111"/>
              <w:rPr>
                <w:color w:val="auto"/>
              </w:rPr>
            </w:pPr>
            <w:r>
              <w:rPr>
                <w:color w:val="auto"/>
                <w:spacing w:val="7"/>
                <w:u w:val="single" w:color="auto"/>
              </w:rPr>
              <w:t>姓名：</w:t>
            </w:r>
          </w:p>
        </w:tc>
        <w:tc>
          <w:tcPr>
            <w:tcW w:w="2351" w:type="dxa"/>
            <w:vAlign w:val="top"/>
          </w:tcPr>
          <w:p w14:paraId="09147E48">
            <w:pPr>
              <w:rPr>
                <w:rFonts w:ascii="Arial"/>
                <w:color w:val="auto"/>
                <w:sz w:val="21"/>
              </w:rPr>
            </w:pPr>
          </w:p>
        </w:tc>
      </w:tr>
      <w:tr w14:paraId="2DABD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841" w:type="dxa"/>
            <w:vAlign w:val="top"/>
          </w:tcPr>
          <w:p w14:paraId="620AB6CF">
            <w:pPr>
              <w:pStyle w:val="47"/>
              <w:spacing w:before="228" w:line="270" w:lineRule="exact"/>
              <w:ind w:left="375"/>
              <w:rPr>
                <w:color w:val="auto"/>
              </w:rPr>
            </w:pPr>
            <w:r>
              <w:rPr>
                <w:color w:val="auto"/>
                <w:position w:val="1"/>
              </w:rPr>
              <w:t>2</w:t>
            </w:r>
          </w:p>
        </w:tc>
        <w:tc>
          <w:tcPr>
            <w:tcW w:w="2190" w:type="dxa"/>
            <w:vAlign w:val="top"/>
          </w:tcPr>
          <w:p w14:paraId="4BE9A367">
            <w:pPr>
              <w:pStyle w:val="47"/>
              <w:spacing w:before="228" w:line="228" w:lineRule="auto"/>
              <w:ind w:left="679"/>
              <w:rPr>
                <w:color w:val="auto"/>
              </w:rPr>
            </w:pPr>
            <w:r>
              <w:rPr>
                <w:color w:val="auto"/>
                <w:spacing w:val="7"/>
              </w:rPr>
              <w:t>计划工期</w:t>
            </w:r>
          </w:p>
        </w:tc>
        <w:tc>
          <w:tcPr>
            <w:tcW w:w="3842" w:type="dxa"/>
            <w:vAlign w:val="top"/>
          </w:tcPr>
          <w:p w14:paraId="534777D2">
            <w:pPr>
              <w:rPr>
                <w:rFonts w:ascii="Arial"/>
                <w:color w:val="auto"/>
                <w:sz w:val="21"/>
              </w:rPr>
            </w:pPr>
          </w:p>
        </w:tc>
        <w:tc>
          <w:tcPr>
            <w:tcW w:w="2351" w:type="dxa"/>
            <w:vAlign w:val="top"/>
          </w:tcPr>
          <w:p w14:paraId="26A268B1">
            <w:pPr>
              <w:rPr>
                <w:rFonts w:ascii="Arial"/>
                <w:color w:val="auto"/>
                <w:sz w:val="21"/>
              </w:rPr>
            </w:pPr>
          </w:p>
        </w:tc>
      </w:tr>
      <w:tr w14:paraId="1A56D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841" w:type="dxa"/>
            <w:vAlign w:val="top"/>
          </w:tcPr>
          <w:p w14:paraId="526885F2">
            <w:pPr>
              <w:pStyle w:val="47"/>
              <w:spacing w:before="256" w:line="268" w:lineRule="exact"/>
              <w:ind w:left="377"/>
              <w:rPr>
                <w:color w:val="auto"/>
              </w:rPr>
            </w:pPr>
            <w:r>
              <w:rPr>
                <w:color w:val="auto"/>
                <w:position w:val="1"/>
              </w:rPr>
              <w:t>3</w:t>
            </w:r>
          </w:p>
        </w:tc>
        <w:tc>
          <w:tcPr>
            <w:tcW w:w="2190" w:type="dxa"/>
            <w:vAlign w:val="top"/>
          </w:tcPr>
          <w:p w14:paraId="1299EBD1">
            <w:pPr>
              <w:pStyle w:val="47"/>
              <w:spacing w:before="256" w:line="228" w:lineRule="auto"/>
              <w:ind w:left="576"/>
              <w:rPr>
                <w:color w:val="auto"/>
              </w:rPr>
            </w:pPr>
            <w:r>
              <w:rPr>
                <w:color w:val="auto"/>
                <w:spacing w:val="7"/>
              </w:rPr>
              <w:t>投标有效期</w:t>
            </w:r>
          </w:p>
        </w:tc>
        <w:tc>
          <w:tcPr>
            <w:tcW w:w="3842" w:type="dxa"/>
            <w:vAlign w:val="top"/>
          </w:tcPr>
          <w:p w14:paraId="1852183C">
            <w:pPr>
              <w:pStyle w:val="47"/>
              <w:spacing w:before="256" w:line="228" w:lineRule="auto"/>
              <w:ind w:left="114"/>
              <w:rPr>
                <w:color w:val="auto"/>
              </w:rPr>
            </w:pPr>
            <w:r>
              <w:rPr>
                <w:color w:val="auto"/>
                <w:spacing w:val="7"/>
              </w:rPr>
              <w:t>投标截止之日起90日</w:t>
            </w:r>
          </w:p>
        </w:tc>
        <w:tc>
          <w:tcPr>
            <w:tcW w:w="2351" w:type="dxa"/>
            <w:vAlign w:val="top"/>
          </w:tcPr>
          <w:p w14:paraId="05F985F3">
            <w:pPr>
              <w:rPr>
                <w:rFonts w:ascii="Arial"/>
                <w:color w:val="auto"/>
                <w:sz w:val="21"/>
              </w:rPr>
            </w:pPr>
          </w:p>
        </w:tc>
      </w:tr>
      <w:tr w14:paraId="6442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841" w:type="dxa"/>
            <w:vAlign w:val="top"/>
          </w:tcPr>
          <w:p w14:paraId="79DF8627">
            <w:pPr>
              <w:pStyle w:val="47"/>
              <w:spacing w:before="242" w:line="270" w:lineRule="exact"/>
              <w:ind w:left="372"/>
              <w:rPr>
                <w:color w:val="auto"/>
              </w:rPr>
            </w:pPr>
            <w:r>
              <w:rPr>
                <w:color w:val="auto"/>
                <w:position w:val="1"/>
              </w:rPr>
              <w:t>4</w:t>
            </w:r>
          </w:p>
        </w:tc>
        <w:tc>
          <w:tcPr>
            <w:tcW w:w="2190" w:type="dxa"/>
            <w:vAlign w:val="top"/>
          </w:tcPr>
          <w:p w14:paraId="7A579F6B">
            <w:pPr>
              <w:pStyle w:val="47"/>
              <w:spacing w:before="241" w:line="228" w:lineRule="auto"/>
              <w:ind w:left="678"/>
              <w:rPr>
                <w:color w:val="auto"/>
              </w:rPr>
            </w:pPr>
            <w:r>
              <w:rPr>
                <w:color w:val="auto"/>
                <w:spacing w:val="7"/>
              </w:rPr>
              <w:t>权利义务</w:t>
            </w:r>
          </w:p>
        </w:tc>
        <w:tc>
          <w:tcPr>
            <w:tcW w:w="3842" w:type="dxa"/>
            <w:vAlign w:val="top"/>
          </w:tcPr>
          <w:p w14:paraId="0F36C835">
            <w:pPr>
              <w:pStyle w:val="47"/>
              <w:spacing w:before="241" w:line="227" w:lineRule="auto"/>
              <w:ind w:left="113"/>
              <w:rPr>
                <w:color w:val="auto"/>
              </w:rPr>
            </w:pPr>
            <w:r>
              <w:rPr>
                <w:color w:val="auto"/>
                <w:spacing w:val="9"/>
              </w:rPr>
              <w:t>符合第四章“合同条款及格式“规定</w:t>
            </w:r>
          </w:p>
        </w:tc>
        <w:tc>
          <w:tcPr>
            <w:tcW w:w="2351" w:type="dxa"/>
            <w:vAlign w:val="top"/>
          </w:tcPr>
          <w:p w14:paraId="124A15F3">
            <w:pPr>
              <w:rPr>
                <w:rFonts w:ascii="Arial"/>
                <w:color w:val="auto"/>
                <w:sz w:val="21"/>
              </w:rPr>
            </w:pPr>
          </w:p>
        </w:tc>
      </w:tr>
      <w:tr w14:paraId="1F846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841" w:type="dxa"/>
            <w:vAlign w:val="top"/>
          </w:tcPr>
          <w:p w14:paraId="2BAEC1AC">
            <w:pPr>
              <w:pStyle w:val="47"/>
              <w:spacing w:before="234" w:line="269" w:lineRule="exact"/>
              <w:ind w:left="377"/>
              <w:rPr>
                <w:color w:val="auto"/>
              </w:rPr>
            </w:pPr>
            <w:r>
              <w:rPr>
                <w:color w:val="auto"/>
                <w:position w:val="1"/>
              </w:rPr>
              <w:t>5</w:t>
            </w:r>
          </w:p>
        </w:tc>
        <w:tc>
          <w:tcPr>
            <w:tcW w:w="2190" w:type="dxa"/>
            <w:vAlign w:val="top"/>
          </w:tcPr>
          <w:p w14:paraId="251666A0">
            <w:pPr>
              <w:pStyle w:val="47"/>
              <w:spacing w:before="234" w:line="228" w:lineRule="auto"/>
              <w:ind w:left="680"/>
              <w:rPr>
                <w:color w:val="auto"/>
              </w:rPr>
            </w:pPr>
            <w:r>
              <w:rPr>
                <w:color w:val="auto"/>
                <w:spacing w:val="7"/>
              </w:rPr>
              <w:t>技术部分</w:t>
            </w:r>
          </w:p>
        </w:tc>
        <w:tc>
          <w:tcPr>
            <w:tcW w:w="3842" w:type="dxa"/>
            <w:vAlign w:val="top"/>
          </w:tcPr>
          <w:p w14:paraId="60EA6610">
            <w:pPr>
              <w:pStyle w:val="47"/>
              <w:spacing w:before="234" w:line="227" w:lineRule="auto"/>
              <w:ind w:left="113"/>
              <w:rPr>
                <w:color w:val="auto"/>
              </w:rPr>
            </w:pPr>
            <w:r>
              <w:rPr>
                <w:color w:val="auto"/>
                <w:spacing w:val="9"/>
              </w:rPr>
              <w:t>符合第六章“技术标准和要求“规定</w:t>
            </w:r>
          </w:p>
        </w:tc>
        <w:tc>
          <w:tcPr>
            <w:tcW w:w="2351" w:type="dxa"/>
            <w:vAlign w:val="top"/>
          </w:tcPr>
          <w:p w14:paraId="4BAC6B02">
            <w:pPr>
              <w:rPr>
                <w:rFonts w:ascii="Arial"/>
                <w:color w:val="auto"/>
                <w:sz w:val="21"/>
              </w:rPr>
            </w:pPr>
          </w:p>
        </w:tc>
      </w:tr>
      <w:tr w14:paraId="1D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841" w:type="dxa"/>
            <w:vAlign w:val="top"/>
          </w:tcPr>
          <w:p w14:paraId="6B666D8E">
            <w:pPr>
              <w:pStyle w:val="47"/>
              <w:spacing w:before="242" w:line="269" w:lineRule="exact"/>
              <w:ind w:left="375"/>
              <w:rPr>
                <w:color w:val="auto"/>
              </w:rPr>
            </w:pPr>
            <w:r>
              <w:rPr>
                <w:color w:val="auto"/>
                <w:position w:val="1"/>
              </w:rPr>
              <w:t>6</w:t>
            </w:r>
          </w:p>
        </w:tc>
        <w:tc>
          <w:tcPr>
            <w:tcW w:w="2190" w:type="dxa"/>
            <w:vAlign w:val="top"/>
          </w:tcPr>
          <w:p w14:paraId="6A4BE346">
            <w:pPr>
              <w:pStyle w:val="47"/>
              <w:spacing w:before="242" w:line="324" w:lineRule="exact"/>
              <w:ind w:left="901"/>
              <w:rPr>
                <w:color w:val="auto"/>
              </w:rPr>
            </w:pPr>
            <w:r>
              <w:rPr>
                <w:color w:val="auto"/>
                <w:spacing w:val="-2"/>
                <w:position w:val="2"/>
              </w:rPr>
              <w:t>……</w:t>
            </w:r>
          </w:p>
        </w:tc>
        <w:tc>
          <w:tcPr>
            <w:tcW w:w="3842" w:type="dxa"/>
            <w:vAlign w:val="top"/>
          </w:tcPr>
          <w:p w14:paraId="1EE7DEDC">
            <w:pPr>
              <w:rPr>
                <w:rFonts w:ascii="Arial"/>
                <w:color w:val="auto"/>
                <w:sz w:val="21"/>
              </w:rPr>
            </w:pPr>
          </w:p>
        </w:tc>
        <w:tc>
          <w:tcPr>
            <w:tcW w:w="2351" w:type="dxa"/>
            <w:vAlign w:val="top"/>
          </w:tcPr>
          <w:p w14:paraId="013D3A27">
            <w:pPr>
              <w:rPr>
                <w:rFonts w:ascii="Arial"/>
                <w:color w:val="auto"/>
                <w:sz w:val="21"/>
              </w:rPr>
            </w:pPr>
          </w:p>
        </w:tc>
      </w:tr>
      <w:tr w14:paraId="08D4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9224" w:type="dxa"/>
            <w:gridSpan w:val="4"/>
            <w:vAlign w:val="top"/>
          </w:tcPr>
          <w:p w14:paraId="10F31686">
            <w:pPr>
              <w:pStyle w:val="47"/>
              <w:spacing w:before="144" w:line="254" w:lineRule="auto"/>
              <w:ind w:left="118" w:right="110"/>
              <w:rPr>
                <w:color w:val="auto"/>
              </w:rPr>
            </w:pPr>
            <w:r>
              <w:rPr>
                <w:color w:val="auto"/>
                <w:spacing w:val="9"/>
              </w:rPr>
              <w:t>备注：供应商在响应竞争性磋商文件中规定的实质性要求和条件的基础上，可做出其他有利于采购</w:t>
            </w:r>
            <w:r>
              <w:rPr>
                <w:color w:val="auto"/>
                <w:spacing w:val="8"/>
              </w:rPr>
              <w:t>人的承诺。此类承诺可在本表中予以补充填写。</w:t>
            </w:r>
          </w:p>
        </w:tc>
      </w:tr>
    </w:tbl>
    <w:p w14:paraId="697717F5">
      <w:pPr>
        <w:pStyle w:val="9"/>
        <w:spacing w:line="288" w:lineRule="auto"/>
        <w:rPr>
          <w:color w:val="auto"/>
        </w:rPr>
      </w:pPr>
    </w:p>
    <w:p w14:paraId="39B8DD6E">
      <w:pPr>
        <w:pStyle w:val="9"/>
        <w:spacing w:line="288" w:lineRule="auto"/>
        <w:rPr>
          <w:color w:val="auto"/>
        </w:rPr>
      </w:pPr>
    </w:p>
    <w:p w14:paraId="12D05E56">
      <w:pPr>
        <w:spacing w:before="65" w:line="227" w:lineRule="auto"/>
        <w:ind w:left="541"/>
        <w:rPr>
          <w:rFonts w:ascii="宋体" w:hAnsi="宋体" w:eastAsia="宋体" w:cs="宋体"/>
          <w:color w:val="auto"/>
          <w:sz w:val="20"/>
          <w:szCs w:val="20"/>
        </w:rPr>
      </w:pPr>
      <w:r>
        <w:rPr>
          <w:rFonts w:ascii="宋体" w:hAnsi="宋体" w:eastAsia="宋体" w:cs="宋体"/>
          <w:color w:val="auto"/>
          <w:spacing w:val="8"/>
          <w:sz w:val="20"/>
          <w:szCs w:val="20"/>
        </w:rPr>
        <w:t>供应商（盖章</w:t>
      </w:r>
      <w:r>
        <w:rPr>
          <w:rFonts w:ascii="宋体" w:hAnsi="宋体" w:eastAsia="宋体" w:cs="宋体"/>
          <w:color w:val="auto"/>
          <w:sz w:val="20"/>
          <w:szCs w:val="20"/>
        </w:rPr>
        <w:t>）：</w:t>
      </w:r>
    </w:p>
    <w:p w14:paraId="0DB205D6">
      <w:pPr>
        <w:spacing w:before="234" w:line="227" w:lineRule="auto"/>
        <w:ind w:left="542"/>
        <w:rPr>
          <w:rFonts w:ascii="宋体" w:hAnsi="宋体" w:eastAsia="宋体" w:cs="宋体"/>
          <w:color w:val="auto"/>
          <w:sz w:val="20"/>
          <w:szCs w:val="20"/>
        </w:rPr>
      </w:pPr>
      <w:r>
        <w:rPr>
          <w:rFonts w:ascii="宋体" w:hAnsi="宋体" w:eastAsia="宋体" w:cs="宋体"/>
          <w:color w:val="auto"/>
          <w:spacing w:val="9"/>
          <w:sz w:val="20"/>
          <w:szCs w:val="20"/>
        </w:rPr>
        <w:t>法人代表或委托代理人（签字或盖章</w:t>
      </w:r>
      <w:r>
        <w:rPr>
          <w:rFonts w:ascii="宋体" w:hAnsi="宋体" w:eastAsia="宋体" w:cs="宋体"/>
          <w:color w:val="auto"/>
          <w:spacing w:val="1"/>
          <w:sz w:val="20"/>
          <w:szCs w:val="20"/>
        </w:rPr>
        <w:t>）：</w:t>
      </w:r>
    </w:p>
    <w:p w14:paraId="6E686FA1">
      <w:pPr>
        <w:spacing w:before="234" w:line="228" w:lineRule="auto"/>
        <w:ind w:left="577"/>
        <w:rPr>
          <w:rFonts w:ascii="宋体" w:hAnsi="宋体" w:eastAsia="宋体" w:cs="宋体"/>
          <w:color w:val="auto"/>
          <w:sz w:val="20"/>
          <w:szCs w:val="20"/>
        </w:rPr>
      </w:pPr>
      <w:r>
        <w:rPr>
          <w:rFonts w:ascii="宋体" w:hAnsi="宋体" w:eastAsia="宋体" w:cs="宋体"/>
          <w:color w:val="auto"/>
          <w:spacing w:val="-4"/>
          <w:sz w:val="20"/>
          <w:szCs w:val="20"/>
        </w:rPr>
        <w:t>日期：年月日</w:t>
      </w:r>
    </w:p>
    <w:p w14:paraId="0DD0877E">
      <w:pPr>
        <w:spacing w:line="228" w:lineRule="auto"/>
        <w:rPr>
          <w:rFonts w:ascii="宋体" w:hAnsi="宋体" w:eastAsia="宋体" w:cs="宋体"/>
          <w:color w:val="auto"/>
          <w:sz w:val="20"/>
          <w:szCs w:val="20"/>
        </w:rPr>
        <w:sectPr>
          <w:footerReference r:id="rId19" w:type="default"/>
          <w:pgSz w:w="11906" w:h="16839"/>
          <w:pgMar w:top="1431" w:right="1088" w:bottom="1018" w:left="1588" w:header="0" w:footer="852" w:gutter="0"/>
          <w:pgNumType w:fmt="decimal"/>
          <w:cols w:space="720" w:num="1"/>
        </w:sectPr>
      </w:pPr>
    </w:p>
    <w:p w14:paraId="12C9B0AA">
      <w:pPr>
        <w:pStyle w:val="3"/>
        <w:bidi w:val="0"/>
        <w:jc w:val="center"/>
      </w:pPr>
      <w:r>
        <w:t>二、报价一览表</w:t>
      </w:r>
    </w:p>
    <w:p w14:paraId="5604C4B9">
      <w:pPr>
        <w:rPr>
          <w:rFonts w:ascii="宋体" w:hAnsi="宋体" w:eastAsia="宋体" w:cs="宋体"/>
          <w:b/>
          <w:bCs/>
          <w:color w:val="auto"/>
          <w:spacing w:val="-3"/>
          <w:sz w:val="28"/>
          <w:szCs w:val="28"/>
        </w:rPr>
      </w:pPr>
      <w:r>
        <w:rPr>
          <w:rFonts w:hint="eastAsia" w:ascii="宋体" w:hAnsi="宋体" w:cs="宋体"/>
          <w:b/>
          <w:bCs/>
          <w:color w:val="auto"/>
          <w:spacing w:val="-3"/>
          <w:sz w:val="28"/>
          <w:szCs w:val="28"/>
          <w:lang w:val="en-US" w:eastAsia="zh-CN"/>
        </w:rPr>
        <w:t>按系统要求填写。</w:t>
      </w:r>
      <w:r>
        <w:rPr>
          <w:rFonts w:ascii="宋体" w:hAnsi="宋体" w:eastAsia="宋体" w:cs="宋体"/>
          <w:b/>
          <w:bCs/>
          <w:color w:val="auto"/>
          <w:spacing w:val="-3"/>
          <w:sz w:val="28"/>
          <w:szCs w:val="28"/>
        </w:rPr>
        <w:br w:type="page"/>
      </w:r>
    </w:p>
    <w:p w14:paraId="059BE9C0">
      <w:pPr>
        <w:pStyle w:val="3"/>
        <w:bidi w:val="0"/>
        <w:jc w:val="center"/>
      </w:pPr>
      <w:r>
        <w:t>三、法定代表人身份证明</w:t>
      </w:r>
    </w:p>
    <w:p w14:paraId="5F307385">
      <w:pPr>
        <w:pStyle w:val="9"/>
        <w:spacing w:line="250" w:lineRule="auto"/>
        <w:rPr>
          <w:color w:val="auto"/>
        </w:rPr>
      </w:pPr>
    </w:p>
    <w:p w14:paraId="4AC3BA27">
      <w:pPr>
        <w:spacing w:before="65" w:line="227" w:lineRule="auto"/>
        <w:rPr>
          <w:rFonts w:hint="eastAsia" w:ascii="宋体" w:hAnsi="宋体" w:eastAsia="宋体" w:cs="宋体"/>
          <w:color w:val="auto"/>
          <w:sz w:val="20"/>
          <w:szCs w:val="20"/>
          <w:lang w:eastAsia="zh-CN"/>
        </w:rPr>
      </w:pPr>
      <w:r>
        <w:rPr>
          <w:rFonts w:ascii="宋体" w:hAnsi="宋体" w:eastAsia="宋体" w:cs="宋体"/>
          <w:color w:val="auto"/>
          <w:spacing w:val="8"/>
          <w:sz w:val="20"/>
          <w:szCs w:val="20"/>
        </w:rPr>
        <w:t>供应商名称：</w:t>
      </w:r>
    </w:p>
    <w:p w14:paraId="27BB6A37">
      <w:pPr>
        <w:spacing w:before="196" w:line="228" w:lineRule="auto"/>
        <w:ind w:left="1"/>
        <w:rPr>
          <w:rFonts w:hint="eastAsia" w:ascii="宋体" w:hAnsi="宋体" w:eastAsia="宋体" w:cs="宋体"/>
          <w:color w:val="auto"/>
          <w:sz w:val="20"/>
          <w:szCs w:val="20"/>
          <w:lang w:eastAsia="zh-CN"/>
        </w:rPr>
      </w:pPr>
      <w:r>
        <w:rPr>
          <w:rFonts w:ascii="宋体" w:hAnsi="宋体" w:eastAsia="宋体" w:cs="宋体"/>
          <w:color w:val="auto"/>
          <w:spacing w:val="7"/>
          <w:sz w:val="20"/>
          <w:szCs w:val="20"/>
        </w:rPr>
        <w:t>单位性质：</w:t>
      </w:r>
    </w:p>
    <w:p w14:paraId="5D1FE095">
      <w:pPr>
        <w:spacing w:before="191" w:line="237" w:lineRule="auto"/>
        <w:rPr>
          <w:rFonts w:hint="eastAsia" w:ascii="宋体" w:hAnsi="宋体" w:eastAsia="宋体" w:cs="宋体"/>
          <w:color w:val="auto"/>
          <w:sz w:val="20"/>
          <w:szCs w:val="20"/>
          <w:lang w:eastAsia="zh-CN"/>
        </w:rPr>
      </w:pPr>
      <w:r>
        <w:rPr>
          <w:rFonts w:ascii="宋体" w:hAnsi="宋体" w:eastAsia="宋体" w:cs="宋体"/>
          <w:color w:val="auto"/>
          <w:spacing w:val="6"/>
          <w:sz w:val="20"/>
          <w:szCs w:val="20"/>
        </w:rPr>
        <w:t>地址：</w:t>
      </w:r>
    </w:p>
    <w:p w14:paraId="0C73E9DD">
      <w:pPr>
        <w:spacing w:before="182" w:line="228" w:lineRule="auto"/>
        <w:ind w:left="1"/>
        <w:rPr>
          <w:rFonts w:ascii="宋体" w:hAnsi="宋体" w:eastAsia="宋体" w:cs="宋体"/>
          <w:color w:val="auto"/>
          <w:sz w:val="20"/>
          <w:szCs w:val="20"/>
        </w:rPr>
      </w:pPr>
      <w:r>
        <w:rPr>
          <w:rFonts w:ascii="宋体" w:hAnsi="宋体" w:eastAsia="宋体" w:cs="宋体"/>
          <w:color w:val="auto"/>
          <w:spacing w:val="4"/>
          <w:sz w:val="20"/>
          <w:szCs w:val="20"/>
        </w:rPr>
        <w:t>成立时间：年月日</w:t>
      </w:r>
    </w:p>
    <w:p w14:paraId="55888C04">
      <w:pPr>
        <w:spacing w:before="195" w:line="228" w:lineRule="auto"/>
        <w:ind w:left="1"/>
        <w:rPr>
          <w:rFonts w:hint="eastAsia" w:ascii="宋体" w:hAnsi="宋体" w:eastAsia="宋体" w:cs="宋体"/>
          <w:color w:val="auto"/>
          <w:sz w:val="20"/>
          <w:szCs w:val="20"/>
          <w:lang w:eastAsia="zh-CN"/>
        </w:rPr>
      </w:pPr>
      <w:r>
        <w:rPr>
          <w:rFonts w:ascii="宋体" w:hAnsi="宋体" w:eastAsia="宋体" w:cs="宋体"/>
          <w:color w:val="auto"/>
          <w:spacing w:val="7"/>
          <w:sz w:val="20"/>
          <w:szCs w:val="20"/>
        </w:rPr>
        <w:t>经营期限：</w:t>
      </w:r>
    </w:p>
    <w:p w14:paraId="442413E5">
      <w:pPr>
        <w:spacing w:before="191" w:line="228" w:lineRule="auto"/>
        <w:rPr>
          <w:rFonts w:hint="eastAsia" w:ascii="宋体" w:hAnsi="宋体" w:eastAsia="宋体" w:cs="宋体"/>
          <w:color w:val="auto"/>
          <w:sz w:val="20"/>
          <w:szCs w:val="20"/>
          <w:lang w:eastAsia="zh-CN"/>
        </w:rPr>
      </w:pPr>
      <w:r>
        <w:rPr>
          <w:rFonts w:ascii="宋体" w:hAnsi="宋体" w:eastAsia="宋体" w:cs="宋体"/>
          <w:color w:val="auto"/>
          <w:spacing w:val="6"/>
          <w:sz w:val="20"/>
          <w:szCs w:val="20"/>
        </w:rPr>
        <w:t>姓名：性别：年龄：职务：</w:t>
      </w:r>
    </w:p>
    <w:p w14:paraId="61DBADA9">
      <w:pPr>
        <w:spacing w:before="193" w:line="227" w:lineRule="auto"/>
        <w:ind w:left="4"/>
        <w:rPr>
          <w:rFonts w:ascii="宋体" w:hAnsi="宋体" w:eastAsia="宋体" w:cs="宋体"/>
          <w:color w:val="auto"/>
          <w:sz w:val="20"/>
          <w:szCs w:val="20"/>
        </w:rPr>
      </w:pPr>
      <w:r>
        <w:rPr>
          <w:rFonts w:ascii="宋体" w:hAnsi="宋体" w:eastAsia="宋体" w:cs="宋体"/>
          <w:color w:val="auto"/>
          <w:spacing w:val="6"/>
          <w:sz w:val="20"/>
          <w:szCs w:val="20"/>
        </w:rPr>
        <w:t>系（供应商名称）的法定代表人。</w:t>
      </w:r>
    </w:p>
    <w:p w14:paraId="0998618B">
      <w:pPr>
        <w:spacing w:before="195" w:line="227" w:lineRule="auto"/>
        <w:ind w:left="436"/>
        <w:rPr>
          <w:rFonts w:ascii="宋体" w:hAnsi="宋体" w:eastAsia="宋体" w:cs="宋体"/>
          <w:color w:val="auto"/>
          <w:sz w:val="20"/>
          <w:szCs w:val="20"/>
        </w:rPr>
      </w:pPr>
      <w:r>
        <w:rPr>
          <w:rFonts w:ascii="宋体" w:hAnsi="宋体" w:eastAsia="宋体" w:cs="宋体"/>
          <w:color w:val="auto"/>
          <w:spacing w:val="7"/>
          <w:sz w:val="20"/>
          <w:szCs w:val="20"/>
        </w:rPr>
        <w:t>附：法定代表人身份证复印件。</w:t>
      </w:r>
    </w:p>
    <w:p w14:paraId="7914D50D">
      <w:pPr>
        <w:pStyle w:val="9"/>
        <w:spacing w:line="250" w:lineRule="auto"/>
        <w:rPr>
          <w:color w:val="auto"/>
        </w:rPr>
      </w:pPr>
    </w:p>
    <w:p w14:paraId="11EF4926">
      <w:pPr>
        <w:pStyle w:val="9"/>
        <w:spacing w:line="250" w:lineRule="auto"/>
        <w:rPr>
          <w:color w:val="auto"/>
        </w:rPr>
      </w:pPr>
    </w:p>
    <w:p w14:paraId="36CD91B3">
      <w:pPr>
        <w:pStyle w:val="9"/>
        <w:spacing w:line="251" w:lineRule="auto"/>
        <w:rPr>
          <w:color w:val="auto"/>
        </w:rPr>
      </w:pPr>
    </w:p>
    <w:p w14:paraId="71581387">
      <w:pPr>
        <w:pStyle w:val="9"/>
        <w:spacing w:line="251" w:lineRule="auto"/>
        <w:rPr>
          <w:color w:val="auto"/>
        </w:rPr>
      </w:pPr>
    </w:p>
    <w:p w14:paraId="4DA8060C">
      <w:pPr>
        <w:spacing w:before="66" w:line="227" w:lineRule="auto"/>
        <w:ind w:left="2728"/>
        <w:rPr>
          <w:rFonts w:ascii="宋体" w:hAnsi="宋体" w:eastAsia="宋体" w:cs="宋体"/>
          <w:color w:val="auto"/>
          <w:sz w:val="20"/>
          <w:szCs w:val="20"/>
        </w:rPr>
      </w:pPr>
      <w:r>
        <w:rPr>
          <w:rFonts w:ascii="宋体" w:hAnsi="宋体" w:eastAsia="宋体" w:cs="宋体"/>
          <w:color w:val="auto"/>
          <w:spacing w:val="11"/>
          <w:sz w:val="20"/>
          <w:szCs w:val="20"/>
        </w:rPr>
        <w:t>供应商</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w:t>
      </w:r>
    </w:p>
    <w:p w14:paraId="67D69B70">
      <w:pPr>
        <w:bidi w:val="0"/>
        <w:jc w:val="right"/>
        <w:rPr>
          <w:rFonts w:ascii="宋体" w:hAnsi="宋体" w:eastAsia="宋体" w:cs="宋体"/>
          <w:color w:val="auto"/>
          <w:sz w:val="20"/>
          <w:szCs w:val="20"/>
        </w:rPr>
      </w:pPr>
      <w:r>
        <w:rPr>
          <w:rFonts w:ascii="宋体" w:hAnsi="宋体" w:eastAsia="宋体" w:cs="宋体"/>
          <w:color w:val="auto"/>
          <w:sz w:val="20"/>
          <w:szCs w:val="20"/>
          <w:u w:val="single" w:color="auto"/>
        </w:rPr>
        <w:tab/>
      </w:r>
      <w:bookmarkStart w:id="79" w:name="_Toc15520"/>
      <w:r>
        <w:rPr>
          <w:rFonts w:ascii="宋体" w:hAnsi="宋体" w:eastAsia="宋体" w:cs="宋体"/>
          <w:color w:val="auto"/>
          <w:spacing w:val="-2"/>
          <w:sz w:val="20"/>
          <w:szCs w:val="20"/>
        </w:rPr>
        <w:t>年月日</w:t>
      </w:r>
      <w:bookmarkEnd w:id="79"/>
    </w:p>
    <w:p w14:paraId="4DF20F0F">
      <w:pPr>
        <w:pStyle w:val="9"/>
        <w:spacing w:line="314" w:lineRule="auto"/>
        <w:rPr>
          <w:color w:val="auto"/>
        </w:rPr>
      </w:pPr>
    </w:p>
    <w:p w14:paraId="7759EE58">
      <w:pPr>
        <w:rPr>
          <w:rFonts w:ascii="宋体" w:hAnsi="宋体" w:eastAsia="宋体" w:cs="宋体"/>
          <w:b/>
          <w:bCs/>
          <w:color w:val="auto"/>
          <w:spacing w:val="-8"/>
          <w:sz w:val="28"/>
          <w:szCs w:val="28"/>
        </w:rPr>
      </w:pPr>
      <w:r>
        <w:rPr>
          <w:rFonts w:ascii="宋体" w:hAnsi="宋体" w:eastAsia="宋体" w:cs="宋体"/>
          <w:b/>
          <w:bCs/>
          <w:color w:val="auto"/>
          <w:spacing w:val="-8"/>
          <w:sz w:val="28"/>
          <w:szCs w:val="28"/>
        </w:rPr>
        <w:br w:type="page"/>
      </w:r>
    </w:p>
    <w:p w14:paraId="34FF45B0">
      <w:pPr>
        <w:pStyle w:val="3"/>
        <w:bidi w:val="0"/>
        <w:jc w:val="center"/>
      </w:pPr>
      <w:r>
        <w:t>四、授权委托书</w:t>
      </w:r>
    </w:p>
    <w:p w14:paraId="44E2C716">
      <w:pPr>
        <w:spacing w:before="65" w:line="406" w:lineRule="auto"/>
        <w:ind w:left="1" w:firstLine="420"/>
        <w:jc w:val="both"/>
        <w:rPr>
          <w:rFonts w:ascii="宋体" w:hAnsi="宋体" w:eastAsia="宋体" w:cs="宋体"/>
          <w:color w:val="auto"/>
          <w:sz w:val="20"/>
          <w:szCs w:val="20"/>
        </w:rPr>
      </w:pPr>
      <w:r>
        <w:rPr>
          <w:rFonts w:ascii="宋体" w:hAnsi="宋体" w:eastAsia="宋体" w:cs="宋体"/>
          <w:color w:val="auto"/>
          <w:spacing w:val="6"/>
          <w:sz w:val="20"/>
          <w:szCs w:val="20"/>
        </w:rPr>
        <w:t>本人（姓名）系（供应商名称）的法定代表人，</w:t>
      </w:r>
      <w:r>
        <w:rPr>
          <w:rFonts w:ascii="宋体" w:hAnsi="宋体" w:eastAsia="宋体" w:cs="宋体"/>
          <w:color w:val="auto"/>
          <w:spacing w:val="5"/>
          <w:sz w:val="20"/>
          <w:szCs w:val="20"/>
        </w:rPr>
        <w:t>现委托（姓名）为我</w:t>
      </w:r>
      <w:r>
        <w:rPr>
          <w:rFonts w:ascii="宋体" w:hAnsi="宋体" w:eastAsia="宋体" w:cs="宋体"/>
          <w:color w:val="auto"/>
          <w:spacing w:val="-1"/>
          <w:sz w:val="20"/>
          <w:szCs w:val="20"/>
        </w:rPr>
        <w:t>方代理人。代理人根据授权，以我方名义签署、澄清、说明、补</w:t>
      </w:r>
      <w:r>
        <w:rPr>
          <w:rFonts w:ascii="宋体" w:hAnsi="宋体" w:eastAsia="宋体" w:cs="宋体"/>
          <w:color w:val="auto"/>
          <w:spacing w:val="-2"/>
          <w:sz w:val="20"/>
          <w:szCs w:val="20"/>
        </w:rPr>
        <w:t>正、递交、撤回、修改（项</w:t>
      </w:r>
      <w:r>
        <w:rPr>
          <w:rFonts w:ascii="宋体" w:hAnsi="宋体" w:eastAsia="宋体" w:cs="宋体"/>
          <w:color w:val="auto"/>
          <w:spacing w:val="9"/>
          <w:sz w:val="20"/>
          <w:szCs w:val="20"/>
        </w:rPr>
        <w:t>目名称）响应文件、签订合同和处理有关事宜，其法律后果由我方承担。</w:t>
      </w:r>
    </w:p>
    <w:p w14:paraId="3B62391D">
      <w:pPr>
        <w:spacing w:line="228" w:lineRule="auto"/>
        <w:ind w:left="420"/>
        <w:rPr>
          <w:rFonts w:ascii="宋体" w:hAnsi="宋体" w:eastAsia="宋体" w:cs="宋体"/>
          <w:color w:val="auto"/>
          <w:sz w:val="20"/>
          <w:szCs w:val="20"/>
        </w:rPr>
      </w:pPr>
      <w:r>
        <w:rPr>
          <w:rFonts w:ascii="宋体" w:hAnsi="宋体" w:eastAsia="宋体" w:cs="宋体"/>
          <w:color w:val="auto"/>
          <w:spacing w:val="5"/>
          <w:sz w:val="20"/>
          <w:szCs w:val="20"/>
        </w:rPr>
        <w:t>委托期限：。</w:t>
      </w:r>
    </w:p>
    <w:p w14:paraId="0DAEB77C">
      <w:pPr>
        <w:spacing w:before="193" w:line="228" w:lineRule="auto"/>
        <w:ind w:left="420"/>
        <w:rPr>
          <w:rFonts w:ascii="宋体" w:hAnsi="宋体" w:eastAsia="宋体" w:cs="宋体"/>
          <w:color w:val="auto"/>
          <w:sz w:val="20"/>
          <w:szCs w:val="20"/>
        </w:rPr>
      </w:pPr>
      <w:r>
        <w:rPr>
          <w:rFonts w:ascii="宋体" w:hAnsi="宋体" w:eastAsia="宋体" w:cs="宋体"/>
          <w:color w:val="auto"/>
          <w:spacing w:val="7"/>
          <w:sz w:val="20"/>
          <w:szCs w:val="20"/>
        </w:rPr>
        <w:t>代理人无转委托权。</w:t>
      </w:r>
    </w:p>
    <w:p w14:paraId="46F0266F">
      <w:pPr>
        <w:spacing w:before="192" w:line="227" w:lineRule="auto"/>
        <w:ind w:left="437"/>
        <w:rPr>
          <w:rFonts w:ascii="宋体" w:hAnsi="宋体" w:eastAsia="宋体" w:cs="宋体"/>
          <w:color w:val="auto"/>
          <w:sz w:val="20"/>
          <w:szCs w:val="20"/>
        </w:rPr>
      </w:pPr>
      <w:r>
        <w:rPr>
          <w:rFonts w:ascii="宋体" w:hAnsi="宋体" w:eastAsia="宋体" w:cs="宋体"/>
          <w:color w:val="auto"/>
          <w:spacing w:val="8"/>
          <w:sz w:val="20"/>
          <w:szCs w:val="20"/>
        </w:rPr>
        <w:t>附：法定代表人和被授权人身份证复印件</w:t>
      </w:r>
    </w:p>
    <w:p w14:paraId="51E8DB0F">
      <w:pPr>
        <w:pStyle w:val="9"/>
        <w:spacing w:line="250" w:lineRule="auto"/>
        <w:rPr>
          <w:color w:val="auto"/>
        </w:rPr>
      </w:pPr>
    </w:p>
    <w:p w14:paraId="6B2DB10C">
      <w:pPr>
        <w:pStyle w:val="9"/>
        <w:spacing w:line="250" w:lineRule="auto"/>
        <w:rPr>
          <w:color w:val="auto"/>
        </w:rPr>
      </w:pPr>
    </w:p>
    <w:p w14:paraId="770EC827">
      <w:pPr>
        <w:pStyle w:val="9"/>
        <w:spacing w:line="251" w:lineRule="auto"/>
        <w:rPr>
          <w:color w:val="auto"/>
        </w:rPr>
      </w:pPr>
    </w:p>
    <w:p w14:paraId="12C27FD6">
      <w:pPr>
        <w:pStyle w:val="9"/>
        <w:spacing w:line="251" w:lineRule="auto"/>
        <w:rPr>
          <w:color w:val="auto"/>
        </w:rPr>
      </w:pPr>
    </w:p>
    <w:p w14:paraId="096480C5">
      <w:pPr>
        <w:spacing w:before="66" w:line="227" w:lineRule="auto"/>
        <w:rPr>
          <w:rFonts w:ascii="宋体" w:hAnsi="宋体" w:eastAsia="宋体" w:cs="宋体"/>
          <w:color w:val="auto"/>
          <w:sz w:val="20"/>
          <w:szCs w:val="20"/>
        </w:rPr>
      </w:pPr>
      <w:r>
        <w:rPr>
          <w:rFonts w:ascii="宋体" w:hAnsi="宋体" w:eastAsia="宋体" w:cs="宋体"/>
          <w:color w:val="auto"/>
          <w:spacing w:val="11"/>
          <w:sz w:val="20"/>
          <w:szCs w:val="20"/>
        </w:rPr>
        <w:t>供应商</w:t>
      </w:r>
      <w:r>
        <w:rPr>
          <w:rFonts w:ascii="宋体" w:hAnsi="宋体" w:eastAsia="宋体" w:cs="宋体"/>
          <w:color w:val="auto"/>
          <w:spacing w:val="-5"/>
          <w:sz w:val="20"/>
          <w:szCs w:val="20"/>
        </w:rPr>
        <w:t>：（</w:t>
      </w:r>
      <w:r>
        <w:rPr>
          <w:rFonts w:ascii="宋体" w:hAnsi="宋体" w:eastAsia="宋体" w:cs="宋体"/>
          <w:color w:val="auto"/>
          <w:spacing w:val="11"/>
          <w:sz w:val="20"/>
          <w:szCs w:val="20"/>
        </w:rPr>
        <w:t>盖单位章）</w:t>
      </w:r>
    </w:p>
    <w:p w14:paraId="25F57ADD">
      <w:pPr>
        <w:pStyle w:val="9"/>
        <w:spacing w:line="283" w:lineRule="auto"/>
        <w:rPr>
          <w:color w:val="auto"/>
        </w:rPr>
      </w:pPr>
    </w:p>
    <w:p w14:paraId="1A93FC05">
      <w:pPr>
        <w:pStyle w:val="9"/>
        <w:spacing w:line="283" w:lineRule="auto"/>
        <w:rPr>
          <w:color w:val="auto"/>
        </w:rPr>
      </w:pPr>
    </w:p>
    <w:p w14:paraId="5D3042C9">
      <w:pPr>
        <w:spacing w:before="65" w:line="228" w:lineRule="auto"/>
        <w:ind w:left="1"/>
        <w:rPr>
          <w:rFonts w:ascii="宋体" w:hAnsi="宋体" w:eastAsia="宋体" w:cs="宋体"/>
          <w:color w:val="auto"/>
          <w:sz w:val="20"/>
          <w:szCs w:val="20"/>
        </w:rPr>
      </w:pPr>
      <w:r>
        <w:rPr>
          <w:rFonts w:ascii="宋体" w:hAnsi="宋体" w:eastAsia="宋体" w:cs="宋体"/>
          <w:color w:val="auto"/>
          <w:spacing w:val="11"/>
          <w:sz w:val="20"/>
          <w:szCs w:val="20"/>
        </w:rPr>
        <w:t>法定代表人</w:t>
      </w:r>
      <w:r>
        <w:rPr>
          <w:rFonts w:ascii="宋体" w:hAnsi="宋体" w:eastAsia="宋体" w:cs="宋体"/>
          <w:color w:val="auto"/>
          <w:spacing w:val="-5"/>
          <w:sz w:val="20"/>
          <w:szCs w:val="20"/>
        </w:rPr>
        <w:t>：（</w:t>
      </w:r>
      <w:r>
        <w:rPr>
          <w:rFonts w:ascii="宋体" w:hAnsi="宋体" w:eastAsia="宋体" w:cs="宋体"/>
          <w:color w:val="auto"/>
          <w:spacing w:val="11"/>
          <w:sz w:val="20"/>
          <w:szCs w:val="20"/>
        </w:rPr>
        <w:t>签字</w:t>
      </w:r>
      <w:r>
        <w:rPr>
          <w:rFonts w:hint="eastAsia" w:ascii="宋体" w:hAnsi="宋体" w:cs="宋体"/>
          <w:color w:val="auto"/>
          <w:spacing w:val="11"/>
          <w:sz w:val="20"/>
          <w:szCs w:val="20"/>
          <w:lang w:val="en-US" w:eastAsia="zh-CN"/>
        </w:rPr>
        <w:t>并盖章</w:t>
      </w:r>
      <w:r>
        <w:rPr>
          <w:rFonts w:ascii="宋体" w:hAnsi="宋体" w:eastAsia="宋体" w:cs="宋体"/>
          <w:color w:val="auto"/>
          <w:spacing w:val="11"/>
          <w:sz w:val="20"/>
          <w:szCs w:val="20"/>
        </w:rPr>
        <w:t>）</w:t>
      </w:r>
    </w:p>
    <w:p w14:paraId="6C496F91">
      <w:pPr>
        <w:pStyle w:val="9"/>
        <w:spacing w:line="281" w:lineRule="auto"/>
        <w:rPr>
          <w:color w:val="auto"/>
        </w:rPr>
      </w:pPr>
    </w:p>
    <w:p w14:paraId="7C0F2938">
      <w:pPr>
        <w:pStyle w:val="9"/>
        <w:spacing w:line="281" w:lineRule="auto"/>
        <w:rPr>
          <w:color w:val="auto"/>
        </w:rPr>
      </w:pPr>
      <w:bookmarkStart w:id="82" w:name="_GoBack"/>
      <w:bookmarkEnd w:id="82"/>
    </w:p>
    <w:p w14:paraId="48DC90CA">
      <w:pPr>
        <w:spacing w:before="66" w:line="228" w:lineRule="auto"/>
        <w:ind w:left="6"/>
        <w:rPr>
          <w:rFonts w:hint="eastAsia" w:ascii="宋体" w:hAnsi="宋体" w:eastAsia="宋体" w:cs="宋体"/>
          <w:color w:val="auto"/>
          <w:sz w:val="20"/>
          <w:szCs w:val="20"/>
          <w:lang w:eastAsia="zh-CN"/>
        </w:rPr>
      </w:pPr>
      <w:r>
        <w:rPr>
          <w:rFonts w:ascii="宋体" w:hAnsi="宋体" w:eastAsia="宋体" w:cs="宋体"/>
          <w:color w:val="auto"/>
          <w:spacing w:val="7"/>
          <w:sz w:val="20"/>
          <w:szCs w:val="20"/>
        </w:rPr>
        <w:t>身份证号码：</w:t>
      </w:r>
    </w:p>
    <w:p w14:paraId="3630D590">
      <w:pPr>
        <w:pStyle w:val="9"/>
        <w:spacing w:line="282" w:lineRule="auto"/>
        <w:rPr>
          <w:color w:val="auto"/>
        </w:rPr>
      </w:pPr>
    </w:p>
    <w:p w14:paraId="6E60CFD7">
      <w:pPr>
        <w:pStyle w:val="9"/>
        <w:spacing w:line="283" w:lineRule="auto"/>
        <w:rPr>
          <w:color w:val="auto"/>
        </w:rPr>
      </w:pPr>
    </w:p>
    <w:p w14:paraId="77222054">
      <w:pPr>
        <w:spacing w:before="65" w:line="228" w:lineRule="auto"/>
        <w:rPr>
          <w:rFonts w:ascii="宋体" w:hAnsi="宋体" w:eastAsia="宋体" w:cs="宋体"/>
          <w:color w:val="auto"/>
          <w:sz w:val="20"/>
          <w:szCs w:val="20"/>
        </w:rPr>
      </w:pPr>
      <w:r>
        <w:rPr>
          <w:rFonts w:ascii="宋体" w:hAnsi="宋体" w:eastAsia="宋体" w:cs="宋体"/>
          <w:color w:val="auto"/>
          <w:spacing w:val="11"/>
          <w:sz w:val="20"/>
          <w:szCs w:val="20"/>
        </w:rPr>
        <w:t>委托代理人</w:t>
      </w:r>
      <w:r>
        <w:rPr>
          <w:rFonts w:ascii="宋体" w:hAnsi="宋体" w:eastAsia="宋体" w:cs="宋体"/>
          <w:color w:val="auto"/>
          <w:spacing w:val="-4"/>
          <w:sz w:val="20"/>
          <w:szCs w:val="20"/>
        </w:rPr>
        <w:t>：（</w:t>
      </w:r>
      <w:r>
        <w:rPr>
          <w:rFonts w:ascii="宋体" w:hAnsi="宋体" w:eastAsia="宋体" w:cs="宋体"/>
          <w:color w:val="auto"/>
          <w:spacing w:val="11"/>
          <w:sz w:val="20"/>
          <w:szCs w:val="20"/>
        </w:rPr>
        <w:t>签字）</w:t>
      </w:r>
    </w:p>
    <w:p w14:paraId="79A66F06">
      <w:pPr>
        <w:pStyle w:val="9"/>
        <w:spacing w:line="282" w:lineRule="auto"/>
        <w:rPr>
          <w:color w:val="auto"/>
        </w:rPr>
      </w:pPr>
    </w:p>
    <w:p w14:paraId="0E68A442">
      <w:pPr>
        <w:pStyle w:val="9"/>
        <w:spacing w:line="283" w:lineRule="auto"/>
        <w:rPr>
          <w:color w:val="auto"/>
        </w:rPr>
      </w:pPr>
    </w:p>
    <w:p w14:paraId="04E62879">
      <w:pPr>
        <w:spacing w:before="65" w:line="228" w:lineRule="auto"/>
        <w:ind w:left="6"/>
        <w:rPr>
          <w:rFonts w:hint="eastAsia" w:ascii="宋体" w:hAnsi="宋体" w:eastAsia="宋体" w:cs="宋体"/>
          <w:color w:val="auto"/>
          <w:sz w:val="20"/>
          <w:szCs w:val="20"/>
          <w:lang w:eastAsia="zh-CN"/>
        </w:rPr>
      </w:pPr>
      <w:r>
        <w:rPr>
          <w:rFonts w:ascii="宋体" w:hAnsi="宋体" w:eastAsia="宋体" w:cs="宋体"/>
          <w:color w:val="auto"/>
          <w:spacing w:val="7"/>
          <w:sz w:val="20"/>
          <w:szCs w:val="20"/>
        </w:rPr>
        <w:t>身份证号码：</w:t>
      </w:r>
    </w:p>
    <w:p w14:paraId="3E6FDA68">
      <w:pPr>
        <w:pStyle w:val="9"/>
        <w:spacing w:line="250" w:lineRule="auto"/>
        <w:rPr>
          <w:color w:val="auto"/>
        </w:rPr>
      </w:pPr>
    </w:p>
    <w:p w14:paraId="7563EF03">
      <w:pPr>
        <w:pStyle w:val="9"/>
        <w:spacing w:line="250" w:lineRule="auto"/>
        <w:rPr>
          <w:color w:val="auto"/>
        </w:rPr>
      </w:pPr>
    </w:p>
    <w:p w14:paraId="5666234F">
      <w:pPr>
        <w:pStyle w:val="9"/>
        <w:spacing w:line="250" w:lineRule="auto"/>
        <w:rPr>
          <w:color w:val="auto"/>
        </w:rPr>
      </w:pPr>
    </w:p>
    <w:p w14:paraId="6CB78341">
      <w:pPr>
        <w:pStyle w:val="9"/>
        <w:spacing w:line="251" w:lineRule="auto"/>
        <w:rPr>
          <w:color w:val="auto"/>
        </w:rPr>
      </w:pPr>
    </w:p>
    <w:p w14:paraId="73713EA9">
      <w:pPr>
        <w:tabs>
          <w:tab w:val="left" w:pos="3035"/>
        </w:tabs>
        <w:spacing w:before="66" w:line="228" w:lineRule="auto"/>
        <w:ind w:left="2301"/>
        <w:rPr>
          <w:rFonts w:ascii="宋体" w:hAnsi="宋体" w:eastAsia="宋体" w:cs="宋体"/>
          <w:color w:val="auto"/>
          <w:sz w:val="20"/>
          <w:szCs w:val="20"/>
        </w:rPr>
      </w:pPr>
      <w:r>
        <w:rPr>
          <w:rFonts w:ascii="宋体" w:hAnsi="宋体" w:eastAsia="宋体" w:cs="宋体"/>
          <w:color w:val="auto"/>
          <w:sz w:val="20"/>
          <w:szCs w:val="20"/>
          <w:u w:val="single" w:color="auto"/>
        </w:rPr>
        <w:tab/>
      </w:r>
      <w:r>
        <w:rPr>
          <w:rFonts w:ascii="宋体" w:hAnsi="宋体" w:eastAsia="宋体" w:cs="宋体"/>
          <w:color w:val="auto"/>
          <w:spacing w:val="-2"/>
          <w:sz w:val="20"/>
          <w:szCs w:val="20"/>
        </w:rPr>
        <w:t>年月日</w:t>
      </w:r>
    </w:p>
    <w:p w14:paraId="5F7E16D1">
      <w:pPr>
        <w:spacing w:line="228" w:lineRule="auto"/>
        <w:rPr>
          <w:rFonts w:ascii="宋体" w:hAnsi="宋体" w:eastAsia="宋体" w:cs="宋体"/>
          <w:color w:val="auto"/>
          <w:sz w:val="20"/>
          <w:szCs w:val="20"/>
        </w:rPr>
        <w:sectPr>
          <w:footerReference r:id="rId20" w:type="default"/>
          <w:pgSz w:w="11906" w:h="16839"/>
          <w:pgMar w:top="1431" w:right="1165" w:bottom="1018" w:left="1708" w:header="0" w:footer="852" w:gutter="0"/>
          <w:pgNumType w:fmt="decimal"/>
          <w:cols w:space="720" w:num="1"/>
        </w:sectPr>
      </w:pPr>
    </w:p>
    <w:p w14:paraId="2A9C10FC">
      <w:pPr>
        <w:pStyle w:val="3"/>
        <w:bidi w:val="0"/>
        <w:jc w:val="center"/>
        <w:rPr>
          <w:rFonts w:hint="eastAsia"/>
          <w:lang w:val="en-US" w:eastAsia="zh-CN"/>
        </w:rPr>
      </w:pPr>
      <w:r>
        <w:t>五、</w:t>
      </w:r>
      <w:r>
        <w:rPr>
          <w:rFonts w:hint="eastAsia"/>
          <w:lang w:val="en-US" w:eastAsia="zh-CN"/>
        </w:rPr>
        <w:t>磋商保证金</w:t>
      </w:r>
    </w:p>
    <w:p w14:paraId="0EE16655">
      <w:pPr>
        <w:spacing w:before="64" w:line="223" w:lineRule="auto"/>
        <w:ind w:left="2844"/>
        <w:rPr>
          <w:rFonts w:hint="eastAsia" w:ascii="宋体" w:hAnsi="宋体" w:eastAsia="宋体" w:cs="宋体"/>
          <w:b/>
          <w:bCs/>
          <w:color w:val="auto"/>
          <w:spacing w:val="6"/>
          <w:sz w:val="31"/>
          <w:szCs w:val="31"/>
          <w:lang w:val="en-US" w:eastAsia="zh-CN"/>
        </w:rPr>
      </w:pPr>
    </w:p>
    <w:p w14:paraId="2D11C852">
      <w:pPr>
        <w:rPr>
          <w:rFonts w:hint="eastAsia" w:ascii="宋体" w:hAnsi="宋体" w:eastAsia="宋体" w:cs="宋体"/>
          <w:b/>
          <w:bCs/>
          <w:color w:val="auto"/>
          <w:spacing w:val="6"/>
          <w:sz w:val="31"/>
          <w:szCs w:val="31"/>
          <w:lang w:val="en-US" w:eastAsia="zh-CN"/>
        </w:rPr>
      </w:pPr>
      <w:r>
        <w:rPr>
          <w:rFonts w:hint="eastAsia" w:ascii="宋体" w:hAnsi="宋体" w:eastAsia="宋体" w:cs="宋体"/>
          <w:b/>
          <w:bCs/>
          <w:color w:val="auto"/>
          <w:spacing w:val="6"/>
          <w:sz w:val="31"/>
          <w:szCs w:val="31"/>
          <w:lang w:val="en-US" w:eastAsia="zh-CN"/>
        </w:rPr>
        <w:br w:type="page"/>
      </w:r>
    </w:p>
    <w:p w14:paraId="1A3C0B2B">
      <w:pPr>
        <w:pStyle w:val="3"/>
        <w:bidi w:val="0"/>
        <w:jc w:val="center"/>
      </w:pPr>
      <w:r>
        <w:rPr>
          <w:rFonts w:hint="eastAsia"/>
          <w:lang w:val="en-US" w:eastAsia="zh-CN"/>
        </w:rPr>
        <w:t>六、</w:t>
      </w:r>
      <w:r>
        <w:t>已标价工程量清单</w:t>
      </w:r>
    </w:p>
    <w:p w14:paraId="35AACAEC">
      <w:pPr>
        <w:spacing w:line="223" w:lineRule="auto"/>
        <w:rPr>
          <w:rFonts w:ascii="宋体" w:hAnsi="宋体" w:eastAsia="宋体" w:cs="宋体"/>
          <w:color w:val="auto"/>
          <w:sz w:val="31"/>
          <w:szCs w:val="31"/>
        </w:rPr>
        <w:sectPr>
          <w:footerReference r:id="rId21" w:type="default"/>
          <w:pgSz w:w="11906" w:h="16839"/>
          <w:pgMar w:top="1403" w:right="1785" w:bottom="1018" w:left="1785" w:header="0" w:footer="852" w:gutter="0"/>
          <w:pgNumType w:fmt="decimal"/>
          <w:cols w:space="720" w:num="1"/>
        </w:sectPr>
      </w:pPr>
    </w:p>
    <w:p w14:paraId="09058B3C">
      <w:pPr>
        <w:pStyle w:val="3"/>
        <w:bidi w:val="0"/>
        <w:jc w:val="center"/>
      </w:pPr>
      <w:r>
        <w:rPr>
          <w:rFonts w:hint="eastAsia"/>
          <w:lang w:val="en-US" w:eastAsia="zh-CN"/>
        </w:rPr>
        <w:t>七</w:t>
      </w:r>
      <w:r>
        <w:t>、项目管理机构</w:t>
      </w:r>
    </w:p>
    <w:p w14:paraId="50CC9CDC">
      <w:pPr>
        <w:pStyle w:val="5"/>
        <w:bidi w:val="0"/>
        <w:jc w:val="center"/>
      </w:pPr>
      <w:r>
        <w:t>（一）项目管理机构组成表</w:t>
      </w:r>
    </w:p>
    <w:p w14:paraId="726F1656">
      <w:pPr>
        <w:spacing w:before="6"/>
        <w:rPr>
          <w:color w:val="auto"/>
        </w:rPr>
      </w:pPr>
    </w:p>
    <w:tbl>
      <w:tblPr>
        <w:tblStyle w:val="46"/>
        <w:tblW w:w="93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720"/>
        <w:gridCol w:w="719"/>
        <w:gridCol w:w="1080"/>
        <w:gridCol w:w="719"/>
        <w:gridCol w:w="720"/>
        <w:gridCol w:w="719"/>
        <w:gridCol w:w="2522"/>
        <w:gridCol w:w="1476"/>
      </w:tblGrid>
      <w:tr w14:paraId="3217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1" w:type="dxa"/>
            <w:vMerge w:val="restart"/>
            <w:tcBorders>
              <w:bottom w:val="nil"/>
            </w:tcBorders>
            <w:vAlign w:val="top"/>
          </w:tcPr>
          <w:p w14:paraId="5B39A2AF">
            <w:pPr>
              <w:spacing w:line="335" w:lineRule="auto"/>
              <w:rPr>
                <w:rFonts w:ascii="Arial"/>
                <w:color w:val="auto"/>
                <w:sz w:val="21"/>
              </w:rPr>
            </w:pPr>
          </w:p>
          <w:p w14:paraId="1FF27D57">
            <w:pPr>
              <w:pStyle w:val="47"/>
              <w:spacing w:before="65" w:line="228" w:lineRule="auto"/>
              <w:ind w:left="122"/>
              <w:rPr>
                <w:color w:val="auto"/>
              </w:rPr>
            </w:pPr>
            <w:r>
              <w:rPr>
                <w:color w:val="auto"/>
                <w:spacing w:val="4"/>
              </w:rPr>
              <w:t>职务</w:t>
            </w:r>
          </w:p>
        </w:tc>
        <w:tc>
          <w:tcPr>
            <w:tcW w:w="720" w:type="dxa"/>
            <w:vMerge w:val="restart"/>
            <w:tcBorders>
              <w:bottom w:val="nil"/>
            </w:tcBorders>
            <w:vAlign w:val="top"/>
          </w:tcPr>
          <w:p w14:paraId="03C497FC">
            <w:pPr>
              <w:spacing w:line="335" w:lineRule="auto"/>
              <w:rPr>
                <w:rFonts w:ascii="Arial"/>
                <w:color w:val="auto"/>
                <w:sz w:val="21"/>
              </w:rPr>
            </w:pPr>
          </w:p>
          <w:p w14:paraId="6FFF327A">
            <w:pPr>
              <w:pStyle w:val="47"/>
              <w:spacing w:before="65" w:line="228" w:lineRule="auto"/>
              <w:ind w:left="154"/>
              <w:rPr>
                <w:color w:val="auto"/>
              </w:rPr>
            </w:pPr>
            <w:r>
              <w:rPr>
                <w:color w:val="auto"/>
                <w:spacing w:val="4"/>
              </w:rPr>
              <w:t>姓名</w:t>
            </w:r>
          </w:p>
        </w:tc>
        <w:tc>
          <w:tcPr>
            <w:tcW w:w="719" w:type="dxa"/>
            <w:vMerge w:val="restart"/>
            <w:tcBorders>
              <w:bottom w:val="nil"/>
            </w:tcBorders>
            <w:vAlign w:val="top"/>
          </w:tcPr>
          <w:p w14:paraId="494C52C4">
            <w:pPr>
              <w:spacing w:line="335" w:lineRule="auto"/>
              <w:rPr>
                <w:rFonts w:ascii="Arial"/>
                <w:color w:val="auto"/>
                <w:sz w:val="21"/>
              </w:rPr>
            </w:pPr>
          </w:p>
          <w:p w14:paraId="6BF630BA">
            <w:pPr>
              <w:pStyle w:val="47"/>
              <w:spacing w:before="65" w:line="230" w:lineRule="auto"/>
              <w:ind w:left="155"/>
              <w:rPr>
                <w:color w:val="auto"/>
              </w:rPr>
            </w:pPr>
            <w:r>
              <w:rPr>
                <w:color w:val="auto"/>
                <w:spacing w:val="4"/>
              </w:rPr>
              <w:t>职称</w:t>
            </w:r>
          </w:p>
        </w:tc>
        <w:tc>
          <w:tcPr>
            <w:tcW w:w="5760" w:type="dxa"/>
            <w:gridSpan w:val="5"/>
            <w:vAlign w:val="top"/>
          </w:tcPr>
          <w:p w14:paraId="22F431A7">
            <w:pPr>
              <w:pStyle w:val="47"/>
              <w:spacing w:before="176" w:line="228" w:lineRule="auto"/>
              <w:ind w:left="1940"/>
              <w:rPr>
                <w:color w:val="auto"/>
              </w:rPr>
            </w:pPr>
            <w:r>
              <w:rPr>
                <w:color w:val="auto"/>
                <w:spacing w:val="8"/>
              </w:rPr>
              <w:t>执业或职业资格证明</w:t>
            </w:r>
          </w:p>
        </w:tc>
        <w:tc>
          <w:tcPr>
            <w:tcW w:w="1476" w:type="dxa"/>
            <w:vAlign w:val="top"/>
          </w:tcPr>
          <w:p w14:paraId="2F7BB342">
            <w:pPr>
              <w:pStyle w:val="47"/>
              <w:spacing w:before="177" w:line="229" w:lineRule="auto"/>
              <w:ind w:left="537"/>
              <w:rPr>
                <w:color w:val="auto"/>
              </w:rPr>
            </w:pPr>
            <w:r>
              <w:rPr>
                <w:color w:val="auto"/>
                <w:spacing w:val="3"/>
              </w:rPr>
              <w:t>备注</w:t>
            </w:r>
          </w:p>
        </w:tc>
      </w:tr>
      <w:tr w14:paraId="421F9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vMerge w:val="continue"/>
            <w:tcBorders>
              <w:top w:val="nil"/>
            </w:tcBorders>
            <w:vAlign w:val="top"/>
          </w:tcPr>
          <w:p w14:paraId="4F8C1E35">
            <w:pPr>
              <w:rPr>
                <w:rFonts w:ascii="Arial"/>
                <w:color w:val="auto"/>
                <w:sz w:val="21"/>
              </w:rPr>
            </w:pPr>
          </w:p>
        </w:tc>
        <w:tc>
          <w:tcPr>
            <w:tcW w:w="720" w:type="dxa"/>
            <w:vMerge w:val="continue"/>
            <w:tcBorders>
              <w:top w:val="nil"/>
            </w:tcBorders>
            <w:vAlign w:val="top"/>
          </w:tcPr>
          <w:p w14:paraId="464C51F4">
            <w:pPr>
              <w:rPr>
                <w:rFonts w:ascii="Arial"/>
                <w:color w:val="auto"/>
                <w:sz w:val="21"/>
              </w:rPr>
            </w:pPr>
          </w:p>
        </w:tc>
        <w:tc>
          <w:tcPr>
            <w:tcW w:w="719" w:type="dxa"/>
            <w:vMerge w:val="continue"/>
            <w:tcBorders>
              <w:top w:val="nil"/>
            </w:tcBorders>
            <w:vAlign w:val="top"/>
          </w:tcPr>
          <w:p w14:paraId="4215FF91">
            <w:pPr>
              <w:rPr>
                <w:rFonts w:ascii="Arial"/>
                <w:color w:val="auto"/>
                <w:sz w:val="21"/>
              </w:rPr>
            </w:pPr>
          </w:p>
        </w:tc>
        <w:tc>
          <w:tcPr>
            <w:tcW w:w="1080" w:type="dxa"/>
            <w:vAlign w:val="top"/>
          </w:tcPr>
          <w:p w14:paraId="541DF98F">
            <w:pPr>
              <w:pStyle w:val="47"/>
              <w:spacing w:before="174" w:line="227" w:lineRule="auto"/>
              <w:ind w:left="124"/>
              <w:rPr>
                <w:color w:val="auto"/>
              </w:rPr>
            </w:pPr>
            <w:r>
              <w:rPr>
                <w:color w:val="auto"/>
                <w:spacing w:val="7"/>
              </w:rPr>
              <w:t>证书名称</w:t>
            </w:r>
          </w:p>
        </w:tc>
        <w:tc>
          <w:tcPr>
            <w:tcW w:w="719" w:type="dxa"/>
            <w:vAlign w:val="top"/>
          </w:tcPr>
          <w:p w14:paraId="1002AB78">
            <w:pPr>
              <w:pStyle w:val="47"/>
              <w:spacing w:before="174" w:line="228" w:lineRule="auto"/>
              <w:ind w:left="158"/>
              <w:rPr>
                <w:color w:val="auto"/>
              </w:rPr>
            </w:pPr>
            <w:r>
              <w:rPr>
                <w:color w:val="auto"/>
                <w:spacing w:val="3"/>
              </w:rPr>
              <w:t>级别</w:t>
            </w:r>
          </w:p>
        </w:tc>
        <w:tc>
          <w:tcPr>
            <w:tcW w:w="720" w:type="dxa"/>
            <w:vAlign w:val="top"/>
          </w:tcPr>
          <w:p w14:paraId="04F46333">
            <w:pPr>
              <w:pStyle w:val="47"/>
              <w:spacing w:before="174" w:line="229" w:lineRule="auto"/>
              <w:ind w:left="156"/>
              <w:rPr>
                <w:color w:val="auto"/>
              </w:rPr>
            </w:pPr>
            <w:r>
              <w:rPr>
                <w:color w:val="auto"/>
                <w:spacing w:val="4"/>
              </w:rPr>
              <w:t>证号</w:t>
            </w:r>
          </w:p>
        </w:tc>
        <w:tc>
          <w:tcPr>
            <w:tcW w:w="719" w:type="dxa"/>
            <w:vAlign w:val="top"/>
          </w:tcPr>
          <w:p w14:paraId="41A6E72E">
            <w:pPr>
              <w:pStyle w:val="47"/>
              <w:spacing w:before="174" w:line="228" w:lineRule="auto"/>
              <w:ind w:left="157"/>
              <w:rPr>
                <w:color w:val="auto"/>
              </w:rPr>
            </w:pPr>
            <w:r>
              <w:rPr>
                <w:color w:val="auto"/>
                <w:spacing w:val="4"/>
              </w:rPr>
              <w:t>专业</w:t>
            </w:r>
          </w:p>
        </w:tc>
        <w:tc>
          <w:tcPr>
            <w:tcW w:w="2522" w:type="dxa"/>
            <w:vAlign w:val="top"/>
          </w:tcPr>
          <w:p w14:paraId="46C1A028">
            <w:pPr>
              <w:pStyle w:val="47"/>
              <w:spacing w:before="174" w:line="228" w:lineRule="auto"/>
              <w:ind w:left="849"/>
              <w:rPr>
                <w:color w:val="auto"/>
              </w:rPr>
            </w:pPr>
            <w:r>
              <w:rPr>
                <w:color w:val="auto"/>
                <w:spacing w:val="7"/>
              </w:rPr>
              <w:t>养老保险</w:t>
            </w:r>
          </w:p>
        </w:tc>
        <w:tc>
          <w:tcPr>
            <w:tcW w:w="1476" w:type="dxa"/>
            <w:vAlign w:val="top"/>
          </w:tcPr>
          <w:p w14:paraId="34AFCFCE">
            <w:pPr>
              <w:rPr>
                <w:rFonts w:ascii="Arial"/>
                <w:color w:val="auto"/>
                <w:sz w:val="21"/>
              </w:rPr>
            </w:pPr>
          </w:p>
        </w:tc>
      </w:tr>
      <w:tr w14:paraId="14CE7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51" w:type="dxa"/>
            <w:vAlign w:val="top"/>
          </w:tcPr>
          <w:p w14:paraId="7277E7F3">
            <w:pPr>
              <w:pStyle w:val="47"/>
              <w:spacing w:before="174" w:line="228" w:lineRule="auto"/>
              <w:ind w:left="124"/>
              <w:rPr>
                <w:color w:val="auto"/>
              </w:rPr>
            </w:pPr>
            <w:r>
              <w:rPr>
                <w:color w:val="auto"/>
                <w:spacing w:val="3"/>
              </w:rPr>
              <w:t>项目</w:t>
            </w:r>
          </w:p>
          <w:p w14:paraId="59CDA954">
            <w:pPr>
              <w:pStyle w:val="47"/>
              <w:spacing w:before="191" w:line="238" w:lineRule="auto"/>
              <w:ind w:left="123"/>
              <w:rPr>
                <w:color w:val="auto"/>
              </w:rPr>
            </w:pPr>
            <w:r>
              <w:rPr>
                <w:color w:val="auto"/>
                <w:spacing w:val="3"/>
              </w:rPr>
              <w:t>经理</w:t>
            </w:r>
          </w:p>
        </w:tc>
        <w:tc>
          <w:tcPr>
            <w:tcW w:w="720" w:type="dxa"/>
            <w:vAlign w:val="top"/>
          </w:tcPr>
          <w:p w14:paraId="3F819D93">
            <w:pPr>
              <w:rPr>
                <w:rFonts w:ascii="Arial"/>
                <w:color w:val="auto"/>
                <w:sz w:val="21"/>
              </w:rPr>
            </w:pPr>
          </w:p>
        </w:tc>
        <w:tc>
          <w:tcPr>
            <w:tcW w:w="719" w:type="dxa"/>
            <w:vAlign w:val="top"/>
          </w:tcPr>
          <w:p w14:paraId="01495CC2">
            <w:pPr>
              <w:rPr>
                <w:rFonts w:ascii="Arial"/>
                <w:color w:val="auto"/>
                <w:sz w:val="21"/>
              </w:rPr>
            </w:pPr>
          </w:p>
        </w:tc>
        <w:tc>
          <w:tcPr>
            <w:tcW w:w="1080" w:type="dxa"/>
            <w:vAlign w:val="top"/>
          </w:tcPr>
          <w:p w14:paraId="5F140F2B">
            <w:pPr>
              <w:rPr>
                <w:rFonts w:ascii="Arial"/>
                <w:color w:val="auto"/>
                <w:sz w:val="21"/>
              </w:rPr>
            </w:pPr>
          </w:p>
        </w:tc>
        <w:tc>
          <w:tcPr>
            <w:tcW w:w="719" w:type="dxa"/>
            <w:vAlign w:val="top"/>
          </w:tcPr>
          <w:p w14:paraId="49200C63">
            <w:pPr>
              <w:rPr>
                <w:rFonts w:ascii="Arial"/>
                <w:color w:val="auto"/>
                <w:sz w:val="21"/>
              </w:rPr>
            </w:pPr>
          </w:p>
        </w:tc>
        <w:tc>
          <w:tcPr>
            <w:tcW w:w="720" w:type="dxa"/>
            <w:vAlign w:val="top"/>
          </w:tcPr>
          <w:p w14:paraId="7A95E2BC">
            <w:pPr>
              <w:rPr>
                <w:rFonts w:ascii="Arial"/>
                <w:color w:val="auto"/>
                <w:sz w:val="21"/>
              </w:rPr>
            </w:pPr>
          </w:p>
        </w:tc>
        <w:tc>
          <w:tcPr>
            <w:tcW w:w="719" w:type="dxa"/>
            <w:vAlign w:val="top"/>
          </w:tcPr>
          <w:p w14:paraId="68214589">
            <w:pPr>
              <w:rPr>
                <w:rFonts w:ascii="Arial"/>
                <w:color w:val="auto"/>
                <w:sz w:val="21"/>
              </w:rPr>
            </w:pPr>
          </w:p>
        </w:tc>
        <w:tc>
          <w:tcPr>
            <w:tcW w:w="2522" w:type="dxa"/>
            <w:vAlign w:val="top"/>
          </w:tcPr>
          <w:p w14:paraId="224CC5A4">
            <w:pPr>
              <w:rPr>
                <w:rFonts w:ascii="Arial"/>
                <w:color w:val="auto"/>
                <w:sz w:val="21"/>
              </w:rPr>
            </w:pPr>
          </w:p>
        </w:tc>
        <w:tc>
          <w:tcPr>
            <w:tcW w:w="1476" w:type="dxa"/>
            <w:vAlign w:val="top"/>
          </w:tcPr>
          <w:p w14:paraId="7D8AD936">
            <w:pPr>
              <w:rPr>
                <w:rFonts w:ascii="Arial"/>
                <w:color w:val="auto"/>
                <w:sz w:val="21"/>
              </w:rPr>
            </w:pPr>
          </w:p>
        </w:tc>
      </w:tr>
      <w:tr w14:paraId="525F4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2B264D69">
            <w:pPr>
              <w:rPr>
                <w:rFonts w:ascii="Arial"/>
                <w:color w:val="auto"/>
                <w:sz w:val="21"/>
              </w:rPr>
            </w:pPr>
          </w:p>
        </w:tc>
        <w:tc>
          <w:tcPr>
            <w:tcW w:w="720" w:type="dxa"/>
            <w:vAlign w:val="top"/>
          </w:tcPr>
          <w:p w14:paraId="55BDECAE">
            <w:pPr>
              <w:rPr>
                <w:rFonts w:ascii="Arial"/>
                <w:color w:val="auto"/>
                <w:sz w:val="21"/>
              </w:rPr>
            </w:pPr>
          </w:p>
        </w:tc>
        <w:tc>
          <w:tcPr>
            <w:tcW w:w="719" w:type="dxa"/>
            <w:vAlign w:val="top"/>
          </w:tcPr>
          <w:p w14:paraId="2D4E1C52">
            <w:pPr>
              <w:rPr>
                <w:rFonts w:ascii="Arial"/>
                <w:color w:val="auto"/>
                <w:sz w:val="21"/>
              </w:rPr>
            </w:pPr>
          </w:p>
        </w:tc>
        <w:tc>
          <w:tcPr>
            <w:tcW w:w="1080" w:type="dxa"/>
            <w:vAlign w:val="top"/>
          </w:tcPr>
          <w:p w14:paraId="1A9E7625">
            <w:pPr>
              <w:rPr>
                <w:rFonts w:ascii="Arial"/>
                <w:color w:val="auto"/>
                <w:sz w:val="21"/>
              </w:rPr>
            </w:pPr>
          </w:p>
        </w:tc>
        <w:tc>
          <w:tcPr>
            <w:tcW w:w="719" w:type="dxa"/>
            <w:vAlign w:val="top"/>
          </w:tcPr>
          <w:p w14:paraId="46FCED5D">
            <w:pPr>
              <w:rPr>
                <w:rFonts w:ascii="Arial"/>
                <w:color w:val="auto"/>
                <w:sz w:val="21"/>
              </w:rPr>
            </w:pPr>
          </w:p>
        </w:tc>
        <w:tc>
          <w:tcPr>
            <w:tcW w:w="720" w:type="dxa"/>
            <w:vAlign w:val="top"/>
          </w:tcPr>
          <w:p w14:paraId="681C2DCB">
            <w:pPr>
              <w:rPr>
                <w:rFonts w:ascii="Arial"/>
                <w:color w:val="auto"/>
                <w:sz w:val="21"/>
              </w:rPr>
            </w:pPr>
          </w:p>
        </w:tc>
        <w:tc>
          <w:tcPr>
            <w:tcW w:w="719" w:type="dxa"/>
            <w:vAlign w:val="top"/>
          </w:tcPr>
          <w:p w14:paraId="16A493E9">
            <w:pPr>
              <w:rPr>
                <w:rFonts w:ascii="Arial"/>
                <w:color w:val="auto"/>
                <w:sz w:val="21"/>
              </w:rPr>
            </w:pPr>
          </w:p>
        </w:tc>
        <w:tc>
          <w:tcPr>
            <w:tcW w:w="2522" w:type="dxa"/>
            <w:vAlign w:val="top"/>
          </w:tcPr>
          <w:p w14:paraId="5890CAF6">
            <w:pPr>
              <w:rPr>
                <w:rFonts w:ascii="Arial"/>
                <w:color w:val="auto"/>
                <w:sz w:val="21"/>
              </w:rPr>
            </w:pPr>
          </w:p>
        </w:tc>
        <w:tc>
          <w:tcPr>
            <w:tcW w:w="1476" w:type="dxa"/>
            <w:vAlign w:val="top"/>
          </w:tcPr>
          <w:p w14:paraId="7D083D33">
            <w:pPr>
              <w:rPr>
                <w:rFonts w:ascii="Arial"/>
                <w:color w:val="auto"/>
                <w:sz w:val="21"/>
              </w:rPr>
            </w:pPr>
          </w:p>
        </w:tc>
      </w:tr>
      <w:tr w14:paraId="767D1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56F6CE50">
            <w:pPr>
              <w:rPr>
                <w:rFonts w:ascii="Arial"/>
                <w:color w:val="auto"/>
                <w:sz w:val="21"/>
              </w:rPr>
            </w:pPr>
          </w:p>
        </w:tc>
        <w:tc>
          <w:tcPr>
            <w:tcW w:w="720" w:type="dxa"/>
            <w:vAlign w:val="top"/>
          </w:tcPr>
          <w:p w14:paraId="1F350655">
            <w:pPr>
              <w:rPr>
                <w:rFonts w:ascii="Arial"/>
                <w:color w:val="auto"/>
                <w:sz w:val="21"/>
              </w:rPr>
            </w:pPr>
          </w:p>
        </w:tc>
        <w:tc>
          <w:tcPr>
            <w:tcW w:w="719" w:type="dxa"/>
            <w:vAlign w:val="top"/>
          </w:tcPr>
          <w:p w14:paraId="76BD6007">
            <w:pPr>
              <w:rPr>
                <w:rFonts w:ascii="Arial"/>
                <w:color w:val="auto"/>
                <w:sz w:val="21"/>
              </w:rPr>
            </w:pPr>
          </w:p>
        </w:tc>
        <w:tc>
          <w:tcPr>
            <w:tcW w:w="1080" w:type="dxa"/>
            <w:vAlign w:val="top"/>
          </w:tcPr>
          <w:p w14:paraId="159C999B">
            <w:pPr>
              <w:rPr>
                <w:rFonts w:ascii="Arial"/>
                <w:color w:val="auto"/>
                <w:sz w:val="21"/>
              </w:rPr>
            </w:pPr>
          </w:p>
        </w:tc>
        <w:tc>
          <w:tcPr>
            <w:tcW w:w="719" w:type="dxa"/>
            <w:vAlign w:val="top"/>
          </w:tcPr>
          <w:p w14:paraId="12059455">
            <w:pPr>
              <w:rPr>
                <w:rFonts w:ascii="Arial"/>
                <w:color w:val="auto"/>
                <w:sz w:val="21"/>
              </w:rPr>
            </w:pPr>
          </w:p>
        </w:tc>
        <w:tc>
          <w:tcPr>
            <w:tcW w:w="720" w:type="dxa"/>
            <w:vAlign w:val="top"/>
          </w:tcPr>
          <w:p w14:paraId="324DC195">
            <w:pPr>
              <w:rPr>
                <w:rFonts w:ascii="Arial"/>
                <w:color w:val="auto"/>
                <w:sz w:val="21"/>
              </w:rPr>
            </w:pPr>
          </w:p>
        </w:tc>
        <w:tc>
          <w:tcPr>
            <w:tcW w:w="719" w:type="dxa"/>
            <w:vAlign w:val="top"/>
          </w:tcPr>
          <w:p w14:paraId="717093B4">
            <w:pPr>
              <w:rPr>
                <w:rFonts w:ascii="Arial"/>
                <w:color w:val="auto"/>
                <w:sz w:val="21"/>
              </w:rPr>
            </w:pPr>
          </w:p>
        </w:tc>
        <w:tc>
          <w:tcPr>
            <w:tcW w:w="2522" w:type="dxa"/>
            <w:vAlign w:val="top"/>
          </w:tcPr>
          <w:p w14:paraId="44D4B661">
            <w:pPr>
              <w:rPr>
                <w:rFonts w:ascii="Arial"/>
                <w:color w:val="auto"/>
                <w:sz w:val="21"/>
              </w:rPr>
            </w:pPr>
          </w:p>
        </w:tc>
        <w:tc>
          <w:tcPr>
            <w:tcW w:w="1476" w:type="dxa"/>
            <w:vAlign w:val="top"/>
          </w:tcPr>
          <w:p w14:paraId="4B39A02F">
            <w:pPr>
              <w:rPr>
                <w:rFonts w:ascii="Arial"/>
                <w:color w:val="auto"/>
                <w:sz w:val="21"/>
              </w:rPr>
            </w:pPr>
          </w:p>
        </w:tc>
      </w:tr>
      <w:tr w14:paraId="353F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47465AA4">
            <w:pPr>
              <w:rPr>
                <w:rFonts w:ascii="Arial"/>
                <w:color w:val="auto"/>
                <w:sz w:val="21"/>
              </w:rPr>
            </w:pPr>
          </w:p>
        </w:tc>
        <w:tc>
          <w:tcPr>
            <w:tcW w:w="720" w:type="dxa"/>
            <w:vAlign w:val="top"/>
          </w:tcPr>
          <w:p w14:paraId="38FD4AC3">
            <w:pPr>
              <w:rPr>
                <w:rFonts w:ascii="Arial"/>
                <w:color w:val="auto"/>
                <w:sz w:val="21"/>
              </w:rPr>
            </w:pPr>
          </w:p>
        </w:tc>
        <w:tc>
          <w:tcPr>
            <w:tcW w:w="719" w:type="dxa"/>
            <w:vAlign w:val="top"/>
          </w:tcPr>
          <w:p w14:paraId="23AB115A">
            <w:pPr>
              <w:rPr>
                <w:rFonts w:ascii="Arial"/>
                <w:color w:val="auto"/>
                <w:sz w:val="21"/>
              </w:rPr>
            </w:pPr>
          </w:p>
        </w:tc>
        <w:tc>
          <w:tcPr>
            <w:tcW w:w="1080" w:type="dxa"/>
            <w:vAlign w:val="top"/>
          </w:tcPr>
          <w:p w14:paraId="1A736E9F">
            <w:pPr>
              <w:rPr>
                <w:rFonts w:ascii="Arial"/>
                <w:color w:val="auto"/>
                <w:sz w:val="21"/>
              </w:rPr>
            </w:pPr>
          </w:p>
        </w:tc>
        <w:tc>
          <w:tcPr>
            <w:tcW w:w="719" w:type="dxa"/>
            <w:vAlign w:val="top"/>
          </w:tcPr>
          <w:p w14:paraId="2CAA9DF2">
            <w:pPr>
              <w:rPr>
                <w:rFonts w:ascii="Arial"/>
                <w:color w:val="auto"/>
                <w:sz w:val="21"/>
              </w:rPr>
            </w:pPr>
          </w:p>
        </w:tc>
        <w:tc>
          <w:tcPr>
            <w:tcW w:w="720" w:type="dxa"/>
            <w:vAlign w:val="top"/>
          </w:tcPr>
          <w:p w14:paraId="14715BC5">
            <w:pPr>
              <w:rPr>
                <w:rFonts w:ascii="Arial"/>
                <w:color w:val="auto"/>
                <w:sz w:val="21"/>
              </w:rPr>
            </w:pPr>
          </w:p>
        </w:tc>
        <w:tc>
          <w:tcPr>
            <w:tcW w:w="719" w:type="dxa"/>
            <w:vAlign w:val="top"/>
          </w:tcPr>
          <w:p w14:paraId="18EB06BA">
            <w:pPr>
              <w:rPr>
                <w:rFonts w:ascii="Arial"/>
                <w:color w:val="auto"/>
                <w:sz w:val="21"/>
              </w:rPr>
            </w:pPr>
          </w:p>
        </w:tc>
        <w:tc>
          <w:tcPr>
            <w:tcW w:w="2522" w:type="dxa"/>
            <w:vAlign w:val="top"/>
          </w:tcPr>
          <w:p w14:paraId="5E462282">
            <w:pPr>
              <w:rPr>
                <w:rFonts w:ascii="Arial"/>
                <w:color w:val="auto"/>
                <w:sz w:val="21"/>
              </w:rPr>
            </w:pPr>
          </w:p>
        </w:tc>
        <w:tc>
          <w:tcPr>
            <w:tcW w:w="1476" w:type="dxa"/>
            <w:vAlign w:val="top"/>
          </w:tcPr>
          <w:p w14:paraId="40388D3A">
            <w:pPr>
              <w:rPr>
                <w:rFonts w:ascii="Arial"/>
                <w:color w:val="auto"/>
                <w:sz w:val="21"/>
              </w:rPr>
            </w:pPr>
          </w:p>
        </w:tc>
      </w:tr>
      <w:tr w14:paraId="2BC5B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15808433">
            <w:pPr>
              <w:rPr>
                <w:rFonts w:ascii="Arial"/>
                <w:color w:val="auto"/>
                <w:sz w:val="21"/>
              </w:rPr>
            </w:pPr>
          </w:p>
        </w:tc>
        <w:tc>
          <w:tcPr>
            <w:tcW w:w="720" w:type="dxa"/>
            <w:vAlign w:val="top"/>
          </w:tcPr>
          <w:p w14:paraId="753DAD5E">
            <w:pPr>
              <w:rPr>
                <w:rFonts w:ascii="Arial"/>
                <w:color w:val="auto"/>
                <w:sz w:val="21"/>
              </w:rPr>
            </w:pPr>
          </w:p>
        </w:tc>
        <w:tc>
          <w:tcPr>
            <w:tcW w:w="719" w:type="dxa"/>
            <w:vAlign w:val="top"/>
          </w:tcPr>
          <w:p w14:paraId="3A30C49E">
            <w:pPr>
              <w:rPr>
                <w:rFonts w:ascii="Arial"/>
                <w:color w:val="auto"/>
                <w:sz w:val="21"/>
              </w:rPr>
            </w:pPr>
          </w:p>
        </w:tc>
        <w:tc>
          <w:tcPr>
            <w:tcW w:w="1080" w:type="dxa"/>
            <w:vAlign w:val="top"/>
          </w:tcPr>
          <w:p w14:paraId="5BC1C352">
            <w:pPr>
              <w:rPr>
                <w:rFonts w:ascii="Arial"/>
                <w:color w:val="auto"/>
                <w:sz w:val="21"/>
              </w:rPr>
            </w:pPr>
          </w:p>
        </w:tc>
        <w:tc>
          <w:tcPr>
            <w:tcW w:w="719" w:type="dxa"/>
            <w:vAlign w:val="top"/>
          </w:tcPr>
          <w:p w14:paraId="023CD60B">
            <w:pPr>
              <w:rPr>
                <w:rFonts w:ascii="Arial"/>
                <w:color w:val="auto"/>
                <w:sz w:val="21"/>
              </w:rPr>
            </w:pPr>
          </w:p>
        </w:tc>
        <w:tc>
          <w:tcPr>
            <w:tcW w:w="720" w:type="dxa"/>
            <w:vAlign w:val="top"/>
          </w:tcPr>
          <w:p w14:paraId="4D099C87">
            <w:pPr>
              <w:rPr>
                <w:rFonts w:ascii="Arial"/>
                <w:color w:val="auto"/>
                <w:sz w:val="21"/>
              </w:rPr>
            </w:pPr>
          </w:p>
        </w:tc>
        <w:tc>
          <w:tcPr>
            <w:tcW w:w="719" w:type="dxa"/>
            <w:vAlign w:val="top"/>
          </w:tcPr>
          <w:p w14:paraId="0410CC0F">
            <w:pPr>
              <w:rPr>
                <w:rFonts w:ascii="Arial"/>
                <w:color w:val="auto"/>
                <w:sz w:val="21"/>
              </w:rPr>
            </w:pPr>
          </w:p>
        </w:tc>
        <w:tc>
          <w:tcPr>
            <w:tcW w:w="2522" w:type="dxa"/>
            <w:vAlign w:val="top"/>
          </w:tcPr>
          <w:p w14:paraId="5276B8AE">
            <w:pPr>
              <w:rPr>
                <w:rFonts w:ascii="Arial"/>
                <w:color w:val="auto"/>
                <w:sz w:val="21"/>
              </w:rPr>
            </w:pPr>
          </w:p>
        </w:tc>
        <w:tc>
          <w:tcPr>
            <w:tcW w:w="1476" w:type="dxa"/>
            <w:vAlign w:val="top"/>
          </w:tcPr>
          <w:p w14:paraId="0F6409F4">
            <w:pPr>
              <w:rPr>
                <w:rFonts w:ascii="Arial"/>
                <w:color w:val="auto"/>
                <w:sz w:val="21"/>
              </w:rPr>
            </w:pPr>
          </w:p>
        </w:tc>
      </w:tr>
      <w:tr w14:paraId="7718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vAlign w:val="top"/>
          </w:tcPr>
          <w:p w14:paraId="537AA7F0">
            <w:pPr>
              <w:rPr>
                <w:rFonts w:ascii="Arial"/>
                <w:color w:val="auto"/>
                <w:sz w:val="21"/>
              </w:rPr>
            </w:pPr>
          </w:p>
        </w:tc>
        <w:tc>
          <w:tcPr>
            <w:tcW w:w="720" w:type="dxa"/>
            <w:vAlign w:val="top"/>
          </w:tcPr>
          <w:p w14:paraId="17537AFA">
            <w:pPr>
              <w:rPr>
                <w:rFonts w:ascii="Arial"/>
                <w:color w:val="auto"/>
                <w:sz w:val="21"/>
              </w:rPr>
            </w:pPr>
          </w:p>
        </w:tc>
        <w:tc>
          <w:tcPr>
            <w:tcW w:w="719" w:type="dxa"/>
            <w:vAlign w:val="top"/>
          </w:tcPr>
          <w:p w14:paraId="579B439B">
            <w:pPr>
              <w:rPr>
                <w:rFonts w:ascii="Arial"/>
                <w:color w:val="auto"/>
                <w:sz w:val="21"/>
              </w:rPr>
            </w:pPr>
          </w:p>
        </w:tc>
        <w:tc>
          <w:tcPr>
            <w:tcW w:w="1080" w:type="dxa"/>
            <w:vAlign w:val="top"/>
          </w:tcPr>
          <w:p w14:paraId="45BA259B">
            <w:pPr>
              <w:rPr>
                <w:rFonts w:ascii="Arial"/>
                <w:color w:val="auto"/>
                <w:sz w:val="21"/>
              </w:rPr>
            </w:pPr>
          </w:p>
        </w:tc>
        <w:tc>
          <w:tcPr>
            <w:tcW w:w="719" w:type="dxa"/>
            <w:vAlign w:val="top"/>
          </w:tcPr>
          <w:p w14:paraId="302AECD0">
            <w:pPr>
              <w:rPr>
                <w:rFonts w:ascii="Arial"/>
                <w:color w:val="auto"/>
                <w:sz w:val="21"/>
              </w:rPr>
            </w:pPr>
          </w:p>
        </w:tc>
        <w:tc>
          <w:tcPr>
            <w:tcW w:w="720" w:type="dxa"/>
            <w:vAlign w:val="top"/>
          </w:tcPr>
          <w:p w14:paraId="4FD2D840">
            <w:pPr>
              <w:rPr>
                <w:rFonts w:ascii="Arial"/>
                <w:color w:val="auto"/>
                <w:sz w:val="21"/>
              </w:rPr>
            </w:pPr>
          </w:p>
        </w:tc>
        <w:tc>
          <w:tcPr>
            <w:tcW w:w="719" w:type="dxa"/>
            <w:vAlign w:val="top"/>
          </w:tcPr>
          <w:p w14:paraId="467B9EA3">
            <w:pPr>
              <w:rPr>
                <w:rFonts w:ascii="Arial"/>
                <w:color w:val="auto"/>
                <w:sz w:val="21"/>
              </w:rPr>
            </w:pPr>
          </w:p>
        </w:tc>
        <w:tc>
          <w:tcPr>
            <w:tcW w:w="2522" w:type="dxa"/>
            <w:vAlign w:val="top"/>
          </w:tcPr>
          <w:p w14:paraId="03C98F3F">
            <w:pPr>
              <w:rPr>
                <w:rFonts w:ascii="Arial"/>
                <w:color w:val="auto"/>
                <w:sz w:val="21"/>
              </w:rPr>
            </w:pPr>
          </w:p>
        </w:tc>
        <w:tc>
          <w:tcPr>
            <w:tcW w:w="1476" w:type="dxa"/>
            <w:vAlign w:val="top"/>
          </w:tcPr>
          <w:p w14:paraId="66DE07A6">
            <w:pPr>
              <w:rPr>
                <w:rFonts w:ascii="Arial"/>
                <w:color w:val="auto"/>
                <w:sz w:val="21"/>
              </w:rPr>
            </w:pPr>
          </w:p>
        </w:tc>
      </w:tr>
      <w:tr w14:paraId="1D70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2D156116">
            <w:pPr>
              <w:rPr>
                <w:rFonts w:ascii="Arial"/>
                <w:color w:val="auto"/>
                <w:sz w:val="21"/>
              </w:rPr>
            </w:pPr>
          </w:p>
        </w:tc>
        <w:tc>
          <w:tcPr>
            <w:tcW w:w="720" w:type="dxa"/>
            <w:vAlign w:val="top"/>
          </w:tcPr>
          <w:p w14:paraId="3D4C2C59">
            <w:pPr>
              <w:rPr>
                <w:rFonts w:ascii="Arial"/>
                <w:color w:val="auto"/>
                <w:sz w:val="21"/>
              </w:rPr>
            </w:pPr>
          </w:p>
        </w:tc>
        <w:tc>
          <w:tcPr>
            <w:tcW w:w="719" w:type="dxa"/>
            <w:vAlign w:val="top"/>
          </w:tcPr>
          <w:p w14:paraId="299E4BE6">
            <w:pPr>
              <w:rPr>
                <w:rFonts w:ascii="Arial"/>
                <w:color w:val="auto"/>
                <w:sz w:val="21"/>
              </w:rPr>
            </w:pPr>
          </w:p>
        </w:tc>
        <w:tc>
          <w:tcPr>
            <w:tcW w:w="1080" w:type="dxa"/>
            <w:vAlign w:val="top"/>
          </w:tcPr>
          <w:p w14:paraId="5C549274">
            <w:pPr>
              <w:rPr>
                <w:rFonts w:ascii="Arial"/>
                <w:color w:val="auto"/>
                <w:sz w:val="21"/>
              </w:rPr>
            </w:pPr>
          </w:p>
        </w:tc>
        <w:tc>
          <w:tcPr>
            <w:tcW w:w="719" w:type="dxa"/>
            <w:vAlign w:val="top"/>
          </w:tcPr>
          <w:p w14:paraId="0D3D75D8">
            <w:pPr>
              <w:rPr>
                <w:rFonts w:ascii="Arial"/>
                <w:color w:val="auto"/>
                <w:sz w:val="21"/>
              </w:rPr>
            </w:pPr>
          </w:p>
        </w:tc>
        <w:tc>
          <w:tcPr>
            <w:tcW w:w="720" w:type="dxa"/>
            <w:vAlign w:val="top"/>
          </w:tcPr>
          <w:p w14:paraId="2C67FC7F">
            <w:pPr>
              <w:rPr>
                <w:rFonts w:ascii="Arial"/>
                <w:color w:val="auto"/>
                <w:sz w:val="21"/>
              </w:rPr>
            </w:pPr>
          </w:p>
        </w:tc>
        <w:tc>
          <w:tcPr>
            <w:tcW w:w="719" w:type="dxa"/>
            <w:vAlign w:val="top"/>
          </w:tcPr>
          <w:p w14:paraId="7C4F6725">
            <w:pPr>
              <w:rPr>
                <w:rFonts w:ascii="Arial"/>
                <w:color w:val="auto"/>
                <w:sz w:val="21"/>
              </w:rPr>
            </w:pPr>
          </w:p>
        </w:tc>
        <w:tc>
          <w:tcPr>
            <w:tcW w:w="2522" w:type="dxa"/>
            <w:vAlign w:val="top"/>
          </w:tcPr>
          <w:p w14:paraId="2209F04F">
            <w:pPr>
              <w:rPr>
                <w:rFonts w:ascii="Arial"/>
                <w:color w:val="auto"/>
                <w:sz w:val="21"/>
              </w:rPr>
            </w:pPr>
          </w:p>
        </w:tc>
        <w:tc>
          <w:tcPr>
            <w:tcW w:w="1476" w:type="dxa"/>
            <w:vAlign w:val="top"/>
          </w:tcPr>
          <w:p w14:paraId="619D9A99">
            <w:pPr>
              <w:rPr>
                <w:rFonts w:ascii="Arial"/>
                <w:color w:val="auto"/>
                <w:sz w:val="21"/>
              </w:rPr>
            </w:pPr>
          </w:p>
        </w:tc>
      </w:tr>
      <w:tr w14:paraId="235B7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1D6A784E">
            <w:pPr>
              <w:rPr>
                <w:rFonts w:ascii="Arial"/>
                <w:color w:val="auto"/>
                <w:sz w:val="21"/>
              </w:rPr>
            </w:pPr>
          </w:p>
        </w:tc>
        <w:tc>
          <w:tcPr>
            <w:tcW w:w="720" w:type="dxa"/>
            <w:vAlign w:val="top"/>
          </w:tcPr>
          <w:p w14:paraId="53F023CF">
            <w:pPr>
              <w:rPr>
                <w:rFonts w:ascii="Arial"/>
                <w:color w:val="auto"/>
                <w:sz w:val="21"/>
              </w:rPr>
            </w:pPr>
          </w:p>
        </w:tc>
        <w:tc>
          <w:tcPr>
            <w:tcW w:w="719" w:type="dxa"/>
            <w:vAlign w:val="top"/>
          </w:tcPr>
          <w:p w14:paraId="3CD6C799">
            <w:pPr>
              <w:rPr>
                <w:rFonts w:ascii="Arial"/>
                <w:color w:val="auto"/>
                <w:sz w:val="21"/>
              </w:rPr>
            </w:pPr>
          </w:p>
        </w:tc>
        <w:tc>
          <w:tcPr>
            <w:tcW w:w="1080" w:type="dxa"/>
            <w:vAlign w:val="top"/>
          </w:tcPr>
          <w:p w14:paraId="2568D878">
            <w:pPr>
              <w:rPr>
                <w:rFonts w:ascii="Arial"/>
                <w:color w:val="auto"/>
                <w:sz w:val="21"/>
              </w:rPr>
            </w:pPr>
          </w:p>
        </w:tc>
        <w:tc>
          <w:tcPr>
            <w:tcW w:w="719" w:type="dxa"/>
            <w:vAlign w:val="top"/>
          </w:tcPr>
          <w:p w14:paraId="543F6BEE">
            <w:pPr>
              <w:rPr>
                <w:rFonts w:ascii="Arial"/>
                <w:color w:val="auto"/>
                <w:sz w:val="21"/>
              </w:rPr>
            </w:pPr>
          </w:p>
        </w:tc>
        <w:tc>
          <w:tcPr>
            <w:tcW w:w="720" w:type="dxa"/>
            <w:vAlign w:val="top"/>
          </w:tcPr>
          <w:p w14:paraId="795E477F">
            <w:pPr>
              <w:rPr>
                <w:rFonts w:ascii="Arial"/>
                <w:color w:val="auto"/>
                <w:sz w:val="21"/>
              </w:rPr>
            </w:pPr>
          </w:p>
        </w:tc>
        <w:tc>
          <w:tcPr>
            <w:tcW w:w="719" w:type="dxa"/>
            <w:vAlign w:val="top"/>
          </w:tcPr>
          <w:p w14:paraId="48322E51">
            <w:pPr>
              <w:rPr>
                <w:rFonts w:ascii="Arial"/>
                <w:color w:val="auto"/>
                <w:sz w:val="21"/>
              </w:rPr>
            </w:pPr>
          </w:p>
        </w:tc>
        <w:tc>
          <w:tcPr>
            <w:tcW w:w="2522" w:type="dxa"/>
            <w:vAlign w:val="top"/>
          </w:tcPr>
          <w:p w14:paraId="217031C7">
            <w:pPr>
              <w:rPr>
                <w:rFonts w:ascii="Arial"/>
                <w:color w:val="auto"/>
                <w:sz w:val="21"/>
              </w:rPr>
            </w:pPr>
          </w:p>
        </w:tc>
        <w:tc>
          <w:tcPr>
            <w:tcW w:w="1476" w:type="dxa"/>
            <w:vAlign w:val="top"/>
          </w:tcPr>
          <w:p w14:paraId="20D302D2">
            <w:pPr>
              <w:rPr>
                <w:rFonts w:ascii="Arial"/>
                <w:color w:val="auto"/>
                <w:sz w:val="21"/>
              </w:rPr>
            </w:pPr>
          </w:p>
        </w:tc>
      </w:tr>
      <w:tr w14:paraId="4D7D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51DE6C48">
            <w:pPr>
              <w:rPr>
                <w:rFonts w:ascii="Arial"/>
                <w:color w:val="auto"/>
                <w:sz w:val="21"/>
              </w:rPr>
            </w:pPr>
          </w:p>
        </w:tc>
        <w:tc>
          <w:tcPr>
            <w:tcW w:w="720" w:type="dxa"/>
            <w:vAlign w:val="top"/>
          </w:tcPr>
          <w:p w14:paraId="3466011F">
            <w:pPr>
              <w:rPr>
                <w:rFonts w:ascii="Arial"/>
                <w:color w:val="auto"/>
                <w:sz w:val="21"/>
              </w:rPr>
            </w:pPr>
          </w:p>
        </w:tc>
        <w:tc>
          <w:tcPr>
            <w:tcW w:w="719" w:type="dxa"/>
            <w:vAlign w:val="top"/>
          </w:tcPr>
          <w:p w14:paraId="7D903FAA">
            <w:pPr>
              <w:rPr>
                <w:rFonts w:ascii="Arial"/>
                <w:color w:val="auto"/>
                <w:sz w:val="21"/>
              </w:rPr>
            </w:pPr>
          </w:p>
        </w:tc>
        <w:tc>
          <w:tcPr>
            <w:tcW w:w="1080" w:type="dxa"/>
            <w:vAlign w:val="top"/>
          </w:tcPr>
          <w:p w14:paraId="133BDF13">
            <w:pPr>
              <w:rPr>
                <w:rFonts w:ascii="Arial"/>
                <w:color w:val="auto"/>
                <w:sz w:val="21"/>
              </w:rPr>
            </w:pPr>
          </w:p>
        </w:tc>
        <w:tc>
          <w:tcPr>
            <w:tcW w:w="719" w:type="dxa"/>
            <w:vAlign w:val="top"/>
          </w:tcPr>
          <w:p w14:paraId="7F571D2B">
            <w:pPr>
              <w:rPr>
                <w:rFonts w:ascii="Arial"/>
                <w:color w:val="auto"/>
                <w:sz w:val="21"/>
              </w:rPr>
            </w:pPr>
          </w:p>
        </w:tc>
        <w:tc>
          <w:tcPr>
            <w:tcW w:w="720" w:type="dxa"/>
            <w:vAlign w:val="top"/>
          </w:tcPr>
          <w:p w14:paraId="2970FF73">
            <w:pPr>
              <w:rPr>
                <w:rFonts w:ascii="Arial"/>
                <w:color w:val="auto"/>
                <w:sz w:val="21"/>
              </w:rPr>
            </w:pPr>
          </w:p>
        </w:tc>
        <w:tc>
          <w:tcPr>
            <w:tcW w:w="719" w:type="dxa"/>
            <w:vAlign w:val="top"/>
          </w:tcPr>
          <w:p w14:paraId="6DC9D996">
            <w:pPr>
              <w:rPr>
                <w:rFonts w:ascii="Arial"/>
                <w:color w:val="auto"/>
                <w:sz w:val="21"/>
              </w:rPr>
            </w:pPr>
          </w:p>
        </w:tc>
        <w:tc>
          <w:tcPr>
            <w:tcW w:w="2522" w:type="dxa"/>
            <w:vAlign w:val="top"/>
          </w:tcPr>
          <w:p w14:paraId="2ED23ABE">
            <w:pPr>
              <w:rPr>
                <w:rFonts w:ascii="Arial"/>
                <w:color w:val="auto"/>
                <w:sz w:val="21"/>
              </w:rPr>
            </w:pPr>
          </w:p>
        </w:tc>
        <w:tc>
          <w:tcPr>
            <w:tcW w:w="1476" w:type="dxa"/>
            <w:vAlign w:val="top"/>
          </w:tcPr>
          <w:p w14:paraId="56FB406E">
            <w:pPr>
              <w:rPr>
                <w:rFonts w:ascii="Arial"/>
                <w:color w:val="auto"/>
                <w:sz w:val="21"/>
              </w:rPr>
            </w:pPr>
          </w:p>
        </w:tc>
      </w:tr>
      <w:tr w14:paraId="6D619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6B1E25E9">
            <w:pPr>
              <w:rPr>
                <w:rFonts w:ascii="Arial"/>
                <w:color w:val="auto"/>
                <w:sz w:val="21"/>
              </w:rPr>
            </w:pPr>
          </w:p>
        </w:tc>
        <w:tc>
          <w:tcPr>
            <w:tcW w:w="720" w:type="dxa"/>
            <w:vAlign w:val="top"/>
          </w:tcPr>
          <w:p w14:paraId="0380AABF">
            <w:pPr>
              <w:rPr>
                <w:rFonts w:ascii="Arial"/>
                <w:color w:val="auto"/>
                <w:sz w:val="21"/>
              </w:rPr>
            </w:pPr>
          </w:p>
        </w:tc>
        <w:tc>
          <w:tcPr>
            <w:tcW w:w="719" w:type="dxa"/>
            <w:vAlign w:val="top"/>
          </w:tcPr>
          <w:p w14:paraId="1D84E4BE">
            <w:pPr>
              <w:rPr>
                <w:rFonts w:ascii="Arial"/>
                <w:color w:val="auto"/>
                <w:sz w:val="21"/>
              </w:rPr>
            </w:pPr>
          </w:p>
        </w:tc>
        <w:tc>
          <w:tcPr>
            <w:tcW w:w="1080" w:type="dxa"/>
            <w:vAlign w:val="top"/>
          </w:tcPr>
          <w:p w14:paraId="4C3C23D8">
            <w:pPr>
              <w:rPr>
                <w:rFonts w:ascii="Arial"/>
                <w:color w:val="auto"/>
                <w:sz w:val="21"/>
              </w:rPr>
            </w:pPr>
          </w:p>
        </w:tc>
        <w:tc>
          <w:tcPr>
            <w:tcW w:w="719" w:type="dxa"/>
            <w:vAlign w:val="top"/>
          </w:tcPr>
          <w:p w14:paraId="6DC11097">
            <w:pPr>
              <w:rPr>
                <w:rFonts w:ascii="Arial"/>
                <w:color w:val="auto"/>
                <w:sz w:val="21"/>
              </w:rPr>
            </w:pPr>
          </w:p>
        </w:tc>
        <w:tc>
          <w:tcPr>
            <w:tcW w:w="720" w:type="dxa"/>
            <w:vAlign w:val="top"/>
          </w:tcPr>
          <w:p w14:paraId="56093A65">
            <w:pPr>
              <w:rPr>
                <w:rFonts w:ascii="Arial"/>
                <w:color w:val="auto"/>
                <w:sz w:val="21"/>
              </w:rPr>
            </w:pPr>
          </w:p>
        </w:tc>
        <w:tc>
          <w:tcPr>
            <w:tcW w:w="719" w:type="dxa"/>
            <w:vAlign w:val="top"/>
          </w:tcPr>
          <w:p w14:paraId="07EF4690">
            <w:pPr>
              <w:rPr>
                <w:rFonts w:ascii="Arial"/>
                <w:color w:val="auto"/>
                <w:sz w:val="21"/>
              </w:rPr>
            </w:pPr>
          </w:p>
        </w:tc>
        <w:tc>
          <w:tcPr>
            <w:tcW w:w="2522" w:type="dxa"/>
            <w:vAlign w:val="top"/>
          </w:tcPr>
          <w:p w14:paraId="0E3C2007">
            <w:pPr>
              <w:rPr>
                <w:rFonts w:ascii="Arial"/>
                <w:color w:val="auto"/>
                <w:sz w:val="21"/>
              </w:rPr>
            </w:pPr>
          </w:p>
        </w:tc>
        <w:tc>
          <w:tcPr>
            <w:tcW w:w="1476" w:type="dxa"/>
            <w:vAlign w:val="top"/>
          </w:tcPr>
          <w:p w14:paraId="36AB489E">
            <w:pPr>
              <w:rPr>
                <w:rFonts w:ascii="Arial"/>
                <w:color w:val="auto"/>
                <w:sz w:val="21"/>
              </w:rPr>
            </w:pPr>
          </w:p>
        </w:tc>
      </w:tr>
      <w:tr w14:paraId="0C80A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5F6C004C">
            <w:pPr>
              <w:rPr>
                <w:rFonts w:ascii="Arial"/>
                <w:color w:val="auto"/>
                <w:sz w:val="21"/>
              </w:rPr>
            </w:pPr>
          </w:p>
        </w:tc>
        <w:tc>
          <w:tcPr>
            <w:tcW w:w="720" w:type="dxa"/>
            <w:vAlign w:val="top"/>
          </w:tcPr>
          <w:p w14:paraId="1B5C242A">
            <w:pPr>
              <w:rPr>
                <w:rFonts w:ascii="Arial"/>
                <w:color w:val="auto"/>
                <w:sz w:val="21"/>
              </w:rPr>
            </w:pPr>
          </w:p>
        </w:tc>
        <w:tc>
          <w:tcPr>
            <w:tcW w:w="719" w:type="dxa"/>
            <w:vAlign w:val="top"/>
          </w:tcPr>
          <w:p w14:paraId="6F5DA796">
            <w:pPr>
              <w:rPr>
                <w:rFonts w:ascii="Arial"/>
                <w:color w:val="auto"/>
                <w:sz w:val="21"/>
              </w:rPr>
            </w:pPr>
          </w:p>
        </w:tc>
        <w:tc>
          <w:tcPr>
            <w:tcW w:w="1080" w:type="dxa"/>
            <w:vAlign w:val="top"/>
          </w:tcPr>
          <w:p w14:paraId="01EE800E">
            <w:pPr>
              <w:rPr>
                <w:rFonts w:ascii="Arial"/>
                <w:color w:val="auto"/>
                <w:sz w:val="21"/>
              </w:rPr>
            </w:pPr>
          </w:p>
        </w:tc>
        <w:tc>
          <w:tcPr>
            <w:tcW w:w="719" w:type="dxa"/>
            <w:vAlign w:val="top"/>
          </w:tcPr>
          <w:p w14:paraId="25F8C4AE">
            <w:pPr>
              <w:rPr>
                <w:rFonts w:ascii="Arial"/>
                <w:color w:val="auto"/>
                <w:sz w:val="21"/>
              </w:rPr>
            </w:pPr>
          </w:p>
        </w:tc>
        <w:tc>
          <w:tcPr>
            <w:tcW w:w="720" w:type="dxa"/>
            <w:vAlign w:val="top"/>
          </w:tcPr>
          <w:p w14:paraId="1ECA7302">
            <w:pPr>
              <w:rPr>
                <w:rFonts w:ascii="Arial"/>
                <w:color w:val="auto"/>
                <w:sz w:val="21"/>
              </w:rPr>
            </w:pPr>
          </w:p>
        </w:tc>
        <w:tc>
          <w:tcPr>
            <w:tcW w:w="719" w:type="dxa"/>
            <w:vAlign w:val="top"/>
          </w:tcPr>
          <w:p w14:paraId="14B21888">
            <w:pPr>
              <w:rPr>
                <w:rFonts w:ascii="Arial"/>
                <w:color w:val="auto"/>
                <w:sz w:val="21"/>
              </w:rPr>
            </w:pPr>
          </w:p>
        </w:tc>
        <w:tc>
          <w:tcPr>
            <w:tcW w:w="2522" w:type="dxa"/>
            <w:vAlign w:val="top"/>
          </w:tcPr>
          <w:p w14:paraId="1F84D685">
            <w:pPr>
              <w:rPr>
                <w:rFonts w:ascii="Arial"/>
                <w:color w:val="auto"/>
                <w:sz w:val="21"/>
              </w:rPr>
            </w:pPr>
          </w:p>
        </w:tc>
        <w:tc>
          <w:tcPr>
            <w:tcW w:w="1476" w:type="dxa"/>
            <w:vAlign w:val="top"/>
          </w:tcPr>
          <w:p w14:paraId="6C1F4834">
            <w:pPr>
              <w:rPr>
                <w:rFonts w:ascii="Arial"/>
                <w:color w:val="auto"/>
                <w:sz w:val="21"/>
              </w:rPr>
            </w:pPr>
          </w:p>
        </w:tc>
      </w:tr>
      <w:tr w14:paraId="59EB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651" w:type="dxa"/>
            <w:vAlign w:val="top"/>
          </w:tcPr>
          <w:p w14:paraId="00042614">
            <w:pPr>
              <w:rPr>
                <w:rFonts w:ascii="Arial"/>
                <w:color w:val="auto"/>
                <w:sz w:val="21"/>
              </w:rPr>
            </w:pPr>
          </w:p>
        </w:tc>
        <w:tc>
          <w:tcPr>
            <w:tcW w:w="720" w:type="dxa"/>
            <w:vAlign w:val="top"/>
          </w:tcPr>
          <w:p w14:paraId="78CD43EE">
            <w:pPr>
              <w:rPr>
                <w:rFonts w:ascii="Arial"/>
                <w:color w:val="auto"/>
                <w:sz w:val="21"/>
              </w:rPr>
            </w:pPr>
          </w:p>
        </w:tc>
        <w:tc>
          <w:tcPr>
            <w:tcW w:w="719" w:type="dxa"/>
            <w:vAlign w:val="top"/>
          </w:tcPr>
          <w:p w14:paraId="41C35911">
            <w:pPr>
              <w:rPr>
                <w:rFonts w:ascii="Arial"/>
                <w:color w:val="auto"/>
                <w:sz w:val="21"/>
              </w:rPr>
            </w:pPr>
          </w:p>
        </w:tc>
        <w:tc>
          <w:tcPr>
            <w:tcW w:w="1080" w:type="dxa"/>
            <w:vAlign w:val="top"/>
          </w:tcPr>
          <w:p w14:paraId="392C9A78">
            <w:pPr>
              <w:rPr>
                <w:rFonts w:ascii="Arial"/>
                <w:color w:val="auto"/>
                <w:sz w:val="21"/>
              </w:rPr>
            </w:pPr>
          </w:p>
        </w:tc>
        <w:tc>
          <w:tcPr>
            <w:tcW w:w="719" w:type="dxa"/>
            <w:vAlign w:val="top"/>
          </w:tcPr>
          <w:p w14:paraId="07813C3A">
            <w:pPr>
              <w:rPr>
                <w:rFonts w:ascii="Arial"/>
                <w:color w:val="auto"/>
                <w:sz w:val="21"/>
              </w:rPr>
            </w:pPr>
          </w:p>
        </w:tc>
        <w:tc>
          <w:tcPr>
            <w:tcW w:w="720" w:type="dxa"/>
            <w:vAlign w:val="top"/>
          </w:tcPr>
          <w:p w14:paraId="5A95663C">
            <w:pPr>
              <w:rPr>
                <w:rFonts w:ascii="Arial"/>
                <w:color w:val="auto"/>
                <w:sz w:val="21"/>
              </w:rPr>
            </w:pPr>
          </w:p>
        </w:tc>
        <w:tc>
          <w:tcPr>
            <w:tcW w:w="719" w:type="dxa"/>
            <w:vAlign w:val="top"/>
          </w:tcPr>
          <w:p w14:paraId="1BE775A8">
            <w:pPr>
              <w:rPr>
                <w:rFonts w:ascii="Arial"/>
                <w:color w:val="auto"/>
                <w:sz w:val="21"/>
              </w:rPr>
            </w:pPr>
          </w:p>
        </w:tc>
        <w:tc>
          <w:tcPr>
            <w:tcW w:w="2522" w:type="dxa"/>
            <w:vAlign w:val="top"/>
          </w:tcPr>
          <w:p w14:paraId="07FF79F5">
            <w:pPr>
              <w:rPr>
                <w:rFonts w:ascii="Arial"/>
                <w:color w:val="auto"/>
                <w:sz w:val="21"/>
              </w:rPr>
            </w:pPr>
          </w:p>
        </w:tc>
        <w:tc>
          <w:tcPr>
            <w:tcW w:w="1476" w:type="dxa"/>
            <w:vAlign w:val="top"/>
          </w:tcPr>
          <w:p w14:paraId="2D564589">
            <w:pPr>
              <w:rPr>
                <w:rFonts w:ascii="Arial"/>
                <w:color w:val="auto"/>
                <w:sz w:val="21"/>
              </w:rPr>
            </w:pPr>
          </w:p>
        </w:tc>
      </w:tr>
      <w:tr w14:paraId="193A6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66960FC7">
            <w:pPr>
              <w:rPr>
                <w:rFonts w:ascii="Arial"/>
                <w:color w:val="auto"/>
                <w:sz w:val="21"/>
              </w:rPr>
            </w:pPr>
          </w:p>
        </w:tc>
        <w:tc>
          <w:tcPr>
            <w:tcW w:w="720" w:type="dxa"/>
            <w:vAlign w:val="top"/>
          </w:tcPr>
          <w:p w14:paraId="41CBD028">
            <w:pPr>
              <w:rPr>
                <w:rFonts w:ascii="Arial"/>
                <w:color w:val="auto"/>
                <w:sz w:val="21"/>
              </w:rPr>
            </w:pPr>
          </w:p>
        </w:tc>
        <w:tc>
          <w:tcPr>
            <w:tcW w:w="719" w:type="dxa"/>
            <w:vAlign w:val="top"/>
          </w:tcPr>
          <w:p w14:paraId="33FB4505">
            <w:pPr>
              <w:rPr>
                <w:rFonts w:ascii="Arial"/>
                <w:color w:val="auto"/>
                <w:sz w:val="21"/>
              </w:rPr>
            </w:pPr>
          </w:p>
        </w:tc>
        <w:tc>
          <w:tcPr>
            <w:tcW w:w="1080" w:type="dxa"/>
            <w:vAlign w:val="top"/>
          </w:tcPr>
          <w:p w14:paraId="585AB44D">
            <w:pPr>
              <w:rPr>
                <w:rFonts w:ascii="Arial"/>
                <w:color w:val="auto"/>
                <w:sz w:val="21"/>
              </w:rPr>
            </w:pPr>
          </w:p>
        </w:tc>
        <w:tc>
          <w:tcPr>
            <w:tcW w:w="719" w:type="dxa"/>
            <w:vAlign w:val="top"/>
          </w:tcPr>
          <w:p w14:paraId="6F9C4671">
            <w:pPr>
              <w:rPr>
                <w:rFonts w:ascii="Arial"/>
                <w:color w:val="auto"/>
                <w:sz w:val="21"/>
              </w:rPr>
            </w:pPr>
          </w:p>
        </w:tc>
        <w:tc>
          <w:tcPr>
            <w:tcW w:w="720" w:type="dxa"/>
            <w:vAlign w:val="top"/>
          </w:tcPr>
          <w:p w14:paraId="6EAA6F7C">
            <w:pPr>
              <w:rPr>
                <w:rFonts w:ascii="Arial"/>
                <w:color w:val="auto"/>
                <w:sz w:val="21"/>
              </w:rPr>
            </w:pPr>
          </w:p>
        </w:tc>
        <w:tc>
          <w:tcPr>
            <w:tcW w:w="719" w:type="dxa"/>
            <w:vAlign w:val="top"/>
          </w:tcPr>
          <w:p w14:paraId="0D21D9D5">
            <w:pPr>
              <w:rPr>
                <w:rFonts w:ascii="Arial"/>
                <w:color w:val="auto"/>
                <w:sz w:val="21"/>
              </w:rPr>
            </w:pPr>
          </w:p>
        </w:tc>
        <w:tc>
          <w:tcPr>
            <w:tcW w:w="2522" w:type="dxa"/>
            <w:vAlign w:val="top"/>
          </w:tcPr>
          <w:p w14:paraId="356B128E">
            <w:pPr>
              <w:rPr>
                <w:rFonts w:ascii="Arial"/>
                <w:color w:val="auto"/>
                <w:sz w:val="21"/>
              </w:rPr>
            </w:pPr>
          </w:p>
        </w:tc>
        <w:tc>
          <w:tcPr>
            <w:tcW w:w="1476" w:type="dxa"/>
            <w:vAlign w:val="top"/>
          </w:tcPr>
          <w:p w14:paraId="3C8F5E85">
            <w:pPr>
              <w:rPr>
                <w:rFonts w:ascii="Arial"/>
                <w:color w:val="auto"/>
                <w:sz w:val="21"/>
              </w:rPr>
            </w:pPr>
          </w:p>
        </w:tc>
      </w:tr>
      <w:tr w14:paraId="146F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651" w:type="dxa"/>
            <w:vAlign w:val="top"/>
          </w:tcPr>
          <w:p w14:paraId="42541294">
            <w:pPr>
              <w:rPr>
                <w:rFonts w:ascii="Arial"/>
                <w:color w:val="auto"/>
                <w:sz w:val="21"/>
              </w:rPr>
            </w:pPr>
          </w:p>
        </w:tc>
        <w:tc>
          <w:tcPr>
            <w:tcW w:w="720" w:type="dxa"/>
            <w:vAlign w:val="top"/>
          </w:tcPr>
          <w:p w14:paraId="62B56EBA">
            <w:pPr>
              <w:rPr>
                <w:rFonts w:ascii="Arial"/>
                <w:color w:val="auto"/>
                <w:sz w:val="21"/>
              </w:rPr>
            </w:pPr>
          </w:p>
        </w:tc>
        <w:tc>
          <w:tcPr>
            <w:tcW w:w="719" w:type="dxa"/>
            <w:vAlign w:val="top"/>
          </w:tcPr>
          <w:p w14:paraId="2C47F0A4">
            <w:pPr>
              <w:rPr>
                <w:rFonts w:ascii="Arial"/>
                <w:color w:val="auto"/>
                <w:sz w:val="21"/>
              </w:rPr>
            </w:pPr>
          </w:p>
        </w:tc>
        <w:tc>
          <w:tcPr>
            <w:tcW w:w="1080" w:type="dxa"/>
            <w:vAlign w:val="top"/>
          </w:tcPr>
          <w:p w14:paraId="36654DBF">
            <w:pPr>
              <w:rPr>
                <w:rFonts w:ascii="Arial"/>
                <w:color w:val="auto"/>
                <w:sz w:val="21"/>
              </w:rPr>
            </w:pPr>
          </w:p>
        </w:tc>
        <w:tc>
          <w:tcPr>
            <w:tcW w:w="719" w:type="dxa"/>
            <w:vAlign w:val="top"/>
          </w:tcPr>
          <w:p w14:paraId="7A38D6F8">
            <w:pPr>
              <w:rPr>
                <w:rFonts w:ascii="Arial"/>
                <w:color w:val="auto"/>
                <w:sz w:val="21"/>
              </w:rPr>
            </w:pPr>
          </w:p>
        </w:tc>
        <w:tc>
          <w:tcPr>
            <w:tcW w:w="720" w:type="dxa"/>
            <w:vAlign w:val="top"/>
          </w:tcPr>
          <w:p w14:paraId="39A9A798">
            <w:pPr>
              <w:rPr>
                <w:rFonts w:ascii="Arial"/>
                <w:color w:val="auto"/>
                <w:sz w:val="21"/>
              </w:rPr>
            </w:pPr>
          </w:p>
        </w:tc>
        <w:tc>
          <w:tcPr>
            <w:tcW w:w="719" w:type="dxa"/>
            <w:vAlign w:val="top"/>
          </w:tcPr>
          <w:p w14:paraId="2B5E3433">
            <w:pPr>
              <w:rPr>
                <w:rFonts w:ascii="Arial"/>
                <w:color w:val="auto"/>
                <w:sz w:val="21"/>
              </w:rPr>
            </w:pPr>
          </w:p>
        </w:tc>
        <w:tc>
          <w:tcPr>
            <w:tcW w:w="2522" w:type="dxa"/>
            <w:vAlign w:val="top"/>
          </w:tcPr>
          <w:p w14:paraId="035F9E66">
            <w:pPr>
              <w:rPr>
                <w:rFonts w:ascii="Arial"/>
                <w:color w:val="auto"/>
                <w:sz w:val="21"/>
              </w:rPr>
            </w:pPr>
          </w:p>
        </w:tc>
        <w:tc>
          <w:tcPr>
            <w:tcW w:w="1476" w:type="dxa"/>
            <w:vAlign w:val="top"/>
          </w:tcPr>
          <w:p w14:paraId="4912E6EC">
            <w:pPr>
              <w:rPr>
                <w:rFonts w:ascii="Arial"/>
                <w:color w:val="auto"/>
                <w:sz w:val="21"/>
              </w:rPr>
            </w:pPr>
          </w:p>
        </w:tc>
      </w:tr>
      <w:tr w14:paraId="496CD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01DAC8F4">
            <w:pPr>
              <w:rPr>
                <w:rFonts w:ascii="Arial"/>
                <w:color w:val="auto"/>
                <w:sz w:val="21"/>
              </w:rPr>
            </w:pPr>
          </w:p>
        </w:tc>
        <w:tc>
          <w:tcPr>
            <w:tcW w:w="720" w:type="dxa"/>
            <w:vAlign w:val="top"/>
          </w:tcPr>
          <w:p w14:paraId="57E594BD">
            <w:pPr>
              <w:rPr>
                <w:rFonts w:ascii="Arial"/>
                <w:color w:val="auto"/>
                <w:sz w:val="21"/>
              </w:rPr>
            </w:pPr>
          </w:p>
        </w:tc>
        <w:tc>
          <w:tcPr>
            <w:tcW w:w="719" w:type="dxa"/>
            <w:vAlign w:val="top"/>
          </w:tcPr>
          <w:p w14:paraId="5881ED82">
            <w:pPr>
              <w:rPr>
                <w:rFonts w:ascii="Arial"/>
                <w:color w:val="auto"/>
                <w:sz w:val="21"/>
              </w:rPr>
            </w:pPr>
          </w:p>
        </w:tc>
        <w:tc>
          <w:tcPr>
            <w:tcW w:w="1080" w:type="dxa"/>
            <w:vAlign w:val="top"/>
          </w:tcPr>
          <w:p w14:paraId="26069546">
            <w:pPr>
              <w:rPr>
                <w:rFonts w:ascii="Arial"/>
                <w:color w:val="auto"/>
                <w:sz w:val="21"/>
              </w:rPr>
            </w:pPr>
          </w:p>
        </w:tc>
        <w:tc>
          <w:tcPr>
            <w:tcW w:w="719" w:type="dxa"/>
            <w:vAlign w:val="top"/>
          </w:tcPr>
          <w:p w14:paraId="280783BB">
            <w:pPr>
              <w:rPr>
                <w:rFonts w:ascii="Arial"/>
                <w:color w:val="auto"/>
                <w:sz w:val="21"/>
              </w:rPr>
            </w:pPr>
          </w:p>
        </w:tc>
        <w:tc>
          <w:tcPr>
            <w:tcW w:w="720" w:type="dxa"/>
            <w:vAlign w:val="top"/>
          </w:tcPr>
          <w:p w14:paraId="6A84D642">
            <w:pPr>
              <w:rPr>
                <w:rFonts w:ascii="Arial"/>
                <w:color w:val="auto"/>
                <w:sz w:val="21"/>
              </w:rPr>
            </w:pPr>
          </w:p>
        </w:tc>
        <w:tc>
          <w:tcPr>
            <w:tcW w:w="719" w:type="dxa"/>
            <w:vAlign w:val="top"/>
          </w:tcPr>
          <w:p w14:paraId="27ED2C6B">
            <w:pPr>
              <w:rPr>
                <w:rFonts w:ascii="Arial"/>
                <w:color w:val="auto"/>
                <w:sz w:val="21"/>
              </w:rPr>
            </w:pPr>
          </w:p>
        </w:tc>
        <w:tc>
          <w:tcPr>
            <w:tcW w:w="2522" w:type="dxa"/>
            <w:vAlign w:val="top"/>
          </w:tcPr>
          <w:p w14:paraId="41B7DE13">
            <w:pPr>
              <w:rPr>
                <w:rFonts w:ascii="Arial"/>
                <w:color w:val="auto"/>
                <w:sz w:val="21"/>
              </w:rPr>
            </w:pPr>
          </w:p>
        </w:tc>
        <w:tc>
          <w:tcPr>
            <w:tcW w:w="1476" w:type="dxa"/>
            <w:vAlign w:val="top"/>
          </w:tcPr>
          <w:p w14:paraId="3FB016C4">
            <w:pPr>
              <w:rPr>
                <w:rFonts w:ascii="Arial"/>
                <w:color w:val="auto"/>
                <w:sz w:val="21"/>
              </w:rPr>
            </w:pPr>
          </w:p>
        </w:tc>
      </w:tr>
      <w:tr w14:paraId="7B4C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6AD431B4">
            <w:pPr>
              <w:rPr>
                <w:rFonts w:ascii="Arial"/>
                <w:color w:val="auto"/>
                <w:sz w:val="21"/>
              </w:rPr>
            </w:pPr>
          </w:p>
        </w:tc>
        <w:tc>
          <w:tcPr>
            <w:tcW w:w="720" w:type="dxa"/>
            <w:vAlign w:val="top"/>
          </w:tcPr>
          <w:p w14:paraId="62EBEE96">
            <w:pPr>
              <w:rPr>
                <w:rFonts w:ascii="Arial"/>
                <w:color w:val="auto"/>
                <w:sz w:val="21"/>
              </w:rPr>
            </w:pPr>
          </w:p>
        </w:tc>
        <w:tc>
          <w:tcPr>
            <w:tcW w:w="719" w:type="dxa"/>
            <w:vAlign w:val="top"/>
          </w:tcPr>
          <w:p w14:paraId="2B49498F">
            <w:pPr>
              <w:rPr>
                <w:rFonts w:ascii="Arial"/>
                <w:color w:val="auto"/>
                <w:sz w:val="21"/>
              </w:rPr>
            </w:pPr>
          </w:p>
        </w:tc>
        <w:tc>
          <w:tcPr>
            <w:tcW w:w="1080" w:type="dxa"/>
            <w:vAlign w:val="top"/>
          </w:tcPr>
          <w:p w14:paraId="4525AB9D">
            <w:pPr>
              <w:rPr>
                <w:rFonts w:ascii="Arial"/>
                <w:color w:val="auto"/>
                <w:sz w:val="21"/>
              </w:rPr>
            </w:pPr>
          </w:p>
        </w:tc>
        <w:tc>
          <w:tcPr>
            <w:tcW w:w="719" w:type="dxa"/>
            <w:vAlign w:val="top"/>
          </w:tcPr>
          <w:p w14:paraId="749ED107">
            <w:pPr>
              <w:rPr>
                <w:rFonts w:ascii="Arial"/>
                <w:color w:val="auto"/>
                <w:sz w:val="21"/>
              </w:rPr>
            </w:pPr>
          </w:p>
        </w:tc>
        <w:tc>
          <w:tcPr>
            <w:tcW w:w="720" w:type="dxa"/>
            <w:vAlign w:val="top"/>
          </w:tcPr>
          <w:p w14:paraId="36C3CA90">
            <w:pPr>
              <w:rPr>
                <w:rFonts w:ascii="Arial"/>
                <w:color w:val="auto"/>
                <w:sz w:val="21"/>
              </w:rPr>
            </w:pPr>
          </w:p>
        </w:tc>
        <w:tc>
          <w:tcPr>
            <w:tcW w:w="719" w:type="dxa"/>
            <w:vAlign w:val="top"/>
          </w:tcPr>
          <w:p w14:paraId="7FEE50CE">
            <w:pPr>
              <w:rPr>
                <w:rFonts w:ascii="Arial"/>
                <w:color w:val="auto"/>
                <w:sz w:val="21"/>
              </w:rPr>
            </w:pPr>
          </w:p>
        </w:tc>
        <w:tc>
          <w:tcPr>
            <w:tcW w:w="2522" w:type="dxa"/>
            <w:vAlign w:val="top"/>
          </w:tcPr>
          <w:p w14:paraId="157B1ED5">
            <w:pPr>
              <w:rPr>
                <w:rFonts w:ascii="Arial"/>
                <w:color w:val="auto"/>
                <w:sz w:val="21"/>
              </w:rPr>
            </w:pPr>
          </w:p>
        </w:tc>
        <w:tc>
          <w:tcPr>
            <w:tcW w:w="1476" w:type="dxa"/>
            <w:vAlign w:val="top"/>
          </w:tcPr>
          <w:p w14:paraId="4DC71A3E">
            <w:pPr>
              <w:rPr>
                <w:rFonts w:ascii="Arial"/>
                <w:color w:val="auto"/>
                <w:sz w:val="21"/>
              </w:rPr>
            </w:pPr>
          </w:p>
        </w:tc>
      </w:tr>
      <w:tr w14:paraId="1901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23F29A35">
            <w:pPr>
              <w:rPr>
                <w:rFonts w:ascii="Arial"/>
                <w:color w:val="auto"/>
                <w:sz w:val="21"/>
              </w:rPr>
            </w:pPr>
          </w:p>
        </w:tc>
        <w:tc>
          <w:tcPr>
            <w:tcW w:w="720" w:type="dxa"/>
            <w:vAlign w:val="top"/>
          </w:tcPr>
          <w:p w14:paraId="35BCCBAD">
            <w:pPr>
              <w:rPr>
                <w:rFonts w:ascii="Arial"/>
                <w:color w:val="auto"/>
                <w:sz w:val="21"/>
              </w:rPr>
            </w:pPr>
          </w:p>
        </w:tc>
        <w:tc>
          <w:tcPr>
            <w:tcW w:w="719" w:type="dxa"/>
            <w:vAlign w:val="top"/>
          </w:tcPr>
          <w:p w14:paraId="44EA54EB">
            <w:pPr>
              <w:rPr>
                <w:rFonts w:ascii="Arial"/>
                <w:color w:val="auto"/>
                <w:sz w:val="21"/>
              </w:rPr>
            </w:pPr>
          </w:p>
        </w:tc>
        <w:tc>
          <w:tcPr>
            <w:tcW w:w="1080" w:type="dxa"/>
            <w:vAlign w:val="top"/>
          </w:tcPr>
          <w:p w14:paraId="5C2D9F06">
            <w:pPr>
              <w:rPr>
                <w:rFonts w:ascii="Arial"/>
                <w:color w:val="auto"/>
                <w:sz w:val="21"/>
              </w:rPr>
            </w:pPr>
          </w:p>
        </w:tc>
        <w:tc>
          <w:tcPr>
            <w:tcW w:w="719" w:type="dxa"/>
            <w:vAlign w:val="top"/>
          </w:tcPr>
          <w:p w14:paraId="44446046">
            <w:pPr>
              <w:rPr>
                <w:rFonts w:ascii="Arial"/>
                <w:color w:val="auto"/>
                <w:sz w:val="21"/>
              </w:rPr>
            </w:pPr>
          </w:p>
        </w:tc>
        <w:tc>
          <w:tcPr>
            <w:tcW w:w="720" w:type="dxa"/>
            <w:vAlign w:val="top"/>
          </w:tcPr>
          <w:p w14:paraId="6BD7F693">
            <w:pPr>
              <w:rPr>
                <w:rFonts w:ascii="Arial"/>
                <w:color w:val="auto"/>
                <w:sz w:val="21"/>
              </w:rPr>
            </w:pPr>
          </w:p>
        </w:tc>
        <w:tc>
          <w:tcPr>
            <w:tcW w:w="719" w:type="dxa"/>
            <w:vAlign w:val="top"/>
          </w:tcPr>
          <w:p w14:paraId="2CEF5249">
            <w:pPr>
              <w:rPr>
                <w:rFonts w:ascii="Arial"/>
                <w:color w:val="auto"/>
                <w:sz w:val="21"/>
              </w:rPr>
            </w:pPr>
          </w:p>
        </w:tc>
        <w:tc>
          <w:tcPr>
            <w:tcW w:w="2522" w:type="dxa"/>
            <w:vAlign w:val="top"/>
          </w:tcPr>
          <w:p w14:paraId="75244DC1">
            <w:pPr>
              <w:rPr>
                <w:rFonts w:ascii="Arial"/>
                <w:color w:val="auto"/>
                <w:sz w:val="21"/>
              </w:rPr>
            </w:pPr>
          </w:p>
        </w:tc>
        <w:tc>
          <w:tcPr>
            <w:tcW w:w="1476" w:type="dxa"/>
            <w:vAlign w:val="top"/>
          </w:tcPr>
          <w:p w14:paraId="3C4388AB">
            <w:pPr>
              <w:rPr>
                <w:rFonts w:ascii="Arial"/>
                <w:color w:val="auto"/>
                <w:sz w:val="21"/>
              </w:rPr>
            </w:pPr>
          </w:p>
        </w:tc>
      </w:tr>
      <w:tr w14:paraId="029F9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51" w:type="dxa"/>
            <w:vAlign w:val="top"/>
          </w:tcPr>
          <w:p w14:paraId="5CA3BF21">
            <w:pPr>
              <w:rPr>
                <w:rFonts w:ascii="Arial"/>
                <w:color w:val="auto"/>
                <w:sz w:val="21"/>
              </w:rPr>
            </w:pPr>
          </w:p>
        </w:tc>
        <w:tc>
          <w:tcPr>
            <w:tcW w:w="720" w:type="dxa"/>
            <w:vAlign w:val="top"/>
          </w:tcPr>
          <w:p w14:paraId="4AA6BB71">
            <w:pPr>
              <w:rPr>
                <w:rFonts w:ascii="Arial"/>
                <w:color w:val="auto"/>
                <w:sz w:val="21"/>
              </w:rPr>
            </w:pPr>
          </w:p>
        </w:tc>
        <w:tc>
          <w:tcPr>
            <w:tcW w:w="719" w:type="dxa"/>
            <w:vAlign w:val="top"/>
          </w:tcPr>
          <w:p w14:paraId="344B263D">
            <w:pPr>
              <w:rPr>
                <w:rFonts w:ascii="Arial"/>
                <w:color w:val="auto"/>
                <w:sz w:val="21"/>
              </w:rPr>
            </w:pPr>
          </w:p>
        </w:tc>
        <w:tc>
          <w:tcPr>
            <w:tcW w:w="1080" w:type="dxa"/>
            <w:vAlign w:val="top"/>
          </w:tcPr>
          <w:p w14:paraId="3AE918A0">
            <w:pPr>
              <w:rPr>
                <w:rFonts w:ascii="Arial"/>
                <w:color w:val="auto"/>
                <w:sz w:val="21"/>
              </w:rPr>
            </w:pPr>
          </w:p>
        </w:tc>
        <w:tc>
          <w:tcPr>
            <w:tcW w:w="719" w:type="dxa"/>
            <w:vAlign w:val="top"/>
          </w:tcPr>
          <w:p w14:paraId="68FBB8AD">
            <w:pPr>
              <w:rPr>
                <w:rFonts w:ascii="Arial"/>
                <w:color w:val="auto"/>
                <w:sz w:val="21"/>
              </w:rPr>
            </w:pPr>
          </w:p>
        </w:tc>
        <w:tc>
          <w:tcPr>
            <w:tcW w:w="720" w:type="dxa"/>
            <w:vAlign w:val="top"/>
          </w:tcPr>
          <w:p w14:paraId="00A75878">
            <w:pPr>
              <w:rPr>
                <w:rFonts w:ascii="Arial"/>
                <w:color w:val="auto"/>
                <w:sz w:val="21"/>
              </w:rPr>
            </w:pPr>
          </w:p>
        </w:tc>
        <w:tc>
          <w:tcPr>
            <w:tcW w:w="719" w:type="dxa"/>
            <w:vAlign w:val="top"/>
          </w:tcPr>
          <w:p w14:paraId="631F9575">
            <w:pPr>
              <w:rPr>
                <w:rFonts w:ascii="Arial"/>
                <w:color w:val="auto"/>
                <w:sz w:val="21"/>
              </w:rPr>
            </w:pPr>
          </w:p>
        </w:tc>
        <w:tc>
          <w:tcPr>
            <w:tcW w:w="2522" w:type="dxa"/>
            <w:vAlign w:val="top"/>
          </w:tcPr>
          <w:p w14:paraId="71B30476">
            <w:pPr>
              <w:rPr>
                <w:rFonts w:ascii="Arial"/>
                <w:color w:val="auto"/>
                <w:sz w:val="21"/>
              </w:rPr>
            </w:pPr>
          </w:p>
        </w:tc>
        <w:tc>
          <w:tcPr>
            <w:tcW w:w="1476" w:type="dxa"/>
            <w:vAlign w:val="top"/>
          </w:tcPr>
          <w:p w14:paraId="57FDFF42">
            <w:pPr>
              <w:rPr>
                <w:rFonts w:ascii="Arial"/>
                <w:color w:val="auto"/>
                <w:sz w:val="21"/>
              </w:rPr>
            </w:pPr>
          </w:p>
        </w:tc>
      </w:tr>
      <w:tr w14:paraId="13D8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651" w:type="dxa"/>
            <w:vAlign w:val="top"/>
          </w:tcPr>
          <w:p w14:paraId="2D6A8ED2">
            <w:pPr>
              <w:rPr>
                <w:rFonts w:ascii="Arial"/>
                <w:color w:val="auto"/>
                <w:sz w:val="21"/>
              </w:rPr>
            </w:pPr>
          </w:p>
        </w:tc>
        <w:tc>
          <w:tcPr>
            <w:tcW w:w="720" w:type="dxa"/>
            <w:vAlign w:val="top"/>
          </w:tcPr>
          <w:p w14:paraId="15ED8574">
            <w:pPr>
              <w:rPr>
                <w:rFonts w:ascii="Arial"/>
                <w:color w:val="auto"/>
                <w:sz w:val="21"/>
              </w:rPr>
            </w:pPr>
          </w:p>
        </w:tc>
        <w:tc>
          <w:tcPr>
            <w:tcW w:w="719" w:type="dxa"/>
            <w:vAlign w:val="top"/>
          </w:tcPr>
          <w:p w14:paraId="4D57FFAB">
            <w:pPr>
              <w:rPr>
                <w:rFonts w:ascii="Arial"/>
                <w:color w:val="auto"/>
                <w:sz w:val="21"/>
              </w:rPr>
            </w:pPr>
          </w:p>
        </w:tc>
        <w:tc>
          <w:tcPr>
            <w:tcW w:w="1080" w:type="dxa"/>
            <w:vAlign w:val="top"/>
          </w:tcPr>
          <w:p w14:paraId="7D80E81B">
            <w:pPr>
              <w:rPr>
                <w:rFonts w:ascii="Arial"/>
                <w:color w:val="auto"/>
                <w:sz w:val="21"/>
              </w:rPr>
            </w:pPr>
          </w:p>
        </w:tc>
        <w:tc>
          <w:tcPr>
            <w:tcW w:w="719" w:type="dxa"/>
            <w:vAlign w:val="top"/>
          </w:tcPr>
          <w:p w14:paraId="5F77E4CB">
            <w:pPr>
              <w:rPr>
                <w:rFonts w:ascii="Arial"/>
                <w:color w:val="auto"/>
                <w:sz w:val="21"/>
              </w:rPr>
            </w:pPr>
          </w:p>
        </w:tc>
        <w:tc>
          <w:tcPr>
            <w:tcW w:w="720" w:type="dxa"/>
            <w:vAlign w:val="top"/>
          </w:tcPr>
          <w:p w14:paraId="2E933054">
            <w:pPr>
              <w:rPr>
                <w:rFonts w:ascii="Arial"/>
                <w:color w:val="auto"/>
                <w:sz w:val="21"/>
              </w:rPr>
            </w:pPr>
          </w:p>
        </w:tc>
        <w:tc>
          <w:tcPr>
            <w:tcW w:w="719" w:type="dxa"/>
            <w:vAlign w:val="top"/>
          </w:tcPr>
          <w:p w14:paraId="4D68E355">
            <w:pPr>
              <w:rPr>
                <w:rFonts w:ascii="Arial"/>
                <w:color w:val="auto"/>
                <w:sz w:val="21"/>
              </w:rPr>
            </w:pPr>
          </w:p>
        </w:tc>
        <w:tc>
          <w:tcPr>
            <w:tcW w:w="2522" w:type="dxa"/>
            <w:vAlign w:val="top"/>
          </w:tcPr>
          <w:p w14:paraId="04E7D001">
            <w:pPr>
              <w:rPr>
                <w:rFonts w:ascii="Arial"/>
                <w:color w:val="auto"/>
                <w:sz w:val="21"/>
              </w:rPr>
            </w:pPr>
          </w:p>
        </w:tc>
        <w:tc>
          <w:tcPr>
            <w:tcW w:w="1476" w:type="dxa"/>
            <w:vAlign w:val="top"/>
          </w:tcPr>
          <w:p w14:paraId="0C7D1346">
            <w:pPr>
              <w:rPr>
                <w:rFonts w:ascii="Arial"/>
                <w:color w:val="auto"/>
                <w:sz w:val="21"/>
              </w:rPr>
            </w:pPr>
          </w:p>
        </w:tc>
      </w:tr>
    </w:tbl>
    <w:p w14:paraId="09C24017">
      <w:pPr>
        <w:bidi w:val="0"/>
      </w:pPr>
      <w:r>
        <w:t>注：本表所列人员均应填写“主要人员简历表”</w:t>
      </w:r>
    </w:p>
    <w:p w14:paraId="1BD8B699">
      <w:pPr>
        <w:spacing w:line="227" w:lineRule="auto"/>
        <w:rPr>
          <w:rFonts w:ascii="宋体" w:hAnsi="宋体" w:eastAsia="宋体" w:cs="宋体"/>
          <w:color w:val="auto"/>
          <w:sz w:val="20"/>
          <w:szCs w:val="20"/>
        </w:rPr>
        <w:sectPr>
          <w:footerReference r:id="rId22" w:type="default"/>
          <w:pgSz w:w="11906" w:h="16839"/>
          <w:pgMar w:top="1403" w:right="986" w:bottom="1018" w:left="1588" w:header="0" w:footer="852" w:gutter="0"/>
          <w:pgNumType w:fmt="decimal"/>
          <w:cols w:space="720" w:num="1"/>
        </w:sectPr>
      </w:pPr>
    </w:p>
    <w:p w14:paraId="7C4DCD69">
      <w:pPr>
        <w:pStyle w:val="5"/>
        <w:bidi w:val="0"/>
        <w:jc w:val="center"/>
      </w:pPr>
      <w:r>
        <w:t>（二）主要人员简历表</w:t>
      </w:r>
    </w:p>
    <w:p w14:paraId="508833B6">
      <w:pPr>
        <w:spacing w:before="202" w:line="227" w:lineRule="auto"/>
        <w:ind w:left="65"/>
        <w:rPr>
          <w:rFonts w:ascii="宋体" w:hAnsi="宋体" w:eastAsia="宋体" w:cs="宋体"/>
          <w:color w:val="auto"/>
          <w:sz w:val="20"/>
          <w:szCs w:val="20"/>
        </w:rPr>
      </w:pPr>
      <w:r>
        <w:rPr>
          <w:rFonts w:ascii="宋体" w:hAnsi="宋体" w:eastAsia="宋体" w:cs="宋体"/>
          <w:color w:val="auto"/>
          <w:spacing w:val="9"/>
          <w:sz w:val="20"/>
          <w:szCs w:val="20"/>
        </w:rPr>
        <w:t>“主要人员简历表”中：附项目经理注册证及安全生产考核合格证等材料；其他主要人员应附职称</w:t>
      </w:r>
    </w:p>
    <w:p w14:paraId="30BF0DF6">
      <w:pPr>
        <w:spacing w:before="25" w:line="223" w:lineRule="auto"/>
        <w:ind w:left="75"/>
        <w:rPr>
          <w:rFonts w:ascii="宋体" w:hAnsi="宋体" w:eastAsia="宋体" w:cs="宋体"/>
          <w:color w:val="auto"/>
          <w:sz w:val="20"/>
          <w:szCs w:val="20"/>
        </w:rPr>
      </w:pPr>
      <w:r>
        <w:rPr>
          <w:rFonts w:ascii="宋体" w:hAnsi="宋体" w:eastAsia="宋体" w:cs="宋体"/>
          <w:color w:val="auto"/>
          <w:spacing w:val="10"/>
          <w:sz w:val="20"/>
          <w:szCs w:val="20"/>
        </w:rPr>
        <w:t>证或从业证或上岗证书等材料。业绩须附中</w:t>
      </w:r>
      <w:r>
        <w:rPr>
          <w:rFonts w:ascii="宋体" w:hAnsi="宋体" w:eastAsia="宋体" w:cs="宋体"/>
          <w:color w:val="auto"/>
          <w:spacing w:val="9"/>
          <w:sz w:val="20"/>
          <w:szCs w:val="20"/>
        </w:rPr>
        <w:t>标通知书或合同协议书或竣工验收报告等材料。</w:t>
      </w:r>
    </w:p>
    <w:tbl>
      <w:tblPr>
        <w:tblStyle w:val="46"/>
        <w:tblW w:w="9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359"/>
        <w:gridCol w:w="720"/>
        <w:gridCol w:w="926"/>
        <w:gridCol w:w="1064"/>
        <w:gridCol w:w="708"/>
        <w:gridCol w:w="1260"/>
        <w:gridCol w:w="161"/>
        <w:gridCol w:w="2363"/>
      </w:tblGrid>
      <w:tr w14:paraId="5E14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06" w:type="dxa"/>
            <w:vAlign w:val="top"/>
          </w:tcPr>
          <w:p w14:paraId="31F4B3A4">
            <w:pPr>
              <w:pStyle w:val="47"/>
              <w:spacing w:before="178" w:line="228" w:lineRule="auto"/>
              <w:ind w:left="492"/>
              <w:rPr>
                <w:color w:val="auto"/>
              </w:rPr>
            </w:pPr>
            <w:r>
              <w:rPr>
                <w:color w:val="auto"/>
              </w:rPr>
              <w:t>姓名</w:t>
            </w:r>
          </w:p>
        </w:tc>
        <w:tc>
          <w:tcPr>
            <w:tcW w:w="1079" w:type="dxa"/>
            <w:gridSpan w:val="2"/>
            <w:vAlign w:val="top"/>
          </w:tcPr>
          <w:p w14:paraId="1BEDD8FA">
            <w:pPr>
              <w:rPr>
                <w:rFonts w:ascii="Arial"/>
                <w:color w:val="auto"/>
                <w:sz w:val="21"/>
              </w:rPr>
            </w:pPr>
          </w:p>
        </w:tc>
        <w:tc>
          <w:tcPr>
            <w:tcW w:w="926" w:type="dxa"/>
            <w:vAlign w:val="top"/>
          </w:tcPr>
          <w:p w14:paraId="1F841CED">
            <w:pPr>
              <w:pStyle w:val="47"/>
              <w:spacing w:before="178" w:line="228" w:lineRule="auto"/>
              <w:ind w:left="206"/>
              <w:rPr>
                <w:color w:val="auto"/>
              </w:rPr>
            </w:pPr>
            <w:r>
              <w:rPr>
                <w:color w:val="auto"/>
              </w:rPr>
              <w:t>年龄</w:t>
            </w:r>
          </w:p>
        </w:tc>
        <w:tc>
          <w:tcPr>
            <w:tcW w:w="1064" w:type="dxa"/>
            <w:vAlign w:val="top"/>
          </w:tcPr>
          <w:p w14:paraId="544C5086">
            <w:pPr>
              <w:rPr>
                <w:rFonts w:ascii="Arial"/>
                <w:color w:val="auto"/>
                <w:sz w:val="21"/>
              </w:rPr>
            </w:pPr>
          </w:p>
        </w:tc>
        <w:tc>
          <w:tcPr>
            <w:tcW w:w="2129" w:type="dxa"/>
            <w:gridSpan w:val="3"/>
            <w:vAlign w:val="top"/>
          </w:tcPr>
          <w:p w14:paraId="4996D05A">
            <w:pPr>
              <w:pStyle w:val="47"/>
              <w:spacing w:before="178" w:line="229" w:lineRule="auto"/>
              <w:ind w:left="864"/>
              <w:rPr>
                <w:color w:val="auto"/>
              </w:rPr>
            </w:pPr>
            <w:r>
              <w:rPr>
                <w:color w:val="auto"/>
                <w:spacing w:val="2"/>
              </w:rPr>
              <w:t>学历</w:t>
            </w:r>
          </w:p>
        </w:tc>
        <w:tc>
          <w:tcPr>
            <w:tcW w:w="2363" w:type="dxa"/>
            <w:vAlign w:val="top"/>
          </w:tcPr>
          <w:p w14:paraId="25323C5C">
            <w:pPr>
              <w:rPr>
                <w:rFonts w:ascii="Arial"/>
                <w:color w:val="auto"/>
                <w:sz w:val="21"/>
              </w:rPr>
            </w:pPr>
          </w:p>
        </w:tc>
      </w:tr>
      <w:tr w14:paraId="2455C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06" w:type="dxa"/>
            <w:vAlign w:val="top"/>
          </w:tcPr>
          <w:p w14:paraId="16DCDED8">
            <w:pPr>
              <w:pStyle w:val="47"/>
              <w:spacing w:before="173" w:line="230" w:lineRule="auto"/>
              <w:ind w:left="493"/>
              <w:rPr>
                <w:color w:val="auto"/>
              </w:rPr>
            </w:pPr>
            <w:r>
              <w:rPr>
                <w:color w:val="auto"/>
              </w:rPr>
              <w:t>职称</w:t>
            </w:r>
          </w:p>
        </w:tc>
        <w:tc>
          <w:tcPr>
            <w:tcW w:w="1079" w:type="dxa"/>
            <w:gridSpan w:val="2"/>
            <w:vAlign w:val="top"/>
          </w:tcPr>
          <w:p w14:paraId="062576EF">
            <w:pPr>
              <w:rPr>
                <w:rFonts w:ascii="Arial"/>
                <w:color w:val="auto"/>
                <w:sz w:val="21"/>
              </w:rPr>
            </w:pPr>
          </w:p>
        </w:tc>
        <w:tc>
          <w:tcPr>
            <w:tcW w:w="926" w:type="dxa"/>
            <w:vAlign w:val="top"/>
          </w:tcPr>
          <w:p w14:paraId="2825BF01">
            <w:pPr>
              <w:pStyle w:val="47"/>
              <w:spacing w:before="172" w:line="228" w:lineRule="auto"/>
              <w:ind w:left="206"/>
              <w:rPr>
                <w:color w:val="auto"/>
              </w:rPr>
            </w:pPr>
            <w:r>
              <w:rPr>
                <w:color w:val="auto"/>
              </w:rPr>
              <w:t>职务</w:t>
            </w:r>
          </w:p>
        </w:tc>
        <w:tc>
          <w:tcPr>
            <w:tcW w:w="1064" w:type="dxa"/>
            <w:vAlign w:val="top"/>
          </w:tcPr>
          <w:p w14:paraId="6E669234">
            <w:pPr>
              <w:rPr>
                <w:rFonts w:ascii="Arial"/>
                <w:color w:val="auto"/>
                <w:sz w:val="21"/>
              </w:rPr>
            </w:pPr>
          </w:p>
        </w:tc>
        <w:tc>
          <w:tcPr>
            <w:tcW w:w="2129" w:type="dxa"/>
            <w:gridSpan w:val="3"/>
            <w:vAlign w:val="top"/>
          </w:tcPr>
          <w:p w14:paraId="4930AE4C">
            <w:pPr>
              <w:pStyle w:val="47"/>
              <w:spacing w:before="173" w:line="227" w:lineRule="auto"/>
              <w:ind w:left="334"/>
              <w:rPr>
                <w:color w:val="auto"/>
              </w:rPr>
            </w:pPr>
            <w:r>
              <w:rPr>
                <w:color w:val="auto"/>
                <w:spacing w:val="8"/>
              </w:rPr>
              <w:t>拟在本合同任职</w:t>
            </w:r>
          </w:p>
        </w:tc>
        <w:tc>
          <w:tcPr>
            <w:tcW w:w="2363" w:type="dxa"/>
            <w:vAlign w:val="top"/>
          </w:tcPr>
          <w:p w14:paraId="53964B13">
            <w:pPr>
              <w:rPr>
                <w:rFonts w:ascii="Arial"/>
                <w:color w:val="auto"/>
                <w:sz w:val="21"/>
              </w:rPr>
            </w:pPr>
          </w:p>
        </w:tc>
      </w:tr>
      <w:tr w14:paraId="1E329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06" w:type="dxa"/>
            <w:vAlign w:val="top"/>
          </w:tcPr>
          <w:p w14:paraId="1F3F0AD2">
            <w:pPr>
              <w:pStyle w:val="47"/>
              <w:spacing w:before="174" w:line="228" w:lineRule="auto"/>
              <w:ind w:left="120"/>
              <w:rPr>
                <w:color w:val="auto"/>
              </w:rPr>
            </w:pPr>
            <w:r>
              <w:rPr>
                <w:color w:val="auto"/>
                <w:spacing w:val="6"/>
              </w:rPr>
              <w:t>毕业学校</w:t>
            </w:r>
          </w:p>
        </w:tc>
        <w:tc>
          <w:tcPr>
            <w:tcW w:w="7561" w:type="dxa"/>
            <w:gridSpan w:val="8"/>
            <w:vAlign w:val="top"/>
          </w:tcPr>
          <w:p w14:paraId="42F222DB">
            <w:pPr>
              <w:pStyle w:val="47"/>
              <w:spacing w:before="174" w:line="228" w:lineRule="auto"/>
              <w:ind w:left="742"/>
              <w:rPr>
                <w:color w:val="auto"/>
              </w:rPr>
            </w:pPr>
            <w:r>
              <w:rPr>
                <w:color w:val="auto"/>
                <w:spacing w:val="5"/>
              </w:rPr>
              <w:t>年毕业于学校专业</w:t>
            </w:r>
          </w:p>
        </w:tc>
      </w:tr>
      <w:tr w14:paraId="3783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67" w:type="dxa"/>
            <w:gridSpan w:val="9"/>
            <w:vAlign w:val="top"/>
          </w:tcPr>
          <w:p w14:paraId="497DBD03">
            <w:pPr>
              <w:pStyle w:val="47"/>
              <w:spacing w:before="173" w:line="228" w:lineRule="auto"/>
              <w:ind w:left="117"/>
              <w:rPr>
                <w:color w:val="auto"/>
              </w:rPr>
            </w:pPr>
            <w:r>
              <w:rPr>
                <w:color w:val="auto"/>
                <w:spacing w:val="7"/>
              </w:rPr>
              <w:t>主要工作经历</w:t>
            </w:r>
          </w:p>
        </w:tc>
      </w:tr>
      <w:tr w14:paraId="0F0C0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65" w:type="dxa"/>
            <w:gridSpan w:val="2"/>
            <w:vAlign w:val="top"/>
          </w:tcPr>
          <w:p w14:paraId="2DD38020">
            <w:pPr>
              <w:pStyle w:val="47"/>
              <w:spacing w:before="174" w:line="230" w:lineRule="auto"/>
              <w:ind w:left="125"/>
              <w:rPr>
                <w:color w:val="auto"/>
              </w:rPr>
            </w:pPr>
            <w:r>
              <w:rPr>
                <w:color w:val="auto"/>
                <w:spacing w:val="-5"/>
              </w:rPr>
              <w:t>时间</w:t>
            </w:r>
          </w:p>
        </w:tc>
        <w:tc>
          <w:tcPr>
            <w:tcW w:w="3418" w:type="dxa"/>
            <w:gridSpan w:val="4"/>
            <w:vAlign w:val="top"/>
          </w:tcPr>
          <w:p w14:paraId="70CC3BBA">
            <w:pPr>
              <w:pStyle w:val="47"/>
              <w:spacing w:before="174" w:line="228" w:lineRule="auto"/>
              <w:ind w:left="113"/>
              <w:rPr>
                <w:color w:val="auto"/>
              </w:rPr>
            </w:pPr>
            <w:r>
              <w:rPr>
                <w:color w:val="auto"/>
                <w:spacing w:val="8"/>
              </w:rPr>
              <w:t>参加过的类似项目</w:t>
            </w:r>
          </w:p>
        </w:tc>
        <w:tc>
          <w:tcPr>
            <w:tcW w:w="1260" w:type="dxa"/>
            <w:vAlign w:val="top"/>
          </w:tcPr>
          <w:p w14:paraId="59675C51">
            <w:pPr>
              <w:pStyle w:val="47"/>
              <w:spacing w:before="174" w:line="228" w:lineRule="auto"/>
              <w:ind w:left="114"/>
              <w:rPr>
                <w:color w:val="auto"/>
              </w:rPr>
            </w:pPr>
            <w:r>
              <w:rPr>
                <w:color w:val="auto"/>
                <w:spacing w:val="7"/>
              </w:rPr>
              <w:t>担任职务</w:t>
            </w:r>
          </w:p>
        </w:tc>
        <w:tc>
          <w:tcPr>
            <w:tcW w:w="2524" w:type="dxa"/>
            <w:gridSpan w:val="2"/>
            <w:vAlign w:val="top"/>
          </w:tcPr>
          <w:p w14:paraId="67E25E58">
            <w:pPr>
              <w:pStyle w:val="47"/>
              <w:spacing w:before="174" w:line="228" w:lineRule="auto"/>
              <w:ind w:left="117"/>
              <w:rPr>
                <w:color w:val="auto"/>
              </w:rPr>
            </w:pPr>
            <w:r>
              <w:rPr>
                <w:color w:val="auto"/>
                <w:spacing w:val="8"/>
              </w:rPr>
              <w:t>发包人及联系电话</w:t>
            </w:r>
          </w:p>
        </w:tc>
      </w:tr>
      <w:tr w14:paraId="51370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965" w:type="dxa"/>
            <w:gridSpan w:val="2"/>
            <w:vAlign w:val="top"/>
          </w:tcPr>
          <w:p w14:paraId="7CA9CC66">
            <w:pPr>
              <w:rPr>
                <w:rFonts w:ascii="Arial"/>
                <w:color w:val="auto"/>
                <w:sz w:val="21"/>
              </w:rPr>
            </w:pPr>
          </w:p>
        </w:tc>
        <w:tc>
          <w:tcPr>
            <w:tcW w:w="3418" w:type="dxa"/>
            <w:gridSpan w:val="4"/>
            <w:vAlign w:val="top"/>
          </w:tcPr>
          <w:p w14:paraId="554B4D6E">
            <w:pPr>
              <w:rPr>
                <w:rFonts w:ascii="Arial"/>
                <w:color w:val="auto"/>
                <w:sz w:val="21"/>
              </w:rPr>
            </w:pPr>
          </w:p>
        </w:tc>
        <w:tc>
          <w:tcPr>
            <w:tcW w:w="1260" w:type="dxa"/>
            <w:vAlign w:val="top"/>
          </w:tcPr>
          <w:p w14:paraId="03E0BC91">
            <w:pPr>
              <w:rPr>
                <w:rFonts w:ascii="Arial"/>
                <w:color w:val="auto"/>
                <w:sz w:val="21"/>
              </w:rPr>
            </w:pPr>
          </w:p>
        </w:tc>
        <w:tc>
          <w:tcPr>
            <w:tcW w:w="2524" w:type="dxa"/>
            <w:gridSpan w:val="2"/>
            <w:vAlign w:val="top"/>
          </w:tcPr>
          <w:p w14:paraId="6F03AC23">
            <w:pPr>
              <w:rPr>
                <w:rFonts w:ascii="Arial"/>
                <w:color w:val="auto"/>
                <w:sz w:val="21"/>
              </w:rPr>
            </w:pPr>
          </w:p>
        </w:tc>
      </w:tr>
      <w:tr w14:paraId="2D12F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965" w:type="dxa"/>
            <w:gridSpan w:val="2"/>
            <w:vAlign w:val="top"/>
          </w:tcPr>
          <w:p w14:paraId="73EAA849">
            <w:pPr>
              <w:rPr>
                <w:rFonts w:ascii="Arial"/>
                <w:color w:val="auto"/>
                <w:sz w:val="21"/>
              </w:rPr>
            </w:pPr>
          </w:p>
        </w:tc>
        <w:tc>
          <w:tcPr>
            <w:tcW w:w="3418" w:type="dxa"/>
            <w:gridSpan w:val="4"/>
            <w:vAlign w:val="top"/>
          </w:tcPr>
          <w:p w14:paraId="100C2508">
            <w:pPr>
              <w:rPr>
                <w:rFonts w:ascii="Arial"/>
                <w:color w:val="auto"/>
                <w:sz w:val="21"/>
              </w:rPr>
            </w:pPr>
          </w:p>
        </w:tc>
        <w:tc>
          <w:tcPr>
            <w:tcW w:w="1260" w:type="dxa"/>
            <w:vAlign w:val="top"/>
          </w:tcPr>
          <w:p w14:paraId="3B5A1268">
            <w:pPr>
              <w:rPr>
                <w:rFonts w:ascii="Arial"/>
                <w:color w:val="auto"/>
                <w:sz w:val="21"/>
              </w:rPr>
            </w:pPr>
          </w:p>
        </w:tc>
        <w:tc>
          <w:tcPr>
            <w:tcW w:w="2524" w:type="dxa"/>
            <w:gridSpan w:val="2"/>
            <w:vAlign w:val="top"/>
          </w:tcPr>
          <w:p w14:paraId="58E72CE6">
            <w:pPr>
              <w:rPr>
                <w:rFonts w:ascii="Arial"/>
                <w:color w:val="auto"/>
                <w:sz w:val="21"/>
              </w:rPr>
            </w:pPr>
          </w:p>
        </w:tc>
      </w:tr>
      <w:tr w14:paraId="6B815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965" w:type="dxa"/>
            <w:gridSpan w:val="2"/>
            <w:vAlign w:val="top"/>
          </w:tcPr>
          <w:p w14:paraId="2B411D4E">
            <w:pPr>
              <w:rPr>
                <w:rFonts w:ascii="Arial"/>
                <w:color w:val="auto"/>
                <w:sz w:val="21"/>
              </w:rPr>
            </w:pPr>
          </w:p>
        </w:tc>
        <w:tc>
          <w:tcPr>
            <w:tcW w:w="3418" w:type="dxa"/>
            <w:gridSpan w:val="4"/>
            <w:vAlign w:val="top"/>
          </w:tcPr>
          <w:p w14:paraId="0F1B3313">
            <w:pPr>
              <w:rPr>
                <w:rFonts w:ascii="Arial"/>
                <w:color w:val="auto"/>
                <w:sz w:val="21"/>
              </w:rPr>
            </w:pPr>
          </w:p>
        </w:tc>
        <w:tc>
          <w:tcPr>
            <w:tcW w:w="1260" w:type="dxa"/>
            <w:vAlign w:val="top"/>
          </w:tcPr>
          <w:p w14:paraId="28EBB636">
            <w:pPr>
              <w:rPr>
                <w:rFonts w:ascii="Arial"/>
                <w:color w:val="auto"/>
                <w:sz w:val="21"/>
              </w:rPr>
            </w:pPr>
          </w:p>
        </w:tc>
        <w:tc>
          <w:tcPr>
            <w:tcW w:w="2524" w:type="dxa"/>
            <w:gridSpan w:val="2"/>
            <w:vAlign w:val="top"/>
          </w:tcPr>
          <w:p w14:paraId="0F83D3B8">
            <w:pPr>
              <w:rPr>
                <w:rFonts w:ascii="Arial"/>
                <w:color w:val="auto"/>
                <w:sz w:val="21"/>
              </w:rPr>
            </w:pPr>
          </w:p>
        </w:tc>
      </w:tr>
      <w:tr w14:paraId="1028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0EF75EF5">
            <w:pPr>
              <w:rPr>
                <w:rFonts w:ascii="Arial"/>
                <w:color w:val="auto"/>
                <w:sz w:val="21"/>
              </w:rPr>
            </w:pPr>
          </w:p>
        </w:tc>
        <w:tc>
          <w:tcPr>
            <w:tcW w:w="3418" w:type="dxa"/>
            <w:gridSpan w:val="4"/>
            <w:vAlign w:val="top"/>
          </w:tcPr>
          <w:p w14:paraId="7DFF636F">
            <w:pPr>
              <w:rPr>
                <w:rFonts w:ascii="Arial"/>
                <w:color w:val="auto"/>
                <w:sz w:val="21"/>
              </w:rPr>
            </w:pPr>
          </w:p>
        </w:tc>
        <w:tc>
          <w:tcPr>
            <w:tcW w:w="1260" w:type="dxa"/>
            <w:vAlign w:val="top"/>
          </w:tcPr>
          <w:p w14:paraId="1C85C36C">
            <w:pPr>
              <w:rPr>
                <w:rFonts w:ascii="Arial"/>
                <w:color w:val="auto"/>
                <w:sz w:val="21"/>
              </w:rPr>
            </w:pPr>
          </w:p>
        </w:tc>
        <w:tc>
          <w:tcPr>
            <w:tcW w:w="2524" w:type="dxa"/>
            <w:gridSpan w:val="2"/>
            <w:vAlign w:val="top"/>
          </w:tcPr>
          <w:p w14:paraId="56FB35A4">
            <w:pPr>
              <w:rPr>
                <w:rFonts w:ascii="Arial"/>
                <w:color w:val="auto"/>
                <w:sz w:val="21"/>
              </w:rPr>
            </w:pPr>
          </w:p>
        </w:tc>
      </w:tr>
      <w:tr w14:paraId="2596A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083F6B06">
            <w:pPr>
              <w:rPr>
                <w:rFonts w:ascii="Arial"/>
                <w:color w:val="auto"/>
                <w:sz w:val="21"/>
              </w:rPr>
            </w:pPr>
          </w:p>
        </w:tc>
        <w:tc>
          <w:tcPr>
            <w:tcW w:w="3418" w:type="dxa"/>
            <w:gridSpan w:val="4"/>
            <w:vAlign w:val="top"/>
          </w:tcPr>
          <w:p w14:paraId="7095AB82">
            <w:pPr>
              <w:rPr>
                <w:rFonts w:ascii="Arial"/>
                <w:color w:val="auto"/>
                <w:sz w:val="21"/>
              </w:rPr>
            </w:pPr>
          </w:p>
        </w:tc>
        <w:tc>
          <w:tcPr>
            <w:tcW w:w="1260" w:type="dxa"/>
            <w:vAlign w:val="top"/>
          </w:tcPr>
          <w:p w14:paraId="6A8164B2">
            <w:pPr>
              <w:rPr>
                <w:rFonts w:ascii="Arial"/>
                <w:color w:val="auto"/>
                <w:sz w:val="21"/>
              </w:rPr>
            </w:pPr>
          </w:p>
        </w:tc>
        <w:tc>
          <w:tcPr>
            <w:tcW w:w="2524" w:type="dxa"/>
            <w:gridSpan w:val="2"/>
            <w:vAlign w:val="top"/>
          </w:tcPr>
          <w:p w14:paraId="4E2C3AA1">
            <w:pPr>
              <w:rPr>
                <w:rFonts w:ascii="Arial"/>
                <w:color w:val="auto"/>
                <w:sz w:val="21"/>
              </w:rPr>
            </w:pPr>
          </w:p>
        </w:tc>
      </w:tr>
      <w:tr w14:paraId="5B40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7029575D">
            <w:pPr>
              <w:rPr>
                <w:rFonts w:ascii="Arial"/>
                <w:color w:val="auto"/>
                <w:sz w:val="21"/>
              </w:rPr>
            </w:pPr>
          </w:p>
        </w:tc>
        <w:tc>
          <w:tcPr>
            <w:tcW w:w="3418" w:type="dxa"/>
            <w:gridSpan w:val="4"/>
            <w:vAlign w:val="top"/>
          </w:tcPr>
          <w:p w14:paraId="50045D53">
            <w:pPr>
              <w:rPr>
                <w:rFonts w:ascii="Arial"/>
                <w:color w:val="auto"/>
                <w:sz w:val="21"/>
              </w:rPr>
            </w:pPr>
          </w:p>
        </w:tc>
        <w:tc>
          <w:tcPr>
            <w:tcW w:w="1260" w:type="dxa"/>
            <w:vAlign w:val="top"/>
          </w:tcPr>
          <w:p w14:paraId="7E5E42D5">
            <w:pPr>
              <w:rPr>
                <w:rFonts w:ascii="Arial"/>
                <w:color w:val="auto"/>
                <w:sz w:val="21"/>
              </w:rPr>
            </w:pPr>
          </w:p>
        </w:tc>
        <w:tc>
          <w:tcPr>
            <w:tcW w:w="2524" w:type="dxa"/>
            <w:gridSpan w:val="2"/>
            <w:vAlign w:val="top"/>
          </w:tcPr>
          <w:p w14:paraId="683AA860">
            <w:pPr>
              <w:rPr>
                <w:rFonts w:ascii="Arial"/>
                <w:color w:val="auto"/>
                <w:sz w:val="21"/>
              </w:rPr>
            </w:pPr>
          </w:p>
        </w:tc>
      </w:tr>
      <w:tr w14:paraId="57F5B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73C503EA">
            <w:pPr>
              <w:rPr>
                <w:rFonts w:ascii="Arial"/>
                <w:color w:val="auto"/>
                <w:sz w:val="21"/>
              </w:rPr>
            </w:pPr>
          </w:p>
        </w:tc>
        <w:tc>
          <w:tcPr>
            <w:tcW w:w="3418" w:type="dxa"/>
            <w:gridSpan w:val="4"/>
            <w:vAlign w:val="top"/>
          </w:tcPr>
          <w:p w14:paraId="4AB82B78">
            <w:pPr>
              <w:rPr>
                <w:rFonts w:ascii="Arial"/>
                <w:color w:val="auto"/>
                <w:sz w:val="21"/>
              </w:rPr>
            </w:pPr>
          </w:p>
        </w:tc>
        <w:tc>
          <w:tcPr>
            <w:tcW w:w="1260" w:type="dxa"/>
            <w:vAlign w:val="top"/>
          </w:tcPr>
          <w:p w14:paraId="47FC32C0">
            <w:pPr>
              <w:rPr>
                <w:rFonts w:ascii="Arial"/>
                <w:color w:val="auto"/>
                <w:sz w:val="21"/>
              </w:rPr>
            </w:pPr>
          </w:p>
        </w:tc>
        <w:tc>
          <w:tcPr>
            <w:tcW w:w="2524" w:type="dxa"/>
            <w:gridSpan w:val="2"/>
            <w:vAlign w:val="top"/>
          </w:tcPr>
          <w:p w14:paraId="51522916">
            <w:pPr>
              <w:rPr>
                <w:rFonts w:ascii="Arial"/>
                <w:color w:val="auto"/>
                <w:sz w:val="21"/>
              </w:rPr>
            </w:pPr>
          </w:p>
        </w:tc>
      </w:tr>
      <w:tr w14:paraId="08D89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965" w:type="dxa"/>
            <w:gridSpan w:val="2"/>
            <w:vAlign w:val="top"/>
          </w:tcPr>
          <w:p w14:paraId="0A103435">
            <w:pPr>
              <w:rPr>
                <w:rFonts w:ascii="Arial"/>
                <w:color w:val="auto"/>
                <w:sz w:val="21"/>
              </w:rPr>
            </w:pPr>
          </w:p>
        </w:tc>
        <w:tc>
          <w:tcPr>
            <w:tcW w:w="3418" w:type="dxa"/>
            <w:gridSpan w:val="4"/>
            <w:vAlign w:val="top"/>
          </w:tcPr>
          <w:p w14:paraId="0C2EC635">
            <w:pPr>
              <w:rPr>
                <w:rFonts w:ascii="Arial"/>
                <w:color w:val="auto"/>
                <w:sz w:val="21"/>
              </w:rPr>
            </w:pPr>
          </w:p>
        </w:tc>
        <w:tc>
          <w:tcPr>
            <w:tcW w:w="1260" w:type="dxa"/>
            <w:vAlign w:val="top"/>
          </w:tcPr>
          <w:p w14:paraId="2B0A48DB">
            <w:pPr>
              <w:rPr>
                <w:rFonts w:ascii="Arial"/>
                <w:color w:val="auto"/>
                <w:sz w:val="21"/>
              </w:rPr>
            </w:pPr>
          </w:p>
        </w:tc>
        <w:tc>
          <w:tcPr>
            <w:tcW w:w="2524" w:type="dxa"/>
            <w:gridSpan w:val="2"/>
            <w:vAlign w:val="top"/>
          </w:tcPr>
          <w:p w14:paraId="082D02C7">
            <w:pPr>
              <w:rPr>
                <w:rFonts w:ascii="Arial"/>
                <w:color w:val="auto"/>
                <w:sz w:val="21"/>
              </w:rPr>
            </w:pPr>
          </w:p>
        </w:tc>
      </w:tr>
      <w:tr w14:paraId="63AE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54A80CB3">
            <w:pPr>
              <w:rPr>
                <w:rFonts w:ascii="Arial"/>
                <w:color w:val="auto"/>
                <w:sz w:val="21"/>
              </w:rPr>
            </w:pPr>
          </w:p>
        </w:tc>
        <w:tc>
          <w:tcPr>
            <w:tcW w:w="3418" w:type="dxa"/>
            <w:gridSpan w:val="4"/>
            <w:vAlign w:val="top"/>
          </w:tcPr>
          <w:p w14:paraId="73B8FC98">
            <w:pPr>
              <w:rPr>
                <w:rFonts w:ascii="Arial"/>
                <w:color w:val="auto"/>
                <w:sz w:val="21"/>
              </w:rPr>
            </w:pPr>
          </w:p>
        </w:tc>
        <w:tc>
          <w:tcPr>
            <w:tcW w:w="1260" w:type="dxa"/>
            <w:vAlign w:val="top"/>
          </w:tcPr>
          <w:p w14:paraId="7D59160E">
            <w:pPr>
              <w:rPr>
                <w:rFonts w:ascii="Arial"/>
                <w:color w:val="auto"/>
                <w:sz w:val="21"/>
              </w:rPr>
            </w:pPr>
          </w:p>
        </w:tc>
        <w:tc>
          <w:tcPr>
            <w:tcW w:w="2524" w:type="dxa"/>
            <w:gridSpan w:val="2"/>
            <w:vAlign w:val="top"/>
          </w:tcPr>
          <w:p w14:paraId="620D7372">
            <w:pPr>
              <w:rPr>
                <w:rFonts w:ascii="Arial"/>
                <w:color w:val="auto"/>
                <w:sz w:val="21"/>
              </w:rPr>
            </w:pPr>
          </w:p>
        </w:tc>
      </w:tr>
      <w:tr w14:paraId="63257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091E2435">
            <w:pPr>
              <w:rPr>
                <w:rFonts w:ascii="Arial"/>
                <w:color w:val="auto"/>
                <w:sz w:val="21"/>
              </w:rPr>
            </w:pPr>
          </w:p>
        </w:tc>
        <w:tc>
          <w:tcPr>
            <w:tcW w:w="3418" w:type="dxa"/>
            <w:gridSpan w:val="4"/>
            <w:vAlign w:val="top"/>
          </w:tcPr>
          <w:p w14:paraId="59114336">
            <w:pPr>
              <w:rPr>
                <w:rFonts w:ascii="Arial"/>
                <w:color w:val="auto"/>
                <w:sz w:val="21"/>
              </w:rPr>
            </w:pPr>
          </w:p>
        </w:tc>
        <w:tc>
          <w:tcPr>
            <w:tcW w:w="1260" w:type="dxa"/>
            <w:vAlign w:val="top"/>
          </w:tcPr>
          <w:p w14:paraId="6B903C43">
            <w:pPr>
              <w:rPr>
                <w:rFonts w:ascii="Arial"/>
                <w:color w:val="auto"/>
                <w:sz w:val="21"/>
              </w:rPr>
            </w:pPr>
          </w:p>
        </w:tc>
        <w:tc>
          <w:tcPr>
            <w:tcW w:w="2524" w:type="dxa"/>
            <w:gridSpan w:val="2"/>
            <w:vAlign w:val="top"/>
          </w:tcPr>
          <w:p w14:paraId="42A10C90">
            <w:pPr>
              <w:rPr>
                <w:rFonts w:ascii="Arial"/>
                <w:color w:val="auto"/>
                <w:sz w:val="21"/>
              </w:rPr>
            </w:pPr>
          </w:p>
        </w:tc>
      </w:tr>
      <w:tr w14:paraId="42F0D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965" w:type="dxa"/>
            <w:gridSpan w:val="2"/>
            <w:vAlign w:val="top"/>
          </w:tcPr>
          <w:p w14:paraId="3BF1FFAE">
            <w:pPr>
              <w:rPr>
                <w:rFonts w:ascii="Arial"/>
                <w:color w:val="auto"/>
                <w:sz w:val="21"/>
              </w:rPr>
            </w:pPr>
          </w:p>
        </w:tc>
        <w:tc>
          <w:tcPr>
            <w:tcW w:w="3418" w:type="dxa"/>
            <w:gridSpan w:val="4"/>
            <w:vAlign w:val="top"/>
          </w:tcPr>
          <w:p w14:paraId="61B7D442">
            <w:pPr>
              <w:rPr>
                <w:rFonts w:ascii="Arial"/>
                <w:color w:val="auto"/>
                <w:sz w:val="21"/>
              </w:rPr>
            </w:pPr>
          </w:p>
        </w:tc>
        <w:tc>
          <w:tcPr>
            <w:tcW w:w="1260" w:type="dxa"/>
            <w:vAlign w:val="top"/>
          </w:tcPr>
          <w:p w14:paraId="2F936487">
            <w:pPr>
              <w:rPr>
                <w:rFonts w:ascii="Arial"/>
                <w:color w:val="auto"/>
                <w:sz w:val="21"/>
              </w:rPr>
            </w:pPr>
          </w:p>
        </w:tc>
        <w:tc>
          <w:tcPr>
            <w:tcW w:w="2524" w:type="dxa"/>
            <w:gridSpan w:val="2"/>
            <w:vAlign w:val="top"/>
          </w:tcPr>
          <w:p w14:paraId="7267D3D9">
            <w:pPr>
              <w:rPr>
                <w:rFonts w:ascii="Arial"/>
                <w:color w:val="auto"/>
                <w:sz w:val="21"/>
              </w:rPr>
            </w:pPr>
          </w:p>
        </w:tc>
      </w:tr>
      <w:tr w14:paraId="2B37D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965" w:type="dxa"/>
            <w:gridSpan w:val="2"/>
            <w:vAlign w:val="top"/>
          </w:tcPr>
          <w:p w14:paraId="70B81114">
            <w:pPr>
              <w:rPr>
                <w:rFonts w:ascii="Arial"/>
                <w:color w:val="auto"/>
                <w:sz w:val="21"/>
              </w:rPr>
            </w:pPr>
          </w:p>
        </w:tc>
        <w:tc>
          <w:tcPr>
            <w:tcW w:w="3418" w:type="dxa"/>
            <w:gridSpan w:val="4"/>
            <w:vAlign w:val="top"/>
          </w:tcPr>
          <w:p w14:paraId="4F38ACAC">
            <w:pPr>
              <w:rPr>
                <w:rFonts w:ascii="Arial"/>
                <w:color w:val="auto"/>
                <w:sz w:val="21"/>
              </w:rPr>
            </w:pPr>
          </w:p>
        </w:tc>
        <w:tc>
          <w:tcPr>
            <w:tcW w:w="1260" w:type="dxa"/>
            <w:vAlign w:val="top"/>
          </w:tcPr>
          <w:p w14:paraId="45A6B0B1">
            <w:pPr>
              <w:rPr>
                <w:rFonts w:ascii="Arial"/>
                <w:color w:val="auto"/>
                <w:sz w:val="21"/>
              </w:rPr>
            </w:pPr>
          </w:p>
        </w:tc>
        <w:tc>
          <w:tcPr>
            <w:tcW w:w="2524" w:type="dxa"/>
            <w:gridSpan w:val="2"/>
            <w:vAlign w:val="top"/>
          </w:tcPr>
          <w:p w14:paraId="3F77E23A">
            <w:pPr>
              <w:rPr>
                <w:rFonts w:ascii="Arial"/>
                <w:color w:val="auto"/>
                <w:sz w:val="21"/>
              </w:rPr>
            </w:pPr>
          </w:p>
        </w:tc>
      </w:tr>
    </w:tbl>
    <w:p w14:paraId="4255FFC5">
      <w:pPr>
        <w:pStyle w:val="9"/>
        <w:rPr>
          <w:color w:val="auto"/>
        </w:rPr>
      </w:pPr>
    </w:p>
    <w:p w14:paraId="3FDE103C">
      <w:pPr>
        <w:pStyle w:val="9"/>
        <w:spacing w:line="302" w:lineRule="auto"/>
        <w:rPr>
          <w:color w:val="auto"/>
        </w:rPr>
      </w:pPr>
    </w:p>
    <w:p w14:paraId="5B9E60CE">
      <w:pPr>
        <w:pStyle w:val="9"/>
        <w:spacing w:line="303" w:lineRule="auto"/>
        <w:rPr>
          <w:color w:val="auto"/>
        </w:rPr>
      </w:pPr>
    </w:p>
    <w:p w14:paraId="1EFC8912">
      <w:pPr>
        <w:pStyle w:val="9"/>
        <w:spacing w:line="303" w:lineRule="auto"/>
        <w:rPr>
          <w:color w:val="auto"/>
        </w:rPr>
      </w:pPr>
    </w:p>
    <w:p w14:paraId="46A971DD">
      <w:pPr>
        <w:rPr>
          <w:rFonts w:ascii="宋体" w:hAnsi="宋体" w:eastAsia="宋体" w:cs="宋体"/>
          <w:b/>
          <w:bCs/>
          <w:color w:val="auto"/>
          <w:spacing w:val="6"/>
          <w:sz w:val="31"/>
          <w:szCs w:val="31"/>
        </w:rPr>
      </w:pPr>
      <w:bookmarkStart w:id="80" w:name="_Toc32197"/>
      <w:r>
        <w:rPr>
          <w:rFonts w:ascii="宋体" w:hAnsi="宋体" w:eastAsia="宋体" w:cs="宋体"/>
          <w:b/>
          <w:bCs/>
          <w:color w:val="auto"/>
          <w:spacing w:val="6"/>
          <w:sz w:val="31"/>
          <w:szCs w:val="31"/>
        </w:rPr>
        <w:br w:type="page"/>
      </w:r>
    </w:p>
    <w:p w14:paraId="72663BE7">
      <w:pPr>
        <w:spacing w:before="100" w:line="225" w:lineRule="auto"/>
        <w:ind w:left="3236"/>
        <w:outlineLvl w:val="1"/>
        <w:rPr>
          <w:rFonts w:ascii="宋体" w:hAnsi="宋体" w:eastAsia="宋体" w:cs="宋体"/>
          <w:color w:val="auto"/>
          <w:sz w:val="31"/>
          <w:szCs w:val="31"/>
        </w:rPr>
      </w:pPr>
      <w:bookmarkStart w:id="81" w:name="_Toc14115"/>
      <w:r>
        <w:rPr>
          <w:rFonts w:hint="eastAsia" w:ascii="宋体" w:hAnsi="宋体" w:eastAsia="宋体" w:cs="宋体"/>
          <w:b/>
          <w:bCs/>
          <w:color w:val="auto"/>
          <w:spacing w:val="6"/>
          <w:sz w:val="31"/>
          <w:szCs w:val="31"/>
          <w:lang w:val="en-US" w:eastAsia="zh-CN"/>
        </w:rPr>
        <w:t>八</w:t>
      </w:r>
      <w:r>
        <w:rPr>
          <w:rFonts w:ascii="宋体" w:hAnsi="宋体" w:eastAsia="宋体" w:cs="宋体"/>
          <w:b/>
          <w:bCs/>
          <w:color w:val="auto"/>
          <w:spacing w:val="6"/>
          <w:sz w:val="31"/>
          <w:szCs w:val="31"/>
        </w:rPr>
        <w:t>、资格审查资料</w:t>
      </w:r>
      <w:bookmarkEnd w:id="80"/>
      <w:bookmarkEnd w:id="81"/>
    </w:p>
    <w:p w14:paraId="7FB1F6F4">
      <w:pPr>
        <w:pStyle w:val="9"/>
        <w:spacing w:line="266" w:lineRule="auto"/>
        <w:rPr>
          <w:color w:val="auto"/>
        </w:rPr>
      </w:pPr>
    </w:p>
    <w:p w14:paraId="02A6DE59">
      <w:pPr>
        <w:spacing w:before="91" w:line="219" w:lineRule="auto"/>
        <w:ind w:left="2982"/>
        <w:outlineLvl w:val="2"/>
        <w:rPr>
          <w:rFonts w:ascii="宋体" w:hAnsi="宋体" w:eastAsia="宋体" w:cs="宋体"/>
          <w:color w:val="auto"/>
          <w:sz w:val="28"/>
          <w:szCs w:val="28"/>
        </w:rPr>
      </w:pPr>
      <w:r>
        <w:rPr>
          <w:rFonts w:ascii="宋体" w:hAnsi="宋体" w:eastAsia="宋体" w:cs="宋体"/>
          <w:b/>
          <w:bCs/>
          <w:color w:val="auto"/>
          <w:spacing w:val="-4"/>
          <w:sz w:val="28"/>
          <w:szCs w:val="28"/>
        </w:rPr>
        <w:t>（一）供应商基本情况表</w:t>
      </w:r>
    </w:p>
    <w:p w14:paraId="6DA1456C">
      <w:pPr>
        <w:spacing w:before="48"/>
        <w:rPr>
          <w:color w:val="auto"/>
        </w:rPr>
      </w:pPr>
    </w:p>
    <w:tbl>
      <w:tblPr>
        <w:tblStyle w:val="46"/>
        <w:tblW w:w="9278"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9"/>
        <w:gridCol w:w="993"/>
        <w:gridCol w:w="993"/>
        <w:gridCol w:w="812"/>
        <w:gridCol w:w="540"/>
        <w:gridCol w:w="258"/>
        <w:gridCol w:w="1371"/>
        <w:gridCol w:w="993"/>
        <w:gridCol w:w="999"/>
      </w:tblGrid>
      <w:tr w14:paraId="014B9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2319" w:type="dxa"/>
            <w:vAlign w:val="top"/>
          </w:tcPr>
          <w:p w14:paraId="5566FEE8">
            <w:pPr>
              <w:pStyle w:val="47"/>
              <w:spacing w:before="156" w:line="227" w:lineRule="auto"/>
              <w:ind w:left="639"/>
              <w:rPr>
                <w:color w:val="auto"/>
              </w:rPr>
            </w:pPr>
            <w:r>
              <w:rPr>
                <w:color w:val="auto"/>
                <w:spacing w:val="8"/>
              </w:rPr>
              <w:t>供应商名称</w:t>
            </w:r>
          </w:p>
        </w:tc>
        <w:tc>
          <w:tcPr>
            <w:tcW w:w="6959" w:type="dxa"/>
            <w:gridSpan w:val="8"/>
            <w:vAlign w:val="top"/>
          </w:tcPr>
          <w:p w14:paraId="49A910F1">
            <w:pPr>
              <w:rPr>
                <w:rFonts w:ascii="Arial"/>
                <w:color w:val="auto"/>
                <w:sz w:val="21"/>
              </w:rPr>
            </w:pPr>
          </w:p>
        </w:tc>
      </w:tr>
      <w:tr w14:paraId="7E047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319" w:type="dxa"/>
            <w:vAlign w:val="top"/>
          </w:tcPr>
          <w:p w14:paraId="5C9F24D5">
            <w:pPr>
              <w:pStyle w:val="47"/>
              <w:spacing w:before="166" w:line="229" w:lineRule="auto"/>
              <w:ind w:left="744"/>
              <w:rPr>
                <w:color w:val="auto"/>
              </w:rPr>
            </w:pPr>
            <w:r>
              <w:rPr>
                <w:color w:val="auto"/>
                <w:spacing w:val="7"/>
              </w:rPr>
              <w:t>注册地址</w:t>
            </w:r>
          </w:p>
        </w:tc>
        <w:tc>
          <w:tcPr>
            <w:tcW w:w="3596" w:type="dxa"/>
            <w:gridSpan w:val="5"/>
            <w:vAlign w:val="top"/>
          </w:tcPr>
          <w:p w14:paraId="5907807E">
            <w:pPr>
              <w:rPr>
                <w:rFonts w:ascii="Arial"/>
                <w:color w:val="auto"/>
                <w:sz w:val="21"/>
              </w:rPr>
            </w:pPr>
          </w:p>
        </w:tc>
        <w:tc>
          <w:tcPr>
            <w:tcW w:w="1371" w:type="dxa"/>
            <w:vAlign w:val="top"/>
          </w:tcPr>
          <w:p w14:paraId="44779109">
            <w:pPr>
              <w:pStyle w:val="47"/>
              <w:spacing w:before="166" w:line="228" w:lineRule="auto"/>
              <w:ind w:left="286"/>
              <w:rPr>
                <w:color w:val="auto"/>
              </w:rPr>
            </w:pPr>
            <w:r>
              <w:rPr>
                <w:color w:val="auto"/>
                <w:spacing w:val="3"/>
              </w:rPr>
              <w:t>邮政编码</w:t>
            </w:r>
          </w:p>
        </w:tc>
        <w:tc>
          <w:tcPr>
            <w:tcW w:w="1992" w:type="dxa"/>
            <w:gridSpan w:val="2"/>
            <w:vAlign w:val="top"/>
          </w:tcPr>
          <w:p w14:paraId="3AC0C85A">
            <w:pPr>
              <w:rPr>
                <w:rFonts w:ascii="Arial"/>
                <w:color w:val="auto"/>
                <w:sz w:val="21"/>
              </w:rPr>
            </w:pPr>
          </w:p>
        </w:tc>
      </w:tr>
      <w:tr w14:paraId="5DDBE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19" w:type="dxa"/>
            <w:vMerge w:val="restart"/>
            <w:tcBorders>
              <w:bottom w:val="nil"/>
            </w:tcBorders>
            <w:vAlign w:val="top"/>
          </w:tcPr>
          <w:p w14:paraId="12238DAE">
            <w:pPr>
              <w:spacing w:line="364" w:lineRule="auto"/>
              <w:rPr>
                <w:rFonts w:ascii="Arial"/>
                <w:color w:val="auto"/>
                <w:sz w:val="21"/>
              </w:rPr>
            </w:pPr>
          </w:p>
          <w:p w14:paraId="3C79A05B">
            <w:pPr>
              <w:pStyle w:val="47"/>
              <w:spacing w:before="65" w:line="229" w:lineRule="auto"/>
              <w:ind w:left="745"/>
              <w:rPr>
                <w:color w:val="auto"/>
              </w:rPr>
            </w:pPr>
            <w:r>
              <w:rPr>
                <w:color w:val="auto"/>
                <w:spacing w:val="7"/>
              </w:rPr>
              <w:t>联系方式</w:t>
            </w:r>
          </w:p>
        </w:tc>
        <w:tc>
          <w:tcPr>
            <w:tcW w:w="993" w:type="dxa"/>
            <w:vAlign w:val="top"/>
          </w:tcPr>
          <w:p w14:paraId="0FDFD45D">
            <w:pPr>
              <w:pStyle w:val="47"/>
              <w:spacing w:before="153" w:line="230" w:lineRule="auto"/>
              <w:ind w:left="185"/>
              <w:rPr>
                <w:color w:val="auto"/>
              </w:rPr>
            </w:pPr>
            <w:r>
              <w:rPr>
                <w:color w:val="auto"/>
                <w:spacing w:val="6"/>
              </w:rPr>
              <w:t>联系人</w:t>
            </w:r>
          </w:p>
        </w:tc>
        <w:tc>
          <w:tcPr>
            <w:tcW w:w="2603" w:type="dxa"/>
            <w:gridSpan w:val="4"/>
            <w:vAlign w:val="top"/>
          </w:tcPr>
          <w:p w14:paraId="1643799C">
            <w:pPr>
              <w:rPr>
                <w:rFonts w:ascii="Arial"/>
                <w:color w:val="auto"/>
                <w:sz w:val="21"/>
              </w:rPr>
            </w:pPr>
          </w:p>
        </w:tc>
        <w:tc>
          <w:tcPr>
            <w:tcW w:w="1371" w:type="dxa"/>
            <w:vAlign w:val="top"/>
          </w:tcPr>
          <w:p w14:paraId="5AB3EC67">
            <w:pPr>
              <w:pStyle w:val="47"/>
              <w:spacing w:before="153" w:line="230" w:lineRule="auto"/>
              <w:ind w:left="400"/>
              <w:rPr>
                <w:color w:val="auto"/>
              </w:rPr>
            </w:pPr>
            <w:r>
              <w:rPr>
                <w:color w:val="auto"/>
                <w:spacing w:val="-12"/>
              </w:rPr>
              <w:t>电话</w:t>
            </w:r>
          </w:p>
        </w:tc>
        <w:tc>
          <w:tcPr>
            <w:tcW w:w="1992" w:type="dxa"/>
            <w:gridSpan w:val="2"/>
            <w:vAlign w:val="top"/>
          </w:tcPr>
          <w:p w14:paraId="75AC3E1D">
            <w:pPr>
              <w:rPr>
                <w:rFonts w:ascii="Arial"/>
                <w:color w:val="auto"/>
                <w:sz w:val="21"/>
              </w:rPr>
            </w:pPr>
          </w:p>
        </w:tc>
      </w:tr>
      <w:tr w14:paraId="5C215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319" w:type="dxa"/>
            <w:vMerge w:val="continue"/>
            <w:tcBorders>
              <w:top w:val="nil"/>
            </w:tcBorders>
            <w:vAlign w:val="top"/>
          </w:tcPr>
          <w:p w14:paraId="0A3CEED5">
            <w:pPr>
              <w:rPr>
                <w:rFonts w:ascii="Arial"/>
                <w:color w:val="auto"/>
                <w:sz w:val="21"/>
              </w:rPr>
            </w:pPr>
          </w:p>
        </w:tc>
        <w:tc>
          <w:tcPr>
            <w:tcW w:w="993" w:type="dxa"/>
            <w:vAlign w:val="top"/>
          </w:tcPr>
          <w:p w14:paraId="4D676626">
            <w:pPr>
              <w:pStyle w:val="47"/>
              <w:spacing w:before="167" w:line="227" w:lineRule="auto"/>
              <w:ind w:left="183"/>
              <w:rPr>
                <w:color w:val="auto"/>
              </w:rPr>
            </w:pPr>
            <w:r>
              <w:rPr>
                <w:color w:val="auto"/>
                <w:spacing w:val="1"/>
              </w:rPr>
              <w:t>传真</w:t>
            </w:r>
          </w:p>
        </w:tc>
        <w:tc>
          <w:tcPr>
            <w:tcW w:w="2603" w:type="dxa"/>
            <w:gridSpan w:val="4"/>
            <w:vAlign w:val="top"/>
          </w:tcPr>
          <w:p w14:paraId="507F61C0">
            <w:pPr>
              <w:rPr>
                <w:rFonts w:ascii="Arial"/>
                <w:color w:val="auto"/>
                <w:sz w:val="21"/>
              </w:rPr>
            </w:pPr>
          </w:p>
        </w:tc>
        <w:tc>
          <w:tcPr>
            <w:tcW w:w="1371" w:type="dxa"/>
            <w:vAlign w:val="top"/>
          </w:tcPr>
          <w:p w14:paraId="6F5511AA">
            <w:pPr>
              <w:pStyle w:val="47"/>
              <w:spacing w:before="167" w:line="233" w:lineRule="auto"/>
              <w:ind w:left="392"/>
              <w:rPr>
                <w:color w:val="auto"/>
              </w:rPr>
            </w:pPr>
            <w:r>
              <w:rPr>
                <w:color w:val="auto"/>
                <w:spacing w:val="-8"/>
              </w:rPr>
              <w:t>网址</w:t>
            </w:r>
          </w:p>
        </w:tc>
        <w:tc>
          <w:tcPr>
            <w:tcW w:w="1992" w:type="dxa"/>
            <w:gridSpan w:val="2"/>
            <w:vAlign w:val="top"/>
          </w:tcPr>
          <w:p w14:paraId="0617EDE8">
            <w:pPr>
              <w:rPr>
                <w:rFonts w:ascii="Arial"/>
                <w:color w:val="auto"/>
                <w:sz w:val="21"/>
              </w:rPr>
            </w:pPr>
          </w:p>
        </w:tc>
      </w:tr>
      <w:tr w14:paraId="3F653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19" w:type="dxa"/>
            <w:vAlign w:val="top"/>
          </w:tcPr>
          <w:p w14:paraId="694FFEE5">
            <w:pPr>
              <w:pStyle w:val="47"/>
              <w:spacing w:before="153" w:line="228" w:lineRule="auto"/>
              <w:ind w:left="748"/>
              <w:rPr>
                <w:color w:val="auto"/>
              </w:rPr>
            </w:pPr>
            <w:r>
              <w:rPr>
                <w:color w:val="auto"/>
                <w:spacing w:val="6"/>
              </w:rPr>
              <w:t>企业规模</w:t>
            </w:r>
          </w:p>
        </w:tc>
        <w:tc>
          <w:tcPr>
            <w:tcW w:w="6959" w:type="dxa"/>
            <w:gridSpan w:val="8"/>
            <w:vAlign w:val="top"/>
          </w:tcPr>
          <w:p w14:paraId="1BCCA360">
            <w:pPr>
              <w:pStyle w:val="47"/>
              <w:spacing w:before="153" w:line="228" w:lineRule="auto"/>
              <w:ind w:left="2803"/>
              <w:rPr>
                <w:color w:val="auto"/>
              </w:rPr>
            </w:pPr>
            <w:r>
              <w:rPr>
                <w:color w:val="auto"/>
                <w:spacing w:val="6"/>
              </w:rPr>
              <w:t>大/中/小/微型</w:t>
            </w:r>
          </w:p>
        </w:tc>
      </w:tr>
      <w:tr w14:paraId="50306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2319" w:type="dxa"/>
            <w:vAlign w:val="top"/>
          </w:tcPr>
          <w:p w14:paraId="7EE10FE8">
            <w:pPr>
              <w:spacing w:line="360" w:lineRule="auto"/>
              <w:rPr>
                <w:rFonts w:ascii="Arial"/>
                <w:color w:val="auto"/>
                <w:sz w:val="21"/>
              </w:rPr>
            </w:pPr>
          </w:p>
          <w:p w14:paraId="7B4B7723">
            <w:pPr>
              <w:pStyle w:val="47"/>
              <w:spacing w:before="65" w:line="228" w:lineRule="auto"/>
              <w:ind w:left="640"/>
              <w:rPr>
                <w:color w:val="auto"/>
              </w:rPr>
            </w:pPr>
            <w:r>
              <w:rPr>
                <w:color w:val="auto"/>
                <w:spacing w:val="7"/>
              </w:rPr>
              <w:t>法定代表人</w:t>
            </w:r>
          </w:p>
        </w:tc>
        <w:tc>
          <w:tcPr>
            <w:tcW w:w="993" w:type="dxa"/>
            <w:vAlign w:val="top"/>
          </w:tcPr>
          <w:p w14:paraId="4E4323D2">
            <w:pPr>
              <w:spacing w:line="360" w:lineRule="auto"/>
              <w:rPr>
                <w:rFonts w:ascii="Arial"/>
                <w:color w:val="auto"/>
                <w:sz w:val="21"/>
              </w:rPr>
            </w:pPr>
          </w:p>
          <w:p w14:paraId="694B8332">
            <w:pPr>
              <w:pStyle w:val="47"/>
              <w:spacing w:before="65" w:line="228" w:lineRule="auto"/>
              <w:ind w:left="185"/>
              <w:rPr>
                <w:color w:val="auto"/>
              </w:rPr>
            </w:pPr>
            <w:r>
              <w:rPr>
                <w:color w:val="auto"/>
              </w:rPr>
              <w:t>姓名</w:t>
            </w:r>
          </w:p>
        </w:tc>
        <w:tc>
          <w:tcPr>
            <w:tcW w:w="993" w:type="dxa"/>
            <w:vAlign w:val="top"/>
          </w:tcPr>
          <w:p w14:paraId="15A72F7F">
            <w:pPr>
              <w:rPr>
                <w:rFonts w:ascii="Arial"/>
                <w:color w:val="auto"/>
                <w:sz w:val="21"/>
              </w:rPr>
            </w:pPr>
          </w:p>
        </w:tc>
        <w:tc>
          <w:tcPr>
            <w:tcW w:w="1352" w:type="dxa"/>
            <w:gridSpan w:val="2"/>
            <w:vAlign w:val="top"/>
          </w:tcPr>
          <w:p w14:paraId="10C8B36B">
            <w:pPr>
              <w:spacing w:line="360" w:lineRule="auto"/>
              <w:rPr>
                <w:rFonts w:ascii="Arial"/>
                <w:color w:val="auto"/>
                <w:sz w:val="21"/>
              </w:rPr>
            </w:pPr>
          </w:p>
          <w:p w14:paraId="5F71DF56">
            <w:pPr>
              <w:pStyle w:val="47"/>
              <w:spacing w:before="65" w:line="228" w:lineRule="auto"/>
              <w:ind w:left="261"/>
              <w:rPr>
                <w:color w:val="auto"/>
              </w:rPr>
            </w:pPr>
            <w:r>
              <w:rPr>
                <w:color w:val="auto"/>
                <w:spacing w:val="7"/>
              </w:rPr>
              <w:t>技术职称</w:t>
            </w:r>
          </w:p>
        </w:tc>
        <w:tc>
          <w:tcPr>
            <w:tcW w:w="1629" w:type="dxa"/>
            <w:gridSpan w:val="2"/>
            <w:vAlign w:val="top"/>
          </w:tcPr>
          <w:p w14:paraId="157F3F3D">
            <w:pPr>
              <w:rPr>
                <w:rFonts w:ascii="Arial"/>
                <w:color w:val="auto"/>
                <w:sz w:val="21"/>
              </w:rPr>
            </w:pPr>
          </w:p>
        </w:tc>
        <w:tc>
          <w:tcPr>
            <w:tcW w:w="993" w:type="dxa"/>
            <w:vAlign w:val="top"/>
          </w:tcPr>
          <w:p w14:paraId="7D2BC048">
            <w:pPr>
              <w:spacing w:line="360" w:lineRule="auto"/>
              <w:rPr>
                <w:rFonts w:ascii="Arial"/>
                <w:color w:val="auto"/>
                <w:sz w:val="21"/>
              </w:rPr>
            </w:pPr>
          </w:p>
          <w:p w14:paraId="2E9D44CE">
            <w:pPr>
              <w:pStyle w:val="47"/>
              <w:spacing w:before="65" w:line="230" w:lineRule="auto"/>
              <w:ind w:left="318"/>
              <w:rPr>
                <w:color w:val="auto"/>
              </w:rPr>
            </w:pPr>
            <w:r>
              <w:rPr>
                <w:color w:val="auto"/>
                <w:spacing w:val="-8"/>
              </w:rPr>
              <w:t>电话</w:t>
            </w:r>
          </w:p>
        </w:tc>
        <w:tc>
          <w:tcPr>
            <w:tcW w:w="999" w:type="dxa"/>
            <w:vAlign w:val="top"/>
          </w:tcPr>
          <w:p w14:paraId="3FFB6D60">
            <w:pPr>
              <w:rPr>
                <w:rFonts w:ascii="Arial"/>
                <w:color w:val="auto"/>
                <w:sz w:val="21"/>
              </w:rPr>
            </w:pPr>
          </w:p>
        </w:tc>
      </w:tr>
      <w:tr w14:paraId="6FF7F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2319" w:type="dxa"/>
            <w:vAlign w:val="top"/>
          </w:tcPr>
          <w:p w14:paraId="13F307E1">
            <w:pPr>
              <w:spacing w:line="372" w:lineRule="auto"/>
              <w:rPr>
                <w:rFonts w:ascii="Arial"/>
                <w:color w:val="auto"/>
                <w:sz w:val="21"/>
              </w:rPr>
            </w:pPr>
          </w:p>
          <w:p w14:paraId="136793E1">
            <w:pPr>
              <w:pStyle w:val="47"/>
              <w:spacing w:before="65" w:line="228" w:lineRule="auto"/>
              <w:ind w:left="640"/>
              <w:rPr>
                <w:color w:val="auto"/>
              </w:rPr>
            </w:pPr>
            <w:r>
              <w:rPr>
                <w:color w:val="auto"/>
                <w:spacing w:val="7"/>
              </w:rPr>
              <w:t>技术负责人</w:t>
            </w:r>
          </w:p>
        </w:tc>
        <w:tc>
          <w:tcPr>
            <w:tcW w:w="993" w:type="dxa"/>
            <w:vAlign w:val="top"/>
          </w:tcPr>
          <w:p w14:paraId="15EB9B06">
            <w:pPr>
              <w:spacing w:line="372" w:lineRule="auto"/>
              <w:rPr>
                <w:rFonts w:ascii="Arial"/>
                <w:color w:val="auto"/>
                <w:sz w:val="21"/>
              </w:rPr>
            </w:pPr>
          </w:p>
          <w:p w14:paraId="0A1B346A">
            <w:pPr>
              <w:pStyle w:val="47"/>
              <w:spacing w:before="65" w:line="228" w:lineRule="auto"/>
              <w:ind w:left="185"/>
              <w:rPr>
                <w:color w:val="auto"/>
              </w:rPr>
            </w:pPr>
            <w:r>
              <w:rPr>
                <w:color w:val="auto"/>
              </w:rPr>
              <w:t>姓名</w:t>
            </w:r>
          </w:p>
        </w:tc>
        <w:tc>
          <w:tcPr>
            <w:tcW w:w="993" w:type="dxa"/>
            <w:vAlign w:val="top"/>
          </w:tcPr>
          <w:p w14:paraId="38FD547C">
            <w:pPr>
              <w:rPr>
                <w:rFonts w:ascii="Arial"/>
                <w:color w:val="auto"/>
                <w:sz w:val="21"/>
              </w:rPr>
            </w:pPr>
          </w:p>
        </w:tc>
        <w:tc>
          <w:tcPr>
            <w:tcW w:w="1352" w:type="dxa"/>
            <w:gridSpan w:val="2"/>
            <w:vAlign w:val="top"/>
          </w:tcPr>
          <w:p w14:paraId="6F4471A5">
            <w:pPr>
              <w:spacing w:line="372" w:lineRule="auto"/>
              <w:rPr>
                <w:rFonts w:ascii="Arial"/>
                <w:color w:val="auto"/>
                <w:sz w:val="21"/>
              </w:rPr>
            </w:pPr>
          </w:p>
          <w:p w14:paraId="2305457F">
            <w:pPr>
              <w:pStyle w:val="47"/>
              <w:spacing w:before="65" w:line="228" w:lineRule="auto"/>
              <w:ind w:left="261"/>
              <w:rPr>
                <w:color w:val="auto"/>
              </w:rPr>
            </w:pPr>
            <w:r>
              <w:rPr>
                <w:color w:val="auto"/>
                <w:spacing w:val="7"/>
              </w:rPr>
              <w:t>技术职称</w:t>
            </w:r>
          </w:p>
        </w:tc>
        <w:tc>
          <w:tcPr>
            <w:tcW w:w="1629" w:type="dxa"/>
            <w:gridSpan w:val="2"/>
            <w:vAlign w:val="top"/>
          </w:tcPr>
          <w:p w14:paraId="74E7F7E0">
            <w:pPr>
              <w:rPr>
                <w:rFonts w:ascii="Arial"/>
                <w:color w:val="auto"/>
                <w:sz w:val="21"/>
              </w:rPr>
            </w:pPr>
          </w:p>
        </w:tc>
        <w:tc>
          <w:tcPr>
            <w:tcW w:w="993" w:type="dxa"/>
            <w:vAlign w:val="top"/>
          </w:tcPr>
          <w:p w14:paraId="4BF5C9CD">
            <w:pPr>
              <w:spacing w:line="372" w:lineRule="auto"/>
              <w:rPr>
                <w:rFonts w:ascii="Arial"/>
                <w:color w:val="auto"/>
                <w:sz w:val="21"/>
              </w:rPr>
            </w:pPr>
          </w:p>
          <w:p w14:paraId="09962D1C">
            <w:pPr>
              <w:pStyle w:val="47"/>
              <w:spacing w:before="65" w:line="230" w:lineRule="auto"/>
              <w:ind w:left="318"/>
              <w:rPr>
                <w:color w:val="auto"/>
              </w:rPr>
            </w:pPr>
            <w:r>
              <w:rPr>
                <w:color w:val="auto"/>
                <w:spacing w:val="-8"/>
              </w:rPr>
              <w:t>电话</w:t>
            </w:r>
          </w:p>
        </w:tc>
        <w:tc>
          <w:tcPr>
            <w:tcW w:w="999" w:type="dxa"/>
            <w:vAlign w:val="top"/>
          </w:tcPr>
          <w:p w14:paraId="01D27543">
            <w:pPr>
              <w:rPr>
                <w:rFonts w:ascii="Arial"/>
                <w:color w:val="auto"/>
                <w:sz w:val="21"/>
              </w:rPr>
            </w:pPr>
          </w:p>
        </w:tc>
      </w:tr>
      <w:tr w14:paraId="1BCF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19" w:type="dxa"/>
            <w:vAlign w:val="top"/>
          </w:tcPr>
          <w:p w14:paraId="1AFF3465">
            <w:pPr>
              <w:pStyle w:val="47"/>
              <w:spacing w:before="156" w:line="229" w:lineRule="auto"/>
              <w:ind w:left="746"/>
              <w:rPr>
                <w:color w:val="auto"/>
              </w:rPr>
            </w:pPr>
            <w:r>
              <w:rPr>
                <w:color w:val="auto"/>
                <w:spacing w:val="6"/>
              </w:rPr>
              <w:t>成立时间</w:t>
            </w:r>
          </w:p>
        </w:tc>
        <w:tc>
          <w:tcPr>
            <w:tcW w:w="1986" w:type="dxa"/>
            <w:gridSpan w:val="2"/>
            <w:vAlign w:val="top"/>
          </w:tcPr>
          <w:p w14:paraId="043E89CA">
            <w:pPr>
              <w:rPr>
                <w:rFonts w:ascii="Arial"/>
                <w:color w:val="auto"/>
                <w:sz w:val="21"/>
              </w:rPr>
            </w:pPr>
          </w:p>
        </w:tc>
        <w:tc>
          <w:tcPr>
            <w:tcW w:w="4973" w:type="dxa"/>
            <w:gridSpan w:val="6"/>
            <w:vAlign w:val="top"/>
          </w:tcPr>
          <w:p w14:paraId="46B9E765">
            <w:pPr>
              <w:pStyle w:val="47"/>
              <w:spacing w:before="155" w:line="228" w:lineRule="auto"/>
              <w:ind w:left="1869"/>
              <w:rPr>
                <w:color w:val="auto"/>
              </w:rPr>
            </w:pPr>
            <w:r>
              <w:rPr>
                <w:color w:val="auto"/>
                <w:spacing w:val="5"/>
              </w:rPr>
              <w:t>员工总人数：</w:t>
            </w:r>
          </w:p>
        </w:tc>
      </w:tr>
      <w:tr w14:paraId="3EF38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319" w:type="dxa"/>
            <w:vAlign w:val="top"/>
          </w:tcPr>
          <w:p w14:paraId="71726A35">
            <w:pPr>
              <w:pStyle w:val="47"/>
              <w:spacing w:before="170" w:line="228" w:lineRule="auto"/>
              <w:ind w:left="537"/>
              <w:rPr>
                <w:color w:val="auto"/>
              </w:rPr>
            </w:pPr>
            <w:r>
              <w:rPr>
                <w:color w:val="auto"/>
                <w:spacing w:val="7"/>
              </w:rPr>
              <w:t>企业资质等级</w:t>
            </w:r>
          </w:p>
        </w:tc>
        <w:tc>
          <w:tcPr>
            <w:tcW w:w="1986" w:type="dxa"/>
            <w:gridSpan w:val="2"/>
            <w:vAlign w:val="top"/>
          </w:tcPr>
          <w:p w14:paraId="1AC4E80D">
            <w:pPr>
              <w:rPr>
                <w:rFonts w:ascii="Arial"/>
                <w:color w:val="auto"/>
                <w:sz w:val="21"/>
              </w:rPr>
            </w:pPr>
          </w:p>
        </w:tc>
        <w:tc>
          <w:tcPr>
            <w:tcW w:w="812" w:type="dxa"/>
            <w:vMerge w:val="restart"/>
            <w:tcBorders>
              <w:bottom w:val="nil"/>
            </w:tcBorders>
            <w:vAlign w:val="top"/>
          </w:tcPr>
          <w:p w14:paraId="30DAB918">
            <w:pPr>
              <w:spacing w:line="291" w:lineRule="auto"/>
              <w:rPr>
                <w:rFonts w:ascii="Arial"/>
                <w:color w:val="auto"/>
                <w:sz w:val="21"/>
              </w:rPr>
            </w:pPr>
          </w:p>
          <w:p w14:paraId="725ECC07">
            <w:pPr>
              <w:spacing w:line="291" w:lineRule="auto"/>
              <w:rPr>
                <w:rFonts w:ascii="Arial"/>
                <w:color w:val="auto"/>
                <w:sz w:val="21"/>
              </w:rPr>
            </w:pPr>
          </w:p>
          <w:p w14:paraId="33ECCAD9">
            <w:pPr>
              <w:spacing w:line="292" w:lineRule="auto"/>
              <w:rPr>
                <w:rFonts w:ascii="Arial"/>
                <w:color w:val="auto"/>
                <w:sz w:val="21"/>
              </w:rPr>
            </w:pPr>
          </w:p>
          <w:p w14:paraId="348FED1B">
            <w:pPr>
              <w:spacing w:line="292" w:lineRule="auto"/>
              <w:rPr>
                <w:rFonts w:ascii="Arial"/>
                <w:color w:val="auto"/>
                <w:sz w:val="21"/>
              </w:rPr>
            </w:pPr>
          </w:p>
          <w:p w14:paraId="3252230A">
            <w:pPr>
              <w:pStyle w:val="47"/>
              <w:spacing w:before="65" w:line="228" w:lineRule="auto"/>
              <w:ind w:left="201"/>
              <w:rPr>
                <w:color w:val="auto"/>
              </w:rPr>
            </w:pPr>
            <w:r>
              <w:rPr>
                <w:color w:val="auto"/>
                <w:spacing w:val="4"/>
              </w:rPr>
              <w:t>其中</w:t>
            </w:r>
          </w:p>
        </w:tc>
        <w:tc>
          <w:tcPr>
            <w:tcW w:w="2169" w:type="dxa"/>
            <w:gridSpan w:val="3"/>
            <w:vAlign w:val="top"/>
          </w:tcPr>
          <w:p w14:paraId="02959D0C">
            <w:pPr>
              <w:pStyle w:val="47"/>
              <w:spacing w:before="170" w:line="228" w:lineRule="auto"/>
              <w:ind w:left="467"/>
              <w:rPr>
                <w:color w:val="auto"/>
              </w:rPr>
            </w:pPr>
            <w:r>
              <w:rPr>
                <w:color w:val="auto"/>
                <w:spacing w:val="7"/>
              </w:rPr>
              <w:t>高级职称人员</w:t>
            </w:r>
          </w:p>
        </w:tc>
        <w:tc>
          <w:tcPr>
            <w:tcW w:w="1992" w:type="dxa"/>
            <w:gridSpan w:val="2"/>
            <w:vAlign w:val="top"/>
          </w:tcPr>
          <w:p w14:paraId="3C6443D6">
            <w:pPr>
              <w:rPr>
                <w:rFonts w:ascii="Arial"/>
                <w:color w:val="auto"/>
                <w:sz w:val="21"/>
              </w:rPr>
            </w:pPr>
          </w:p>
        </w:tc>
      </w:tr>
      <w:tr w14:paraId="3186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19" w:type="dxa"/>
            <w:vAlign w:val="top"/>
          </w:tcPr>
          <w:p w14:paraId="374C89B1">
            <w:pPr>
              <w:pStyle w:val="47"/>
              <w:spacing w:before="156" w:line="228" w:lineRule="auto"/>
              <w:ind w:left="645"/>
              <w:rPr>
                <w:color w:val="auto"/>
              </w:rPr>
            </w:pPr>
            <w:r>
              <w:rPr>
                <w:color w:val="auto"/>
                <w:spacing w:val="6"/>
              </w:rPr>
              <w:t>营业执照号</w:t>
            </w:r>
          </w:p>
        </w:tc>
        <w:tc>
          <w:tcPr>
            <w:tcW w:w="1986" w:type="dxa"/>
            <w:gridSpan w:val="2"/>
            <w:vAlign w:val="top"/>
          </w:tcPr>
          <w:p w14:paraId="04867157">
            <w:pPr>
              <w:rPr>
                <w:rFonts w:ascii="Arial"/>
                <w:color w:val="auto"/>
                <w:sz w:val="21"/>
              </w:rPr>
            </w:pPr>
          </w:p>
        </w:tc>
        <w:tc>
          <w:tcPr>
            <w:tcW w:w="812" w:type="dxa"/>
            <w:vMerge w:val="continue"/>
            <w:tcBorders>
              <w:top w:val="nil"/>
              <w:bottom w:val="nil"/>
            </w:tcBorders>
            <w:vAlign w:val="top"/>
          </w:tcPr>
          <w:p w14:paraId="74914D24">
            <w:pPr>
              <w:rPr>
                <w:rFonts w:ascii="Arial"/>
                <w:color w:val="auto"/>
                <w:sz w:val="21"/>
              </w:rPr>
            </w:pPr>
          </w:p>
        </w:tc>
        <w:tc>
          <w:tcPr>
            <w:tcW w:w="2169" w:type="dxa"/>
            <w:gridSpan w:val="3"/>
            <w:vAlign w:val="top"/>
          </w:tcPr>
          <w:p w14:paraId="3AA5AFEE">
            <w:pPr>
              <w:pStyle w:val="47"/>
              <w:spacing w:before="156" w:line="228" w:lineRule="auto"/>
              <w:ind w:left="481"/>
              <w:rPr>
                <w:color w:val="auto"/>
              </w:rPr>
            </w:pPr>
            <w:r>
              <w:rPr>
                <w:color w:val="auto"/>
                <w:spacing w:val="4"/>
              </w:rPr>
              <w:t>中级职称人员</w:t>
            </w:r>
          </w:p>
        </w:tc>
        <w:tc>
          <w:tcPr>
            <w:tcW w:w="1992" w:type="dxa"/>
            <w:gridSpan w:val="2"/>
            <w:vAlign w:val="top"/>
          </w:tcPr>
          <w:p w14:paraId="6B13C49A">
            <w:pPr>
              <w:rPr>
                <w:rFonts w:ascii="Arial"/>
                <w:color w:val="auto"/>
                <w:sz w:val="21"/>
              </w:rPr>
            </w:pPr>
          </w:p>
        </w:tc>
      </w:tr>
      <w:tr w14:paraId="35390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2319" w:type="dxa"/>
            <w:vAlign w:val="top"/>
          </w:tcPr>
          <w:p w14:paraId="21A3519A">
            <w:pPr>
              <w:pStyle w:val="47"/>
              <w:spacing w:before="168" w:line="229" w:lineRule="auto"/>
              <w:ind w:left="744"/>
              <w:rPr>
                <w:color w:val="auto"/>
              </w:rPr>
            </w:pPr>
            <w:r>
              <w:rPr>
                <w:color w:val="auto"/>
                <w:spacing w:val="7"/>
              </w:rPr>
              <w:t>注册资金</w:t>
            </w:r>
          </w:p>
        </w:tc>
        <w:tc>
          <w:tcPr>
            <w:tcW w:w="1986" w:type="dxa"/>
            <w:gridSpan w:val="2"/>
            <w:vAlign w:val="top"/>
          </w:tcPr>
          <w:p w14:paraId="4338690F">
            <w:pPr>
              <w:rPr>
                <w:rFonts w:ascii="Arial"/>
                <w:color w:val="auto"/>
                <w:sz w:val="21"/>
              </w:rPr>
            </w:pPr>
          </w:p>
        </w:tc>
        <w:tc>
          <w:tcPr>
            <w:tcW w:w="812" w:type="dxa"/>
            <w:vMerge w:val="continue"/>
            <w:tcBorders>
              <w:top w:val="nil"/>
              <w:bottom w:val="nil"/>
            </w:tcBorders>
            <w:vAlign w:val="top"/>
          </w:tcPr>
          <w:p w14:paraId="248FC52A">
            <w:pPr>
              <w:rPr>
                <w:rFonts w:ascii="Arial"/>
                <w:color w:val="auto"/>
                <w:sz w:val="21"/>
              </w:rPr>
            </w:pPr>
          </w:p>
        </w:tc>
        <w:tc>
          <w:tcPr>
            <w:tcW w:w="2169" w:type="dxa"/>
            <w:gridSpan w:val="3"/>
            <w:vAlign w:val="top"/>
          </w:tcPr>
          <w:p w14:paraId="1B07E463">
            <w:pPr>
              <w:pStyle w:val="47"/>
              <w:spacing w:before="168" w:line="229" w:lineRule="auto"/>
              <w:ind w:left="460"/>
              <w:rPr>
                <w:color w:val="auto"/>
              </w:rPr>
            </w:pPr>
            <w:r>
              <w:rPr>
                <w:color w:val="auto"/>
                <w:spacing w:val="8"/>
              </w:rPr>
              <w:t>初级职称人员</w:t>
            </w:r>
          </w:p>
        </w:tc>
        <w:tc>
          <w:tcPr>
            <w:tcW w:w="1992" w:type="dxa"/>
            <w:gridSpan w:val="2"/>
            <w:vAlign w:val="top"/>
          </w:tcPr>
          <w:p w14:paraId="2DD06340">
            <w:pPr>
              <w:rPr>
                <w:rFonts w:ascii="Arial"/>
                <w:color w:val="auto"/>
                <w:sz w:val="21"/>
              </w:rPr>
            </w:pPr>
          </w:p>
        </w:tc>
      </w:tr>
      <w:tr w14:paraId="587DE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19" w:type="dxa"/>
            <w:vAlign w:val="top"/>
          </w:tcPr>
          <w:p w14:paraId="11202250">
            <w:pPr>
              <w:pStyle w:val="47"/>
              <w:spacing w:before="157" w:line="228" w:lineRule="auto"/>
              <w:ind w:left="745"/>
              <w:rPr>
                <w:color w:val="auto"/>
              </w:rPr>
            </w:pPr>
            <w:r>
              <w:rPr>
                <w:color w:val="auto"/>
                <w:spacing w:val="7"/>
              </w:rPr>
              <w:t>开户银行</w:t>
            </w:r>
          </w:p>
        </w:tc>
        <w:tc>
          <w:tcPr>
            <w:tcW w:w="1986" w:type="dxa"/>
            <w:gridSpan w:val="2"/>
            <w:vAlign w:val="top"/>
          </w:tcPr>
          <w:p w14:paraId="781FFA17">
            <w:pPr>
              <w:rPr>
                <w:rFonts w:ascii="Arial"/>
                <w:color w:val="auto"/>
                <w:sz w:val="21"/>
              </w:rPr>
            </w:pPr>
          </w:p>
        </w:tc>
        <w:tc>
          <w:tcPr>
            <w:tcW w:w="812" w:type="dxa"/>
            <w:vMerge w:val="continue"/>
            <w:tcBorders>
              <w:top w:val="nil"/>
              <w:bottom w:val="nil"/>
            </w:tcBorders>
            <w:vAlign w:val="top"/>
          </w:tcPr>
          <w:p w14:paraId="41911548">
            <w:pPr>
              <w:rPr>
                <w:rFonts w:ascii="Arial"/>
                <w:color w:val="auto"/>
                <w:sz w:val="21"/>
              </w:rPr>
            </w:pPr>
          </w:p>
        </w:tc>
        <w:tc>
          <w:tcPr>
            <w:tcW w:w="2169" w:type="dxa"/>
            <w:gridSpan w:val="3"/>
            <w:vAlign w:val="top"/>
          </w:tcPr>
          <w:p w14:paraId="64FC981A">
            <w:pPr>
              <w:pStyle w:val="47"/>
              <w:spacing w:before="156" w:line="229" w:lineRule="auto"/>
              <w:ind w:left="671"/>
              <w:rPr>
                <w:color w:val="auto"/>
              </w:rPr>
            </w:pPr>
            <w:r>
              <w:rPr>
                <w:color w:val="auto"/>
              </w:rPr>
              <w:t>技工</w:t>
            </w:r>
          </w:p>
        </w:tc>
        <w:tc>
          <w:tcPr>
            <w:tcW w:w="1992" w:type="dxa"/>
            <w:gridSpan w:val="2"/>
            <w:vAlign w:val="top"/>
          </w:tcPr>
          <w:p w14:paraId="4B26BCDC">
            <w:pPr>
              <w:rPr>
                <w:rFonts w:ascii="Arial"/>
                <w:color w:val="auto"/>
                <w:sz w:val="21"/>
              </w:rPr>
            </w:pPr>
          </w:p>
        </w:tc>
      </w:tr>
      <w:tr w14:paraId="25FB5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2319" w:type="dxa"/>
            <w:vAlign w:val="top"/>
          </w:tcPr>
          <w:p w14:paraId="79A7315A">
            <w:pPr>
              <w:pStyle w:val="47"/>
              <w:spacing w:before="156" w:line="229" w:lineRule="auto"/>
              <w:ind w:left="748"/>
              <w:rPr>
                <w:color w:val="auto"/>
              </w:rPr>
            </w:pPr>
            <w:r>
              <w:rPr>
                <w:color w:val="auto"/>
                <w:spacing w:val="-2"/>
              </w:rPr>
              <w:t>账号</w:t>
            </w:r>
          </w:p>
        </w:tc>
        <w:tc>
          <w:tcPr>
            <w:tcW w:w="1986" w:type="dxa"/>
            <w:gridSpan w:val="2"/>
            <w:vAlign w:val="top"/>
          </w:tcPr>
          <w:p w14:paraId="160834A2">
            <w:pPr>
              <w:rPr>
                <w:rFonts w:ascii="Arial"/>
                <w:color w:val="auto"/>
                <w:sz w:val="21"/>
              </w:rPr>
            </w:pPr>
          </w:p>
        </w:tc>
        <w:tc>
          <w:tcPr>
            <w:tcW w:w="812" w:type="dxa"/>
            <w:vMerge w:val="continue"/>
            <w:tcBorders>
              <w:top w:val="nil"/>
            </w:tcBorders>
            <w:vAlign w:val="top"/>
          </w:tcPr>
          <w:p w14:paraId="3842ED0E">
            <w:pPr>
              <w:rPr>
                <w:rFonts w:ascii="Arial"/>
                <w:color w:val="auto"/>
                <w:sz w:val="21"/>
              </w:rPr>
            </w:pPr>
          </w:p>
        </w:tc>
        <w:tc>
          <w:tcPr>
            <w:tcW w:w="2169" w:type="dxa"/>
            <w:gridSpan w:val="3"/>
            <w:vAlign w:val="top"/>
          </w:tcPr>
          <w:p w14:paraId="55ADDFE3">
            <w:pPr>
              <w:rPr>
                <w:rFonts w:ascii="Arial"/>
                <w:color w:val="auto"/>
                <w:sz w:val="21"/>
              </w:rPr>
            </w:pPr>
          </w:p>
        </w:tc>
        <w:tc>
          <w:tcPr>
            <w:tcW w:w="1992" w:type="dxa"/>
            <w:gridSpan w:val="2"/>
            <w:vAlign w:val="top"/>
          </w:tcPr>
          <w:p w14:paraId="1FE61B65">
            <w:pPr>
              <w:rPr>
                <w:rFonts w:ascii="Arial"/>
                <w:color w:val="auto"/>
                <w:sz w:val="21"/>
              </w:rPr>
            </w:pPr>
          </w:p>
        </w:tc>
      </w:tr>
      <w:tr w14:paraId="24FF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319" w:type="dxa"/>
            <w:vAlign w:val="top"/>
          </w:tcPr>
          <w:p w14:paraId="49F48140">
            <w:pPr>
              <w:spacing w:line="382" w:lineRule="auto"/>
              <w:rPr>
                <w:rFonts w:ascii="Arial"/>
                <w:color w:val="auto"/>
                <w:sz w:val="21"/>
              </w:rPr>
            </w:pPr>
          </w:p>
          <w:p w14:paraId="5AD78F82">
            <w:pPr>
              <w:pStyle w:val="47"/>
              <w:spacing w:before="65" w:line="228" w:lineRule="auto"/>
              <w:ind w:left="746"/>
              <w:rPr>
                <w:color w:val="auto"/>
              </w:rPr>
            </w:pPr>
            <w:r>
              <w:rPr>
                <w:color w:val="auto"/>
                <w:spacing w:val="6"/>
              </w:rPr>
              <w:t>经营范围</w:t>
            </w:r>
          </w:p>
        </w:tc>
        <w:tc>
          <w:tcPr>
            <w:tcW w:w="6959" w:type="dxa"/>
            <w:gridSpan w:val="8"/>
            <w:vAlign w:val="top"/>
          </w:tcPr>
          <w:p w14:paraId="1734D1D5">
            <w:pPr>
              <w:rPr>
                <w:rFonts w:ascii="Arial"/>
                <w:color w:val="auto"/>
                <w:sz w:val="21"/>
              </w:rPr>
            </w:pPr>
          </w:p>
        </w:tc>
      </w:tr>
      <w:tr w14:paraId="23ED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2319" w:type="dxa"/>
            <w:vAlign w:val="top"/>
          </w:tcPr>
          <w:p w14:paraId="3D1E5D75">
            <w:pPr>
              <w:pStyle w:val="47"/>
              <w:spacing w:before="169" w:line="229" w:lineRule="auto"/>
              <w:ind w:left="747"/>
              <w:rPr>
                <w:color w:val="auto"/>
              </w:rPr>
            </w:pPr>
            <w:r>
              <w:rPr>
                <w:color w:val="auto"/>
                <w:spacing w:val="-1"/>
              </w:rPr>
              <w:t>备注</w:t>
            </w:r>
          </w:p>
        </w:tc>
        <w:tc>
          <w:tcPr>
            <w:tcW w:w="6959" w:type="dxa"/>
            <w:gridSpan w:val="8"/>
            <w:vAlign w:val="top"/>
          </w:tcPr>
          <w:p w14:paraId="701BD5F9">
            <w:pPr>
              <w:rPr>
                <w:rFonts w:ascii="Arial"/>
                <w:color w:val="auto"/>
                <w:sz w:val="21"/>
              </w:rPr>
            </w:pPr>
          </w:p>
        </w:tc>
      </w:tr>
    </w:tbl>
    <w:p w14:paraId="0EAA94E8">
      <w:pPr>
        <w:spacing w:before="31" w:line="232" w:lineRule="auto"/>
        <w:ind w:left="418"/>
        <w:rPr>
          <w:rFonts w:ascii="宋体" w:hAnsi="宋体" w:eastAsia="宋体" w:cs="宋体"/>
          <w:color w:val="auto"/>
          <w:sz w:val="20"/>
          <w:szCs w:val="20"/>
        </w:rPr>
      </w:pPr>
      <w:r>
        <w:rPr>
          <w:rFonts w:ascii="宋体" w:hAnsi="宋体" w:eastAsia="宋体" w:cs="宋体"/>
          <w:color w:val="auto"/>
          <w:sz w:val="20"/>
          <w:szCs w:val="20"/>
        </w:rPr>
        <w:t>注：</w:t>
      </w:r>
    </w:p>
    <w:p w14:paraId="5B85DE3E">
      <w:pPr>
        <w:spacing w:before="22" w:line="239" w:lineRule="auto"/>
        <w:ind w:right="327" w:firstLine="433"/>
        <w:rPr>
          <w:rFonts w:ascii="宋体" w:hAnsi="宋体" w:eastAsia="宋体" w:cs="宋体"/>
          <w:color w:val="auto"/>
          <w:sz w:val="20"/>
          <w:szCs w:val="20"/>
        </w:rPr>
      </w:pPr>
      <w:r>
        <w:rPr>
          <w:rFonts w:ascii="宋体" w:hAnsi="宋体" w:eastAsia="宋体" w:cs="宋体"/>
          <w:color w:val="auto"/>
          <w:spacing w:val="4"/>
          <w:sz w:val="20"/>
          <w:szCs w:val="20"/>
        </w:rPr>
        <w:t>1、附营业执照、资质证书、安全生产许可</w:t>
      </w:r>
      <w:r>
        <w:rPr>
          <w:rFonts w:ascii="宋体" w:hAnsi="宋体" w:eastAsia="宋体" w:cs="宋体"/>
          <w:color w:val="auto"/>
          <w:spacing w:val="3"/>
          <w:sz w:val="20"/>
          <w:szCs w:val="20"/>
        </w:rPr>
        <w:t>证、银行基本账户开户证明等材料加盖公章的复印件，</w:t>
      </w:r>
      <w:r>
        <w:rPr>
          <w:rFonts w:ascii="宋体" w:hAnsi="宋体" w:eastAsia="宋体" w:cs="宋体"/>
          <w:color w:val="auto"/>
          <w:spacing w:val="9"/>
          <w:sz w:val="20"/>
          <w:szCs w:val="20"/>
        </w:rPr>
        <w:t>上述内容中如某一证件正在年检或换证，需年检部门及换证部门出具有效证明方可确认。</w:t>
      </w:r>
    </w:p>
    <w:p w14:paraId="27C216F3">
      <w:pPr>
        <w:spacing w:before="24" w:line="228" w:lineRule="auto"/>
        <w:ind w:left="420"/>
        <w:rPr>
          <w:rFonts w:ascii="宋体" w:hAnsi="宋体" w:eastAsia="宋体" w:cs="宋体"/>
          <w:color w:val="auto"/>
          <w:sz w:val="20"/>
          <w:szCs w:val="20"/>
        </w:rPr>
      </w:pPr>
      <w:r>
        <w:rPr>
          <w:rFonts w:ascii="宋体" w:hAnsi="宋体" w:eastAsia="宋体" w:cs="宋体"/>
          <w:color w:val="auto"/>
          <w:spacing w:val="8"/>
          <w:sz w:val="20"/>
          <w:szCs w:val="20"/>
        </w:rPr>
        <w:t>2、所有复印件必须要清晰、字迹清楚。</w:t>
      </w:r>
    </w:p>
    <w:p w14:paraId="68880DFD">
      <w:pPr>
        <w:spacing w:line="228" w:lineRule="auto"/>
        <w:rPr>
          <w:rFonts w:ascii="宋体" w:hAnsi="宋体" w:eastAsia="宋体" w:cs="宋体"/>
          <w:color w:val="auto"/>
          <w:sz w:val="20"/>
          <w:szCs w:val="20"/>
        </w:rPr>
        <w:sectPr>
          <w:footerReference r:id="rId23" w:type="default"/>
          <w:pgSz w:w="11906" w:h="16839"/>
          <w:pgMar w:top="1431" w:right="784" w:bottom="1016" w:left="1711" w:header="0" w:footer="852" w:gutter="0"/>
          <w:pgNumType w:fmt="decimal"/>
          <w:cols w:space="720" w:num="1"/>
        </w:sectPr>
      </w:pPr>
    </w:p>
    <w:p w14:paraId="172DF766">
      <w:pPr>
        <w:spacing w:before="301" w:line="220" w:lineRule="auto"/>
        <w:ind w:left="3047"/>
        <w:outlineLvl w:val="2"/>
        <w:rPr>
          <w:rFonts w:ascii="宋体" w:hAnsi="宋体" w:eastAsia="宋体" w:cs="宋体"/>
          <w:color w:val="auto"/>
          <w:sz w:val="28"/>
          <w:szCs w:val="28"/>
        </w:rPr>
      </w:pPr>
      <w:r>
        <w:rPr>
          <w:rFonts w:ascii="宋体" w:hAnsi="宋体" w:eastAsia="宋体" w:cs="宋体"/>
          <w:b/>
          <w:bCs/>
          <w:color w:val="auto"/>
          <w:spacing w:val="-4"/>
          <w:sz w:val="28"/>
          <w:szCs w:val="28"/>
        </w:rPr>
        <w:t>（二）近年财务状况表</w:t>
      </w:r>
    </w:p>
    <w:p w14:paraId="62708773">
      <w:pPr>
        <w:pStyle w:val="9"/>
        <w:spacing w:line="268" w:lineRule="auto"/>
        <w:rPr>
          <w:color w:val="auto"/>
        </w:rPr>
      </w:pPr>
    </w:p>
    <w:p w14:paraId="729CB7E0">
      <w:pPr>
        <w:pStyle w:val="9"/>
        <w:spacing w:line="268" w:lineRule="auto"/>
        <w:rPr>
          <w:color w:val="auto"/>
        </w:rPr>
      </w:pPr>
    </w:p>
    <w:p w14:paraId="7C91764F">
      <w:pPr>
        <w:spacing w:before="65" w:line="226" w:lineRule="auto"/>
        <w:ind w:left="765"/>
        <w:rPr>
          <w:rFonts w:ascii="宋体" w:hAnsi="宋体" w:eastAsia="宋体" w:cs="宋体"/>
          <w:color w:val="auto"/>
          <w:sz w:val="20"/>
          <w:szCs w:val="20"/>
        </w:rPr>
      </w:pPr>
      <w:r>
        <w:rPr>
          <w:rFonts w:ascii="宋体" w:hAnsi="宋体" w:eastAsia="宋体" w:cs="宋体"/>
          <w:color w:val="auto"/>
          <w:spacing w:val="9"/>
          <w:sz w:val="20"/>
          <w:szCs w:val="20"/>
        </w:rPr>
        <w:t>按文件要求附相应财务审计报告</w:t>
      </w:r>
    </w:p>
    <w:p w14:paraId="4B12C24B">
      <w:pPr>
        <w:pStyle w:val="9"/>
        <w:spacing w:line="466" w:lineRule="auto"/>
        <w:rPr>
          <w:color w:val="auto"/>
        </w:rPr>
      </w:pPr>
    </w:p>
    <w:p w14:paraId="54114CDE">
      <w:pPr>
        <w:rPr>
          <w:rFonts w:ascii="宋体" w:hAnsi="宋体" w:eastAsia="宋体" w:cs="宋体"/>
          <w:b/>
          <w:bCs/>
          <w:color w:val="auto"/>
          <w:spacing w:val="-4"/>
          <w:sz w:val="28"/>
          <w:szCs w:val="28"/>
        </w:rPr>
      </w:pPr>
      <w:r>
        <w:rPr>
          <w:rFonts w:ascii="宋体" w:hAnsi="宋体" w:eastAsia="宋体" w:cs="宋体"/>
          <w:b/>
          <w:bCs/>
          <w:color w:val="auto"/>
          <w:spacing w:val="-4"/>
          <w:sz w:val="28"/>
          <w:szCs w:val="28"/>
        </w:rPr>
        <w:br w:type="page"/>
      </w:r>
    </w:p>
    <w:p w14:paraId="0F501E19">
      <w:pPr>
        <w:spacing w:before="91" w:line="220" w:lineRule="auto"/>
        <w:ind w:left="2420"/>
        <w:outlineLvl w:val="2"/>
        <w:rPr>
          <w:rFonts w:ascii="宋体" w:hAnsi="宋体" w:eastAsia="宋体" w:cs="宋体"/>
          <w:color w:val="auto"/>
          <w:sz w:val="28"/>
          <w:szCs w:val="28"/>
        </w:rPr>
      </w:pPr>
      <w:r>
        <w:rPr>
          <w:rFonts w:ascii="宋体" w:hAnsi="宋体" w:eastAsia="宋体" w:cs="宋体"/>
          <w:b/>
          <w:bCs/>
          <w:color w:val="auto"/>
          <w:spacing w:val="-4"/>
          <w:sz w:val="28"/>
          <w:szCs w:val="28"/>
        </w:rPr>
        <w:t>（三）近年完成的类似项目情况表</w:t>
      </w:r>
    </w:p>
    <w:p w14:paraId="2CB3240D">
      <w:pPr>
        <w:spacing w:before="280" w:line="222" w:lineRule="auto"/>
        <w:ind w:left="7355"/>
        <w:rPr>
          <w:rFonts w:ascii="宋体" w:hAnsi="宋体" w:eastAsia="宋体" w:cs="宋体"/>
          <w:color w:val="auto"/>
          <w:sz w:val="20"/>
          <w:szCs w:val="20"/>
        </w:rPr>
      </w:pPr>
      <w:r>
        <w:rPr>
          <w:rFonts w:ascii="宋体" w:hAnsi="宋体" w:eastAsia="宋体" w:cs="宋体"/>
          <w:color w:val="auto"/>
          <w:spacing w:val="-1"/>
          <w:sz w:val="20"/>
          <w:szCs w:val="20"/>
        </w:rPr>
        <w:t>第个，共个</w:t>
      </w:r>
    </w:p>
    <w:tbl>
      <w:tblPr>
        <w:tblStyle w:val="46"/>
        <w:tblW w:w="8860"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2"/>
        <w:gridCol w:w="6848"/>
      </w:tblGrid>
      <w:tr w14:paraId="23C8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012" w:type="dxa"/>
            <w:vAlign w:val="top"/>
          </w:tcPr>
          <w:p w14:paraId="033B3B36">
            <w:pPr>
              <w:pStyle w:val="47"/>
              <w:spacing w:before="292" w:line="228" w:lineRule="auto"/>
              <w:ind w:left="594"/>
              <w:rPr>
                <w:color w:val="auto"/>
              </w:rPr>
            </w:pPr>
            <w:r>
              <w:rPr>
                <w:color w:val="auto"/>
                <w:spacing w:val="6"/>
              </w:rPr>
              <w:t>项目名称</w:t>
            </w:r>
          </w:p>
        </w:tc>
        <w:tc>
          <w:tcPr>
            <w:tcW w:w="6848" w:type="dxa"/>
            <w:vAlign w:val="top"/>
          </w:tcPr>
          <w:p w14:paraId="236316DA">
            <w:pPr>
              <w:rPr>
                <w:rFonts w:ascii="Arial"/>
                <w:color w:val="auto"/>
                <w:sz w:val="21"/>
              </w:rPr>
            </w:pPr>
          </w:p>
        </w:tc>
      </w:tr>
      <w:tr w14:paraId="46EC2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1" w:hRule="atLeast"/>
        </w:trPr>
        <w:tc>
          <w:tcPr>
            <w:tcW w:w="2012" w:type="dxa"/>
            <w:vAlign w:val="top"/>
          </w:tcPr>
          <w:p w14:paraId="1432C00A">
            <w:pPr>
              <w:pStyle w:val="47"/>
              <w:spacing w:before="256" w:line="228" w:lineRule="auto"/>
              <w:ind w:left="491"/>
              <w:rPr>
                <w:color w:val="auto"/>
              </w:rPr>
            </w:pPr>
            <w:r>
              <w:rPr>
                <w:color w:val="auto"/>
                <w:spacing w:val="7"/>
              </w:rPr>
              <w:t>项目所在地</w:t>
            </w:r>
          </w:p>
        </w:tc>
        <w:tc>
          <w:tcPr>
            <w:tcW w:w="6848" w:type="dxa"/>
            <w:vAlign w:val="top"/>
          </w:tcPr>
          <w:p w14:paraId="767CC3AD">
            <w:pPr>
              <w:rPr>
                <w:rFonts w:ascii="Arial"/>
                <w:color w:val="auto"/>
                <w:sz w:val="21"/>
              </w:rPr>
            </w:pPr>
          </w:p>
        </w:tc>
      </w:tr>
      <w:tr w14:paraId="615A6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9" w:hRule="atLeast"/>
        </w:trPr>
        <w:tc>
          <w:tcPr>
            <w:tcW w:w="2012" w:type="dxa"/>
            <w:vAlign w:val="top"/>
          </w:tcPr>
          <w:p w14:paraId="0AEE1667">
            <w:pPr>
              <w:pStyle w:val="47"/>
              <w:spacing w:before="259" w:line="228" w:lineRule="auto"/>
              <w:ind w:left="491"/>
              <w:rPr>
                <w:color w:val="auto"/>
              </w:rPr>
            </w:pPr>
            <w:r>
              <w:rPr>
                <w:color w:val="auto"/>
                <w:spacing w:val="7"/>
              </w:rPr>
              <w:t>发包人名称</w:t>
            </w:r>
          </w:p>
        </w:tc>
        <w:tc>
          <w:tcPr>
            <w:tcW w:w="6848" w:type="dxa"/>
            <w:vAlign w:val="top"/>
          </w:tcPr>
          <w:p w14:paraId="00A0FD5C">
            <w:pPr>
              <w:rPr>
                <w:rFonts w:ascii="Arial"/>
                <w:color w:val="auto"/>
                <w:sz w:val="21"/>
              </w:rPr>
            </w:pPr>
          </w:p>
        </w:tc>
      </w:tr>
      <w:tr w14:paraId="68D8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012" w:type="dxa"/>
            <w:vAlign w:val="top"/>
          </w:tcPr>
          <w:p w14:paraId="57BDC672">
            <w:pPr>
              <w:pStyle w:val="47"/>
              <w:spacing w:before="257" w:line="228" w:lineRule="auto"/>
              <w:ind w:left="491"/>
              <w:rPr>
                <w:color w:val="auto"/>
              </w:rPr>
            </w:pPr>
            <w:r>
              <w:rPr>
                <w:color w:val="auto"/>
                <w:spacing w:val="7"/>
              </w:rPr>
              <w:t>发包人地址</w:t>
            </w:r>
          </w:p>
        </w:tc>
        <w:tc>
          <w:tcPr>
            <w:tcW w:w="6848" w:type="dxa"/>
            <w:vAlign w:val="top"/>
          </w:tcPr>
          <w:p w14:paraId="56F54CC3">
            <w:pPr>
              <w:rPr>
                <w:rFonts w:ascii="Arial"/>
                <w:color w:val="auto"/>
                <w:sz w:val="21"/>
              </w:rPr>
            </w:pPr>
          </w:p>
        </w:tc>
      </w:tr>
      <w:tr w14:paraId="6A57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12" w:type="dxa"/>
            <w:vAlign w:val="top"/>
          </w:tcPr>
          <w:p w14:paraId="7492ADF0">
            <w:pPr>
              <w:pStyle w:val="47"/>
              <w:spacing w:before="260" w:line="228" w:lineRule="auto"/>
              <w:ind w:left="491"/>
              <w:rPr>
                <w:color w:val="auto"/>
              </w:rPr>
            </w:pPr>
            <w:r>
              <w:rPr>
                <w:color w:val="auto"/>
                <w:spacing w:val="7"/>
              </w:rPr>
              <w:t>发包人电话</w:t>
            </w:r>
          </w:p>
        </w:tc>
        <w:tc>
          <w:tcPr>
            <w:tcW w:w="6848" w:type="dxa"/>
            <w:vAlign w:val="top"/>
          </w:tcPr>
          <w:p w14:paraId="3129A6BF">
            <w:pPr>
              <w:rPr>
                <w:rFonts w:ascii="Arial"/>
                <w:color w:val="auto"/>
                <w:sz w:val="21"/>
              </w:rPr>
            </w:pPr>
          </w:p>
        </w:tc>
      </w:tr>
      <w:tr w14:paraId="059F8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012" w:type="dxa"/>
            <w:vAlign w:val="top"/>
          </w:tcPr>
          <w:p w14:paraId="690A3CB3">
            <w:pPr>
              <w:pStyle w:val="47"/>
              <w:spacing w:before="258" w:line="226" w:lineRule="auto"/>
              <w:ind w:left="591"/>
              <w:rPr>
                <w:color w:val="auto"/>
              </w:rPr>
            </w:pPr>
            <w:r>
              <w:rPr>
                <w:color w:val="auto"/>
                <w:spacing w:val="7"/>
              </w:rPr>
              <w:t>合同价格</w:t>
            </w:r>
          </w:p>
        </w:tc>
        <w:tc>
          <w:tcPr>
            <w:tcW w:w="6848" w:type="dxa"/>
            <w:vAlign w:val="top"/>
          </w:tcPr>
          <w:p w14:paraId="084F7C47">
            <w:pPr>
              <w:rPr>
                <w:rFonts w:ascii="Arial"/>
                <w:color w:val="auto"/>
                <w:sz w:val="21"/>
              </w:rPr>
            </w:pPr>
          </w:p>
        </w:tc>
      </w:tr>
      <w:tr w14:paraId="0012C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012" w:type="dxa"/>
            <w:vAlign w:val="top"/>
          </w:tcPr>
          <w:p w14:paraId="2270B20D">
            <w:pPr>
              <w:pStyle w:val="47"/>
              <w:spacing w:before="255" w:line="228" w:lineRule="auto"/>
              <w:ind w:left="591"/>
              <w:rPr>
                <w:color w:val="auto"/>
              </w:rPr>
            </w:pPr>
            <w:r>
              <w:rPr>
                <w:color w:val="auto"/>
                <w:spacing w:val="7"/>
              </w:rPr>
              <w:t>开工日期</w:t>
            </w:r>
          </w:p>
        </w:tc>
        <w:tc>
          <w:tcPr>
            <w:tcW w:w="6848" w:type="dxa"/>
            <w:vAlign w:val="top"/>
          </w:tcPr>
          <w:p w14:paraId="07AF5E97">
            <w:pPr>
              <w:rPr>
                <w:rFonts w:ascii="Arial"/>
                <w:color w:val="auto"/>
                <w:sz w:val="21"/>
              </w:rPr>
            </w:pPr>
          </w:p>
        </w:tc>
      </w:tr>
      <w:tr w14:paraId="5CDC5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012" w:type="dxa"/>
            <w:vAlign w:val="top"/>
          </w:tcPr>
          <w:p w14:paraId="156CCAE6">
            <w:pPr>
              <w:pStyle w:val="47"/>
              <w:spacing w:before="264" w:line="228" w:lineRule="auto"/>
              <w:ind w:left="591"/>
              <w:rPr>
                <w:color w:val="auto"/>
              </w:rPr>
            </w:pPr>
            <w:r>
              <w:rPr>
                <w:color w:val="auto"/>
                <w:spacing w:val="7"/>
              </w:rPr>
              <w:t>竣工日期</w:t>
            </w:r>
          </w:p>
        </w:tc>
        <w:tc>
          <w:tcPr>
            <w:tcW w:w="6848" w:type="dxa"/>
            <w:vAlign w:val="top"/>
          </w:tcPr>
          <w:p w14:paraId="3A1BD7E1">
            <w:pPr>
              <w:rPr>
                <w:rFonts w:ascii="Arial"/>
                <w:color w:val="auto"/>
                <w:sz w:val="21"/>
              </w:rPr>
            </w:pPr>
          </w:p>
        </w:tc>
      </w:tr>
      <w:tr w14:paraId="42BA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012" w:type="dxa"/>
            <w:vAlign w:val="top"/>
          </w:tcPr>
          <w:p w14:paraId="43A74A00">
            <w:pPr>
              <w:pStyle w:val="47"/>
              <w:spacing w:before="255" w:line="228" w:lineRule="auto"/>
              <w:ind w:left="487"/>
              <w:rPr>
                <w:color w:val="auto"/>
              </w:rPr>
            </w:pPr>
            <w:r>
              <w:rPr>
                <w:color w:val="auto"/>
                <w:spacing w:val="8"/>
              </w:rPr>
              <w:t>承担的工作</w:t>
            </w:r>
          </w:p>
        </w:tc>
        <w:tc>
          <w:tcPr>
            <w:tcW w:w="6848" w:type="dxa"/>
            <w:vAlign w:val="top"/>
          </w:tcPr>
          <w:p w14:paraId="45591C29">
            <w:pPr>
              <w:rPr>
                <w:rFonts w:ascii="Arial"/>
                <w:color w:val="auto"/>
                <w:sz w:val="21"/>
              </w:rPr>
            </w:pPr>
          </w:p>
        </w:tc>
      </w:tr>
      <w:tr w14:paraId="30E56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012" w:type="dxa"/>
            <w:vAlign w:val="top"/>
          </w:tcPr>
          <w:p w14:paraId="31B3CDDC">
            <w:pPr>
              <w:pStyle w:val="47"/>
              <w:spacing w:before="260" w:line="228" w:lineRule="auto"/>
              <w:ind w:left="593"/>
              <w:rPr>
                <w:color w:val="auto"/>
              </w:rPr>
            </w:pPr>
            <w:r>
              <w:rPr>
                <w:color w:val="auto"/>
                <w:spacing w:val="6"/>
              </w:rPr>
              <w:t>工程质量</w:t>
            </w:r>
          </w:p>
        </w:tc>
        <w:tc>
          <w:tcPr>
            <w:tcW w:w="6848" w:type="dxa"/>
            <w:vAlign w:val="top"/>
          </w:tcPr>
          <w:p w14:paraId="42F1D346">
            <w:pPr>
              <w:rPr>
                <w:rFonts w:ascii="Arial"/>
                <w:color w:val="auto"/>
                <w:sz w:val="21"/>
              </w:rPr>
            </w:pPr>
          </w:p>
        </w:tc>
      </w:tr>
      <w:tr w14:paraId="4E1D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012" w:type="dxa"/>
            <w:vAlign w:val="top"/>
          </w:tcPr>
          <w:p w14:paraId="12ED33BA">
            <w:pPr>
              <w:pStyle w:val="47"/>
              <w:spacing w:before="257" w:line="228" w:lineRule="auto"/>
              <w:ind w:left="594"/>
              <w:rPr>
                <w:color w:val="auto"/>
              </w:rPr>
            </w:pPr>
            <w:r>
              <w:rPr>
                <w:color w:val="auto"/>
                <w:spacing w:val="6"/>
              </w:rPr>
              <w:t>项目经理</w:t>
            </w:r>
          </w:p>
        </w:tc>
        <w:tc>
          <w:tcPr>
            <w:tcW w:w="6848" w:type="dxa"/>
            <w:vAlign w:val="top"/>
          </w:tcPr>
          <w:p w14:paraId="1E52A120">
            <w:pPr>
              <w:rPr>
                <w:rFonts w:ascii="Arial"/>
                <w:color w:val="auto"/>
                <w:sz w:val="21"/>
              </w:rPr>
            </w:pPr>
          </w:p>
        </w:tc>
      </w:tr>
      <w:tr w14:paraId="6E64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12" w:type="dxa"/>
            <w:vAlign w:val="top"/>
          </w:tcPr>
          <w:p w14:paraId="11F36E97">
            <w:pPr>
              <w:pStyle w:val="47"/>
              <w:spacing w:before="261" w:line="228" w:lineRule="auto"/>
              <w:ind w:left="488"/>
              <w:rPr>
                <w:color w:val="auto"/>
              </w:rPr>
            </w:pPr>
            <w:r>
              <w:rPr>
                <w:color w:val="auto"/>
                <w:spacing w:val="7"/>
              </w:rPr>
              <w:t>技术负责人</w:t>
            </w:r>
          </w:p>
        </w:tc>
        <w:tc>
          <w:tcPr>
            <w:tcW w:w="6848" w:type="dxa"/>
            <w:vAlign w:val="top"/>
          </w:tcPr>
          <w:p w14:paraId="194ABF3F">
            <w:pPr>
              <w:rPr>
                <w:rFonts w:ascii="Arial"/>
                <w:color w:val="auto"/>
                <w:sz w:val="21"/>
              </w:rPr>
            </w:pPr>
          </w:p>
        </w:tc>
      </w:tr>
      <w:tr w14:paraId="67D38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2012" w:type="dxa"/>
            <w:vAlign w:val="top"/>
          </w:tcPr>
          <w:p w14:paraId="1C3B57F0">
            <w:pPr>
              <w:spacing w:line="284" w:lineRule="auto"/>
              <w:rPr>
                <w:rFonts w:ascii="Arial"/>
                <w:color w:val="auto"/>
                <w:sz w:val="21"/>
              </w:rPr>
            </w:pPr>
          </w:p>
          <w:p w14:paraId="4253E9D2">
            <w:pPr>
              <w:spacing w:line="284" w:lineRule="auto"/>
              <w:rPr>
                <w:rFonts w:ascii="Arial"/>
                <w:color w:val="auto"/>
                <w:sz w:val="21"/>
              </w:rPr>
            </w:pPr>
          </w:p>
          <w:p w14:paraId="3D479A58">
            <w:pPr>
              <w:spacing w:line="284" w:lineRule="auto"/>
              <w:rPr>
                <w:rFonts w:ascii="Arial"/>
                <w:color w:val="auto"/>
                <w:sz w:val="21"/>
              </w:rPr>
            </w:pPr>
          </w:p>
          <w:p w14:paraId="4E96AF1F">
            <w:pPr>
              <w:spacing w:line="284" w:lineRule="auto"/>
              <w:rPr>
                <w:rFonts w:ascii="Arial"/>
                <w:color w:val="auto"/>
                <w:sz w:val="21"/>
              </w:rPr>
            </w:pPr>
          </w:p>
          <w:p w14:paraId="5AC472F3">
            <w:pPr>
              <w:spacing w:line="284" w:lineRule="auto"/>
              <w:rPr>
                <w:rFonts w:ascii="Arial"/>
                <w:color w:val="auto"/>
                <w:sz w:val="21"/>
              </w:rPr>
            </w:pPr>
          </w:p>
          <w:p w14:paraId="63602032">
            <w:pPr>
              <w:pStyle w:val="47"/>
              <w:spacing w:before="65" w:line="228" w:lineRule="auto"/>
              <w:ind w:left="594"/>
              <w:rPr>
                <w:color w:val="auto"/>
              </w:rPr>
            </w:pPr>
            <w:r>
              <w:rPr>
                <w:color w:val="auto"/>
                <w:spacing w:val="6"/>
              </w:rPr>
              <w:t>项目描述</w:t>
            </w:r>
          </w:p>
        </w:tc>
        <w:tc>
          <w:tcPr>
            <w:tcW w:w="6848" w:type="dxa"/>
            <w:vAlign w:val="top"/>
          </w:tcPr>
          <w:p w14:paraId="4BC07B60">
            <w:pPr>
              <w:rPr>
                <w:rFonts w:ascii="Arial"/>
                <w:color w:val="auto"/>
                <w:sz w:val="21"/>
              </w:rPr>
            </w:pPr>
          </w:p>
        </w:tc>
      </w:tr>
      <w:tr w14:paraId="4AA3C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012" w:type="dxa"/>
            <w:vAlign w:val="top"/>
          </w:tcPr>
          <w:p w14:paraId="09E6FF38">
            <w:pPr>
              <w:pStyle w:val="47"/>
              <w:spacing w:before="258" w:line="229" w:lineRule="auto"/>
              <w:ind w:left="804"/>
              <w:rPr>
                <w:color w:val="auto"/>
              </w:rPr>
            </w:pPr>
            <w:r>
              <w:rPr>
                <w:color w:val="auto"/>
                <w:spacing w:val="3"/>
              </w:rPr>
              <w:t>备注</w:t>
            </w:r>
          </w:p>
        </w:tc>
        <w:tc>
          <w:tcPr>
            <w:tcW w:w="6848" w:type="dxa"/>
            <w:vAlign w:val="top"/>
          </w:tcPr>
          <w:p w14:paraId="054A3D55">
            <w:pPr>
              <w:rPr>
                <w:rFonts w:ascii="Arial"/>
                <w:color w:val="auto"/>
                <w:sz w:val="21"/>
              </w:rPr>
            </w:pPr>
          </w:p>
        </w:tc>
      </w:tr>
    </w:tbl>
    <w:p w14:paraId="1BDEA4B7">
      <w:pPr>
        <w:spacing w:before="172" w:line="407" w:lineRule="auto"/>
        <w:ind w:left="2" w:hanging="2"/>
        <w:rPr>
          <w:rFonts w:ascii="宋体" w:hAnsi="宋体" w:eastAsia="宋体" w:cs="宋体"/>
          <w:color w:val="auto"/>
          <w:sz w:val="20"/>
          <w:szCs w:val="20"/>
        </w:rPr>
      </w:pPr>
      <w:r>
        <w:rPr>
          <w:rFonts w:ascii="宋体" w:hAnsi="宋体" w:eastAsia="宋体" w:cs="宋体"/>
          <w:color w:val="auto"/>
          <w:spacing w:val="8"/>
          <w:sz w:val="20"/>
          <w:szCs w:val="20"/>
        </w:rPr>
        <w:t>备注:附中标通知书或合同协议书，具体年份要求见供应商须知前附表。每张表格只填写一个项目，</w:t>
      </w:r>
      <w:r>
        <w:rPr>
          <w:rFonts w:ascii="宋体" w:hAnsi="宋体" w:eastAsia="宋体" w:cs="宋体"/>
          <w:color w:val="auto"/>
          <w:spacing w:val="5"/>
          <w:sz w:val="20"/>
          <w:szCs w:val="20"/>
        </w:rPr>
        <w:t>并标明序号。</w:t>
      </w:r>
    </w:p>
    <w:p w14:paraId="6E22AFDC">
      <w:pPr>
        <w:spacing w:line="407" w:lineRule="auto"/>
        <w:rPr>
          <w:rFonts w:ascii="宋体" w:hAnsi="宋体" w:eastAsia="宋体" w:cs="宋体"/>
          <w:color w:val="auto"/>
          <w:sz w:val="20"/>
          <w:szCs w:val="20"/>
        </w:rPr>
        <w:sectPr>
          <w:footerReference r:id="rId24" w:type="default"/>
          <w:pgSz w:w="11906" w:h="16839"/>
          <w:pgMar w:top="1431" w:right="1123" w:bottom="1018" w:left="1712" w:header="0" w:footer="852" w:gutter="0"/>
          <w:pgNumType w:fmt="decimal"/>
          <w:cols w:space="720" w:num="1"/>
        </w:sectPr>
      </w:pPr>
    </w:p>
    <w:p w14:paraId="730DCA95">
      <w:pPr>
        <w:spacing w:before="91" w:line="220" w:lineRule="auto"/>
        <w:ind w:left="1924"/>
        <w:outlineLvl w:val="2"/>
        <w:rPr>
          <w:rFonts w:ascii="宋体" w:hAnsi="宋体" w:eastAsia="宋体" w:cs="宋体"/>
          <w:color w:val="auto"/>
          <w:sz w:val="28"/>
          <w:szCs w:val="28"/>
        </w:rPr>
      </w:pPr>
      <w:r>
        <w:rPr>
          <w:rFonts w:ascii="宋体" w:hAnsi="宋体" w:eastAsia="宋体" w:cs="宋体"/>
          <w:b/>
          <w:bCs/>
          <w:color w:val="auto"/>
          <w:spacing w:val="-3"/>
          <w:sz w:val="28"/>
          <w:szCs w:val="28"/>
        </w:rPr>
        <w:t>（四）正在实施的和新承接的项目情况表</w:t>
      </w:r>
    </w:p>
    <w:p w14:paraId="061F413B">
      <w:pPr>
        <w:spacing w:before="5"/>
        <w:rPr>
          <w:color w:val="auto"/>
        </w:rPr>
      </w:pPr>
    </w:p>
    <w:tbl>
      <w:tblPr>
        <w:tblStyle w:val="46"/>
        <w:tblW w:w="8651" w:type="dxa"/>
        <w:tblInd w:w="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2"/>
        <w:gridCol w:w="6779"/>
      </w:tblGrid>
      <w:tr w14:paraId="3888B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872" w:type="dxa"/>
            <w:vAlign w:val="top"/>
          </w:tcPr>
          <w:p w14:paraId="636A1254">
            <w:pPr>
              <w:pStyle w:val="47"/>
              <w:spacing w:before="292" w:line="228" w:lineRule="auto"/>
              <w:ind w:left="525"/>
              <w:rPr>
                <w:color w:val="auto"/>
              </w:rPr>
            </w:pPr>
            <w:r>
              <w:rPr>
                <w:color w:val="auto"/>
                <w:spacing w:val="6"/>
              </w:rPr>
              <w:t>项目名称</w:t>
            </w:r>
          </w:p>
        </w:tc>
        <w:tc>
          <w:tcPr>
            <w:tcW w:w="6779" w:type="dxa"/>
            <w:vAlign w:val="top"/>
          </w:tcPr>
          <w:p w14:paraId="7A8A9EE9">
            <w:pPr>
              <w:rPr>
                <w:rFonts w:ascii="Arial"/>
                <w:color w:val="auto"/>
                <w:sz w:val="21"/>
              </w:rPr>
            </w:pPr>
          </w:p>
        </w:tc>
      </w:tr>
      <w:tr w14:paraId="4C82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872" w:type="dxa"/>
            <w:vAlign w:val="top"/>
          </w:tcPr>
          <w:p w14:paraId="12784031">
            <w:pPr>
              <w:pStyle w:val="47"/>
              <w:spacing w:before="256" w:line="228" w:lineRule="auto"/>
              <w:ind w:left="419"/>
              <w:rPr>
                <w:color w:val="auto"/>
              </w:rPr>
            </w:pPr>
            <w:r>
              <w:rPr>
                <w:color w:val="auto"/>
                <w:spacing w:val="7"/>
              </w:rPr>
              <w:t>项目所在地</w:t>
            </w:r>
          </w:p>
        </w:tc>
        <w:tc>
          <w:tcPr>
            <w:tcW w:w="6779" w:type="dxa"/>
            <w:vAlign w:val="top"/>
          </w:tcPr>
          <w:p w14:paraId="6F772333">
            <w:pPr>
              <w:rPr>
                <w:rFonts w:ascii="Arial"/>
                <w:color w:val="auto"/>
                <w:sz w:val="21"/>
              </w:rPr>
            </w:pPr>
          </w:p>
        </w:tc>
      </w:tr>
      <w:tr w14:paraId="5A5B0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872" w:type="dxa"/>
            <w:vAlign w:val="top"/>
          </w:tcPr>
          <w:p w14:paraId="4F5DA8F1">
            <w:pPr>
              <w:pStyle w:val="47"/>
              <w:spacing w:before="261" w:line="228" w:lineRule="auto"/>
              <w:ind w:left="419"/>
              <w:rPr>
                <w:color w:val="auto"/>
              </w:rPr>
            </w:pPr>
            <w:r>
              <w:rPr>
                <w:color w:val="auto"/>
                <w:spacing w:val="7"/>
              </w:rPr>
              <w:t>发包人名称</w:t>
            </w:r>
          </w:p>
        </w:tc>
        <w:tc>
          <w:tcPr>
            <w:tcW w:w="6779" w:type="dxa"/>
            <w:vAlign w:val="top"/>
          </w:tcPr>
          <w:p w14:paraId="13A535A0">
            <w:pPr>
              <w:rPr>
                <w:rFonts w:ascii="Arial"/>
                <w:color w:val="auto"/>
                <w:sz w:val="21"/>
              </w:rPr>
            </w:pPr>
          </w:p>
        </w:tc>
      </w:tr>
      <w:tr w14:paraId="343EA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872" w:type="dxa"/>
            <w:vAlign w:val="top"/>
          </w:tcPr>
          <w:p w14:paraId="67C608D2">
            <w:pPr>
              <w:pStyle w:val="47"/>
              <w:spacing w:before="257" w:line="228" w:lineRule="auto"/>
              <w:ind w:left="419"/>
              <w:rPr>
                <w:color w:val="auto"/>
              </w:rPr>
            </w:pPr>
            <w:r>
              <w:rPr>
                <w:color w:val="auto"/>
                <w:spacing w:val="7"/>
              </w:rPr>
              <w:t>发包人地址</w:t>
            </w:r>
          </w:p>
        </w:tc>
        <w:tc>
          <w:tcPr>
            <w:tcW w:w="6779" w:type="dxa"/>
            <w:vAlign w:val="top"/>
          </w:tcPr>
          <w:p w14:paraId="6C962489">
            <w:pPr>
              <w:rPr>
                <w:rFonts w:ascii="Arial"/>
                <w:color w:val="auto"/>
                <w:sz w:val="21"/>
              </w:rPr>
            </w:pPr>
          </w:p>
        </w:tc>
      </w:tr>
      <w:tr w14:paraId="2967A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72" w:type="dxa"/>
            <w:vAlign w:val="top"/>
          </w:tcPr>
          <w:p w14:paraId="6D594CA1">
            <w:pPr>
              <w:pStyle w:val="47"/>
              <w:spacing w:before="260" w:line="228" w:lineRule="auto"/>
              <w:ind w:left="419"/>
              <w:rPr>
                <w:color w:val="auto"/>
              </w:rPr>
            </w:pPr>
            <w:r>
              <w:rPr>
                <w:color w:val="auto"/>
                <w:spacing w:val="7"/>
              </w:rPr>
              <w:t>发包人电话</w:t>
            </w:r>
          </w:p>
        </w:tc>
        <w:tc>
          <w:tcPr>
            <w:tcW w:w="6779" w:type="dxa"/>
            <w:vAlign w:val="top"/>
          </w:tcPr>
          <w:p w14:paraId="1001839F">
            <w:pPr>
              <w:rPr>
                <w:rFonts w:ascii="Arial"/>
                <w:color w:val="auto"/>
                <w:sz w:val="21"/>
              </w:rPr>
            </w:pPr>
          </w:p>
        </w:tc>
      </w:tr>
      <w:tr w14:paraId="7E11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872" w:type="dxa"/>
            <w:vAlign w:val="top"/>
          </w:tcPr>
          <w:p w14:paraId="1B0E70F4">
            <w:pPr>
              <w:pStyle w:val="47"/>
              <w:spacing w:before="258" w:line="226" w:lineRule="auto"/>
              <w:ind w:left="416"/>
              <w:rPr>
                <w:color w:val="auto"/>
              </w:rPr>
            </w:pPr>
            <w:r>
              <w:rPr>
                <w:color w:val="auto"/>
                <w:spacing w:val="8"/>
              </w:rPr>
              <w:t>签约合同价</w:t>
            </w:r>
          </w:p>
        </w:tc>
        <w:tc>
          <w:tcPr>
            <w:tcW w:w="6779" w:type="dxa"/>
            <w:vAlign w:val="top"/>
          </w:tcPr>
          <w:p w14:paraId="266A0C93">
            <w:pPr>
              <w:rPr>
                <w:rFonts w:ascii="Arial"/>
                <w:color w:val="auto"/>
                <w:sz w:val="21"/>
              </w:rPr>
            </w:pPr>
          </w:p>
        </w:tc>
      </w:tr>
      <w:tr w14:paraId="19DCC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872" w:type="dxa"/>
            <w:vAlign w:val="top"/>
          </w:tcPr>
          <w:p w14:paraId="437AA714">
            <w:pPr>
              <w:pStyle w:val="47"/>
              <w:spacing w:before="255" w:line="228" w:lineRule="auto"/>
              <w:ind w:left="522"/>
              <w:rPr>
                <w:color w:val="auto"/>
              </w:rPr>
            </w:pPr>
            <w:r>
              <w:rPr>
                <w:color w:val="auto"/>
                <w:spacing w:val="7"/>
              </w:rPr>
              <w:t>开工日期</w:t>
            </w:r>
          </w:p>
        </w:tc>
        <w:tc>
          <w:tcPr>
            <w:tcW w:w="6779" w:type="dxa"/>
            <w:vAlign w:val="top"/>
          </w:tcPr>
          <w:p w14:paraId="328B6255">
            <w:pPr>
              <w:rPr>
                <w:rFonts w:ascii="Arial"/>
                <w:color w:val="auto"/>
                <w:sz w:val="21"/>
              </w:rPr>
            </w:pPr>
          </w:p>
        </w:tc>
      </w:tr>
      <w:tr w14:paraId="5102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872" w:type="dxa"/>
            <w:vAlign w:val="top"/>
          </w:tcPr>
          <w:p w14:paraId="640F93CD">
            <w:pPr>
              <w:pStyle w:val="47"/>
              <w:spacing w:before="267" w:line="228" w:lineRule="auto"/>
              <w:ind w:left="312"/>
              <w:rPr>
                <w:color w:val="auto"/>
              </w:rPr>
            </w:pPr>
            <w:r>
              <w:rPr>
                <w:color w:val="auto"/>
                <w:spacing w:val="8"/>
              </w:rPr>
              <w:t>计划竣工日期</w:t>
            </w:r>
          </w:p>
        </w:tc>
        <w:tc>
          <w:tcPr>
            <w:tcW w:w="6779" w:type="dxa"/>
            <w:vAlign w:val="top"/>
          </w:tcPr>
          <w:p w14:paraId="549B1FF0">
            <w:pPr>
              <w:rPr>
                <w:rFonts w:ascii="Arial"/>
                <w:color w:val="auto"/>
                <w:sz w:val="21"/>
              </w:rPr>
            </w:pPr>
          </w:p>
        </w:tc>
      </w:tr>
      <w:tr w14:paraId="0EEB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872" w:type="dxa"/>
            <w:vAlign w:val="top"/>
          </w:tcPr>
          <w:p w14:paraId="6DDFF8CA">
            <w:pPr>
              <w:pStyle w:val="47"/>
              <w:spacing w:before="257" w:line="228" w:lineRule="auto"/>
              <w:ind w:left="416"/>
              <w:rPr>
                <w:color w:val="auto"/>
              </w:rPr>
            </w:pPr>
            <w:r>
              <w:rPr>
                <w:color w:val="auto"/>
                <w:spacing w:val="8"/>
              </w:rPr>
              <w:t>承担的工作</w:t>
            </w:r>
          </w:p>
        </w:tc>
        <w:tc>
          <w:tcPr>
            <w:tcW w:w="6779" w:type="dxa"/>
            <w:vAlign w:val="top"/>
          </w:tcPr>
          <w:p w14:paraId="00A14296">
            <w:pPr>
              <w:rPr>
                <w:rFonts w:ascii="Arial"/>
                <w:color w:val="auto"/>
                <w:sz w:val="21"/>
              </w:rPr>
            </w:pPr>
          </w:p>
        </w:tc>
      </w:tr>
      <w:tr w14:paraId="78AB3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72" w:type="dxa"/>
            <w:vAlign w:val="top"/>
          </w:tcPr>
          <w:p w14:paraId="6ECF5C23">
            <w:pPr>
              <w:pStyle w:val="47"/>
              <w:spacing w:before="262" w:line="228" w:lineRule="auto"/>
              <w:ind w:left="524"/>
              <w:rPr>
                <w:color w:val="auto"/>
              </w:rPr>
            </w:pPr>
            <w:r>
              <w:rPr>
                <w:color w:val="auto"/>
                <w:spacing w:val="6"/>
              </w:rPr>
              <w:t>工程质量</w:t>
            </w:r>
          </w:p>
        </w:tc>
        <w:tc>
          <w:tcPr>
            <w:tcW w:w="6779" w:type="dxa"/>
            <w:vAlign w:val="top"/>
          </w:tcPr>
          <w:p w14:paraId="7FCC7DB2">
            <w:pPr>
              <w:rPr>
                <w:rFonts w:ascii="Arial"/>
                <w:color w:val="auto"/>
                <w:sz w:val="21"/>
              </w:rPr>
            </w:pPr>
          </w:p>
        </w:tc>
      </w:tr>
      <w:tr w14:paraId="1983D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872" w:type="dxa"/>
            <w:vAlign w:val="top"/>
          </w:tcPr>
          <w:p w14:paraId="2AE42F67">
            <w:pPr>
              <w:pStyle w:val="47"/>
              <w:spacing w:before="259" w:line="228" w:lineRule="auto"/>
              <w:ind w:left="525"/>
              <w:rPr>
                <w:color w:val="auto"/>
              </w:rPr>
            </w:pPr>
            <w:r>
              <w:rPr>
                <w:color w:val="auto"/>
                <w:spacing w:val="6"/>
              </w:rPr>
              <w:t>项目经理</w:t>
            </w:r>
          </w:p>
        </w:tc>
        <w:tc>
          <w:tcPr>
            <w:tcW w:w="6779" w:type="dxa"/>
            <w:vAlign w:val="top"/>
          </w:tcPr>
          <w:p w14:paraId="3AA2F642">
            <w:pPr>
              <w:rPr>
                <w:rFonts w:ascii="Arial"/>
                <w:color w:val="auto"/>
                <w:sz w:val="21"/>
              </w:rPr>
            </w:pPr>
          </w:p>
        </w:tc>
      </w:tr>
      <w:tr w14:paraId="11862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72" w:type="dxa"/>
            <w:vAlign w:val="top"/>
          </w:tcPr>
          <w:p w14:paraId="16E4C6FA">
            <w:pPr>
              <w:pStyle w:val="47"/>
              <w:spacing w:before="261" w:line="228" w:lineRule="auto"/>
              <w:ind w:left="416"/>
              <w:rPr>
                <w:color w:val="auto"/>
              </w:rPr>
            </w:pPr>
            <w:r>
              <w:rPr>
                <w:color w:val="auto"/>
                <w:spacing w:val="7"/>
              </w:rPr>
              <w:t>技术负责人</w:t>
            </w:r>
          </w:p>
        </w:tc>
        <w:tc>
          <w:tcPr>
            <w:tcW w:w="6779" w:type="dxa"/>
            <w:vAlign w:val="top"/>
          </w:tcPr>
          <w:p w14:paraId="4D7AC970">
            <w:pPr>
              <w:rPr>
                <w:rFonts w:ascii="Arial"/>
                <w:color w:val="auto"/>
                <w:sz w:val="21"/>
              </w:rPr>
            </w:pPr>
          </w:p>
        </w:tc>
      </w:tr>
      <w:tr w14:paraId="33875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3" w:hRule="atLeast"/>
        </w:trPr>
        <w:tc>
          <w:tcPr>
            <w:tcW w:w="1872" w:type="dxa"/>
            <w:vAlign w:val="top"/>
          </w:tcPr>
          <w:p w14:paraId="4236B0D9">
            <w:pPr>
              <w:spacing w:line="284" w:lineRule="auto"/>
              <w:rPr>
                <w:rFonts w:ascii="Arial"/>
                <w:color w:val="auto"/>
                <w:sz w:val="21"/>
              </w:rPr>
            </w:pPr>
          </w:p>
          <w:p w14:paraId="7707874D">
            <w:pPr>
              <w:spacing w:line="284" w:lineRule="auto"/>
              <w:rPr>
                <w:rFonts w:ascii="Arial"/>
                <w:color w:val="auto"/>
                <w:sz w:val="21"/>
              </w:rPr>
            </w:pPr>
          </w:p>
          <w:p w14:paraId="77687DF0">
            <w:pPr>
              <w:spacing w:line="284" w:lineRule="auto"/>
              <w:rPr>
                <w:rFonts w:ascii="Arial"/>
                <w:color w:val="auto"/>
                <w:sz w:val="21"/>
              </w:rPr>
            </w:pPr>
          </w:p>
          <w:p w14:paraId="4B706410">
            <w:pPr>
              <w:spacing w:line="285" w:lineRule="auto"/>
              <w:rPr>
                <w:rFonts w:ascii="Arial"/>
                <w:color w:val="auto"/>
                <w:sz w:val="21"/>
              </w:rPr>
            </w:pPr>
          </w:p>
          <w:p w14:paraId="2EDCB94B">
            <w:pPr>
              <w:spacing w:line="285" w:lineRule="auto"/>
              <w:rPr>
                <w:rFonts w:ascii="Arial"/>
                <w:color w:val="auto"/>
                <w:sz w:val="21"/>
              </w:rPr>
            </w:pPr>
          </w:p>
          <w:p w14:paraId="5823EB06">
            <w:pPr>
              <w:pStyle w:val="47"/>
              <w:spacing w:before="65" w:line="228" w:lineRule="auto"/>
              <w:ind w:left="525"/>
              <w:rPr>
                <w:color w:val="auto"/>
              </w:rPr>
            </w:pPr>
            <w:r>
              <w:rPr>
                <w:color w:val="auto"/>
                <w:spacing w:val="6"/>
              </w:rPr>
              <w:t>项目描述</w:t>
            </w:r>
          </w:p>
        </w:tc>
        <w:tc>
          <w:tcPr>
            <w:tcW w:w="6779" w:type="dxa"/>
            <w:vAlign w:val="top"/>
          </w:tcPr>
          <w:p w14:paraId="620A3B0D">
            <w:pPr>
              <w:rPr>
                <w:rFonts w:ascii="Arial"/>
                <w:color w:val="auto"/>
                <w:sz w:val="21"/>
              </w:rPr>
            </w:pPr>
          </w:p>
        </w:tc>
      </w:tr>
      <w:tr w14:paraId="0176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872" w:type="dxa"/>
            <w:vAlign w:val="top"/>
          </w:tcPr>
          <w:p w14:paraId="31A100D4">
            <w:pPr>
              <w:pStyle w:val="47"/>
              <w:spacing w:before="231" w:line="229" w:lineRule="auto"/>
              <w:ind w:left="735"/>
              <w:rPr>
                <w:color w:val="auto"/>
              </w:rPr>
            </w:pPr>
            <w:r>
              <w:rPr>
                <w:color w:val="auto"/>
                <w:spacing w:val="3"/>
              </w:rPr>
              <w:t>备注</w:t>
            </w:r>
          </w:p>
        </w:tc>
        <w:tc>
          <w:tcPr>
            <w:tcW w:w="6779" w:type="dxa"/>
            <w:vAlign w:val="top"/>
          </w:tcPr>
          <w:p w14:paraId="786C9563">
            <w:pPr>
              <w:rPr>
                <w:rFonts w:ascii="Arial"/>
                <w:color w:val="auto"/>
                <w:sz w:val="21"/>
              </w:rPr>
            </w:pPr>
          </w:p>
        </w:tc>
      </w:tr>
    </w:tbl>
    <w:p w14:paraId="2796CC4D">
      <w:pPr>
        <w:spacing w:before="141" w:line="227" w:lineRule="auto"/>
        <w:ind w:left="346"/>
        <w:rPr>
          <w:rFonts w:ascii="宋体" w:hAnsi="宋体" w:eastAsia="宋体" w:cs="宋体"/>
          <w:color w:val="auto"/>
          <w:sz w:val="20"/>
          <w:szCs w:val="20"/>
        </w:rPr>
      </w:pPr>
      <w:r>
        <w:rPr>
          <w:rFonts w:ascii="宋体" w:hAnsi="宋体" w:eastAsia="宋体" w:cs="宋体"/>
          <w:color w:val="auto"/>
          <w:spacing w:val="8"/>
          <w:sz w:val="20"/>
          <w:szCs w:val="20"/>
        </w:rPr>
        <w:t>备注:附中标通知书或合同协议书。每张表格只填写一个项目，并</w:t>
      </w:r>
      <w:r>
        <w:rPr>
          <w:rFonts w:ascii="宋体" w:hAnsi="宋体" w:eastAsia="宋体" w:cs="宋体"/>
          <w:color w:val="auto"/>
          <w:spacing w:val="7"/>
          <w:sz w:val="20"/>
          <w:szCs w:val="20"/>
        </w:rPr>
        <w:t>标明序号。</w:t>
      </w:r>
    </w:p>
    <w:p w14:paraId="73001637">
      <w:pPr>
        <w:spacing w:line="227" w:lineRule="auto"/>
        <w:rPr>
          <w:rFonts w:ascii="宋体" w:hAnsi="宋体" w:eastAsia="宋体" w:cs="宋体"/>
          <w:color w:val="auto"/>
          <w:sz w:val="20"/>
          <w:szCs w:val="20"/>
        </w:rPr>
        <w:sectPr>
          <w:footerReference r:id="rId25" w:type="default"/>
          <w:pgSz w:w="11906" w:h="16839"/>
          <w:pgMar w:top="1431" w:right="1411" w:bottom="1016" w:left="1785" w:header="0" w:footer="852" w:gutter="0"/>
          <w:pgNumType w:fmt="decimal"/>
          <w:cols w:space="720" w:num="1"/>
        </w:sectPr>
      </w:pPr>
    </w:p>
    <w:p w14:paraId="6849AD69">
      <w:pPr>
        <w:pStyle w:val="5"/>
        <w:bidi w:val="0"/>
        <w:jc w:val="center"/>
      </w:pPr>
      <w:r>
        <w:t>（五）近年发生的诉讼和仲裁情况</w:t>
      </w:r>
    </w:p>
    <w:p w14:paraId="4A602DB5">
      <w:pPr>
        <w:pStyle w:val="9"/>
        <w:spacing w:line="340" w:lineRule="auto"/>
        <w:rPr>
          <w:color w:val="auto"/>
        </w:rPr>
      </w:pPr>
    </w:p>
    <w:p w14:paraId="0BC72C41">
      <w:pPr>
        <w:spacing w:before="65" w:line="409" w:lineRule="auto"/>
        <w:ind w:firstLine="419"/>
        <w:rPr>
          <w:rFonts w:ascii="宋体" w:hAnsi="宋体" w:eastAsia="宋体" w:cs="宋体"/>
          <w:color w:val="auto"/>
          <w:sz w:val="20"/>
          <w:szCs w:val="20"/>
        </w:rPr>
      </w:pPr>
      <w:r>
        <w:rPr>
          <w:rFonts w:ascii="宋体" w:hAnsi="宋体" w:eastAsia="宋体" w:cs="宋体"/>
          <w:color w:val="auto"/>
          <w:spacing w:val="9"/>
          <w:sz w:val="20"/>
          <w:szCs w:val="20"/>
        </w:rPr>
        <w:t>说明：近年发生的诉讼和仲裁情况仅限于供应商败诉的，且与</w:t>
      </w:r>
      <w:r>
        <w:rPr>
          <w:rFonts w:ascii="宋体" w:hAnsi="宋体" w:eastAsia="宋体" w:cs="宋体"/>
          <w:color w:val="auto"/>
          <w:spacing w:val="8"/>
          <w:sz w:val="20"/>
          <w:szCs w:val="20"/>
        </w:rPr>
        <w:t>履行施工承包合同有关的案件，</w:t>
      </w:r>
      <w:r>
        <w:rPr>
          <w:rFonts w:ascii="宋体" w:hAnsi="宋体" w:eastAsia="宋体" w:cs="宋体"/>
          <w:color w:val="auto"/>
          <w:spacing w:val="9"/>
          <w:sz w:val="20"/>
          <w:szCs w:val="20"/>
        </w:rPr>
        <w:t>不包括调解结案以及未裁决的仲裁或未终审判决的诉讼。</w:t>
      </w:r>
    </w:p>
    <w:p w14:paraId="5086FDCE">
      <w:pPr>
        <w:spacing w:line="409" w:lineRule="auto"/>
        <w:rPr>
          <w:rFonts w:ascii="宋体" w:hAnsi="宋体" w:eastAsia="宋体" w:cs="宋体"/>
          <w:color w:val="auto"/>
          <w:sz w:val="20"/>
          <w:szCs w:val="20"/>
        </w:rPr>
        <w:sectPr>
          <w:footerReference r:id="rId26" w:type="default"/>
          <w:pgSz w:w="11906" w:h="16839"/>
          <w:pgMar w:top="1431" w:right="1217" w:bottom="1018" w:left="1713" w:header="0" w:footer="852" w:gutter="0"/>
          <w:pgNumType w:fmt="decimal"/>
          <w:cols w:space="720" w:num="1"/>
        </w:sectPr>
      </w:pPr>
    </w:p>
    <w:p w14:paraId="4E5F2C7E">
      <w:pPr>
        <w:pStyle w:val="3"/>
        <w:bidi w:val="0"/>
        <w:jc w:val="center"/>
      </w:pPr>
      <w:r>
        <w:rPr>
          <w:rFonts w:hint="eastAsia"/>
          <w:lang w:val="en-US" w:eastAsia="zh-CN"/>
        </w:rPr>
        <w:t>九</w:t>
      </w:r>
      <w:r>
        <w:t>、施工组织设计</w:t>
      </w:r>
    </w:p>
    <w:p w14:paraId="7D22EF5E">
      <w:pPr>
        <w:spacing w:before="273" w:line="340" w:lineRule="auto"/>
        <w:ind w:firstLine="436"/>
        <w:rPr>
          <w:rFonts w:ascii="宋体" w:hAnsi="宋体" w:eastAsia="宋体" w:cs="宋体"/>
          <w:color w:val="auto"/>
          <w:sz w:val="20"/>
          <w:szCs w:val="20"/>
        </w:rPr>
      </w:pPr>
      <w:r>
        <w:rPr>
          <w:rFonts w:ascii="宋体" w:hAnsi="宋体" w:eastAsia="宋体" w:cs="宋体"/>
          <w:color w:val="auto"/>
          <w:spacing w:val="7"/>
          <w:sz w:val="20"/>
          <w:szCs w:val="20"/>
        </w:rPr>
        <w:t>1.供应商编制施工组织设计的要求：编制时可采用文字、图表形式说明施工</w:t>
      </w:r>
      <w:r>
        <w:rPr>
          <w:rFonts w:ascii="宋体" w:hAnsi="宋体" w:eastAsia="宋体" w:cs="宋体"/>
          <w:color w:val="auto"/>
          <w:spacing w:val="6"/>
          <w:sz w:val="20"/>
          <w:szCs w:val="20"/>
        </w:rPr>
        <w:t>方法；工程基本概</w:t>
      </w:r>
      <w:r>
        <w:rPr>
          <w:rFonts w:ascii="宋体" w:hAnsi="宋体" w:eastAsia="宋体" w:cs="宋体"/>
          <w:color w:val="auto"/>
          <w:spacing w:val="10"/>
          <w:sz w:val="20"/>
          <w:szCs w:val="20"/>
        </w:rPr>
        <w:t>况、施工总体进度计划保障措施、主要分项工程施工方案和技术措施、确保</w:t>
      </w:r>
      <w:r>
        <w:rPr>
          <w:rFonts w:ascii="宋体" w:hAnsi="宋体" w:eastAsia="宋体" w:cs="宋体"/>
          <w:color w:val="auto"/>
          <w:spacing w:val="9"/>
          <w:sz w:val="20"/>
          <w:szCs w:val="20"/>
        </w:rPr>
        <w:t>工程质量的技术组织措</w:t>
      </w:r>
      <w:r>
        <w:rPr>
          <w:rFonts w:ascii="宋体" w:hAnsi="宋体" w:eastAsia="宋体" w:cs="宋体"/>
          <w:color w:val="auto"/>
          <w:spacing w:val="10"/>
          <w:sz w:val="20"/>
          <w:szCs w:val="20"/>
        </w:rPr>
        <w:t>施、安全措施管理体系与措施、现场文明施工、消防、环保以及保卫方案、</w:t>
      </w:r>
      <w:r>
        <w:rPr>
          <w:rFonts w:ascii="宋体" w:hAnsi="宋体" w:eastAsia="宋体" w:cs="宋体"/>
          <w:color w:val="auto"/>
          <w:spacing w:val="9"/>
          <w:sz w:val="20"/>
          <w:szCs w:val="20"/>
        </w:rPr>
        <w:t>主要材料进场计划、紧急情况的处理措施、预案以及抵抗风险的措施等。</w:t>
      </w:r>
    </w:p>
    <w:p w14:paraId="771D3456">
      <w:pPr>
        <w:spacing w:before="161" w:line="227" w:lineRule="auto"/>
        <w:ind w:left="423"/>
        <w:rPr>
          <w:rFonts w:ascii="宋体" w:hAnsi="宋体" w:eastAsia="宋体" w:cs="宋体"/>
          <w:color w:val="auto"/>
          <w:sz w:val="20"/>
          <w:szCs w:val="20"/>
        </w:rPr>
      </w:pPr>
      <w:r>
        <w:rPr>
          <w:rFonts w:ascii="宋体" w:hAnsi="宋体" w:eastAsia="宋体" w:cs="宋体"/>
          <w:color w:val="auto"/>
          <w:spacing w:val="9"/>
          <w:sz w:val="20"/>
          <w:szCs w:val="20"/>
        </w:rPr>
        <w:t>2.施工组织设计除采用文字表述外可附下列图表，图表及格</w:t>
      </w:r>
      <w:r>
        <w:rPr>
          <w:rFonts w:ascii="宋体" w:hAnsi="宋体" w:eastAsia="宋体" w:cs="宋体"/>
          <w:color w:val="auto"/>
          <w:spacing w:val="8"/>
          <w:sz w:val="20"/>
          <w:szCs w:val="20"/>
        </w:rPr>
        <w:t>式要求附后。</w:t>
      </w:r>
    </w:p>
    <w:p w14:paraId="7717ED6B">
      <w:pPr>
        <w:spacing w:line="420" w:lineRule="exact"/>
        <w:ind w:left="357" w:leftChars="170"/>
        <w:rPr>
          <w:rFonts w:ascii="宋体"/>
          <w:sz w:val="24"/>
          <w:szCs w:val="24"/>
        </w:rPr>
      </w:pPr>
      <w:r>
        <w:rPr>
          <w:rFonts w:hint="eastAsia" w:ascii="宋体" w:hAnsi="宋体"/>
          <w:sz w:val="24"/>
          <w:szCs w:val="24"/>
        </w:rPr>
        <w:t>附表一</w:t>
      </w:r>
      <w:r>
        <w:rPr>
          <w:rFonts w:ascii="宋体" w:hAnsi="宋体"/>
          <w:sz w:val="24"/>
          <w:szCs w:val="24"/>
        </w:rPr>
        <w:t xml:space="preserve">  </w:t>
      </w:r>
      <w:r>
        <w:rPr>
          <w:rFonts w:hint="eastAsia" w:ascii="宋体" w:hAnsi="宋体"/>
          <w:sz w:val="24"/>
          <w:szCs w:val="24"/>
        </w:rPr>
        <w:t>拟投入本工程的主要施工设备表</w:t>
      </w:r>
    </w:p>
    <w:p w14:paraId="1CF11DAC">
      <w:pPr>
        <w:spacing w:line="420" w:lineRule="exact"/>
        <w:ind w:firstLine="480" w:firstLineChars="200"/>
        <w:rPr>
          <w:rFonts w:ascii="宋体"/>
          <w:sz w:val="24"/>
          <w:szCs w:val="24"/>
        </w:rPr>
      </w:pPr>
      <w:r>
        <w:rPr>
          <w:rFonts w:hint="eastAsia" w:ascii="宋体" w:hAnsi="宋体"/>
          <w:sz w:val="24"/>
          <w:szCs w:val="24"/>
        </w:rPr>
        <w:t>附表二</w:t>
      </w:r>
      <w:r>
        <w:rPr>
          <w:rFonts w:ascii="宋体" w:hAnsi="宋体"/>
          <w:sz w:val="24"/>
          <w:szCs w:val="24"/>
        </w:rPr>
        <w:t xml:space="preserve">  </w:t>
      </w:r>
      <w:r>
        <w:rPr>
          <w:rFonts w:hint="eastAsia" w:ascii="宋体" w:hAnsi="宋体"/>
          <w:sz w:val="24"/>
          <w:szCs w:val="24"/>
        </w:rPr>
        <w:t>拟配备本工程的试验和检测仪器设备表</w:t>
      </w:r>
    </w:p>
    <w:p w14:paraId="38244AEF">
      <w:pPr>
        <w:spacing w:line="420" w:lineRule="exact"/>
        <w:ind w:firstLine="480" w:firstLineChars="200"/>
        <w:rPr>
          <w:rFonts w:ascii="宋体"/>
          <w:sz w:val="24"/>
          <w:szCs w:val="24"/>
        </w:rPr>
      </w:pPr>
      <w:r>
        <w:rPr>
          <w:rFonts w:hint="eastAsia" w:ascii="宋体" w:hAnsi="宋体"/>
          <w:sz w:val="24"/>
          <w:szCs w:val="24"/>
        </w:rPr>
        <w:t>附表三</w:t>
      </w:r>
      <w:r>
        <w:rPr>
          <w:rFonts w:ascii="宋体" w:hAnsi="宋体"/>
          <w:sz w:val="24"/>
          <w:szCs w:val="24"/>
        </w:rPr>
        <w:t xml:space="preserve">  </w:t>
      </w:r>
      <w:r>
        <w:rPr>
          <w:rFonts w:hint="eastAsia" w:ascii="宋体" w:hAnsi="宋体"/>
          <w:sz w:val="24"/>
          <w:szCs w:val="24"/>
        </w:rPr>
        <w:t>劳动力计划表</w:t>
      </w:r>
    </w:p>
    <w:p w14:paraId="6A62036C">
      <w:pPr>
        <w:spacing w:line="420" w:lineRule="exact"/>
        <w:ind w:firstLine="480" w:firstLineChars="200"/>
        <w:rPr>
          <w:rFonts w:ascii="宋体"/>
          <w:sz w:val="24"/>
          <w:szCs w:val="24"/>
        </w:rPr>
      </w:pPr>
      <w:r>
        <w:rPr>
          <w:rFonts w:hint="eastAsia" w:ascii="宋体" w:hAnsi="宋体"/>
          <w:sz w:val="24"/>
          <w:szCs w:val="24"/>
        </w:rPr>
        <w:t>附表四</w:t>
      </w:r>
      <w:r>
        <w:rPr>
          <w:rFonts w:ascii="宋体" w:hAnsi="宋体"/>
          <w:sz w:val="24"/>
          <w:szCs w:val="24"/>
        </w:rPr>
        <w:t xml:space="preserve">  </w:t>
      </w:r>
      <w:r>
        <w:rPr>
          <w:rFonts w:hint="eastAsia" w:ascii="宋体" w:hAnsi="宋体"/>
          <w:sz w:val="24"/>
          <w:szCs w:val="24"/>
        </w:rPr>
        <w:t>计划开、竣工日期和施工进度网络图</w:t>
      </w:r>
    </w:p>
    <w:p w14:paraId="1AE0C297">
      <w:pPr>
        <w:spacing w:line="420" w:lineRule="exact"/>
        <w:ind w:firstLine="480" w:firstLineChars="200"/>
        <w:rPr>
          <w:rFonts w:ascii="宋体"/>
          <w:sz w:val="24"/>
          <w:szCs w:val="24"/>
        </w:rPr>
      </w:pPr>
      <w:r>
        <w:rPr>
          <w:rFonts w:hint="eastAsia" w:ascii="宋体" w:hAnsi="宋体"/>
          <w:sz w:val="24"/>
          <w:szCs w:val="24"/>
        </w:rPr>
        <w:t>附表五</w:t>
      </w:r>
      <w:r>
        <w:rPr>
          <w:rFonts w:ascii="宋体" w:hAnsi="宋体"/>
          <w:sz w:val="24"/>
          <w:szCs w:val="24"/>
        </w:rPr>
        <w:t xml:space="preserve">  </w:t>
      </w:r>
      <w:r>
        <w:rPr>
          <w:rFonts w:hint="eastAsia" w:ascii="宋体" w:hAnsi="宋体"/>
          <w:sz w:val="24"/>
          <w:szCs w:val="24"/>
        </w:rPr>
        <w:t>施工总平面图</w:t>
      </w:r>
    </w:p>
    <w:p w14:paraId="326BFD34">
      <w:pPr>
        <w:spacing w:line="420" w:lineRule="exact"/>
        <w:ind w:firstLine="480" w:firstLineChars="200"/>
        <w:rPr>
          <w:rFonts w:hint="eastAsia" w:ascii="宋体" w:hAnsi="宋体"/>
          <w:sz w:val="24"/>
          <w:szCs w:val="24"/>
        </w:rPr>
      </w:pPr>
      <w:r>
        <w:rPr>
          <w:rFonts w:hint="eastAsia" w:ascii="宋体" w:hAnsi="宋体"/>
          <w:sz w:val="24"/>
          <w:szCs w:val="24"/>
        </w:rPr>
        <w:t>附表六</w:t>
      </w:r>
      <w:r>
        <w:rPr>
          <w:rFonts w:ascii="宋体" w:hAnsi="宋体"/>
          <w:sz w:val="24"/>
          <w:szCs w:val="24"/>
        </w:rPr>
        <w:t xml:space="preserve">  </w:t>
      </w:r>
      <w:r>
        <w:rPr>
          <w:rFonts w:hint="eastAsia" w:ascii="宋体" w:hAnsi="宋体"/>
          <w:sz w:val="24"/>
          <w:szCs w:val="24"/>
        </w:rPr>
        <w:t>临时用地表</w:t>
      </w:r>
    </w:p>
    <w:p w14:paraId="10C90B2F">
      <w:pPr>
        <w:spacing w:before="156" w:beforeLines="50" w:after="312" w:afterLines="100" w:line="420" w:lineRule="exact"/>
        <w:rPr>
          <w:rFonts w:ascii="宋体" w:hAnsi="宋体"/>
          <w:sz w:val="24"/>
          <w:szCs w:val="24"/>
        </w:rPr>
      </w:pPr>
      <w:r>
        <w:rPr>
          <w:rFonts w:hint="eastAsia" w:ascii="宋体" w:hAnsi="宋体"/>
          <w:sz w:val="24"/>
          <w:szCs w:val="24"/>
        </w:rPr>
        <w:t>附表一：拟投入本工程的主要施工设备表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67"/>
        <w:gridCol w:w="737"/>
        <w:gridCol w:w="1121"/>
        <w:gridCol w:w="778"/>
        <w:gridCol w:w="778"/>
        <w:gridCol w:w="1290"/>
        <w:gridCol w:w="957"/>
        <w:gridCol w:w="957"/>
        <w:gridCol w:w="839"/>
      </w:tblGrid>
      <w:tr w14:paraId="4118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2578F84">
            <w:pPr>
              <w:jc w:val="center"/>
              <w:rPr>
                <w:rFonts w:ascii="宋体"/>
                <w:sz w:val="24"/>
                <w:szCs w:val="24"/>
              </w:rPr>
            </w:pPr>
            <w:r>
              <w:rPr>
                <w:rFonts w:hint="eastAsia" w:ascii="宋体" w:hAnsi="宋体"/>
                <w:sz w:val="24"/>
                <w:szCs w:val="24"/>
              </w:rPr>
              <w:t>序号</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C9FCD27">
            <w:pPr>
              <w:jc w:val="center"/>
              <w:rPr>
                <w:rFonts w:ascii="宋体"/>
                <w:sz w:val="24"/>
                <w:szCs w:val="24"/>
              </w:rPr>
            </w:pPr>
            <w:r>
              <w:rPr>
                <w:rFonts w:hint="eastAsia" w:ascii="宋体" w:hAnsi="宋体"/>
                <w:sz w:val="24"/>
                <w:szCs w:val="24"/>
              </w:rPr>
              <w:t>设备名称</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D3F3A9C">
            <w:pPr>
              <w:jc w:val="center"/>
              <w:rPr>
                <w:rFonts w:ascii="宋体"/>
                <w:sz w:val="24"/>
                <w:szCs w:val="24"/>
              </w:rPr>
            </w:pPr>
            <w:r>
              <w:rPr>
                <w:rFonts w:hint="eastAsia" w:ascii="宋体" w:hAnsi="宋体"/>
                <w:sz w:val="24"/>
                <w:szCs w:val="24"/>
              </w:rPr>
              <w:t>型号</w:t>
            </w:r>
          </w:p>
          <w:p w14:paraId="21892F50">
            <w:pPr>
              <w:jc w:val="center"/>
              <w:rPr>
                <w:rFonts w:ascii="宋体"/>
                <w:sz w:val="24"/>
                <w:szCs w:val="24"/>
              </w:rPr>
            </w:pPr>
            <w:r>
              <w:rPr>
                <w:rFonts w:hint="eastAsia" w:ascii="宋体" w:hAnsi="宋体"/>
                <w:sz w:val="24"/>
                <w:szCs w:val="24"/>
              </w:rPr>
              <w:t>规格</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C04C9CA">
            <w:pPr>
              <w:jc w:val="center"/>
              <w:rPr>
                <w:rFonts w:ascii="宋体"/>
                <w:sz w:val="24"/>
                <w:szCs w:val="24"/>
              </w:rPr>
            </w:pPr>
            <w:r>
              <w:rPr>
                <w:rFonts w:hint="eastAsia" w:ascii="宋体" w:hAnsi="宋体"/>
                <w:sz w:val="24"/>
                <w:szCs w:val="24"/>
              </w:rPr>
              <w:t>数</w:t>
            </w:r>
            <w:r>
              <w:rPr>
                <w:rFonts w:ascii="宋体" w:hAnsi="宋体"/>
                <w:sz w:val="24"/>
                <w:szCs w:val="24"/>
              </w:rPr>
              <w:t xml:space="preserve">  </w:t>
            </w:r>
            <w:r>
              <w:rPr>
                <w:rFonts w:hint="eastAsia" w:ascii="宋体" w:hAnsi="宋体"/>
                <w:sz w:val="24"/>
                <w:szCs w:val="24"/>
              </w:rPr>
              <w:t>量</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3B6FC437">
            <w:pPr>
              <w:jc w:val="center"/>
              <w:rPr>
                <w:rFonts w:ascii="宋体"/>
                <w:sz w:val="24"/>
                <w:szCs w:val="24"/>
              </w:rPr>
            </w:pPr>
            <w:r>
              <w:rPr>
                <w:rFonts w:hint="eastAsia" w:ascii="宋体" w:hAnsi="宋体"/>
                <w:sz w:val="24"/>
                <w:szCs w:val="24"/>
              </w:rPr>
              <w:t>国别</w:t>
            </w:r>
          </w:p>
          <w:p w14:paraId="0CDB088E">
            <w:pPr>
              <w:jc w:val="center"/>
              <w:rPr>
                <w:rFonts w:ascii="宋体"/>
                <w:sz w:val="24"/>
                <w:szCs w:val="24"/>
              </w:rPr>
            </w:pPr>
            <w:r>
              <w:rPr>
                <w:rFonts w:hint="eastAsia" w:ascii="宋体" w:hAnsi="宋体"/>
                <w:sz w:val="24"/>
                <w:szCs w:val="24"/>
              </w:rPr>
              <w:t>产地</w:t>
            </w:r>
          </w:p>
        </w:tc>
        <w:tc>
          <w:tcPr>
            <w:tcW w:w="778" w:type="dxa"/>
            <w:tcBorders>
              <w:top w:val="single" w:color="auto" w:sz="4" w:space="0"/>
              <w:left w:val="single" w:color="auto" w:sz="4" w:space="0"/>
              <w:bottom w:val="single" w:color="auto" w:sz="4" w:space="0"/>
              <w:right w:val="single" w:color="auto" w:sz="4" w:space="0"/>
            </w:tcBorders>
            <w:noWrap w:val="0"/>
            <w:vAlign w:val="center"/>
          </w:tcPr>
          <w:p w14:paraId="55377FEA">
            <w:pPr>
              <w:jc w:val="center"/>
              <w:rPr>
                <w:rFonts w:ascii="宋体"/>
                <w:sz w:val="24"/>
                <w:szCs w:val="24"/>
              </w:rPr>
            </w:pPr>
            <w:r>
              <w:rPr>
                <w:rFonts w:hint="eastAsia" w:ascii="宋体" w:hAnsi="宋体"/>
                <w:sz w:val="24"/>
                <w:szCs w:val="24"/>
              </w:rPr>
              <w:t>制造</w:t>
            </w:r>
          </w:p>
          <w:p w14:paraId="7D9CF712">
            <w:pPr>
              <w:jc w:val="center"/>
              <w:rPr>
                <w:rFonts w:ascii="宋体"/>
                <w:sz w:val="24"/>
                <w:szCs w:val="24"/>
              </w:rPr>
            </w:pPr>
            <w:r>
              <w:rPr>
                <w:rFonts w:hint="eastAsia" w:ascii="宋体" w:hAnsi="宋体"/>
                <w:sz w:val="24"/>
                <w:szCs w:val="24"/>
              </w:rPr>
              <w:t>年份</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46851D2">
            <w:pPr>
              <w:jc w:val="center"/>
              <w:rPr>
                <w:rFonts w:ascii="宋体"/>
                <w:sz w:val="24"/>
                <w:szCs w:val="24"/>
              </w:rPr>
            </w:pPr>
            <w:r>
              <w:rPr>
                <w:rFonts w:hint="eastAsia" w:ascii="宋体" w:hAnsi="宋体"/>
                <w:sz w:val="24"/>
                <w:szCs w:val="24"/>
              </w:rPr>
              <w:t>额定功率</w:t>
            </w:r>
          </w:p>
          <w:p w14:paraId="512E769F">
            <w:pPr>
              <w:jc w:val="center"/>
              <w:rPr>
                <w:rFonts w:ascii="宋体"/>
                <w:sz w:val="24"/>
                <w:szCs w:val="24"/>
              </w:rPr>
            </w:pPr>
            <w:r>
              <w:rPr>
                <w:rFonts w:hint="eastAsia" w:ascii="宋体" w:hAnsi="宋体"/>
                <w:sz w:val="24"/>
                <w:szCs w:val="24"/>
              </w:rPr>
              <w:t>（</w:t>
            </w:r>
            <w:r>
              <w:rPr>
                <w:rFonts w:ascii="宋体" w:hAnsi="宋体"/>
                <w:sz w:val="24"/>
                <w:szCs w:val="24"/>
              </w:rPr>
              <w:t>KW</w:t>
            </w:r>
            <w:r>
              <w:rPr>
                <w:rFonts w:hint="eastAsia" w:ascii="宋体" w:hAnsi="宋体"/>
                <w:sz w:val="24"/>
                <w:szCs w:val="24"/>
              </w:rPr>
              <w:t>）</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5EFFD02">
            <w:pPr>
              <w:jc w:val="center"/>
              <w:rPr>
                <w:rFonts w:ascii="宋体"/>
                <w:sz w:val="24"/>
                <w:szCs w:val="24"/>
              </w:rPr>
            </w:pPr>
            <w:r>
              <w:rPr>
                <w:rFonts w:hint="eastAsia" w:ascii="宋体" w:hAnsi="宋体"/>
                <w:sz w:val="24"/>
                <w:szCs w:val="24"/>
              </w:rPr>
              <w:t>生产</w:t>
            </w:r>
          </w:p>
          <w:p w14:paraId="793E0B92">
            <w:pPr>
              <w:jc w:val="center"/>
              <w:rPr>
                <w:rFonts w:ascii="宋体"/>
                <w:sz w:val="24"/>
                <w:szCs w:val="24"/>
              </w:rPr>
            </w:pPr>
            <w:r>
              <w:rPr>
                <w:rFonts w:hint="eastAsia" w:ascii="宋体" w:hAnsi="宋体"/>
                <w:sz w:val="24"/>
                <w:szCs w:val="24"/>
              </w:rPr>
              <w:t>能力</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75A0CBE6">
            <w:pPr>
              <w:jc w:val="center"/>
              <w:rPr>
                <w:rFonts w:ascii="宋体"/>
                <w:sz w:val="24"/>
                <w:szCs w:val="24"/>
              </w:rPr>
            </w:pPr>
            <w:r>
              <w:rPr>
                <w:rFonts w:hint="eastAsia" w:ascii="宋体" w:hAnsi="宋体"/>
                <w:sz w:val="24"/>
                <w:szCs w:val="24"/>
              </w:rPr>
              <w:t>用于施</w:t>
            </w:r>
          </w:p>
          <w:p w14:paraId="5D62BBA7">
            <w:pPr>
              <w:jc w:val="center"/>
              <w:rPr>
                <w:rFonts w:ascii="宋体"/>
                <w:sz w:val="24"/>
                <w:szCs w:val="24"/>
              </w:rPr>
            </w:pPr>
            <w:r>
              <w:rPr>
                <w:rFonts w:hint="eastAsia" w:ascii="宋体" w:hAnsi="宋体"/>
                <w:sz w:val="24"/>
                <w:szCs w:val="24"/>
              </w:rPr>
              <w:t>工部位</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5494C9FC">
            <w:pPr>
              <w:jc w:val="center"/>
              <w:rPr>
                <w:rFonts w:ascii="宋体"/>
                <w:sz w:val="24"/>
                <w:szCs w:val="24"/>
              </w:rPr>
            </w:pPr>
            <w:r>
              <w:rPr>
                <w:rFonts w:hint="eastAsia" w:ascii="宋体" w:hAnsi="宋体"/>
                <w:sz w:val="24"/>
                <w:szCs w:val="24"/>
              </w:rPr>
              <w:t>备注</w:t>
            </w:r>
          </w:p>
        </w:tc>
      </w:tr>
      <w:tr w14:paraId="021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C071167">
            <w:pPr>
              <w:jc w:val="center"/>
              <w:rPr>
                <w:rFonts w:ascii="宋体"/>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9F8118F">
            <w:pPr>
              <w:jc w:val="center"/>
              <w:rPr>
                <w:rFonts w:ascii="宋体"/>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2FABDBA">
            <w:pPr>
              <w:jc w:val="center"/>
              <w:rPr>
                <w:rFonts w:ascii="宋体"/>
                <w:sz w:val="24"/>
                <w:szCs w:val="24"/>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9E2E28B">
            <w:pPr>
              <w:jc w:val="center"/>
              <w:rPr>
                <w:rFonts w:ascii="宋体"/>
                <w:sz w:val="24"/>
                <w:szCs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557A81CA">
            <w:pPr>
              <w:jc w:val="center"/>
              <w:rPr>
                <w:rFonts w:ascii="宋体"/>
                <w:sz w:val="24"/>
                <w:szCs w:val="24"/>
              </w:rPr>
            </w:pPr>
          </w:p>
        </w:tc>
        <w:tc>
          <w:tcPr>
            <w:tcW w:w="778" w:type="dxa"/>
            <w:tcBorders>
              <w:top w:val="single" w:color="auto" w:sz="4" w:space="0"/>
              <w:left w:val="single" w:color="auto" w:sz="4" w:space="0"/>
              <w:bottom w:val="single" w:color="auto" w:sz="4" w:space="0"/>
              <w:right w:val="single" w:color="auto" w:sz="4" w:space="0"/>
            </w:tcBorders>
            <w:noWrap w:val="0"/>
            <w:vAlign w:val="center"/>
          </w:tcPr>
          <w:p w14:paraId="7EB20B51">
            <w:pPr>
              <w:jc w:val="center"/>
              <w:rPr>
                <w:rFonts w:ascii="宋体"/>
                <w:sz w:val="24"/>
                <w:szCs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810250F">
            <w:pPr>
              <w:jc w:val="center"/>
              <w:rPr>
                <w:rFonts w:ascii="宋体"/>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9DEE443">
            <w:pPr>
              <w:jc w:val="center"/>
              <w:rPr>
                <w:rFonts w:ascii="宋体"/>
                <w:sz w:val="24"/>
                <w:szCs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25237F2">
            <w:pPr>
              <w:jc w:val="center"/>
              <w:rPr>
                <w:rFonts w:ascii="宋体"/>
                <w:sz w:val="24"/>
                <w:szCs w:val="24"/>
              </w:rPr>
            </w:pPr>
          </w:p>
        </w:tc>
        <w:tc>
          <w:tcPr>
            <w:tcW w:w="839" w:type="dxa"/>
            <w:tcBorders>
              <w:top w:val="single" w:color="auto" w:sz="4" w:space="0"/>
              <w:left w:val="single" w:color="auto" w:sz="4" w:space="0"/>
              <w:bottom w:val="single" w:color="auto" w:sz="4" w:space="0"/>
              <w:right w:val="single" w:color="auto" w:sz="4" w:space="0"/>
            </w:tcBorders>
            <w:noWrap w:val="0"/>
            <w:vAlign w:val="center"/>
          </w:tcPr>
          <w:p w14:paraId="559AA1D9">
            <w:pPr>
              <w:jc w:val="center"/>
              <w:rPr>
                <w:rFonts w:ascii="宋体"/>
                <w:sz w:val="24"/>
                <w:szCs w:val="24"/>
              </w:rPr>
            </w:pPr>
          </w:p>
        </w:tc>
      </w:tr>
    </w:tbl>
    <w:p w14:paraId="66FE1D93">
      <w:pPr>
        <w:spacing w:before="156" w:beforeLines="50" w:after="312" w:afterLines="100" w:line="420" w:lineRule="exact"/>
        <w:rPr>
          <w:rFonts w:ascii="宋体" w:hAnsi="宋体"/>
          <w:sz w:val="24"/>
          <w:szCs w:val="24"/>
        </w:rPr>
      </w:pPr>
      <w:r>
        <w:rPr>
          <w:rFonts w:hint="eastAsia" w:ascii="宋体" w:hAnsi="宋体"/>
          <w:sz w:val="24"/>
          <w:szCs w:val="24"/>
        </w:rPr>
        <w:t>附表二：拟配备本工程的试验和检测仪器设备表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73"/>
        <w:gridCol w:w="644"/>
        <w:gridCol w:w="1129"/>
        <w:gridCol w:w="783"/>
        <w:gridCol w:w="783"/>
        <w:gridCol w:w="1299"/>
        <w:gridCol w:w="1832"/>
        <w:gridCol w:w="939"/>
      </w:tblGrid>
      <w:tr w14:paraId="2ECF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8F01B0F">
            <w:pPr>
              <w:jc w:val="center"/>
              <w:rPr>
                <w:rFonts w:ascii="宋体"/>
                <w:sz w:val="24"/>
                <w:szCs w:val="24"/>
              </w:rPr>
            </w:pPr>
            <w:r>
              <w:rPr>
                <w:rFonts w:hint="eastAsia" w:ascii="宋体" w:hAnsi="宋体"/>
                <w:sz w:val="24"/>
                <w:szCs w:val="24"/>
              </w:rPr>
              <w:t>序号</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A2D2384">
            <w:pPr>
              <w:jc w:val="center"/>
              <w:rPr>
                <w:rFonts w:ascii="宋体"/>
                <w:sz w:val="24"/>
                <w:szCs w:val="24"/>
              </w:rPr>
            </w:pPr>
            <w:r>
              <w:rPr>
                <w:rFonts w:hint="eastAsia" w:ascii="宋体" w:hAnsi="宋体"/>
                <w:sz w:val="24"/>
                <w:szCs w:val="24"/>
              </w:rPr>
              <w:t>仪器设备</w:t>
            </w:r>
          </w:p>
          <w:p w14:paraId="10188299">
            <w:pPr>
              <w:jc w:val="center"/>
              <w:rPr>
                <w:rFonts w:ascii="宋体"/>
                <w:sz w:val="24"/>
                <w:szCs w:val="24"/>
              </w:rPr>
            </w:pP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p>
        </w:tc>
        <w:tc>
          <w:tcPr>
            <w:tcW w:w="644" w:type="dxa"/>
            <w:tcBorders>
              <w:top w:val="single" w:color="auto" w:sz="4" w:space="0"/>
              <w:left w:val="single" w:color="auto" w:sz="4" w:space="0"/>
              <w:bottom w:val="single" w:color="auto" w:sz="4" w:space="0"/>
              <w:right w:val="single" w:color="auto" w:sz="4" w:space="0"/>
            </w:tcBorders>
            <w:noWrap w:val="0"/>
            <w:vAlign w:val="center"/>
          </w:tcPr>
          <w:p w14:paraId="5B3694E3">
            <w:pPr>
              <w:jc w:val="center"/>
              <w:rPr>
                <w:rFonts w:ascii="宋体"/>
                <w:sz w:val="24"/>
                <w:szCs w:val="24"/>
              </w:rPr>
            </w:pPr>
            <w:r>
              <w:rPr>
                <w:rFonts w:hint="eastAsia" w:ascii="宋体" w:hAnsi="宋体"/>
                <w:sz w:val="24"/>
                <w:szCs w:val="24"/>
              </w:rPr>
              <w:t>型号</w:t>
            </w:r>
          </w:p>
          <w:p w14:paraId="0750798C">
            <w:pPr>
              <w:jc w:val="center"/>
              <w:rPr>
                <w:rFonts w:ascii="宋体"/>
                <w:sz w:val="24"/>
                <w:szCs w:val="24"/>
              </w:rPr>
            </w:pPr>
            <w:r>
              <w:rPr>
                <w:rFonts w:hint="eastAsia" w:ascii="宋体" w:hAnsi="宋体"/>
                <w:sz w:val="24"/>
                <w:szCs w:val="24"/>
              </w:rPr>
              <w:t>规格</w:t>
            </w:r>
          </w:p>
        </w:tc>
        <w:tc>
          <w:tcPr>
            <w:tcW w:w="1129" w:type="dxa"/>
            <w:tcBorders>
              <w:top w:val="single" w:color="auto" w:sz="4" w:space="0"/>
              <w:left w:val="single" w:color="auto" w:sz="4" w:space="0"/>
              <w:bottom w:val="single" w:color="auto" w:sz="4" w:space="0"/>
              <w:right w:val="single" w:color="auto" w:sz="4" w:space="0"/>
            </w:tcBorders>
            <w:noWrap w:val="0"/>
            <w:vAlign w:val="center"/>
          </w:tcPr>
          <w:p w14:paraId="18C62A63">
            <w:pPr>
              <w:jc w:val="center"/>
              <w:rPr>
                <w:rFonts w:ascii="宋体"/>
                <w:sz w:val="24"/>
                <w:szCs w:val="24"/>
              </w:rPr>
            </w:pPr>
            <w:r>
              <w:rPr>
                <w:rFonts w:hint="eastAsia" w:ascii="宋体" w:hAnsi="宋体"/>
                <w:sz w:val="24"/>
                <w:szCs w:val="24"/>
              </w:rPr>
              <w:t>数</w:t>
            </w:r>
            <w:r>
              <w:rPr>
                <w:rFonts w:ascii="宋体" w:hAnsi="宋体"/>
                <w:sz w:val="24"/>
                <w:szCs w:val="24"/>
              </w:rPr>
              <w:t xml:space="preserve">  </w:t>
            </w:r>
            <w:r>
              <w:rPr>
                <w:rFonts w:hint="eastAsia" w:ascii="宋体" w:hAnsi="宋体"/>
                <w:sz w:val="24"/>
                <w:szCs w:val="24"/>
              </w:rPr>
              <w:t>量</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7B116662">
            <w:pPr>
              <w:jc w:val="center"/>
              <w:rPr>
                <w:rFonts w:ascii="宋体"/>
                <w:sz w:val="24"/>
                <w:szCs w:val="24"/>
              </w:rPr>
            </w:pPr>
            <w:r>
              <w:rPr>
                <w:rFonts w:hint="eastAsia" w:ascii="宋体" w:hAnsi="宋体"/>
                <w:sz w:val="24"/>
                <w:szCs w:val="24"/>
              </w:rPr>
              <w:t>国别</w:t>
            </w:r>
          </w:p>
          <w:p w14:paraId="316F1BD4">
            <w:pPr>
              <w:jc w:val="center"/>
              <w:rPr>
                <w:rFonts w:ascii="宋体"/>
                <w:sz w:val="24"/>
                <w:szCs w:val="24"/>
              </w:rPr>
            </w:pPr>
            <w:r>
              <w:rPr>
                <w:rFonts w:hint="eastAsia" w:ascii="宋体" w:hAnsi="宋体"/>
                <w:sz w:val="24"/>
                <w:szCs w:val="24"/>
              </w:rPr>
              <w:t>产地</w:t>
            </w:r>
          </w:p>
        </w:tc>
        <w:tc>
          <w:tcPr>
            <w:tcW w:w="783" w:type="dxa"/>
            <w:tcBorders>
              <w:top w:val="single" w:color="auto" w:sz="4" w:space="0"/>
              <w:left w:val="single" w:color="auto" w:sz="4" w:space="0"/>
              <w:bottom w:val="single" w:color="auto" w:sz="4" w:space="0"/>
              <w:right w:val="single" w:color="auto" w:sz="4" w:space="0"/>
            </w:tcBorders>
            <w:noWrap w:val="0"/>
            <w:vAlign w:val="center"/>
          </w:tcPr>
          <w:p w14:paraId="67582D6C">
            <w:pPr>
              <w:jc w:val="center"/>
              <w:rPr>
                <w:rFonts w:ascii="宋体"/>
                <w:sz w:val="24"/>
                <w:szCs w:val="24"/>
              </w:rPr>
            </w:pPr>
            <w:r>
              <w:rPr>
                <w:rFonts w:hint="eastAsia" w:ascii="宋体" w:hAnsi="宋体"/>
                <w:sz w:val="24"/>
                <w:szCs w:val="24"/>
              </w:rPr>
              <w:t>制造</w:t>
            </w:r>
          </w:p>
          <w:p w14:paraId="61B4CE99">
            <w:pPr>
              <w:jc w:val="center"/>
              <w:rPr>
                <w:rFonts w:ascii="宋体"/>
                <w:sz w:val="24"/>
                <w:szCs w:val="24"/>
              </w:rPr>
            </w:pPr>
            <w:r>
              <w:rPr>
                <w:rFonts w:hint="eastAsia" w:ascii="宋体" w:hAnsi="宋体"/>
                <w:sz w:val="24"/>
                <w:szCs w:val="24"/>
              </w:rPr>
              <w:t>年份</w:t>
            </w:r>
          </w:p>
        </w:tc>
        <w:tc>
          <w:tcPr>
            <w:tcW w:w="1299" w:type="dxa"/>
            <w:tcBorders>
              <w:top w:val="single" w:color="auto" w:sz="4" w:space="0"/>
              <w:left w:val="single" w:color="auto" w:sz="4" w:space="0"/>
              <w:bottom w:val="single" w:color="auto" w:sz="4" w:space="0"/>
              <w:right w:val="single" w:color="auto" w:sz="4" w:space="0"/>
            </w:tcBorders>
            <w:noWrap w:val="0"/>
            <w:vAlign w:val="center"/>
          </w:tcPr>
          <w:p w14:paraId="1F5FAED3">
            <w:pPr>
              <w:jc w:val="center"/>
              <w:rPr>
                <w:rFonts w:ascii="宋体"/>
                <w:sz w:val="24"/>
                <w:szCs w:val="24"/>
              </w:rPr>
            </w:pPr>
            <w:r>
              <w:rPr>
                <w:rFonts w:hint="eastAsia" w:ascii="宋体" w:hAnsi="宋体"/>
                <w:sz w:val="24"/>
                <w:szCs w:val="24"/>
              </w:rPr>
              <w:t>已使用台</w:t>
            </w:r>
          </w:p>
          <w:p w14:paraId="1F12BFE8">
            <w:pPr>
              <w:jc w:val="center"/>
              <w:rPr>
                <w:rFonts w:ascii="宋体"/>
                <w:sz w:val="24"/>
                <w:szCs w:val="24"/>
              </w:rPr>
            </w:pPr>
            <w:r>
              <w:rPr>
                <w:rFonts w:hint="eastAsia" w:ascii="宋体" w:hAnsi="宋体"/>
                <w:sz w:val="24"/>
                <w:szCs w:val="24"/>
              </w:rPr>
              <w:t>时</w:t>
            </w:r>
            <w:r>
              <w:rPr>
                <w:rFonts w:ascii="宋体" w:hAnsi="宋体"/>
                <w:sz w:val="24"/>
                <w:szCs w:val="24"/>
              </w:rPr>
              <w:t xml:space="preserve">    </w:t>
            </w:r>
            <w:r>
              <w:rPr>
                <w:rFonts w:hint="eastAsia" w:ascii="宋体" w:hAnsi="宋体"/>
                <w:sz w:val="24"/>
                <w:szCs w:val="24"/>
              </w:rPr>
              <w:t>数</w:t>
            </w:r>
          </w:p>
        </w:tc>
        <w:tc>
          <w:tcPr>
            <w:tcW w:w="1832" w:type="dxa"/>
            <w:tcBorders>
              <w:top w:val="single" w:color="auto" w:sz="4" w:space="0"/>
              <w:left w:val="single" w:color="auto" w:sz="4" w:space="0"/>
              <w:bottom w:val="single" w:color="auto" w:sz="4" w:space="0"/>
              <w:right w:val="single" w:color="auto" w:sz="4" w:space="0"/>
            </w:tcBorders>
            <w:noWrap w:val="0"/>
            <w:vAlign w:val="center"/>
          </w:tcPr>
          <w:p w14:paraId="2F4548D9">
            <w:pPr>
              <w:jc w:val="center"/>
              <w:rPr>
                <w:rFonts w:ascii="宋体"/>
                <w:sz w:val="24"/>
                <w:szCs w:val="24"/>
              </w:rPr>
            </w:pPr>
            <w:r>
              <w:rPr>
                <w:rFonts w:hint="eastAsia" w:ascii="宋体" w:hAnsi="宋体"/>
                <w:sz w:val="24"/>
                <w:szCs w:val="24"/>
              </w:rPr>
              <w:t>用</w:t>
            </w:r>
            <w:r>
              <w:rPr>
                <w:rFonts w:ascii="宋体" w:hAnsi="宋体"/>
                <w:sz w:val="24"/>
                <w:szCs w:val="24"/>
              </w:rPr>
              <w:t xml:space="preserve">  </w:t>
            </w:r>
            <w:r>
              <w:rPr>
                <w:rFonts w:hint="eastAsia" w:ascii="宋体" w:hAnsi="宋体"/>
                <w:sz w:val="24"/>
                <w:szCs w:val="24"/>
              </w:rPr>
              <w:t>途</w:t>
            </w:r>
          </w:p>
        </w:tc>
        <w:tc>
          <w:tcPr>
            <w:tcW w:w="939" w:type="dxa"/>
            <w:tcBorders>
              <w:top w:val="single" w:color="auto" w:sz="4" w:space="0"/>
              <w:left w:val="single" w:color="auto" w:sz="4" w:space="0"/>
              <w:bottom w:val="single" w:color="auto" w:sz="4" w:space="0"/>
              <w:right w:val="single" w:color="auto" w:sz="4" w:space="0"/>
            </w:tcBorders>
            <w:noWrap w:val="0"/>
            <w:vAlign w:val="center"/>
          </w:tcPr>
          <w:p w14:paraId="138B951F">
            <w:pPr>
              <w:jc w:val="center"/>
              <w:rPr>
                <w:rFonts w:ascii="宋体"/>
                <w:sz w:val="24"/>
                <w:szCs w:val="24"/>
              </w:rPr>
            </w:pPr>
            <w:r>
              <w:rPr>
                <w:rFonts w:hint="eastAsia" w:ascii="宋体" w:hAnsi="宋体"/>
                <w:sz w:val="24"/>
                <w:szCs w:val="24"/>
              </w:rPr>
              <w:t>备注</w:t>
            </w:r>
          </w:p>
        </w:tc>
      </w:tr>
      <w:tr w14:paraId="025D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3AF9C582">
            <w:pPr>
              <w:jc w:val="center"/>
              <w:rPr>
                <w:rFonts w:ascii="宋体"/>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B0C8E1D">
            <w:pPr>
              <w:jc w:val="center"/>
              <w:rPr>
                <w:rFonts w:ascii="宋体"/>
                <w:sz w:val="24"/>
                <w:szCs w:val="24"/>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25EB3A26">
            <w:pPr>
              <w:jc w:val="center"/>
              <w:rPr>
                <w:rFonts w:ascii="宋体"/>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06054475">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239AFC4B">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47F818A0">
            <w:pPr>
              <w:jc w:val="center"/>
              <w:rPr>
                <w:rFonts w:ascii="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2241C78">
            <w:pPr>
              <w:jc w:val="center"/>
              <w:rPr>
                <w:rFonts w:ascii="宋体"/>
                <w:sz w:val="24"/>
                <w:szCs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51CE93DE">
            <w:pPr>
              <w:jc w:val="center"/>
              <w:rPr>
                <w:rFonts w:ascii="宋体"/>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2AB4C88">
            <w:pPr>
              <w:jc w:val="center"/>
              <w:rPr>
                <w:rFonts w:ascii="宋体"/>
                <w:sz w:val="24"/>
                <w:szCs w:val="24"/>
              </w:rPr>
            </w:pPr>
          </w:p>
        </w:tc>
      </w:tr>
      <w:tr w14:paraId="2762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F2F928F">
            <w:pPr>
              <w:jc w:val="center"/>
              <w:rPr>
                <w:rFonts w:ascii="宋体"/>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263E3B7">
            <w:pPr>
              <w:jc w:val="center"/>
              <w:rPr>
                <w:rFonts w:ascii="宋体"/>
                <w:sz w:val="24"/>
                <w:szCs w:val="24"/>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3CD4A8A8">
            <w:pPr>
              <w:jc w:val="center"/>
              <w:rPr>
                <w:rFonts w:ascii="宋体"/>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65BB056">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54C7B293">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1151832">
            <w:pPr>
              <w:jc w:val="center"/>
              <w:rPr>
                <w:rFonts w:ascii="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72849295">
            <w:pPr>
              <w:jc w:val="center"/>
              <w:rPr>
                <w:rFonts w:ascii="宋体"/>
                <w:sz w:val="24"/>
                <w:szCs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05E2EB87">
            <w:pPr>
              <w:jc w:val="center"/>
              <w:rPr>
                <w:rFonts w:ascii="宋体"/>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0CE678A">
            <w:pPr>
              <w:jc w:val="center"/>
              <w:rPr>
                <w:rFonts w:ascii="宋体"/>
                <w:sz w:val="24"/>
                <w:szCs w:val="24"/>
              </w:rPr>
            </w:pPr>
          </w:p>
        </w:tc>
      </w:tr>
      <w:tr w14:paraId="1DE0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8E08DD1">
            <w:pPr>
              <w:jc w:val="center"/>
              <w:rPr>
                <w:rFonts w:ascii="宋体"/>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34D0142">
            <w:pPr>
              <w:jc w:val="center"/>
              <w:rPr>
                <w:rFonts w:ascii="宋体"/>
                <w:sz w:val="24"/>
                <w:szCs w:val="24"/>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08DFA7A8">
            <w:pPr>
              <w:jc w:val="center"/>
              <w:rPr>
                <w:rFonts w:ascii="宋体"/>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AB5F514">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76370086">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8150B99">
            <w:pPr>
              <w:jc w:val="center"/>
              <w:rPr>
                <w:rFonts w:ascii="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59C80CCF">
            <w:pPr>
              <w:jc w:val="center"/>
              <w:rPr>
                <w:rFonts w:ascii="宋体"/>
                <w:sz w:val="24"/>
                <w:szCs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512C96ED">
            <w:pPr>
              <w:jc w:val="center"/>
              <w:rPr>
                <w:rFonts w:ascii="宋体"/>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443FDB8">
            <w:pPr>
              <w:jc w:val="center"/>
              <w:rPr>
                <w:rFonts w:ascii="宋体"/>
                <w:sz w:val="24"/>
                <w:szCs w:val="24"/>
              </w:rPr>
            </w:pPr>
          </w:p>
        </w:tc>
      </w:tr>
      <w:tr w14:paraId="79E2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1984F58">
            <w:pPr>
              <w:jc w:val="center"/>
              <w:rPr>
                <w:rFonts w:ascii="宋体"/>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4E5A3BA">
            <w:pPr>
              <w:jc w:val="center"/>
              <w:rPr>
                <w:rFonts w:ascii="宋体"/>
                <w:sz w:val="24"/>
                <w:szCs w:val="24"/>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4BBF7F3A">
            <w:pPr>
              <w:jc w:val="center"/>
              <w:rPr>
                <w:rFonts w:ascii="宋体"/>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75699CBC">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FC8BAF2">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603BCFB3">
            <w:pPr>
              <w:jc w:val="center"/>
              <w:rPr>
                <w:rFonts w:ascii="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0B54E115">
            <w:pPr>
              <w:jc w:val="center"/>
              <w:rPr>
                <w:rFonts w:ascii="宋体"/>
                <w:sz w:val="24"/>
                <w:szCs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4716C7EA">
            <w:pPr>
              <w:jc w:val="center"/>
              <w:rPr>
                <w:rFonts w:ascii="宋体"/>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074B83F1">
            <w:pPr>
              <w:jc w:val="center"/>
              <w:rPr>
                <w:rFonts w:ascii="宋体"/>
                <w:sz w:val="24"/>
                <w:szCs w:val="24"/>
              </w:rPr>
            </w:pPr>
          </w:p>
        </w:tc>
      </w:tr>
      <w:tr w14:paraId="7406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58A48000">
            <w:pPr>
              <w:jc w:val="center"/>
              <w:rPr>
                <w:rFonts w:ascii="宋体"/>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ACB3AD0">
            <w:pPr>
              <w:jc w:val="center"/>
              <w:rPr>
                <w:rFonts w:ascii="宋体"/>
                <w:sz w:val="24"/>
                <w:szCs w:val="24"/>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74F2BEB6">
            <w:pPr>
              <w:jc w:val="center"/>
              <w:rPr>
                <w:rFonts w:ascii="宋体"/>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F543DDC">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1E88CAF1">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399DDB10">
            <w:pPr>
              <w:jc w:val="center"/>
              <w:rPr>
                <w:rFonts w:ascii="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F19E8C2">
            <w:pPr>
              <w:jc w:val="center"/>
              <w:rPr>
                <w:rFonts w:ascii="宋体"/>
                <w:sz w:val="24"/>
                <w:szCs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3F98F198">
            <w:pPr>
              <w:jc w:val="center"/>
              <w:rPr>
                <w:rFonts w:ascii="宋体"/>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45208140">
            <w:pPr>
              <w:jc w:val="center"/>
              <w:rPr>
                <w:rFonts w:ascii="宋体"/>
                <w:sz w:val="24"/>
                <w:szCs w:val="24"/>
              </w:rPr>
            </w:pPr>
          </w:p>
        </w:tc>
      </w:tr>
      <w:tr w14:paraId="264A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2746AFA9">
            <w:pPr>
              <w:jc w:val="center"/>
              <w:rPr>
                <w:rFonts w:ascii="宋体"/>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0A6ADD">
            <w:pPr>
              <w:jc w:val="center"/>
              <w:rPr>
                <w:rFonts w:ascii="宋体"/>
                <w:sz w:val="24"/>
                <w:szCs w:val="24"/>
              </w:rPr>
            </w:pPr>
          </w:p>
        </w:tc>
        <w:tc>
          <w:tcPr>
            <w:tcW w:w="644" w:type="dxa"/>
            <w:tcBorders>
              <w:top w:val="single" w:color="auto" w:sz="4" w:space="0"/>
              <w:left w:val="single" w:color="auto" w:sz="4" w:space="0"/>
              <w:bottom w:val="single" w:color="auto" w:sz="4" w:space="0"/>
              <w:right w:val="single" w:color="auto" w:sz="4" w:space="0"/>
            </w:tcBorders>
            <w:noWrap w:val="0"/>
            <w:vAlign w:val="center"/>
          </w:tcPr>
          <w:p w14:paraId="6C2A34A9">
            <w:pPr>
              <w:jc w:val="center"/>
              <w:rPr>
                <w:rFonts w:ascii="宋体"/>
                <w:sz w:val="24"/>
                <w:szCs w:val="24"/>
              </w:rPr>
            </w:pPr>
          </w:p>
        </w:tc>
        <w:tc>
          <w:tcPr>
            <w:tcW w:w="1129" w:type="dxa"/>
            <w:tcBorders>
              <w:top w:val="single" w:color="auto" w:sz="4" w:space="0"/>
              <w:left w:val="single" w:color="auto" w:sz="4" w:space="0"/>
              <w:bottom w:val="single" w:color="auto" w:sz="4" w:space="0"/>
              <w:right w:val="single" w:color="auto" w:sz="4" w:space="0"/>
            </w:tcBorders>
            <w:noWrap w:val="0"/>
            <w:vAlign w:val="center"/>
          </w:tcPr>
          <w:p w14:paraId="3C6AD498">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446604FB">
            <w:pPr>
              <w:jc w:val="center"/>
              <w:rPr>
                <w:rFonts w:ascii="宋体"/>
                <w:sz w:val="24"/>
                <w:szCs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14:paraId="0CAD1689">
            <w:pPr>
              <w:jc w:val="center"/>
              <w:rPr>
                <w:rFonts w:ascii="宋体"/>
                <w:sz w:val="24"/>
                <w:szCs w:val="24"/>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14:paraId="6DE4CFAB">
            <w:pPr>
              <w:jc w:val="center"/>
              <w:rPr>
                <w:rFonts w:ascii="宋体"/>
                <w:sz w:val="24"/>
                <w:szCs w:val="24"/>
              </w:rPr>
            </w:pPr>
          </w:p>
        </w:tc>
        <w:tc>
          <w:tcPr>
            <w:tcW w:w="1832" w:type="dxa"/>
            <w:tcBorders>
              <w:top w:val="single" w:color="auto" w:sz="4" w:space="0"/>
              <w:left w:val="single" w:color="auto" w:sz="4" w:space="0"/>
              <w:bottom w:val="single" w:color="auto" w:sz="4" w:space="0"/>
              <w:right w:val="single" w:color="auto" w:sz="4" w:space="0"/>
            </w:tcBorders>
            <w:noWrap w:val="0"/>
            <w:vAlign w:val="center"/>
          </w:tcPr>
          <w:p w14:paraId="19384DAA">
            <w:pPr>
              <w:jc w:val="center"/>
              <w:rPr>
                <w:rFonts w:ascii="宋体"/>
                <w:sz w:val="24"/>
                <w:szCs w:val="24"/>
              </w:rPr>
            </w:pPr>
          </w:p>
        </w:tc>
        <w:tc>
          <w:tcPr>
            <w:tcW w:w="939" w:type="dxa"/>
            <w:tcBorders>
              <w:top w:val="single" w:color="auto" w:sz="4" w:space="0"/>
              <w:left w:val="single" w:color="auto" w:sz="4" w:space="0"/>
              <w:bottom w:val="single" w:color="auto" w:sz="4" w:space="0"/>
              <w:right w:val="single" w:color="auto" w:sz="4" w:space="0"/>
            </w:tcBorders>
            <w:noWrap w:val="0"/>
            <w:vAlign w:val="center"/>
          </w:tcPr>
          <w:p w14:paraId="35841974">
            <w:pPr>
              <w:jc w:val="center"/>
              <w:rPr>
                <w:rFonts w:ascii="宋体"/>
                <w:sz w:val="24"/>
                <w:szCs w:val="24"/>
              </w:rPr>
            </w:pPr>
          </w:p>
        </w:tc>
      </w:tr>
    </w:tbl>
    <w:p w14:paraId="2316442E">
      <w:pPr>
        <w:spacing w:before="156" w:beforeLines="50" w:after="156" w:afterLines="50" w:line="420" w:lineRule="exact"/>
        <w:rPr>
          <w:rFonts w:ascii="宋体" w:hAnsi="宋体"/>
          <w:sz w:val="24"/>
        </w:rPr>
      </w:pPr>
      <w:r>
        <w:rPr>
          <w:rFonts w:hint="eastAsia" w:ascii="宋体" w:hAnsi="宋体"/>
          <w:sz w:val="24"/>
          <w:szCs w:val="24"/>
        </w:rPr>
        <w:t xml:space="preserve"> </w:t>
      </w:r>
      <w:r>
        <w:rPr>
          <w:rFonts w:hint="eastAsia" w:ascii="宋体" w:hAnsi="宋体"/>
          <w:sz w:val="24"/>
        </w:rPr>
        <w:t>附表三：劳动力计划表</w:t>
      </w:r>
    </w:p>
    <w:p w14:paraId="18FBE816">
      <w:pPr>
        <w:wordWrap w:val="0"/>
        <w:spacing w:line="420" w:lineRule="exact"/>
        <w:jc w:val="right"/>
        <w:rPr>
          <w:rFonts w:ascii="黑体" w:hAnsi="宋体" w:eastAsia="黑体"/>
          <w:sz w:val="24"/>
          <w:szCs w:val="24"/>
        </w:rPr>
      </w:pPr>
      <w:r>
        <w:rPr>
          <w:rFonts w:hint="eastAsia" w:ascii="黑体" w:hAnsi="宋体" w:eastAsia="黑体"/>
          <w:sz w:val="24"/>
          <w:szCs w:val="24"/>
        </w:rPr>
        <w:t>单位：人</w:t>
      </w:r>
      <w:r>
        <w:rPr>
          <w:rFonts w:ascii="黑体" w:hAnsi="宋体" w:eastAsia="黑体"/>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488"/>
        <w:gridCol w:w="1116"/>
        <w:gridCol w:w="1116"/>
        <w:gridCol w:w="1116"/>
        <w:gridCol w:w="1116"/>
        <w:gridCol w:w="1116"/>
        <w:gridCol w:w="1116"/>
      </w:tblGrid>
      <w:tr w14:paraId="748B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229C91A">
            <w:pPr>
              <w:jc w:val="center"/>
              <w:rPr>
                <w:rFonts w:ascii="宋体"/>
                <w:sz w:val="24"/>
                <w:szCs w:val="24"/>
              </w:rPr>
            </w:pPr>
            <w:r>
              <w:rPr>
                <w:rFonts w:hint="eastAsia" w:ascii="宋体" w:hAnsi="宋体"/>
                <w:sz w:val="24"/>
                <w:szCs w:val="24"/>
              </w:rPr>
              <w:t>工种</w:t>
            </w:r>
          </w:p>
        </w:tc>
        <w:tc>
          <w:tcPr>
            <w:tcW w:w="8184" w:type="dxa"/>
            <w:gridSpan w:val="7"/>
            <w:tcBorders>
              <w:top w:val="single" w:color="auto" w:sz="4" w:space="0"/>
              <w:left w:val="single" w:color="auto" w:sz="4" w:space="0"/>
              <w:bottom w:val="single" w:color="auto" w:sz="4" w:space="0"/>
              <w:right w:val="single" w:color="auto" w:sz="4" w:space="0"/>
            </w:tcBorders>
            <w:noWrap w:val="0"/>
            <w:vAlign w:val="center"/>
          </w:tcPr>
          <w:p w14:paraId="5DB35BB6">
            <w:pPr>
              <w:jc w:val="center"/>
              <w:rPr>
                <w:rFonts w:ascii="宋体"/>
                <w:sz w:val="24"/>
                <w:szCs w:val="24"/>
              </w:rPr>
            </w:pPr>
            <w:r>
              <w:rPr>
                <w:rFonts w:hint="eastAsia" w:ascii="宋体" w:hAnsi="宋体"/>
                <w:sz w:val="24"/>
                <w:szCs w:val="24"/>
              </w:rPr>
              <w:t>按工程施工阶段投入劳动力情况</w:t>
            </w:r>
          </w:p>
        </w:tc>
      </w:tr>
      <w:tr w14:paraId="6F17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3D8B28E">
            <w:pPr>
              <w:jc w:val="center"/>
              <w:rPr>
                <w:rFonts w:ascii="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2B8CC6E">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86BB058">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22864A2">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4242643">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D8C9E4B">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50115A9">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33D20E9">
            <w:pPr>
              <w:jc w:val="center"/>
              <w:rPr>
                <w:rFonts w:ascii="宋体"/>
                <w:sz w:val="24"/>
                <w:szCs w:val="24"/>
              </w:rPr>
            </w:pPr>
          </w:p>
        </w:tc>
      </w:tr>
      <w:tr w14:paraId="0F57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059BB93F">
            <w:pPr>
              <w:jc w:val="center"/>
              <w:rPr>
                <w:rFonts w:ascii="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15BA82B">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D8B25C3">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19B3F43">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FE913FD">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893FD9C">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7F8E4BC">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B7EF08A">
            <w:pPr>
              <w:jc w:val="center"/>
              <w:rPr>
                <w:rFonts w:ascii="宋体"/>
                <w:sz w:val="24"/>
                <w:szCs w:val="24"/>
              </w:rPr>
            </w:pPr>
          </w:p>
        </w:tc>
      </w:tr>
      <w:tr w14:paraId="637A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687C03A">
            <w:pPr>
              <w:jc w:val="center"/>
              <w:rPr>
                <w:rFonts w:ascii="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4421372C">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91F4204">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0E20408">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A066437">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58ADA95">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3CAFADC">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0C97AD5">
            <w:pPr>
              <w:jc w:val="center"/>
              <w:rPr>
                <w:rFonts w:ascii="宋体"/>
                <w:sz w:val="24"/>
                <w:szCs w:val="24"/>
              </w:rPr>
            </w:pPr>
          </w:p>
        </w:tc>
      </w:tr>
      <w:tr w14:paraId="2E71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DE0328A">
            <w:pPr>
              <w:jc w:val="center"/>
              <w:rPr>
                <w:rFonts w:ascii="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7475E6FB">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88A920B">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C4F2CD2">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A512EEC">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9EAE95B">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43C9443">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844AB3F">
            <w:pPr>
              <w:jc w:val="center"/>
              <w:rPr>
                <w:rFonts w:ascii="宋体"/>
                <w:sz w:val="24"/>
                <w:szCs w:val="24"/>
              </w:rPr>
            </w:pPr>
          </w:p>
        </w:tc>
      </w:tr>
      <w:tr w14:paraId="1038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75A65246">
            <w:pPr>
              <w:jc w:val="center"/>
              <w:rPr>
                <w:rFonts w:ascii="宋体"/>
                <w:sz w:val="24"/>
                <w:szCs w:val="24"/>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655B4835">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10B4197">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7F8BC45">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3A9CE05">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170FB51">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59B117A">
            <w:pPr>
              <w:jc w:val="center"/>
              <w:rPr>
                <w:rFonts w:ascii="宋体"/>
                <w:sz w:val="24"/>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3BE340F8">
            <w:pPr>
              <w:jc w:val="center"/>
              <w:rPr>
                <w:rFonts w:ascii="宋体"/>
                <w:sz w:val="24"/>
                <w:szCs w:val="24"/>
              </w:rPr>
            </w:pPr>
          </w:p>
        </w:tc>
      </w:tr>
    </w:tbl>
    <w:p w14:paraId="5D1C94D5">
      <w:pPr>
        <w:spacing w:before="156" w:beforeLines="50" w:after="312" w:afterLines="100" w:line="420" w:lineRule="exact"/>
        <w:ind w:firstLine="240" w:firstLineChars="100"/>
        <w:rPr>
          <w:rFonts w:ascii="宋体" w:hAnsi="宋体"/>
          <w:sz w:val="24"/>
          <w:szCs w:val="24"/>
        </w:rPr>
      </w:pPr>
      <w:r>
        <w:rPr>
          <w:rFonts w:hint="eastAsia" w:ascii="宋体" w:hAnsi="宋体"/>
          <w:sz w:val="24"/>
          <w:szCs w:val="24"/>
        </w:rPr>
        <w:t>附表四：计划开、竣工日期和施工进度网络图</w:t>
      </w:r>
    </w:p>
    <w:p w14:paraId="736DDAAC">
      <w:pPr>
        <w:spacing w:line="420" w:lineRule="exact"/>
        <w:ind w:firstLine="480" w:firstLineChars="200"/>
        <w:rPr>
          <w:rFonts w:ascii="宋体"/>
          <w:sz w:val="24"/>
          <w:szCs w:val="24"/>
        </w:rPr>
      </w:pPr>
      <w:r>
        <w:rPr>
          <w:rFonts w:ascii="宋体" w:hAnsi="宋体"/>
          <w:sz w:val="24"/>
          <w:szCs w:val="24"/>
        </w:rPr>
        <w:t>1</w:t>
      </w:r>
      <w:r>
        <w:rPr>
          <w:rFonts w:hint="eastAsia" w:ascii="宋体" w:hAnsi="宋体"/>
          <w:sz w:val="24"/>
          <w:szCs w:val="24"/>
        </w:rPr>
        <w:t>.供应商应递交施工进度网络图或施工进度表，说明按</w:t>
      </w:r>
      <w:r>
        <w:rPr>
          <w:rFonts w:hint="eastAsia" w:ascii="宋体" w:hAnsi="宋体" w:cs="黑体"/>
          <w:bCs/>
          <w:sz w:val="24"/>
          <w:szCs w:val="24"/>
          <w:lang w:val="zh-CN"/>
        </w:rPr>
        <w:t>磋商</w:t>
      </w:r>
      <w:r>
        <w:rPr>
          <w:rFonts w:hint="eastAsia" w:ascii="宋体" w:hAnsi="宋体"/>
          <w:sz w:val="24"/>
          <w:szCs w:val="24"/>
        </w:rPr>
        <w:t>文件要求的计划工期进行施工的各个关键日期。</w:t>
      </w:r>
    </w:p>
    <w:p w14:paraId="1E3FEA9E">
      <w:pPr>
        <w:spacing w:line="42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.施工进度表可采用网络图或横道图表示。</w:t>
      </w:r>
    </w:p>
    <w:p w14:paraId="7651747F">
      <w:pPr>
        <w:spacing w:line="420" w:lineRule="exact"/>
        <w:ind w:firstLine="120" w:firstLineChars="50"/>
        <w:rPr>
          <w:rFonts w:hint="eastAsia" w:ascii="宋体" w:hAnsi="宋体"/>
          <w:sz w:val="24"/>
          <w:szCs w:val="24"/>
        </w:rPr>
      </w:pPr>
    </w:p>
    <w:p w14:paraId="35791B51">
      <w:pPr>
        <w:spacing w:line="420" w:lineRule="exact"/>
        <w:ind w:firstLine="120" w:firstLineChars="50"/>
        <w:rPr>
          <w:rFonts w:ascii="宋体" w:hAnsi="宋体"/>
          <w:sz w:val="24"/>
          <w:szCs w:val="24"/>
        </w:rPr>
      </w:pPr>
      <w:r>
        <w:rPr>
          <w:rFonts w:hint="eastAsia" w:ascii="宋体" w:hAnsi="宋体"/>
          <w:sz w:val="24"/>
          <w:szCs w:val="24"/>
        </w:rPr>
        <w:t>附表五：施工总平面图</w:t>
      </w:r>
    </w:p>
    <w:p w14:paraId="37B0A22C">
      <w:pPr>
        <w:spacing w:line="420" w:lineRule="exact"/>
        <w:ind w:firstLine="480" w:firstLineChars="200"/>
        <w:rPr>
          <w:rFonts w:hint="eastAsia" w:ascii="宋体"/>
          <w:sz w:val="24"/>
          <w:szCs w:val="24"/>
        </w:rPr>
      </w:pPr>
      <w:r>
        <w:rPr>
          <w:rFonts w:hint="eastAsia" w:ascii="宋体" w:hAnsi="宋体"/>
          <w:sz w:val="24"/>
          <w:szCs w:val="24"/>
        </w:rPr>
        <w:t>供应商应递交一份施工总平面图，绘出现场临时设施布置图表并附文字说明。</w:t>
      </w:r>
    </w:p>
    <w:p w14:paraId="77B25FED">
      <w:pPr>
        <w:spacing w:before="156" w:beforeLines="50" w:after="312" w:afterLines="100" w:line="420" w:lineRule="exact"/>
        <w:ind w:firstLine="120" w:firstLineChars="50"/>
        <w:rPr>
          <w:rFonts w:ascii="宋体" w:hAnsi="宋体"/>
          <w:sz w:val="24"/>
        </w:rPr>
      </w:pPr>
      <w:r>
        <w:rPr>
          <w:rFonts w:hint="eastAsia" w:ascii="宋体" w:hAnsi="宋体"/>
          <w:sz w:val="24"/>
        </w:rPr>
        <w:t>附表六：临时用地表</w:t>
      </w:r>
    </w:p>
    <w:tbl>
      <w:tblPr>
        <w:tblStyle w:val="22"/>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2277"/>
        <w:gridCol w:w="2277"/>
        <w:gridCol w:w="2277"/>
      </w:tblGrid>
      <w:tr w14:paraId="610A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84" w:type="dxa"/>
            <w:tcBorders>
              <w:top w:val="single" w:color="auto" w:sz="4" w:space="0"/>
              <w:left w:val="single" w:color="auto" w:sz="4" w:space="0"/>
              <w:bottom w:val="single" w:color="auto" w:sz="4" w:space="0"/>
              <w:right w:val="single" w:color="auto" w:sz="4" w:space="0"/>
            </w:tcBorders>
            <w:noWrap w:val="0"/>
            <w:vAlign w:val="center"/>
          </w:tcPr>
          <w:p w14:paraId="317343DD">
            <w:pPr>
              <w:jc w:val="center"/>
              <w:rPr>
                <w:rFonts w:ascii="宋体"/>
                <w:sz w:val="24"/>
                <w:szCs w:val="24"/>
              </w:rPr>
            </w:pPr>
            <w:r>
              <w:rPr>
                <w:rFonts w:hint="eastAsia" w:ascii="宋体" w:hAnsi="宋体"/>
                <w:sz w:val="24"/>
                <w:szCs w:val="24"/>
              </w:rPr>
              <w:t>用</w:t>
            </w:r>
            <w:r>
              <w:rPr>
                <w:rFonts w:ascii="宋体" w:hAnsi="宋体"/>
                <w:sz w:val="24"/>
                <w:szCs w:val="24"/>
              </w:rPr>
              <w:t xml:space="preserve">  </w:t>
            </w:r>
            <w:r>
              <w:rPr>
                <w:rFonts w:hint="eastAsia" w:ascii="宋体" w:hAnsi="宋体"/>
                <w:sz w:val="24"/>
                <w:szCs w:val="24"/>
              </w:rPr>
              <w:t>途</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23404216">
            <w:pPr>
              <w:jc w:val="center"/>
              <w:rPr>
                <w:rFonts w:ascii="宋体"/>
                <w:sz w:val="24"/>
                <w:szCs w:val="24"/>
              </w:rPr>
            </w:pPr>
            <w:r>
              <w:rPr>
                <w:rFonts w:hint="eastAsia" w:ascii="宋体" w:hAnsi="宋体"/>
                <w:sz w:val="24"/>
                <w:szCs w:val="24"/>
              </w:rPr>
              <w:t>面</w:t>
            </w:r>
            <w:r>
              <w:rPr>
                <w:rFonts w:ascii="宋体" w:hAnsi="宋体"/>
                <w:sz w:val="24"/>
                <w:szCs w:val="24"/>
              </w:rPr>
              <w:t xml:space="preserve"> </w:t>
            </w:r>
            <w:r>
              <w:rPr>
                <w:rFonts w:hint="eastAsia" w:ascii="宋体" w:hAnsi="宋体"/>
                <w:sz w:val="24"/>
                <w:szCs w:val="24"/>
              </w:rPr>
              <w:t>积（平方米）</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00954A5">
            <w:pPr>
              <w:jc w:val="center"/>
              <w:rPr>
                <w:rFonts w:ascii="宋体"/>
                <w:sz w:val="24"/>
                <w:szCs w:val="24"/>
              </w:rPr>
            </w:pPr>
            <w:r>
              <w:rPr>
                <w:rFonts w:hint="eastAsia" w:ascii="宋体" w:hAnsi="宋体"/>
                <w:sz w:val="24"/>
                <w:szCs w:val="24"/>
              </w:rPr>
              <w:t>位</w:t>
            </w:r>
            <w:r>
              <w:rPr>
                <w:rFonts w:ascii="宋体" w:hAnsi="宋体"/>
                <w:sz w:val="24"/>
                <w:szCs w:val="24"/>
              </w:rPr>
              <w:t xml:space="preserve">  </w:t>
            </w:r>
            <w:r>
              <w:rPr>
                <w:rFonts w:hint="eastAsia" w:ascii="宋体" w:hAnsi="宋体"/>
                <w:sz w:val="24"/>
                <w:szCs w:val="24"/>
              </w:rPr>
              <w:t>置</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4F5E21C2">
            <w:pPr>
              <w:jc w:val="center"/>
              <w:rPr>
                <w:rFonts w:ascii="宋体"/>
                <w:sz w:val="24"/>
                <w:szCs w:val="24"/>
              </w:rPr>
            </w:pPr>
            <w:r>
              <w:rPr>
                <w:rFonts w:hint="eastAsia" w:ascii="宋体" w:hAnsi="宋体"/>
                <w:sz w:val="24"/>
                <w:szCs w:val="24"/>
              </w:rPr>
              <w:t>需用时间</w:t>
            </w:r>
          </w:p>
        </w:tc>
      </w:tr>
      <w:tr w14:paraId="1EB7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7A1C224F">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065D5863">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7524691">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45DA3A12">
            <w:pPr>
              <w:rPr>
                <w:rFonts w:ascii="宋体"/>
                <w:sz w:val="24"/>
                <w:szCs w:val="24"/>
              </w:rPr>
            </w:pPr>
          </w:p>
        </w:tc>
      </w:tr>
      <w:tr w14:paraId="39F0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22A219EF">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A3A5F36">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C909635">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1DAFE63D">
            <w:pPr>
              <w:rPr>
                <w:rFonts w:ascii="宋体"/>
                <w:sz w:val="24"/>
                <w:szCs w:val="24"/>
              </w:rPr>
            </w:pPr>
          </w:p>
        </w:tc>
      </w:tr>
      <w:tr w14:paraId="3816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5D2FEBA9">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6BF97BEA">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26A11CB5">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FE29E68">
            <w:pPr>
              <w:rPr>
                <w:rFonts w:ascii="宋体"/>
                <w:sz w:val="24"/>
                <w:szCs w:val="24"/>
              </w:rPr>
            </w:pPr>
          </w:p>
        </w:tc>
      </w:tr>
      <w:tr w14:paraId="5E7A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484" w:type="dxa"/>
            <w:tcBorders>
              <w:top w:val="single" w:color="auto" w:sz="4" w:space="0"/>
              <w:left w:val="single" w:color="auto" w:sz="4" w:space="0"/>
              <w:bottom w:val="single" w:color="auto" w:sz="4" w:space="0"/>
              <w:right w:val="single" w:color="auto" w:sz="4" w:space="0"/>
            </w:tcBorders>
            <w:noWrap w:val="0"/>
            <w:vAlign w:val="top"/>
          </w:tcPr>
          <w:p w14:paraId="410A5F27">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022AF080">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62D7E795">
            <w:pPr>
              <w:rPr>
                <w:rFonts w:ascii="宋体"/>
                <w:sz w:val="24"/>
                <w:szCs w:val="24"/>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AC339D2">
            <w:pPr>
              <w:rPr>
                <w:rFonts w:ascii="宋体"/>
                <w:sz w:val="24"/>
                <w:szCs w:val="24"/>
              </w:rPr>
            </w:pPr>
          </w:p>
        </w:tc>
      </w:tr>
    </w:tbl>
    <w:p w14:paraId="726E2304">
      <w:pPr>
        <w:pStyle w:val="9"/>
        <w:rPr>
          <w:color w:val="auto"/>
        </w:rPr>
      </w:pPr>
    </w:p>
    <w:p w14:paraId="7DB5FCA8">
      <w:pPr>
        <w:rPr>
          <w:color w:val="auto"/>
        </w:rPr>
        <w:sectPr>
          <w:footerReference r:id="rId27" w:type="default"/>
          <w:pgSz w:w="11906" w:h="16839"/>
          <w:pgMar w:top="1402" w:right="1247" w:bottom="1017" w:left="1734" w:header="0" w:footer="852" w:gutter="0"/>
          <w:pgNumType w:fmt="decimal"/>
          <w:cols w:space="720" w:num="1"/>
        </w:sectPr>
      </w:pPr>
    </w:p>
    <w:p w14:paraId="58BA11E6">
      <w:pPr>
        <w:pStyle w:val="5"/>
        <w:bidi w:val="0"/>
        <w:jc w:val="center"/>
      </w:pPr>
      <w:r>
        <w:rPr>
          <w:rFonts w:hint="eastAsia"/>
          <w:lang w:val="en-US" w:eastAsia="zh-CN"/>
        </w:rPr>
        <w:t>十</w:t>
      </w:r>
      <w:r>
        <w:t>、中小企业声明函</w:t>
      </w:r>
    </w:p>
    <w:p w14:paraId="0A530A88">
      <w:pPr>
        <w:spacing w:before="65" w:line="327" w:lineRule="auto"/>
        <w:ind w:right="71" w:firstLine="630"/>
        <w:jc w:val="both"/>
        <w:rPr>
          <w:rFonts w:ascii="宋体" w:hAnsi="宋体" w:eastAsia="宋体" w:cs="宋体"/>
          <w:color w:val="auto"/>
          <w:sz w:val="20"/>
          <w:szCs w:val="20"/>
        </w:rPr>
      </w:pPr>
      <w:r>
        <w:rPr>
          <w:rFonts w:ascii="宋体" w:hAnsi="宋体" w:eastAsia="宋体" w:cs="宋体"/>
          <w:color w:val="auto"/>
          <w:spacing w:val="9"/>
          <w:sz w:val="20"/>
          <w:szCs w:val="20"/>
        </w:rPr>
        <w:t>本公司（联合体）郑重声明，根据《政府采购促进中小企业发展管理办法》（财库﹝2020﹞</w:t>
      </w:r>
      <w:r>
        <w:rPr>
          <w:rFonts w:ascii="宋体" w:hAnsi="宋体" w:eastAsia="宋体" w:cs="宋体"/>
          <w:color w:val="auto"/>
          <w:spacing w:val="7"/>
          <w:sz w:val="20"/>
          <w:szCs w:val="20"/>
        </w:rPr>
        <w:t>46号）的规定，本公司（联合体）参加</w:t>
      </w:r>
      <w:r>
        <w:rPr>
          <w:rFonts w:ascii="宋体" w:hAnsi="宋体" w:eastAsia="宋体" w:cs="宋体"/>
          <w:color w:val="auto"/>
          <w:spacing w:val="7"/>
          <w:sz w:val="20"/>
          <w:szCs w:val="20"/>
          <w:u w:val="single" w:color="auto"/>
        </w:rPr>
        <w:t>（单位名称）</w:t>
      </w:r>
      <w:r>
        <w:rPr>
          <w:rFonts w:ascii="宋体" w:hAnsi="宋体" w:eastAsia="宋体" w:cs="宋体"/>
          <w:color w:val="auto"/>
          <w:spacing w:val="7"/>
          <w:sz w:val="20"/>
          <w:szCs w:val="20"/>
        </w:rPr>
        <w:t>的</w:t>
      </w:r>
      <w:r>
        <w:rPr>
          <w:rFonts w:ascii="宋体" w:hAnsi="宋体" w:eastAsia="宋体" w:cs="宋体"/>
          <w:color w:val="auto"/>
          <w:spacing w:val="7"/>
          <w:sz w:val="20"/>
          <w:szCs w:val="20"/>
          <w:u w:val="single" w:color="auto"/>
        </w:rPr>
        <w:t>（项目名称）</w:t>
      </w:r>
      <w:r>
        <w:rPr>
          <w:rFonts w:ascii="宋体" w:hAnsi="宋体" w:eastAsia="宋体" w:cs="宋体"/>
          <w:color w:val="auto"/>
          <w:spacing w:val="7"/>
          <w:sz w:val="20"/>
          <w:szCs w:val="20"/>
        </w:rPr>
        <w:t>采购活动，工程的施工单位全</w:t>
      </w:r>
      <w:r>
        <w:rPr>
          <w:rFonts w:ascii="宋体" w:hAnsi="宋体" w:eastAsia="宋体" w:cs="宋体"/>
          <w:color w:val="auto"/>
          <w:spacing w:val="9"/>
          <w:sz w:val="20"/>
          <w:szCs w:val="20"/>
        </w:rPr>
        <w:t>部为符合政策要求的中小企业（或者：服务全部由符合政策要求的中小企业承接）。相关企业（含联合体中的中小企业、签订分包意向协议的中小企业）的具体情况如下：</w:t>
      </w:r>
    </w:p>
    <w:p w14:paraId="7BF02CC8">
      <w:pPr>
        <w:spacing w:before="2" w:line="293" w:lineRule="auto"/>
        <w:ind w:left="420" w:right="70" w:firstLine="16"/>
        <w:rPr>
          <w:rFonts w:ascii="宋体" w:hAnsi="宋体" w:eastAsia="宋体" w:cs="宋体"/>
          <w:color w:val="auto"/>
          <w:sz w:val="20"/>
          <w:szCs w:val="20"/>
        </w:rPr>
      </w:pPr>
      <w:r>
        <w:rPr>
          <w:rFonts w:ascii="宋体" w:hAnsi="宋体" w:eastAsia="宋体" w:cs="宋体"/>
          <w:color w:val="auto"/>
          <w:spacing w:val="4"/>
          <w:sz w:val="20"/>
          <w:szCs w:val="20"/>
        </w:rPr>
        <w:t>1.</w:t>
      </w:r>
      <w:r>
        <w:rPr>
          <w:rFonts w:ascii="宋体" w:hAnsi="宋体" w:eastAsia="宋体" w:cs="宋体"/>
          <w:color w:val="auto"/>
          <w:spacing w:val="4"/>
          <w:sz w:val="20"/>
          <w:szCs w:val="20"/>
          <w:u w:val="single" w:color="auto"/>
        </w:rPr>
        <w:t>（标的名称</w:t>
      </w:r>
      <w:r>
        <w:rPr>
          <w:rFonts w:ascii="宋体" w:hAnsi="宋体" w:eastAsia="宋体" w:cs="宋体"/>
          <w:color w:val="auto"/>
          <w:spacing w:val="-34"/>
          <w:w w:val="65"/>
          <w:sz w:val="20"/>
          <w:szCs w:val="20"/>
          <w:u w:val="single" w:color="auto"/>
        </w:rPr>
        <w:t>）</w:t>
      </w:r>
      <w:r>
        <w:rPr>
          <w:rFonts w:ascii="宋体" w:hAnsi="宋体" w:eastAsia="宋体" w:cs="宋体"/>
          <w:color w:val="auto"/>
          <w:spacing w:val="-34"/>
          <w:w w:val="65"/>
          <w:sz w:val="20"/>
          <w:szCs w:val="20"/>
        </w:rPr>
        <w:t>，</w:t>
      </w:r>
      <w:r>
        <w:rPr>
          <w:rFonts w:ascii="宋体" w:hAnsi="宋体" w:eastAsia="宋体" w:cs="宋体"/>
          <w:color w:val="auto"/>
          <w:spacing w:val="4"/>
          <w:sz w:val="20"/>
          <w:szCs w:val="20"/>
        </w:rPr>
        <w:t>属于</w:t>
      </w:r>
      <w:r>
        <w:rPr>
          <w:rFonts w:ascii="宋体" w:hAnsi="宋体" w:eastAsia="宋体" w:cs="宋体"/>
          <w:color w:val="auto"/>
          <w:spacing w:val="4"/>
          <w:sz w:val="20"/>
          <w:szCs w:val="20"/>
          <w:u w:val="single" w:color="auto"/>
        </w:rPr>
        <w:t>（采购文件中明确的所属行业</w:t>
      </w:r>
      <w:r>
        <w:rPr>
          <w:rFonts w:ascii="宋体" w:hAnsi="宋体" w:eastAsia="宋体" w:cs="宋体"/>
          <w:color w:val="auto"/>
          <w:spacing w:val="-34"/>
          <w:w w:val="65"/>
          <w:sz w:val="20"/>
          <w:szCs w:val="20"/>
          <w:u w:val="single" w:color="auto"/>
        </w:rPr>
        <w:t>）</w:t>
      </w:r>
      <w:r>
        <w:rPr>
          <w:rFonts w:ascii="宋体" w:hAnsi="宋体" w:eastAsia="宋体" w:cs="宋体"/>
          <w:color w:val="auto"/>
          <w:spacing w:val="-34"/>
          <w:w w:val="65"/>
          <w:sz w:val="20"/>
          <w:szCs w:val="20"/>
        </w:rPr>
        <w:t>；</w:t>
      </w:r>
      <w:r>
        <w:rPr>
          <w:rFonts w:ascii="宋体" w:hAnsi="宋体" w:eastAsia="宋体" w:cs="宋体"/>
          <w:color w:val="auto"/>
          <w:spacing w:val="4"/>
          <w:sz w:val="20"/>
          <w:szCs w:val="20"/>
        </w:rPr>
        <w:t>承建（承接）企业为</w:t>
      </w:r>
      <w:r>
        <w:rPr>
          <w:rFonts w:ascii="宋体" w:hAnsi="宋体" w:eastAsia="宋体" w:cs="宋体"/>
          <w:color w:val="auto"/>
          <w:spacing w:val="4"/>
          <w:sz w:val="20"/>
          <w:szCs w:val="20"/>
          <w:u w:val="single" w:color="auto"/>
        </w:rPr>
        <w:t>（企</w:t>
      </w:r>
      <w:r>
        <w:rPr>
          <w:rFonts w:ascii="宋体" w:hAnsi="宋体" w:eastAsia="宋体" w:cs="宋体"/>
          <w:color w:val="auto"/>
          <w:spacing w:val="6"/>
          <w:sz w:val="20"/>
          <w:szCs w:val="20"/>
          <w:u w:val="single" w:color="auto"/>
        </w:rPr>
        <w:t>业名称</w:t>
      </w:r>
      <w:r>
        <w:rPr>
          <w:rFonts w:ascii="宋体" w:hAnsi="宋体" w:eastAsia="宋体" w:cs="宋体"/>
          <w:color w:val="auto"/>
          <w:spacing w:val="23"/>
          <w:sz w:val="20"/>
          <w:szCs w:val="20"/>
          <w:u w:val="single" w:color="auto"/>
        </w:rPr>
        <w:t>）</w:t>
      </w:r>
      <w:r>
        <w:rPr>
          <w:rFonts w:ascii="宋体" w:hAnsi="宋体" w:eastAsia="宋体" w:cs="宋体"/>
          <w:color w:val="auto"/>
          <w:spacing w:val="23"/>
          <w:sz w:val="20"/>
          <w:szCs w:val="20"/>
        </w:rPr>
        <w:t>，</w:t>
      </w:r>
      <w:r>
        <w:rPr>
          <w:rFonts w:ascii="宋体" w:hAnsi="宋体" w:eastAsia="宋体" w:cs="宋体"/>
          <w:color w:val="auto"/>
          <w:spacing w:val="6"/>
          <w:sz w:val="20"/>
          <w:szCs w:val="20"/>
        </w:rPr>
        <w:t>从业人员人，营业收入为万元，资产总额为万元</w:t>
      </w:r>
      <w:r>
        <w:rPr>
          <w:rFonts w:ascii="宋体" w:hAnsi="宋体" w:eastAsia="宋体" w:cs="宋体"/>
          <w:color w:val="auto"/>
          <w:spacing w:val="6"/>
          <w:position w:val="10"/>
          <w:sz w:val="10"/>
          <w:szCs w:val="10"/>
        </w:rPr>
        <w:t>1</w:t>
      </w:r>
      <w:r>
        <w:rPr>
          <w:rFonts w:ascii="宋体" w:hAnsi="宋体" w:eastAsia="宋体" w:cs="宋体"/>
          <w:color w:val="auto"/>
          <w:spacing w:val="6"/>
          <w:sz w:val="20"/>
          <w:szCs w:val="20"/>
        </w:rPr>
        <w:t>，属于</w:t>
      </w:r>
      <w:r>
        <w:rPr>
          <w:rFonts w:ascii="宋体" w:hAnsi="宋体" w:eastAsia="宋体" w:cs="宋体"/>
          <w:color w:val="auto"/>
          <w:spacing w:val="6"/>
          <w:sz w:val="20"/>
          <w:szCs w:val="20"/>
          <w:u w:val="single" w:color="auto"/>
        </w:rPr>
        <w:t>（中型</w:t>
      </w:r>
      <w:r>
        <w:rPr>
          <w:rFonts w:ascii="宋体" w:hAnsi="宋体" w:eastAsia="宋体" w:cs="宋体"/>
          <w:color w:val="auto"/>
          <w:spacing w:val="9"/>
          <w:sz w:val="20"/>
          <w:szCs w:val="20"/>
          <w:u w:val="single" w:color="auto"/>
        </w:rPr>
        <w:t>企业、小型企业、微型企业</w:t>
      </w:r>
      <w:r>
        <w:rPr>
          <w:rFonts w:ascii="宋体" w:hAnsi="宋体" w:eastAsia="宋体" w:cs="宋体"/>
          <w:color w:val="auto"/>
          <w:sz w:val="20"/>
          <w:szCs w:val="20"/>
          <w:u w:val="single" w:color="auto"/>
        </w:rPr>
        <w:t>）</w:t>
      </w:r>
      <w:r>
        <w:rPr>
          <w:rFonts w:ascii="宋体" w:hAnsi="宋体" w:eastAsia="宋体" w:cs="宋体"/>
          <w:color w:val="auto"/>
          <w:sz w:val="20"/>
          <w:szCs w:val="20"/>
        </w:rPr>
        <w:t>；</w:t>
      </w:r>
    </w:p>
    <w:p w14:paraId="58D99D03">
      <w:pPr>
        <w:spacing w:before="105" w:line="294" w:lineRule="auto"/>
        <w:ind w:left="420" w:right="70" w:firstLine="3"/>
        <w:rPr>
          <w:rFonts w:ascii="宋体" w:hAnsi="宋体" w:eastAsia="宋体" w:cs="宋体"/>
          <w:color w:val="auto"/>
          <w:sz w:val="20"/>
          <w:szCs w:val="20"/>
        </w:rPr>
      </w:pPr>
      <w:r>
        <w:rPr>
          <w:rFonts w:ascii="宋体" w:hAnsi="宋体" w:eastAsia="宋体" w:cs="宋体"/>
          <w:color w:val="auto"/>
          <w:spacing w:val="4"/>
          <w:sz w:val="20"/>
          <w:szCs w:val="20"/>
        </w:rPr>
        <w:t>2.</w:t>
      </w:r>
      <w:r>
        <w:rPr>
          <w:rFonts w:ascii="宋体" w:hAnsi="宋体" w:eastAsia="宋体" w:cs="宋体"/>
          <w:color w:val="auto"/>
          <w:spacing w:val="4"/>
          <w:sz w:val="20"/>
          <w:szCs w:val="20"/>
          <w:u w:val="single" w:color="auto"/>
        </w:rPr>
        <w:t>（标的名称</w:t>
      </w:r>
      <w:r>
        <w:rPr>
          <w:rFonts w:ascii="宋体" w:hAnsi="宋体" w:eastAsia="宋体" w:cs="宋体"/>
          <w:color w:val="auto"/>
          <w:spacing w:val="-36"/>
          <w:w w:val="67"/>
          <w:sz w:val="20"/>
          <w:szCs w:val="20"/>
          <w:u w:val="single" w:color="auto"/>
        </w:rPr>
        <w:t>）</w:t>
      </w:r>
      <w:r>
        <w:rPr>
          <w:rFonts w:ascii="宋体" w:hAnsi="宋体" w:eastAsia="宋体" w:cs="宋体"/>
          <w:color w:val="auto"/>
          <w:spacing w:val="-36"/>
          <w:w w:val="67"/>
          <w:sz w:val="20"/>
          <w:szCs w:val="20"/>
        </w:rPr>
        <w:t>，</w:t>
      </w:r>
      <w:r>
        <w:rPr>
          <w:rFonts w:ascii="宋体" w:hAnsi="宋体" w:eastAsia="宋体" w:cs="宋体"/>
          <w:color w:val="auto"/>
          <w:spacing w:val="4"/>
          <w:sz w:val="20"/>
          <w:szCs w:val="20"/>
        </w:rPr>
        <w:t>属于</w:t>
      </w:r>
      <w:r>
        <w:rPr>
          <w:rFonts w:ascii="宋体" w:hAnsi="宋体" w:eastAsia="宋体" w:cs="宋体"/>
          <w:color w:val="auto"/>
          <w:spacing w:val="4"/>
          <w:sz w:val="20"/>
          <w:szCs w:val="20"/>
          <w:u w:val="single" w:color="auto"/>
        </w:rPr>
        <w:t>（采购文件中明确的所属行业</w:t>
      </w:r>
      <w:r>
        <w:rPr>
          <w:rFonts w:ascii="宋体" w:hAnsi="宋体" w:eastAsia="宋体" w:cs="宋体"/>
          <w:color w:val="auto"/>
          <w:spacing w:val="-36"/>
          <w:w w:val="67"/>
          <w:sz w:val="20"/>
          <w:szCs w:val="20"/>
          <w:u w:val="single" w:color="auto"/>
        </w:rPr>
        <w:t>）</w:t>
      </w:r>
      <w:r>
        <w:rPr>
          <w:rFonts w:ascii="宋体" w:hAnsi="宋体" w:eastAsia="宋体" w:cs="宋体"/>
          <w:color w:val="auto"/>
          <w:spacing w:val="-36"/>
          <w:w w:val="67"/>
          <w:sz w:val="20"/>
          <w:szCs w:val="20"/>
        </w:rPr>
        <w:t>；</w:t>
      </w:r>
      <w:r>
        <w:rPr>
          <w:rFonts w:ascii="宋体" w:hAnsi="宋体" w:eastAsia="宋体" w:cs="宋体"/>
          <w:color w:val="auto"/>
          <w:spacing w:val="4"/>
          <w:sz w:val="20"/>
          <w:szCs w:val="20"/>
        </w:rPr>
        <w:t>承建（承接）企业为</w:t>
      </w:r>
      <w:r>
        <w:rPr>
          <w:rFonts w:ascii="宋体" w:hAnsi="宋体" w:eastAsia="宋体" w:cs="宋体"/>
          <w:color w:val="auto"/>
          <w:spacing w:val="4"/>
          <w:sz w:val="20"/>
          <w:szCs w:val="20"/>
          <w:u w:val="single" w:color="auto"/>
        </w:rPr>
        <w:t>（企</w:t>
      </w:r>
      <w:r>
        <w:rPr>
          <w:rFonts w:ascii="宋体" w:hAnsi="宋体" w:eastAsia="宋体" w:cs="宋体"/>
          <w:color w:val="auto"/>
          <w:spacing w:val="6"/>
          <w:sz w:val="20"/>
          <w:szCs w:val="20"/>
          <w:u w:val="single" w:color="auto"/>
        </w:rPr>
        <w:t>业名称</w:t>
      </w:r>
      <w:r>
        <w:rPr>
          <w:rFonts w:ascii="宋体" w:hAnsi="宋体" w:eastAsia="宋体" w:cs="宋体"/>
          <w:color w:val="auto"/>
          <w:spacing w:val="3"/>
          <w:sz w:val="20"/>
          <w:szCs w:val="20"/>
          <w:u w:val="single" w:color="auto"/>
        </w:rPr>
        <w:t>）</w:t>
      </w:r>
      <w:r>
        <w:rPr>
          <w:rFonts w:ascii="宋体" w:hAnsi="宋体" w:eastAsia="宋体" w:cs="宋体"/>
          <w:color w:val="auto"/>
          <w:spacing w:val="3"/>
          <w:sz w:val="20"/>
          <w:szCs w:val="20"/>
        </w:rPr>
        <w:t>，</w:t>
      </w:r>
      <w:r>
        <w:rPr>
          <w:rFonts w:ascii="宋体" w:hAnsi="宋体" w:eastAsia="宋体" w:cs="宋体"/>
          <w:color w:val="auto"/>
          <w:spacing w:val="6"/>
          <w:sz w:val="20"/>
          <w:szCs w:val="20"/>
        </w:rPr>
        <w:t>从业人员人，营业收入为万元，资产总额为万元，属于</w:t>
      </w:r>
      <w:r>
        <w:rPr>
          <w:rFonts w:ascii="宋体" w:hAnsi="宋体" w:eastAsia="宋体" w:cs="宋体"/>
          <w:color w:val="auto"/>
          <w:spacing w:val="6"/>
          <w:sz w:val="20"/>
          <w:szCs w:val="20"/>
          <w:u w:val="single" w:color="auto"/>
        </w:rPr>
        <w:t>（中型企</w:t>
      </w:r>
      <w:r>
        <w:rPr>
          <w:rFonts w:ascii="宋体" w:hAnsi="宋体" w:eastAsia="宋体" w:cs="宋体"/>
          <w:color w:val="auto"/>
          <w:spacing w:val="9"/>
          <w:sz w:val="20"/>
          <w:szCs w:val="20"/>
          <w:u w:val="single" w:color="auto"/>
        </w:rPr>
        <w:t>业、小型企业、微型企业</w:t>
      </w:r>
      <w:r>
        <w:rPr>
          <w:rFonts w:ascii="宋体" w:hAnsi="宋体" w:eastAsia="宋体" w:cs="宋体"/>
          <w:color w:val="auto"/>
          <w:sz w:val="20"/>
          <w:szCs w:val="20"/>
          <w:u w:val="single" w:color="auto"/>
        </w:rPr>
        <w:t>）</w:t>
      </w:r>
      <w:r>
        <w:rPr>
          <w:rFonts w:ascii="宋体" w:hAnsi="宋体" w:eastAsia="宋体" w:cs="宋体"/>
          <w:color w:val="auto"/>
          <w:sz w:val="20"/>
          <w:szCs w:val="20"/>
        </w:rPr>
        <w:t>；</w:t>
      </w:r>
    </w:p>
    <w:p w14:paraId="1757620A">
      <w:pPr>
        <w:spacing w:before="108" w:line="324" w:lineRule="exact"/>
        <w:ind w:left="642"/>
        <w:rPr>
          <w:rFonts w:ascii="宋体" w:hAnsi="宋体" w:eastAsia="宋体" w:cs="宋体"/>
          <w:color w:val="auto"/>
          <w:sz w:val="20"/>
          <w:szCs w:val="20"/>
        </w:rPr>
      </w:pPr>
      <w:r>
        <w:rPr>
          <w:rFonts w:ascii="宋体" w:hAnsi="宋体" w:eastAsia="宋体" w:cs="宋体"/>
          <w:b/>
          <w:bCs/>
          <w:color w:val="auto"/>
          <w:spacing w:val="-3"/>
          <w:position w:val="2"/>
          <w:sz w:val="20"/>
          <w:szCs w:val="20"/>
        </w:rPr>
        <w:t>……</w:t>
      </w:r>
    </w:p>
    <w:p w14:paraId="7BE0EA69">
      <w:pPr>
        <w:spacing w:before="28" w:line="327" w:lineRule="auto"/>
        <w:ind w:left="8" w:right="71" w:firstLine="435"/>
        <w:rPr>
          <w:rFonts w:ascii="宋体" w:hAnsi="宋体" w:eastAsia="宋体" w:cs="宋体"/>
          <w:color w:val="auto"/>
          <w:sz w:val="20"/>
          <w:szCs w:val="20"/>
        </w:rPr>
      </w:pPr>
      <w:r>
        <w:rPr>
          <w:rFonts w:ascii="宋体" w:hAnsi="宋体" w:eastAsia="宋体" w:cs="宋体"/>
          <w:color w:val="auto"/>
          <w:spacing w:val="9"/>
          <w:sz w:val="20"/>
          <w:szCs w:val="20"/>
        </w:rPr>
        <w:t>以上企业，不属于大企业的分支机构，不存在控股股东为大企业的情形，也不存在与大企业的</w:t>
      </w:r>
      <w:r>
        <w:rPr>
          <w:rFonts w:ascii="宋体" w:hAnsi="宋体" w:eastAsia="宋体" w:cs="宋体"/>
          <w:color w:val="auto"/>
          <w:spacing w:val="7"/>
          <w:sz w:val="20"/>
          <w:szCs w:val="20"/>
        </w:rPr>
        <w:t>负责人为同一人的情形。</w:t>
      </w:r>
    </w:p>
    <w:p w14:paraId="62CF2200">
      <w:pPr>
        <w:spacing w:before="1" w:line="226" w:lineRule="auto"/>
        <w:ind w:left="421"/>
        <w:rPr>
          <w:rFonts w:ascii="宋体" w:hAnsi="宋体" w:eastAsia="宋体" w:cs="宋体"/>
          <w:color w:val="auto"/>
          <w:sz w:val="20"/>
          <w:szCs w:val="20"/>
        </w:rPr>
      </w:pPr>
      <w:r>
        <w:rPr>
          <w:rFonts w:ascii="宋体" w:hAnsi="宋体" w:eastAsia="宋体" w:cs="宋体"/>
          <w:color w:val="auto"/>
          <w:spacing w:val="9"/>
          <w:sz w:val="20"/>
          <w:szCs w:val="20"/>
        </w:rPr>
        <w:t>本企业对上述声明内容的真实性负责。如有虚假，将依法承担相应责任。</w:t>
      </w:r>
    </w:p>
    <w:p w14:paraId="3EA99ED9">
      <w:pPr>
        <w:pStyle w:val="9"/>
        <w:spacing w:line="257" w:lineRule="auto"/>
        <w:rPr>
          <w:color w:val="auto"/>
        </w:rPr>
      </w:pPr>
    </w:p>
    <w:p w14:paraId="62B95FE0">
      <w:pPr>
        <w:pStyle w:val="9"/>
        <w:spacing w:line="257" w:lineRule="auto"/>
        <w:rPr>
          <w:color w:val="auto"/>
        </w:rPr>
      </w:pPr>
    </w:p>
    <w:p w14:paraId="060E73AF">
      <w:pPr>
        <w:pStyle w:val="9"/>
        <w:spacing w:line="258" w:lineRule="auto"/>
        <w:rPr>
          <w:color w:val="auto"/>
        </w:rPr>
      </w:pPr>
    </w:p>
    <w:p w14:paraId="7FA25F9C">
      <w:pPr>
        <w:pStyle w:val="9"/>
        <w:spacing w:line="258" w:lineRule="auto"/>
        <w:rPr>
          <w:color w:val="auto"/>
        </w:rPr>
      </w:pPr>
    </w:p>
    <w:p w14:paraId="73470291">
      <w:pPr>
        <w:spacing w:before="66" w:line="227" w:lineRule="auto"/>
        <w:ind w:left="4624"/>
        <w:rPr>
          <w:rFonts w:ascii="宋体" w:hAnsi="宋体" w:eastAsia="宋体" w:cs="宋体"/>
          <w:color w:val="auto"/>
          <w:sz w:val="20"/>
          <w:szCs w:val="20"/>
        </w:rPr>
      </w:pPr>
      <w:r>
        <w:rPr>
          <w:rFonts w:ascii="宋体" w:hAnsi="宋体" w:eastAsia="宋体" w:cs="宋体"/>
          <w:color w:val="auto"/>
          <w:spacing w:val="8"/>
          <w:sz w:val="20"/>
          <w:szCs w:val="20"/>
        </w:rPr>
        <w:t>企业名称（盖章</w:t>
      </w:r>
      <w:r>
        <w:rPr>
          <w:rFonts w:ascii="宋体" w:hAnsi="宋体" w:eastAsia="宋体" w:cs="宋体"/>
          <w:color w:val="auto"/>
          <w:sz w:val="20"/>
          <w:szCs w:val="20"/>
        </w:rPr>
        <w:t>）：</w:t>
      </w:r>
    </w:p>
    <w:p w14:paraId="394577F2">
      <w:pPr>
        <w:spacing w:before="65" w:line="228" w:lineRule="auto"/>
        <w:ind w:left="4656"/>
        <w:rPr>
          <w:rFonts w:ascii="宋体" w:hAnsi="宋体" w:eastAsia="宋体" w:cs="宋体"/>
          <w:color w:val="auto"/>
          <w:sz w:val="20"/>
          <w:szCs w:val="20"/>
        </w:rPr>
      </w:pPr>
      <w:r>
        <w:rPr>
          <w:rFonts w:ascii="宋体" w:hAnsi="宋体" w:eastAsia="宋体" w:cs="宋体"/>
          <w:color w:val="auto"/>
          <w:spacing w:val="-13"/>
          <w:sz w:val="20"/>
          <w:szCs w:val="20"/>
        </w:rPr>
        <w:t>日期：</w:t>
      </w:r>
    </w:p>
    <w:p w14:paraId="08E85A87">
      <w:pPr>
        <w:pStyle w:val="9"/>
        <w:spacing w:line="244" w:lineRule="auto"/>
        <w:rPr>
          <w:color w:val="auto"/>
        </w:rPr>
      </w:pPr>
    </w:p>
    <w:p w14:paraId="13E814FD">
      <w:pPr>
        <w:pStyle w:val="9"/>
        <w:spacing w:line="245" w:lineRule="auto"/>
        <w:rPr>
          <w:color w:val="auto"/>
        </w:rPr>
      </w:pPr>
    </w:p>
    <w:p w14:paraId="15660AC0">
      <w:pPr>
        <w:spacing w:before="66" w:line="264" w:lineRule="exact"/>
        <w:jc w:val="right"/>
        <w:rPr>
          <w:color w:val="auto"/>
        </w:rPr>
      </w:pPr>
      <w:r>
        <w:rPr>
          <w:rFonts w:ascii="宋体" w:hAnsi="宋体" w:eastAsia="宋体" w:cs="宋体"/>
          <w:color w:val="auto"/>
          <w:spacing w:val="7"/>
          <w:sz w:val="20"/>
          <w:szCs w:val="20"/>
        </w:rPr>
        <w:t>注：</w:t>
      </w:r>
      <w:r>
        <w:rPr>
          <w:rFonts w:ascii="宋体" w:hAnsi="宋体" w:eastAsia="宋体" w:cs="宋体"/>
          <w:color w:val="auto"/>
          <w:spacing w:val="7"/>
          <w:position w:val="10"/>
          <w:sz w:val="10"/>
          <w:szCs w:val="10"/>
        </w:rPr>
        <w:t>1</w:t>
      </w:r>
      <w:r>
        <w:rPr>
          <w:rFonts w:ascii="宋体" w:hAnsi="宋体" w:eastAsia="宋体" w:cs="宋体"/>
          <w:color w:val="auto"/>
          <w:spacing w:val="7"/>
          <w:sz w:val="20"/>
          <w:szCs w:val="20"/>
        </w:rPr>
        <w:t>从业人员、营业收入、资产总额填报上一年度数据，无上一年度数据的新成立企业可不填报。</w:t>
      </w:r>
    </w:p>
    <w:p w14:paraId="5D1068D1">
      <w:pPr>
        <w:pStyle w:val="9"/>
        <w:spacing w:line="274" w:lineRule="auto"/>
        <w:rPr>
          <w:color w:val="auto"/>
        </w:rPr>
      </w:pPr>
    </w:p>
    <w:p w14:paraId="2E12178E">
      <w:pPr>
        <w:pStyle w:val="5"/>
        <w:bidi w:val="0"/>
        <w:jc w:val="center"/>
      </w:pPr>
      <w:r>
        <w:t>十</w:t>
      </w:r>
      <w:r>
        <w:rPr>
          <w:rFonts w:hint="eastAsia"/>
          <w:lang w:val="en-US" w:eastAsia="zh-CN"/>
        </w:rPr>
        <w:t>一</w:t>
      </w:r>
      <w:r>
        <w:t>、其他资料</w:t>
      </w:r>
    </w:p>
    <w:p w14:paraId="5F4A4D1D">
      <w:pPr>
        <w:spacing w:before="101" w:line="225" w:lineRule="auto"/>
        <w:rPr>
          <w:rFonts w:hint="eastAsia"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1、施工现场保护承诺书</w:t>
      </w:r>
    </w:p>
    <w:p w14:paraId="29DF24EC">
      <w:pPr>
        <w:spacing w:before="101" w:line="225" w:lineRule="auto"/>
        <w:rPr>
          <w:rFonts w:hint="default"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例如：供应商须全面落实现场安全文明施工防护措施，合理布设防护围挡、隔离设施，规范作业流程，杜绝施工扬尘、污染、磕碰及外力损坏，严控施工作业对周边环境、现有设施的不良影响。</w:t>
      </w:r>
    </w:p>
    <w:p w14:paraId="4D2DB96B">
      <w:pPr>
        <w:spacing w:before="101" w:line="225" w:lineRule="auto"/>
        <w:rPr>
          <w:rFonts w:hint="eastAsia"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2、成品保护承诺书</w:t>
      </w:r>
    </w:p>
    <w:p w14:paraId="0B36A8C6">
      <w:pPr>
        <w:spacing w:before="101" w:line="225" w:lineRule="auto"/>
        <w:rPr>
          <w:rFonts w:hint="default"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例如：对现场原有建筑、装饰、设备、管线、绿化及已完工程部位做好全覆盖成品保护。施工造成的破损、污染等问题，须无条件维修整改，完工后完整恢复至施工前原状，所有修复费用自行承担。</w:t>
      </w:r>
    </w:p>
    <w:p w14:paraId="48F30D5A">
      <w:pPr>
        <w:spacing w:before="101" w:line="225" w:lineRule="auto"/>
        <w:rPr>
          <w:rFonts w:hint="eastAsia"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3、保密协议</w:t>
      </w:r>
    </w:p>
    <w:p w14:paraId="0D21B94C">
      <w:pPr>
        <w:spacing w:before="101" w:line="225" w:lineRule="auto"/>
        <w:rPr>
          <w:rFonts w:hint="default"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对投标内容、图纸、清单部分等内容进行保密承诺</w:t>
      </w:r>
    </w:p>
    <w:p w14:paraId="10C55B5F">
      <w:pPr>
        <w:spacing w:before="101" w:line="225" w:lineRule="auto"/>
        <w:rPr>
          <w:rFonts w:hint="eastAsia" w:ascii="宋体" w:hAnsi="宋体" w:cs="宋体"/>
          <w:b/>
          <w:bCs/>
          <w:color w:val="auto"/>
          <w:spacing w:val="5"/>
          <w:sz w:val="31"/>
          <w:szCs w:val="31"/>
          <w:lang w:val="en-US" w:eastAsia="zh-CN"/>
        </w:rPr>
      </w:pPr>
      <w:r>
        <w:rPr>
          <w:rFonts w:hint="eastAsia" w:ascii="宋体" w:hAnsi="宋体" w:cs="宋体"/>
          <w:b/>
          <w:bCs/>
          <w:color w:val="auto"/>
          <w:spacing w:val="5"/>
          <w:sz w:val="31"/>
          <w:szCs w:val="31"/>
          <w:lang w:val="en-US" w:eastAsia="zh-CN"/>
        </w:rPr>
        <w:t>4、所提供消防设备产品</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404"/>
        <w:gridCol w:w="1704"/>
        <w:gridCol w:w="1704"/>
        <w:gridCol w:w="1704"/>
      </w:tblGrid>
      <w:tr w14:paraId="12F5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dxa"/>
            <w:vAlign w:val="center"/>
          </w:tcPr>
          <w:p w14:paraId="2425715E">
            <w:pPr>
              <w:bidi w:val="0"/>
              <w:jc w:val="center"/>
              <w:rPr>
                <w:rFonts w:hint="default"/>
                <w:color w:val="auto"/>
                <w:sz w:val="28"/>
                <w:szCs w:val="32"/>
                <w:lang w:val="en-US" w:eastAsia="zh-CN"/>
              </w:rPr>
            </w:pPr>
            <w:r>
              <w:rPr>
                <w:rFonts w:hint="eastAsia"/>
                <w:color w:val="auto"/>
                <w:sz w:val="28"/>
                <w:szCs w:val="32"/>
                <w:lang w:val="en-US" w:eastAsia="zh-CN"/>
              </w:rPr>
              <w:t>序号</w:t>
            </w:r>
          </w:p>
        </w:tc>
        <w:tc>
          <w:tcPr>
            <w:tcW w:w="2404" w:type="dxa"/>
            <w:vAlign w:val="center"/>
          </w:tcPr>
          <w:p w14:paraId="38EC1D54">
            <w:pPr>
              <w:bidi w:val="0"/>
              <w:jc w:val="center"/>
              <w:rPr>
                <w:rFonts w:hint="default"/>
                <w:color w:val="auto"/>
                <w:sz w:val="28"/>
                <w:szCs w:val="32"/>
                <w:lang w:val="en-US" w:eastAsia="zh-CN"/>
              </w:rPr>
            </w:pPr>
            <w:r>
              <w:rPr>
                <w:rFonts w:hint="eastAsia"/>
                <w:color w:val="auto"/>
                <w:sz w:val="28"/>
                <w:szCs w:val="32"/>
                <w:lang w:val="en-US" w:eastAsia="zh-CN"/>
              </w:rPr>
              <w:t>设备名称</w:t>
            </w:r>
          </w:p>
        </w:tc>
        <w:tc>
          <w:tcPr>
            <w:tcW w:w="1704" w:type="dxa"/>
            <w:vAlign w:val="center"/>
          </w:tcPr>
          <w:p w14:paraId="7DDD9045">
            <w:pPr>
              <w:bidi w:val="0"/>
              <w:jc w:val="center"/>
              <w:rPr>
                <w:rFonts w:hint="default"/>
                <w:color w:val="auto"/>
                <w:sz w:val="28"/>
                <w:szCs w:val="32"/>
                <w:lang w:val="en-US" w:eastAsia="zh-CN"/>
              </w:rPr>
            </w:pPr>
            <w:r>
              <w:rPr>
                <w:rFonts w:hint="eastAsia"/>
                <w:color w:val="auto"/>
                <w:sz w:val="28"/>
                <w:szCs w:val="32"/>
                <w:lang w:val="en-US" w:eastAsia="zh-CN"/>
              </w:rPr>
              <w:t>产地</w:t>
            </w:r>
          </w:p>
        </w:tc>
        <w:tc>
          <w:tcPr>
            <w:tcW w:w="1704" w:type="dxa"/>
            <w:vAlign w:val="center"/>
          </w:tcPr>
          <w:p w14:paraId="60D2420B">
            <w:pPr>
              <w:bidi w:val="0"/>
              <w:jc w:val="center"/>
              <w:rPr>
                <w:rFonts w:hint="default"/>
                <w:color w:val="auto"/>
                <w:sz w:val="28"/>
                <w:szCs w:val="32"/>
                <w:lang w:val="en-US" w:eastAsia="zh-CN"/>
              </w:rPr>
            </w:pPr>
            <w:r>
              <w:rPr>
                <w:rFonts w:hint="eastAsia"/>
                <w:color w:val="auto"/>
                <w:sz w:val="28"/>
                <w:szCs w:val="32"/>
                <w:lang w:val="en-US" w:eastAsia="zh-CN"/>
              </w:rPr>
              <w:t>品牌型号</w:t>
            </w:r>
          </w:p>
        </w:tc>
        <w:tc>
          <w:tcPr>
            <w:tcW w:w="1704" w:type="dxa"/>
            <w:vAlign w:val="center"/>
          </w:tcPr>
          <w:p w14:paraId="45FE1738">
            <w:pPr>
              <w:bidi w:val="0"/>
              <w:jc w:val="center"/>
              <w:rPr>
                <w:rFonts w:hint="default"/>
                <w:color w:val="auto"/>
                <w:sz w:val="28"/>
                <w:szCs w:val="32"/>
                <w:lang w:val="en-US" w:eastAsia="zh-CN"/>
              </w:rPr>
            </w:pPr>
            <w:r>
              <w:rPr>
                <w:rFonts w:hint="eastAsia"/>
                <w:color w:val="auto"/>
                <w:sz w:val="28"/>
                <w:szCs w:val="32"/>
                <w:lang w:val="en-US" w:eastAsia="zh-CN"/>
              </w:rPr>
              <w:t>备注</w:t>
            </w:r>
          </w:p>
        </w:tc>
      </w:tr>
      <w:tr w14:paraId="2EC1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dxa"/>
            <w:vAlign w:val="center"/>
          </w:tcPr>
          <w:p w14:paraId="37B0B868">
            <w:pPr>
              <w:bidi w:val="0"/>
              <w:jc w:val="center"/>
              <w:rPr>
                <w:rFonts w:hint="default"/>
                <w:color w:val="auto"/>
                <w:sz w:val="28"/>
                <w:szCs w:val="32"/>
                <w:lang w:val="en-US" w:eastAsia="zh-CN"/>
              </w:rPr>
            </w:pPr>
          </w:p>
        </w:tc>
        <w:tc>
          <w:tcPr>
            <w:tcW w:w="2404" w:type="dxa"/>
            <w:vAlign w:val="center"/>
          </w:tcPr>
          <w:p w14:paraId="2F5037B6">
            <w:pPr>
              <w:bidi w:val="0"/>
              <w:jc w:val="center"/>
              <w:rPr>
                <w:rFonts w:hint="default"/>
                <w:color w:val="auto"/>
                <w:sz w:val="28"/>
                <w:szCs w:val="32"/>
                <w:lang w:val="en-US" w:eastAsia="zh-CN"/>
              </w:rPr>
            </w:pPr>
          </w:p>
        </w:tc>
        <w:tc>
          <w:tcPr>
            <w:tcW w:w="1704" w:type="dxa"/>
            <w:vAlign w:val="center"/>
          </w:tcPr>
          <w:p w14:paraId="389C94F3">
            <w:pPr>
              <w:bidi w:val="0"/>
              <w:jc w:val="center"/>
              <w:rPr>
                <w:rFonts w:hint="default"/>
                <w:color w:val="auto"/>
                <w:sz w:val="28"/>
                <w:szCs w:val="32"/>
                <w:lang w:val="en-US" w:eastAsia="zh-CN"/>
              </w:rPr>
            </w:pPr>
          </w:p>
        </w:tc>
        <w:tc>
          <w:tcPr>
            <w:tcW w:w="1704" w:type="dxa"/>
            <w:vAlign w:val="center"/>
          </w:tcPr>
          <w:p w14:paraId="366F5D7F">
            <w:pPr>
              <w:bidi w:val="0"/>
              <w:jc w:val="center"/>
              <w:rPr>
                <w:rFonts w:hint="default"/>
                <w:color w:val="auto"/>
                <w:sz w:val="28"/>
                <w:szCs w:val="32"/>
                <w:lang w:val="en-US" w:eastAsia="zh-CN"/>
              </w:rPr>
            </w:pPr>
          </w:p>
        </w:tc>
        <w:tc>
          <w:tcPr>
            <w:tcW w:w="1704" w:type="dxa"/>
            <w:vAlign w:val="center"/>
          </w:tcPr>
          <w:p w14:paraId="59352732">
            <w:pPr>
              <w:bidi w:val="0"/>
              <w:jc w:val="center"/>
              <w:rPr>
                <w:rFonts w:hint="default"/>
                <w:color w:val="auto"/>
                <w:sz w:val="28"/>
                <w:szCs w:val="32"/>
                <w:lang w:val="en-US" w:eastAsia="zh-CN"/>
              </w:rPr>
            </w:pPr>
          </w:p>
        </w:tc>
      </w:tr>
      <w:tr w14:paraId="5877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dxa"/>
            <w:vAlign w:val="center"/>
          </w:tcPr>
          <w:p w14:paraId="179E5997">
            <w:pPr>
              <w:bidi w:val="0"/>
              <w:jc w:val="center"/>
              <w:rPr>
                <w:rFonts w:hint="default"/>
                <w:color w:val="auto"/>
                <w:sz w:val="28"/>
                <w:szCs w:val="32"/>
                <w:lang w:val="en-US" w:eastAsia="zh-CN"/>
              </w:rPr>
            </w:pPr>
          </w:p>
        </w:tc>
        <w:tc>
          <w:tcPr>
            <w:tcW w:w="2404" w:type="dxa"/>
            <w:vAlign w:val="center"/>
          </w:tcPr>
          <w:p w14:paraId="0B770DD2">
            <w:pPr>
              <w:bidi w:val="0"/>
              <w:jc w:val="center"/>
              <w:rPr>
                <w:rFonts w:hint="default"/>
                <w:color w:val="auto"/>
                <w:sz w:val="28"/>
                <w:szCs w:val="32"/>
                <w:lang w:val="en-US" w:eastAsia="zh-CN"/>
              </w:rPr>
            </w:pPr>
          </w:p>
        </w:tc>
        <w:tc>
          <w:tcPr>
            <w:tcW w:w="1704" w:type="dxa"/>
            <w:vAlign w:val="center"/>
          </w:tcPr>
          <w:p w14:paraId="7ACB946C">
            <w:pPr>
              <w:bidi w:val="0"/>
              <w:jc w:val="center"/>
              <w:rPr>
                <w:rFonts w:hint="default"/>
                <w:color w:val="auto"/>
                <w:sz w:val="28"/>
                <w:szCs w:val="32"/>
                <w:lang w:val="en-US" w:eastAsia="zh-CN"/>
              </w:rPr>
            </w:pPr>
          </w:p>
        </w:tc>
        <w:tc>
          <w:tcPr>
            <w:tcW w:w="1704" w:type="dxa"/>
            <w:vAlign w:val="center"/>
          </w:tcPr>
          <w:p w14:paraId="244E630C">
            <w:pPr>
              <w:bidi w:val="0"/>
              <w:jc w:val="center"/>
              <w:rPr>
                <w:rFonts w:hint="default"/>
                <w:color w:val="auto"/>
                <w:sz w:val="28"/>
                <w:szCs w:val="32"/>
                <w:lang w:val="en-US" w:eastAsia="zh-CN"/>
              </w:rPr>
            </w:pPr>
          </w:p>
        </w:tc>
        <w:tc>
          <w:tcPr>
            <w:tcW w:w="1704" w:type="dxa"/>
            <w:vAlign w:val="center"/>
          </w:tcPr>
          <w:p w14:paraId="79BD25B9">
            <w:pPr>
              <w:bidi w:val="0"/>
              <w:jc w:val="center"/>
              <w:rPr>
                <w:rFonts w:hint="default"/>
                <w:color w:val="auto"/>
                <w:sz w:val="28"/>
                <w:szCs w:val="32"/>
                <w:lang w:val="en-US" w:eastAsia="zh-CN"/>
              </w:rPr>
            </w:pPr>
          </w:p>
        </w:tc>
      </w:tr>
      <w:tr w14:paraId="2243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dxa"/>
            <w:vAlign w:val="center"/>
          </w:tcPr>
          <w:p w14:paraId="430C9112">
            <w:pPr>
              <w:bidi w:val="0"/>
              <w:jc w:val="center"/>
              <w:rPr>
                <w:rFonts w:hint="default"/>
                <w:color w:val="auto"/>
                <w:sz w:val="28"/>
                <w:szCs w:val="32"/>
                <w:lang w:val="en-US" w:eastAsia="zh-CN"/>
              </w:rPr>
            </w:pPr>
          </w:p>
        </w:tc>
        <w:tc>
          <w:tcPr>
            <w:tcW w:w="2404" w:type="dxa"/>
            <w:vAlign w:val="center"/>
          </w:tcPr>
          <w:p w14:paraId="583D7836">
            <w:pPr>
              <w:bidi w:val="0"/>
              <w:jc w:val="center"/>
              <w:rPr>
                <w:rFonts w:hint="default"/>
                <w:color w:val="auto"/>
                <w:sz w:val="28"/>
                <w:szCs w:val="32"/>
                <w:lang w:val="en-US" w:eastAsia="zh-CN"/>
              </w:rPr>
            </w:pPr>
          </w:p>
        </w:tc>
        <w:tc>
          <w:tcPr>
            <w:tcW w:w="1704" w:type="dxa"/>
            <w:vAlign w:val="center"/>
          </w:tcPr>
          <w:p w14:paraId="6F93F189">
            <w:pPr>
              <w:bidi w:val="0"/>
              <w:jc w:val="center"/>
              <w:rPr>
                <w:rFonts w:hint="default"/>
                <w:color w:val="auto"/>
                <w:sz w:val="28"/>
                <w:szCs w:val="32"/>
                <w:lang w:val="en-US" w:eastAsia="zh-CN"/>
              </w:rPr>
            </w:pPr>
          </w:p>
        </w:tc>
        <w:tc>
          <w:tcPr>
            <w:tcW w:w="1704" w:type="dxa"/>
            <w:vAlign w:val="center"/>
          </w:tcPr>
          <w:p w14:paraId="340756B7">
            <w:pPr>
              <w:bidi w:val="0"/>
              <w:jc w:val="center"/>
              <w:rPr>
                <w:rFonts w:hint="default"/>
                <w:color w:val="auto"/>
                <w:sz w:val="28"/>
                <w:szCs w:val="32"/>
                <w:lang w:val="en-US" w:eastAsia="zh-CN"/>
              </w:rPr>
            </w:pPr>
          </w:p>
        </w:tc>
        <w:tc>
          <w:tcPr>
            <w:tcW w:w="1704" w:type="dxa"/>
            <w:vAlign w:val="center"/>
          </w:tcPr>
          <w:p w14:paraId="24A66BB4">
            <w:pPr>
              <w:bidi w:val="0"/>
              <w:jc w:val="center"/>
              <w:rPr>
                <w:rFonts w:hint="default"/>
                <w:color w:val="auto"/>
                <w:sz w:val="28"/>
                <w:szCs w:val="32"/>
                <w:lang w:val="en-US" w:eastAsia="zh-CN"/>
              </w:rPr>
            </w:pPr>
          </w:p>
        </w:tc>
      </w:tr>
      <w:tr w14:paraId="67B1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dxa"/>
            <w:vAlign w:val="center"/>
          </w:tcPr>
          <w:p w14:paraId="1812BAC3">
            <w:pPr>
              <w:bidi w:val="0"/>
              <w:jc w:val="center"/>
              <w:rPr>
                <w:rFonts w:hint="default"/>
                <w:color w:val="auto"/>
                <w:sz w:val="28"/>
                <w:szCs w:val="32"/>
                <w:lang w:val="en-US" w:eastAsia="zh-CN"/>
              </w:rPr>
            </w:pPr>
          </w:p>
        </w:tc>
        <w:tc>
          <w:tcPr>
            <w:tcW w:w="2404" w:type="dxa"/>
            <w:vAlign w:val="center"/>
          </w:tcPr>
          <w:p w14:paraId="6B65006D">
            <w:pPr>
              <w:bidi w:val="0"/>
              <w:jc w:val="center"/>
              <w:rPr>
                <w:rFonts w:hint="default"/>
                <w:color w:val="auto"/>
                <w:sz w:val="28"/>
                <w:szCs w:val="32"/>
                <w:lang w:val="en-US" w:eastAsia="zh-CN"/>
              </w:rPr>
            </w:pPr>
          </w:p>
        </w:tc>
        <w:tc>
          <w:tcPr>
            <w:tcW w:w="1704" w:type="dxa"/>
            <w:vAlign w:val="center"/>
          </w:tcPr>
          <w:p w14:paraId="42547833">
            <w:pPr>
              <w:bidi w:val="0"/>
              <w:jc w:val="center"/>
              <w:rPr>
                <w:rFonts w:hint="default"/>
                <w:color w:val="auto"/>
                <w:sz w:val="28"/>
                <w:szCs w:val="32"/>
                <w:lang w:val="en-US" w:eastAsia="zh-CN"/>
              </w:rPr>
            </w:pPr>
          </w:p>
        </w:tc>
        <w:tc>
          <w:tcPr>
            <w:tcW w:w="1704" w:type="dxa"/>
            <w:vAlign w:val="center"/>
          </w:tcPr>
          <w:p w14:paraId="067945BE">
            <w:pPr>
              <w:bidi w:val="0"/>
              <w:jc w:val="center"/>
              <w:rPr>
                <w:rFonts w:hint="default"/>
                <w:color w:val="auto"/>
                <w:sz w:val="28"/>
                <w:szCs w:val="32"/>
                <w:lang w:val="en-US" w:eastAsia="zh-CN"/>
              </w:rPr>
            </w:pPr>
          </w:p>
        </w:tc>
        <w:tc>
          <w:tcPr>
            <w:tcW w:w="1704" w:type="dxa"/>
            <w:vAlign w:val="center"/>
          </w:tcPr>
          <w:p w14:paraId="278B6C47">
            <w:pPr>
              <w:bidi w:val="0"/>
              <w:jc w:val="center"/>
              <w:rPr>
                <w:rFonts w:hint="default"/>
                <w:color w:val="auto"/>
                <w:sz w:val="28"/>
                <w:szCs w:val="32"/>
                <w:lang w:val="en-US" w:eastAsia="zh-CN"/>
              </w:rPr>
            </w:pPr>
          </w:p>
        </w:tc>
      </w:tr>
      <w:tr w14:paraId="2F12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02" w:type="dxa"/>
            <w:vAlign w:val="center"/>
          </w:tcPr>
          <w:p w14:paraId="1191454A">
            <w:pPr>
              <w:bidi w:val="0"/>
              <w:jc w:val="center"/>
              <w:rPr>
                <w:rFonts w:hint="default"/>
                <w:color w:val="auto"/>
                <w:sz w:val="28"/>
                <w:szCs w:val="32"/>
                <w:lang w:val="en-US" w:eastAsia="zh-CN"/>
              </w:rPr>
            </w:pPr>
          </w:p>
        </w:tc>
        <w:tc>
          <w:tcPr>
            <w:tcW w:w="2404" w:type="dxa"/>
            <w:vAlign w:val="center"/>
          </w:tcPr>
          <w:p w14:paraId="0424B74C">
            <w:pPr>
              <w:bidi w:val="0"/>
              <w:jc w:val="center"/>
              <w:rPr>
                <w:rFonts w:hint="default"/>
                <w:color w:val="auto"/>
                <w:sz w:val="28"/>
                <w:szCs w:val="32"/>
                <w:lang w:val="en-US" w:eastAsia="zh-CN"/>
              </w:rPr>
            </w:pPr>
          </w:p>
        </w:tc>
        <w:tc>
          <w:tcPr>
            <w:tcW w:w="1704" w:type="dxa"/>
            <w:vAlign w:val="center"/>
          </w:tcPr>
          <w:p w14:paraId="4F7244C0">
            <w:pPr>
              <w:bidi w:val="0"/>
              <w:jc w:val="center"/>
              <w:rPr>
                <w:rFonts w:hint="default"/>
                <w:color w:val="auto"/>
                <w:sz w:val="28"/>
                <w:szCs w:val="32"/>
                <w:lang w:val="en-US" w:eastAsia="zh-CN"/>
              </w:rPr>
            </w:pPr>
          </w:p>
        </w:tc>
        <w:tc>
          <w:tcPr>
            <w:tcW w:w="1704" w:type="dxa"/>
            <w:vAlign w:val="center"/>
          </w:tcPr>
          <w:p w14:paraId="488F9B0B">
            <w:pPr>
              <w:bidi w:val="0"/>
              <w:jc w:val="center"/>
              <w:rPr>
                <w:rFonts w:hint="default"/>
                <w:color w:val="auto"/>
                <w:sz w:val="28"/>
                <w:szCs w:val="32"/>
                <w:lang w:val="en-US" w:eastAsia="zh-CN"/>
              </w:rPr>
            </w:pPr>
          </w:p>
        </w:tc>
        <w:tc>
          <w:tcPr>
            <w:tcW w:w="1704" w:type="dxa"/>
            <w:vAlign w:val="center"/>
          </w:tcPr>
          <w:p w14:paraId="7BE2A403">
            <w:pPr>
              <w:bidi w:val="0"/>
              <w:jc w:val="center"/>
              <w:rPr>
                <w:rFonts w:hint="default"/>
                <w:color w:val="auto"/>
                <w:sz w:val="28"/>
                <w:szCs w:val="32"/>
                <w:lang w:val="en-US" w:eastAsia="zh-CN"/>
              </w:rPr>
            </w:pPr>
          </w:p>
        </w:tc>
      </w:tr>
    </w:tbl>
    <w:p w14:paraId="4A3DDA66">
      <w:pPr>
        <w:spacing w:before="101" w:line="225" w:lineRule="auto"/>
        <w:rPr>
          <w:rFonts w:hint="default" w:ascii="宋体" w:hAnsi="宋体" w:cs="宋体"/>
          <w:b/>
          <w:bCs/>
          <w:color w:val="auto"/>
          <w:spacing w:val="5"/>
          <w:sz w:val="31"/>
          <w:szCs w:val="31"/>
          <w:lang w:val="en-US" w:eastAsia="zh-CN"/>
        </w:rPr>
      </w:pPr>
      <w:r>
        <w:rPr>
          <w:rFonts w:hint="eastAsia" w:ascii="宋体" w:hAnsi="宋体" w:cs="宋体"/>
          <w:b/>
          <w:bCs/>
          <w:color w:val="auto"/>
          <w:spacing w:val="5"/>
          <w:sz w:val="22"/>
          <w:szCs w:val="22"/>
          <w:lang w:val="en-US" w:eastAsia="zh-CN"/>
        </w:rPr>
        <w:t>后附设备相关资料</w:t>
      </w:r>
    </w:p>
    <w:sectPr>
      <w:footerReference r:id="rId2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D443">
    <w:pPr>
      <w:pStyle w:val="1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08D22">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08D22">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C3943">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59314">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1459314">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E33A">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8CD55">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7E8CD55">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521B">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ACA90">
                          <w:pPr>
                            <w:pStyle w:val="1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46DACA90">
                    <w:pPr>
                      <w:pStyle w:val="1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494">
    <w:pPr>
      <w:spacing w:line="169" w:lineRule="auto"/>
      <w:ind w:left="4352"/>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FE7A8">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614FE7A8">
                    <w:pPr>
                      <w:pStyle w:val="13"/>
                    </w:pPr>
                    <w:r>
                      <w:fldChar w:fldCharType="begin"/>
                    </w:r>
                    <w:r>
                      <w:instrText xml:space="preserve"> PAGE  \* MERGEFORMAT </w:instrText>
                    </w:r>
                    <w:r>
                      <w:fldChar w:fldCharType="separate"/>
                    </w:r>
                    <w:r>
                      <w:t>30</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F636B">
                          <w:pPr>
                            <w:pStyle w:val="1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42F636B">
                    <w:pPr>
                      <w:pStyle w:val="13"/>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6AC4">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8D623">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FD8D623">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3BFC">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2F97D">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4B72F97D">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7BC2">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6FBB4">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3016FBB4">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BAE2">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A3711">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34A3711">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24C46">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20B11">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120B11">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AFEA2">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C3335">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FEC3335">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CAB7">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3DDB">
                          <w:pPr>
                            <w:pStyle w:val="1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2123DDB">
                    <w:pPr>
                      <w:pStyle w:val="1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8EEB">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428B3">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67E428B3">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578E7">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6A7DA">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016A7DA">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FE1F">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42CD8">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63C42CD8">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C6302">
    <w:pPr>
      <w:pStyle w:val="1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7DDB2">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0C87DDB2">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43E72">
    <w:pPr>
      <w:pStyle w:val="1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6D138">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62D6D138">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2FE3C">
    <w:pPr>
      <w:pStyle w:val="1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6FE91">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3126FE91">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8A2F2">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2F26A">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992F26A">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B176">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DB360">
                          <w:pPr>
                            <w:pStyle w:val="1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55DB360">
                    <w:pPr>
                      <w:pStyle w:val="13"/>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FF5EB">
    <w:pPr>
      <w:spacing w:line="169" w:lineRule="auto"/>
      <w:ind w:left="443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7C9A5">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7297C9A5">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9963">
    <w:pPr>
      <w:spacing w:line="169"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E6E0F">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4CE6E0F">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388D">
    <w:pPr>
      <w:spacing w:line="169" w:lineRule="auto"/>
      <w:ind w:left="4431"/>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02B99">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2202B99">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C13F3">
    <w:pPr>
      <w:spacing w:line="169" w:lineRule="auto"/>
      <w:ind w:left="443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73BF9">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DE73BF9">
                    <w:pPr>
                      <w:pStyle w:val="13"/>
                    </w:pPr>
                    <w:r>
                      <w:fldChar w:fldCharType="begin"/>
                    </w:r>
                    <w:r>
                      <w:instrText xml:space="preserve"> PAGE  \* MERGEFORMAT </w:instrText>
                    </w:r>
                    <w:r>
                      <w:fldChar w:fldCharType="separate"/>
                    </w:r>
                    <w:r>
                      <w:t>23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2829560</wp:posOffset>
              </wp:positionH>
              <wp:positionV relativeFrom="paragraph">
                <wp:posOffset>-126365</wp:posOffset>
              </wp:positionV>
              <wp:extent cx="121285" cy="29527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128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0FE28"/>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8pt;margin-top:-9.95pt;height:23.25pt;width:9.55pt;mso-position-horizontal-relative:margin;z-index:251659264;mso-width-relative:page;mso-height-relative:page;" filled="f" stroked="f" coordsize="21600,21600" o:gfxdata="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GZQ1DZAAAACgEAAA8AAAAAAAAAAQAgAAAAIgAAAGRycy9kb3du&#10;cmV2LnhtbFBLAQIUABQAAAAIAIdO4kDZTTmnNwIAAGEEAAAOAAAAAAAAAAEAIAAAACgBAABkcnMv&#10;ZTJvRG9jLnhtbFBLBQYAAAAABgAGAFkBAADRBQAAAAA=&#10;">
              <v:fill on="f" focussize="0,0"/>
              <v:stroke on="f" weight="0.5pt"/>
              <v:imagedata o:title=""/>
              <o:lock v:ext="edit" aspectratio="f"/>
              <v:textbox inset="0mm,0mm,0mm,0mm">
                <w:txbxContent>
                  <w:p w14:paraId="0450FE28"/>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3075305</wp:posOffset>
              </wp:positionH>
              <wp:positionV relativeFrom="paragraph">
                <wp:posOffset>-290195</wp:posOffset>
              </wp:positionV>
              <wp:extent cx="800735" cy="33083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800735" cy="330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6428D"/>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2.15pt;margin-top:-22.85pt;height:26.05pt;width:63.05pt;mso-position-horizontal-relative:margin;z-index:251661312;mso-width-relative:page;mso-height-relative:page;" filled="f" stroked="f" coordsize="21600,21600" o:gfxdata="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yxE4m2AAAAAkBAAAPAAAAAAAAAAEAIAAAACIAAABkcnMvZG93&#10;bnJldi54bWxQSwECFAAUAAAACACHTuJAHEvlXDkCAABjBAAADgAAAAAAAAABACAAAAAnAQAAZHJz&#10;L2Uyb0RvYy54bWxQSwUGAAAAAAYABgBZAQAA0gUAAAAA&#10;">
              <v:fill on="f" focussize="0,0"/>
              <v:stroke on="f" weight="0.5pt"/>
              <v:imagedata o:title=""/>
              <o:lock v:ext="edit" aspectratio="f"/>
              <v:textbox inset="0mm,0mm,0mm,0mm">
                <w:txbxContent>
                  <w:p w14:paraId="64B6428D"/>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2CF2C">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61287">
                          <w:pPr>
                            <w:pStyle w:val="1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7861287">
                    <w:pPr>
                      <w:pStyle w:val="1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6F814">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WZmOTQzMDk3ZjlkZWRiODQ4MjVlOGYyODNlODcifQ=="/>
  </w:docVars>
  <w:rsids>
    <w:rsidRoot w:val="410633C9"/>
    <w:rsid w:val="0034246B"/>
    <w:rsid w:val="007200AE"/>
    <w:rsid w:val="013B4944"/>
    <w:rsid w:val="020972D1"/>
    <w:rsid w:val="02653D5D"/>
    <w:rsid w:val="02B91F41"/>
    <w:rsid w:val="02D529E9"/>
    <w:rsid w:val="04416806"/>
    <w:rsid w:val="05997E00"/>
    <w:rsid w:val="05FE4FCF"/>
    <w:rsid w:val="067166BF"/>
    <w:rsid w:val="068E19BA"/>
    <w:rsid w:val="07E6312F"/>
    <w:rsid w:val="089808CE"/>
    <w:rsid w:val="0A86664F"/>
    <w:rsid w:val="0BB43AD3"/>
    <w:rsid w:val="0C404485"/>
    <w:rsid w:val="0C8809DE"/>
    <w:rsid w:val="0CD76317"/>
    <w:rsid w:val="0DAC2BE0"/>
    <w:rsid w:val="0EED0A31"/>
    <w:rsid w:val="0F130BC3"/>
    <w:rsid w:val="10823B4A"/>
    <w:rsid w:val="10AD57B2"/>
    <w:rsid w:val="10E3221D"/>
    <w:rsid w:val="130A6C0E"/>
    <w:rsid w:val="13446AA7"/>
    <w:rsid w:val="142E0338"/>
    <w:rsid w:val="147B03A7"/>
    <w:rsid w:val="14F542D4"/>
    <w:rsid w:val="16044F66"/>
    <w:rsid w:val="1671736F"/>
    <w:rsid w:val="1708216E"/>
    <w:rsid w:val="17CF1A29"/>
    <w:rsid w:val="187F1976"/>
    <w:rsid w:val="18FC27B3"/>
    <w:rsid w:val="1AB63891"/>
    <w:rsid w:val="1AF250CE"/>
    <w:rsid w:val="1B5A1A13"/>
    <w:rsid w:val="1BFC4701"/>
    <w:rsid w:val="1C4032FE"/>
    <w:rsid w:val="1D5E7392"/>
    <w:rsid w:val="1D6A0B94"/>
    <w:rsid w:val="1DCF0F79"/>
    <w:rsid w:val="1F6E54D9"/>
    <w:rsid w:val="218C0970"/>
    <w:rsid w:val="22035A7D"/>
    <w:rsid w:val="24AD6F94"/>
    <w:rsid w:val="250348CF"/>
    <w:rsid w:val="252750A2"/>
    <w:rsid w:val="257903B8"/>
    <w:rsid w:val="263A52BD"/>
    <w:rsid w:val="27551A86"/>
    <w:rsid w:val="27933CD9"/>
    <w:rsid w:val="28871F59"/>
    <w:rsid w:val="2A126BA6"/>
    <w:rsid w:val="2ABB287C"/>
    <w:rsid w:val="2B3212BA"/>
    <w:rsid w:val="2B845457"/>
    <w:rsid w:val="2CA45633"/>
    <w:rsid w:val="2CA70EE0"/>
    <w:rsid w:val="2CB371D5"/>
    <w:rsid w:val="2DB26804"/>
    <w:rsid w:val="2DCA5D5B"/>
    <w:rsid w:val="2E532CCF"/>
    <w:rsid w:val="2EC969A6"/>
    <w:rsid w:val="2F886584"/>
    <w:rsid w:val="2FC17E5A"/>
    <w:rsid w:val="2FE837AB"/>
    <w:rsid w:val="3097567B"/>
    <w:rsid w:val="316E4B62"/>
    <w:rsid w:val="317B246D"/>
    <w:rsid w:val="32A04A91"/>
    <w:rsid w:val="331A06BE"/>
    <w:rsid w:val="34341B21"/>
    <w:rsid w:val="34806E53"/>
    <w:rsid w:val="36967097"/>
    <w:rsid w:val="36B1120B"/>
    <w:rsid w:val="37A468C1"/>
    <w:rsid w:val="385A6A8E"/>
    <w:rsid w:val="39A52C0F"/>
    <w:rsid w:val="3A8A77C7"/>
    <w:rsid w:val="3A9E5E34"/>
    <w:rsid w:val="3AE750AE"/>
    <w:rsid w:val="3AEF03DF"/>
    <w:rsid w:val="3B2A46D6"/>
    <w:rsid w:val="3B8B3A38"/>
    <w:rsid w:val="3CAC0B39"/>
    <w:rsid w:val="3E1507E3"/>
    <w:rsid w:val="3F3100C4"/>
    <w:rsid w:val="3F840D8B"/>
    <w:rsid w:val="401C6647"/>
    <w:rsid w:val="4038111F"/>
    <w:rsid w:val="410633C9"/>
    <w:rsid w:val="412A1D04"/>
    <w:rsid w:val="4292190E"/>
    <w:rsid w:val="42FE1E1D"/>
    <w:rsid w:val="447C5372"/>
    <w:rsid w:val="45E83992"/>
    <w:rsid w:val="47CE4686"/>
    <w:rsid w:val="48496942"/>
    <w:rsid w:val="48CC7F68"/>
    <w:rsid w:val="4A9D3E46"/>
    <w:rsid w:val="4B9D24EE"/>
    <w:rsid w:val="4BC6030B"/>
    <w:rsid w:val="4D346AF5"/>
    <w:rsid w:val="4D8055D2"/>
    <w:rsid w:val="4E065631"/>
    <w:rsid w:val="4E0D257D"/>
    <w:rsid w:val="4F492B5D"/>
    <w:rsid w:val="4FA20BDC"/>
    <w:rsid w:val="50CE2A9D"/>
    <w:rsid w:val="51484635"/>
    <w:rsid w:val="522C1839"/>
    <w:rsid w:val="531E746D"/>
    <w:rsid w:val="53442863"/>
    <w:rsid w:val="54347D8E"/>
    <w:rsid w:val="55147FAA"/>
    <w:rsid w:val="55D50038"/>
    <w:rsid w:val="565E3569"/>
    <w:rsid w:val="56B06FAA"/>
    <w:rsid w:val="56F961E9"/>
    <w:rsid w:val="58984A33"/>
    <w:rsid w:val="58D91400"/>
    <w:rsid w:val="590F589E"/>
    <w:rsid w:val="59B6197F"/>
    <w:rsid w:val="59C23E2F"/>
    <w:rsid w:val="5C107564"/>
    <w:rsid w:val="5C1F025F"/>
    <w:rsid w:val="5C9D59E1"/>
    <w:rsid w:val="5DA85ED8"/>
    <w:rsid w:val="5F471E18"/>
    <w:rsid w:val="5F8A7518"/>
    <w:rsid w:val="608642E1"/>
    <w:rsid w:val="61204966"/>
    <w:rsid w:val="61D82BEA"/>
    <w:rsid w:val="64FF54E1"/>
    <w:rsid w:val="65623D83"/>
    <w:rsid w:val="671907B7"/>
    <w:rsid w:val="677E67AB"/>
    <w:rsid w:val="67BA5260"/>
    <w:rsid w:val="67CF5EB9"/>
    <w:rsid w:val="67DB0DB2"/>
    <w:rsid w:val="68F97986"/>
    <w:rsid w:val="6AB13A54"/>
    <w:rsid w:val="6B1C0AB8"/>
    <w:rsid w:val="6B452B91"/>
    <w:rsid w:val="6BEF327A"/>
    <w:rsid w:val="6D2A7F96"/>
    <w:rsid w:val="6E84731C"/>
    <w:rsid w:val="6ECD21F5"/>
    <w:rsid w:val="72462086"/>
    <w:rsid w:val="728D2DB6"/>
    <w:rsid w:val="735B2D50"/>
    <w:rsid w:val="73B258E6"/>
    <w:rsid w:val="73D75FCE"/>
    <w:rsid w:val="74011C76"/>
    <w:rsid w:val="744D06D8"/>
    <w:rsid w:val="75964000"/>
    <w:rsid w:val="769C23BF"/>
    <w:rsid w:val="76D45508"/>
    <w:rsid w:val="773627F2"/>
    <w:rsid w:val="77C826C4"/>
    <w:rsid w:val="77DA0AED"/>
    <w:rsid w:val="7823797F"/>
    <w:rsid w:val="789525CE"/>
    <w:rsid w:val="790929CB"/>
    <w:rsid w:val="7B6B7D12"/>
    <w:rsid w:val="7BA93249"/>
    <w:rsid w:val="7BE166FB"/>
    <w:rsid w:val="7C3945CD"/>
    <w:rsid w:val="7CD67B2A"/>
    <w:rsid w:val="7D782596"/>
    <w:rsid w:val="7E285338"/>
    <w:rsid w:val="7F5E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1" w:semiHidden="0" w:name="heading 4"/>
    <w:lsdException w:qFormat="1"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1"/>
    <w:pPr>
      <w:spacing w:beforeLines="0" w:afterLines="0"/>
      <w:ind w:left="595" w:hanging="363"/>
      <w:outlineLvl w:val="3"/>
    </w:pPr>
    <w:rPr>
      <w:rFonts w:hint="eastAsia" w:ascii="黑体" w:hAnsi="黑体" w:eastAsia="黑体"/>
      <w:b/>
      <w:sz w:val="24"/>
      <w:szCs w:val="24"/>
    </w:rPr>
  </w:style>
  <w:style w:type="paragraph" w:styleId="7">
    <w:name w:val="heading 5"/>
    <w:basedOn w:val="1"/>
    <w:next w:val="1"/>
    <w:unhideWhenUsed/>
    <w:qFormat/>
    <w:uiPriority w:val="1"/>
    <w:pPr>
      <w:spacing w:beforeLines="0" w:afterLines="0"/>
      <w:ind w:left="232"/>
      <w:outlineLvl w:val="4"/>
    </w:pPr>
    <w:rPr>
      <w:rFonts w:hint="eastAsia"/>
      <w:b/>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autoSpaceDN/>
      <w:spacing w:line="315" w:lineRule="atLeast"/>
      <w:ind w:firstLine="420"/>
      <w:textAlignment w:val="baseline"/>
    </w:pPr>
    <w:rPr>
      <w:rFonts w:ascii="宋体" w:hAnsi="Calibri"/>
      <w:sz w:val="20"/>
      <w:szCs w:val="24"/>
    </w:rPr>
  </w:style>
  <w:style w:type="paragraph" w:styleId="8">
    <w:name w:val="annotation text"/>
    <w:basedOn w:val="1"/>
    <w:qFormat/>
    <w:uiPriority w:val="0"/>
    <w:pPr>
      <w:jc w:val="left"/>
    </w:pPr>
  </w:style>
  <w:style w:type="paragraph" w:styleId="9">
    <w:name w:val="Body Text"/>
    <w:basedOn w:val="1"/>
    <w:qFormat/>
    <w:uiPriority w:val="0"/>
    <w:pPr>
      <w:spacing w:line="0" w:lineRule="atLeast"/>
    </w:pPr>
    <w:rPr>
      <w:rFonts w:ascii="Times New Roman" w:hAnsi="Times New Roman"/>
      <w:b/>
      <w:kern w:val="0"/>
      <w:sz w:val="30"/>
      <w:szCs w:val="20"/>
    </w:rPr>
  </w:style>
  <w:style w:type="paragraph" w:styleId="10">
    <w:name w:val="Body Text Indent"/>
    <w:basedOn w:val="1"/>
    <w:next w:val="1"/>
    <w:qFormat/>
    <w:uiPriority w:val="0"/>
    <w:pPr>
      <w:spacing w:after="120" w:afterLines="0"/>
      <w:ind w:left="420" w:leftChars="200"/>
    </w:pPr>
    <w:rPr>
      <w:rFonts w:ascii="Times New Roman" w:hAnsi="Times New Roman" w:eastAsia="宋体" w:cs="Times New Roman"/>
    </w:rPr>
  </w:style>
  <w:style w:type="paragraph" w:styleId="11">
    <w:name w:val="Plain Text"/>
    <w:basedOn w:val="1"/>
    <w:qFormat/>
    <w:uiPriority w:val="0"/>
    <w:rPr>
      <w:rFonts w:ascii="宋体" w:hAnsi="Courier New"/>
    </w:rPr>
  </w:style>
  <w:style w:type="paragraph" w:styleId="12">
    <w:name w:val="Date"/>
    <w:basedOn w:val="1"/>
    <w:next w:val="1"/>
    <w:qFormat/>
    <w:uiPriority w:val="99"/>
    <w:pPr>
      <w:ind w:left="100" w:leftChars="2500"/>
    </w:pPr>
    <w:rPr>
      <w:szCs w:val="24"/>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next w:val="15"/>
    <w:qFormat/>
    <w:uiPriority w:val="0"/>
    <w:pPr>
      <w:widowControl/>
      <w:pBdr>
        <w:bottom w:val="single" w:color="auto" w:sz="6" w:space="1"/>
      </w:pBdr>
      <w:tabs>
        <w:tab w:val="center" w:pos="4153"/>
        <w:tab w:val="right" w:pos="8306"/>
      </w:tabs>
      <w:snapToGrid w:val="0"/>
      <w:jc w:val="center"/>
    </w:pPr>
    <w:rPr>
      <w:b/>
      <w:kern w:val="0"/>
      <w:sz w:val="18"/>
      <w:szCs w:val="20"/>
    </w:rPr>
  </w:style>
  <w:style w:type="paragraph" w:customStyle="1" w:styleId="15">
    <w:name w:val="Quote1"/>
    <w:basedOn w:val="1"/>
    <w:next w:val="1"/>
    <w:qFormat/>
    <w:uiPriority w:val="99"/>
    <w:pPr>
      <w:widowControl/>
      <w:wordWrap w:val="0"/>
      <w:spacing w:before="200" w:after="160"/>
      <w:ind w:left="864" w:right="864"/>
      <w:jc w:val="center"/>
    </w:pPr>
    <w:rPr>
      <w:i/>
      <w:color w:val="404040"/>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 w:hAnsi="??" w:cs="宋体"/>
      <w:kern w:val="0"/>
      <w:sz w:val="24"/>
      <w:szCs w:val="24"/>
    </w:rPr>
  </w:style>
  <w:style w:type="paragraph" w:styleId="20">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1">
    <w:name w:val="Body Text First Indent 2"/>
    <w:basedOn w:val="10"/>
    <w:qFormat/>
    <w:uiPriority w:val="0"/>
    <w:pPr>
      <w:ind w:firstLine="420" w:firstLineChars="200"/>
    </w:pPr>
    <w:rPr>
      <w:rFonts w:ascii="Times New Roman" w:hAnsi="Times New Roman"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FollowedHyperlink"/>
    <w:basedOn w:val="24"/>
    <w:qFormat/>
    <w:uiPriority w:val="0"/>
    <w:rPr>
      <w:rFonts w:hint="eastAsia" w:ascii="微软雅黑" w:hAnsi="微软雅黑" w:eastAsia="微软雅黑" w:cs="微软雅黑"/>
      <w:color w:val="02396F"/>
      <w:u w:val="single"/>
    </w:rPr>
  </w:style>
  <w:style w:type="character" w:styleId="28">
    <w:name w:val="Hyperlink"/>
    <w:basedOn w:val="24"/>
    <w:qFormat/>
    <w:uiPriority w:val="0"/>
    <w:rPr>
      <w:color w:val="0000FF"/>
      <w:u w:val="single"/>
    </w:rPr>
  </w:style>
  <w:style w:type="paragraph" w:customStyle="1" w:styleId="29">
    <w:name w:val="正文首行缩进 21"/>
    <w:qFormat/>
    <w:uiPriority w:val="0"/>
    <w:pPr>
      <w:ind w:firstLine="200"/>
    </w:pPr>
    <w:rPr>
      <w:rFonts w:ascii="Times New Roman" w:hAnsi="Times New Roman" w:eastAsia="Times New Roman" w:cs="Times New Roman"/>
      <w:color w:val="000000"/>
      <w:lang w:val="en-US" w:eastAsia="zh-CN" w:bidi="ar-SA"/>
    </w:rPr>
  </w:style>
  <w:style w:type="paragraph" w:customStyle="1" w:styleId="30">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unhideWhenUsed/>
    <w:qFormat/>
    <w:uiPriority w:val="1"/>
    <w:pPr>
      <w:spacing w:beforeLines="0" w:afterLines="0"/>
      <w:ind w:left="232" w:firstLine="420"/>
    </w:pPr>
    <w:rPr>
      <w:rFonts w:hint="eastAsia"/>
      <w:sz w:val="24"/>
    </w:rPr>
  </w:style>
  <w:style w:type="paragraph" w:customStyle="1" w:styleId="32">
    <w:name w:val="Table Paragraph"/>
    <w:basedOn w:val="1"/>
    <w:unhideWhenUsed/>
    <w:qFormat/>
    <w:uiPriority w:val="1"/>
    <w:pPr>
      <w:spacing w:beforeLines="0" w:afterLines="0"/>
    </w:pPr>
    <w:rPr>
      <w:rFonts w:hint="eastAsia"/>
      <w:sz w:val="24"/>
      <w:szCs w:val="24"/>
    </w:rPr>
  </w:style>
  <w:style w:type="paragraph" w:customStyle="1" w:styleId="33">
    <w:name w:val="正文1"/>
    <w:next w:val="34"/>
    <w:qFormat/>
    <w:uiPriority w:val="0"/>
    <w:pPr>
      <w:textAlignment w:val="baseline"/>
    </w:pPr>
    <w:rPr>
      <w:rFonts w:ascii="Times New Roman" w:hAnsi="Times New Roman" w:eastAsia="宋体" w:cstheme="minorBidi"/>
      <w:lang w:val="en-US" w:eastAsia="zh-CN" w:bidi="ar-SA"/>
    </w:rPr>
  </w:style>
  <w:style w:type="paragraph" w:customStyle="1" w:styleId="34">
    <w:name w:val="正文文本1"/>
    <w:basedOn w:val="33"/>
    <w:next w:val="35"/>
    <w:qFormat/>
    <w:uiPriority w:val="0"/>
    <w:pPr>
      <w:spacing w:after="120"/>
    </w:pPr>
  </w:style>
  <w:style w:type="paragraph" w:customStyle="1" w:styleId="35">
    <w:name w:val="目录 611"/>
    <w:basedOn w:val="33"/>
    <w:next w:val="33"/>
    <w:semiHidden/>
    <w:qFormat/>
    <w:uiPriority w:val="0"/>
    <w:pPr>
      <w:ind w:left="1000"/>
    </w:pPr>
    <w:rPr>
      <w:sz w:val="18"/>
      <w:szCs w:val="18"/>
    </w:rPr>
  </w:style>
  <w:style w:type="character" w:customStyle="1" w:styleId="36">
    <w:name w:val="NormalCharacter"/>
    <w:qFormat/>
    <w:uiPriority w:val="0"/>
  </w:style>
  <w:style w:type="character" w:customStyle="1" w:styleId="37">
    <w:name w:val="redfilenumber"/>
    <w:basedOn w:val="24"/>
    <w:qFormat/>
    <w:uiPriority w:val="0"/>
    <w:rPr>
      <w:color w:val="BA2636"/>
      <w:sz w:val="18"/>
      <w:szCs w:val="18"/>
    </w:rPr>
  </w:style>
  <w:style w:type="character" w:customStyle="1" w:styleId="38">
    <w:name w:val="qxdate"/>
    <w:basedOn w:val="24"/>
    <w:qFormat/>
    <w:uiPriority w:val="0"/>
    <w:rPr>
      <w:color w:val="333333"/>
      <w:sz w:val="18"/>
      <w:szCs w:val="18"/>
    </w:rPr>
  </w:style>
  <w:style w:type="character" w:customStyle="1" w:styleId="39">
    <w:name w:val="gjfg"/>
    <w:basedOn w:val="24"/>
    <w:qFormat/>
    <w:uiPriority w:val="0"/>
  </w:style>
  <w:style w:type="character" w:customStyle="1" w:styleId="40">
    <w:name w:val="cfdate"/>
    <w:basedOn w:val="24"/>
    <w:qFormat/>
    <w:uiPriority w:val="0"/>
    <w:rPr>
      <w:color w:val="333333"/>
      <w:sz w:val="18"/>
      <w:szCs w:val="18"/>
    </w:rPr>
  </w:style>
  <w:style w:type="character" w:customStyle="1" w:styleId="41">
    <w:name w:val="redfilefwwh"/>
    <w:basedOn w:val="24"/>
    <w:qFormat/>
    <w:uiPriority w:val="0"/>
    <w:rPr>
      <w:color w:val="BA2636"/>
      <w:sz w:val="18"/>
      <w:szCs w:val="18"/>
    </w:rPr>
  </w:style>
  <w:style w:type="character" w:customStyle="1" w:styleId="42">
    <w:name w:val="prev2"/>
    <w:basedOn w:val="24"/>
    <w:qFormat/>
    <w:uiPriority w:val="0"/>
    <w:rPr>
      <w:rFonts w:ascii="微软雅黑" w:hAnsi="微软雅黑" w:eastAsia="微软雅黑" w:cs="微软雅黑"/>
      <w:sz w:val="21"/>
      <w:szCs w:val="21"/>
    </w:rPr>
  </w:style>
  <w:style w:type="character" w:customStyle="1" w:styleId="43">
    <w:name w:val="displayarti"/>
    <w:basedOn w:val="24"/>
    <w:qFormat/>
    <w:uiPriority w:val="0"/>
    <w:rPr>
      <w:color w:val="FFFFFF"/>
      <w:shd w:val="clear" w:fill="A00000"/>
    </w:rPr>
  </w:style>
  <w:style w:type="character" w:customStyle="1" w:styleId="44">
    <w:name w:val="next2"/>
    <w:basedOn w:val="24"/>
    <w:qFormat/>
    <w:uiPriority w:val="0"/>
    <w:rPr>
      <w:rFonts w:hint="eastAsia" w:ascii="微软雅黑" w:hAnsi="微软雅黑" w:eastAsia="微软雅黑" w:cs="微软雅黑"/>
      <w:sz w:val="21"/>
      <w:szCs w:val="21"/>
    </w:rPr>
  </w:style>
  <w:style w:type="character" w:customStyle="1" w:styleId="45">
    <w:name w:val="next3"/>
    <w:basedOn w:val="24"/>
    <w:qFormat/>
    <w:uiPriority w:val="0"/>
    <w:rPr>
      <w:color w:val="888888"/>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Table Text"/>
    <w:basedOn w:val="1"/>
    <w:semiHidden/>
    <w:qFormat/>
    <w:uiPriority w:val="0"/>
    <w:rPr>
      <w:rFonts w:ascii="宋体" w:hAnsi="宋体" w:eastAsia="宋体" w:cs="宋体"/>
      <w:sz w:val="20"/>
      <w:szCs w:val="20"/>
      <w:lang w:val="en-US" w:eastAsia="en-US" w:bidi="ar-SA"/>
    </w:rPr>
  </w:style>
  <w:style w:type="paragraph" w:customStyle="1" w:styleId="48">
    <w:name w:val="正文格式"/>
    <w:basedOn w:val="1"/>
    <w:qFormat/>
    <w:uiPriority w:val="0"/>
    <w:pPr>
      <w:adjustRightInd w:val="0"/>
      <w:snapToGrid w:val="0"/>
      <w:spacing w:line="360" w:lineRule="auto"/>
      <w:ind w:firstLine="200" w:firstLineChars="200"/>
      <w:jc w:val="left"/>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11761</Words>
  <Characters>12589</Characters>
  <Lines>0</Lines>
  <Paragraphs>0</Paragraphs>
  <TotalTime>8</TotalTime>
  <ScaleCrop>false</ScaleCrop>
  <LinksUpToDate>false</LinksUpToDate>
  <CharactersWithSpaces>12629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2023-03-16T15:46:00Z</dcterms:created>
  <dc:creator>Administrator</dc:creator>
  <cp:lastModifiedBy>Administrator</cp:lastModifiedBy>
  <cp:lastPrinted>2023-06-03T08:34:00Z</cp:lastPrinted>
  <dcterms:modified xsi:type="dcterms:W3CDTF">2026-04-27T06:46:51Z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9BB7434FB83B42FFB456353C5D069BB3_13</vt:lpwstr>
  </property>
  <property fmtid="{D5CDD505-2E9C-101B-9397-08002B2CF9AE}" pid="4" name="KSOTemplateDocerSaveRecord">
    <vt:lpwstr>eyJoZGlkIjoiOWJmMWFlZGY0N2Q1ZTk4NTY4NmQyY2NmYzk2OTQwNzYifQ==</vt:lpwstr>
  </property>
</Properties>
</file>