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DAC5D">
      <w:pPr>
        <w:spacing w:line="240" w:lineRule="atLeast"/>
        <w:rPr>
          <w:rStyle w:val="28"/>
          <w:rFonts w:hint="eastAsia" w:ascii="仿宋_GB2312" w:hAnsi="仿宋_GB2312" w:eastAsia="仿宋_GB2312" w:cs="仿宋_GB2312"/>
          <w:bCs/>
          <w:color w:val="auto"/>
          <w:sz w:val="52"/>
          <w:szCs w:val="52"/>
          <w:highlight w:val="none"/>
          <w:lang w:eastAsia="zh-CN"/>
        </w:rPr>
      </w:pPr>
      <w:r>
        <w:rPr>
          <w:rStyle w:val="28"/>
          <w:rFonts w:hint="eastAsia" w:ascii="仿宋_GB2312" w:hAnsi="仿宋_GB2312" w:eastAsia="仿宋_GB2312" w:cs="仿宋_GB2312"/>
          <w:bCs/>
          <w:color w:val="auto"/>
          <w:sz w:val="52"/>
          <w:szCs w:val="52"/>
          <w:highlight w:val="none"/>
          <w:lang w:eastAsia="zh-CN"/>
        </w:rPr>
        <w:t xml:space="preserve"> </w:t>
      </w:r>
    </w:p>
    <w:p w14:paraId="6BC89067">
      <w:pPr>
        <w:pStyle w:val="8"/>
        <w:tabs>
          <w:tab w:val="left" w:pos="567"/>
        </w:tabs>
        <w:spacing w:line="272" w:lineRule="auto"/>
        <w:jc w:val="center"/>
        <w:rPr>
          <w:rFonts w:hint="eastAsia" w:asciiTheme="minorEastAsia" w:hAnsiTheme="minorEastAsia" w:eastAsiaTheme="minorEastAsia" w:cstheme="minorEastAsia"/>
          <w:b/>
          <w:bCs/>
          <w:sz w:val="44"/>
          <w:szCs w:val="44"/>
          <w:highlight w:val="none"/>
          <w:lang w:eastAsia="zh-CN"/>
        </w:rPr>
      </w:pPr>
      <w:r>
        <w:rPr>
          <w:rFonts w:hint="eastAsia" w:asciiTheme="minorEastAsia" w:hAnsiTheme="minorEastAsia" w:eastAsiaTheme="minorEastAsia" w:cstheme="minorEastAsia"/>
          <w:b/>
          <w:bCs/>
          <w:sz w:val="44"/>
          <w:szCs w:val="44"/>
          <w:highlight w:val="none"/>
          <w:lang w:eastAsia="zh-CN"/>
        </w:rPr>
        <w:t>伽师县2026年健康心理服务中心建设项目</w:t>
      </w:r>
    </w:p>
    <w:p w14:paraId="36A90A63">
      <w:pPr>
        <w:pStyle w:val="8"/>
        <w:tabs>
          <w:tab w:val="left" w:pos="567"/>
        </w:tabs>
        <w:spacing w:line="272" w:lineRule="auto"/>
        <w:jc w:val="center"/>
        <w:rPr>
          <w:rFonts w:hint="eastAsia" w:asciiTheme="minorEastAsia" w:hAnsiTheme="minorEastAsia" w:eastAsiaTheme="minorEastAsia" w:cstheme="minorEastAsia"/>
          <w:sz w:val="44"/>
          <w:szCs w:val="44"/>
          <w:highlight w:val="none"/>
          <w:lang w:eastAsia="zh-CN"/>
        </w:rPr>
      </w:pPr>
      <w:r>
        <w:rPr>
          <w:rFonts w:hint="eastAsia" w:asciiTheme="minorEastAsia" w:hAnsiTheme="minorEastAsia" w:eastAsiaTheme="minorEastAsia" w:cstheme="minorEastAsia"/>
          <w:b/>
          <w:bCs/>
          <w:sz w:val="44"/>
          <w:szCs w:val="44"/>
          <w:highlight w:val="none"/>
          <w:lang w:eastAsia="zh-CN"/>
        </w:rPr>
        <w:t>公开招标</w:t>
      </w:r>
    </w:p>
    <w:p w14:paraId="057CA397">
      <w:pPr>
        <w:pStyle w:val="8"/>
        <w:tabs>
          <w:tab w:val="left" w:pos="567"/>
        </w:tabs>
        <w:spacing w:line="272" w:lineRule="auto"/>
        <w:rPr>
          <w:rFonts w:hint="eastAsia" w:asciiTheme="minorEastAsia" w:hAnsiTheme="minorEastAsia" w:eastAsiaTheme="minorEastAsia" w:cstheme="minorEastAsia"/>
          <w:sz w:val="44"/>
          <w:szCs w:val="44"/>
          <w:highlight w:val="none"/>
          <w:lang w:eastAsia="zh-CN"/>
        </w:rPr>
      </w:pPr>
    </w:p>
    <w:p w14:paraId="4CE5D50D">
      <w:pPr>
        <w:pStyle w:val="29"/>
        <w:ind w:firstLine="1760" w:firstLineChars="400"/>
        <w:rPr>
          <w:rStyle w:val="28"/>
          <w:rFonts w:hint="eastAsia" w:asciiTheme="minorEastAsia" w:hAnsiTheme="minorEastAsia" w:eastAsiaTheme="minorEastAsia" w:cstheme="minorEastAsia"/>
          <w:bCs/>
          <w:color w:val="auto"/>
          <w:sz w:val="44"/>
          <w:szCs w:val="44"/>
          <w:highlight w:val="none"/>
          <w:lang w:eastAsia="zh-CN"/>
        </w:rPr>
      </w:pPr>
    </w:p>
    <w:p w14:paraId="140269B1">
      <w:pPr>
        <w:pStyle w:val="29"/>
        <w:ind w:firstLine="1760" w:firstLineChars="400"/>
        <w:rPr>
          <w:rStyle w:val="28"/>
          <w:rFonts w:hint="eastAsia" w:asciiTheme="minorEastAsia" w:hAnsiTheme="minorEastAsia" w:eastAsiaTheme="minorEastAsia" w:cstheme="minorEastAsia"/>
          <w:bCs/>
          <w:color w:val="auto"/>
          <w:sz w:val="44"/>
          <w:szCs w:val="44"/>
          <w:highlight w:val="none"/>
          <w:lang w:eastAsia="zh-CN"/>
        </w:rPr>
      </w:pPr>
    </w:p>
    <w:p w14:paraId="6CA5F636">
      <w:pPr>
        <w:pStyle w:val="29"/>
        <w:jc w:val="center"/>
        <w:rPr>
          <w:rStyle w:val="28"/>
          <w:rFonts w:hint="eastAsia" w:asciiTheme="minorEastAsia" w:hAnsiTheme="minorEastAsia" w:eastAsiaTheme="minorEastAsia" w:cstheme="minorEastAsia"/>
          <w:b/>
          <w:color w:val="auto"/>
          <w:sz w:val="44"/>
          <w:szCs w:val="44"/>
          <w:highlight w:val="none"/>
          <w:lang w:eastAsia="zh-CN"/>
        </w:rPr>
      </w:pPr>
      <w:r>
        <w:rPr>
          <w:rStyle w:val="28"/>
          <w:rFonts w:hint="eastAsia" w:asciiTheme="minorEastAsia" w:hAnsiTheme="minorEastAsia" w:eastAsiaTheme="minorEastAsia" w:cstheme="minorEastAsia"/>
          <w:b/>
          <w:color w:val="auto"/>
          <w:sz w:val="44"/>
          <w:szCs w:val="44"/>
          <w:highlight w:val="none"/>
          <w:lang w:eastAsia="zh-CN"/>
        </w:rPr>
        <w:t>招标文件</w:t>
      </w:r>
    </w:p>
    <w:p w14:paraId="03207143">
      <w:pPr>
        <w:pStyle w:val="29"/>
        <w:rPr>
          <w:rStyle w:val="28"/>
          <w:rFonts w:hint="eastAsia" w:asciiTheme="minorEastAsia" w:hAnsiTheme="minorEastAsia" w:eastAsiaTheme="minorEastAsia" w:cstheme="minorEastAsia"/>
          <w:color w:val="auto"/>
          <w:sz w:val="44"/>
          <w:szCs w:val="44"/>
          <w:highlight w:val="none"/>
          <w:lang w:eastAsia="zh-CN"/>
        </w:rPr>
      </w:pPr>
    </w:p>
    <w:p w14:paraId="37C7C57E">
      <w:pPr>
        <w:spacing w:line="240" w:lineRule="atLeast"/>
        <w:ind w:left="1079" w:leftChars="257" w:hanging="540"/>
        <w:jc w:val="center"/>
        <w:rPr>
          <w:rStyle w:val="28"/>
          <w:rFonts w:hint="eastAsia" w:asciiTheme="minorEastAsia" w:hAnsiTheme="minorEastAsia" w:eastAsiaTheme="minorEastAsia" w:cstheme="minorEastAsia"/>
          <w:b/>
          <w:color w:val="auto"/>
          <w:sz w:val="44"/>
          <w:szCs w:val="44"/>
          <w:highlight w:val="none"/>
          <w:lang w:eastAsia="zh-CN"/>
        </w:rPr>
      </w:pPr>
    </w:p>
    <w:p w14:paraId="225351D8">
      <w:pPr>
        <w:spacing w:line="240" w:lineRule="atLeast"/>
        <w:ind w:left="1079" w:leftChars="257" w:hanging="540"/>
        <w:rPr>
          <w:rStyle w:val="28"/>
          <w:rFonts w:hint="eastAsia" w:asciiTheme="minorEastAsia" w:hAnsiTheme="minorEastAsia" w:eastAsiaTheme="minorEastAsia" w:cstheme="minorEastAsia"/>
          <w:b/>
          <w:color w:val="auto"/>
          <w:sz w:val="44"/>
          <w:szCs w:val="44"/>
          <w:highlight w:val="none"/>
          <w:lang w:eastAsia="zh-CN"/>
        </w:rPr>
      </w:pPr>
    </w:p>
    <w:p w14:paraId="28DB1AF4">
      <w:pPr>
        <w:spacing w:line="240" w:lineRule="atLeast"/>
        <w:ind w:left="2095" w:leftChars="998" w:firstLine="1064" w:firstLineChars="242"/>
        <w:rPr>
          <w:rStyle w:val="28"/>
          <w:rFonts w:hint="eastAsia" w:asciiTheme="minorEastAsia" w:hAnsiTheme="minorEastAsia" w:eastAsiaTheme="minorEastAsia" w:cstheme="minorEastAsia"/>
          <w:b/>
          <w:color w:val="auto"/>
          <w:sz w:val="52"/>
          <w:highlight w:val="none"/>
          <w:lang w:eastAsia="zh-CN"/>
        </w:rPr>
      </w:pPr>
      <w:r>
        <w:rPr>
          <w:rStyle w:val="28"/>
          <w:rFonts w:hint="eastAsia" w:asciiTheme="minorEastAsia" w:hAnsiTheme="minorEastAsia" w:eastAsiaTheme="minorEastAsia" w:cstheme="minorEastAsia"/>
          <w:b/>
          <w:color w:val="auto"/>
          <w:sz w:val="44"/>
          <w:szCs w:val="44"/>
          <w:highlight w:val="none"/>
          <w:lang w:eastAsia="zh-CN"/>
        </w:rPr>
        <w:t>(第一册)</w:t>
      </w:r>
    </w:p>
    <w:p w14:paraId="4E6ADE76">
      <w:pPr>
        <w:spacing w:line="240" w:lineRule="atLeast"/>
        <w:ind w:left="1079" w:leftChars="257" w:hanging="540"/>
        <w:jc w:val="center"/>
        <w:rPr>
          <w:rStyle w:val="28"/>
          <w:rFonts w:hint="eastAsia" w:asciiTheme="minorEastAsia" w:hAnsiTheme="minorEastAsia" w:eastAsiaTheme="minorEastAsia" w:cstheme="minorEastAsia"/>
          <w:b/>
          <w:color w:val="auto"/>
          <w:sz w:val="52"/>
          <w:highlight w:val="none"/>
          <w:lang w:eastAsia="zh-CN"/>
        </w:rPr>
      </w:pPr>
    </w:p>
    <w:p w14:paraId="7781BDBD">
      <w:pPr>
        <w:pStyle w:val="8"/>
        <w:tabs>
          <w:tab w:val="left" w:pos="567"/>
        </w:tabs>
        <w:rPr>
          <w:rStyle w:val="28"/>
          <w:rFonts w:hint="eastAsia" w:asciiTheme="minorEastAsia" w:hAnsiTheme="minorEastAsia" w:eastAsiaTheme="minorEastAsia" w:cstheme="minorEastAsia"/>
          <w:b/>
          <w:color w:val="auto"/>
          <w:sz w:val="52"/>
          <w:highlight w:val="none"/>
          <w:lang w:eastAsia="zh-CN"/>
        </w:rPr>
      </w:pPr>
    </w:p>
    <w:p w14:paraId="4D00BF54">
      <w:pPr>
        <w:spacing w:line="360" w:lineRule="auto"/>
        <w:ind w:left="839" w:firstLine="420"/>
        <w:rPr>
          <w:rStyle w:val="28"/>
          <w:rFonts w:hint="eastAsia" w:asciiTheme="minorEastAsia" w:hAnsiTheme="minorEastAsia" w:eastAsiaTheme="minorEastAsia" w:cstheme="minorEastAsia"/>
          <w:b/>
          <w:bCs/>
          <w:color w:val="auto"/>
          <w:sz w:val="30"/>
          <w:szCs w:val="30"/>
          <w:highlight w:val="none"/>
          <w:lang w:eastAsia="zh-CN"/>
        </w:rPr>
      </w:pPr>
    </w:p>
    <w:p w14:paraId="5D5136ED">
      <w:pPr>
        <w:spacing w:line="360" w:lineRule="auto"/>
        <w:ind w:left="839" w:firstLine="420"/>
        <w:rPr>
          <w:rStyle w:val="28"/>
          <w:rFonts w:hint="default" w:asciiTheme="minorEastAsia" w:hAnsiTheme="minorEastAsia" w:eastAsiaTheme="minorEastAsia" w:cstheme="minorEastAsia"/>
          <w:b/>
          <w:bCs/>
          <w:color w:val="auto"/>
          <w:sz w:val="30"/>
          <w:szCs w:val="30"/>
          <w:highlight w:val="none"/>
          <w:lang w:val="en-US" w:eastAsia="zh-CN"/>
        </w:rPr>
      </w:pPr>
      <w:r>
        <w:rPr>
          <w:rStyle w:val="28"/>
          <w:rFonts w:hint="eastAsia" w:asciiTheme="minorEastAsia" w:hAnsiTheme="minorEastAsia" w:eastAsiaTheme="minorEastAsia" w:cstheme="minorEastAsia"/>
          <w:b/>
          <w:bCs/>
          <w:color w:val="auto"/>
          <w:sz w:val="30"/>
          <w:szCs w:val="30"/>
          <w:highlight w:val="none"/>
          <w:lang w:eastAsia="zh-CN"/>
        </w:rPr>
        <w:t>项 目 编 号：</w:t>
      </w:r>
      <w:r>
        <w:rPr>
          <w:rStyle w:val="28"/>
          <w:rFonts w:hint="eastAsia" w:asciiTheme="minorEastAsia" w:hAnsiTheme="minorEastAsia" w:eastAsiaTheme="minorEastAsia" w:cstheme="minorEastAsia"/>
          <w:b/>
          <w:bCs/>
          <w:color w:val="000000" w:themeColor="text1"/>
          <w:sz w:val="30"/>
          <w:szCs w:val="30"/>
          <w:highlight w:val="none"/>
          <w:lang w:eastAsia="zh-CN"/>
          <w14:textFill>
            <w14:solidFill>
              <w14:schemeClr w14:val="tx1"/>
            </w14:solidFill>
          </w14:textFill>
        </w:rPr>
        <w:t>KSJSX(GK)202</w:t>
      </w:r>
      <w:r>
        <w:rPr>
          <w:rStyle w:val="28"/>
          <w:rFonts w:hint="eastAsia" w:asciiTheme="minorEastAsia" w:hAnsiTheme="minorEastAsia" w:eastAsiaTheme="minorEastAsia" w:cstheme="minorEastAsia"/>
          <w:b/>
          <w:bCs/>
          <w:color w:val="000000" w:themeColor="text1"/>
          <w:sz w:val="30"/>
          <w:szCs w:val="30"/>
          <w:highlight w:val="none"/>
          <w:lang w:val="en-US" w:eastAsia="zh-CN"/>
          <w14:textFill>
            <w14:solidFill>
              <w14:schemeClr w14:val="tx1"/>
            </w14:solidFill>
          </w14:textFill>
        </w:rPr>
        <w:t>6</w:t>
      </w:r>
      <w:r>
        <w:rPr>
          <w:rStyle w:val="28"/>
          <w:rFonts w:hint="eastAsia" w:asciiTheme="minorEastAsia" w:hAnsiTheme="minorEastAsia" w:eastAsiaTheme="minorEastAsia" w:cstheme="minorEastAsia"/>
          <w:b/>
          <w:bCs/>
          <w:color w:val="000000" w:themeColor="text1"/>
          <w:sz w:val="30"/>
          <w:szCs w:val="30"/>
          <w:highlight w:val="none"/>
          <w:lang w:eastAsia="zh-CN"/>
          <w14:textFill>
            <w14:solidFill>
              <w14:schemeClr w14:val="tx1"/>
            </w14:solidFill>
          </w14:textFill>
        </w:rPr>
        <w:t>-</w:t>
      </w:r>
      <w:r>
        <w:rPr>
          <w:rStyle w:val="28"/>
          <w:rFonts w:hint="eastAsia" w:asciiTheme="minorEastAsia" w:hAnsiTheme="minorEastAsia" w:eastAsiaTheme="minorEastAsia" w:cstheme="minorEastAsia"/>
          <w:b/>
          <w:bCs/>
          <w:color w:val="000000" w:themeColor="text1"/>
          <w:sz w:val="30"/>
          <w:szCs w:val="30"/>
          <w:highlight w:val="none"/>
          <w:lang w:val="en-US" w:eastAsia="zh-CN"/>
          <w14:textFill>
            <w14:solidFill>
              <w14:schemeClr w14:val="tx1"/>
            </w14:solidFill>
          </w14:textFill>
        </w:rPr>
        <w:t>10</w:t>
      </w:r>
    </w:p>
    <w:p w14:paraId="04CC8A9C">
      <w:pPr>
        <w:spacing w:line="360" w:lineRule="auto"/>
        <w:ind w:left="839" w:firstLine="420"/>
        <w:rPr>
          <w:rStyle w:val="28"/>
          <w:rFonts w:hint="default" w:asciiTheme="minorEastAsia" w:hAnsiTheme="minorEastAsia" w:eastAsiaTheme="minorEastAsia" w:cstheme="minorEastAsia"/>
          <w:b/>
          <w:bCs/>
          <w:color w:val="auto"/>
          <w:sz w:val="30"/>
          <w:szCs w:val="30"/>
          <w:highlight w:val="none"/>
          <w:lang w:val="en-US" w:eastAsia="zh-CN"/>
        </w:rPr>
      </w:pPr>
      <w:r>
        <w:rPr>
          <w:rStyle w:val="28"/>
          <w:rFonts w:hint="eastAsia" w:asciiTheme="minorEastAsia" w:hAnsiTheme="minorEastAsia" w:eastAsiaTheme="minorEastAsia" w:cstheme="minorEastAsia"/>
          <w:b/>
          <w:bCs/>
          <w:color w:val="auto"/>
          <w:sz w:val="30"/>
          <w:szCs w:val="30"/>
          <w:highlight w:val="none"/>
          <w:lang w:eastAsia="zh-CN"/>
        </w:rPr>
        <w:t>采 购 单 位：伽师县卫生健康委员会</w:t>
      </w:r>
    </w:p>
    <w:p w14:paraId="03D5F28F">
      <w:pPr>
        <w:spacing w:line="360" w:lineRule="auto"/>
        <w:ind w:left="839" w:firstLine="420"/>
        <w:rPr>
          <w:rStyle w:val="28"/>
          <w:rFonts w:hint="eastAsia" w:asciiTheme="minorEastAsia" w:hAnsiTheme="minorEastAsia" w:eastAsiaTheme="minorEastAsia" w:cstheme="minorEastAsia"/>
          <w:b/>
          <w:bCs/>
          <w:color w:val="auto"/>
          <w:sz w:val="30"/>
          <w:szCs w:val="30"/>
          <w:highlight w:val="none"/>
          <w:lang w:eastAsia="zh-CN"/>
        </w:rPr>
      </w:pPr>
      <w:r>
        <w:rPr>
          <w:rStyle w:val="28"/>
          <w:rFonts w:hint="eastAsia" w:asciiTheme="minorEastAsia" w:hAnsiTheme="minorEastAsia" w:eastAsiaTheme="minorEastAsia" w:cstheme="minorEastAsia"/>
          <w:b/>
          <w:bCs/>
          <w:color w:val="auto"/>
          <w:sz w:val="30"/>
          <w:szCs w:val="30"/>
          <w:highlight w:val="none"/>
          <w:lang w:eastAsia="zh-CN"/>
        </w:rPr>
        <w:t xml:space="preserve">采购代理机构：伽师县政府采购中心 </w:t>
      </w:r>
    </w:p>
    <w:p w14:paraId="4DBFBCEA">
      <w:pPr>
        <w:spacing w:line="360" w:lineRule="auto"/>
        <w:ind w:left="839" w:firstLine="420"/>
        <w:rPr>
          <w:rStyle w:val="28"/>
          <w:rFonts w:hint="eastAsia" w:asciiTheme="minorEastAsia" w:hAnsiTheme="minorEastAsia" w:eastAsiaTheme="minorEastAsia" w:cstheme="minorEastAsia"/>
          <w:b/>
          <w:bCs/>
          <w:color w:val="auto"/>
          <w:sz w:val="30"/>
          <w:szCs w:val="30"/>
          <w:highlight w:val="none"/>
          <w:lang w:eastAsia="zh-CN"/>
        </w:rPr>
      </w:pPr>
      <w:r>
        <w:rPr>
          <w:rStyle w:val="28"/>
          <w:rFonts w:hint="eastAsia" w:asciiTheme="minorEastAsia" w:hAnsiTheme="minorEastAsia" w:eastAsiaTheme="minorEastAsia" w:cstheme="minorEastAsia"/>
          <w:b/>
          <w:bCs/>
          <w:color w:val="auto"/>
          <w:sz w:val="30"/>
          <w:szCs w:val="30"/>
          <w:highlight w:val="none"/>
          <w:lang w:eastAsia="zh-CN"/>
        </w:rPr>
        <w:t>发  出 日 期：202</w:t>
      </w:r>
      <w:r>
        <w:rPr>
          <w:rStyle w:val="28"/>
          <w:rFonts w:hint="eastAsia" w:asciiTheme="minorEastAsia" w:hAnsiTheme="minorEastAsia" w:eastAsiaTheme="minorEastAsia" w:cstheme="minorEastAsia"/>
          <w:b/>
          <w:bCs/>
          <w:color w:val="auto"/>
          <w:sz w:val="30"/>
          <w:szCs w:val="30"/>
          <w:highlight w:val="none"/>
          <w:lang w:val="en-US" w:eastAsia="zh-CN"/>
        </w:rPr>
        <w:t>6</w:t>
      </w:r>
      <w:r>
        <w:rPr>
          <w:rStyle w:val="28"/>
          <w:rFonts w:hint="eastAsia" w:asciiTheme="minorEastAsia" w:hAnsiTheme="minorEastAsia" w:eastAsiaTheme="minorEastAsia" w:cstheme="minorEastAsia"/>
          <w:b/>
          <w:bCs/>
          <w:color w:val="auto"/>
          <w:sz w:val="30"/>
          <w:szCs w:val="30"/>
          <w:highlight w:val="none"/>
          <w:lang w:eastAsia="zh-CN"/>
        </w:rPr>
        <w:t>年</w:t>
      </w:r>
      <w:r>
        <w:rPr>
          <w:rStyle w:val="28"/>
          <w:rFonts w:hint="eastAsia" w:asciiTheme="minorEastAsia" w:hAnsiTheme="minorEastAsia" w:eastAsiaTheme="minorEastAsia" w:cstheme="minorEastAsia"/>
          <w:b/>
          <w:bCs/>
          <w:color w:val="auto"/>
          <w:sz w:val="30"/>
          <w:szCs w:val="30"/>
          <w:highlight w:val="none"/>
          <w:lang w:val="en-US" w:eastAsia="zh-CN"/>
        </w:rPr>
        <w:t>4</w:t>
      </w:r>
      <w:r>
        <w:rPr>
          <w:rStyle w:val="28"/>
          <w:rFonts w:hint="eastAsia" w:asciiTheme="minorEastAsia" w:hAnsiTheme="minorEastAsia" w:eastAsiaTheme="minorEastAsia" w:cstheme="minorEastAsia"/>
          <w:b/>
          <w:bCs/>
          <w:color w:val="auto"/>
          <w:sz w:val="30"/>
          <w:szCs w:val="30"/>
          <w:highlight w:val="none"/>
          <w:lang w:eastAsia="zh-CN"/>
        </w:rPr>
        <w:t>月</w:t>
      </w:r>
    </w:p>
    <w:p w14:paraId="45FAA431">
      <w:pPr>
        <w:spacing w:line="240" w:lineRule="atLeast"/>
        <w:ind w:left="1079" w:leftChars="257" w:hanging="540"/>
        <w:rPr>
          <w:rStyle w:val="28"/>
          <w:rFonts w:hint="eastAsia" w:asciiTheme="minorEastAsia" w:hAnsiTheme="minorEastAsia" w:eastAsiaTheme="minorEastAsia" w:cstheme="minorEastAsia"/>
          <w:b/>
          <w:color w:val="auto"/>
          <w:highlight w:val="none"/>
          <w:lang w:eastAsia="zh-CN"/>
        </w:rPr>
      </w:pPr>
    </w:p>
    <w:p w14:paraId="260F43A8">
      <w:pPr>
        <w:spacing w:line="240" w:lineRule="atLeast"/>
        <w:ind w:left="1079" w:leftChars="257" w:hanging="540"/>
        <w:jc w:val="center"/>
        <w:rPr>
          <w:rFonts w:hint="eastAsia" w:asciiTheme="minorEastAsia" w:hAnsiTheme="minorEastAsia" w:eastAsiaTheme="minorEastAsia" w:cstheme="minorEastAsia"/>
          <w:b/>
          <w:color w:val="auto"/>
          <w:sz w:val="32"/>
          <w:highlight w:val="none"/>
          <w:lang w:eastAsia="zh-CN"/>
        </w:rPr>
        <w:sectPr>
          <w:headerReference r:id="rId3" w:type="default"/>
          <w:footerReference r:id="rId4" w:type="default"/>
          <w:pgSz w:w="11906" w:h="16838"/>
          <w:pgMar w:top="1440" w:right="1797" w:bottom="1440" w:left="1797" w:header="851" w:footer="992" w:gutter="0"/>
          <w:pgNumType w:start="1"/>
          <w:cols w:space="720" w:num="1"/>
          <w:docGrid w:type="linesAndChars" w:linePitch="312" w:charSpace="0"/>
        </w:sectPr>
      </w:pPr>
      <w:bookmarkStart w:id="0" w:name="_Toc216582804"/>
      <w:bookmarkStart w:id="1" w:name="_Toc22782"/>
      <w:bookmarkStart w:id="2" w:name="_Toc17230"/>
      <w:bookmarkStart w:id="3" w:name="_Toc25817"/>
    </w:p>
    <w:bookmarkEnd w:id="0"/>
    <w:bookmarkEnd w:id="1"/>
    <w:bookmarkEnd w:id="2"/>
    <w:bookmarkEnd w:id="3"/>
    <w:p w14:paraId="752603D2">
      <w:pPr>
        <w:spacing w:line="240" w:lineRule="atLeast"/>
        <w:ind w:left="1079" w:leftChars="257" w:hanging="540"/>
        <w:jc w:val="center"/>
        <w:rPr>
          <w:rFonts w:hint="eastAsia" w:ascii="仿宋" w:hAnsi="仿宋" w:eastAsia="仿宋" w:cs="仿宋"/>
          <w:b/>
          <w:color w:val="auto"/>
          <w:sz w:val="32"/>
          <w:highlight w:val="none"/>
        </w:rPr>
      </w:pPr>
      <w:bookmarkStart w:id="4" w:name="_Toc5471"/>
      <w:bookmarkStart w:id="5" w:name="_Toc31178"/>
      <w:bookmarkStart w:id="6" w:name="_Toc8272"/>
      <w:bookmarkStart w:id="7" w:name="_Toc13334"/>
      <w:bookmarkStart w:id="8" w:name="_Toc2510"/>
      <w:bookmarkStart w:id="9" w:name="_Toc26793"/>
      <w:bookmarkStart w:id="10" w:name="_Toc18867"/>
      <w:bookmarkStart w:id="11" w:name="_Toc1687"/>
      <w:bookmarkStart w:id="12" w:name="_Toc15055"/>
      <w:r>
        <w:rPr>
          <w:rFonts w:hint="eastAsia" w:ascii="仿宋" w:hAnsi="仿宋" w:eastAsia="仿宋" w:cs="仿宋"/>
          <w:b/>
          <w:color w:val="auto"/>
          <w:sz w:val="32"/>
          <w:highlight w:val="none"/>
        </w:rPr>
        <w:t>目  录</w:t>
      </w:r>
    </w:p>
    <w:p w14:paraId="5E1F0292">
      <w:pPr>
        <w:pStyle w:val="16"/>
        <w:tabs>
          <w:tab w:val="right" w:leader="dot" w:pos="9786"/>
        </w:tabs>
        <w:rPr>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TOC \o "1-3" \h \u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_Toc7749 </w:instrText>
      </w:r>
      <w:r>
        <w:rPr>
          <w:rFonts w:hint="eastAsia" w:ascii="仿宋" w:hAnsi="仿宋" w:eastAsia="仿宋" w:cs="仿宋"/>
          <w:highlight w:val="none"/>
        </w:rPr>
        <w:fldChar w:fldCharType="separate"/>
      </w:r>
      <w:r>
        <w:rPr>
          <w:rFonts w:hint="eastAsia" w:ascii="仿宋" w:hAnsi="仿宋" w:eastAsia="仿宋" w:cs="仿宋"/>
          <w:kern w:val="0"/>
          <w:szCs w:val="44"/>
          <w:highlight w:val="none"/>
          <w:lang w:eastAsia="zh-CN"/>
        </w:rPr>
        <w:t>第一章</w:t>
      </w:r>
      <w:r>
        <w:rPr>
          <w:rFonts w:hint="eastAsia" w:ascii="仿宋" w:hAnsi="仿宋" w:eastAsia="仿宋" w:cs="仿宋"/>
          <w:szCs w:val="44"/>
          <w:highlight w:val="none"/>
          <w:lang w:eastAsia="zh-CN"/>
        </w:rPr>
        <w:t>投标人须知</w:t>
      </w:r>
      <w:r>
        <w:rPr>
          <w:highlight w:val="none"/>
        </w:rPr>
        <w:tab/>
      </w:r>
      <w:r>
        <w:rPr>
          <w:highlight w:val="none"/>
        </w:rPr>
        <w:fldChar w:fldCharType="begin"/>
      </w:r>
      <w:r>
        <w:rPr>
          <w:highlight w:val="none"/>
        </w:rPr>
        <w:instrText xml:space="preserve"> PAGEREF _Toc7749 \h </w:instrText>
      </w:r>
      <w:r>
        <w:rPr>
          <w:highlight w:val="none"/>
        </w:rPr>
        <w:fldChar w:fldCharType="separate"/>
      </w:r>
      <w:r>
        <w:rPr>
          <w:highlight w:val="none"/>
        </w:rPr>
        <w:t>3</w:t>
      </w:r>
      <w:r>
        <w:rPr>
          <w:highlight w:val="none"/>
        </w:rPr>
        <w:fldChar w:fldCharType="end"/>
      </w:r>
      <w:r>
        <w:rPr>
          <w:rFonts w:hint="eastAsia" w:ascii="仿宋" w:hAnsi="仿宋" w:eastAsia="仿宋" w:cs="仿宋"/>
          <w:color w:val="auto"/>
          <w:highlight w:val="none"/>
        </w:rPr>
        <w:fldChar w:fldCharType="end"/>
      </w:r>
    </w:p>
    <w:p w14:paraId="069FD0B5">
      <w:pPr>
        <w:pStyle w:val="19"/>
        <w:tabs>
          <w:tab w:val="right" w:leader="dot" w:pos="9786"/>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_Toc13562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一 总 则</w:t>
      </w:r>
      <w:r>
        <w:rPr>
          <w:highlight w:val="none"/>
        </w:rPr>
        <w:tab/>
      </w:r>
      <w:r>
        <w:rPr>
          <w:highlight w:val="none"/>
        </w:rPr>
        <w:fldChar w:fldCharType="begin"/>
      </w:r>
      <w:r>
        <w:rPr>
          <w:highlight w:val="none"/>
        </w:rPr>
        <w:instrText xml:space="preserve"> PAGEREF _Toc13562 \h </w:instrText>
      </w:r>
      <w:r>
        <w:rPr>
          <w:highlight w:val="none"/>
        </w:rPr>
        <w:fldChar w:fldCharType="separate"/>
      </w:r>
      <w:r>
        <w:rPr>
          <w:highlight w:val="none"/>
        </w:rPr>
        <w:t>3</w:t>
      </w:r>
      <w:r>
        <w:rPr>
          <w:highlight w:val="none"/>
        </w:rPr>
        <w:fldChar w:fldCharType="end"/>
      </w:r>
      <w:r>
        <w:rPr>
          <w:rFonts w:hint="eastAsia" w:ascii="仿宋" w:hAnsi="仿宋" w:eastAsia="仿宋" w:cs="仿宋"/>
          <w:color w:val="auto"/>
          <w:highlight w:val="none"/>
        </w:rPr>
        <w:fldChar w:fldCharType="end"/>
      </w:r>
    </w:p>
    <w:p w14:paraId="7FA6AB86">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_Toc29428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1.采购人、采购代理机构及投标人</w:t>
      </w:r>
      <w:r>
        <w:rPr>
          <w:highlight w:val="none"/>
        </w:rPr>
        <w:tab/>
      </w:r>
      <w:r>
        <w:rPr>
          <w:highlight w:val="none"/>
        </w:rPr>
        <w:fldChar w:fldCharType="begin"/>
      </w:r>
      <w:r>
        <w:rPr>
          <w:highlight w:val="none"/>
        </w:rPr>
        <w:instrText xml:space="preserve"> PAGEREF _Toc29428 \h </w:instrText>
      </w:r>
      <w:r>
        <w:rPr>
          <w:highlight w:val="none"/>
        </w:rPr>
        <w:fldChar w:fldCharType="separate"/>
      </w:r>
      <w:r>
        <w:rPr>
          <w:highlight w:val="none"/>
        </w:rPr>
        <w:t>3</w:t>
      </w:r>
      <w:r>
        <w:rPr>
          <w:highlight w:val="none"/>
        </w:rPr>
        <w:fldChar w:fldCharType="end"/>
      </w:r>
      <w:r>
        <w:rPr>
          <w:rFonts w:hint="eastAsia" w:ascii="仿宋" w:hAnsi="仿宋" w:eastAsia="仿宋" w:cs="仿宋"/>
          <w:color w:val="auto"/>
          <w:highlight w:val="none"/>
        </w:rPr>
        <w:fldChar w:fldCharType="end"/>
      </w:r>
    </w:p>
    <w:p w14:paraId="78C44F77">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_Toc21544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2.资金来源</w:t>
      </w:r>
      <w:r>
        <w:rPr>
          <w:highlight w:val="none"/>
        </w:rPr>
        <w:tab/>
      </w:r>
      <w:r>
        <w:rPr>
          <w:highlight w:val="none"/>
        </w:rPr>
        <w:fldChar w:fldCharType="begin"/>
      </w:r>
      <w:r>
        <w:rPr>
          <w:highlight w:val="none"/>
        </w:rPr>
        <w:instrText xml:space="preserve"> PAGEREF _Toc21544 \h </w:instrText>
      </w:r>
      <w:r>
        <w:rPr>
          <w:highlight w:val="none"/>
        </w:rPr>
        <w:fldChar w:fldCharType="separate"/>
      </w:r>
      <w:r>
        <w:rPr>
          <w:highlight w:val="none"/>
        </w:rPr>
        <w:t>4</w:t>
      </w:r>
      <w:r>
        <w:rPr>
          <w:highlight w:val="none"/>
        </w:rPr>
        <w:fldChar w:fldCharType="end"/>
      </w:r>
      <w:r>
        <w:rPr>
          <w:rFonts w:hint="eastAsia" w:ascii="仿宋" w:hAnsi="仿宋" w:eastAsia="仿宋" w:cs="仿宋"/>
          <w:color w:val="auto"/>
          <w:highlight w:val="none"/>
        </w:rPr>
        <w:fldChar w:fldCharType="end"/>
      </w:r>
    </w:p>
    <w:p w14:paraId="0EDB6484">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_Toc15057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3.投标费用</w:t>
      </w:r>
      <w:r>
        <w:rPr>
          <w:highlight w:val="none"/>
        </w:rPr>
        <w:tab/>
      </w:r>
      <w:r>
        <w:rPr>
          <w:highlight w:val="none"/>
        </w:rPr>
        <w:fldChar w:fldCharType="begin"/>
      </w:r>
      <w:r>
        <w:rPr>
          <w:highlight w:val="none"/>
        </w:rPr>
        <w:instrText xml:space="preserve"> PAGEREF _Toc15057 \h </w:instrText>
      </w:r>
      <w:r>
        <w:rPr>
          <w:highlight w:val="none"/>
        </w:rPr>
        <w:fldChar w:fldCharType="separate"/>
      </w:r>
      <w:r>
        <w:rPr>
          <w:highlight w:val="none"/>
        </w:rPr>
        <w:t>4</w:t>
      </w:r>
      <w:r>
        <w:rPr>
          <w:highlight w:val="none"/>
        </w:rPr>
        <w:fldChar w:fldCharType="end"/>
      </w:r>
      <w:r>
        <w:rPr>
          <w:rFonts w:hint="eastAsia" w:ascii="仿宋" w:hAnsi="仿宋" w:eastAsia="仿宋" w:cs="仿宋"/>
          <w:color w:val="auto"/>
          <w:highlight w:val="none"/>
        </w:rPr>
        <w:fldChar w:fldCharType="end"/>
      </w:r>
    </w:p>
    <w:p w14:paraId="7233B902">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_Toc5363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4.适用法律</w:t>
      </w:r>
      <w:r>
        <w:rPr>
          <w:highlight w:val="none"/>
        </w:rPr>
        <w:tab/>
      </w:r>
      <w:r>
        <w:rPr>
          <w:highlight w:val="none"/>
        </w:rPr>
        <w:fldChar w:fldCharType="begin"/>
      </w:r>
      <w:r>
        <w:rPr>
          <w:highlight w:val="none"/>
        </w:rPr>
        <w:instrText xml:space="preserve"> PAGEREF _Toc5363 \h </w:instrText>
      </w:r>
      <w:r>
        <w:rPr>
          <w:highlight w:val="none"/>
        </w:rPr>
        <w:fldChar w:fldCharType="separate"/>
      </w:r>
      <w:r>
        <w:rPr>
          <w:highlight w:val="none"/>
        </w:rPr>
        <w:t>4</w:t>
      </w:r>
      <w:r>
        <w:rPr>
          <w:highlight w:val="none"/>
        </w:rPr>
        <w:fldChar w:fldCharType="end"/>
      </w:r>
      <w:r>
        <w:rPr>
          <w:rFonts w:hint="eastAsia" w:ascii="仿宋" w:hAnsi="仿宋" w:eastAsia="仿宋" w:cs="仿宋"/>
          <w:color w:val="auto"/>
          <w:highlight w:val="none"/>
        </w:rPr>
        <w:fldChar w:fldCharType="end"/>
      </w:r>
    </w:p>
    <w:p w14:paraId="62CDBB3D">
      <w:pPr>
        <w:pStyle w:val="19"/>
        <w:tabs>
          <w:tab w:val="right" w:leader="dot" w:pos="9786"/>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_Toc5480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二 招标文件</w:t>
      </w:r>
      <w:r>
        <w:rPr>
          <w:highlight w:val="none"/>
        </w:rPr>
        <w:tab/>
      </w:r>
      <w:r>
        <w:rPr>
          <w:highlight w:val="none"/>
        </w:rPr>
        <w:fldChar w:fldCharType="begin"/>
      </w:r>
      <w:r>
        <w:rPr>
          <w:highlight w:val="none"/>
        </w:rPr>
        <w:instrText xml:space="preserve"> PAGEREF _Toc5480 \h </w:instrText>
      </w:r>
      <w:r>
        <w:rPr>
          <w:highlight w:val="none"/>
        </w:rPr>
        <w:fldChar w:fldCharType="separate"/>
      </w:r>
      <w:r>
        <w:rPr>
          <w:highlight w:val="none"/>
        </w:rPr>
        <w:t>4</w:t>
      </w:r>
      <w:r>
        <w:rPr>
          <w:highlight w:val="none"/>
        </w:rPr>
        <w:fldChar w:fldCharType="end"/>
      </w:r>
      <w:r>
        <w:rPr>
          <w:rFonts w:hint="eastAsia" w:ascii="仿宋" w:hAnsi="仿宋" w:eastAsia="仿宋" w:cs="仿宋"/>
          <w:color w:val="auto"/>
          <w:highlight w:val="none"/>
        </w:rPr>
        <w:fldChar w:fldCharType="end"/>
      </w:r>
    </w:p>
    <w:p w14:paraId="62726B13">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_Toc31723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5.招标文件构成</w:t>
      </w:r>
      <w:r>
        <w:rPr>
          <w:highlight w:val="none"/>
        </w:rPr>
        <w:tab/>
      </w:r>
      <w:r>
        <w:rPr>
          <w:highlight w:val="none"/>
        </w:rPr>
        <w:fldChar w:fldCharType="begin"/>
      </w:r>
      <w:r>
        <w:rPr>
          <w:highlight w:val="none"/>
        </w:rPr>
        <w:instrText xml:space="preserve"> PAGEREF _Toc31723 \h </w:instrText>
      </w:r>
      <w:r>
        <w:rPr>
          <w:highlight w:val="none"/>
        </w:rPr>
        <w:fldChar w:fldCharType="separate"/>
      </w:r>
      <w:r>
        <w:rPr>
          <w:highlight w:val="none"/>
        </w:rPr>
        <w:t>4</w:t>
      </w:r>
      <w:r>
        <w:rPr>
          <w:highlight w:val="none"/>
        </w:rPr>
        <w:fldChar w:fldCharType="end"/>
      </w:r>
      <w:r>
        <w:rPr>
          <w:rFonts w:hint="eastAsia" w:ascii="仿宋" w:hAnsi="仿宋" w:eastAsia="仿宋" w:cs="仿宋"/>
          <w:color w:val="auto"/>
          <w:highlight w:val="none"/>
        </w:rPr>
        <w:fldChar w:fldCharType="end"/>
      </w:r>
    </w:p>
    <w:p w14:paraId="1BCFE731">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_Toc4976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6.招标文件的澄清与修改</w:t>
      </w:r>
      <w:r>
        <w:rPr>
          <w:highlight w:val="none"/>
        </w:rPr>
        <w:tab/>
      </w:r>
      <w:r>
        <w:rPr>
          <w:highlight w:val="none"/>
        </w:rPr>
        <w:fldChar w:fldCharType="begin"/>
      </w:r>
      <w:r>
        <w:rPr>
          <w:highlight w:val="none"/>
        </w:rPr>
        <w:instrText xml:space="preserve"> PAGEREF _Toc4976 \h </w:instrText>
      </w:r>
      <w:r>
        <w:rPr>
          <w:highlight w:val="none"/>
        </w:rPr>
        <w:fldChar w:fldCharType="separate"/>
      </w:r>
      <w:r>
        <w:rPr>
          <w:highlight w:val="none"/>
        </w:rPr>
        <w:t>5</w:t>
      </w:r>
      <w:r>
        <w:rPr>
          <w:highlight w:val="none"/>
        </w:rPr>
        <w:fldChar w:fldCharType="end"/>
      </w:r>
      <w:r>
        <w:rPr>
          <w:rFonts w:hint="eastAsia" w:ascii="仿宋" w:hAnsi="仿宋" w:eastAsia="仿宋" w:cs="仿宋"/>
          <w:color w:val="auto"/>
          <w:highlight w:val="none"/>
        </w:rPr>
        <w:fldChar w:fldCharType="end"/>
      </w:r>
    </w:p>
    <w:p w14:paraId="0B70DD56">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_Toc9128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7.投标截止时间的顺延</w:t>
      </w:r>
      <w:r>
        <w:rPr>
          <w:highlight w:val="none"/>
        </w:rPr>
        <w:tab/>
      </w:r>
      <w:r>
        <w:rPr>
          <w:highlight w:val="none"/>
        </w:rPr>
        <w:fldChar w:fldCharType="begin"/>
      </w:r>
      <w:r>
        <w:rPr>
          <w:highlight w:val="none"/>
        </w:rPr>
        <w:instrText xml:space="preserve"> PAGEREF _Toc9128 \h </w:instrText>
      </w:r>
      <w:r>
        <w:rPr>
          <w:highlight w:val="none"/>
        </w:rPr>
        <w:fldChar w:fldCharType="separate"/>
      </w:r>
      <w:r>
        <w:rPr>
          <w:highlight w:val="none"/>
        </w:rPr>
        <w:t>5</w:t>
      </w:r>
      <w:r>
        <w:rPr>
          <w:highlight w:val="none"/>
        </w:rPr>
        <w:fldChar w:fldCharType="end"/>
      </w:r>
      <w:r>
        <w:rPr>
          <w:rFonts w:hint="eastAsia" w:ascii="仿宋" w:hAnsi="仿宋" w:eastAsia="仿宋" w:cs="仿宋"/>
          <w:color w:val="auto"/>
          <w:highlight w:val="none"/>
        </w:rPr>
        <w:fldChar w:fldCharType="end"/>
      </w:r>
    </w:p>
    <w:p w14:paraId="696BA4DF">
      <w:pPr>
        <w:pStyle w:val="19"/>
        <w:tabs>
          <w:tab w:val="right" w:leader="dot" w:pos="9786"/>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_Toc1752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三 投标文件的编制</w:t>
      </w:r>
      <w:r>
        <w:rPr>
          <w:highlight w:val="none"/>
        </w:rPr>
        <w:tab/>
      </w:r>
      <w:r>
        <w:rPr>
          <w:highlight w:val="none"/>
        </w:rPr>
        <w:fldChar w:fldCharType="begin"/>
      </w:r>
      <w:r>
        <w:rPr>
          <w:highlight w:val="none"/>
        </w:rPr>
        <w:instrText xml:space="preserve"> PAGEREF _Toc1752 \h </w:instrText>
      </w:r>
      <w:r>
        <w:rPr>
          <w:highlight w:val="none"/>
        </w:rPr>
        <w:fldChar w:fldCharType="separate"/>
      </w:r>
      <w:r>
        <w:rPr>
          <w:highlight w:val="none"/>
        </w:rPr>
        <w:t>5</w:t>
      </w:r>
      <w:r>
        <w:rPr>
          <w:highlight w:val="none"/>
        </w:rPr>
        <w:fldChar w:fldCharType="end"/>
      </w:r>
      <w:r>
        <w:rPr>
          <w:rFonts w:hint="eastAsia" w:ascii="仿宋" w:hAnsi="仿宋" w:eastAsia="仿宋" w:cs="仿宋"/>
          <w:color w:val="auto"/>
          <w:highlight w:val="none"/>
        </w:rPr>
        <w:fldChar w:fldCharType="end"/>
      </w:r>
    </w:p>
    <w:p w14:paraId="3903CF5C">
      <w:pPr>
        <w:pStyle w:val="11"/>
        <w:tabs>
          <w:tab w:val="right" w:pos="2800"/>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_Toc6449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8.</w:t>
      </w:r>
      <w:r>
        <w:rPr>
          <w:rFonts w:hint="eastAsia" w:ascii="仿宋" w:hAnsi="仿宋" w:eastAsia="仿宋" w:cs="仿宋"/>
          <w:highlight w:val="none"/>
          <w:lang w:eastAsia="zh-CN"/>
        </w:rPr>
        <w:tab/>
      </w:r>
      <w:r>
        <w:rPr>
          <w:rFonts w:hint="eastAsia" w:ascii="仿宋" w:hAnsi="仿宋" w:eastAsia="仿宋" w:cs="仿宋"/>
          <w:highlight w:val="none"/>
          <w:lang w:eastAsia="zh-CN"/>
        </w:rPr>
        <w:t>投标范围及投标文件中标准和计量单位的使用</w:t>
      </w:r>
      <w:r>
        <w:rPr>
          <w:highlight w:val="none"/>
        </w:rPr>
        <w:tab/>
      </w:r>
      <w:r>
        <w:rPr>
          <w:highlight w:val="none"/>
        </w:rPr>
        <w:fldChar w:fldCharType="begin"/>
      </w:r>
      <w:r>
        <w:rPr>
          <w:highlight w:val="none"/>
        </w:rPr>
        <w:instrText xml:space="preserve"> PAGEREF _Toc6449 \h </w:instrText>
      </w:r>
      <w:r>
        <w:rPr>
          <w:highlight w:val="none"/>
        </w:rPr>
        <w:fldChar w:fldCharType="separate"/>
      </w:r>
      <w:r>
        <w:rPr>
          <w:highlight w:val="none"/>
        </w:rPr>
        <w:t>5</w:t>
      </w:r>
      <w:r>
        <w:rPr>
          <w:highlight w:val="none"/>
        </w:rPr>
        <w:fldChar w:fldCharType="end"/>
      </w:r>
      <w:r>
        <w:rPr>
          <w:rFonts w:hint="eastAsia" w:ascii="仿宋" w:hAnsi="仿宋" w:eastAsia="仿宋" w:cs="仿宋"/>
          <w:color w:val="auto"/>
          <w:highlight w:val="none"/>
        </w:rPr>
        <w:fldChar w:fldCharType="end"/>
      </w:r>
    </w:p>
    <w:p w14:paraId="69069837">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_Toc2072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9.投标文件构成</w:t>
      </w:r>
      <w:r>
        <w:rPr>
          <w:highlight w:val="none"/>
        </w:rPr>
        <w:tab/>
      </w:r>
      <w:r>
        <w:rPr>
          <w:highlight w:val="none"/>
        </w:rPr>
        <w:fldChar w:fldCharType="begin"/>
      </w:r>
      <w:r>
        <w:rPr>
          <w:highlight w:val="none"/>
        </w:rPr>
        <w:instrText xml:space="preserve"> PAGEREF _Toc2072 \h </w:instrText>
      </w:r>
      <w:r>
        <w:rPr>
          <w:highlight w:val="none"/>
        </w:rPr>
        <w:fldChar w:fldCharType="separate"/>
      </w:r>
      <w:r>
        <w:rPr>
          <w:highlight w:val="none"/>
        </w:rPr>
        <w:t>5</w:t>
      </w:r>
      <w:r>
        <w:rPr>
          <w:highlight w:val="none"/>
        </w:rPr>
        <w:fldChar w:fldCharType="end"/>
      </w:r>
      <w:r>
        <w:rPr>
          <w:rFonts w:hint="eastAsia" w:ascii="仿宋" w:hAnsi="仿宋" w:eastAsia="仿宋" w:cs="仿宋"/>
          <w:color w:val="auto"/>
          <w:highlight w:val="none"/>
        </w:rPr>
        <w:fldChar w:fldCharType="end"/>
      </w:r>
    </w:p>
    <w:p w14:paraId="21B5D668">
      <w:pPr>
        <w:pStyle w:val="11"/>
        <w:tabs>
          <w:tab w:val="right" w:pos="2800"/>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_Toc31875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10.</w:t>
      </w:r>
      <w:r>
        <w:rPr>
          <w:rFonts w:hint="eastAsia" w:ascii="仿宋" w:hAnsi="仿宋" w:eastAsia="仿宋" w:cs="仿宋"/>
          <w:highlight w:val="none"/>
          <w:lang w:eastAsia="zh-CN"/>
        </w:rPr>
        <w:tab/>
      </w:r>
      <w:r>
        <w:rPr>
          <w:rFonts w:hint="eastAsia" w:ascii="仿宋" w:hAnsi="仿宋" w:eastAsia="仿宋" w:cs="仿宋"/>
          <w:highlight w:val="none"/>
          <w:lang w:eastAsia="zh-CN"/>
        </w:rPr>
        <w:t>证明投标标的的合格性和符合招标文件规定的技术文件</w:t>
      </w:r>
      <w:r>
        <w:rPr>
          <w:highlight w:val="none"/>
        </w:rPr>
        <w:tab/>
      </w:r>
      <w:r>
        <w:rPr>
          <w:highlight w:val="none"/>
        </w:rPr>
        <w:fldChar w:fldCharType="begin"/>
      </w:r>
      <w:r>
        <w:rPr>
          <w:highlight w:val="none"/>
        </w:rPr>
        <w:instrText xml:space="preserve"> PAGEREF _Toc31875 \h </w:instrText>
      </w:r>
      <w:r>
        <w:rPr>
          <w:highlight w:val="none"/>
        </w:rPr>
        <w:fldChar w:fldCharType="separate"/>
      </w:r>
      <w:r>
        <w:rPr>
          <w:highlight w:val="none"/>
        </w:rPr>
        <w:t>6</w:t>
      </w:r>
      <w:r>
        <w:rPr>
          <w:highlight w:val="none"/>
        </w:rPr>
        <w:fldChar w:fldCharType="end"/>
      </w:r>
      <w:r>
        <w:rPr>
          <w:rFonts w:hint="eastAsia" w:ascii="仿宋" w:hAnsi="仿宋" w:eastAsia="仿宋" w:cs="仿宋"/>
          <w:color w:val="auto"/>
          <w:highlight w:val="none"/>
        </w:rPr>
        <w:fldChar w:fldCharType="end"/>
      </w:r>
    </w:p>
    <w:p w14:paraId="43344301">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_Toc784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11.投标报价</w:t>
      </w:r>
      <w:r>
        <w:rPr>
          <w:highlight w:val="none"/>
        </w:rPr>
        <w:tab/>
      </w:r>
      <w:r>
        <w:rPr>
          <w:highlight w:val="none"/>
        </w:rPr>
        <w:fldChar w:fldCharType="begin"/>
      </w:r>
      <w:r>
        <w:rPr>
          <w:highlight w:val="none"/>
        </w:rPr>
        <w:instrText xml:space="preserve"> PAGEREF _Toc784 \h </w:instrText>
      </w:r>
      <w:r>
        <w:rPr>
          <w:highlight w:val="none"/>
        </w:rPr>
        <w:fldChar w:fldCharType="separate"/>
      </w:r>
      <w:r>
        <w:rPr>
          <w:highlight w:val="none"/>
        </w:rPr>
        <w:t>6</w:t>
      </w:r>
      <w:r>
        <w:rPr>
          <w:highlight w:val="none"/>
        </w:rPr>
        <w:fldChar w:fldCharType="end"/>
      </w:r>
      <w:r>
        <w:rPr>
          <w:rFonts w:hint="eastAsia" w:ascii="仿宋" w:hAnsi="仿宋" w:eastAsia="仿宋" w:cs="仿宋"/>
          <w:color w:val="auto"/>
          <w:highlight w:val="none"/>
        </w:rPr>
        <w:fldChar w:fldCharType="end"/>
      </w:r>
    </w:p>
    <w:p w14:paraId="3BDD9D3A">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_Toc3689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12.投标保证金</w:t>
      </w:r>
      <w:r>
        <w:rPr>
          <w:highlight w:val="none"/>
        </w:rPr>
        <w:tab/>
      </w:r>
      <w:r>
        <w:rPr>
          <w:highlight w:val="none"/>
        </w:rPr>
        <w:fldChar w:fldCharType="begin"/>
      </w:r>
      <w:r>
        <w:rPr>
          <w:highlight w:val="none"/>
        </w:rPr>
        <w:instrText xml:space="preserve"> PAGEREF _Toc3689 \h </w:instrText>
      </w:r>
      <w:r>
        <w:rPr>
          <w:highlight w:val="none"/>
        </w:rPr>
        <w:fldChar w:fldCharType="separate"/>
      </w:r>
      <w:r>
        <w:rPr>
          <w:highlight w:val="none"/>
        </w:rPr>
        <w:t>7</w:t>
      </w:r>
      <w:r>
        <w:rPr>
          <w:highlight w:val="none"/>
        </w:rPr>
        <w:fldChar w:fldCharType="end"/>
      </w:r>
      <w:r>
        <w:rPr>
          <w:rFonts w:hint="eastAsia" w:ascii="仿宋" w:hAnsi="仿宋" w:eastAsia="仿宋" w:cs="仿宋"/>
          <w:color w:val="auto"/>
          <w:highlight w:val="none"/>
        </w:rPr>
        <w:fldChar w:fldCharType="end"/>
      </w:r>
    </w:p>
    <w:p w14:paraId="02DFC240">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_Toc28684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13.投标有效期</w:t>
      </w:r>
      <w:r>
        <w:rPr>
          <w:highlight w:val="none"/>
        </w:rPr>
        <w:tab/>
      </w:r>
      <w:r>
        <w:rPr>
          <w:highlight w:val="none"/>
        </w:rPr>
        <w:fldChar w:fldCharType="begin"/>
      </w:r>
      <w:r>
        <w:rPr>
          <w:highlight w:val="none"/>
        </w:rPr>
        <w:instrText xml:space="preserve"> PAGEREF _Toc28684 \h </w:instrText>
      </w:r>
      <w:r>
        <w:rPr>
          <w:highlight w:val="none"/>
        </w:rPr>
        <w:fldChar w:fldCharType="separate"/>
      </w:r>
      <w:r>
        <w:rPr>
          <w:highlight w:val="none"/>
        </w:rPr>
        <w:t>7</w:t>
      </w:r>
      <w:r>
        <w:rPr>
          <w:highlight w:val="none"/>
        </w:rPr>
        <w:fldChar w:fldCharType="end"/>
      </w:r>
      <w:r>
        <w:rPr>
          <w:rFonts w:hint="eastAsia" w:ascii="仿宋" w:hAnsi="仿宋" w:eastAsia="仿宋" w:cs="仿宋"/>
          <w:color w:val="auto"/>
          <w:highlight w:val="none"/>
        </w:rPr>
        <w:fldChar w:fldCharType="end"/>
      </w:r>
    </w:p>
    <w:p w14:paraId="4E4E4993">
      <w:pPr>
        <w:pStyle w:val="19"/>
        <w:tabs>
          <w:tab w:val="right" w:leader="dot" w:pos="9786"/>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_Toc24071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四 投标文件的递交</w:t>
      </w:r>
      <w:r>
        <w:rPr>
          <w:highlight w:val="none"/>
        </w:rPr>
        <w:tab/>
      </w:r>
      <w:r>
        <w:rPr>
          <w:highlight w:val="none"/>
        </w:rPr>
        <w:fldChar w:fldCharType="begin"/>
      </w:r>
      <w:r>
        <w:rPr>
          <w:highlight w:val="none"/>
        </w:rPr>
        <w:instrText xml:space="preserve"> PAGEREF _Toc24071 \h </w:instrText>
      </w:r>
      <w:r>
        <w:rPr>
          <w:highlight w:val="none"/>
        </w:rPr>
        <w:fldChar w:fldCharType="separate"/>
      </w:r>
      <w:r>
        <w:rPr>
          <w:highlight w:val="none"/>
        </w:rPr>
        <w:t>8</w:t>
      </w:r>
      <w:r>
        <w:rPr>
          <w:highlight w:val="none"/>
        </w:rPr>
        <w:fldChar w:fldCharType="end"/>
      </w:r>
      <w:r>
        <w:rPr>
          <w:rFonts w:hint="eastAsia" w:ascii="仿宋" w:hAnsi="仿宋" w:eastAsia="仿宋" w:cs="仿宋"/>
          <w:color w:val="auto"/>
          <w:highlight w:val="none"/>
        </w:rPr>
        <w:fldChar w:fldCharType="end"/>
      </w:r>
    </w:p>
    <w:p w14:paraId="0464197C">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_Toc16795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15.投标文件的密封和标记</w:t>
      </w:r>
      <w:r>
        <w:rPr>
          <w:highlight w:val="none"/>
        </w:rPr>
        <w:tab/>
      </w:r>
      <w:r>
        <w:rPr>
          <w:highlight w:val="none"/>
        </w:rPr>
        <w:fldChar w:fldCharType="begin"/>
      </w:r>
      <w:r>
        <w:rPr>
          <w:highlight w:val="none"/>
        </w:rPr>
        <w:instrText xml:space="preserve"> PAGEREF _Toc16795 \h </w:instrText>
      </w:r>
      <w:r>
        <w:rPr>
          <w:highlight w:val="none"/>
        </w:rPr>
        <w:fldChar w:fldCharType="separate"/>
      </w:r>
      <w:r>
        <w:rPr>
          <w:highlight w:val="none"/>
        </w:rPr>
        <w:t>8</w:t>
      </w:r>
      <w:r>
        <w:rPr>
          <w:highlight w:val="none"/>
        </w:rPr>
        <w:fldChar w:fldCharType="end"/>
      </w:r>
      <w:r>
        <w:rPr>
          <w:rFonts w:hint="eastAsia" w:ascii="仿宋" w:hAnsi="仿宋" w:eastAsia="仿宋" w:cs="仿宋"/>
          <w:color w:val="auto"/>
          <w:highlight w:val="none"/>
        </w:rPr>
        <w:fldChar w:fldCharType="end"/>
      </w:r>
    </w:p>
    <w:p w14:paraId="12E751D4">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_Toc7106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16.投标截止</w:t>
      </w:r>
      <w:r>
        <w:rPr>
          <w:highlight w:val="none"/>
        </w:rPr>
        <w:tab/>
      </w:r>
      <w:r>
        <w:rPr>
          <w:highlight w:val="none"/>
        </w:rPr>
        <w:fldChar w:fldCharType="begin"/>
      </w:r>
      <w:r>
        <w:rPr>
          <w:highlight w:val="none"/>
        </w:rPr>
        <w:instrText xml:space="preserve"> PAGEREF _Toc7106 \h </w:instrText>
      </w:r>
      <w:r>
        <w:rPr>
          <w:highlight w:val="none"/>
        </w:rPr>
        <w:fldChar w:fldCharType="separate"/>
      </w:r>
      <w:r>
        <w:rPr>
          <w:highlight w:val="none"/>
        </w:rPr>
        <w:t>8</w:t>
      </w:r>
      <w:r>
        <w:rPr>
          <w:highlight w:val="none"/>
        </w:rPr>
        <w:fldChar w:fldCharType="end"/>
      </w:r>
      <w:r>
        <w:rPr>
          <w:rFonts w:hint="eastAsia" w:ascii="仿宋" w:hAnsi="仿宋" w:eastAsia="仿宋" w:cs="仿宋"/>
          <w:color w:val="auto"/>
          <w:highlight w:val="none"/>
        </w:rPr>
        <w:fldChar w:fldCharType="end"/>
      </w:r>
    </w:p>
    <w:p w14:paraId="5831E36C">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_Toc5718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17.投标文件的接收、修改与撤回</w:t>
      </w:r>
      <w:r>
        <w:rPr>
          <w:highlight w:val="none"/>
        </w:rPr>
        <w:tab/>
      </w:r>
      <w:r>
        <w:rPr>
          <w:highlight w:val="none"/>
        </w:rPr>
        <w:fldChar w:fldCharType="begin"/>
      </w:r>
      <w:r>
        <w:rPr>
          <w:highlight w:val="none"/>
        </w:rPr>
        <w:instrText xml:space="preserve"> PAGEREF _Toc5718 \h </w:instrText>
      </w:r>
      <w:r>
        <w:rPr>
          <w:highlight w:val="none"/>
        </w:rPr>
        <w:fldChar w:fldCharType="separate"/>
      </w:r>
      <w:r>
        <w:rPr>
          <w:highlight w:val="none"/>
        </w:rPr>
        <w:t>8</w:t>
      </w:r>
      <w:r>
        <w:rPr>
          <w:highlight w:val="none"/>
        </w:rPr>
        <w:fldChar w:fldCharType="end"/>
      </w:r>
      <w:r>
        <w:rPr>
          <w:rFonts w:hint="eastAsia" w:ascii="仿宋" w:hAnsi="仿宋" w:eastAsia="仿宋" w:cs="仿宋"/>
          <w:color w:val="auto"/>
          <w:highlight w:val="none"/>
        </w:rPr>
        <w:fldChar w:fldCharType="end"/>
      </w:r>
    </w:p>
    <w:p w14:paraId="0A89AD74">
      <w:pPr>
        <w:pStyle w:val="19"/>
        <w:tabs>
          <w:tab w:val="right" w:leader="dot" w:pos="9786"/>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_Toc1135 </w:instrText>
      </w:r>
      <w:r>
        <w:rPr>
          <w:rFonts w:hint="eastAsia" w:ascii="仿宋" w:hAnsi="仿宋" w:eastAsia="仿宋" w:cs="仿宋"/>
          <w:highlight w:val="none"/>
        </w:rPr>
        <w:fldChar w:fldCharType="separate"/>
      </w:r>
      <w:r>
        <w:rPr>
          <w:rFonts w:hint="eastAsia" w:ascii="仿宋" w:hAnsi="仿宋" w:eastAsia="仿宋" w:cs="仿宋"/>
          <w:highlight w:val="none"/>
        </w:rPr>
        <w:t>五 开标及评标</w:t>
      </w:r>
      <w:r>
        <w:rPr>
          <w:highlight w:val="none"/>
        </w:rPr>
        <w:tab/>
      </w:r>
      <w:r>
        <w:rPr>
          <w:highlight w:val="none"/>
        </w:rPr>
        <w:fldChar w:fldCharType="begin"/>
      </w:r>
      <w:r>
        <w:rPr>
          <w:highlight w:val="none"/>
        </w:rPr>
        <w:instrText xml:space="preserve"> PAGEREF _Toc1135 \h </w:instrText>
      </w:r>
      <w:r>
        <w:rPr>
          <w:highlight w:val="none"/>
        </w:rPr>
        <w:fldChar w:fldCharType="separate"/>
      </w:r>
      <w:r>
        <w:rPr>
          <w:highlight w:val="none"/>
        </w:rPr>
        <w:t>9</w:t>
      </w:r>
      <w:r>
        <w:rPr>
          <w:highlight w:val="none"/>
        </w:rPr>
        <w:fldChar w:fldCharType="end"/>
      </w:r>
      <w:r>
        <w:rPr>
          <w:rFonts w:hint="eastAsia" w:ascii="仿宋" w:hAnsi="仿宋" w:eastAsia="仿宋" w:cs="仿宋"/>
          <w:color w:val="auto"/>
          <w:highlight w:val="none"/>
        </w:rPr>
        <w:fldChar w:fldCharType="end"/>
      </w:r>
    </w:p>
    <w:p w14:paraId="617B2283">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_Toc30168 </w:instrText>
      </w:r>
      <w:r>
        <w:rPr>
          <w:rFonts w:hint="eastAsia" w:ascii="仿宋" w:hAnsi="仿宋" w:eastAsia="仿宋" w:cs="仿宋"/>
          <w:highlight w:val="none"/>
        </w:rPr>
        <w:fldChar w:fldCharType="separate"/>
      </w:r>
      <w:r>
        <w:rPr>
          <w:rFonts w:hint="eastAsia" w:ascii="仿宋" w:hAnsi="仿宋" w:eastAsia="仿宋" w:cs="仿宋"/>
          <w:highlight w:val="none"/>
        </w:rPr>
        <w:t>18. 开标</w:t>
      </w:r>
      <w:r>
        <w:rPr>
          <w:highlight w:val="none"/>
        </w:rPr>
        <w:tab/>
      </w:r>
      <w:r>
        <w:rPr>
          <w:highlight w:val="none"/>
        </w:rPr>
        <w:fldChar w:fldCharType="begin"/>
      </w:r>
      <w:r>
        <w:rPr>
          <w:highlight w:val="none"/>
        </w:rPr>
        <w:instrText xml:space="preserve"> PAGEREF _Toc30168 \h </w:instrText>
      </w:r>
      <w:r>
        <w:rPr>
          <w:highlight w:val="none"/>
        </w:rPr>
        <w:fldChar w:fldCharType="separate"/>
      </w:r>
      <w:r>
        <w:rPr>
          <w:highlight w:val="none"/>
        </w:rPr>
        <w:t>9</w:t>
      </w:r>
      <w:r>
        <w:rPr>
          <w:highlight w:val="none"/>
        </w:rPr>
        <w:fldChar w:fldCharType="end"/>
      </w:r>
      <w:r>
        <w:rPr>
          <w:rFonts w:hint="eastAsia" w:ascii="仿宋" w:hAnsi="仿宋" w:eastAsia="仿宋" w:cs="仿宋"/>
          <w:color w:val="auto"/>
          <w:highlight w:val="none"/>
        </w:rPr>
        <w:fldChar w:fldCharType="end"/>
      </w:r>
    </w:p>
    <w:p w14:paraId="3EF1DFE6">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_Toc12012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19.资格审查及组建评标委员会</w:t>
      </w:r>
      <w:r>
        <w:rPr>
          <w:highlight w:val="none"/>
        </w:rPr>
        <w:tab/>
      </w:r>
      <w:r>
        <w:rPr>
          <w:highlight w:val="none"/>
        </w:rPr>
        <w:fldChar w:fldCharType="begin"/>
      </w:r>
      <w:r>
        <w:rPr>
          <w:highlight w:val="none"/>
        </w:rPr>
        <w:instrText xml:space="preserve"> PAGEREF _Toc12012 \h </w:instrText>
      </w:r>
      <w:r>
        <w:rPr>
          <w:highlight w:val="none"/>
        </w:rPr>
        <w:fldChar w:fldCharType="separate"/>
      </w:r>
      <w:r>
        <w:rPr>
          <w:highlight w:val="none"/>
        </w:rPr>
        <w:t>9</w:t>
      </w:r>
      <w:r>
        <w:rPr>
          <w:highlight w:val="none"/>
        </w:rPr>
        <w:fldChar w:fldCharType="end"/>
      </w:r>
      <w:r>
        <w:rPr>
          <w:rFonts w:hint="eastAsia" w:ascii="仿宋" w:hAnsi="仿宋" w:eastAsia="仿宋" w:cs="仿宋"/>
          <w:color w:val="auto"/>
          <w:highlight w:val="none"/>
        </w:rPr>
        <w:fldChar w:fldCharType="end"/>
      </w:r>
    </w:p>
    <w:p w14:paraId="0AD66C10">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_Toc23153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20.投标文件符合性审查与澄清</w:t>
      </w:r>
      <w:r>
        <w:rPr>
          <w:highlight w:val="none"/>
        </w:rPr>
        <w:tab/>
      </w:r>
      <w:r>
        <w:rPr>
          <w:highlight w:val="none"/>
        </w:rPr>
        <w:fldChar w:fldCharType="begin"/>
      </w:r>
      <w:r>
        <w:rPr>
          <w:highlight w:val="none"/>
        </w:rPr>
        <w:instrText xml:space="preserve"> PAGEREF _Toc23153 \h </w:instrText>
      </w:r>
      <w:r>
        <w:rPr>
          <w:highlight w:val="none"/>
        </w:rPr>
        <w:fldChar w:fldCharType="separate"/>
      </w:r>
      <w:r>
        <w:rPr>
          <w:highlight w:val="none"/>
        </w:rPr>
        <w:t>10</w:t>
      </w:r>
      <w:r>
        <w:rPr>
          <w:highlight w:val="none"/>
        </w:rPr>
        <w:fldChar w:fldCharType="end"/>
      </w:r>
      <w:r>
        <w:rPr>
          <w:rFonts w:hint="eastAsia" w:ascii="仿宋" w:hAnsi="仿宋" w:eastAsia="仿宋" w:cs="仿宋"/>
          <w:color w:val="auto"/>
          <w:highlight w:val="none"/>
        </w:rPr>
        <w:fldChar w:fldCharType="end"/>
      </w:r>
    </w:p>
    <w:p w14:paraId="693ACFD8">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_Toc6034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21.投标偏离</w:t>
      </w:r>
      <w:r>
        <w:rPr>
          <w:highlight w:val="none"/>
        </w:rPr>
        <w:tab/>
      </w:r>
      <w:r>
        <w:rPr>
          <w:highlight w:val="none"/>
        </w:rPr>
        <w:fldChar w:fldCharType="begin"/>
      </w:r>
      <w:r>
        <w:rPr>
          <w:highlight w:val="none"/>
        </w:rPr>
        <w:instrText xml:space="preserve"> PAGEREF _Toc6034 \h </w:instrText>
      </w:r>
      <w:r>
        <w:rPr>
          <w:highlight w:val="none"/>
        </w:rPr>
        <w:fldChar w:fldCharType="separate"/>
      </w:r>
      <w:r>
        <w:rPr>
          <w:highlight w:val="none"/>
        </w:rPr>
        <w:t>11</w:t>
      </w:r>
      <w:r>
        <w:rPr>
          <w:highlight w:val="none"/>
        </w:rPr>
        <w:fldChar w:fldCharType="end"/>
      </w:r>
      <w:r>
        <w:rPr>
          <w:rFonts w:hint="eastAsia" w:ascii="仿宋" w:hAnsi="仿宋" w:eastAsia="仿宋" w:cs="仿宋"/>
          <w:color w:val="auto"/>
          <w:highlight w:val="none"/>
        </w:rPr>
        <w:fldChar w:fldCharType="end"/>
      </w:r>
    </w:p>
    <w:p w14:paraId="301BB916">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_Toc5457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22.投标无效</w:t>
      </w:r>
      <w:r>
        <w:rPr>
          <w:highlight w:val="none"/>
        </w:rPr>
        <w:tab/>
      </w:r>
      <w:r>
        <w:rPr>
          <w:highlight w:val="none"/>
        </w:rPr>
        <w:fldChar w:fldCharType="begin"/>
      </w:r>
      <w:r>
        <w:rPr>
          <w:highlight w:val="none"/>
        </w:rPr>
        <w:instrText xml:space="preserve"> PAGEREF _Toc5457 \h </w:instrText>
      </w:r>
      <w:r>
        <w:rPr>
          <w:highlight w:val="none"/>
        </w:rPr>
        <w:fldChar w:fldCharType="separate"/>
      </w:r>
      <w:r>
        <w:rPr>
          <w:highlight w:val="none"/>
        </w:rPr>
        <w:t>11</w:t>
      </w:r>
      <w:r>
        <w:rPr>
          <w:highlight w:val="none"/>
        </w:rPr>
        <w:fldChar w:fldCharType="end"/>
      </w:r>
      <w:r>
        <w:rPr>
          <w:rFonts w:hint="eastAsia" w:ascii="仿宋" w:hAnsi="仿宋" w:eastAsia="仿宋" w:cs="仿宋"/>
          <w:color w:val="auto"/>
          <w:highlight w:val="none"/>
        </w:rPr>
        <w:fldChar w:fldCharType="end"/>
      </w:r>
    </w:p>
    <w:p w14:paraId="0A1CE426">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_Toc24607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24.废标</w:t>
      </w:r>
      <w:r>
        <w:rPr>
          <w:highlight w:val="none"/>
        </w:rPr>
        <w:tab/>
      </w:r>
      <w:r>
        <w:rPr>
          <w:highlight w:val="none"/>
        </w:rPr>
        <w:fldChar w:fldCharType="begin"/>
      </w:r>
      <w:r>
        <w:rPr>
          <w:highlight w:val="none"/>
        </w:rPr>
        <w:instrText xml:space="preserve"> PAGEREF _Toc24607 \h </w:instrText>
      </w:r>
      <w:r>
        <w:rPr>
          <w:highlight w:val="none"/>
        </w:rPr>
        <w:fldChar w:fldCharType="separate"/>
      </w:r>
      <w:r>
        <w:rPr>
          <w:highlight w:val="none"/>
        </w:rPr>
        <w:t>12</w:t>
      </w:r>
      <w:r>
        <w:rPr>
          <w:highlight w:val="none"/>
        </w:rPr>
        <w:fldChar w:fldCharType="end"/>
      </w:r>
      <w:r>
        <w:rPr>
          <w:rFonts w:hint="eastAsia" w:ascii="仿宋" w:hAnsi="仿宋" w:eastAsia="仿宋" w:cs="仿宋"/>
          <w:color w:val="auto"/>
          <w:highlight w:val="none"/>
        </w:rPr>
        <w:fldChar w:fldCharType="end"/>
      </w:r>
    </w:p>
    <w:p w14:paraId="7C10DB9F">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_Toc18758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25.保密原则</w:t>
      </w:r>
      <w:r>
        <w:rPr>
          <w:highlight w:val="none"/>
        </w:rPr>
        <w:tab/>
      </w:r>
      <w:r>
        <w:rPr>
          <w:highlight w:val="none"/>
        </w:rPr>
        <w:fldChar w:fldCharType="begin"/>
      </w:r>
      <w:r>
        <w:rPr>
          <w:highlight w:val="none"/>
        </w:rPr>
        <w:instrText xml:space="preserve"> PAGEREF _Toc18758 \h </w:instrText>
      </w:r>
      <w:r>
        <w:rPr>
          <w:highlight w:val="none"/>
        </w:rPr>
        <w:fldChar w:fldCharType="separate"/>
      </w:r>
      <w:r>
        <w:rPr>
          <w:highlight w:val="none"/>
        </w:rPr>
        <w:t>12</w:t>
      </w:r>
      <w:r>
        <w:rPr>
          <w:highlight w:val="none"/>
        </w:rPr>
        <w:fldChar w:fldCharType="end"/>
      </w:r>
      <w:r>
        <w:rPr>
          <w:rFonts w:hint="eastAsia" w:ascii="仿宋" w:hAnsi="仿宋" w:eastAsia="仿宋" w:cs="仿宋"/>
          <w:color w:val="auto"/>
          <w:highlight w:val="none"/>
        </w:rPr>
        <w:fldChar w:fldCharType="end"/>
      </w:r>
    </w:p>
    <w:p w14:paraId="54D2CEDB">
      <w:pPr>
        <w:pStyle w:val="19"/>
        <w:tabs>
          <w:tab w:val="right" w:leader="dot" w:pos="9786"/>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_Toc12298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六 确定中标</w:t>
      </w:r>
      <w:r>
        <w:rPr>
          <w:highlight w:val="none"/>
        </w:rPr>
        <w:tab/>
      </w:r>
      <w:r>
        <w:rPr>
          <w:highlight w:val="none"/>
        </w:rPr>
        <w:fldChar w:fldCharType="begin"/>
      </w:r>
      <w:r>
        <w:rPr>
          <w:highlight w:val="none"/>
        </w:rPr>
        <w:instrText xml:space="preserve"> PAGEREF _Toc12298 \h </w:instrText>
      </w:r>
      <w:r>
        <w:rPr>
          <w:highlight w:val="none"/>
        </w:rPr>
        <w:fldChar w:fldCharType="separate"/>
      </w:r>
      <w:r>
        <w:rPr>
          <w:highlight w:val="none"/>
        </w:rPr>
        <w:t>12</w:t>
      </w:r>
      <w:r>
        <w:rPr>
          <w:highlight w:val="none"/>
        </w:rPr>
        <w:fldChar w:fldCharType="end"/>
      </w:r>
      <w:r>
        <w:rPr>
          <w:rFonts w:hint="eastAsia" w:ascii="仿宋" w:hAnsi="仿宋" w:eastAsia="仿宋" w:cs="仿宋"/>
          <w:color w:val="auto"/>
          <w:highlight w:val="none"/>
        </w:rPr>
        <w:fldChar w:fldCharType="end"/>
      </w:r>
    </w:p>
    <w:p w14:paraId="192DD4F1">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_Toc22599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26.中标候选人的确定原则及标准</w:t>
      </w:r>
      <w:r>
        <w:rPr>
          <w:highlight w:val="none"/>
        </w:rPr>
        <w:tab/>
      </w:r>
      <w:r>
        <w:rPr>
          <w:highlight w:val="none"/>
        </w:rPr>
        <w:fldChar w:fldCharType="begin"/>
      </w:r>
      <w:r>
        <w:rPr>
          <w:highlight w:val="none"/>
        </w:rPr>
        <w:instrText xml:space="preserve"> PAGEREF _Toc22599 \h </w:instrText>
      </w:r>
      <w:r>
        <w:rPr>
          <w:highlight w:val="none"/>
        </w:rPr>
        <w:fldChar w:fldCharType="separate"/>
      </w:r>
      <w:r>
        <w:rPr>
          <w:highlight w:val="none"/>
        </w:rPr>
        <w:t>12</w:t>
      </w:r>
      <w:r>
        <w:rPr>
          <w:highlight w:val="none"/>
        </w:rPr>
        <w:fldChar w:fldCharType="end"/>
      </w:r>
      <w:r>
        <w:rPr>
          <w:rFonts w:hint="eastAsia" w:ascii="仿宋" w:hAnsi="仿宋" w:eastAsia="仿宋" w:cs="仿宋"/>
          <w:color w:val="auto"/>
          <w:highlight w:val="none"/>
        </w:rPr>
        <w:fldChar w:fldCharType="end"/>
      </w:r>
    </w:p>
    <w:p w14:paraId="6A6B834B">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_Toc16479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27.确定中标候选人和中标人</w:t>
      </w:r>
      <w:r>
        <w:rPr>
          <w:highlight w:val="none"/>
        </w:rPr>
        <w:tab/>
      </w:r>
      <w:r>
        <w:rPr>
          <w:highlight w:val="none"/>
        </w:rPr>
        <w:fldChar w:fldCharType="begin"/>
      </w:r>
      <w:r>
        <w:rPr>
          <w:highlight w:val="none"/>
        </w:rPr>
        <w:instrText xml:space="preserve"> PAGEREF _Toc16479 \h </w:instrText>
      </w:r>
      <w:r>
        <w:rPr>
          <w:highlight w:val="none"/>
        </w:rPr>
        <w:fldChar w:fldCharType="separate"/>
      </w:r>
      <w:r>
        <w:rPr>
          <w:highlight w:val="none"/>
        </w:rPr>
        <w:t>13</w:t>
      </w:r>
      <w:r>
        <w:rPr>
          <w:highlight w:val="none"/>
        </w:rPr>
        <w:fldChar w:fldCharType="end"/>
      </w:r>
      <w:r>
        <w:rPr>
          <w:rFonts w:hint="eastAsia" w:ascii="仿宋" w:hAnsi="仿宋" w:eastAsia="仿宋" w:cs="仿宋"/>
          <w:color w:val="auto"/>
          <w:highlight w:val="none"/>
        </w:rPr>
        <w:fldChar w:fldCharType="end"/>
      </w:r>
    </w:p>
    <w:p w14:paraId="7C3FAD61">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_Toc16986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28.采购任务取消</w:t>
      </w:r>
      <w:r>
        <w:rPr>
          <w:highlight w:val="none"/>
        </w:rPr>
        <w:tab/>
      </w:r>
      <w:r>
        <w:rPr>
          <w:highlight w:val="none"/>
        </w:rPr>
        <w:fldChar w:fldCharType="begin"/>
      </w:r>
      <w:r>
        <w:rPr>
          <w:highlight w:val="none"/>
        </w:rPr>
        <w:instrText xml:space="preserve"> PAGEREF _Toc16986 \h </w:instrText>
      </w:r>
      <w:r>
        <w:rPr>
          <w:highlight w:val="none"/>
        </w:rPr>
        <w:fldChar w:fldCharType="separate"/>
      </w:r>
      <w:r>
        <w:rPr>
          <w:highlight w:val="none"/>
        </w:rPr>
        <w:t>13</w:t>
      </w:r>
      <w:r>
        <w:rPr>
          <w:highlight w:val="none"/>
        </w:rPr>
        <w:fldChar w:fldCharType="end"/>
      </w:r>
      <w:r>
        <w:rPr>
          <w:rFonts w:hint="eastAsia" w:ascii="仿宋" w:hAnsi="仿宋" w:eastAsia="仿宋" w:cs="仿宋"/>
          <w:color w:val="auto"/>
          <w:highlight w:val="none"/>
        </w:rPr>
        <w:fldChar w:fldCharType="end"/>
      </w:r>
    </w:p>
    <w:p w14:paraId="2D4C74D3">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_Toc14229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29.中标通知书</w:t>
      </w:r>
      <w:r>
        <w:rPr>
          <w:highlight w:val="none"/>
        </w:rPr>
        <w:tab/>
      </w:r>
      <w:r>
        <w:rPr>
          <w:highlight w:val="none"/>
        </w:rPr>
        <w:fldChar w:fldCharType="begin"/>
      </w:r>
      <w:r>
        <w:rPr>
          <w:highlight w:val="none"/>
        </w:rPr>
        <w:instrText xml:space="preserve"> PAGEREF _Toc14229 \h </w:instrText>
      </w:r>
      <w:r>
        <w:rPr>
          <w:highlight w:val="none"/>
        </w:rPr>
        <w:fldChar w:fldCharType="separate"/>
      </w:r>
      <w:r>
        <w:rPr>
          <w:highlight w:val="none"/>
        </w:rPr>
        <w:t>13</w:t>
      </w:r>
      <w:r>
        <w:rPr>
          <w:highlight w:val="none"/>
        </w:rPr>
        <w:fldChar w:fldCharType="end"/>
      </w:r>
      <w:r>
        <w:rPr>
          <w:rFonts w:hint="eastAsia" w:ascii="仿宋" w:hAnsi="仿宋" w:eastAsia="仿宋" w:cs="仿宋"/>
          <w:color w:val="auto"/>
          <w:highlight w:val="none"/>
        </w:rPr>
        <w:fldChar w:fldCharType="end"/>
      </w:r>
    </w:p>
    <w:p w14:paraId="6930139B">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_Toc10386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30.签订合同</w:t>
      </w:r>
      <w:r>
        <w:rPr>
          <w:highlight w:val="none"/>
        </w:rPr>
        <w:tab/>
      </w:r>
      <w:r>
        <w:rPr>
          <w:highlight w:val="none"/>
        </w:rPr>
        <w:fldChar w:fldCharType="begin"/>
      </w:r>
      <w:r>
        <w:rPr>
          <w:highlight w:val="none"/>
        </w:rPr>
        <w:instrText xml:space="preserve"> PAGEREF _Toc10386 \h </w:instrText>
      </w:r>
      <w:r>
        <w:rPr>
          <w:highlight w:val="none"/>
        </w:rPr>
        <w:fldChar w:fldCharType="separate"/>
      </w:r>
      <w:r>
        <w:rPr>
          <w:highlight w:val="none"/>
        </w:rPr>
        <w:t>13</w:t>
      </w:r>
      <w:r>
        <w:rPr>
          <w:highlight w:val="none"/>
        </w:rPr>
        <w:fldChar w:fldCharType="end"/>
      </w:r>
      <w:r>
        <w:rPr>
          <w:rFonts w:hint="eastAsia" w:ascii="仿宋" w:hAnsi="仿宋" w:eastAsia="仿宋" w:cs="仿宋"/>
          <w:color w:val="auto"/>
          <w:highlight w:val="none"/>
        </w:rPr>
        <w:fldChar w:fldCharType="end"/>
      </w:r>
    </w:p>
    <w:p w14:paraId="2DB9815F">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_Toc23806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31.履约保证金</w:t>
      </w:r>
      <w:r>
        <w:rPr>
          <w:highlight w:val="none"/>
        </w:rPr>
        <w:tab/>
      </w:r>
      <w:r>
        <w:rPr>
          <w:highlight w:val="none"/>
        </w:rPr>
        <w:fldChar w:fldCharType="begin"/>
      </w:r>
      <w:r>
        <w:rPr>
          <w:highlight w:val="none"/>
        </w:rPr>
        <w:instrText xml:space="preserve"> PAGEREF _Toc23806 \h </w:instrText>
      </w:r>
      <w:r>
        <w:rPr>
          <w:highlight w:val="none"/>
        </w:rPr>
        <w:fldChar w:fldCharType="separate"/>
      </w:r>
      <w:r>
        <w:rPr>
          <w:highlight w:val="none"/>
        </w:rPr>
        <w:t>13</w:t>
      </w:r>
      <w:r>
        <w:rPr>
          <w:highlight w:val="none"/>
        </w:rPr>
        <w:fldChar w:fldCharType="end"/>
      </w:r>
      <w:r>
        <w:rPr>
          <w:rFonts w:hint="eastAsia" w:ascii="仿宋" w:hAnsi="仿宋" w:eastAsia="仿宋" w:cs="仿宋"/>
          <w:color w:val="auto"/>
          <w:highlight w:val="none"/>
        </w:rPr>
        <w:fldChar w:fldCharType="end"/>
      </w:r>
    </w:p>
    <w:p w14:paraId="7BB22989">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_Toc32069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32.中标服务费</w:t>
      </w:r>
      <w:r>
        <w:rPr>
          <w:highlight w:val="none"/>
        </w:rPr>
        <w:tab/>
      </w:r>
      <w:r>
        <w:rPr>
          <w:highlight w:val="none"/>
        </w:rPr>
        <w:fldChar w:fldCharType="begin"/>
      </w:r>
      <w:r>
        <w:rPr>
          <w:highlight w:val="none"/>
        </w:rPr>
        <w:instrText xml:space="preserve"> PAGEREF _Toc32069 \h </w:instrText>
      </w:r>
      <w:r>
        <w:rPr>
          <w:highlight w:val="none"/>
        </w:rPr>
        <w:fldChar w:fldCharType="separate"/>
      </w:r>
      <w:r>
        <w:rPr>
          <w:highlight w:val="none"/>
        </w:rPr>
        <w:t>13</w:t>
      </w:r>
      <w:r>
        <w:rPr>
          <w:highlight w:val="none"/>
        </w:rPr>
        <w:fldChar w:fldCharType="end"/>
      </w:r>
      <w:r>
        <w:rPr>
          <w:rFonts w:hint="eastAsia" w:ascii="仿宋" w:hAnsi="仿宋" w:eastAsia="仿宋" w:cs="仿宋"/>
          <w:color w:val="auto"/>
          <w:highlight w:val="none"/>
        </w:rPr>
        <w:fldChar w:fldCharType="end"/>
      </w:r>
    </w:p>
    <w:p w14:paraId="3B9C4E64">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_Toc10427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33.政府采购信用担保</w:t>
      </w:r>
      <w:r>
        <w:rPr>
          <w:highlight w:val="none"/>
        </w:rPr>
        <w:tab/>
      </w:r>
      <w:r>
        <w:rPr>
          <w:highlight w:val="none"/>
        </w:rPr>
        <w:fldChar w:fldCharType="begin"/>
      </w:r>
      <w:r>
        <w:rPr>
          <w:highlight w:val="none"/>
        </w:rPr>
        <w:instrText xml:space="preserve"> PAGEREF _Toc10427 \h </w:instrText>
      </w:r>
      <w:r>
        <w:rPr>
          <w:highlight w:val="none"/>
        </w:rPr>
        <w:fldChar w:fldCharType="separate"/>
      </w:r>
      <w:r>
        <w:rPr>
          <w:highlight w:val="none"/>
        </w:rPr>
        <w:t>13</w:t>
      </w:r>
      <w:r>
        <w:rPr>
          <w:highlight w:val="none"/>
        </w:rPr>
        <w:fldChar w:fldCharType="end"/>
      </w:r>
      <w:r>
        <w:rPr>
          <w:rFonts w:hint="eastAsia" w:ascii="仿宋" w:hAnsi="仿宋" w:eastAsia="仿宋" w:cs="仿宋"/>
          <w:color w:val="auto"/>
          <w:highlight w:val="none"/>
        </w:rPr>
        <w:fldChar w:fldCharType="end"/>
      </w:r>
    </w:p>
    <w:p w14:paraId="578425F8">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_Toc29352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34.廉洁自律规定</w:t>
      </w:r>
      <w:r>
        <w:rPr>
          <w:highlight w:val="none"/>
        </w:rPr>
        <w:tab/>
      </w:r>
      <w:r>
        <w:rPr>
          <w:highlight w:val="none"/>
        </w:rPr>
        <w:fldChar w:fldCharType="begin"/>
      </w:r>
      <w:r>
        <w:rPr>
          <w:highlight w:val="none"/>
        </w:rPr>
        <w:instrText xml:space="preserve"> PAGEREF _Toc29352 \h </w:instrText>
      </w:r>
      <w:r>
        <w:rPr>
          <w:highlight w:val="none"/>
        </w:rPr>
        <w:fldChar w:fldCharType="separate"/>
      </w:r>
      <w:r>
        <w:rPr>
          <w:highlight w:val="none"/>
        </w:rPr>
        <w:t>14</w:t>
      </w:r>
      <w:r>
        <w:rPr>
          <w:highlight w:val="none"/>
        </w:rPr>
        <w:fldChar w:fldCharType="end"/>
      </w:r>
      <w:r>
        <w:rPr>
          <w:rFonts w:hint="eastAsia" w:ascii="仿宋" w:hAnsi="仿宋" w:eastAsia="仿宋" w:cs="仿宋"/>
          <w:color w:val="auto"/>
          <w:highlight w:val="none"/>
        </w:rPr>
        <w:fldChar w:fldCharType="end"/>
      </w:r>
    </w:p>
    <w:p w14:paraId="0BA75DAC">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_Toc7266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35.人员回避</w:t>
      </w:r>
      <w:r>
        <w:rPr>
          <w:highlight w:val="none"/>
        </w:rPr>
        <w:tab/>
      </w:r>
      <w:r>
        <w:rPr>
          <w:highlight w:val="none"/>
        </w:rPr>
        <w:fldChar w:fldCharType="begin"/>
      </w:r>
      <w:r>
        <w:rPr>
          <w:highlight w:val="none"/>
        </w:rPr>
        <w:instrText xml:space="preserve"> PAGEREF _Toc7266 \h </w:instrText>
      </w:r>
      <w:r>
        <w:rPr>
          <w:highlight w:val="none"/>
        </w:rPr>
        <w:fldChar w:fldCharType="separate"/>
      </w:r>
      <w:r>
        <w:rPr>
          <w:highlight w:val="none"/>
        </w:rPr>
        <w:t>14</w:t>
      </w:r>
      <w:r>
        <w:rPr>
          <w:highlight w:val="none"/>
        </w:rPr>
        <w:fldChar w:fldCharType="end"/>
      </w:r>
      <w:r>
        <w:rPr>
          <w:rFonts w:hint="eastAsia" w:ascii="仿宋" w:hAnsi="仿宋" w:eastAsia="仿宋" w:cs="仿宋"/>
          <w:color w:val="auto"/>
          <w:highlight w:val="none"/>
        </w:rPr>
        <w:fldChar w:fldCharType="end"/>
      </w:r>
    </w:p>
    <w:p w14:paraId="1B3BF7EC">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_Toc870 </w:instrText>
      </w:r>
      <w:r>
        <w:rPr>
          <w:rFonts w:hint="eastAsia" w:ascii="仿宋" w:hAnsi="仿宋" w:eastAsia="仿宋" w:cs="仿宋"/>
          <w:highlight w:val="none"/>
        </w:rPr>
        <w:fldChar w:fldCharType="separate"/>
      </w:r>
      <w:r>
        <w:rPr>
          <w:rFonts w:hint="eastAsia" w:ascii="仿宋" w:hAnsi="仿宋" w:eastAsia="仿宋" w:cs="仿宋"/>
          <w:szCs w:val="24"/>
          <w:highlight w:val="none"/>
          <w:lang w:eastAsia="zh-CN"/>
        </w:rPr>
        <w:t>36.质疑与接收</w:t>
      </w:r>
      <w:r>
        <w:rPr>
          <w:highlight w:val="none"/>
        </w:rPr>
        <w:tab/>
      </w:r>
      <w:r>
        <w:rPr>
          <w:highlight w:val="none"/>
        </w:rPr>
        <w:fldChar w:fldCharType="begin"/>
      </w:r>
      <w:r>
        <w:rPr>
          <w:highlight w:val="none"/>
        </w:rPr>
        <w:instrText xml:space="preserve"> PAGEREF _Toc870 \h </w:instrText>
      </w:r>
      <w:r>
        <w:rPr>
          <w:highlight w:val="none"/>
        </w:rPr>
        <w:fldChar w:fldCharType="separate"/>
      </w:r>
      <w:r>
        <w:rPr>
          <w:highlight w:val="none"/>
        </w:rPr>
        <w:t>14</w:t>
      </w:r>
      <w:r>
        <w:rPr>
          <w:highlight w:val="none"/>
        </w:rPr>
        <w:fldChar w:fldCharType="end"/>
      </w:r>
      <w:r>
        <w:rPr>
          <w:rFonts w:hint="eastAsia" w:ascii="仿宋" w:hAnsi="仿宋" w:eastAsia="仿宋" w:cs="仿宋"/>
          <w:color w:val="auto"/>
          <w:highlight w:val="none"/>
        </w:rPr>
        <w:fldChar w:fldCharType="end"/>
      </w:r>
    </w:p>
    <w:p w14:paraId="7E7292F9">
      <w:pPr>
        <w:pStyle w:val="16"/>
        <w:tabs>
          <w:tab w:val="right" w:leader="dot" w:pos="9786"/>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_Toc29106 </w:instrText>
      </w:r>
      <w:r>
        <w:rPr>
          <w:rFonts w:hint="eastAsia" w:ascii="仿宋" w:hAnsi="仿宋" w:eastAsia="仿宋" w:cs="仿宋"/>
          <w:highlight w:val="none"/>
        </w:rPr>
        <w:fldChar w:fldCharType="separate"/>
      </w:r>
      <w:r>
        <w:rPr>
          <w:rFonts w:hint="eastAsia" w:ascii="仿宋" w:hAnsi="仿宋" w:eastAsia="仿宋" w:cs="仿宋"/>
          <w:kern w:val="0"/>
          <w:szCs w:val="44"/>
          <w:highlight w:val="none"/>
          <w:lang w:eastAsia="zh-CN"/>
        </w:rPr>
        <w:t>第二章</w:t>
      </w:r>
      <w:r>
        <w:rPr>
          <w:rFonts w:hint="eastAsia" w:ascii="仿宋" w:hAnsi="仿宋" w:eastAsia="仿宋" w:cs="仿宋"/>
          <w:szCs w:val="44"/>
          <w:highlight w:val="none"/>
          <w:lang w:eastAsia="zh-CN"/>
        </w:rPr>
        <w:t xml:space="preserve">  投标文件格式</w:t>
      </w:r>
      <w:r>
        <w:rPr>
          <w:highlight w:val="none"/>
        </w:rPr>
        <w:tab/>
      </w:r>
      <w:r>
        <w:rPr>
          <w:highlight w:val="none"/>
        </w:rPr>
        <w:fldChar w:fldCharType="begin"/>
      </w:r>
      <w:r>
        <w:rPr>
          <w:highlight w:val="none"/>
        </w:rPr>
        <w:instrText xml:space="preserve"> PAGEREF _Toc29106 \h </w:instrText>
      </w:r>
      <w:r>
        <w:rPr>
          <w:highlight w:val="none"/>
        </w:rPr>
        <w:fldChar w:fldCharType="separate"/>
      </w:r>
      <w:r>
        <w:rPr>
          <w:highlight w:val="none"/>
        </w:rPr>
        <w:t>21</w:t>
      </w:r>
      <w:r>
        <w:rPr>
          <w:highlight w:val="none"/>
        </w:rPr>
        <w:fldChar w:fldCharType="end"/>
      </w:r>
      <w:r>
        <w:rPr>
          <w:rFonts w:hint="eastAsia" w:ascii="仿宋" w:hAnsi="仿宋" w:eastAsia="仿宋" w:cs="仿宋"/>
          <w:color w:val="auto"/>
          <w:highlight w:val="none"/>
        </w:rPr>
        <w:fldChar w:fldCharType="end"/>
      </w:r>
    </w:p>
    <w:p w14:paraId="2486E722">
      <w:pPr>
        <w:pStyle w:val="19"/>
        <w:tabs>
          <w:tab w:val="right" w:leader="dot" w:pos="9786"/>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_Toc3323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第一部分 开标一览表及资格证明文件</w:t>
      </w:r>
      <w:r>
        <w:rPr>
          <w:highlight w:val="none"/>
        </w:rPr>
        <w:tab/>
      </w:r>
      <w:r>
        <w:rPr>
          <w:highlight w:val="none"/>
        </w:rPr>
        <w:fldChar w:fldCharType="begin"/>
      </w:r>
      <w:r>
        <w:rPr>
          <w:highlight w:val="none"/>
        </w:rPr>
        <w:instrText xml:space="preserve"> PAGEREF _Toc3323 \h </w:instrText>
      </w:r>
      <w:r>
        <w:rPr>
          <w:highlight w:val="none"/>
        </w:rPr>
        <w:fldChar w:fldCharType="separate"/>
      </w:r>
      <w:r>
        <w:rPr>
          <w:highlight w:val="none"/>
        </w:rPr>
        <w:t>21</w:t>
      </w:r>
      <w:r>
        <w:rPr>
          <w:highlight w:val="none"/>
        </w:rPr>
        <w:fldChar w:fldCharType="end"/>
      </w:r>
      <w:r>
        <w:rPr>
          <w:rFonts w:hint="eastAsia" w:ascii="仿宋" w:hAnsi="仿宋" w:eastAsia="仿宋" w:cs="仿宋"/>
          <w:color w:val="auto"/>
          <w:highlight w:val="none"/>
        </w:rPr>
        <w:fldChar w:fldCharType="end"/>
      </w:r>
    </w:p>
    <w:p w14:paraId="2753D69F">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_Toc22537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1</w:t>
      </w:r>
      <w:r>
        <w:rPr>
          <w:rFonts w:hint="eastAsia" w:ascii="仿宋" w:hAnsi="仿宋" w:eastAsia="仿宋" w:cs="仿宋"/>
          <w:highlight w:val="none"/>
          <w:lang w:eastAsia="zh-CN"/>
        </w:rPr>
        <w:t xml:space="preserve">  法人或者非法人组织的营业执照等证明文件</w:t>
      </w:r>
      <w:r>
        <w:rPr>
          <w:highlight w:val="none"/>
        </w:rPr>
        <w:tab/>
      </w:r>
      <w:r>
        <w:rPr>
          <w:highlight w:val="none"/>
        </w:rPr>
        <w:fldChar w:fldCharType="begin"/>
      </w:r>
      <w:r>
        <w:rPr>
          <w:highlight w:val="none"/>
        </w:rPr>
        <w:instrText xml:space="preserve"> PAGEREF _Toc22537 \h </w:instrText>
      </w:r>
      <w:r>
        <w:rPr>
          <w:highlight w:val="none"/>
        </w:rPr>
        <w:fldChar w:fldCharType="separate"/>
      </w:r>
      <w:r>
        <w:rPr>
          <w:highlight w:val="none"/>
        </w:rPr>
        <w:t>22</w:t>
      </w:r>
      <w:r>
        <w:rPr>
          <w:highlight w:val="none"/>
        </w:rPr>
        <w:fldChar w:fldCharType="end"/>
      </w:r>
      <w:r>
        <w:rPr>
          <w:rFonts w:hint="eastAsia" w:ascii="仿宋" w:hAnsi="仿宋" w:eastAsia="仿宋" w:cs="仿宋"/>
          <w:color w:val="auto"/>
          <w:highlight w:val="none"/>
        </w:rPr>
        <w:fldChar w:fldCharType="end"/>
      </w:r>
    </w:p>
    <w:p w14:paraId="546FA797">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_Toc29141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2  法人身份证明或法人授权委托书</w:t>
      </w:r>
      <w:r>
        <w:rPr>
          <w:highlight w:val="none"/>
        </w:rPr>
        <w:tab/>
      </w:r>
      <w:r>
        <w:rPr>
          <w:highlight w:val="none"/>
        </w:rPr>
        <w:fldChar w:fldCharType="begin"/>
      </w:r>
      <w:r>
        <w:rPr>
          <w:highlight w:val="none"/>
        </w:rPr>
        <w:instrText xml:space="preserve"> PAGEREF _Toc29141 \h </w:instrText>
      </w:r>
      <w:r>
        <w:rPr>
          <w:highlight w:val="none"/>
        </w:rPr>
        <w:fldChar w:fldCharType="separate"/>
      </w:r>
      <w:r>
        <w:rPr>
          <w:highlight w:val="none"/>
        </w:rPr>
        <w:t>22</w:t>
      </w:r>
      <w:r>
        <w:rPr>
          <w:highlight w:val="none"/>
        </w:rPr>
        <w:fldChar w:fldCharType="end"/>
      </w:r>
      <w:r>
        <w:rPr>
          <w:rFonts w:hint="eastAsia" w:ascii="仿宋" w:hAnsi="仿宋" w:eastAsia="仿宋" w:cs="仿宋"/>
          <w:color w:val="auto"/>
          <w:highlight w:val="none"/>
        </w:rPr>
        <w:fldChar w:fldCharType="end"/>
      </w:r>
    </w:p>
    <w:p w14:paraId="3E2C0C4F">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_Toc32382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3</w:t>
      </w:r>
      <w:r>
        <w:rPr>
          <w:rFonts w:hint="eastAsia" w:ascii="仿宋" w:hAnsi="仿宋" w:eastAsia="仿宋" w:cs="仿宋"/>
          <w:highlight w:val="none"/>
          <w:lang w:eastAsia="zh-CN"/>
        </w:rPr>
        <w:t xml:space="preserve">  投标保证金缴纳凭证复印件或银行保函复印件</w:t>
      </w:r>
      <w:r>
        <w:rPr>
          <w:highlight w:val="none"/>
        </w:rPr>
        <w:tab/>
      </w:r>
      <w:r>
        <w:rPr>
          <w:highlight w:val="none"/>
        </w:rPr>
        <w:fldChar w:fldCharType="begin"/>
      </w:r>
      <w:r>
        <w:rPr>
          <w:highlight w:val="none"/>
        </w:rPr>
        <w:instrText xml:space="preserve"> PAGEREF _Toc32382 \h </w:instrText>
      </w:r>
      <w:r>
        <w:rPr>
          <w:highlight w:val="none"/>
        </w:rPr>
        <w:fldChar w:fldCharType="separate"/>
      </w:r>
      <w:r>
        <w:rPr>
          <w:highlight w:val="none"/>
        </w:rPr>
        <w:t>24</w:t>
      </w:r>
      <w:r>
        <w:rPr>
          <w:highlight w:val="none"/>
        </w:rPr>
        <w:fldChar w:fldCharType="end"/>
      </w:r>
      <w:r>
        <w:rPr>
          <w:rFonts w:hint="eastAsia" w:ascii="仿宋" w:hAnsi="仿宋" w:eastAsia="仿宋" w:cs="仿宋"/>
          <w:color w:val="auto"/>
          <w:highlight w:val="none"/>
        </w:rPr>
        <w:fldChar w:fldCharType="end"/>
      </w:r>
    </w:p>
    <w:p w14:paraId="22D75B84">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_Toc10632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4</w:t>
      </w:r>
      <w:r>
        <w:rPr>
          <w:rFonts w:hint="eastAsia" w:ascii="仿宋" w:hAnsi="仿宋" w:eastAsia="仿宋" w:cs="仿宋"/>
          <w:highlight w:val="none"/>
          <w:lang w:eastAsia="zh-CN"/>
        </w:rPr>
        <w:t xml:space="preserve">  投标企业依法缴纳近</w:t>
      </w:r>
      <w:r>
        <w:rPr>
          <w:rFonts w:hint="eastAsia" w:ascii="仿宋" w:hAnsi="仿宋" w:eastAsia="仿宋" w:cs="仿宋"/>
          <w:highlight w:val="none"/>
          <w:lang w:val="en-US" w:eastAsia="zh-CN"/>
        </w:rPr>
        <w:t>3</w:t>
      </w:r>
      <w:r>
        <w:rPr>
          <w:rFonts w:hint="eastAsia" w:ascii="仿宋" w:hAnsi="仿宋" w:eastAsia="仿宋" w:cs="仿宋"/>
          <w:highlight w:val="none"/>
          <w:lang w:eastAsia="zh-CN"/>
        </w:rPr>
        <w:t>个月任意一个月社会保险的凭据</w:t>
      </w:r>
      <w:r>
        <w:rPr>
          <w:highlight w:val="none"/>
        </w:rPr>
        <w:tab/>
      </w:r>
      <w:r>
        <w:rPr>
          <w:highlight w:val="none"/>
        </w:rPr>
        <w:fldChar w:fldCharType="begin"/>
      </w:r>
      <w:r>
        <w:rPr>
          <w:highlight w:val="none"/>
        </w:rPr>
        <w:instrText xml:space="preserve"> PAGEREF _Toc10632 \h </w:instrText>
      </w:r>
      <w:r>
        <w:rPr>
          <w:highlight w:val="none"/>
        </w:rPr>
        <w:fldChar w:fldCharType="separate"/>
      </w:r>
      <w:r>
        <w:rPr>
          <w:highlight w:val="none"/>
        </w:rPr>
        <w:t>24</w:t>
      </w:r>
      <w:r>
        <w:rPr>
          <w:highlight w:val="none"/>
        </w:rPr>
        <w:fldChar w:fldCharType="end"/>
      </w:r>
      <w:r>
        <w:rPr>
          <w:rFonts w:hint="eastAsia" w:ascii="仿宋" w:hAnsi="仿宋" w:eastAsia="仿宋" w:cs="仿宋"/>
          <w:color w:val="auto"/>
          <w:highlight w:val="none"/>
        </w:rPr>
        <w:fldChar w:fldCharType="end"/>
      </w:r>
    </w:p>
    <w:p w14:paraId="0AA34B3E">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_Toc22473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5</w:t>
      </w:r>
      <w:r>
        <w:rPr>
          <w:rFonts w:hint="eastAsia" w:ascii="仿宋" w:hAnsi="仿宋" w:eastAsia="仿宋" w:cs="仿宋"/>
          <w:highlight w:val="none"/>
          <w:lang w:eastAsia="zh-CN"/>
        </w:rPr>
        <w:t xml:space="preserve">  投标企业提供税务部门出具的近</w:t>
      </w:r>
      <w:r>
        <w:rPr>
          <w:rFonts w:hint="eastAsia" w:ascii="仿宋" w:hAnsi="仿宋" w:eastAsia="仿宋" w:cs="仿宋"/>
          <w:highlight w:val="none"/>
          <w:lang w:val="en-US" w:eastAsia="zh-CN"/>
        </w:rPr>
        <w:t>3</w:t>
      </w:r>
      <w:r>
        <w:rPr>
          <w:rFonts w:hint="eastAsia" w:ascii="仿宋" w:hAnsi="仿宋" w:eastAsia="仿宋" w:cs="仿宋"/>
          <w:highlight w:val="none"/>
          <w:lang w:eastAsia="zh-CN"/>
        </w:rPr>
        <w:t>个月任意一个月的完税证明</w:t>
      </w:r>
      <w:r>
        <w:rPr>
          <w:highlight w:val="none"/>
        </w:rPr>
        <w:tab/>
      </w:r>
      <w:r>
        <w:rPr>
          <w:highlight w:val="none"/>
        </w:rPr>
        <w:fldChar w:fldCharType="begin"/>
      </w:r>
      <w:r>
        <w:rPr>
          <w:highlight w:val="none"/>
        </w:rPr>
        <w:instrText xml:space="preserve"> PAGEREF _Toc22473 \h </w:instrText>
      </w:r>
      <w:r>
        <w:rPr>
          <w:highlight w:val="none"/>
        </w:rPr>
        <w:fldChar w:fldCharType="separate"/>
      </w:r>
      <w:r>
        <w:rPr>
          <w:highlight w:val="none"/>
        </w:rPr>
        <w:t>24</w:t>
      </w:r>
      <w:r>
        <w:rPr>
          <w:highlight w:val="none"/>
        </w:rPr>
        <w:fldChar w:fldCharType="end"/>
      </w:r>
      <w:r>
        <w:rPr>
          <w:rFonts w:hint="eastAsia" w:ascii="仿宋" w:hAnsi="仿宋" w:eastAsia="仿宋" w:cs="仿宋"/>
          <w:color w:val="auto"/>
          <w:highlight w:val="none"/>
        </w:rPr>
        <w:fldChar w:fldCharType="end"/>
      </w:r>
    </w:p>
    <w:p w14:paraId="117CCD50">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_Toc6041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 xml:space="preserve">6  </w:t>
      </w:r>
      <w:r>
        <w:rPr>
          <w:rFonts w:hint="eastAsia" w:ascii="仿宋" w:hAnsi="仿宋" w:eastAsia="仿宋" w:cs="仿宋"/>
          <w:highlight w:val="none"/>
          <w:lang w:eastAsia="zh-CN"/>
        </w:rPr>
        <w:t>近两年任意一年完整的财务审计报告（新成立公司提供开标前三个月内任意一个月有效银行资信证明）</w:t>
      </w:r>
      <w:r>
        <w:rPr>
          <w:highlight w:val="none"/>
        </w:rPr>
        <w:tab/>
      </w:r>
      <w:r>
        <w:rPr>
          <w:highlight w:val="none"/>
        </w:rPr>
        <w:fldChar w:fldCharType="begin"/>
      </w:r>
      <w:r>
        <w:rPr>
          <w:highlight w:val="none"/>
        </w:rPr>
        <w:instrText xml:space="preserve"> PAGEREF _Toc6041 \h </w:instrText>
      </w:r>
      <w:r>
        <w:rPr>
          <w:highlight w:val="none"/>
        </w:rPr>
        <w:fldChar w:fldCharType="separate"/>
      </w:r>
      <w:r>
        <w:rPr>
          <w:highlight w:val="none"/>
        </w:rPr>
        <w:t>24</w:t>
      </w:r>
      <w:r>
        <w:rPr>
          <w:highlight w:val="none"/>
        </w:rPr>
        <w:fldChar w:fldCharType="end"/>
      </w:r>
      <w:r>
        <w:rPr>
          <w:rFonts w:hint="eastAsia" w:ascii="仿宋" w:hAnsi="仿宋" w:eastAsia="仿宋" w:cs="仿宋"/>
          <w:color w:val="auto"/>
          <w:highlight w:val="none"/>
        </w:rPr>
        <w:fldChar w:fldCharType="end"/>
      </w:r>
    </w:p>
    <w:p w14:paraId="34321F0C">
      <w:pPr>
        <w:pStyle w:val="19"/>
        <w:tabs>
          <w:tab w:val="right" w:leader="dot" w:pos="9786"/>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_Toc11868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第二部分</w:t>
      </w:r>
      <w:r>
        <w:rPr>
          <w:rFonts w:hint="eastAsia" w:ascii="仿宋" w:hAnsi="仿宋" w:eastAsia="仿宋" w:cs="仿宋"/>
          <w:szCs w:val="24"/>
          <w:highlight w:val="none"/>
          <w:lang w:eastAsia="zh-CN"/>
        </w:rPr>
        <w:t xml:space="preserve"> 商务及技术文件</w:t>
      </w:r>
      <w:r>
        <w:rPr>
          <w:highlight w:val="none"/>
        </w:rPr>
        <w:tab/>
      </w:r>
      <w:r>
        <w:rPr>
          <w:highlight w:val="none"/>
        </w:rPr>
        <w:fldChar w:fldCharType="begin"/>
      </w:r>
      <w:r>
        <w:rPr>
          <w:highlight w:val="none"/>
        </w:rPr>
        <w:instrText xml:space="preserve"> PAGEREF _Toc11868 \h </w:instrText>
      </w:r>
      <w:r>
        <w:rPr>
          <w:highlight w:val="none"/>
        </w:rPr>
        <w:fldChar w:fldCharType="separate"/>
      </w:r>
      <w:r>
        <w:rPr>
          <w:highlight w:val="none"/>
        </w:rPr>
        <w:t>25</w:t>
      </w:r>
      <w:r>
        <w:rPr>
          <w:highlight w:val="none"/>
        </w:rPr>
        <w:fldChar w:fldCharType="end"/>
      </w:r>
      <w:r>
        <w:rPr>
          <w:rFonts w:hint="eastAsia" w:ascii="仿宋" w:hAnsi="仿宋" w:eastAsia="仿宋" w:cs="仿宋"/>
          <w:color w:val="auto"/>
          <w:highlight w:val="none"/>
        </w:rPr>
        <w:fldChar w:fldCharType="end"/>
      </w:r>
    </w:p>
    <w:p w14:paraId="585FDBC4">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_Toc1452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1  投标书</w:t>
      </w:r>
      <w:r>
        <w:rPr>
          <w:highlight w:val="none"/>
        </w:rPr>
        <w:tab/>
      </w:r>
      <w:r>
        <w:rPr>
          <w:highlight w:val="none"/>
        </w:rPr>
        <w:fldChar w:fldCharType="begin"/>
      </w:r>
      <w:r>
        <w:rPr>
          <w:highlight w:val="none"/>
        </w:rPr>
        <w:instrText xml:space="preserve"> PAGEREF _Toc1452 \h </w:instrText>
      </w:r>
      <w:r>
        <w:rPr>
          <w:highlight w:val="none"/>
        </w:rPr>
        <w:fldChar w:fldCharType="separate"/>
      </w:r>
      <w:r>
        <w:rPr>
          <w:highlight w:val="none"/>
        </w:rPr>
        <w:t>26</w:t>
      </w:r>
      <w:r>
        <w:rPr>
          <w:highlight w:val="none"/>
        </w:rPr>
        <w:fldChar w:fldCharType="end"/>
      </w:r>
      <w:r>
        <w:rPr>
          <w:rFonts w:hint="eastAsia" w:ascii="仿宋" w:hAnsi="仿宋" w:eastAsia="仿宋" w:cs="仿宋"/>
          <w:color w:val="auto"/>
          <w:highlight w:val="none"/>
        </w:rPr>
        <w:fldChar w:fldCharType="end"/>
      </w:r>
    </w:p>
    <w:p w14:paraId="6D29B2A8">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_Toc4701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2</w:t>
      </w:r>
      <w:r>
        <w:rPr>
          <w:rFonts w:hint="eastAsia" w:ascii="仿宋" w:hAnsi="仿宋" w:eastAsia="仿宋" w:cs="仿宋"/>
          <w:highlight w:val="none"/>
          <w:lang w:eastAsia="zh-CN"/>
        </w:rPr>
        <w:t xml:space="preserve">  开标一览表</w:t>
      </w:r>
      <w:r>
        <w:rPr>
          <w:highlight w:val="none"/>
        </w:rPr>
        <w:tab/>
      </w:r>
      <w:r>
        <w:rPr>
          <w:highlight w:val="none"/>
        </w:rPr>
        <w:fldChar w:fldCharType="begin"/>
      </w:r>
      <w:r>
        <w:rPr>
          <w:highlight w:val="none"/>
        </w:rPr>
        <w:instrText xml:space="preserve"> PAGEREF _Toc4701 \h </w:instrText>
      </w:r>
      <w:r>
        <w:rPr>
          <w:highlight w:val="none"/>
        </w:rPr>
        <w:fldChar w:fldCharType="separate"/>
      </w:r>
      <w:r>
        <w:rPr>
          <w:highlight w:val="none"/>
        </w:rPr>
        <w:t>27</w:t>
      </w:r>
      <w:r>
        <w:rPr>
          <w:highlight w:val="none"/>
        </w:rPr>
        <w:fldChar w:fldCharType="end"/>
      </w:r>
      <w:r>
        <w:rPr>
          <w:rFonts w:hint="eastAsia" w:ascii="仿宋" w:hAnsi="仿宋" w:eastAsia="仿宋" w:cs="仿宋"/>
          <w:color w:val="auto"/>
          <w:highlight w:val="none"/>
        </w:rPr>
        <w:fldChar w:fldCharType="end"/>
      </w:r>
    </w:p>
    <w:p w14:paraId="5BD41179">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_Toc17435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3</w:t>
      </w:r>
      <w:r>
        <w:rPr>
          <w:rFonts w:hint="eastAsia" w:ascii="仿宋" w:hAnsi="仿宋" w:eastAsia="仿宋" w:cs="仿宋"/>
          <w:highlight w:val="none"/>
          <w:lang w:eastAsia="zh-CN"/>
        </w:rPr>
        <w:t xml:space="preserve">  投标分项报价表</w:t>
      </w:r>
      <w:r>
        <w:rPr>
          <w:highlight w:val="none"/>
        </w:rPr>
        <w:tab/>
      </w:r>
      <w:r>
        <w:rPr>
          <w:highlight w:val="none"/>
        </w:rPr>
        <w:fldChar w:fldCharType="begin"/>
      </w:r>
      <w:r>
        <w:rPr>
          <w:highlight w:val="none"/>
        </w:rPr>
        <w:instrText xml:space="preserve"> PAGEREF _Toc17435 \h </w:instrText>
      </w:r>
      <w:r>
        <w:rPr>
          <w:highlight w:val="none"/>
        </w:rPr>
        <w:fldChar w:fldCharType="separate"/>
      </w:r>
      <w:r>
        <w:rPr>
          <w:highlight w:val="none"/>
        </w:rPr>
        <w:t>28</w:t>
      </w:r>
      <w:r>
        <w:rPr>
          <w:highlight w:val="none"/>
        </w:rPr>
        <w:fldChar w:fldCharType="end"/>
      </w:r>
      <w:r>
        <w:rPr>
          <w:rFonts w:hint="eastAsia" w:ascii="仿宋" w:hAnsi="仿宋" w:eastAsia="仿宋" w:cs="仿宋"/>
          <w:color w:val="auto"/>
          <w:highlight w:val="none"/>
        </w:rPr>
        <w:fldChar w:fldCharType="end"/>
      </w:r>
    </w:p>
    <w:p w14:paraId="44AD7C98">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_Toc14433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4</w:t>
      </w:r>
      <w:r>
        <w:rPr>
          <w:rFonts w:hint="eastAsia" w:ascii="仿宋" w:hAnsi="仿宋" w:eastAsia="仿宋" w:cs="仿宋"/>
          <w:highlight w:val="none"/>
          <w:lang w:eastAsia="zh-CN"/>
        </w:rPr>
        <w:t xml:space="preserve"> 技术规格偏离表</w:t>
      </w:r>
      <w:r>
        <w:rPr>
          <w:highlight w:val="none"/>
        </w:rPr>
        <w:tab/>
      </w:r>
      <w:r>
        <w:rPr>
          <w:highlight w:val="none"/>
        </w:rPr>
        <w:fldChar w:fldCharType="begin"/>
      </w:r>
      <w:r>
        <w:rPr>
          <w:highlight w:val="none"/>
        </w:rPr>
        <w:instrText xml:space="preserve"> PAGEREF _Toc14433 \h </w:instrText>
      </w:r>
      <w:r>
        <w:rPr>
          <w:highlight w:val="none"/>
        </w:rPr>
        <w:fldChar w:fldCharType="separate"/>
      </w:r>
      <w:r>
        <w:rPr>
          <w:highlight w:val="none"/>
        </w:rPr>
        <w:t>29</w:t>
      </w:r>
      <w:r>
        <w:rPr>
          <w:highlight w:val="none"/>
        </w:rPr>
        <w:fldChar w:fldCharType="end"/>
      </w:r>
      <w:r>
        <w:rPr>
          <w:rFonts w:hint="eastAsia" w:ascii="仿宋" w:hAnsi="仿宋" w:eastAsia="仿宋" w:cs="仿宋"/>
          <w:color w:val="auto"/>
          <w:highlight w:val="none"/>
        </w:rPr>
        <w:fldChar w:fldCharType="end"/>
      </w:r>
    </w:p>
    <w:p w14:paraId="0F217C98">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_Toc19514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5</w:t>
      </w:r>
      <w:r>
        <w:rPr>
          <w:rFonts w:hint="eastAsia" w:ascii="仿宋" w:hAnsi="仿宋" w:eastAsia="仿宋" w:cs="仿宋"/>
          <w:highlight w:val="none"/>
          <w:lang w:eastAsia="zh-CN"/>
        </w:rPr>
        <w:t xml:space="preserve"> 商务条款偏离表</w:t>
      </w:r>
      <w:r>
        <w:rPr>
          <w:highlight w:val="none"/>
        </w:rPr>
        <w:tab/>
      </w:r>
      <w:r>
        <w:rPr>
          <w:highlight w:val="none"/>
        </w:rPr>
        <w:fldChar w:fldCharType="begin"/>
      </w:r>
      <w:r>
        <w:rPr>
          <w:highlight w:val="none"/>
        </w:rPr>
        <w:instrText xml:space="preserve"> PAGEREF _Toc19514 \h </w:instrText>
      </w:r>
      <w:r>
        <w:rPr>
          <w:highlight w:val="none"/>
        </w:rPr>
        <w:fldChar w:fldCharType="separate"/>
      </w:r>
      <w:r>
        <w:rPr>
          <w:highlight w:val="none"/>
        </w:rPr>
        <w:t>30</w:t>
      </w:r>
      <w:r>
        <w:rPr>
          <w:highlight w:val="none"/>
        </w:rPr>
        <w:fldChar w:fldCharType="end"/>
      </w:r>
      <w:r>
        <w:rPr>
          <w:rFonts w:hint="eastAsia" w:ascii="仿宋" w:hAnsi="仿宋" w:eastAsia="仿宋" w:cs="仿宋"/>
          <w:color w:val="auto"/>
          <w:highlight w:val="none"/>
        </w:rPr>
        <w:fldChar w:fldCharType="end"/>
      </w:r>
    </w:p>
    <w:p w14:paraId="7DF0EF36">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_Toc22301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6-1 中小企业声明函</w:t>
      </w:r>
      <w:r>
        <w:rPr>
          <w:rFonts w:hint="eastAsia" w:ascii="仿宋" w:hAnsi="仿宋" w:eastAsia="仿宋" w:cs="仿宋"/>
          <w:color w:val="0000FF"/>
          <w:highlight w:val="none"/>
          <w:lang w:val="en-US" w:eastAsia="zh-CN"/>
        </w:rPr>
        <w:t>（货物）</w:t>
      </w:r>
      <w:r>
        <w:rPr>
          <w:highlight w:val="none"/>
        </w:rPr>
        <w:tab/>
      </w:r>
      <w:r>
        <w:rPr>
          <w:highlight w:val="none"/>
        </w:rPr>
        <w:fldChar w:fldCharType="begin"/>
      </w:r>
      <w:r>
        <w:rPr>
          <w:highlight w:val="none"/>
        </w:rPr>
        <w:instrText xml:space="preserve"> PAGEREF _Toc22301 \h </w:instrText>
      </w:r>
      <w:r>
        <w:rPr>
          <w:highlight w:val="none"/>
        </w:rPr>
        <w:fldChar w:fldCharType="separate"/>
      </w:r>
      <w:r>
        <w:rPr>
          <w:highlight w:val="none"/>
        </w:rPr>
        <w:t>31</w:t>
      </w:r>
      <w:r>
        <w:rPr>
          <w:highlight w:val="none"/>
        </w:rPr>
        <w:fldChar w:fldCharType="end"/>
      </w:r>
      <w:r>
        <w:rPr>
          <w:rFonts w:hint="eastAsia" w:ascii="仿宋" w:hAnsi="仿宋" w:eastAsia="仿宋" w:cs="仿宋"/>
          <w:color w:val="auto"/>
          <w:highlight w:val="none"/>
        </w:rPr>
        <w:fldChar w:fldCharType="end"/>
      </w:r>
    </w:p>
    <w:p w14:paraId="244ADC2F">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_Toc23003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6</w:t>
      </w:r>
      <w:r>
        <w:rPr>
          <w:rFonts w:hint="eastAsia" w:ascii="仿宋" w:hAnsi="仿宋" w:eastAsia="仿宋" w:cs="仿宋"/>
          <w:highlight w:val="none"/>
          <w:lang w:eastAsia="zh-CN"/>
        </w:rPr>
        <w:t>-2 残疾人福利性单位声明函（若无，可不填）</w:t>
      </w:r>
      <w:r>
        <w:rPr>
          <w:highlight w:val="none"/>
        </w:rPr>
        <w:tab/>
      </w:r>
      <w:r>
        <w:rPr>
          <w:highlight w:val="none"/>
        </w:rPr>
        <w:fldChar w:fldCharType="begin"/>
      </w:r>
      <w:r>
        <w:rPr>
          <w:highlight w:val="none"/>
        </w:rPr>
        <w:instrText xml:space="preserve"> PAGEREF _Toc23003 \h </w:instrText>
      </w:r>
      <w:r>
        <w:rPr>
          <w:highlight w:val="none"/>
        </w:rPr>
        <w:fldChar w:fldCharType="separate"/>
      </w:r>
      <w:r>
        <w:rPr>
          <w:highlight w:val="none"/>
        </w:rPr>
        <w:t>34</w:t>
      </w:r>
      <w:r>
        <w:rPr>
          <w:highlight w:val="none"/>
        </w:rPr>
        <w:fldChar w:fldCharType="end"/>
      </w:r>
      <w:r>
        <w:rPr>
          <w:rFonts w:hint="eastAsia" w:ascii="仿宋" w:hAnsi="仿宋" w:eastAsia="仿宋" w:cs="仿宋"/>
          <w:color w:val="auto"/>
          <w:highlight w:val="none"/>
        </w:rPr>
        <w:fldChar w:fldCharType="end"/>
      </w:r>
    </w:p>
    <w:p w14:paraId="1E318318">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_Toc17247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6</w:t>
      </w:r>
      <w:r>
        <w:rPr>
          <w:rFonts w:hint="eastAsia" w:ascii="仿宋" w:hAnsi="仿宋" w:eastAsia="仿宋" w:cs="仿宋"/>
          <w:highlight w:val="none"/>
          <w:lang w:eastAsia="zh-CN"/>
        </w:rPr>
        <w:t>-3</w:t>
      </w:r>
      <w:r>
        <w:rPr>
          <w:rFonts w:hint="eastAsia" w:ascii="仿宋" w:hAnsi="仿宋" w:eastAsia="仿宋" w:cs="仿宋"/>
          <w:highlight w:val="none"/>
          <w:lang w:val="en-US" w:eastAsia="zh-CN"/>
        </w:rPr>
        <w:t xml:space="preserve"> </w:t>
      </w:r>
      <w:r>
        <w:rPr>
          <w:rFonts w:hint="eastAsia" w:ascii="仿宋" w:hAnsi="仿宋" w:eastAsia="仿宋" w:cs="仿宋"/>
          <w:highlight w:val="none"/>
          <w:lang w:eastAsia="zh-CN"/>
        </w:rPr>
        <w:t>监狱企业声明函（若无，可不填）</w:t>
      </w:r>
      <w:r>
        <w:rPr>
          <w:highlight w:val="none"/>
        </w:rPr>
        <w:tab/>
      </w:r>
      <w:r>
        <w:rPr>
          <w:highlight w:val="none"/>
        </w:rPr>
        <w:fldChar w:fldCharType="begin"/>
      </w:r>
      <w:r>
        <w:rPr>
          <w:highlight w:val="none"/>
        </w:rPr>
        <w:instrText xml:space="preserve"> PAGEREF _Toc17247 \h </w:instrText>
      </w:r>
      <w:r>
        <w:rPr>
          <w:highlight w:val="none"/>
        </w:rPr>
        <w:fldChar w:fldCharType="separate"/>
      </w:r>
      <w:r>
        <w:rPr>
          <w:highlight w:val="none"/>
        </w:rPr>
        <w:t>34</w:t>
      </w:r>
      <w:r>
        <w:rPr>
          <w:highlight w:val="none"/>
        </w:rPr>
        <w:fldChar w:fldCharType="end"/>
      </w:r>
      <w:r>
        <w:rPr>
          <w:rFonts w:hint="eastAsia" w:ascii="仿宋" w:hAnsi="仿宋" w:eastAsia="仿宋" w:cs="仿宋"/>
          <w:color w:val="auto"/>
          <w:highlight w:val="none"/>
        </w:rPr>
        <w:fldChar w:fldCharType="end"/>
      </w:r>
    </w:p>
    <w:p w14:paraId="15FC39E3">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_Toc24012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6-4 节能、环境标志产品（若本项目采购内容中无以下清单货物，可不填）</w:t>
      </w:r>
      <w:r>
        <w:rPr>
          <w:highlight w:val="none"/>
        </w:rPr>
        <w:tab/>
      </w:r>
      <w:r>
        <w:rPr>
          <w:highlight w:val="none"/>
        </w:rPr>
        <w:fldChar w:fldCharType="begin"/>
      </w:r>
      <w:r>
        <w:rPr>
          <w:highlight w:val="none"/>
        </w:rPr>
        <w:instrText xml:space="preserve"> PAGEREF _Toc24012 \h </w:instrText>
      </w:r>
      <w:r>
        <w:rPr>
          <w:highlight w:val="none"/>
        </w:rPr>
        <w:fldChar w:fldCharType="separate"/>
      </w:r>
      <w:r>
        <w:rPr>
          <w:highlight w:val="none"/>
        </w:rPr>
        <w:t>35</w:t>
      </w:r>
      <w:r>
        <w:rPr>
          <w:highlight w:val="none"/>
        </w:rPr>
        <w:fldChar w:fldCharType="end"/>
      </w:r>
      <w:r>
        <w:rPr>
          <w:rFonts w:hint="eastAsia" w:ascii="仿宋" w:hAnsi="仿宋" w:eastAsia="仿宋" w:cs="仿宋"/>
          <w:color w:val="auto"/>
          <w:highlight w:val="none"/>
        </w:rPr>
        <w:fldChar w:fldCharType="end"/>
      </w:r>
    </w:p>
    <w:p w14:paraId="4CC2EB01">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_Toc17677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7</w:t>
      </w:r>
      <w:r>
        <w:rPr>
          <w:rFonts w:hint="eastAsia" w:ascii="仿宋" w:hAnsi="仿宋" w:eastAsia="仿宋" w:cs="仿宋"/>
          <w:highlight w:val="none"/>
          <w:lang w:eastAsia="zh-CN"/>
        </w:rPr>
        <w:t xml:space="preserve"> 投标文件还应包括第五章、综合评分表的所有技术文件</w:t>
      </w:r>
      <w:r>
        <w:rPr>
          <w:highlight w:val="none"/>
        </w:rPr>
        <w:tab/>
      </w:r>
      <w:r>
        <w:rPr>
          <w:highlight w:val="none"/>
        </w:rPr>
        <w:fldChar w:fldCharType="begin"/>
      </w:r>
      <w:r>
        <w:rPr>
          <w:highlight w:val="none"/>
        </w:rPr>
        <w:instrText xml:space="preserve"> PAGEREF _Toc17677 \h </w:instrText>
      </w:r>
      <w:r>
        <w:rPr>
          <w:highlight w:val="none"/>
        </w:rPr>
        <w:fldChar w:fldCharType="separate"/>
      </w:r>
      <w:r>
        <w:rPr>
          <w:highlight w:val="none"/>
        </w:rPr>
        <w:t>36</w:t>
      </w:r>
      <w:r>
        <w:rPr>
          <w:highlight w:val="none"/>
        </w:rPr>
        <w:fldChar w:fldCharType="end"/>
      </w:r>
      <w:r>
        <w:rPr>
          <w:rFonts w:hint="eastAsia" w:ascii="仿宋" w:hAnsi="仿宋" w:eastAsia="仿宋" w:cs="仿宋"/>
          <w:color w:val="auto"/>
          <w:highlight w:val="none"/>
        </w:rPr>
        <w:fldChar w:fldCharType="end"/>
      </w:r>
    </w:p>
    <w:p w14:paraId="5F19E61B">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_Toc31074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8</w:t>
      </w:r>
      <w:r>
        <w:rPr>
          <w:rFonts w:hint="eastAsia" w:ascii="仿宋" w:hAnsi="仿宋" w:eastAsia="仿宋" w:cs="仿宋"/>
          <w:highlight w:val="none"/>
          <w:lang w:eastAsia="zh-CN"/>
        </w:rPr>
        <w:t xml:space="preserve"> 投标人关联单位的说明</w:t>
      </w:r>
      <w:r>
        <w:rPr>
          <w:highlight w:val="none"/>
        </w:rPr>
        <w:tab/>
      </w:r>
      <w:r>
        <w:rPr>
          <w:highlight w:val="none"/>
        </w:rPr>
        <w:fldChar w:fldCharType="begin"/>
      </w:r>
      <w:r>
        <w:rPr>
          <w:highlight w:val="none"/>
        </w:rPr>
        <w:instrText xml:space="preserve"> PAGEREF _Toc31074 \h </w:instrText>
      </w:r>
      <w:r>
        <w:rPr>
          <w:highlight w:val="none"/>
        </w:rPr>
        <w:fldChar w:fldCharType="separate"/>
      </w:r>
      <w:r>
        <w:rPr>
          <w:highlight w:val="none"/>
        </w:rPr>
        <w:t>36</w:t>
      </w:r>
      <w:r>
        <w:rPr>
          <w:highlight w:val="none"/>
        </w:rPr>
        <w:fldChar w:fldCharType="end"/>
      </w:r>
      <w:r>
        <w:rPr>
          <w:rFonts w:hint="eastAsia" w:ascii="仿宋" w:hAnsi="仿宋" w:eastAsia="仿宋" w:cs="仿宋"/>
          <w:color w:val="auto"/>
          <w:highlight w:val="none"/>
        </w:rPr>
        <w:fldChar w:fldCharType="end"/>
      </w:r>
    </w:p>
    <w:p w14:paraId="0A9DB041">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_Toc13576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9</w:t>
      </w:r>
      <w:r>
        <w:rPr>
          <w:rFonts w:hint="eastAsia" w:ascii="仿宋" w:hAnsi="仿宋" w:eastAsia="仿宋" w:cs="仿宋"/>
          <w:highlight w:val="none"/>
          <w:lang w:eastAsia="zh-CN"/>
        </w:rPr>
        <w:t xml:space="preserve"> 其他有利于投标人的文件或证明材料</w:t>
      </w:r>
      <w:r>
        <w:rPr>
          <w:highlight w:val="none"/>
        </w:rPr>
        <w:tab/>
      </w:r>
      <w:r>
        <w:rPr>
          <w:highlight w:val="none"/>
        </w:rPr>
        <w:fldChar w:fldCharType="begin"/>
      </w:r>
      <w:r>
        <w:rPr>
          <w:highlight w:val="none"/>
        </w:rPr>
        <w:instrText xml:space="preserve"> PAGEREF _Toc13576 \h </w:instrText>
      </w:r>
      <w:r>
        <w:rPr>
          <w:highlight w:val="none"/>
        </w:rPr>
        <w:fldChar w:fldCharType="separate"/>
      </w:r>
      <w:r>
        <w:rPr>
          <w:highlight w:val="none"/>
        </w:rPr>
        <w:t>36</w:t>
      </w:r>
      <w:r>
        <w:rPr>
          <w:highlight w:val="none"/>
        </w:rPr>
        <w:fldChar w:fldCharType="end"/>
      </w:r>
      <w:r>
        <w:rPr>
          <w:rFonts w:hint="eastAsia" w:ascii="仿宋" w:hAnsi="仿宋" w:eastAsia="仿宋" w:cs="仿宋"/>
          <w:color w:val="auto"/>
          <w:highlight w:val="none"/>
        </w:rPr>
        <w:fldChar w:fldCharType="end"/>
      </w:r>
    </w:p>
    <w:p w14:paraId="309D7F52">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_Toc29526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10</w:t>
      </w:r>
      <w:r>
        <w:rPr>
          <w:rFonts w:hint="eastAsia" w:ascii="仿宋" w:hAnsi="仿宋" w:eastAsia="仿宋" w:cs="仿宋"/>
          <w:highlight w:val="none"/>
          <w:lang w:eastAsia="zh-CN"/>
        </w:rPr>
        <w:t xml:space="preserve"> 对本项目投标文件（响应文件）中资料真实性的承诺</w:t>
      </w:r>
      <w:r>
        <w:rPr>
          <w:highlight w:val="none"/>
        </w:rPr>
        <w:tab/>
      </w:r>
      <w:r>
        <w:rPr>
          <w:highlight w:val="none"/>
        </w:rPr>
        <w:fldChar w:fldCharType="begin"/>
      </w:r>
      <w:r>
        <w:rPr>
          <w:highlight w:val="none"/>
        </w:rPr>
        <w:instrText xml:space="preserve"> PAGEREF _Toc29526 \h </w:instrText>
      </w:r>
      <w:r>
        <w:rPr>
          <w:highlight w:val="none"/>
        </w:rPr>
        <w:fldChar w:fldCharType="separate"/>
      </w:r>
      <w:r>
        <w:rPr>
          <w:highlight w:val="none"/>
        </w:rPr>
        <w:t>36</w:t>
      </w:r>
      <w:r>
        <w:rPr>
          <w:highlight w:val="none"/>
        </w:rPr>
        <w:fldChar w:fldCharType="end"/>
      </w:r>
      <w:r>
        <w:rPr>
          <w:rFonts w:hint="eastAsia" w:ascii="仿宋" w:hAnsi="仿宋" w:eastAsia="仿宋" w:cs="仿宋"/>
          <w:color w:val="auto"/>
          <w:highlight w:val="none"/>
        </w:rPr>
        <w:fldChar w:fldCharType="end"/>
      </w:r>
    </w:p>
    <w:p w14:paraId="5C53FE4A">
      <w:pPr>
        <w:pStyle w:val="16"/>
        <w:tabs>
          <w:tab w:val="right" w:leader="dot" w:pos="9786"/>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_Toc13081 </w:instrText>
      </w:r>
      <w:r>
        <w:rPr>
          <w:rFonts w:hint="eastAsia" w:ascii="仿宋" w:hAnsi="仿宋" w:eastAsia="仿宋" w:cs="仿宋"/>
          <w:highlight w:val="none"/>
        </w:rPr>
        <w:fldChar w:fldCharType="separate"/>
      </w:r>
      <w:r>
        <w:rPr>
          <w:rFonts w:hint="eastAsia" w:ascii="仿宋" w:hAnsi="仿宋" w:eastAsia="仿宋" w:cs="仿宋"/>
          <w:szCs w:val="44"/>
          <w:highlight w:val="none"/>
          <w:lang w:eastAsia="zh-CN"/>
        </w:rPr>
        <w:t>第三章  投标邀请</w:t>
      </w:r>
      <w:r>
        <w:rPr>
          <w:highlight w:val="none"/>
        </w:rPr>
        <w:tab/>
      </w:r>
      <w:r>
        <w:rPr>
          <w:highlight w:val="none"/>
        </w:rPr>
        <w:fldChar w:fldCharType="begin"/>
      </w:r>
      <w:r>
        <w:rPr>
          <w:highlight w:val="none"/>
        </w:rPr>
        <w:instrText xml:space="preserve"> PAGEREF _Toc13081 \h </w:instrText>
      </w:r>
      <w:r>
        <w:rPr>
          <w:highlight w:val="none"/>
        </w:rPr>
        <w:fldChar w:fldCharType="separate"/>
      </w:r>
      <w:r>
        <w:rPr>
          <w:highlight w:val="none"/>
        </w:rPr>
        <w:t>38</w:t>
      </w:r>
      <w:r>
        <w:rPr>
          <w:highlight w:val="none"/>
        </w:rPr>
        <w:fldChar w:fldCharType="end"/>
      </w:r>
      <w:r>
        <w:rPr>
          <w:rFonts w:hint="eastAsia" w:ascii="仿宋" w:hAnsi="仿宋" w:eastAsia="仿宋" w:cs="仿宋"/>
          <w:color w:val="auto"/>
          <w:highlight w:val="none"/>
        </w:rPr>
        <w:fldChar w:fldCharType="end"/>
      </w:r>
    </w:p>
    <w:p w14:paraId="6E172F21">
      <w:pPr>
        <w:pStyle w:val="16"/>
        <w:tabs>
          <w:tab w:val="right" w:leader="dot" w:pos="9786"/>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_Toc22648 </w:instrText>
      </w:r>
      <w:r>
        <w:rPr>
          <w:rFonts w:hint="eastAsia" w:ascii="仿宋" w:hAnsi="仿宋" w:eastAsia="仿宋" w:cs="仿宋"/>
          <w:highlight w:val="none"/>
        </w:rPr>
        <w:fldChar w:fldCharType="separate"/>
      </w:r>
      <w:r>
        <w:rPr>
          <w:rFonts w:hint="eastAsia" w:ascii="仿宋" w:hAnsi="仿宋" w:eastAsia="仿宋" w:cs="仿宋"/>
          <w:szCs w:val="44"/>
          <w:highlight w:val="none"/>
          <w:lang w:eastAsia="zh-CN"/>
        </w:rPr>
        <w:t>第四章  投标人须知资料表</w:t>
      </w:r>
      <w:r>
        <w:rPr>
          <w:highlight w:val="none"/>
        </w:rPr>
        <w:tab/>
      </w:r>
      <w:r>
        <w:rPr>
          <w:highlight w:val="none"/>
        </w:rPr>
        <w:fldChar w:fldCharType="begin"/>
      </w:r>
      <w:r>
        <w:rPr>
          <w:highlight w:val="none"/>
        </w:rPr>
        <w:instrText xml:space="preserve"> PAGEREF _Toc22648 \h </w:instrText>
      </w:r>
      <w:r>
        <w:rPr>
          <w:highlight w:val="none"/>
        </w:rPr>
        <w:fldChar w:fldCharType="separate"/>
      </w:r>
      <w:r>
        <w:rPr>
          <w:highlight w:val="none"/>
        </w:rPr>
        <w:t>40</w:t>
      </w:r>
      <w:r>
        <w:rPr>
          <w:highlight w:val="none"/>
        </w:rPr>
        <w:fldChar w:fldCharType="end"/>
      </w:r>
      <w:r>
        <w:rPr>
          <w:rFonts w:hint="eastAsia" w:ascii="仿宋" w:hAnsi="仿宋" w:eastAsia="仿宋" w:cs="仿宋"/>
          <w:color w:val="auto"/>
          <w:highlight w:val="none"/>
        </w:rPr>
        <w:fldChar w:fldCharType="end"/>
      </w:r>
    </w:p>
    <w:p w14:paraId="24A77F14">
      <w:pPr>
        <w:pStyle w:val="16"/>
        <w:tabs>
          <w:tab w:val="right" w:leader="dot" w:pos="9786"/>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_Toc31830 </w:instrText>
      </w:r>
      <w:r>
        <w:rPr>
          <w:rFonts w:hint="eastAsia" w:ascii="仿宋" w:hAnsi="仿宋" w:eastAsia="仿宋" w:cs="仿宋"/>
          <w:highlight w:val="none"/>
        </w:rPr>
        <w:fldChar w:fldCharType="separate"/>
      </w:r>
      <w:r>
        <w:rPr>
          <w:rFonts w:hint="eastAsia" w:ascii="仿宋" w:hAnsi="仿宋" w:eastAsia="仿宋" w:cs="仿宋"/>
          <w:szCs w:val="44"/>
          <w:highlight w:val="none"/>
          <w:lang w:eastAsia="zh-CN"/>
        </w:rPr>
        <w:t>第五章  货物需求一览表及技术规格</w:t>
      </w:r>
      <w:r>
        <w:rPr>
          <w:highlight w:val="none"/>
        </w:rPr>
        <w:tab/>
      </w:r>
      <w:r>
        <w:rPr>
          <w:highlight w:val="none"/>
        </w:rPr>
        <w:fldChar w:fldCharType="begin"/>
      </w:r>
      <w:r>
        <w:rPr>
          <w:highlight w:val="none"/>
        </w:rPr>
        <w:instrText xml:space="preserve"> PAGEREF _Toc31830 \h </w:instrText>
      </w:r>
      <w:r>
        <w:rPr>
          <w:highlight w:val="none"/>
        </w:rPr>
        <w:fldChar w:fldCharType="separate"/>
      </w:r>
      <w:r>
        <w:rPr>
          <w:highlight w:val="none"/>
        </w:rPr>
        <w:t>43</w:t>
      </w:r>
      <w:r>
        <w:rPr>
          <w:highlight w:val="none"/>
        </w:rPr>
        <w:fldChar w:fldCharType="end"/>
      </w:r>
      <w:r>
        <w:rPr>
          <w:rFonts w:hint="eastAsia" w:ascii="仿宋" w:hAnsi="仿宋" w:eastAsia="仿宋" w:cs="仿宋"/>
          <w:color w:val="auto"/>
          <w:highlight w:val="none"/>
        </w:rPr>
        <w:fldChar w:fldCharType="end"/>
      </w:r>
    </w:p>
    <w:p w14:paraId="2368A065">
      <w:pPr>
        <w:pStyle w:val="16"/>
        <w:tabs>
          <w:tab w:val="right" w:leader="dot" w:pos="9786"/>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_Toc20225 </w:instrText>
      </w:r>
      <w:r>
        <w:rPr>
          <w:rFonts w:hint="eastAsia" w:ascii="仿宋" w:hAnsi="仿宋" w:eastAsia="仿宋" w:cs="仿宋"/>
          <w:highlight w:val="none"/>
        </w:rPr>
        <w:fldChar w:fldCharType="separate"/>
      </w:r>
      <w:r>
        <w:rPr>
          <w:rFonts w:hint="eastAsia" w:ascii="仿宋" w:hAnsi="仿宋" w:eastAsia="仿宋" w:cs="仿宋"/>
          <w:szCs w:val="44"/>
          <w:highlight w:val="none"/>
          <w:lang w:eastAsia="zh-CN"/>
        </w:rPr>
        <w:t>第六章  评标方法和标准</w:t>
      </w:r>
      <w:r>
        <w:rPr>
          <w:highlight w:val="none"/>
        </w:rPr>
        <w:tab/>
      </w:r>
      <w:r>
        <w:rPr>
          <w:highlight w:val="none"/>
        </w:rPr>
        <w:fldChar w:fldCharType="begin"/>
      </w:r>
      <w:r>
        <w:rPr>
          <w:highlight w:val="none"/>
        </w:rPr>
        <w:instrText xml:space="preserve"> PAGEREF _Toc20225 \h </w:instrText>
      </w:r>
      <w:r>
        <w:rPr>
          <w:highlight w:val="none"/>
        </w:rPr>
        <w:fldChar w:fldCharType="separate"/>
      </w:r>
      <w:r>
        <w:rPr>
          <w:highlight w:val="none"/>
        </w:rPr>
        <w:t>43</w:t>
      </w:r>
      <w:r>
        <w:rPr>
          <w:highlight w:val="none"/>
        </w:rPr>
        <w:fldChar w:fldCharType="end"/>
      </w:r>
      <w:r>
        <w:rPr>
          <w:rFonts w:hint="eastAsia" w:ascii="仿宋" w:hAnsi="仿宋" w:eastAsia="仿宋" w:cs="仿宋"/>
          <w:color w:val="auto"/>
          <w:highlight w:val="none"/>
        </w:rPr>
        <w:fldChar w:fldCharType="end"/>
      </w:r>
    </w:p>
    <w:p w14:paraId="5AACC936">
      <w:pPr>
        <w:pStyle w:val="16"/>
        <w:tabs>
          <w:tab w:val="right" w:leader="dot" w:pos="9786"/>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_Toc28063 </w:instrText>
      </w:r>
      <w:r>
        <w:rPr>
          <w:rFonts w:hint="eastAsia" w:ascii="仿宋" w:hAnsi="仿宋" w:eastAsia="仿宋" w:cs="仿宋"/>
          <w:highlight w:val="none"/>
        </w:rPr>
        <w:fldChar w:fldCharType="separate"/>
      </w:r>
      <w:r>
        <w:rPr>
          <w:rFonts w:hint="eastAsia" w:ascii="仿宋" w:hAnsi="仿宋" w:eastAsia="仿宋" w:cs="仿宋"/>
          <w:szCs w:val="44"/>
          <w:highlight w:val="none"/>
          <w:lang w:eastAsia="zh-CN"/>
        </w:rPr>
        <w:t>第七章  政府采购合同</w:t>
      </w:r>
      <w:r>
        <w:rPr>
          <w:highlight w:val="none"/>
        </w:rPr>
        <w:tab/>
      </w:r>
      <w:r>
        <w:rPr>
          <w:highlight w:val="none"/>
        </w:rPr>
        <w:fldChar w:fldCharType="begin"/>
      </w:r>
      <w:r>
        <w:rPr>
          <w:highlight w:val="none"/>
        </w:rPr>
        <w:instrText xml:space="preserve"> PAGEREF _Toc28063 \h </w:instrText>
      </w:r>
      <w:r>
        <w:rPr>
          <w:highlight w:val="none"/>
        </w:rPr>
        <w:fldChar w:fldCharType="separate"/>
      </w:r>
      <w:r>
        <w:rPr>
          <w:highlight w:val="none"/>
        </w:rPr>
        <w:t>77</w:t>
      </w:r>
      <w:r>
        <w:rPr>
          <w:highlight w:val="none"/>
        </w:rPr>
        <w:fldChar w:fldCharType="end"/>
      </w:r>
      <w:r>
        <w:rPr>
          <w:rFonts w:hint="eastAsia" w:ascii="仿宋" w:hAnsi="仿宋" w:eastAsia="仿宋" w:cs="仿宋"/>
          <w:color w:val="auto"/>
          <w:highlight w:val="none"/>
        </w:rPr>
        <w:fldChar w:fldCharType="end"/>
      </w:r>
    </w:p>
    <w:p w14:paraId="3412D111">
      <w:pPr>
        <w:pStyle w:val="17"/>
        <w:rPr>
          <w:rFonts w:hint="eastAsia" w:ascii="仿宋" w:hAnsi="仿宋" w:eastAsia="仿宋" w:cs="仿宋"/>
          <w:color w:val="auto"/>
          <w:sz w:val="44"/>
          <w:szCs w:val="44"/>
          <w:highlight w:val="none"/>
        </w:rPr>
      </w:pPr>
      <w:r>
        <w:rPr>
          <w:rFonts w:hint="eastAsia" w:ascii="仿宋" w:hAnsi="仿宋" w:eastAsia="仿宋" w:cs="仿宋"/>
          <w:color w:val="auto"/>
          <w:highlight w:val="none"/>
        </w:rPr>
        <w:fldChar w:fldCharType="end"/>
      </w:r>
      <w:bookmarkStart w:id="13" w:name="_Toc13803"/>
    </w:p>
    <w:p w14:paraId="4708C198">
      <w:pPr>
        <w:pStyle w:val="2"/>
        <w:tabs>
          <w:tab w:val="left" w:pos="0"/>
        </w:tabs>
        <w:spacing w:before="0" w:after="0" w:line="240" w:lineRule="atLeast"/>
        <w:jc w:val="both"/>
        <w:rPr>
          <w:rFonts w:hint="eastAsia" w:ascii="仿宋" w:hAnsi="仿宋" w:eastAsia="仿宋" w:cs="仿宋"/>
          <w:color w:val="auto"/>
          <w:kern w:val="0"/>
          <w:sz w:val="44"/>
          <w:szCs w:val="44"/>
          <w:highlight w:val="none"/>
        </w:rPr>
        <w:sectPr>
          <w:headerReference r:id="rId5" w:type="default"/>
          <w:footerReference r:id="rId6" w:type="default"/>
          <w:pgSz w:w="11906" w:h="16838"/>
          <w:pgMar w:top="1043" w:right="1060" w:bottom="1043" w:left="1060" w:header="851" w:footer="992" w:gutter="0"/>
          <w:pgNumType w:start="1"/>
          <w:cols w:space="720" w:num="1"/>
          <w:docGrid w:type="linesAndChars" w:linePitch="312" w:charSpace="0"/>
        </w:sectPr>
      </w:pPr>
      <w:bookmarkStart w:id="14" w:name="_Toc11726"/>
    </w:p>
    <w:bookmarkEnd w:id="13"/>
    <w:bookmarkEnd w:id="14"/>
    <w:p w14:paraId="26FD09A6">
      <w:pPr>
        <w:pStyle w:val="2"/>
        <w:tabs>
          <w:tab w:val="left" w:pos="0"/>
        </w:tabs>
        <w:spacing w:before="0" w:after="0" w:line="240" w:lineRule="atLeast"/>
        <w:rPr>
          <w:rFonts w:hint="eastAsia" w:ascii="仿宋" w:hAnsi="仿宋" w:eastAsia="仿宋" w:cs="仿宋"/>
          <w:b w:val="0"/>
          <w:color w:val="auto"/>
          <w:sz w:val="20"/>
          <w:highlight w:val="none"/>
          <w:lang w:eastAsia="zh-CN"/>
        </w:rPr>
      </w:pPr>
      <w:bookmarkStart w:id="15" w:name="_Toc25393"/>
      <w:bookmarkStart w:id="16" w:name="_Toc7794"/>
      <w:bookmarkStart w:id="17" w:name="_Toc23583"/>
      <w:bookmarkStart w:id="18" w:name="_Toc4823"/>
      <w:bookmarkStart w:id="19" w:name="_Toc27266"/>
      <w:bookmarkStart w:id="20" w:name="_Toc749"/>
      <w:bookmarkStart w:id="21" w:name="_Toc8923"/>
      <w:bookmarkStart w:id="22" w:name="_Toc7749"/>
      <w:r>
        <w:rPr>
          <w:rFonts w:hint="eastAsia" w:ascii="仿宋" w:hAnsi="仿宋" w:eastAsia="仿宋" w:cs="仿宋"/>
          <w:color w:val="auto"/>
          <w:kern w:val="0"/>
          <w:sz w:val="44"/>
          <w:szCs w:val="44"/>
          <w:highlight w:val="none"/>
          <w:lang w:eastAsia="zh-CN"/>
        </w:rPr>
        <w:t>第一章</w:t>
      </w:r>
      <w:bookmarkStart w:id="23" w:name="_Toc515647756"/>
      <w:r>
        <w:rPr>
          <w:rFonts w:hint="eastAsia" w:ascii="仿宋" w:hAnsi="仿宋" w:eastAsia="仿宋" w:cs="仿宋"/>
          <w:color w:val="auto"/>
          <w:sz w:val="44"/>
          <w:szCs w:val="44"/>
          <w:highlight w:val="none"/>
          <w:lang w:eastAsia="zh-CN"/>
        </w:rPr>
        <w:t>投标人须知</w:t>
      </w:r>
      <w:bookmarkEnd w:id="15"/>
      <w:bookmarkEnd w:id="16"/>
      <w:bookmarkEnd w:id="17"/>
      <w:bookmarkEnd w:id="18"/>
      <w:bookmarkEnd w:id="19"/>
      <w:bookmarkEnd w:id="20"/>
      <w:bookmarkEnd w:id="21"/>
      <w:bookmarkEnd w:id="22"/>
      <w:bookmarkEnd w:id="23"/>
    </w:p>
    <w:p w14:paraId="7560DCFD">
      <w:pPr>
        <w:pStyle w:val="3"/>
        <w:spacing w:before="0" w:line="240" w:lineRule="atLeast"/>
        <w:ind w:left="1079" w:leftChars="257" w:hanging="539"/>
        <w:rPr>
          <w:rFonts w:hint="eastAsia" w:ascii="仿宋" w:hAnsi="仿宋" w:eastAsia="仿宋" w:cs="仿宋"/>
          <w:b w:val="0"/>
          <w:color w:val="auto"/>
          <w:sz w:val="24"/>
          <w:highlight w:val="none"/>
          <w:lang w:eastAsia="zh-CN"/>
        </w:rPr>
      </w:pPr>
      <w:bookmarkStart w:id="24" w:name="_Toc520356143"/>
      <w:bookmarkStart w:id="25" w:name="_Toc515647757"/>
      <w:bookmarkStart w:id="26" w:name="_Toc216582805"/>
      <w:bookmarkStart w:id="27" w:name="_Toc18007"/>
      <w:bookmarkStart w:id="28" w:name="_Toc21015"/>
      <w:bookmarkStart w:id="29" w:name="_Toc27848"/>
      <w:bookmarkStart w:id="30" w:name="_Toc28131"/>
      <w:bookmarkStart w:id="31" w:name="_Toc24426"/>
      <w:bookmarkStart w:id="32" w:name="_Toc22145"/>
      <w:bookmarkStart w:id="33" w:name="_Toc13870"/>
      <w:bookmarkStart w:id="34" w:name="_Toc21215"/>
      <w:bookmarkStart w:id="35" w:name="_Toc17202"/>
      <w:bookmarkStart w:id="36" w:name="_Toc28279"/>
      <w:bookmarkStart w:id="37" w:name="_Toc28649"/>
      <w:bookmarkStart w:id="38" w:name="_Toc13562"/>
      <w:bookmarkStart w:id="39" w:name="_Toc1988"/>
      <w:r>
        <w:rPr>
          <w:rFonts w:hint="eastAsia" w:ascii="仿宋" w:hAnsi="仿宋" w:eastAsia="仿宋" w:cs="仿宋"/>
          <w:color w:val="auto"/>
          <w:sz w:val="28"/>
          <w:highlight w:val="none"/>
          <w:lang w:eastAsia="zh-CN"/>
        </w:rPr>
        <w:t>一</w:t>
      </w:r>
      <w:bookmarkEnd w:id="24"/>
      <w:bookmarkEnd w:id="25"/>
      <w:bookmarkEnd w:id="26"/>
      <w:r>
        <w:rPr>
          <w:rFonts w:hint="eastAsia" w:ascii="仿宋" w:hAnsi="仿宋" w:eastAsia="仿宋" w:cs="仿宋"/>
          <w:color w:val="auto"/>
          <w:sz w:val="28"/>
          <w:highlight w:val="none"/>
          <w:lang w:eastAsia="zh-CN"/>
        </w:rPr>
        <w:t xml:space="preserve"> 总 则</w:t>
      </w:r>
      <w:bookmarkEnd w:id="27"/>
      <w:bookmarkEnd w:id="28"/>
      <w:bookmarkEnd w:id="29"/>
      <w:bookmarkEnd w:id="30"/>
      <w:bookmarkEnd w:id="31"/>
      <w:bookmarkEnd w:id="32"/>
      <w:bookmarkEnd w:id="33"/>
      <w:bookmarkEnd w:id="34"/>
      <w:bookmarkEnd w:id="35"/>
      <w:bookmarkEnd w:id="36"/>
      <w:bookmarkEnd w:id="37"/>
      <w:bookmarkEnd w:id="38"/>
      <w:bookmarkEnd w:id="39"/>
    </w:p>
    <w:p w14:paraId="07411DA4">
      <w:pPr>
        <w:pStyle w:val="4"/>
        <w:spacing w:before="0" w:after="0" w:line="288" w:lineRule="auto"/>
        <w:rPr>
          <w:rFonts w:hint="eastAsia" w:ascii="仿宋" w:hAnsi="仿宋" w:eastAsia="仿宋" w:cs="仿宋"/>
          <w:color w:val="auto"/>
          <w:highlight w:val="none"/>
          <w:lang w:eastAsia="zh-CN"/>
        </w:rPr>
      </w:pPr>
      <w:bookmarkStart w:id="40" w:name="_Toc520356144"/>
      <w:bookmarkStart w:id="41" w:name="_Toc32189"/>
      <w:bookmarkStart w:id="42" w:name="_Toc19622"/>
      <w:bookmarkStart w:id="43" w:name="_Toc29428"/>
      <w:bookmarkStart w:id="44" w:name="_Toc17376"/>
      <w:bookmarkStart w:id="45" w:name="_Toc11245"/>
      <w:bookmarkStart w:id="46" w:name="_Toc6990"/>
      <w:bookmarkStart w:id="47" w:name="_Toc32623"/>
      <w:bookmarkStart w:id="48" w:name="_Toc20172"/>
      <w:bookmarkStart w:id="49" w:name="_Toc9357"/>
      <w:bookmarkStart w:id="50" w:name="_Toc5999"/>
      <w:bookmarkStart w:id="51" w:name="_Toc16352"/>
      <w:bookmarkStart w:id="52" w:name="_Toc568"/>
      <w:bookmarkStart w:id="53" w:name="_Toc515647758"/>
      <w:bookmarkStart w:id="54" w:name="_Toc14500"/>
      <w:r>
        <w:rPr>
          <w:rFonts w:hint="eastAsia" w:ascii="仿宋" w:hAnsi="仿宋" w:eastAsia="仿宋" w:cs="仿宋"/>
          <w:color w:val="auto"/>
          <w:highlight w:val="none"/>
          <w:lang w:eastAsia="zh-CN"/>
        </w:rPr>
        <w:t>1.采购人、采购代理机构及</w:t>
      </w:r>
      <w:bookmarkEnd w:id="40"/>
      <w:r>
        <w:rPr>
          <w:rFonts w:hint="eastAsia" w:ascii="仿宋" w:hAnsi="仿宋" w:eastAsia="仿宋" w:cs="仿宋"/>
          <w:color w:val="auto"/>
          <w:highlight w:val="none"/>
          <w:lang w:eastAsia="zh-CN"/>
        </w:rPr>
        <w:t>投标人</w:t>
      </w:r>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3B433D2">
      <w:pPr>
        <w:numPr>
          <w:ilvl w:val="1"/>
          <w:numId w:val="1"/>
        </w:numPr>
        <w:tabs>
          <w:tab w:val="left" w:pos="0"/>
        </w:tabs>
        <w:spacing w:line="288" w:lineRule="auto"/>
        <w:ind w:hanging="898"/>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采购人：是指依法开展政府采购活动的国家机关、事业单位、团体组织。</w:t>
      </w:r>
    </w:p>
    <w:p w14:paraId="52E3DB62">
      <w:pPr>
        <w:tabs>
          <w:tab w:val="left" w:pos="0"/>
        </w:tabs>
        <w:spacing w:line="288" w:lineRule="auto"/>
        <w:ind w:left="9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本项目的采购人见</w:t>
      </w:r>
      <w:r>
        <w:rPr>
          <w:rFonts w:hint="eastAsia" w:ascii="仿宋" w:hAnsi="仿宋" w:eastAsia="仿宋" w:cs="仿宋"/>
          <w:color w:val="auto"/>
          <w:sz w:val="24"/>
          <w:highlight w:val="none"/>
          <w:u w:val="single" w:color="000000"/>
          <w:lang w:eastAsia="zh-CN"/>
        </w:rPr>
        <w:t>投标人须知资料表</w:t>
      </w:r>
      <w:r>
        <w:rPr>
          <w:rFonts w:hint="eastAsia" w:ascii="仿宋" w:hAnsi="仿宋" w:eastAsia="仿宋" w:cs="仿宋"/>
          <w:color w:val="auto"/>
          <w:sz w:val="24"/>
          <w:highlight w:val="none"/>
          <w:lang w:eastAsia="zh-CN"/>
        </w:rPr>
        <w:t>。</w:t>
      </w:r>
    </w:p>
    <w:p w14:paraId="0CC63BBD">
      <w:pPr>
        <w:numPr>
          <w:ilvl w:val="1"/>
          <w:numId w:val="1"/>
        </w:numPr>
        <w:tabs>
          <w:tab w:val="left" w:pos="0"/>
        </w:tabs>
        <w:spacing w:line="288" w:lineRule="auto"/>
        <w:ind w:hanging="898"/>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采购代理机构：是指在集中采购机构或从事采购代理业务的社会中介机构。本项目的采购代理机构见</w:t>
      </w:r>
      <w:r>
        <w:rPr>
          <w:rFonts w:hint="eastAsia" w:ascii="仿宋" w:hAnsi="仿宋" w:eastAsia="仿宋" w:cs="仿宋"/>
          <w:color w:val="auto"/>
          <w:sz w:val="24"/>
          <w:highlight w:val="none"/>
          <w:u w:val="single" w:color="000000"/>
          <w:lang w:eastAsia="zh-CN"/>
        </w:rPr>
        <w:t>投标人须知资料表</w:t>
      </w:r>
      <w:r>
        <w:rPr>
          <w:rFonts w:hint="eastAsia" w:ascii="仿宋" w:hAnsi="仿宋" w:eastAsia="仿宋" w:cs="仿宋"/>
          <w:color w:val="auto"/>
          <w:sz w:val="24"/>
          <w:highlight w:val="none"/>
          <w:lang w:eastAsia="zh-CN"/>
        </w:rPr>
        <w:t>。</w:t>
      </w:r>
    </w:p>
    <w:p w14:paraId="70765020">
      <w:pPr>
        <w:numPr>
          <w:ilvl w:val="1"/>
          <w:numId w:val="1"/>
        </w:numPr>
        <w:spacing w:line="288" w:lineRule="auto"/>
        <w:ind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投标人：是指向采购人提供货物、工程或者服务的法人、非法人组织或者自然人。本项目的投标人及其投标货物须满足以下条件：</w:t>
      </w:r>
    </w:p>
    <w:p w14:paraId="45A9AC2F">
      <w:pPr>
        <w:spacing w:line="288" w:lineRule="auto"/>
        <w:ind w:left="850" w:hanging="849" w:hangingChars="354"/>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1.3.1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在中华人民共和国境内注册，能够独立承担民事责任，有生产或供应能力的本国供应商。</w:t>
      </w:r>
    </w:p>
    <w:p w14:paraId="3324B46C">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1.3.2  具备《中华人民共和国政府采购法》第二十二条关于供应商条件的规定，遵守本项目采购人本级和上级财政部门政府采购的有关规定。</w:t>
      </w:r>
    </w:p>
    <w:p w14:paraId="6E73A22E">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1.3.3   以采购代理机构认可的方式获得了本项目的招标文件。</w:t>
      </w:r>
    </w:p>
    <w:p w14:paraId="7A63A3EB">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1.3.4   提供符合</w:t>
      </w:r>
      <w:r>
        <w:rPr>
          <w:rFonts w:hint="eastAsia" w:ascii="仿宋" w:hAnsi="仿宋" w:eastAsia="仿宋" w:cs="仿宋"/>
          <w:color w:val="auto"/>
          <w:sz w:val="24"/>
          <w:highlight w:val="none"/>
          <w:u w:val="single" w:color="000000"/>
          <w:lang w:eastAsia="zh-CN"/>
        </w:rPr>
        <w:t>投标人须知资料表</w:t>
      </w:r>
      <w:r>
        <w:rPr>
          <w:rFonts w:hint="eastAsia" w:ascii="仿宋" w:hAnsi="仿宋" w:eastAsia="仿宋" w:cs="仿宋"/>
          <w:color w:val="auto"/>
          <w:sz w:val="24"/>
          <w:highlight w:val="none"/>
          <w:lang w:eastAsia="zh-CN"/>
        </w:rPr>
        <w:t>中规定的资格证明文件。</w:t>
      </w:r>
    </w:p>
    <w:p w14:paraId="20799F43">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1.3.5   若</w:t>
      </w:r>
      <w:r>
        <w:rPr>
          <w:rFonts w:hint="eastAsia" w:ascii="仿宋" w:hAnsi="仿宋" w:eastAsia="仿宋" w:cs="仿宋"/>
          <w:color w:val="auto"/>
          <w:sz w:val="24"/>
          <w:highlight w:val="none"/>
          <w:u w:val="single" w:color="000000"/>
          <w:lang w:eastAsia="zh-CN"/>
        </w:rPr>
        <w:t>投标人须知资料表</w:t>
      </w:r>
      <w:r>
        <w:rPr>
          <w:rFonts w:hint="eastAsia" w:ascii="仿宋" w:hAnsi="仿宋" w:eastAsia="仿宋" w:cs="仿宋"/>
          <w:color w:val="auto"/>
          <w:sz w:val="24"/>
          <w:highlight w:val="none"/>
          <w:lang w:eastAsia="zh-CN"/>
        </w:rPr>
        <w:t>中写明允许采购进口产品，投标人应保证所投产品可履行合法报通关手续进入中国关境内。</w:t>
      </w:r>
    </w:p>
    <w:p w14:paraId="304014EB">
      <w:pPr>
        <w:spacing w:line="288" w:lineRule="auto"/>
        <w:ind w:left="899" w:leftChars="428"/>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若</w:t>
      </w:r>
      <w:r>
        <w:rPr>
          <w:rFonts w:hint="eastAsia" w:ascii="仿宋" w:hAnsi="仿宋" w:eastAsia="仿宋" w:cs="仿宋"/>
          <w:color w:val="auto"/>
          <w:sz w:val="24"/>
          <w:highlight w:val="none"/>
          <w:u w:val="single" w:color="000000"/>
          <w:lang w:eastAsia="zh-CN"/>
        </w:rPr>
        <w:t>投标人须知资料表</w:t>
      </w:r>
      <w:r>
        <w:rPr>
          <w:rFonts w:hint="eastAsia" w:ascii="仿宋" w:hAnsi="仿宋" w:eastAsia="仿宋" w:cs="仿宋"/>
          <w:color w:val="auto"/>
          <w:sz w:val="24"/>
          <w:highlight w:val="none"/>
          <w:lang w:eastAsia="zh-CN"/>
        </w:rPr>
        <w:t>中未写明允许采购进口产品，如投标人所投产品为进口产品，其投标将被认定为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7620625D">
      <w:pPr>
        <w:spacing w:line="288" w:lineRule="auto"/>
        <w:ind w:left="840" w:hanging="840" w:hangingChars="3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1.3.6  若</w:t>
      </w:r>
      <w:r>
        <w:rPr>
          <w:rFonts w:hint="eastAsia" w:ascii="仿宋" w:hAnsi="仿宋" w:eastAsia="仿宋" w:cs="仿宋"/>
          <w:color w:val="auto"/>
          <w:sz w:val="24"/>
          <w:highlight w:val="none"/>
          <w:u w:val="single" w:color="000000"/>
          <w:lang w:eastAsia="zh-CN"/>
        </w:rPr>
        <w:t>投标人须知资料表</w:t>
      </w:r>
      <w:r>
        <w:rPr>
          <w:rFonts w:hint="eastAsia" w:ascii="仿宋" w:hAnsi="仿宋" w:eastAsia="仿宋" w:cs="仿宋"/>
          <w:color w:val="auto"/>
          <w:sz w:val="24"/>
          <w:highlight w:val="none"/>
          <w:lang w:eastAsia="zh-CN"/>
        </w:rPr>
        <w:t>中写明专门面向中小企业采购的，如投标人为非中小企业且所投产品为非中小企业产品，其投标将被认定为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78761656">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1.4     如</w:t>
      </w:r>
      <w:r>
        <w:rPr>
          <w:rFonts w:hint="eastAsia" w:ascii="仿宋" w:hAnsi="仿宋" w:eastAsia="仿宋" w:cs="仿宋"/>
          <w:color w:val="auto"/>
          <w:sz w:val="24"/>
          <w:highlight w:val="none"/>
          <w:u w:val="single" w:color="000000"/>
          <w:lang w:eastAsia="zh-CN"/>
        </w:rPr>
        <w:t>投标人须知资料表</w:t>
      </w:r>
      <w:r>
        <w:rPr>
          <w:rFonts w:hint="eastAsia" w:ascii="仿宋" w:hAnsi="仿宋" w:eastAsia="仿宋" w:cs="仿宋"/>
          <w:color w:val="auto"/>
          <w:sz w:val="24"/>
          <w:highlight w:val="none"/>
          <w:lang w:eastAsia="zh-CN"/>
        </w:rPr>
        <w:t>中允许联合体投标，对联合体规定如下：</w:t>
      </w:r>
    </w:p>
    <w:p w14:paraId="05261C52">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1.4.1   两个以上供应商可以组成一个投标联合体，以一个投标人的身份投标。</w:t>
      </w:r>
    </w:p>
    <w:p w14:paraId="093D557F">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1.4.2   联合体各方均应符合《中华人民共和国政府采购法》第二十二条规定的条件。</w:t>
      </w:r>
    </w:p>
    <w:p w14:paraId="2A371578">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1.4.3   采购人根据采购项目对投标人的特殊要求，联合体中至少应当有一方符合相关规定。</w:t>
      </w:r>
    </w:p>
    <w:p w14:paraId="490165B0">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1.4.4   联合体各方应签订共同投标协议，明确约定联合体各方承担的工作和相应的责任，并将共同投标协议连同作为投标文件第一部分的内容提交。</w:t>
      </w:r>
    </w:p>
    <w:p w14:paraId="02C28A18">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1.4.5   大中型企业、其他自然人、法人或者非法人组织与小型、微型企业组成联合体共同参加投标，共同投标协议中应写明小型、微型企业的协议合同金额占到共同投标协议投标总金额的比例。</w:t>
      </w:r>
    </w:p>
    <w:p w14:paraId="08C9B7C0">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1.4.6  联合体中有同类资质的供应商按照联合体分工承担相同工作的，按照较低的资质等级确定联合体的资质等级。</w:t>
      </w:r>
    </w:p>
    <w:p w14:paraId="1D78586E">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1.4.7  以联合体形式参加政府采购活动的，联合体各方不得再单独参加或者与其他供应商另外组成联合体参加本项目投标，否则相关投标将被认定为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05F059B5">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1.4.8   对联合体投标的其他资格要求见</w:t>
      </w:r>
      <w:r>
        <w:rPr>
          <w:rFonts w:hint="eastAsia" w:ascii="仿宋" w:hAnsi="仿宋" w:eastAsia="仿宋" w:cs="仿宋"/>
          <w:color w:val="auto"/>
          <w:sz w:val="24"/>
          <w:highlight w:val="none"/>
          <w:u w:val="single" w:color="000000"/>
          <w:lang w:eastAsia="zh-CN"/>
        </w:rPr>
        <w:t>投标人须知资料表</w:t>
      </w:r>
      <w:r>
        <w:rPr>
          <w:rFonts w:hint="eastAsia" w:ascii="仿宋" w:hAnsi="仿宋" w:eastAsia="仿宋" w:cs="仿宋"/>
          <w:color w:val="auto"/>
          <w:sz w:val="24"/>
          <w:highlight w:val="none"/>
          <w:lang w:eastAsia="zh-CN"/>
        </w:rPr>
        <w:t>。</w:t>
      </w:r>
    </w:p>
    <w:p w14:paraId="41790C4E">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1.5    单位负责人为同一人或者存在直接控股、管理关系的不同供应商，其相关投标将被认定为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6FBD0256">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1.6    为本项目提供过整体设计、规范编制或者项目管理、监理、检测等服务的供应商，不得再参加本项目上述服务以外的其他采购活动。否则其投标将被认定为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553AFEA8">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1.7</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投标人在投标过程中不得向采购人提供、给予任何有价值的物品，影响其正常决策行为。一经发现，其将被认定为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51E94479">
      <w:pPr>
        <w:pStyle w:val="4"/>
        <w:spacing w:before="0" w:after="0" w:line="288" w:lineRule="auto"/>
        <w:rPr>
          <w:rFonts w:hint="eastAsia" w:ascii="仿宋" w:hAnsi="仿宋" w:eastAsia="仿宋" w:cs="仿宋"/>
          <w:color w:val="auto"/>
          <w:highlight w:val="none"/>
          <w:lang w:eastAsia="zh-CN"/>
        </w:rPr>
      </w:pPr>
      <w:bookmarkStart w:id="55" w:name="_Toc17808"/>
      <w:bookmarkStart w:id="56" w:name="_Toc25043"/>
      <w:bookmarkStart w:id="57" w:name="_Toc21316"/>
      <w:bookmarkStart w:id="58" w:name="_Toc14117"/>
      <w:bookmarkStart w:id="59" w:name="_Toc8874"/>
      <w:bookmarkStart w:id="60" w:name="_Toc14658"/>
      <w:bookmarkStart w:id="61" w:name="_Toc4315"/>
      <w:bookmarkStart w:id="62" w:name="_Toc4322"/>
      <w:bookmarkStart w:id="63" w:name="_Toc21544"/>
      <w:bookmarkStart w:id="64" w:name="_Toc5286"/>
      <w:bookmarkStart w:id="65" w:name="_Toc515647759"/>
      <w:bookmarkStart w:id="66" w:name="_Toc12139"/>
      <w:bookmarkStart w:id="67" w:name="_Toc28178"/>
      <w:bookmarkStart w:id="68" w:name="_Toc7361"/>
      <w:r>
        <w:rPr>
          <w:rFonts w:hint="eastAsia" w:ascii="仿宋" w:hAnsi="仿宋" w:eastAsia="仿宋" w:cs="仿宋"/>
          <w:color w:val="auto"/>
          <w:highlight w:val="none"/>
          <w:lang w:eastAsia="zh-CN"/>
        </w:rPr>
        <w:t>2.资金来源</w:t>
      </w:r>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495437A6">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本项目的采购人已获得足以支付本次招标后所签订的合同项下的资金（包括财政性资金和本项目采购中无法与财政性资金分割的非财政性资金）。</w:t>
      </w:r>
    </w:p>
    <w:p w14:paraId="5A789836">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2.2    项目预算金额和分项或分包最高限价</w:t>
      </w:r>
      <w:r>
        <w:rPr>
          <w:rFonts w:hint="eastAsia" w:ascii="仿宋" w:hAnsi="仿宋" w:eastAsia="仿宋" w:cs="仿宋"/>
          <w:color w:val="auto"/>
          <w:sz w:val="24"/>
          <w:highlight w:val="none"/>
          <w:u w:val="single" w:color="000000"/>
          <w:lang w:eastAsia="zh-CN"/>
        </w:rPr>
        <w:t>见投标人须知资料表</w:t>
      </w:r>
      <w:r>
        <w:rPr>
          <w:rFonts w:hint="eastAsia" w:ascii="仿宋" w:hAnsi="仿宋" w:eastAsia="仿宋" w:cs="仿宋"/>
          <w:color w:val="auto"/>
          <w:sz w:val="24"/>
          <w:highlight w:val="none"/>
          <w:lang w:eastAsia="zh-CN"/>
        </w:rPr>
        <w:t>。</w:t>
      </w:r>
    </w:p>
    <w:p w14:paraId="421F9425">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2.3    投标人报价超过招标文件规定的预算金额或者分项、分包最高限价的，其投标将被认定为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11DC4931">
      <w:pPr>
        <w:pStyle w:val="4"/>
        <w:spacing w:before="0" w:after="0" w:line="288" w:lineRule="auto"/>
        <w:rPr>
          <w:rFonts w:hint="eastAsia" w:ascii="仿宋" w:hAnsi="仿宋" w:eastAsia="仿宋" w:cs="仿宋"/>
          <w:color w:val="auto"/>
          <w:highlight w:val="none"/>
          <w:lang w:eastAsia="zh-CN"/>
        </w:rPr>
      </w:pPr>
      <w:bookmarkStart w:id="69" w:name="_Toc20526"/>
      <w:bookmarkStart w:id="70" w:name="_Toc515647760"/>
      <w:bookmarkStart w:id="71" w:name="_Toc13235"/>
      <w:bookmarkStart w:id="72" w:name="_Toc20548"/>
      <w:bookmarkStart w:id="73" w:name="_Toc13828"/>
      <w:bookmarkStart w:id="74" w:name="_Toc520356145"/>
      <w:bookmarkStart w:id="75" w:name="_Toc26014"/>
      <w:bookmarkStart w:id="76" w:name="_Toc17722"/>
      <w:bookmarkStart w:id="77" w:name="_Toc15057"/>
      <w:bookmarkStart w:id="78" w:name="_Toc26702"/>
      <w:bookmarkStart w:id="79" w:name="_Toc12066"/>
      <w:bookmarkStart w:id="80" w:name="_Toc15936"/>
      <w:bookmarkStart w:id="81" w:name="_Toc25643"/>
      <w:bookmarkStart w:id="82" w:name="_Toc245"/>
      <w:bookmarkStart w:id="83" w:name="_Toc31923"/>
      <w:r>
        <w:rPr>
          <w:rFonts w:hint="eastAsia" w:ascii="仿宋" w:hAnsi="仿宋" w:eastAsia="仿宋" w:cs="仿宋"/>
          <w:color w:val="auto"/>
          <w:highlight w:val="none"/>
          <w:lang w:eastAsia="zh-CN"/>
        </w:rPr>
        <w:t>3.投标费用</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A7030EB">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不论投标的结果如何，投标人应承担所有与准备和参加投标有关的费用。</w:t>
      </w:r>
    </w:p>
    <w:p w14:paraId="56C9829D">
      <w:pPr>
        <w:pStyle w:val="4"/>
        <w:spacing w:before="0" w:after="0" w:line="288" w:lineRule="auto"/>
        <w:rPr>
          <w:rFonts w:hint="eastAsia" w:ascii="仿宋" w:hAnsi="仿宋" w:eastAsia="仿宋" w:cs="仿宋"/>
          <w:color w:val="auto"/>
          <w:highlight w:val="none"/>
          <w:lang w:eastAsia="zh-CN"/>
        </w:rPr>
      </w:pPr>
      <w:bookmarkStart w:id="84" w:name="_Toc20058"/>
      <w:bookmarkStart w:id="85" w:name="_Toc6116"/>
      <w:bookmarkStart w:id="86" w:name="_Toc25102"/>
      <w:bookmarkStart w:id="87" w:name="_Toc4463"/>
      <w:bookmarkStart w:id="88" w:name="_Toc5363"/>
      <w:bookmarkStart w:id="89" w:name="_Toc32665"/>
      <w:bookmarkStart w:id="90" w:name="_Toc24113"/>
      <w:bookmarkStart w:id="91" w:name="_Toc3354"/>
      <w:bookmarkStart w:id="92" w:name="_Toc18730"/>
      <w:bookmarkStart w:id="93" w:name="_Toc515647761"/>
      <w:bookmarkStart w:id="94" w:name="_Toc28041"/>
      <w:bookmarkStart w:id="95" w:name="_Toc22881"/>
      <w:bookmarkStart w:id="96" w:name="_Toc31798"/>
      <w:bookmarkStart w:id="97" w:name="_Toc3200"/>
      <w:r>
        <w:rPr>
          <w:rFonts w:hint="eastAsia" w:ascii="仿宋" w:hAnsi="仿宋" w:eastAsia="仿宋" w:cs="仿宋"/>
          <w:color w:val="auto"/>
          <w:highlight w:val="none"/>
          <w:lang w:eastAsia="zh-CN"/>
        </w:rPr>
        <w:t>4.适用法律</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49D5A933">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14:paraId="38EEF7D6">
      <w:pPr>
        <w:rPr>
          <w:rFonts w:hint="eastAsia" w:ascii="仿宋" w:hAnsi="仿宋" w:eastAsia="仿宋" w:cs="仿宋"/>
          <w:color w:val="auto"/>
          <w:highlight w:val="none"/>
          <w:lang w:eastAsia="zh-CN"/>
        </w:rPr>
      </w:pPr>
      <w:bookmarkStart w:id="98" w:name="_Toc4063"/>
      <w:bookmarkStart w:id="99" w:name="_Toc8117"/>
      <w:bookmarkStart w:id="100" w:name="_Toc4365"/>
      <w:bookmarkStart w:id="101" w:name="_Toc520356146"/>
      <w:bookmarkStart w:id="102" w:name="_Toc216582806"/>
      <w:bookmarkStart w:id="103" w:name="_Toc6944"/>
      <w:bookmarkStart w:id="104" w:name="_Toc30891"/>
      <w:bookmarkStart w:id="105" w:name="_Toc28572"/>
      <w:bookmarkStart w:id="106" w:name="_Toc21566"/>
      <w:bookmarkStart w:id="107" w:name="_Toc10643"/>
      <w:bookmarkStart w:id="108" w:name="_Toc515647762"/>
      <w:bookmarkStart w:id="109" w:name="_Toc1733"/>
      <w:bookmarkStart w:id="110" w:name="_Toc19184"/>
      <w:bookmarkStart w:id="111" w:name="_Toc17538"/>
    </w:p>
    <w:p w14:paraId="068BBF0C">
      <w:pPr>
        <w:pStyle w:val="3"/>
        <w:spacing w:before="0" w:line="288" w:lineRule="auto"/>
        <w:ind w:left="1080" w:leftChars="257" w:hanging="540"/>
        <w:rPr>
          <w:rFonts w:hint="eastAsia" w:ascii="仿宋" w:hAnsi="仿宋" w:eastAsia="仿宋" w:cs="仿宋"/>
          <w:color w:val="auto"/>
          <w:sz w:val="28"/>
          <w:highlight w:val="none"/>
          <w:lang w:eastAsia="zh-CN"/>
        </w:rPr>
      </w:pPr>
      <w:bookmarkStart w:id="112" w:name="_Toc5480"/>
      <w:r>
        <w:rPr>
          <w:rFonts w:hint="eastAsia" w:ascii="仿宋" w:hAnsi="仿宋" w:eastAsia="仿宋" w:cs="仿宋"/>
          <w:color w:val="auto"/>
          <w:sz w:val="28"/>
          <w:highlight w:val="none"/>
          <w:lang w:eastAsia="zh-CN"/>
        </w:rPr>
        <w:t>二 招标文件</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5115F689">
      <w:pPr>
        <w:pStyle w:val="5"/>
        <w:spacing w:line="288" w:lineRule="auto"/>
        <w:rPr>
          <w:rFonts w:hint="eastAsia" w:ascii="仿宋" w:hAnsi="仿宋" w:eastAsia="仿宋" w:cs="仿宋"/>
          <w:color w:val="auto"/>
          <w:highlight w:val="none"/>
          <w:lang w:eastAsia="zh-CN"/>
        </w:rPr>
      </w:pPr>
    </w:p>
    <w:p w14:paraId="3AF64858">
      <w:pPr>
        <w:pStyle w:val="4"/>
        <w:spacing w:before="0" w:after="0" w:line="288" w:lineRule="auto"/>
        <w:rPr>
          <w:rFonts w:hint="eastAsia" w:ascii="仿宋" w:hAnsi="仿宋" w:eastAsia="仿宋" w:cs="仿宋"/>
          <w:color w:val="auto"/>
          <w:highlight w:val="none"/>
          <w:lang w:eastAsia="zh-CN"/>
        </w:rPr>
      </w:pPr>
      <w:bookmarkStart w:id="113" w:name="_Toc14637"/>
      <w:bookmarkStart w:id="114" w:name="_Toc28647"/>
      <w:bookmarkStart w:id="115" w:name="_Toc481"/>
      <w:bookmarkStart w:id="116" w:name="_Toc17225"/>
      <w:bookmarkStart w:id="117" w:name="_Toc5326"/>
      <w:bookmarkStart w:id="118" w:name="_Toc14084"/>
      <w:bookmarkStart w:id="119" w:name="_Toc1617"/>
      <w:bookmarkStart w:id="120" w:name="_Toc22748"/>
      <w:bookmarkStart w:id="121" w:name="_Toc4671"/>
      <w:bookmarkStart w:id="122" w:name="_Toc6246"/>
      <w:bookmarkStart w:id="123" w:name="_Toc31723"/>
      <w:bookmarkStart w:id="124" w:name="_Toc11582"/>
      <w:bookmarkStart w:id="125" w:name="_Toc520356147"/>
      <w:bookmarkStart w:id="126" w:name="_Toc515647763"/>
      <w:bookmarkStart w:id="127" w:name="_Toc25743"/>
      <w:r>
        <w:rPr>
          <w:rFonts w:hint="eastAsia" w:ascii="仿宋" w:hAnsi="仿宋" w:eastAsia="仿宋" w:cs="仿宋"/>
          <w:color w:val="auto"/>
          <w:highlight w:val="none"/>
          <w:lang w:eastAsia="zh-CN"/>
        </w:rPr>
        <w:t>5.招标文件构成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7DCFB7B0">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5.1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招标文件分为三册共7章，内容如下：</w:t>
      </w:r>
    </w:p>
    <w:p w14:paraId="0ADD1C18">
      <w:pPr>
        <w:spacing w:line="288" w:lineRule="auto"/>
        <w:ind w:left="1079" w:leftChars="428" w:hanging="180" w:hangingChars="75"/>
        <w:rPr>
          <w:rFonts w:hint="eastAsia" w:ascii="仿宋" w:hAnsi="仿宋" w:eastAsia="仿宋" w:cs="仿宋"/>
          <w:color w:val="auto"/>
          <w:sz w:val="24"/>
          <w:highlight w:val="none"/>
        </w:rPr>
      </w:pPr>
      <w:r>
        <w:rPr>
          <w:rFonts w:hint="eastAsia" w:ascii="仿宋" w:hAnsi="仿宋" w:eastAsia="仿宋" w:cs="仿宋"/>
          <w:color w:val="auto"/>
          <w:sz w:val="24"/>
          <w:highlight w:val="none"/>
        </w:rPr>
        <w:t>第一册</w:t>
      </w:r>
    </w:p>
    <w:p w14:paraId="1FFCCD93">
      <w:pPr>
        <w:numPr>
          <w:ilvl w:val="0"/>
          <w:numId w:val="2"/>
        </w:numPr>
        <w:tabs>
          <w:tab w:val="left" w:pos="0"/>
        </w:tabs>
        <w:spacing w:line="288" w:lineRule="auto"/>
        <w:ind w:hanging="82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投标人须知</w:t>
      </w:r>
    </w:p>
    <w:p w14:paraId="701A81FF">
      <w:pPr>
        <w:numPr>
          <w:ilvl w:val="0"/>
          <w:numId w:val="2"/>
        </w:numPr>
        <w:spacing w:line="288" w:lineRule="auto"/>
        <w:ind w:left="1081"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投标文件格式</w:t>
      </w:r>
    </w:p>
    <w:p w14:paraId="65B2142D">
      <w:pPr>
        <w:spacing w:line="288" w:lineRule="auto"/>
        <w:ind w:left="1081"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第二册</w:t>
      </w:r>
    </w:p>
    <w:p w14:paraId="762B07D2">
      <w:pPr>
        <w:numPr>
          <w:ilvl w:val="0"/>
          <w:numId w:val="2"/>
        </w:numPr>
        <w:spacing w:line="288" w:lineRule="auto"/>
        <w:ind w:left="1081"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投标邀请</w:t>
      </w:r>
    </w:p>
    <w:p w14:paraId="77F6BA03">
      <w:pPr>
        <w:numPr>
          <w:ilvl w:val="0"/>
          <w:numId w:val="2"/>
        </w:numPr>
        <w:spacing w:line="288" w:lineRule="auto"/>
        <w:ind w:left="1081"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投标人须知资料表</w:t>
      </w:r>
    </w:p>
    <w:p w14:paraId="27841538">
      <w:pPr>
        <w:numPr>
          <w:ilvl w:val="0"/>
          <w:numId w:val="2"/>
        </w:numPr>
        <w:spacing w:line="288" w:lineRule="auto"/>
        <w:ind w:left="1081" w:leftChars="429" w:hanging="1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货物需求一览表及技术规格</w:t>
      </w:r>
    </w:p>
    <w:p w14:paraId="713E2544">
      <w:pPr>
        <w:numPr>
          <w:ilvl w:val="0"/>
          <w:numId w:val="2"/>
        </w:numPr>
        <w:spacing w:line="288" w:lineRule="auto"/>
        <w:ind w:left="1081"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highlight w:val="none"/>
        </w:rPr>
        <w:t>评标方法和标准</w:t>
      </w:r>
    </w:p>
    <w:p w14:paraId="29410EBA">
      <w:pPr>
        <w:spacing w:line="288" w:lineRule="auto"/>
        <w:ind w:left="901"/>
        <w:rPr>
          <w:rFonts w:hint="eastAsia" w:ascii="仿宋" w:hAnsi="仿宋" w:eastAsia="仿宋" w:cs="仿宋"/>
          <w:color w:val="auto"/>
          <w:sz w:val="24"/>
          <w:highlight w:val="none"/>
        </w:rPr>
      </w:pPr>
      <w:r>
        <w:rPr>
          <w:rFonts w:hint="eastAsia" w:ascii="仿宋" w:hAnsi="仿宋" w:eastAsia="仿宋" w:cs="仿宋"/>
          <w:color w:val="auto"/>
          <w:sz w:val="24"/>
          <w:highlight w:val="none"/>
        </w:rPr>
        <w:t>第三册</w:t>
      </w:r>
    </w:p>
    <w:p w14:paraId="578B7D50">
      <w:pPr>
        <w:numPr>
          <w:ilvl w:val="0"/>
          <w:numId w:val="2"/>
        </w:numPr>
        <w:spacing w:line="288" w:lineRule="auto"/>
        <w:ind w:left="718" w:leftChars="342"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highlight w:val="none"/>
        </w:rPr>
        <w:t>政府采购合同格式</w:t>
      </w:r>
    </w:p>
    <w:p w14:paraId="6732CC56">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5.2</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如本文件的前后内容不一致，以最后描述为准。</w:t>
      </w:r>
    </w:p>
    <w:p w14:paraId="7E6A1695">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7B1A6796">
      <w:pPr>
        <w:pStyle w:val="4"/>
        <w:spacing w:before="0" w:after="0" w:line="288" w:lineRule="auto"/>
        <w:rPr>
          <w:rFonts w:hint="eastAsia" w:ascii="仿宋" w:hAnsi="仿宋" w:eastAsia="仿宋" w:cs="仿宋"/>
          <w:color w:val="auto"/>
          <w:highlight w:val="none"/>
          <w:lang w:eastAsia="zh-CN"/>
        </w:rPr>
      </w:pPr>
      <w:bookmarkStart w:id="128" w:name="_Toc520356148"/>
      <w:bookmarkStart w:id="129" w:name="_Toc515904805"/>
      <w:bookmarkStart w:id="130" w:name="_Toc1925"/>
      <w:bookmarkStart w:id="131" w:name="_Toc3154"/>
      <w:bookmarkStart w:id="132" w:name="_Toc20175"/>
      <w:bookmarkStart w:id="133" w:name="_Toc4118"/>
      <w:bookmarkStart w:id="134" w:name="_Toc7323"/>
      <w:bookmarkStart w:id="135" w:name="_Toc26044"/>
      <w:bookmarkStart w:id="136" w:name="_Toc2703"/>
      <w:bookmarkStart w:id="137" w:name="_Toc4976"/>
      <w:bookmarkStart w:id="138" w:name="_Toc27562"/>
      <w:bookmarkStart w:id="139" w:name="_Toc4284"/>
      <w:bookmarkStart w:id="140" w:name="_Toc9232"/>
      <w:bookmarkStart w:id="141" w:name="_Toc1922"/>
      <w:bookmarkStart w:id="142" w:name="_Toc18688"/>
      <w:r>
        <w:rPr>
          <w:rFonts w:hint="eastAsia" w:ascii="仿宋" w:hAnsi="仿宋" w:eastAsia="仿宋" w:cs="仿宋"/>
          <w:color w:val="auto"/>
          <w:highlight w:val="none"/>
          <w:lang w:eastAsia="zh-CN"/>
        </w:rPr>
        <w:t>6.招标文件的澄清</w:t>
      </w:r>
      <w:bookmarkEnd w:id="128"/>
      <w:bookmarkEnd w:id="129"/>
      <w:r>
        <w:rPr>
          <w:rFonts w:hint="eastAsia" w:ascii="仿宋" w:hAnsi="仿宋" w:eastAsia="仿宋" w:cs="仿宋"/>
          <w:color w:val="auto"/>
          <w:highlight w:val="none"/>
          <w:lang w:eastAsia="zh-CN"/>
        </w:rPr>
        <w:t>与修改</w:t>
      </w:r>
      <w:bookmarkEnd w:id="130"/>
      <w:bookmarkEnd w:id="131"/>
      <w:bookmarkEnd w:id="132"/>
      <w:bookmarkEnd w:id="133"/>
      <w:bookmarkEnd w:id="134"/>
      <w:bookmarkEnd w:id="135"/>
      <w:bookmarkEnd w:id="136"/>
      <w:bookmarkEnd w:id="137"/>
      <w:bookmarkEnd w:id="138"/>
      <w:bookmarkEnd w:id="139"/>
      <w:bookmarkEnd w:id="140"/>
      <w:bookmarkEnd w:id="141"/>
      <w:bookmarkEnd w:id="142"/>
    </w:p>
    <w:p w14:paraId="43CAB7AF">
      <w:pPr>
        <w:pStyle w:val="5"/>
        <w:spacing w:line="288" w:lineRule="auto"/>
        <w:ind w:left="840" w:hanging="840" w:hangingChars="35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6.1    为了保证对招标文件的澄清和修改满足法律的时限要求，任何要求对招标文件进行澄清的投标人，均应在投标截止期十五日前，以书面形式将澄清要求通知采购人或采购代理机构。</w:t>
      </w:r>
    </w:p>
    <w:p w14:paraId="5FD65367">
      <w:pPr>
        <w:pStyle w:val="5"/>
        <w:spacing w:line="288" w:lineRule="auto"/>
        <w:ind w:left="840" w:hanging="840" w:hangingChars="350"/>
        <w:rPr>
          <w:rFonts w:hint="eastAsia" w:ascii="仿宋" w:hAnsi="仿宋" w:eastAsia="仿宋" w:cs="仿宋"/>
          <w:color w:val="auto"/>
          <w:szCs w:val="24"/>
          <w:highlight w:val="none"/>
          <w:lang w:eastAsia="zh-CN"/>
        </w:rPr>
      </w:pPr>
      <w:bookmarkStart w:id="143" w:name="_Toc520356149"/>
      <w:bookmarkStart w:id="144" w:name="_Toc515904806"/>
      <w:bookmarkStart w:id="145" w:name="_Ref467378678"/>
      <w:r>
        <w:rPr>
          <w:rFonts w:hint="eastAsia" w:ascii="仿宋" w:hAnsi="仿宋" w:eastAsia="仿宋" w:cs="仿宋"/>
          <w:color w:val="auto"/>
          <w:szCs w:val="24"/>
          <w:highlight w:val="none"/>
          <w:lang w:eastAsia="zh-CN"/>
        </w:rPr>
        <w:t>6.2</w:t>
      </w:r>
      <w:r>
        <w:rPr>
          <w:rFonts w:hint="eastAsia" w:ascii="仿宋" w:hAnsi="仿宋" w:eastAsia="仿宋" w:cs="仿宋"/>
          <w:color w:val="auto"/>
          <w:szCs w:val="24"/>
          <w:highlight w:val="none"/>
          <w:lang w:eastAsia="zh-CN"/>
        </w:rPr>
        <w:tab/>
      </w:r>
      <w:r>
        <w:rPr>
          <w:rFonts w:hint="eastAsia" w:ascii="仿宋" w:hAnsi="仿宋" w:eastAsia="仿宋" w:cs="仿宋"/>
          <w:color w:val="auto"/>
          <w:szCs w:val="24"/>
          <w:highlight w:val="none"/>
          <w:lang w:eastAsia="zh-CN"/>
        </w:rPr>
        <w:t>采购人可主动地或在解答投标人提出的澄清问题时对招标文件进行澄清或修改。采购代理机构将以发布澄清（更正）公告的方式，澄清或修改招标文件，澄清或修改内容作为招标文件的组成部分。</w:t>
      </w:r>
    </w:p>
    <w:p w14:paraId="66815581">
      <w:pPr>
        <w:pStyle w:val="5"/>
        <w:spacing w:line="288" w:lineRule="auto"/>
        <w:ind w:left="840" w:hanging="840" w:hangingChars="35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6.3</w:t>
      </w:r>
      <w:r>
        <w:rPr>
          <w:rFonts w:hint="eastAsia" w:ascii="仿宋" w:hAnsi="仿宋" w:eastAsia="仿宋" w:cs="仿宋"/>
          <w:color w:val="auto"/>
          <w:szCs w:val="24"/>
          <w:highlight w:val="none"/>
          <w:lang w:eastAsia="zh-CN"/>
        </w:rPr>
        <w:tab/>
      </w:r>
      <w:r>
        <w:rPr>
          <w:rFonts w:hint="eastAsia" w:ascii="仿宋" w:hAnsi="仿宋" w:eastAsia="仿宋" w:cs="仿宋"/>
          <w:color w:val="auto"/>
          <w:szCs w:val="24"/>
          <w:highlight w:val="none"/>
          <w:lang w:eastAsia="zh-CN"/>
        </w:rPr>
        <w:t>澄清或者修改的内容可能影响投标文件编制的，采购代理机构将以书面形式通知所有购买招标文件的潜在投标人，并对其具有约束力。投标人在收到上述通知后，应及时向采购代理机构回函确认。</w:t>
      </w:r>
    </w:p>
    <w:p w14:paraId="63CA11B9">
      <w:pPr>
        <w:pStyle w:val="4"/>
        <w:tabs>
          <w:tab w:val="left" w:pos="900"/>
        </w:tabs>
        <w:spacing w:before="0" w:after="0" w:line="288" w:lineRule="auto"/>
        <w:rPr>
          <w:rFonts w:hint="eastAsia" w:ascii="仿宋" w:hAnsi="仿宋" w:eastAsia="仿宋" w:cs="仿宋"/>
          <w:color w:val="auto"/>
          <w:highlight w:val="none"/>
          <w:lang w:eastAsia="zh-CN"/>
        </w:rPr>
      </w:pPr>
      <w:bookmarkStart w:id="146" w:name="_Toc9128"/>
      <w:bookmarkStart w:id="147" w:name="_Toc7775"/>
      <w:bookmarkStart w:id="148" w:name="_Toc12448"/>
      <w:bookmarkStart w:id="149" w:name="_Toc25635"/>
      <w:bookmarkStart w:id="150" w:name="_Toc14569"/>
      <w:bookmarkStart w:id="151" w:name="_Toc25416"/>
      <w:bookmarkStart w:id="152" w:name="_Toc21993"/>
      <w:bookmarkStart w:id="153" w:name="_Toc23166"/>
      <w:bookmarkStart w:id="154" w:name="_Toc19841"/>
      <w:bookmarkStart w:id="155" w:name="_Toc4653"/>
      <w:bookmarkStart w:id="156" w:name="_Toc330"/>
      <w:bookmarkStart w:id="157" w:name="_Toc25461"/>
      <w:bookmarkStart w:id="158" w:name="_Toc2744"/>
      <w:r>
        <w:rPr>
          <w:rFonts w:hint="eastAsia" w:ascii="仿宋" w:hAnsi="仿宋" w:eastAsia="仿宋" w:cs="仿宋"/>
          <w:color w:val="auto"/>
          <w:highlight w:val="none"/>
          <w:lang w:eastAsia="zh-CN"/>
        </w:rPr>
        <w:t>7</w:t>
      </w:r>
      <w:bookmarkEnd w:id="143"/>
      <w:bookmarkEnd w:id="144"/>
      <w:bookmarkEnd w:id="145"/>
      <w:r>
        <w:rPr>
          <w:rFonts w:hint="eastAsia" w:ascii="仿宋" w:hAnsi="仿宋" w:eastAsia="仿宋" w:cs="仿宋"/>
          <w:color w:val="auto"/>
          <w:highlight w:val="none"/>
          <w:lang w:eastAsia="zh-CN"/>
        </w:rPr>
        <w:t>.投标截止时间的顺延</w:t>
      </w:r>
      <w:bookmarkEnd w:id="146"/>
      <w:bookmarkEnd w:id="147"/>
      <w:bookmarkEnd w:id="148"/>
      <w:bookmarkEnd w:id="149"/>
      <w:bookmarkEnd w:id="150"/>
      <w:bookmarkEnd w:id="151"/>
      <w:bookmarkEnd w:id="152"/>
      <w:bookmarkEnd w:id="153"/>
      <w:bookmarkEnd w:id="154"/>
      <w:bookmarkEnd w:id="155"/>
      <w:bookmarkEnd w:id="156"/>
      <w:bookmarkEnd w:id="157"/>
      <w:bookmarkEnd w:id="158"/>
    </w:p>
    <w:p w14:paraId="68448198">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为使投标人准备投标时有足够的时间对招标文件的澄清或者修改部分进行研究，采购人将依法决定是否顺延投标截止时间。</w:t>
      </w:r>
    </w:p>
    <w:p w14:paraId="70E31DAC">
      <w:pPr>
        <w:pStyle w:val="3"/>
        <w:tabs>
          <w:tab w:val="left" w:pos="900"/>
        </w:tabs>
        <w:spacing w:before="0" w:line="288" w:lineRule="auto"/>
        <w:ind w:left="1080" w:leftChars="257" w:hanging="540"/>
        <w:rPr>
          <w:rFonts w:hint="eastAsia" w:ascii="仿宋" w:hAnsi="仿宋" w:eastAsia="仿宋" w:cs="仿宋"/>
          <w:b w:val="0"/>
          <w:color w:val="auto"/>
          <w:sz w:val="24"/>
          <w:highlight w:val="none"/>
          <w:lang w:eastAsia="zh-CN"/>
        </w:rPr>
      </w:pPr>
      <w:bookmarkStart w:id="159" w:name="_Toc516367020"/>
      <w:bookmarkStart w:id="160" w:name="_Toc12340"/>
      <w:bookmarkStart w:id="161" w:name="_Toc19696"/>
      <w:bookmarkStart w:id="162" w:name="_Toc8381"/>
      <w:bookmarkStart w:id="163" w:name="_Toc8537"/>
      <w:bookmarkStart w:id="164" w:name="_Toc520356150"/>
      <w:bookmarkStart w:id="165" w:name="_Toc1752"/>
      <w:bookmarkStart w:id="166" w:name="_Toc25866"/>
      <w:bookmarkStart w:id="167" w:name="_Toc515647766"/>
      <w:bookmarkStart w:id="168" w:name="_Toc22175"/>
      <w:bookmarkStart w:id="169" w:name="_Toc31039"/>
      <w:bookmarkStart w:id="170" w:name="_Toc15802"/>
      <w:bookmarkStart w:id="171" w:name="_Toc23336"/>
      <w:bookmarkStart w:id="172" w:name="_Toc14530"/>
      <w:bookmarkStart w:id="173" w:name="_Toc7636"/>
      <w:bookmarkStart w:id="174" w:name="_Toc30808"/>
      <w:bookmarkStart w:id="175" w:name="_Toc216582807"/>
      <w:r>
        <w:rPr>
          <w:rFonts w:hint="eastAsia" w:ascii="仿宋" w:hAnsi="仿宋" w:eastAsia="仿宋" w:cs="仿宋"/>
          <w:color w:val="auto"/>
          <w:sz w:val="28"/>
          <w:highlight w:val="none"/>
          <w:lang w:eastAsia="zh-CN"/>
        </w:rPr>
        <w:t>三 投标文件</w:t>
      </w:r>
      <w:bookmarkEnd w:id="159"/>
      <w:r>
        <w:rPr>
          <w:rFonts w:hint="eastAsia" w:ascii="仿宋" w:hAnsi="仿宋" w:eastAsia="仿宋" w:cs="仿宋"/>
          <w:color w:val="auto"/>
          <w:sz w:val="28"/>
          <w:highlight w:val="none"/>
          <w:lang w:eastAsia="zh-CN"/>
        </w:rPr>
        <w:t>的编制</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0645C71B">
      <w:pPr>
        <w:pStyle w:val="4"/>
        <w:tabs>
          <w:tab w:val="left" w:pos="900"/>
        </w:tabs>
        <w:spacing w:before="0" w:after="0" w:line="288" w:lineRule="auto"/>
        <w:rPr>
          <w:rFonts w:hint="eastAsia" w:ascii="仿宋" w:hAnsi="仿宋" w:eastAsia="仿宋" w:cs="仿宋"/>
          <w:color w:val="auto"/>
          <w:highlight w:val="none"/>
          <w:lang w:eastAsia="zh-CN"/>
        </w:rPr>
      </w:pPr>
      <w:bookmarkStart w:id="176" w:name="_Toc27410"/>
      <w:bookmarkStart w:id="177" w:name="_Toc6680"/>
      <w:bookmarkStart w:id="178" w:name="_Toc15952"/>
      <w:bookmarkStart w:id="179" w:name="_Toc7786"/>
      <w:bookmarkStart w:id="180" w:name="_Toc515647767"/>
      <w:bookmarkStart w:id="181" w:name="_Toc11023"/>
      <w:bookmarkStart w:id="182" w:name="_Toc2259"/>
      <w:bookmarkStart w:id="183" w:name="_Toc3553"/>
      <w:bookmarkStart w:id="184" w:name="_Toc516367021"/>
      <w:bookmarkStart w:id="185" w:name="_Toc10758"/>
      <w:bookmarkStart w:id="186" w:name="_Toc6449"/>
      <w:bookmarkStart w:id="187" w:name="_Toc28725"/>
      <w:bookmarkStart w:id="188" w:name="_Toc15590"/>
      <w:bookmarkStart w:id="189" w:name="_Toc30570"/>
      <w:bookmarkStart w:id="190" w:name="_Toc11230"/>
      <w:bookmarkStart w:id="191" w:name="_Toc520356151"/>
      <w:r>
        <w:rPr>
          <w:rFonts w:hint="eastAsia" w:ascii="仿宋" w:hAnsi="仿宋" w:eastAsia="仿宋" w:cs="仿宋"/>
          <w:color w:val="auto"/>
          <w:highlight w:val="none"/>
          <w:lang w:eastAsia="zh-CN"/>
        </w:rPr>
        <w:t>8.</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投标范围及投标文件中标准和计量单位的使用</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1ACBEAC9">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8.1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项目有分包的，投标人可对招标文件其中某一个或几个分包货物进行投标，除非在</w:t>
      </w:r>
      <w:r>
        <w:rPr>
          <w:rFonts w:hint="eastAsia" w:ascii="仿宋" w:hAnsi="仿宋" w:eastAsia="仿宋" w:cs="仿宋"/>
          <w:color w:val="auto"/>
          <w:sz w:val="24"/>
          <w:highlight w:val="none"/>
          <w:u w:val="single" w:color="000000"/>
          <w:lang w:eastAsia="zh-CN"/>
        </w:rPr>
        <w:t>投标人须知资料表</w:t>
      </w:r>
      <w:r>
        <w:rPr>
          <w:rFonts w:hint="eastAsia" w:ascii="仿宋" w:hAnsi="仿宋" w:eastAsia="仿宋" w:cs="仿宋"/>
          <w:color w:val="auto"/>
          <w:sz w:val="24"/>
          <w:highlight w:val="none"/>
          <w:lang w:eastAsia="zh-CN"/>
        </w:rPr>
        <w:t>中另有规定。</w:t>
      </w:r>
    </w:p>
    <w:p w14:paraId="53B74A4D">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8.2     投标人应当对所投分包招标文件中“服务需求”所列的所有内容进行投标，如仅响应某一包中的部分内容，其该包投标将被认定为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2898F58D">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8.3     无论招标文件第5章货物需求一览表及技术规格中是否要求，投标人所投货物均应符合国家强制性标准。</w:t>
      </w:r>
    </w:p>
    <w:p w14:paraId="296C7E5C">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8.4     除招标文件中有特殊要求外，投标文件中所使用的计量单位，应采用中华人民共和国法定计量单位。</w:t>
      </w:r>
    </w:p>
    <w:p w14:paraId="103071D1">
      <w:pPr>
        <w:pStyle w:val="4"/>
        <w:tabs>
          <w:tab w:val="left" w:pos="900"/>
        </w:tabs>
        <w:spacing w:before="0" w:after="0" w:line="288" w:lineRule="auto"/>
        <w:rPr>
          <w:rFonts w:hint="eastAsia" w:ascii="仿宋" w:hAnsi="仿宋" w:eastAsia="仿宋" w:cs="仿宋"/>
          <w:color w:val="auto"/>
          <w:highlight w:val="none"/>
          <w:lang w:eastAsia="zh-CN"/>
        </w:rPr>
      </w:pPr>
      <w:bookmarkStart w:id="192" w:name="_Toc516367022"/>
      <w:bookmarkStart w:id="193" w:name="_Ref467306676"/>
      <w:bookmarkStart w:id="194" w:name="_Ref467306195"/>
      <w:bookmarkStart w:id="195" w:name="_Toc9237"/>
      <w:bookmarkStart w:id="196" w:name="_Toc17979"/>
      <w:bookmarkStart w:id="197" w:name="_Toc13854"/>
      <w:bookmarkStart w:id="198" w:name="_Toc17949"/>
      <w:bookmarkStart w:id="199" w:name="_Toc520356152"/>
      <w:bookmarkStart w:id="200" w:name="_Toc18692"/>
      <w:bookmarkStart w:id="201" w:name="_Toc21249"/>
      <w:bookmarkStart w:id="202" w:name="_Toc2072"/>
      <w:bookmarkStart w:id="203" w:name="_Toc18627"/>
      <w:bookmarkStart w:id="204" w:name="_Toc28307"/>
      <w:bookmarkStart w:id="205" w:name="_Toc10364"/>
      <w:bookmarkStart w:id="206" w:name="_Toc22989"/>
      <w:bookmarkStart w:id="207" w:name="_Toc6112"/>
      <w:bookmarkStart w:id="208" w:name="_Toc9389"/>
      <w:bookmarkStart w:id="209" w:name="_Toc515647768"/>
      <w:r>
        <w:rPr>
          <w:rFonts w:hint="eastAsia" w:ascii="仿宋" w:hAnsi="仿宋" w:eastAsia="仿宋" w:cs="仿宋"/>
          <w:color w:val="auto"/>
          <w:highlight w:val="none"/>
          <w:lang w:eastAsia="zh-CN"/>
        </w:rPr>
        <w:t>9.投标文件</w:t>
      </w:r>
      <w:bookmarkEnd w:id="192"/>
      <w:bookmarkEnd w:id="193"/>
      <w:bookmarkEnd w:id="194"/>
      <w:r>
        <w:rPr>
          <w:rFonts w:hint="eastAsia" w:ascii="仿宋" w:hAnsi="仿宋" w:eastAsia="仿宋" w:cs="仿宋"/>
          <w:color w:val="auto"/>
          <w:highlight w:val="none"/>
          <w:lang w:eastAsia="zh-CN"/>
        </w:rPr>
        <w:t>构成</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49BE07BB">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9.1     投标单位应完整地按招标文件提供的响应文件格式及要求编写响应文件，投标单位须</w:t>
      </w:r>
    </w:p>
    <w:p w14:paraId="37B0ADAC">
      <w:pPr>
        <w:spacing w:line="288" w:lineRule="auto"/>
        <w:ind w:left="958" w:leftChars="456"/>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在投标截止时间前完成在系统上递交电子响应文件。投标单位的电子响应文件是经过CA 证书加密后上传提交的，任何单位或个人均无法在投标截止时间(即投标时间)</w:t>
      </w:r>
    </w:p>
    <w:p w14:paraId="44FBC3AC">
      <w:pPr>
        <w:spacing w:line="288" w:lineRule="auto"/>
        <w:ind w:firstLine="960" w:firstLineChars="4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之前查看或篡改，不存在泄密风险。（严格按照政采云电子投标流程制作并上传电</w:t>
      </w:r>
    </w:p>
    <w:p w14:paraId="23960D12">
      <w:pPr>
        <w:spacing w:line="288" w:lineRule="auto"/>
        <w:ind w:firstLine="960" w:firstLineChars="4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子响应文件）</w:t>
      </w:r>
    </w:p>
    <w:p w14:paraId="2E41621C">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9.2    上述文件应按照招标文件规定的格式填写、签署和盖章招标文件中的格式供参考，投标文件中的内容可自行调整但应包括格式内的所有内容。</w:t>
      </w:r>
    </w:p>
    <w:p w14:paraId="548863AB">
      <w:pPr>
        <w:pStyle w:val="4"/>
        <w:tabs>
          <w:tab w:val="left" w:pos="900"/>
        </w:tabs>
        <w:spacing w:before="0" w:after="0" w:line="288" w:lineRule="auto"/>
        <w:rPr>
          <w:rFonts w:hint="eastAsia" w:ascii="仿宋" w:hAnsi="仿宋" w:eastAsia="仿宋" w:cs="仿宋"/>
          <w:color w:val="auto"/>
          <w:highlight w:val="none"/>
          <w:lang w:eastAsia="zh-CN"/>
        </w:rPr>
      </w:pPr>
      <w:bookmarkStart w:id="210" w:name="_Toc520356153"/>
      <w:bookmarkStart w:id="211" w:name="_Toc515647769"/>
      <w:bookmarkStart w:id="212" w:name="_Toc13143"/>
      <w:bookmarkStart w:id="213" w:name="_Toc5539"/>
      <w:bookmarkStart w:id="214" w:name="_Toc3494"/>
      <w:bookmarkStart w:id="215" w:name="_Toc31875"/>
      <w:bookmarkStart w:id="216" w:name="_Toc4601"/>
      <w:bookmarkStart w:id="217" w:name="_Toc7354"/>
      <w:bookmarkStart w:id="218" w:name="_Toc10379"/>
      <w:bookmarkStart w:id="219" w:name="_Toc6889"/>
      <w:bookmarkStart w:id="220" w:name="_Toc30942"/>
      <w:bookmarkStart w:id="221" w:name="_Toc21436"/>
      <w:bookmarkStart w:id="222" w:name="_Toc2871"/>
      <w:bookmarkStart w:id="223" w:name="_Toc22144"/>
      <w:bookmarkStart w:id="224" w:name="_Toc516367023"/>
      <w:bookmarkStart w:id="225" w:name="_Toc22816"/>
      <w:r>
        <w:rPr>
          <w:rFonts w:hint="eastAsia" w:ascii="仿宋" w:hAnsi="仿宋" w:eastAsia="仿宋" w:cs="仿宋"/>
          <w:color w:val="auto"/>
          <w:highlight w:val="none"/>
          <w:lang w:eastAsia="zh-CN"/>
        </w:rPr>
        <w:t>10.</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证明投标标的的合格性和符合招标文件规定的技术文件</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2048C20D">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10.1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投标人应提交证明文件，证明其投标内容符合招标文件规定。该证明文件是投标文件的一部分。</w:t>
      </w:r>
    </w:p>
    <w:p w14:paraId="27A199C7">
      <w:pPr>
        <w:spacing w:line="288" w:lineRule="auto"/>
        <w:ind w:left="900" w:hanging="900" w:hangingChars="375"/>
        <w:rPr>
          <w:rFonts w:hint="eastAsia" w:ascii="仿宋" w:hAnsi="仿宋" w:eastAsia="仿宋" w:cs="仿宋"/>
          <w:color w:val="auto"/>
          <w:sz w:val="24"/>
          <w:highlight w:val="none"/>
          <w:lang w:eastAsia="zh-CN"/>
        </w:rPr>
      </w:pPr>
      <w:bookmarkStart w:id="226" w:name="_Ref467306244"/>
      <w:r>
        <w:rPr>
          <w:rFonts w:hint="eastAsia" w:ascii="仿宋" w:hAnsi="仿宋" w:eastAsia="仿宋" w:cs="仿宋"/>
          <w:color w:val="auto"/>
          <w:sz w:val="24"/>
          <w:highlight w:val="none"/>
          <w:lang w:eastAsia="zh-CN"/>
        </w:rPr>
        <w:t>10.2</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上款所述的证明文件，可以是文字资料、图纸和数据，</w:t>
      </w:r>
      <w:bookmarkEnd w:id="226"/>
      <w:r>
        <w:rPr>
          <w:rFonts w:hint="eastAsia" w:ascii="仿宋" w:hAnsi="仿宋" w:eastAsia="仿宋" w:cs="仿宋"/>
          <w:color w:val="auto"/>
          <w:sz w:val="24"/>
          <w:highlight w:val="none"/>
          <w:lang w:eastAsia="zh-CN"/>
        </w:rPr>
        <w:t>它包括：</w:t>
      </w:r>
    </w:p>
    <w:p w14:paraId="568BC92C">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10.2.1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货物主要技术指标和性能的详细说明；</w:t>
      </w:r>
    </w:p>
    <w:p w14:paraId="7FCC69DB">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10.2.2</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货物从买方开始使用至招标文件规定的保质期内正常、连续地使用所必须的备件和专用工具清单，包括备件和专用工具的货源及现行价格；</w:t>
      </w:r>
    </w:p>
    <w:p w14:paraId="66C41575">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10.2.3</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对照招标文件技术规格，逐条说明所提供货物及伴随的工程和服务已对招标文件的技术规格做出了实质性的响应，或申明与技术规格条文的偏差和例外。</w:t>
      </w:r>
    </w:p>
    <w:p w14:paraId="13C9A348">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10.3</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14:paraId="2D1BC007">
      <w:pPr>
        <w:pStyle w:val="4"/>
        <w:spacing w:before="0" w:after="0" w:line="288" w:lineRule="auto"/>
        <w:rPr>
          <w:rFonts w:hint="eastAsia" w:ascii="仿宋" w:hAnsi="仿宋" w:eastAsia="仿宋" w:cs="仿宋"/>
          <w:color w:val="auto"/>
          <w:highlight w:val="none"/>
          <w:lang w:eastAsia="zh-CN"/>
        </w:rPr>
      </w:pPr>
      <w:bookmarkStart w:id="227" w:name="_Toc520356155"/>
      <w:bookmarkStart w:id="228" w:name="_Toc1965"/>
      <w:bookmarkStart w:id="229" w:name="_Toc23231"/>
      <w:bookmarkStart w:id="230" w:name="_Toc2248"/>
      <w:bookmarkStart w:id="231" w:name="_Toc9907"/>
      <w:bookmarkStart w:id="232" w:name="_Toc21624"/>
      <w:bookmarkStart w:id="233" w:name="_Toc2418"/>
      <w:bookmarkStart w:id="234" w:name="_Toc1082"/>
      <w:bookmarkStart w:id="235" w:name="_Toc28319"/>
      <w:bookmarkStart w:id="236" w:name="_Toc784"/>
      <w:bookmarkStart w:id="237" w:name="_Toc6623"/>
      <w:bookmarkStart w:id="238" w:name="_Toc13077"/>
      <w:bookmarkStart w:id="239" w:name="_Toc515647770"/>
      <w:bookmarkStart w:id="240" w:name="_Toc14959"/>
      <w:bookmarkStart w:id="241" w:name="_Toc19624"/>
      <w:r>
        <w:rPr>
          <w:rFonts w:hint="eastAsia" w:ascii="仿宋" w:hAnsi="仿宋" w:eastAsia="仿宋" w:cs="仿宋"/>
          <w:color w:val="auto"/>
          <w:highlight w:val="none"/>
          <w:lang w:eastAsia="zh-CN"/>
        </w:rPr>
        <w:t>11.投标报价</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2C2D4B8D">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11.1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04672903">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11.2</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投标人应在投标分项报价表上标明投标货物及相关服务的单价（如适用）和总价，并由法定代表人或其授权代表签署。</w:t>
      </w:r>
    </w:p>
    <w:p w14:paraId="1A729DC7">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11.3</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投标分项报价表上的价格应按下列方式填写：</w:t>
      </w:r>
    </w:p>
    <w:p w14:paraId="1F58FA42">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11.3.1  投标货物（包括备品备件、专用工具等）的出厂价（包括已在中国国内的进口货物完税后的仓库交货价、展室交货价或货架交货价），投标货物安装、调试、检验、技术服务和培训等费用；</w:t>
      </w:r>
    </w:p>
    <w:p w14:paraId="7FAAAF73">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11.3.2  货物运至最终目的地的运输费和保险费用。</w:t>
      </w:r>
    </w:p>
    <w:p w14:paraId="7E40021B">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11.4</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投标人所报的各分项投标单价在合同履行过程中是固定不变的，不得以任何理由予以变更。任何包含价格调整要求的投标，其投标将被认定为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37CE8415">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11.5</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每种货物只能有一个投标报价。采购人不接受具有附加条件的报价。</w:t>
      </w:r>
    </w:p>
    <w:p w14:paraId="012D661A">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11.6    投标文件中应写明投标产品的产地、数量/面积、养护服务期、供货期，未明确写明的其投标将被认定为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0800AE77">
      <w:pPr>
        <w:pStyle w:val="4"/>
        <w:spacing w:before="0" w:after="0" w:line="288" w:lineRule="auto"/>
        <w:rPr>
          <w:rFonts w:hint="eastAsia" w:ascii="仿宋" w:hAnsi="仿宋" w:eastAsia="仿宋" w:cs="仿宋"/>
          <w:color w:val="auto"/>
          <w:highlight w:val="none"/>
          <w:lang w:eastAsia="zh-CN"/>
        </w:rPr>
      </w:pPr>
      <w:bookmarkStart w:id="242" w:name="_Ref467306513"/>
      <w:bookmarkStart w:id="243" w:name="_Toc22212"/>
      <w:bookmarkStart w:id="244" w:name="_Toc3689"/>
      <w:bookmarkStart w:id="245" w:name="_Toc520356156"/>
      <w:bookmarkStart w:id="246" w:name="_Toc29572"/>
      <w:bookmarkStart w:id="247" w:name="_Toc17357"/>
      <w:bookmarkStart w:id="248" w:name="_Toc17068"/>
      <w:bookmarkStart w:id="249" w:name="_Toc8651"/>
      <w:bookmarkStart w:id="250" w:name="_Toc13084"/>
      <w:bookmarkStart w:id="251" w:name="_Toc515647771"/>
      <w:bookmarkStart w:id="252" w:name="_Toc17788"/>
      <w:bookmarkStart w:id="253" w:name="_Toc1823"/>
      <w:bookmarkStart w:id="254" w:name="_Toc17296"/>
      <w:bookmarkStart w:id="255" w:name="_Toc27024"/>
      <w:bookmarkStart w:id="256" w:name="_Toc11514"/>
      <w:bookmarkStart w:id="257" w:name="_Toc31739"/>
      <w:r>
        <w:rPr>
          <w:rFonts w:hint="eastAsia" w:ascii="仿宋" w:hAnsi="仿宋" w:eastAsia="仿宋" w:cs="仿宋"/>
          <w:color w:val="auto"/>
          <w:highlight w:val="none"/>
          <w:lang w:eastAsia="zh-CN"/>
        </w:rPr>
        <w:t>12.投标保证金</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3D840B69">
      <w:pPr>
        <w:spacing w:line="288" w:lineRule="auto"/>
        <w:ind w:left="900" w:hanging="900" w:hangingChars="375"/>
        <w:rPr>
          <w:rFonts w:hint="eastAsia" w:ascii="仿宋" w:hAnsi="仿宋" w:eastAsia="仿宋" w:cs="仿宋"/>
          <w:color w:val="auto"/>
          <w:sz w:val="24"/>
          <w:highlight w:val="none"/>
          <w:lang w:eastAsia="zh-CN"/>
        </w:rPr>
      </w:pPr>
      <w:bookmarkStart w:id="258" w:name="_Ref467306302"/>
      <w:r>
        <w:rPr>
          <w:rFonts w:hint="eastAsia" w:ascii="仿宋" w:hAnsi="仿宋" w:eastAsia="仿宋" w:cs="仿宋"/>
          <w:color w:val="auto"/>
          <w:sz w:val="24"/>
          <w:highlight w:val="none"/>
          <w:lang w:eastAsia="zh-CN"/>
        </w:rPr>
        <w:t>12.1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投标人应提交</w:t>
      </w:r>
      <w:r>
        <w:rPr>
          <w:rFonts w:hint="eastAsia" w:ascii="仿宋" w:hAnsi="仿宋" w:eastAsia="仿宋" w:cs="仿宋"/>
          <w:color w:val="auto"/>
          <w:sz w:val="24"/>
          <w:highlight w:val="none"/>
          <w:u w:val="single" w:color="000000"/>
          <w:lang w:eastAsia="zh-CN"/>
        </w:rPr>
        <w:t>投标人须知资料表</w:t>
      </w:r>
      <w:r>
        <w:rPr>
          <w:rFonts w:hint="eastAsia" w:ascii="仿宋" w:hAnsi="仿宋" w:eastAsia="仿宋" w:cs="仿宋"/>
          <w:color w:val="auto"/>
          <w:sz w:val="24"/>
          <w:highlight w:val="none"/>
          <w:lang w:eastAsia="zh-CN"/>
        </w:rPr>
        <w:t>中规定的投标保证金</w:t>
      </w:r>
      <w:bookmarkEnd w:id="258"/>
      <w:r>
        <w:rPr>
          <w:rFonts w:hint="eastAsia" w:ascii="仿宋" w:hAnsi="仿宋" w:eastAsia="仿宋" w:cs="仿宋"/>
          <w:color w:val="auto"/>
          <w:sz w:val="24"/>
          <w:highlight w:val="none"/>
          <w:lang w:eastAsia="zh-CN"/>
        </w:rPr>
        <w:t>，并作为其投标的一部分。</w:t>
      </w:r>
    </w:p>
    <w:p w14:paraId="5AC128B6">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12.2</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投标人存在下列情形的，投标保证金不予退还：</w:t>
      </w:r>
    </w:p>
    <w:p w14:paraId="32AF4F1A">
      <w:pPr>
        <w:pStyle w:val="12"/>
        <w:tabs>
          <w:tab w:val="left" w:pos="2240"/>
        </w:tabs>
        <w:spacing w:line="288" w:lineRule="auto"/>
        <w:ind w:left="1079" w:leftChars="371" w:hanging="300" w:hangingChars="125"/>
        <w:rPr>
          <w:rFonts w:hint="eastAsia" w:ascii="仿宋" w:hAnsi="仿宋" w:eastAsia="仿宋" w:cs="仿宋"/>
          <w:color w:val="auto"/>
          <w:sz w:val="24"/>
          <w:highlight w:val="none"/>
          <w:lang w:eastAsia="zh-CN"/>
        </w:rPr>
      </w:pPr>
      <w:bookmarkStart w:id="259" w:name="_Ref467306336"/>
      <w:r>
        <w:rPr>
          <w:rFonts w:hint="eastAsia" w:ascii="仿宋" w:hAnsi="仿宋" w:eastAsia="仿宋" w:cs="仿宋"/>
          <w:color w:val="auto"/>
          <w:sz w:val="24"/>
          <w:highlight w:val="none"/>
          <w:lang w:eastAsia="zh-CN"/>
        </w:rPr>
        <w:t>（1）在投标有效期内，撤销投标的；</w:t>
      </w:r>
    </w:p>
    <w:p w14:paraId="011634C3">
      <w:pPr>
        <w:pStyle w:val="12"/>
        <w:tabs>
          <w:tab w:val="left" w:pos="2240"/>
        </w:tabs>
        <w:spacing w:line="288" w:lineRule="auto"/>
        <w:ind w:left="1079" w:leftChars="371" w:hanging="300" w:hangingChars="12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（2）中标后不按本须知第30条的规定与采购人签订合同的；</w:t>
      </w:r>
    </w:p>
    <w:p w14:paraId="2BCF2427">
      <w:pPr>
        <w:pStyle w:val="12"/>
        <w:tabs>
          <w:tab w:val="left" w:pos="2240"/>
        </w:tabs>
        <w:spacing w:line="288" w:lineRule="auto"/>
        <w:ind w:left="1079" w:leftChars="371" w:hanging="300" w:hangingChars="12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（3）中标后不按本须知第31条的规定提交履约保证金的；</w:t>
      </w:r>
    </w:p>
    <w:p w14:paraId="2B6B9A4D">
      <w:pPr>
        <w:pStyle w:val="12"/>
        <w:tabs>
          <w:tab w:val="left" w:pos="2240"/>
        </w:tabs>
        <w:spacing w:line="288" w:lineRule="auto"/>
        <w:ind w:left="1079" w:leftChars="371" w:hanging="300" w:hangingChars="12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（4）中标后不按本须知第32条的规定缴纳中标服务费的；</w:t>
      </w:r>
    </w:p>
    <w:p w14:paraId="5D24ACF0">
      <w:pPr>
        <w:pStyle w:val="12"/>
        <w:tabs>
          <w:tab w:val="left" w:pos="2240"/>
        </w:tabs>
        <w:spacing w:line="288" w:lineRule="auto"/>
        <w:ind w:left="1079" w:leftChars="371" w:hanging="300" w:hangingChars="12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（5）存在其他违法违规行为的。</w:t>
      </w:r>
    </w:p>
    <w:p w14:paraId="5E7BCB8E">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12.3</w:t>
      </w:r>
      <w:r>
        <w:rPr>
          <w:rFonts w:hint="eastAsia" w:ascii="仿宋" w:hAnsi="仿宋" w:eastAsia="仿宋" w:cs="仿宋"/>
          <w:color w:val="auto"/>
          <w:sz w:val="24"/>
          <w:highlight w:val="none"/>
          <w:lang w:eastAsia="zh-CN"/>
        </w:rPr>
        <w:tab/>
      </w:r>
      <w:bookmarkEnd w:id="259"/>
      <w:r>
        <w:rPr>
          <w:rFonts w:hint="eastAsia" w:ascii="仿宋" w:hAnsi="仿宋" w:eastAsia="仿宋" w:cs="仿宋"/>
          <w:color w:val="auto"/>
          <w:sz w:val="24"/>
          <w:highlight w:val="none"/>
          <w:lang w:eastAsia="zh-CN"/>
        </w:rPr>
        <w:t>政府采购信用担保试点范围内的项目，接受符合财政部门规定的政府采购投标担保函原件。</w:t>
      </w:r>
    </w:p>
    <w:p w14:paraId="50AEDE35">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12.4</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投标人未按本须知规定提交投标保证金的，其投标将被认定为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1AB3D772">
      <w:pPr>
        <w:spacing w:line="288"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12.4.1  采用电汇形式的，一般可以实时入账。</w:t>
      </w:r>
    </w:p>
    <w:p w14:paraId="0B644A1F">
      <w:pPr>
        <w:spacing w:line="288" w:lineRule="auto"/>
        <w:ind w:left="960" w:hanging="960" w:hangingChars="4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相关规定处理。</w:t>
      </w:r>
    </w:p>
    <w:p w14:paraId="0B11F0D2">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12.5   联合体投标的，可以由联合体中的一方或者共同提交投标保证金。以一方名义提交投标保证金的，对联合体各方均具有约束力。</w:t>
      </w:r>
    </w:p>
    <w:p w14:paraId="7F627554">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12.6</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投标保证金的退还</w:t>
      </w:r>
    </w:p>
    <w:p w14:paraId="3736B618">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12.6.1  中标人应在与采购人签订合同之日起5个工作日内，及时联系保证金收受机构办理投标保证金无息退还手续。</w:t>
      </w:r>
    </w:p>
    <w:p w14:paraId="5BD272D7">
      <w:pPr>
        <w:spacing w:line="288" w:lineRule="auto"/>
        <w:ind w:left="960" w:hanging="960" w:hangingChars="4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12.6.2  未中标投标人的投标保证金将在中标通知书发出之日暨中标结果公告公布之日起5个工作日内无息退还。投标人应及时联系保证金收受机构办理退还投标保证金手续。</w:t>
      </w:r>
    </w:p>
    <w:p w14:paraId="1D4D4816">
      <w:pPr>
        <w:spacing w:line="288"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12.6.3  政府采购投标担保函不予退回。</w:t>
      </w:r>
    </w:p>
    <w:p w14:paraId="21BB1C49">
      <w:pPr>
        <w:spacing w:line="288" w:lineRule="auto"/>
        <w:ind w:left="960" w:right="-121" w:hanging="960" w:hangingChars="4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12.7    因投标人自身原因导致无法及时退还的，采购人或采购代理机构将不承担相应责任。</w:t>
      </w:r>
    </w:p>
    <w:p w14:paraId="53D9DC9F">
      <w:pPr>
        <w:pStyle w:val="4"/>
        <w:spacing w:before="0" w:after="0" w:line="288" w:lineRule="auto"/>
        <w:rPr>
          <w:rFonts w:hint="eastAsia" w:ascii="仿宋" w:hAnsi="仿宋" w:eastAsia="仿宋" w:cs="仿宋"/>
          <w:color w:val="auto"/>
          <w:highlight w:val="none"/>
          <w:lang w:eastAsia="zh-CN"/>
        </w:rPr>
      </w:pPr>
      <w:bookmarkStart w:id="260" w:name="_Toc28684"/>
      <w:bookmarkStart w:id="261" w:name="_Toc15117"/>
      <w:bookmarkStart w:id="262" w:name="_Toc32569"/>
      <w:bookmarkStart w:id="263" w:name="_Toc26844"/>
      <w:bookmarkStart w:id="264" w:name="_Toc520356157"/>
      <w:bookmarkStart w:id="265" w:name="_Toc22901"/>
      <w:bookmarkStart w:id="266" w:name="_Toc9445"/>
      <w:bookmarkStart w:id="267" w:name="_Toc15069"/>
      <w:bookmarkStart w:id="268" w:name="_Toc515647772"/>
      <w:bookmarkStart w:id="269" w:name="_Toc17879"/>
      <w:bookmarkStart w:id="270" w:name="_Toc23590"/>
      <w:bookmarkStart w:id="271" w:name="_Toc30629"/>
      <w:bookmarkStart w:id="272" w:name="_Toc19849"/>
      <w:bookmarkStart w:id="273" w:name="_Toc14721"/>
      <w:bookmarkStart w:id="274" w:name="_Toc2130"/>
      <w:r>
        <w:rPr>
          <w:rFonts w:hint="eastAsia" w:ascii="仿宋" w:hAnsi="仿宋" w:eastAsia="仿宋" w:cs="仿宋"/>
          <w:color w:val="auto"/>
          <w:highlight w:val="none"/>
          <w:lang w:eastAsia="zh-CN"/>
        </w:rPr>
        <w:t>13.投标有效期</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13C2143B">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13.1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投标应在</w:t>
      </w:r>
      <w:r>
        <w:rPr>
          <w:rFonts w:hint="eastAsia" w:ascii="仿宋" w:hAnsi="仿宋" w:eastAsia="仿宋" w:cs="仿宋"/>
          <w:color w:val="auto"/>
          <w:sz w:val="24"/>
          <w:highlight w:val="none"/>
          <w:u w:val="single" w:color="000000"/>
          <w:lang w:eastAsia="zh-CN"/>
        </w:rPr>
        <w:t>投标人须知资料表</w:t>
      </w:r>
      <w:r>
        <w:rPr>
          <w:rFonts w:hint="eastAsia" w:ascii="仿宋" w:hAnsi="仿宋" w:eastAsia="仿宋" w:cs="仿宋"/>
          <w:color w:val="auto"/>
          <w:sz w:val="24"/>
          <w:highlight w:val="none"/>
          <w:lang w:eastAsia="zh-CN"/>
        </w:rPr>
        <w:t>中规定时间内保持有效。投标有效期不满足要求的投标，其投标将被认定为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623532A2">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13.2</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14:paraId="7365BDB3">
      <w:pPr>
        <w:spacing w:line="288" w:lineRule="auto"/>
        <w:ind w:left="904" w:hanging="904" w:hangingChars="375"/>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14.响应文件的签署及规定</w:t>
      </w:r>
    </w:p>
    <w:p w14:paraId="3B9DB867">
      <w:pPr>
        <w:spacing w:line="288" w:lineRule="auto"/>
        <w:ind w:left="904" w:hanging="904" w:hangingChars="375"/>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14.1 供应商应按供应商须知资料表中的规定，准备和递交（加密上传）电子响应文件。</w:t>
      </w:r>
    </w:p>
    <w:p w14:paraId="14F60C48">
      <w:pPr>
        <w:spacing w:line="288" w:lineRule="auto"/>
        <w:ind w:left="904" w:hanging="904" w:hangingChars="375"/>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14.2 所有响应文件应按照招标文件规定的格式填写、签署和盖章。</w:t>
      </w:r>
    </w:p>
    <w:p w14:paraId="5ED3A0EF">
      <w:pPr>
        <w:spacing w:line="288" w:lineRule="auto"/>
        <w:ind w:left="904" w:hanging="904" w:hangingChars="375"/>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14.3 响应文件因字迹潦草、表达不清所引起的后果由供应商负责。</w:t>
      </w:r>
    </w:p>
    <w:p w14:paraId="7B1D649D">
      <w:pPr>
        <w:pStyle w:val="3"/>
        <w:spacing w:before="0" w:line="288" w:lineRule="auto"/>
        <w:ind w:left="1080" w:leftChars="257" w:hanging="540"/>
        <w:rPr>
          <w:rFonts w:hint="eastAsia" w:ascii="仿宋" w:hAnsi="仿宋" w:eastAsia="仿宋" w:cs="仿宋"/>
          <w:color w:val="auto"/>
          <w:sz w:val="28"/>
          <w:highlight w:val="none"/>
          <w:lang w:eastAsia="zh-CN"/>
        </w:rPr>
      </w:pPr>
      <w:bookmarkStart w:id="275" w:name="_Toc5332"/>
      <w:bookmarkStart w:id="276" w:name="_Toc25200"/>
      <w:bookmarkStart w:id="277" w:name="_Toc31447"/>
      <w:bookmarkStart w:id="278" w:name="_Toc25700"/>
      <w:bookmarkStart w:id="279" w:name="_Toc11179"/>
      <w:bookmarkStart w:id="280" w:name="_Toc22560"/>
      <w:bookmarkStart w:id="281" w:name="_Toc515647774"/>
      <w:bookmarkStart w:id="282" w:name="_Toc22843"/>
      <w:bookmarkStart w:id="283" w:name="_Toc25925"/>
      <w:bookmarkStart w:id="284" w:name="_Toc9509"/>
      <w:bookmarkStart w:id="285" w:name="_Toc216582808"/>
      <w:bookmarkStart w:id="286" w:name="_Toc24071"/>
      <w:bookmarkStart w:id="287" w:name="_Toc16865"/>
      <w:bookmarkStart w:id="288" w:name="_Toc520356159"/>
      <w:bookmarkStart w:id="289" w:name="_Toc27533"/>
      <w:bookmarkStart w:id="290" w:name="_Toc11483"/>
      <w:r>
        <w:rPr>
          <w:rFonts w:hint="eastAsia" w:ascii="仿宋" w:hAnsi="仿宋" w:eastAsia="仿宋" w:cs="仿宋"/>
          <w:color w:val="auto"/>
          <w:sz w:val="28"/>
          <w:highlight w:val="none"/>
          <w:lang w:eastAsia="zh-CN"/>
        </w:rPr>
        <w:t>四 投标文件的递交</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14DF623A">
      <w:pPr>
        <w:pStyle w:val="4"/>
        <w:tabs>
          <w:tab w:val="left" w:pos="900"/>
        </w:tabs>
        <w:spacing w:before="0" w:after="0" w:line="288" w:lineRule="auto"/>
        <w:rPr>
          <w:rFonts w:hint="eastAsia" w:ascii="仿宋" w:hAnsi="仿宋" w:eastAsia="仿宋" w:cs="仿宋"/>
          <w:color w:val="auto"/>
          <w:highlight w:val="none"/>
          <w:lang w:eastAsia="zh-CN"/>
        </w:rPr>
      </w:pPr>
      <w:bookmarkStart w:id="291" w:name="_Toc520356160"/>
      <w:bookmarkStart w:id="292" w:name="_Toc32131"/>
      <w:bookmarkStart w:id="293" w:name="_Toc632"/>
      <w:bookmarkStart w:id="294" w:name="_Toc515647775"/>
      <w:bookmarkStart w:id="295" w:name="_Toc26195"/>
      <w:bookmarkStart w:id="296" w:name="_Toc32337"/>
      <w:bookmarkStart w:id="297" w:name="_Toc16795"/>
      <w:bookmarkStart w:id="298" w:name="_Toc6343"/>
      <w:bookmarkStart w:id="299" w:name="_Toc21645"/>
      <w:bookmarkStart w:id="300" w:name="_Toc26374"/>
      <w:r>
        <w:rPr>
          <w:rFonts w:hint="eastAsia" w:ascii="仿宋" w:hAnsi="仿宋" w:eastAsia="仿宋" w:cs="仿宋"/>
          <w:color w:val="auto"/>
          <w:highlight w:val="none"/>
          <w:lang w:eastAsia="zh-CN"/>
        </w:rPr>
        <w:t>15.投标文件的密封和标记</w:t>
      </w:r>
      <w:bookmarkEnd w:id="291"/>
      <w:bookmarkEnd w:id="292"/>
      <w:bookmarkEnd w:id="293"/>
      <w:bookmarkEnd w:id="294"/>
      <w:bookmarkEnd w:id="295"/>
      <w:bookmarkEnd w:id="296"/>
      <w:bookmarkEnd w:id="297"/>
      <w:bookmarkEnd w:id="298"/>
      <w:bookmarkEnd w:id="299"/>
      <w:bookmarkEnd w:id="300"/>
    </w:p>
    <w:p w14:paraId="42A83C52">
      <w:pPr>
        <w:tabs>
          <w:tab w:val="left" w:pos="-200"/>
          <w:tab w:val="left" w:pos="5580"/>
        </w:tabs>
        <w:spacing w:line="240" w:lineRule="atLeast"/>
        <w:ind w:left="960" w:hanging="960" w:hangingChars="400"/>
        <w:rPr>
          <w:rFonts w:hint="eastAsia" w:ascii="仿宋" w:hAnsi="仿宋" w:eastAsia="仿宋" w:cs="仿宋"/>
          <w:b/>
          <w:bCs/>
          <w:color w:val="auto"/>
          <w:sz w:val="24"/>
          <w:highlight w:val="none"/>
          <w:lang w:eastAsia="zh-CN"/>
        </w:rPr>
      </w:pPr>
      <w:r>
        <w:rPr>
          <w:rFonts w:hint="eastAsia" w:ascii="仿宋" w:hAnsi="仿宋" w:eastAsia="仿宋" w:cs="仿宋"/>
          <w:color w:val="auto"/>
          <w:sz w:val="24"/>
          <w:highlight w:val="none"/>
          <w:lang w:eastAsia="zh-CN"/>
        </w:rPr>
        <w:t xml:space="preserve">15.1    </w:t>
      </w:r>
      <w:r>
        <w:rPr>
          <w:rFonts w:hint="eastAsia" w:ascii="仿宋" w:hAnsi="仿宋" w:eastAsia="仿宋" w:cs="仿宋"/>
          <w:b/>
          <w:bCs/>
          <w:color w:val="auto"/>
          <w:sz w:val="24"/>
          <w:highlight w:val="none"/>
          <w:lang w:eastAsia="zh-CN"/>
        </w:rPr>
        <w:t>供应商应完整地按招标文件提供的投标文件格式及要求编写投标文件，供应商须在投标截止时间前完成在新疆政采云平台https://www.zcygov.cn 系统上递交电子投标文件。供应商的电子投标文件是经过CA证书加密后上传提交的，任何单位或个人均无法在投标截止时间之前查看或篡改，不存在泄密风险。（严格按照政采云电子投标流程制作并上传电子响应文件）</w:t>
      </w:r>
    </w:p>
    <w:p w14:paraId="4B083043">
      <w:pPr>
        <w:spacing w:line="288" w:lineRule="auto"/>
        <w:ind w:left="900" w:hanging="900" w:hangingChars="375"/>
        <w:rPr>
          <w:rFonts w:hint="eastAsia" w:ascii="仿宋" w:hAnsi="仿宋" w:eastAsia="仿宋" w:cs="仿宋"/>
          <w:color w:val="auto"/>
          <w:sz w:val="24"/>
          <w:highlight w:val="none"/>
          <w:lang w:eastAsia="zh-CN"/>
        </w:rPr>
      </w:pPr>
      <w:bookmarkStart w:id="301" w:name="_Toc28106"/>
      <w:r>
        <w:rPr>
          <w:rFonts w:hint="eastAsia" w:ascii="仿宋" w:hAnsi="仿宋" w:eastAsia="仿宋" w:cs="仿宋"/>
          <w:color w:val="auto"/>
          <w:sz w:val="24"/>
          <w:highlight w:val="none"/>
          <w:lang w:eastAsia="zh-CN"/>
        </w:rPr>
        <w:t xml:space="preserve">15.2   </w:t>
      </w:r>
      <w:bookmarkEnd w:id="301"/>
      <w:r>
        <w:rPr>
          <w:rFonts w:hint="eastAsia" w:ascii="仿宋" w:hAnsi="仿宋" w:eastAsia="仿宋" w:cs="仿宋"/>
          <w:color w:val="auto"/>
          <w:sz w:val="24"/>
          <w:highlight w:val="none"/>
          <w:lang w:eastAsia="zh-CN"/>
        </w:rPr>
        <w:t>供应商因自身原因导致电子投标文件无法导入电子评标系统的，该响应文件视为</w:t>
      </w:r>
      <w:r>
        <w:rPr>
          <w:rFonts w:hint="eastAsia" w:ascii="仿宋" w:hAnsi="仿宋" w:eastAsia="仿宋" w:cs="仿宋"/>
          <w:b/>
          <w:bCs/>
          <w:color w:val="auto"/>
          <w:sz w:val="24"/>
          <w:highlight w:val="none"/>
          <w:lang w:eastAsia="zh-CN"/>
        </w:rPr>
        <w:t>无效文件。</w:t>
      </w:r>
    </w:p>
    <w:p w14:paraId="569456BC">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15.3    电子投标文件具有法律效力,与其他形式的响应文件在内容和格式上等同，若投标文件与招标文件要求不一致，其内容影响成交结果时，责任由供应商自行承担。</w:t>
      </w:r>
    </w:p>
    <w:p w14:paraId="21702100">
      <w:pPr>
        <w:pStyle w:val="4"/>
        <w:tabs>
          <w:tab w:val="left" w:pos="900"/>
        </w:tabs>
        <w:spacing w:before="0" w:after="0" w:line="288" w:lineRule="auto"/>
        <w:rPr>
          <w:rFonts w:hint="eastAsia" w:ascii="仿宋" w:hAnsi="仿宋" w:eastAsia="仿宋" w:cs="仿宋"/>
          <w:color w:val="auto"/>
          <w:highlight w:val="none"/>
          <w:lang w:eastAsia="zh-CN"/>
        </w:rPr>
      </w:pPr>
      <w:bookmarkStart w:id="302" w:name="_Toc515647776"/>
      <w:bookmarkStart w:id="303" w:name="_Toc28170"/>
      <w:bookmarkStart w:id="304" w:name="_Toc27547"/>
      <w:bookmarkStart w:id="305" w:name="_Toc9840"/>
      <w:bookmarkStart w:id="306" w:name="_Toc17361"/>
      <w:bookmarkStart w:id="307" w:name="_Toc7106"/>
      <w:bookmarkStart w:id="308" w:name="_Toc520356161"/>
      <w:bookmarkStart w:id="309" w:name="_Toc1456"/>
      <w:bookmarkStart w:id="310" w:name="_Toc12751"/>
      <w:bookmarkStart w:id="311" w:name="_Toc24017"/>
      <w:r>
        <w:rPr>
          <w:rFonts w:hint="eastAsia" w:ascii="仿宋" w:hAnsi="仿宋" w:eastAsia="仿宋" w:cs="仿宋"/>
          <w:color w:val="auto"/>
          <w:highlight w:val="none"/>
          <w:lang w:eastAsia="zh-CN"/>
        </w:rPr>
        <w:t>16.投标截止</w:t>
      </w:r>
      <w:bookmarkEnd w:id="302"/>
      <w:bookmarkEnd w:id="303"/>
      <w:bookmarkEnd w:id="304"/>
      <w:bookmarkEnd w:id="305"/>
      <w:bookmarkEnd w:id="306"/>
      <w:bookmarkEnd w:id="307"/>
      <w:bookmarkEnd w:id="308"/>
      <w:bookmarkEnd w:id="309"/>
      <w:bookmarkEnd w:id="310"/>
      <w:bookmarkEnd w:id="311"/>
    </w:p>
    <w:p w14:paraId="051BA5BB">
      <w:pPr>
        <w:spacing w:line="240" w:lineRule="atLeast"/>
        <w:ind w:left="900" w:hanging="900" w:hangingChars="375"/>
        <w:rPr>
          <w:rFonts w:hint="eastAsia" w:ascii="仿宋" w:hAnsi="仿宋" w:eastAsia="仿宋" w:cs="仿宋"/>
          <w:b/>
          <w:bCs/>
          <w:color w:val="auto"/>
          <w:sz w:val="24"/>
          <w:highlight w:val="none"/>
          <w:lang w:eastAsia="zh-CN"/>
        </w:rPr>
      </w:pPr>
      <w:r>
        <w:rPr>
          <w:rFonts w:hint="eastAsia" w:ascii="仿宋" w:hAnsi="仿宋" w:eastAsia="仿宋" w:cs="仿宋"/>
          <w:color w:val="auto"/>
          <w:sz w:val="24"/>
          <w:highlight w:val="none"/>
          <w:lang w:eastAsia="zh-CN"/>
        </w:rPr>
        <w:t>16.1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投标人应在</w:t>
      </w:r>
      <w:r>
        <w:rPr>
          <w:rFonts w:hint="eastAsia" w:ascii="仿宋" w:hAnsi="仿宋" w:eastAsia="仿宋" w:cs="仿宋"/>
          <w:b/>
          <w:bCs/>
          <w:color w:val="auto"/>
          <w:sz w:val="24"/>
          <w:highlight w:val="none"/>
          <w:u w:val="single"/>
          <w:lang w:eastAsia="zh-CN"/>
        </w:rPr>
        <w:t>投标人须知资料表</w:t>
      </w:r>
      <w:r>
        <w:rPr>
          <w:rFonts w:hint="eastAsia" w:ascii="仿宋" w:hAnsi="仿宋" w:eastAsia="仿宋" w:cs="仿宋"/>
          <w:color w:val="auto"/>
          <w:sz w:val="24"/>
          <w:highlight w:val="none"/>
          <w:lang w:eastAsia="zh-CN"/>
        </w:rPr>
        <w:t>中规定的截止时间前，将投标文件递交到招标公告中规定的地点。</w:t>
      </w:r>
      <w:r>
        <w:rPr>
          <w:rFonts w:hint="eastAsia" w:ascii="仿宋" w:hAnsi="仿宋" w:eastAsia="仿宋" w:cs="仿宋"/>
          <w:b/>
          <w:bCs/>
          <w:color w:val="auto"/>
          <w:sz w:val="24"/>
          <w:highlight w:val="none"/>
          <w:lang w:eastAsia="zh-CN"/>
        </w:rPr>
        <w:t>解密时间30分钟，逾期未解密的视为投标无效。</w:t>
      </w:r>
    </w:p>
    <w:p w14:paraId="35CCEBB3">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16.2</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采购人和采购代理机构有权按本须知的规定，延迟投标截止时间。在此情况下，采购人、采购代理机构和投标人受投标截止时间制约的所有权利和义务均应延长至新的截止时间。</w:t>
      </w:r>
    </w:p>
    <w:p w14:paraId="05DA7F50">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16.3</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采购人和采购代理机构将拒绝接收在投标截止时间后上传的投标文件</w:t>
      </w:r>
    </w:p>
    <w:p w14:paraId="0641D4F1">
      <w:pPr>
        <w:pStyle w:val="4"/>
        <w:spacing w:before="0" w:after="0" w:line="240" w:lineRule="atLeast"/>
        <w:rPr>
          <w:rFonts w:hint="eastAsia" w:ascii="仿宋" w:hAnsi="仿宋" w:eastAsia="仿宋" w:cs="仿宋"/>
          <w:color w:val="auto"/>
          <w:highlight w:val="none"/>
          <w:lang w:eastAsia="zh-CN"/>
        </w:rPr>
      </w:pPr>
      <w:bookmarkStart w:id="312" w:name="_Toc5718"/>
      <w:bookmarkStart w:id="313" w:name="_Toc21703"/>
      <w:bookmarkStart w:id="314" w:name="_Toc18537"/>
      <w:bookmarkStart w:id="315" w:name="_Toc24275"/>
      <w:bookmarkStart w:id="316" w:name="_Toc24785"/>
      <w:bookmarkStart w:id="317" w:name="_Toc515647777"/>
      <w:bookmarkStart w:id="318" w:name="_Toc9987"/>
      <w:bookmarkStart w:id="319" w:name="_Toc520356162"/>
      <w:bookmarkStart w:id="320" w:name="_Toc11458"/>
      <w:bookmarkStart w:id="321" w:name="_Toc31670"/>
      <w:r>
        <w:rPr>
          <w:rFonts w:hint="eastAsia" w:ascii="仿宋" w:hAnsi="仿宋" w:eastAsia="仿宋" w:cs="仿宋"/>
          <w:color w:val="auto"/>
          <w:highlight w:val="none"/>
          <w:lang w:eastAsia="zh-CN"/>
        </w:rPr>
        <w:t>17.投标文件的接收、修改与撤回</w:t>
      </w:r>
      <w:bookmarkEnd w:id="312"/>
      <w:bookmarkEnd w:id="313"/>
      <w:bookmarkEnd w:id="314"/>
      <w:bookmarkEnd w:id="315"/>
      <w:bookmarkEnd w:id="316"/>
      <w:bookmarkEnd w:id="317"/>
      <w:bookmarkEnd w:id="318"/>
      <w:bookmarkEnd w:id="319"/>
      <w:bookmarkEnd w:id="320"/>
      <w:bookmarkEnd w:id="321"/>
    </w:p>
    <w:p w14:paraId="54F668EC">
      <w:pPr>
        <w:spacing w:line="240" w:lineRule="atLeast"/>
        <w:ind w:left="900" w:hanging="900" w:hangingChars="375"/>
        <w:rPr>
          <w:rFonts w:hint="eastAsia" w:ascii="仿宋" w:hAnsi="仿宋" w:eastAsia="仿宋" w:cs="仿宋"/>
          <w:b/>
          <w:color w:val="auto"/>
          <w:highlight w:val="none"/>
          <w:lang w:eastAsia="zh-CN"/>
        </w:rPr>
      </w:pPr>
      <w:r>
        <w:rPr>
          <w:rFonts w:hint="eastAsia" w:ascii="仿宋" w:hAnsi="仿宋" w:eastAsia="仿宋" w:cs="仿宋"/>
          <w:color w:val="auto"/>
          <w:sz w:val="24"/>
          <w:highlight w:val="none"/>
          <w:lang w:eastAsia="zh-CN"/>
        </w:rPr>
        <w:t>17.1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在投标截止时间后上传投标文件的，采购人和采购代理机构将</w:t>
      </w:r>
      <w:r>
        <w:rPr>
          <w:rFonts w:hint="eastAsia" w:ascii="仿宋" w:hAnsi="仿宋" w:eastAsia="仿宋" w:cs="仿宋"/>
          <w:b/>
          <w:bCs/>
          <w:color w:val="auto"/>
          <w:sz w:val="24"/>
          <w:highlight w:val="none"/>
          <w:lang w:eastAsia="zh-CN"/>
        </w:rPr>
        <w:t>拒绝接收</w:t>
      </w:r>
      <w:r>
        <w:rPr>
          <w:rFonts w:hint="eastAsia" w:ascii="仿宋" w:hAnsi="仿宋" w:eastAsia="仿宋" w:cs="仿宋"/>
          <w:color w:val="auto"/>
          <w:sz w:val="24"/>
          <w:highlight w:val="none"/>
          <w:lang w:eastAsia="zh-CN"/>
        </w:rPr>
        <w:t>。</w:t>
      </w:r>
    </w:p>
    <w:p w14:paraId="08B63CF0">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17.2</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采购人或者采购代理机构收到投标文件后，应当如实记载投标文件的送达时间和密封情况。</w:t>
      </w:r>
    </w:p>
    <w:p w14:paraId="0FE17267">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17.3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递交投标文件以后，如果投标人要进行修改或撤回投标，须提出书面申请并在投标截止时间前上传至</w:t>
      </w:r>
      <w:r>
        <w:rPr>
          <w:rFonts w:hint="eastAsia" w:ascii="仿宋" w:hAnsi="仿宋" w:eastAsia="仿宋" w:cs="仿宋"/>
          <w:b/>
          <w:bCs/>
          <w:color w:val="auto"/>
          <w:sz w:val="24"/>
          <w:highlight w:val="none"/>
        </w:rPr>
        <w:t>新疆政采云平台https://www.zcygov.cn</w:t>
      </w:r>
      <w:r>
        <w:rPr>
          <w:rFonts w:hint="eastAsia" w:ascii="仿宋" w:hAnsi="仿宋" w:eastAsia="仿宋" w:cs="仿宋"/>
          <w:color w:val="auto"/>
          <w:sz w:val="24"/>
          <w:highlight w:val="none"/>
        </w:rPr>
        <w:t>，投标人对投标文件的修改或撤回通知应按本须知规定编制、密封、标记。</w:t>
      </w:r>
      <w:r>
        <w:rPr>
          <w:rFonts w:hint="eastAsia" w:ascii="仿宋" w:hAnsi="仿宋" w:eastAsia="仿宋" w:cs="仿宋"/>
          <w:color w:val="auto"/>
          <w:sz w:val="24"/>
          <w:highlight w:val="none"/>
          <w:lang w:eastAsia="zh-CN"/>
        </w:rPr>
        <w:t>采购人和采购代理机构将予以接收，并视为投标文件的组成部分。</w:t>
      </w:r>
    </w:p>
    <w:p w14:paraId="19AB5F2E">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17.4</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在投标截止期之后，采购人和采购代理机构不接受投标人主动对其投标文件做任何修改。</w:t>
      </w:r>
    </w:p>
    <w:p w14:paraId="7A6E236B">
      <w:pPr>
        <w:spacing w:line="288" w:lineRule="auto"/>
        <w:ind w:left="900" w:hanging="900" w:hangingChars="375"/>
        <w:rPr>
          <w:rFonts w:hint="eastAsia" w:ascii="仿宋" w:hAnsi="仿宋" w:eastAsia="仿宋" w:cs="仿宋"/>
          <w:color w:val="auto"/>
          <w:sz w:val="24"/>
          <w:highlight w:val="none"/>
          <w:lang w:eastAsia="zh-CN"/>
        </w:rPr>
      </w:pPr>
      <w:bookmarkStart w:id="322" w:name="_Toc13495"/>
      <w:bookmarkStart w:id="323" w:name="_Toc19583"/>
      <w:bookmarkStart w:id="324" w:name="_Toc26872"/>
      <w:r>
        <w:rPr>
          <w:rFonts w:hint="eastAsia" w:ascii="仿宋" w:hAnsi="仿宋" w:eastAsia="仿宋" w:cs="仿宋"/>
          <w:color w:val="auto"/>
          <w:sz w:val="24"/>
          <w:highlight w:val="none"/>
          <w:lang w:eastAsia="zh-CN"/>
        </w:rPr>
        <w:t>17.5</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采购人和采购代理机构对所接收投标文件概不退回。</w:t>
      </w:r>
      <w:bookmarkEnd w:id="322"/>
      <w:bookmarkEnd w:id="323"/>
      <w:bookmarkEnd w:id="324"/>
    </w:p>
    <w:p w14:paraId="338926C5">
      <w:pPr>
        <w:pStyle w:val="3"/>
        <w:spacing w:before="0" w:line="288" w:lineRule="auto"/>
        <w:ind w:left="1080" w:leftChars="257" w:hanging="540"/>
        <w:rPr>
          <w:rFonts w:hint="eastAsia" w:ascii="仿宋" w:hAnsi="仿宋" w:eastAsia="仿宋" w:cs="仿宋"/>
          <w:color w:val="auto"/>
          <w:sz w:val="28"/>
          <w:highlight w:val="none"/>
        </w:rPr>
      </w:pPr>
      <w:bookmarkStart w:id="325" w:name="_Toc520356163"/>
      <w:bookmarkStart w:id="326" w:name="_Toc216582809"/>
      <w:bookmarkStart w:id="327" w:name="_Toc28398"/>
      <w:bookmarkStart w:id="328" w:name="_Toc28581"/>
      <w:bookmarkStart w:id="329" w:name="_Toc6326"/>
      <w:bookmarkStart w:id="330" w:name="_Toc5077"/>
      <w:bookmarkStart w:id="331" w:name="_Toc12436"/>
      <w:bookmarkStart w:id="332" w:name="_Toc26876"/>
      <w:bookmarkStart w:id="333" w:name="_Toc26891"/>
      <w:bookmarkStart w:id="334" w:name="_Toc4683"/>
      <w:bookmarkStart w:id="335" w:name="_Toc20246"/>
      <w:bookmarkStart w:id="336" w:name="_Toc1135"/>
      <w:bookmarkStart w:id="337" w:name="_Toc22638"/>
      <w:bookmarkStart w:id="338" w:name="_Toc515647778"/>
      <w:bookmarkStart w:id="339" w:name="_Toc25610"/>
      <w:bookmarkStart w:id="340" w:name="_Toc27778"/>
      <w:bookmarkStart w:id="341" w:name="_Toc19296"/>
      <w:bookmarkStart w:id="342" w:name="_Toc31290"/>
      <w:bookmarkStart w:id="343" w:name="_Toc515647780"/>
      <w:bookmarkStart w:id="344" w:name="_Toc21372"/>
      <w:r>
        <w:rPr>
          <w:rFonts w:hint="eastAsia" w:ascii="仿宋" w:hAnsi="仿宋" w:eastAsia="仿宋" w:cs="仿宋"/>
          <w:color w:val="auto"/>
          <w:sz w:val="28"/>
          <w:highlight w:val="none"/>
        </w:rPr>
        <w:t>五 开标及评标</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74646D0B">
      <w:pPr>
        <w:pStyle w:val="4"/>
        <w:numPr>
          <w:ilvl w:val="0"/>
          <w:numId w:val="3"/>
        </w:numPr>
        <w:spacing w:line="288" w:lineRule="auto"/>
        <w:rPr>
          <w:rFonts w:hint="eastAsia" w:ascii="仿宋" w:hAnsi="仿宋" w:eastAsia="仿宋" w:cs="仿宋"/>
          <w:color w:val="auto"/>
          <w:highlight w:val="none"/>
        </w:rPr>
      </w:pPr>
      <w:bookmarkStart w:id="345" w:name="_Toc32258"/>
      <w:bookmarkStart w:id="346" w:name="_Toc18521"/>
      <w:bookmarkStart w:id="347" w:name="_Toc15239"/>
      <w:bookmarkStart w:id="348" w:name="_Toc25345"/>
      <w:bookmarkStart w:id="349" w:name="_Toc30168"/>
      <w:bookmarkStart w:id="350" w:name="_Toc11395"/>
      <w:bookmarkStart w:id="351" w:name="_Toc520356164"/>
      <w:bookmarkStart w:id="352" w:name="_Toc433"/>
      <w:bookmarkStart w:id="353" w:name="_Toc6310"/>
      <w:bookmarkStart w:id="354" w:name="_Toc17235"/>
      <w:bookmarkStart w:id="355" w:name="_Toc21932"/>
      <w:bookmarkStart w:id="356" w:name="_Toc7186"/>
      <w:bookmarkStart w:id="357" w:name="_Toc17257"/>
      <w:bookmarkStart w:id="358" w:name="_Toc28774"/>
      <w:bookmarkStart w:id="359" w:name="_Toc515647779"/>
      <w:r>
        <w:rPr>
          <w:rFonts w:hint="eastAsia" w:ascii="仿宋" w:hAnsi="仿宋" w:eastAsia="仿宋" w:cs="仿宋"/>
          <w:color w:val="auto"/>
          <w:highlight w:val="none"/>
        </w:rPr>
        <w:t>开标</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1F801376">
      <w:pPr>
        <w:numPr>
          <w:ilvl w:val="1"/>
          <w:numId w:val="3"/>
        </w:num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采购人和采购代理机构将按</w:t>
      </w:r>
      <w:r>
        <w:rPr>
          <w:rFonts w:hint="eastAsia" w:ascii="仿宋" w:hAnsi="仿宋" w:eastAsia="仿宋" w:cs="仿宋"/>
          <w:color w:val="auto"/>
          <w:sz w:val="24"/>
          <w:highlight w:val="none"/>
          <w:u w:val="single" w:color="000000"/>
          <w:lang w:eastAsia="zh-CN"/>
        </w:rPr>
        <w:t>投标人须知资料表</w:t>
      </w:r>
      <w:r>
        <w:rPr>
          <w:rFonts w:hint="eastAsia" w:ascii="仿宋" w:hAnsi="仿宋" w:eastAsia="仿宋" w:cs="仿宋"/>
          <w:color w:val="auto"/>
          <w:sz w:val="24"/>
          <w:highlight w:val="none"/>
          <w:lang w:eastAsia="zh-CN"/>
        </w:rPr>
        <w:t>中规定的开标时间和地点组织公开开标并邀请所有投标人代表参加。</w:t>
      </w:r>
    </w:p>
    <w:p w14:paraId="53D3F7E5">
      <w:pPr>
        <w:spacing w:line="288" w:lineRule="auto"/>
        <w:ind w:left="735" w:leftChars="350" w:firstLine="120" w:firstLineChars="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投标人不足3家的，不得开标。</w:t>
      </w:r>
    </w:p>
    <w:p w14:paraId="086902D5">
      <w:pPr>
        <w:spacing w:line="288" w:lineRule="auto"/>
        <w:ind w:left="960" w:hanging="960" w:hangingChars="4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18.2   </w:t>
      </w:r>
      <w:r>
        <w:rPr>
          <w:rFonts w:hint="eastAsia" w:ascii="仿宋" w:hAnsi="仿宋" w:eastAsia="仿宋" w:cs="仿宋"/>
          <w:b/>
          <w:bCs/>
          <w:color w:val="auto"/>
          <w:sz w:val="24"/>
          <w:highlight w:val="none"/>
          <w:lang w:eastAsia="zh-CN"/>
        </w:rPr>
        <w:t>开标时，由代理机构工作人员点击响应文件解密流程，解密时间为30分钟。解密时间截止后经记录，由采购人或采购代理机构开启开标一览表，宣读投标人名称、投标价格及招标文件规定的内容。对于投标人在投标截止期前递交的投标声明，在开标时当众宣读，评标时有效。未宣读投标价格、价格折扣等实质内容，评标时不予承认。逾期未解密的视为投标无效</w:t>
      </w:r>
      <w:r>
        <w:rPr>
          <w:rFonts w:hint="eastAsia" w:ascii="仿宋" w:hAnsi="仿宋" w:eastAsia="仿宋" w:cs="仿宋"/>
          <w:color w:val="auto"/>
          <w:sz w:val="24"/>
          <w:highlight w:val="none"/>
          <w:lang w:eastAsia="zh-CN"/>
        </w:rPr>
        <w:t>。</w:t>
      </w:r>
    </w:p>
    <w:p w14:paraId="54295F98">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18.3   采购人或采购代理机构将对开标过程进行记录，由参加开标的各投标人代表和相关工作人员签字确认，并存档备查。</w:t>
      </w:r>
    </w:p>
    <w:p w14:paraId="3224403E">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18.4    投标人代表对开标过程和开标记录有疑义，以及认为采购人、采购代理机构相关工作人员有需要回避的情形的，应当场提出询问或者回避申请。</w:t>
      </w:r>
    </w:p>
    <w:p w14:paraId="5D90F138">
      <w:pPr>
        <w:pStyle w:val="4"/>
        <w:spacing w:before="0" w:after="0" w:line="288" w:lineRule="auto"/>
        <w:rPr>
          <w:rFonts w:hint="eastAsia" w:ascii="仿宋" w:hAnsi="仿宋" w:eastAsia="仿宋" w:cs="仿宋"/>
          <w:color w:val="auto"/>
          <w:highlight w:val="none"/>
          <w:lang w:eastAsia="zh-CN"/>
        </w:rPr>
      </w:pPr>
      <w:bookmarkStart w:id="360" w:name="_Toc1719"/>
      <w:bookmarkStart w:id="361" w:name="_Toc10635"/>
      <w:bookmarkStart w:id="362" w:name="_Toc1947"/>
      <w:bookmarkStart w:id="363" w:name="_Toc16060"/>
      <w:bookmarkStart w:id="364" w:name="_Toc12012"/>
      <w:bookmarkStart w:id="365" w:name="_Toc30404"/>
      <w:bookmarkStart w:id="366" w:name="_Toc10173"/>
      <w:bookmarkStart w:id="367" w:name="_Toc13177"/>
      <w:bookmarkStart w:id="368" w:name="_Toc3739"/>
      <w:bookmarkStart w:id="369" w:name="_Toc11574"/>
      <w:r>
        <w:rPr>
          <w:rFonts w:hint="eastAsia" w:ascii="仿宋" w:hAnsi="仿宋" w:eastAsia="仿宋" w:cs="仿宋"/>
          <w:color w:val="auto"/>
          <w:highlight w:val="none"/>
          <w:lang w:eastAsia="zh-CN"/>
        </w:rPr>
        <w:t>19.资格审查及组建评标委员会</w:t>
      </w:r>
      <w:bookmarkEnd w:id="341"/>
      <w:bookmarkEnd w:id="342"/>
      <w:bookmarkEnd w:id="343"/>
      <w:bookmarkEnd w:id="344"/>
      <w:bookmarkEnd w:id="360"/>
      <w:bookmarkEnd w:id="361"/>
      <w:bookmarkEnd w:id="362"/>
      <w:bookmarkEnd w:id="363"/>
      <w:bookmarkEnd w:id="364"/>
      <w:bookmarkEnd w:id="365"/>
      <w:bookmarkEnd w:id="366"/>
      <w:bookmarkEnd w:id="367"/>
      <w:bookmarkEnd w:id="368"/>
      <w:bookmarkEnd w:id="369"/>
    </w:p>
    <w:p w14:paraId="4A186996">
      <w:pPr>
        <w:spacing w:line="288" w:lineRule="auto"/>
        <w:ind w:left="960" w:hanging="960" w:hangingChars="4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19.1    采购人或采购代理机构依据法律法规和招标文件中规定的内容，对投标人及其货物的资格进行审查，未通过资格审查的投标人不进入评标；通过资格审查的投标人少于不足三家的，不得评标。</w:t>
      </w:r>
    </w:p>
    <w:p w14:paraId="3CF3FD52">
      <w:pPr>
        <w:spacing w:line="240" w:lineRule="atLeast"/>
        <w:ind w:left="857" w:leftChars="2" w:hanging="853"/>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19.2</w:t>
      </w:r>
      <w:bookmarkStart w:id="370" w:name="_Toc520356166"/>
      <w:r>
        <w:rPr>
          <w:rFonts w:hint="eastAsia" w:ascii="仿宋" w:hAnsi="仿宋" w:eastAsia="仿宋" w:cs="仿宋"/>
          <w:color w:val="auto"/>
          <w:sz w:val="24"/>
          <w:highlight w:val="none"/>
          <w:lang w:eastAsia="zh-CN"/>
        </w:rPr>
        <w:t>采购人或采购代理机构将在开标前1个工作日至投标截止后1小时的期间内查询投标人的信用记录。投标人存在不良信用记录的，其投标将被认定为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0CDAF7DF">
      <w:pPr>
        <w:spacing w:line="240" w:lineRule="atLeast"/>
        <w:ind w:left="857" w:leftChars="2" w:hanging="853"/>
        <w:rPr>
          <w:rFonts w:hint="eastAsia" w:ascii="仿宋" w:hAnsi="仿宋" w:eastAsia="仿宋" w:cs="仿宋"/>
          <w:color w:val="auto"/>
          <w:sz w:val="24"/>
          <w:highlight w:val="none"/>
        </w:rPr>
      </w:pPr>
      <w:r>
        <w:rPr>
          <w:rFonts w:hint="eastAsia" w:ascii="仿宋" w:hAnsi="仿宋" w:eastAsia="仿宋" w:cs="仿宋"/>
          <w:color w:val="auto"/>
          <w:sz w:val="24"/>
          <w:highlight w:val="none"/>
        </w:rPr>
        <w:t>19.2.1 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14:paraId="78681E1F">
      <w:pPr>
        <w:spacing w:line="240" w:lineRule="atLeast"/>
        <w:ind w:left="857" w:leftChars="2" w:hanging="853"/>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以联合体形式参加投标的，联合体任何成员存在以上不良信用记录的，联合体投标将被认定为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7691B127">
      <w:pPr>
        <w:spacing w:line="240" w:lineRule="atLeast"/>
        <w:ind w:left="857" w:leftChars="2" w:hanging="853"/>
        <w:rPr>
          <w:rFonts w:hint="eastAsia" w:ascii="仿宋" w:hAnsi="仿宋" w:eastAsia="仿宋" w:cs="仿宋"/>
          <w:color w:val="auto"/>
          <w:sz w:val="24"/>
          <w:highlight w:val="none"/>
          <w:lang w:eastAsia="zh-CN"/>
        </w:rPr>
      </w:pPr>
      <w:r>
        <w:rPr>
          <w:rFonts w:hint="eastAsia" w:ascii="仿宋" w:hAnsi="仿宋" w:eastAsia="仿宋" w:cs="仿宋"/>
          <w:color w:val="auto"/>
          <w:highlight w:val="none"/>
          <w:lang w:eastAsia="zh-CN"/>
        </w:rPr>
        <w:t xml:space="preserve">19.2.2 </w:t>
      </w:r>
      <w:r>
        <w:rPr>
          <w:rFonts w:hint="eastAsia" w:ascii="仿宋" w:hAnsi="仿宋" w:eastAsia="仿宋" w:cs="仿宋"/>
          <w:color w:val="auto"/>
          <w:sz w:val="24"/>
          <w:highlight w:val="none"/>
          <w:lang w:eastAsia="zh-CN"/>
        </w:rPr>
        <w:t>查询及记录方式：采购人或采购代理机构经办人将查询网页打印、签字并存档备查。投标人不良信用记录以采购人或采购代理机构查询结果为准。</w:t>
      </w:r>
    </w:p>
    <w:p w14:paraId="0F8F7114">
      <w:pPr>
        <w:spacing w:line="240" w:lineRule="atLeast"/>
        <w:ind w:left="969" w:leftChars="458" w:hanging="7" w:hangingChars="3"/>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在本招标文件规定的查询时间之后，网站信息发生的任何变更均不再作为评标依据。</w:t>
      </w:r>
    </w:p>
    <w:p w14:paraId="51F49112">
      <w:pPr>
        <w:spacing w:line="240" w:lineRule="atLeast"/>
        <w:ind w:left="969" w:leftChars="458" w:hanging="7" w:hangingChars="3"/>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投标人自行提供的与网站信息不一致的其他证明材料亦不作为资格审查依据。</w:t>
      </w:r>
    </w:p>
    <w:p w14:paraId="2CEC9246">
      <w:pPr>
        <w:pStyle w:val="17"/>
        <w:ind w:left="960" w:hanging="960" w:hangingChars="400"/>
        <w:rPr>
          <w:rFonts w:hint="eastAsia" w:ascii="仿宋" w:hAnsi="仿宋" w:eastAsia="仿宋" w:cs="仿宋"/>
          <w:color w:val="auto"/>
          <w:highlight w:val="none"/>
          <w:lang w:eastAsia="zh-CN"/>
        </w:rPr>
      </w:pPr>
      <w:r>
        <w:rPr>
          <w:rFonts w:hint="eastAsia" w:ascii="仿宋" w:hAnsi="仿宋" w:eastAsia="仿宋" w:cs="仿宋"/>
          <w:color w:val="auto"/>
          <w:sz w:val="24"/>
          <w:highlight w:val="none"/>
          <w:lang w:eastAsia="zh-CN"/>
        </w:rPr>
        <w:t>19.3   按照《中华人民共和国政府采购法》、《中华人民共和国政府采购法实施条例》及本项目本级和上级财政部门的有关规定依法组建的评标委员会，负责评标工作。</w:t>
      </w:r>
      <w:r>
        <w:rPr>
          <w:rFonts w:hint="eastAsia" w:ascii="仿宋" w:hAnsi="仿宋" w:eastAsia="仿宋" w:cs="仿宋"/>
          <w:b/>
          <w:bCs/>
          <w:color w:val="auto"/>
          <w:sz w:val="24"/>
          <w:highlight w:val="none"/>
          <w:u w:val="single"/>
          <w:lang w:eastAsia="zh-CN"/>
        </w:rPr>
        <w:t>本项目评标委员会由5人单数组成，其中：业主代表1人，评委4人（政采云专家库随机抽取）。</w:t>
      </w:r>
    </w:p>
    <w:p w14:paraId="2A3FA84D">
      <w:pPr>
        <w:pStyle w:val="17"/>
        <w:rPr>
          <w:rFonts w:hint="eastAsia" w:ascii="仿宋" w:hAnsi="仿宋" w:eastAsia="仿宋" w:cs="仿宋"/>
          <w:color w:val="auto"/>
          <w:highlight w:val="none"/>
          <w:lang w:eastAsia="zh-CN"/>
        </w:rPr>
      </w:pPr>
    </w:p>
    <w:p w14:paraId="31F4AE24">
      <w:pPr>
        <w:pStyle w:val="4"/>
        <w:spacing w:before="0" w:after="0" w:line="288" w:lineRule="auto"/>
        <w:rPr>
          <w:rFonts w:hint="eastAsia" w:ascii="仿宋" w:hAnsi="仿宋" w:eastAsia="仿宋" w:cs="仿宋"/>
          <w:b w:val="0"/>
          <w:bCs/>
          <w:color w:val="auto"/>
          <w:highlight w:val="none"/>
          <w:bdr w:val="single" w:color="auto" w:sz="4" w:space="0"/>
          <w:lang w:eastAsia="zh-CN"/>
        </w:rPr>
      </w:pPr>
      <w:bookmarkStart w:id="371" w:name="_Toc2541"/>
      <w:bookmarkStart w:id="372" w:name="_Toc23586"/>
      <w:bookmarkStart w:id="373" w:name="_Toc29906"/>
      <w:bookmarkStart w:id="374" w:name="_Toc13960"/>
      <w:bookmarkStart w:id="375" w:name="_Toc19949"/>
      <w:bookmarkStart w:id="376" w:name="_Toc26332"/>
      <w:bookmarkStart w:id="377" w:name="_Toc28479"/>
      <w:bookmarkStart w:id="378" w:name="_Toc23153"/>
      <w:bookmarkStart w:id="379" w:name="_Toc21183"/>
      <w:bookmarkStart w:id="380" w:name="_Toc25418"/>
      <w:bookmarkStart w:id="381" w:name="_Toc12297"/>
      <w:bookmarkStart w:id="382" w:name="_Toc515647781"/>
      <w:bookmarkStart w:id="383" w:name="_Toc30633"/>
      <w:bookmarkStart w:id="384" w:name="_Toc20899"/>
      <w:r>
        <w:rPr>
          <w:rFonts w:hint="eastAsia" w:ascii="仿宋" w:hAnsi="仿宋" w:eastAsia="仿宋" w:cs="仿宋"/>
          <w:color w:val="auto"/>
          <w:highlight w:val="none"/>
          <w:lang w:eastAsia="zh-CN"/>
        </w:rPr>
        <w:t>20.投标文件</w:t>
      </w:r>
      <w:bookmarkEnd w:id="370"/>
      <w:r>
        <w:rPr>
          <w:rFonts w:hint="eastAsia" w:ascii="仿宋" w:hAnsi="仿宋" w:eastAsia="仿宋" w:cs="仿宋"/>
          <w:color w:val="auto"/>
          <w:highlight w:val="none"/>
          <w:lang w:eastAsia="zh-CN"/>
        </w:rPr>
        <w:t>符合性审查与澄清</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0E4C89F2">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20.1   符合性审查是指依据招标文件的规定，从投标文件的有效性和完整性对招标文件的响应程度进行审查，以确定是否对招标文件的实质性要求做出响应。</w:t>
      </w:r>
      <w:bookmarkStart w:id="385" w:name="_Hlt522424701"/>
      <w:bookmarkEnd w:id="385"/>
      <w:bookmarkStart w:id="386" w:name="_Toc520356167"/>
    </w:p>
    <w:p w14:paraId="3302905C">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投标文件的澄清</w:t>
      </w:r>
    </w:p>
    <w:p w14:paraId="11319A9E">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14:paraId="47762D82">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20.2.2  投标人的的澄清、说明或补正将作为投标文件的一部分。</w:t>
      </w:r>
    </w:p>
    <w:p w14:paraId="6BAF3AAE">
      <w:pPr>
        <w:spacing w:line="288" w:lineRule="auto"/>
        <w:ind w:left="904" w:hanging="904" w:hangingChars="375"/>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20.3  投标文件报价出现前后不一致的，按照下列规定修正：</w:t>
      </w:r>
    </w:p>
    <w:p w14:paraId="26D7B3B4">
      <w:pPr>
        <w:spacing w:line="288" w:lineRule="auto"/>
        <w:ind w:left="1019" w:leftChars="228" w:hanging="540" w:hangingChars="22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（一）投标文件中开标一览表（报价表）内容与投标文件中相应内容不一致的，以开标一览表（报价表）为准；</w:t>
      </w:r>
    </w:p>
    <w:p w14:paraId="0D596815">
      <w:pPr>
        <w:spacing w:line="288" w:lineRule="auto"/>
        <w:ind w:left="899" w:leftChars="228" w:hanging="420" w:hangingChars="1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（二）大写金额和小写金额不一致的，以大写金额为准；</w:t>
      </w:r>
    </w:p>
    <w:p w14:paraId="0DF14426">
      <w:pPr>
        <w:spacing w:line="288" w:lineRule="auto"/>
        <w:ind w:left="1019" w:leftChars="114" w:hanging="780" w:hangingChars="32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（三）单价金额小数点或者百分比有明显错位的，以开标一览表的总价为准，并修改单价；</w:t>
      </w:r>
    </w:p>
    <w:p w14:paraId="3D30D200">
      <w:pPr>
        <w:spacing w:line="288" w:lineRule="auto"/>
        <w:ind w:left="899" w:leftChars="114" w:hanging="660" w:hangingChars="2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（四）总价金额与按单价汇总金额不一致的，以单价金额计算结果为准。</w:t>
      </w:r>
    </w:p>
    <w:p w14:paraId="6241CC81">
      <w:pPr>
        <w:spacing w:line="288" w:lineRule="auto"/>
        <w:ind w:left="899" w:leftChars="228" w:hanging="420" w:hangingChars="1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同时出现两种以上不一致的，按照前款规定的顺序修正。修正后的报价按照第20.2条的规定经投标人确认后产生约束力，投标人不确认的，其投标将被认定为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082B0009">
      <w:pPr>
        <w:spacing w:line="288" w:lineRule="auto"/>
        <w:ind w:left="735" w:leftChars="350" w:firstLine="120" w:firstLineChars="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对不同文字文本投标文件的解释发生异议的，以中文文本为准。</w:t>
      </w:r>
    </w:p>
    <w:p w14:paraId="7F92C660">
      <w:pPr>
        <w:spacing w:line="288" w:lineRule="auto"/>
        <w:ind w:left="904" w:hanging="904" w:hangingChars="375"/>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20.4   如一个分包内只有一种产品，不同投标人所投产品为同一品牌的，按如下方式处理：</w:t>
      </w:r>
    </w:p>
    <w:p w14:paraId="557E2A5F">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20.4.1  如本项目使用最低评标价法，提供相同品牌产品的不同投标人以其中通过资格审查、符合性审查且报价最低的参加评标；报价相同的，由采购人或者采购人委托评标委员会按照招标文件第六章中评标办法规定的方式确定一个参加评标的投标人；未规定的采取随机抽取方式确定，其他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159AC5AB">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第六章中评标办法规定的方式确定一个投标人获得中标人推荐资格；未规定的采取随机抽取方式确定，其他同品牌投标人不作为中标候选人。</w:t>
      </w:r>
    </w:p>
    <w:p w14:paraId="60B353A4">
      <w:pPr>
        <w:spacing w:line="288" w:lineRule="auto"/>
        <w:ind w:left="900" w:hanging="900" w:hangingChars="375"/>
        <w:rPr>
          <w:rFonts w:hint="eastAsia" w:ascii="仿宋" w:hAnsi="仿宋" w:eastAsia="仿宋" w:cs="仿宋"/>
          <w:b/>
          <w:bCs/>
          <w:color w:val="auto"/>
          <w:sz w:val="24"/>
          <w:highlight w:val="none"/>
          <w:lang w:eastAsia="zh-CN"/>
        </w:rPr>
      </w:pPr>
      <w:r>
        <w:rPr>
          <w:rFonts w:hint="eastAsia" w:ascii="仿宋" w:hAnsi="仿宋" w:eastAsia="仿宋" w:cs="仿宋"/>
          <w:color w:val="auto"/>
          <w:sz w:val="24"/>
          <w:highlight w:val="none"/>
          <w:lang w:eastAsia="zh-CN"/>
        </w:rPr>
        <w:t xml:space="preserve">20.5   </w:t>
      </w:r>
      <w:r>
        <w:rPr>
          <w:rFonts w:hint="eastAsia" w:ascii="仿宋" w:hAnsi="仿宋" w:eastAsia="仿宋" w:cs="仿宋"/>
          <w:b/>
          <w:bCs/>
          <w:color w:val="auto"/>
          <w:sz w:val="24"/>
          <w:highlight w:val="none"/>
          <w:lang w:eastAsia="zh-CN"/>
        </w:rPr>
        <w:t>如一个分包内包含多种产品的，采购人或采购代理机构将在</w:t>
      </w:r>
      <w:r>
        <w:rPr>
          <w:rFonts w:hint="eastAsia" w:ascii="仿宋" w:hAnsi="仿宋" w:eastAsia="仿宋" w:cs="仿宋"/>
          <w:b/>
          <w:bCs/>
          <w:color w:val="auto"/>
          <w:sz w:val="24"/>
          <w:highlight w:val="none"/>
          <w:u w:val="single" w:color="000000"/>
          <w:lang w:eastAsia="zh-CN"/>
        </w:rPr>
        <w:t>投标人须知资料表</w:t>
      </w:r>
      <w:r>
        <w:rPr>
          <w:rFonts w:hint="eastAsia" w:ascii="仿宋" w:hAnsi="仿宋" w:eastAsia="仿宋" w:cs="仿宋"/>
          <w:b/>
          <w:bCs/>
          <w:color w:val="auto"/>
          <w:sz w:val="24"/>
          <w:highlight w:val="none"/>
          <w:lang w:eastAsia="zh-CN"/>
        </w:rPr>
        <w:t>中载明核心产品。</w:t>
      </w:r>
    </w:p>
    <w:p w14:paraId="5C37BF61">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20.6   投标人所投产品如被列入财政部与国家主管部门颁发的节能产品目录或环境标志产品目录，应提供相关证明，在评标时予以优先采购，具体优先采购办法见第六章评标方法和标准。</w:t>
      </w:r>
    </w:p>
    <w:p w14:paraId="542890A5">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如采购人所采购产品为政府强制采购的节能产品，投标人所投产品的品牌及型号必须为清单中有效期内产品并提供证明文件，否则其投标将被认定为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446C361B">
      <w:pPr>
        <w:pStyle w:val="4"/>
        <w:spacing w:before="0" w:after="0" w:line="288" w:lineRule="auto"/>
        <w:rPr>
          <w:rFonts w:hint="eastAsia" w:ascii="仿宋" w:hAnsi="仿宋" w:eastAsia="仿宋" w:cs="仿宋"/>
          <w:color w:val="auto"/>
          <w:highlight w:val="none"/>
          <w:lang w:eastAsia="zh-CN"/>
        </w:rPr>
      </w:pPr>
      <w:bookmarkStart w:id="387" w:name="_Toc8063"/>
      <w:bookmarkStart w:id="388" w:name="_Toc15628"/>
      <w:bookmarkStart w:id="389" w:name="_Toc5230"/>
      <w:bookmarkStart w:id="390" w:name="_Toc24227"/>
      <w:bookmarkStart w:id="391" w:name="_Toc6364"/>
      <w:bookmarkStart w:id="392" w:name="_Toc9469"/>
      <w:bookmarkStart w:id="393" w:name="_Toc25623"/>
      <w:bookmarkStart w:id="394" w:name="_Toc12839"/>
      <w:bookmarkStart w:id="395" w:name="_Toc5986"/>
      <w:bookmarkStart w:id="396" w:name="_Toc6034"/>
      <w:bookmarkStart w:id="397" w:name="_Toc15064"/>
      <w:bookmarkStart w:id="398" w:name="_Toc515647782"/>
      <w:bookmarkStart w:id="399" w:name="_Toc6003"/>
      <w:bookmarkStart w:id="400" w:name="_Toc18529"/>
      <w:r>
        <w:rPr>
          <w:rFonts w:hint="eastAsia" w:ascii="仿宋" w:hAnsi="仿宋" w:eastAsia="仿宋" w:cs="仿宋"/>
          <w:color w:val="auto"/>
          <w:highlight w:val="none"/>
          <w:lang w:eastAsia="zh-CN"/>
        </w:rPr>
        <w:t>21.投标偏离</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7385C092">
      <w:pPr>
        <w:spacing w:line="288" w:lineRule="auto"/>
        <w:ind w:left="848" w:leftChars="99" w:hanging="640" w:hangingChars="267"/>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评标委员会可以接受投标文件中不构成实质性偏离的不正规或不一致。</w:t>
      </w:r>
    </w:p>
    <w:p w14:paraId="11F6C140">
      <w:pPr>
        <w:pStyle w:val="4"/>
        <w:spacing w:before="0" w:after="0" w:line="288" w:lineRule="auto"/>
        <w:rPr>
          <w:rFonts w:hint="eastAsia" w:ascii="仿宋" w:hAnsi="仿宋" w:eastAsia="仿宋" w:cs="仿宋"/>
          <w:color w:val="auto"/>
          <w:highlight w:val="none"/>
          <w:lang w:eastAsia="zh-CN"/>
        </w:rPr>
      </w:pPr>
      <w:bookmarkStart w:id="401" w:name="_Toc515647783"/>
      <w:bookmarkStart w:id="402" w:name="_Toc4950"/>
      <w:bookmarkStart w:id="403" w:name="_Toc21597"/>
      <w:bookmarkStart w:id="404" w:name="_Toc7006"/>
      <w:bookmarkStart w:id="405" w:name="_Toc32270"/>
      <w:bookmarkStart w:id="406" w:name="_Toc17567"/>
      <w:bookmarkStart w:id="407" w:name="_Toc18719"/>
      <w:bookmarkStart w:id="408" w:name="_Toc5457"/>
      <w:bookmarkStart w:id="409" w:name="_Toc21189"/>
      <w:bookmarkStart w:id="410" w:name="_Toc23936"/>
      <w:bookmarkStart w:id="411" w:name="_Toc15752"/>
      <w:bookmarkStart w:id="412" w:name="_Toc506"/>
      <w:bookmarkStart w:id="413" w:name="_Toc21694"/>
      <w:bookmarkStart w:id="414" w:name="_Toc6092"/>
      <w:r>
        <w:rPr>
          <w:rFonts w:hint="eastAsia" w:ascii="仿宋" w:hAnsi="仿宋" w:eastAsia="仿宋" w:cs="仿宋"/>
          <w:color w:val="auto"/>
          <w:highlight w:val="none"/>
          <w:lang w:eastAsia="zh-CN"/>
        </w:rPr>
        <w:t>22.投标</w:t>
      </w:r>
      <w:bookmarkEnd w:id="401"/>
      <w:r>
        <w:rPr>
          <w:rFonts w:hint="eastAsia" w:ascii="仿宋" w:hAnsi="仿宋" w:eastAsia="仿宋" w:cs="仿宋"/>
          <w:color w:val="auto"/>
          <w:highlight w:val="none"/>
          <w:lang w:eastAsia="zh-CN"/>
        </w:rPr>
        <w:t>无效</w:t>
      </w:r>
      <w:bookmarkEnd w:id="402"/>
      <w:bookmarkEnd w:id="403"/>
      <w:bookmarkEnd w:id="404"/>
      <w:bookmarkEnd w:id="405"/>
      <w:bookmarkEnd w:id="406"/>
      <w:bookmarkEnd w:id="407"/>
      <w:bookmarkEnd w:id="408"/>
      <w:bookmarkEnd w:id="409"/>
      <w:bookmarkEnd w:id="410"/>
      <w:bookmarkEnd w:id="411"/>
      <w:bookmarkEnd w:id="412"/>
      <w:bookmarkEnd w:id="413"/>
      <w:bookmarkEnd w:id="414"/>
    </w:p>
    <w:p w14:paraId="004E40D4">
      <w:pPr>
        <w:spacing w:line="288" w:lineRule="auto"/>
        <w:ind w:left="852" w:leftChars="-23"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。投标人不得通过修正或撤销不符合要求的偏离，从而使其投标成为实质上响应的投标。</w:t>
      </w:r>
    </w:p>
    <w:p w14:paraId="467B55BF">
      <w:pPr>
        <w:spacing w:line="288" w:lineRule="auto"/>
        <w:ind w:left="792" w:leftChars="377"/>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评标委员会决定投标的响应性只根据招标文件要求、投标文件内容及财政主管部门指定相关信息发布媒体。</w:t>
      </w:r>
    </w:p>
    <w:p w14:paraId="1867F185">
      <w:pPr>
        <w:spacing w:line="288" w:lineRule="auto"/>
        <w:ind w:left="900" w:hanging="900" w:hangingChars="375"/>
        <w:rPr>
          <w:rFonts w:hint="eastAsia" w:ascii="仿宋" w:hAnsi="仿宋" w:eastAsia="仿宋" w:cs="仿宋"/>
          <w:b/>
          <w:bCs/>
          <w:color w:val="auto"/>
          <w:sz w:val="24"/>
          <w:highlight w:val="none"/>
          <w:lang w:eastAsia="zh-CN"/>
        </w:rPr>
      </w:pPr>
      <w:r>
        <w:rPr>
          <w:rFonts w:hint="eastAsia" w:ascii="仿宋" w:hAnsi="仿宋" w:eastAsia="仿宋" w:cs="仿宋"/>
          <w:color w:val="auto"/>
          <w:sz w:val="24"/>
          <w:highlight w:val="none"/>
          <w:lang w:eastAsia="zh-CN"/>
        </w:rPr>
        <w:t>22.2</w:t>
      </w:r>
      <w:r>
        <w:rPr>
          <w:rFonts w:hint="eastAsia" w:ascii="仿宋" w:hAnsi="仿宋" w:eastAsia="仿宋" w:cs="仿宋"/>
          <w:color w:val="auto"/>
          <w:sz w:val="24"/>
          <w:highlight w:val="none"/>
          <w:lang w:eastAsia="zh-CN"/>
        </w:rPr>
        <w:tab/>
      </w:r>
      <w:r>
        <w:rPr>
          <w:rFonts w:hint="eastAsia" w:ascii="仿宋" w:hAnsi="仿宋" w:eastAsia="仿宋" w:cs="仿宋"/>
          <w:b/>
          <w:bCs/>
          <w:color w:val="auto"/>
          <w:sz w:val="24"/>
          <w:highlight w:val="none"/>
          <w:lang w:eastAsia="zh-CN"/>
        </w:rPr>
        <w:t>如发现下列情况之一的，其投标将被认定为投标无效：（以下情形应当在招标文件中规定，并以醒目的方式标明）</w:t>
      </w:r>
    </w:p>
    <w:p w14:paraId="11B61FC3">
      <w:pPr>
        <w:numPr>
          <w:ilvl w:val="0"/>
          <w:numId w:val="4"/>
        </w:numPr>
        <w:spacing w:line="288" w:lineRule="auto"/>
        <w:ind w:left="1081" w:leftChars="429" w:hanging="1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未按招标文件规定的形式和金额提交投标保证金的；</w:t>
      </w:r>
    </w:p>
    <w:p w14:paraId="3C01AD39">
      <w:pPr>
        <w:numPr>
          <w:ilvl w:val="0"/>
          <w:numId w:val="4"/>
        </w:numPr>
        <w:spacing w:line="288" w:lineRule="auto"/>
        <w:ind w:left="1081" w:leftChars="429" w:hanging="1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未按照招标文件规定要求签署、盖章的；</w:t>
      </w:r>
    </w:p>
    <w:p w14:paraId="2E75B6D3">
      <w:pPr>
        <w:numPr>
          <w:ilvl w:val="0"/>
          <w:numId w:val="4"/>
        </w:numPr>
        <w:spacing w:line="288" w:lineRule="auto"/>
        <w:ind w:left="1081" w:leftChars="429" w:hanging="1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未满足招标文件中技术条款的实质性要求；</w:t>
      </w:r>
    </w:p>
    <w:p w14:paraId="3FF4661C">
      <w:pPr>
        <w:numPr>
          <w:ilvl w:val="0"/>
          <w:numId w:val="4"/>
        </w:numPr>
        <w:spacing w:line="288" w:lineRule="auto"/>
        <w:ind w:left="1081" w:leftChars="429" w:hanging="1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与其他投标人串通投标，或者与招标人串通投标；</w:t>
      </w:r>
    </w:p>
    <w:p w14:paraId="110A36F0">
      <w:pPr>
        <w:numPr>
          <w:ilvl w:val="0"/>
          <w:numId w:val="4"/>
        </w:numPr>
        <w:spacing w:line="288" w:lineRule="auto"/>
        <w:ind w:left="1081" w:leftChars="429" w:hanging="1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属于招标文件规定的其他</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情形；</w:t>
      </w:r>
    </w:p>
    <w:p w14:paraId="5EC64C21">
      <w:pPr>
        <w:numPr>
          <w:ilvl w:val="0"/>
          <w:numId w:val="4"/>
        </w:numPr>
        <w:spacing w:line="288" w:lineRule="auto"/>
        <w:ind w:left="1081" w:leftChars="429" w:hanging="1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评标委员会认为投标人的报价明显低于其他通过符合性检查投标人的报价，有可能影响履约的，且投标人未按照规定证明其报价合理性的；</w:t>
      </w:r>
    </w:p>
    <w:p w14:paraId="28D681E6">
      <w:pPr>
        <w:numPr>
          <w:ilvl w:val="0"/>
          <w:numId w:val="4"/>
        </w:numPr>
        <w:spacing w:line="288" w:lineRule="auto"/>
        <w:ind w:left="1081" w:leftChars="429" w:hanging="1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投标文件含有采购人不能接受的附加条件的；</w:t>
      </w:r>
    </w:p>
    <w:p w14:paraId="2026A098">
      <w:pPr>
        <w:numPr>
          <w:ilvl w:val="0"/>
          <w:numId w:val="4"/>
        </w:numPr>
        <w:tabs>
          <w:tab w:val="left" w:pos="0"/>
        </w:tabs>
        <w:spacing w:line="288" w:lineRule="auto"/>
        <w:ind w:left="1081" w:leftChars="429" w:hanging="1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不符合法规和招标文件中规定的其他实质性要求的。</w:t>
      </w:r>
    </w:p>
    <w:p w14:paraId="1F332385">
      <w:pPr>
        <w:tabs>
          <w:tab w:val="left" w:pos="0"/>
        </w:tabs>
        <w:spacing w:line="288" w:lineRule="auto"/>
        <w:rPr>
          <w:rFonts w:hint="eastAsia" w:ascii="仿宋" w:hAnsi="仿宋" w:eastAsia="仿宋" w:cs="仿宋"/>
          <w:b/>
          <w:bCs/>
          <w:color w:val="auto"/>
          <w:sz w:val="24"/>
          <w:highlight w:val="none"/>
          <w:lang w:eastAsia="zh-CN"/>
        </w:rPr>
      </w:pPr>
      <w:bookmarkStart w:id="415" w:name="_Toc13652"/>
      <w:bookmarkStart w:id="416" w:name="_Toc515647784"/>
      <w:bookmarkStart w:id="417" w:name="_Toc22941"/>
      <w:bookmarkStart w:id="418" w:name="_Toc8521"/>
      <w:r>
        <w:rPr>
          <w:rFonts w:hint="eastAsia" w:ascii="仿宋" w:hAnsi="仿宋" w:eastAsia="仿宋" w:cs="仿宋"/>
          <w:b/>
          <w:bCs/>
          <w:color w:val="auto"/>
          <w:sz w:val="24"/>
          <w:highlight w:val="none"/>
          <w:lang w:eastAsia="zh-CN"/>
        </w:rPr>
        <w:t>23.</w:t>
      </w:r>
      <w:bookmarkEnd w:id="386"/>
      <w:r>
        <w:rPr>
          <w:rFonts w:hint="eastAsia" w:ascii="仿宋" w:hAnsi="仿宋" w:eastAsia="仿宋" w:cs="仿宋"/>
          <w:b/>
          <w:bCs/>
          <w:color w:val="auto"/>
          <w:sz w:val="24"/>
          <w:highlight w:val="none"/>
          <w:lang w:eastAsia="zh-CN"/>
        </w:rPr>
        <w:t>比较与评价</w:t>
      </w:r>
      <w:bookmarkEnd w:id="415"/>
      <w:bookmarkEnd w:id="416"/>
      <w:bookmarkEnd w:id="417"/>
      <w:bookmarkEnd w:id="418"/>
    </w:p>
    <w:p w14:paraId="109D3A7B">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23.1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经符合性审查合格的投标文件，评标委员会将根据招标文件确定的评标方法和标准，对其投标文件作进一步的比较和评价。</w:t>
      </w:r>
    </w:p>
    <w:p w14:paraId="4076B307">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23.2  </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评标严格按照招标文件的要求和条件进行。根据实际情况，在</w:t>
      </w:r>
      <w:r>
        <w:rPr>
          <w:rFonts w:hint="eastAsia" w:ascii="仿宋" w:hAnsi="仿宋" w:eastAsia="仿宋" w:cs="仿宋"/>
          <w:color w:val="auto"/>
          <w:sz w:val="24"/>
          <w:highlight w:val="none"/>
          <w:u w:val="single" w:color="000000"/>
          <w:lang w:eastAsia="zh-CN"/>
        </w:rPr>
        <w:t>投标人须知资料表</w:t>
      </w:r>
      <w:r>
        <w:rPr>
          <w:rFonts w:hint="eastAsia" w:ascii="仿宋" w:hAnsi="仿宋" w:eastAsia="仿宋" w:cs="仿宋"/>
          <w:color w:val="auto"/>
          <w:sz w:val="24"/>
          <w:highlight w:val="none"/>
          <w:lang w:eastAsia="zh-CN"/>
        </w:rPr>
        <w:t>中规定采用下列一种评标方法，详细评标标准见招标文件第六章：</w:t>
      </w:r>
    </w:p>
    <w:p w14:paraId="1658360D">
      <w:pPr>
        <w:pStyle w:val="12"/>
        <w:spacing w:line="288" w:lineRule="auto"/>
        <w:ind w:left="899" w:leftChars="342" w:hanging="18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 最低评标价法，是指投标文件满足招标文件全部实质性要求，且投标报价最低的投标人为中标候选人的评标方法。</w:t>
      </w:r>
    </w:p>
    <w:p w14:paraId="3986BB54">
      <w:pPr>
        <w:pStyle w:val="12"/>
        <w:spacing w:line="288" w:lineRule="auto"/>
        <w:ind w:left="898" w:leftChars="342" w:hanging="1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 综合评分法，是指投标文件满足招标文件全部实质性要求，且按照评审因素的量化指标评审得分最高的投标人为中标候选人的评标方法。</w:t>
      </w:r>
    </w:p>
    <w:p w14:paraId="7793B201">
      <w:pPr>
        <w:pStyle w:val="12"/>
        <w:kinsoku/>
        <w:autoSpaceDE/>
        <w:autoSpaceDN/>
        <w:adjustRightInd/>
        <w:snapToGrid/>
        <w:spacing w:line="288" w:lineRule="auto"/>
        <w:ind w:left="960" w:hanging="960" w:hangingChars="4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23.3    </w:t>
      </w:r>
      <w:r>
        <w:rPr>
          <w:rFonts w:hint="eastAsia" w:ascii="仿宋" w:hAnsi="仿宋" w:eastAsia="仿宋" w:cs="仿宋"/>
          <w:color w:val="auto"/>
          <w:sz w:val="24"/>
          <w:szCs w:val="24"/>
          <w:highlight w:val="none"/>
          <w:u w:val="single"/>
          <w:lang w:eastAsia="zh-CN"/>
        </w:rPr>
        <w:t>根据《政府采购促进中小企业发展管理办法》(财库「2020]46号)、《关于进一步加大政府采购支持中小企业力度的通知》(财库[2022]19号)《关于落实好政府采购支持中小企业发展的通知》（新财购〔2022〕22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投标人，其</w:t>
      </w:r>
      <w:bookmarkStart w:id="419" w:name="OLE_LINK1"/>
      <w:r>
        <w:rPr>
          <w:rFonts w:hint="eastAsia" w:ascii="仿宋" w:hAnsi="仿宋" w:eastAsia="仿宋" w:cs="仿宋"/>
          <w:color w:val="auto"/>
          <w:sz w:val="24"/>
          <w:szCs w:val="24"/>
          <w:highlight w:val="none"/>
          <w:u w:val="single"/>
          <w:lang w:eastAsia="zh-CN"/>
        </w:rPr>
        <w:t>投标报价扣除10%后参与评审</w:t>
      </w:r>
      <w:bookmarkEnd w:id="419"/>
      <w:r>
        <w:rPr>
          <w:rFonts w:hint="eastAsia" w:ascii="仿宋" w:hAnsi="仿宋" w:eastAsia="仿宋" w:cs="仿宋"/>
          <w:color w:val="auto"/>
          <w:sz w:val="24"/>
          <w:szCs w:val="24"/>
          <w:highlight w:val="none"/>
          <w:u w:val="single"/>
          <w:lang w:eastAsia="zh-CN"/>
        </w:rPr>
        <w:t>。具体办法详见招标文件第6章。</w:t>
      </w:r>
    </w:p>
    <w:p w14:paraId="68773077">
      <w:pPr>
        <w:pStyle w:val="12"/>
        <w:spacing w:line="288" w:lineRule="auto"/>
        <w:ind w:left="898" w:leftChars="342" w:hanging="180"/>
        <w:rPr>
          <w:rFonts w:hint="eastAsia" w:ascii="仿宋" w:hAnsi="仿宋" w:eastAsia="仿宋" w:cs="仿宋"/>
          <w:color w:val="auto"/>
          <w:sz w:val="24"/>
          <w:szCs w:val="24"/>
          <w:highlight w:val="none"/>
          <w:lang w:eastAsia="zh-CN"/>
        </w:rPr>
      </w:pPr>
    </w:p>
    <w:p w14:paraId="697CAFD5">
      <w:pPr>
        <w:pStyle w:val="4"/>
        <w:spacing w:before="0" w:after="0" w:line="288" w:lineRule="auto"/>
        <w:rPr>
          <w:rFonts w:hint="eastAsia" w:ascii="仿宋" w:hAnsi="仿宋" w:eastAsia="仿宋" w:cs="仿宋"/>
          <w:color w:val="auto"/>
          <w:highlight w:val="none"/>
          <w:lang w:eastAsia="zh-CN"/>
        </w:rPr>
      </w:pPr>
      <w:bookmarkStart w:id="420" w:name="_Toc520356168"/>
      <w:bookmarkStart w:id="421" w:name="_Toc14242"/>
      <w:bookmarkStart w:id="422" w:name="_Toc15293"/>
      <w:bookmarkStart w:id="423" w:name="_Toc18723"/>
      <w:bookmarkStart w:id="424" w:name="_Toc8424"/>
      <w:bookmarkStart w:id="425" w:name="_Toc20227"/>
      <w:bookmarkStart w:id="426" w:name="_Toc9378"/>
      <w:bookmarkStart w:id="427" w:name="_Toc11401"/>
      <w:bookmarkStart w:id="428" w:name="_Toc17546"/>
      <w:bookmarkStart w:id="429" w:name="_Toc24607"/>
      <w:bookmarkStart w:id="430" w:name="_Toc15050"/>
      <w:bookmarkStart w:id="431" w:name="_Toc31728"/>
      <w:bookmarkStart w:id="432" w:name="_Toc515647785"/>
      <w:bookmarkStart w:id="433" w:name="_Toc23673"/>
      <w:bookmarkStart w:id="434" w:name="_Toc29670"/>
      <w:r>
        <w:rPr>
          <w:rFonts w:hint="eastAsia" w:ascii="仿宋" w:hAnsi="仿宋" w:eastAsia="仿宋" w:cs="仿宋"/>
          <w:color w:val="auto"/>
          <w:highlight w:val="none"/>
          <w:lang w:eastAsia="zh-CN"/>
        </w:rPr>
        <w:t>24</w:t>
      </w:r>
      <w:bookmarkEnd w:id="420"/>
      <w:r>
        <w:rPr>
          <w:rFonts w:hint="eastAsia" w:ascii="仿宋" w:hAnsi="仿宋" w:eastAsia="仿宋" w:cs="仿宋"/>
          <w:color w:val="auto"/>
          <w:highlight w:val="none"/>
          <w:lang w:eastAsia="zh-CN"/>
        </w:rPr>
        <w:t>.废标</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6583414C">
      <w:pPr>
        <w:spacing w:line="288" w:lineRule="auto"/>
        <w:ind w:left="898" w:leftChars="399" w:hanging="60" w:hangingChars="2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出现下列情形之一，将导致项目废标：</w:t>
      </w:r>
    </w:p>
    <w:p w14:paraId="6702E537">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（1）符合专业条件的供应商或者对招标文件做实质性响应的供应商不足三家；</w:t>
      </w:r>
    </w:p>
    <w:p w14:paraId="7FE6C490">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（2）出现影响采购公正的违法、违规行为的；</w:t>
      </w:r>
    </w:p>
    <w:p w14:paraId="6E84C5D4">
      <w:pPr>
        <w:spacing w:line="288" w:lineRule="auto"/>
        <w:ind w:firstLine="840" w:firstLineChars="3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（3）投标人的报价均超过了采购预算，采购人不能支付的；</w:t>
      </w:r>
    </w:p>
    <w:p w14:paraId="56FA3E4E">
      <w:pPr>
        <w:spacing w:line="288" w:lineRule="auto"/>
        <w:ind w:firstLine="840" w:firstLineChars="3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（4）因重大变故，采购任务取消的。</w:t>
      </w:r>
    </w:p>
    <w:p w14:paraId="2E836F32">
      <w:pPr>
        <w:pStyle w:val="4"/>
        <w:spacing w:before="0" w:after="0" w:line="288" w:lineRule="auto"/>
        <w:rPr>
          <w:rFonts w:hint="eastAsia" w:ascii="仿宋" w:hAnsi="仿宋" w:eastAsia="仿宋" w:cs="仿宋"/>
          <w:color w:val="auto"/>
          <w:highlight w:val="none"/>
          <w:lang w:eastAsia="zh-CN"/>
        </w:rPr>
      </w:pPr>
      <w:bookmarkStart w:id="435" w:name="_Toc10707"/>
      <w:bookmarkStart w:id="436" w:name="_Toc12228"/>
      <w:bookmarkStart w:id="437" w:name="_Toc30606"/>
      <w:bookmarkStart w:id="438" w:name="_Toc11175"/>
      <w:bookmarkStart w:id="439" w:name="_Toc16912"/>
      <w:bookmarkStart w:id="440" w:name="_Toc19908"/>
      <w:bookmarkStart w:id="441" w:name="_Toc515647786"/>
      <w:bookmarkStart w:id="442" w:name="_Toc18758"/>
      <w:bookmarkStart w:id="443" w:name="_Toc11699"/>
      <w:bookmarkStart w:id="444" w:name="_Toc30826"/>
      <w:bookmarkStart w:id="445" w:name="_Toc20311"/>
      <w:bookmarkStart w:id="446" w:name="_Toc31289"/>
      <w:bookmarkStart w:id="447" w:name="_Toc27384"/>
      <w:bookmarkStart w:id="448" w:name="_Toc24972"/>
      <w:bookmarkStart w:id="449" w:name="_Toc520356169"/>
      <w:r>
        <w:rPr>
          <w:rFonts w:hint="eastAsia" w:ascii="仿宋" w:hAnsi="仿宋" w:eastAsia="仿宋" w:cs="仿宋"/>
          <w:color w:val="auto"/>
          <w:highlight w:val="none"/>
          <w:lang w:eastAsia="zh-CN"/>
        </w:rPr>
        <w:t>25.保密原则</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41E2A407">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25.1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评标将在严格保密的情况下进行。</w:t>
      </w:r>
    </w:p>
    <w:p w14:paraId="00D22486">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25.2</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政府采购评审专家应当遵守评审工作纪律，不得泄露评审文件、评审情况和评审中获悉的商业秘密。</w:t>
      </w:r>
      <w:bookmarkStart w:id="450" w:name="_Toc2153"/>
      <w:bookmarkStart w:id="451" w:name="_Toc515647787"/>
      <w:bookmarkStart w:id="452" w:name="_Toc12143"/>
      <w:bookmarkStart w:id="453" w:name="_Toc23904"/>
      <w:bookmarkStart w:id="454" w:name="_Toc216582810"/>
    </w:p>
    <w:p w14:paraId="46468183">
      <w:pPr>
        <w:pStyle w:val="3"/>
        <w:spacing w:before="0" w:line="288" w:lineRule="auto"/>
        <w:ind w:left="1080" w:leftChars="257" w:hanging="540"/>
        <w:rPr>
          <w:rFonts w:hint="eastAsia" w:ascii="仿宋" w:hAnsi="仿宋" w:eastAsia="仿宋" w:cs="仿宋"/>
          <w:color w:val="auto"/>
          <w:sz w:val="28"/>
          <w:highlight w:val="none"/>
          <w:lang w:eastAsia="zh-CN"/>
        </w:rPr>
      </w:pPr>
      <w:bookmarkStart w:id="455" w:name="_Toc6207"/>
      <w:bookmarkStart w:id="456" w:name="_Toc31174"/>
      <w:bookmarkStart w:id="457" w:name="_Toc17670"/>
      <w:bookmarkStart w:id="458" w:name="_Toc12298"/>
      <w:bookmarkStart w:id="459" w:name="_Toc13388"/>
      <w:bookmarkStart w:id="460" w:name="_Toc31457"/>
      <w:bookmarkStart w:id="461" w:name="_Toc29576"/>
      <w:bookmarkStart w:id="462" w:name="_Toc4031"/>
      <w:bookmarkStart w:id="463" w:name="_Toc2098"/>
      <w:bookmarkStart w:id="464" w:name="_Toc11673"/>
      <w:r>
        <w:rPr>
          <w:rFonts w:hint="eastAsia" w:ascii="仿宋" w:hAnsi="仿宋" w:eastAsia="仿宋" w:cs="仿宋"/>
          <w:color w:val="auto"/>
          <w:sz w:val="28"/>
          <w:highlight w:val="none"/>
          <w:lang w:eastAsia="zh-CN"/>
        </w:rPr>
        <w:t xml:space="preserve">六 </w:t>
      </w:r>
      <w:bookmarkEnd w:id="449"/>
      <w:r>
        <w:rPr>
          <w:rFonts w:hint="eastAsia" w:ascii="仿宋" w:hAnsi="仿宋" w:eastAsia="仿宋" w:cs="仿宋"/>
          <w:color w:val="auto"/>
          <w:sz w:val="28"/>
          <w:highlight w:val="none"/>
          <w:lang w:eastAsia="zh-CN"/>
        </w:rPr>
        <w:t>确定中标</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19CE4D51">
      <w:pPr>
        <w:pStyle w:val="5"/>
        <w:spacing w:line="288" w:lineRule="auto"/>
        <w:rPr>
          <w:rFonts w:hint="eastAsia" w:ascii="仿宋" w:hAnsi="仿宋" w:eastAsia="仿宋" w:cs="仿宋"/>
          <w:color w:val="auto"/>
          <w:highlight w:val="none"/>
          <w:lang w:eastAsia="zh-CN"/>
        </w:rPr>
      </w:pPr>
    </w:p>
    <w:p w14:paraId="3885231C">
      <w:pPr>
        <w:pStyle w:val="4"/>
        <w:spacing w:before="0" w:after="0" w:line="288" w:lineRule="auto"/>
        <w:rPr>
          <w:rFonts w:hint="eastAsia" w:ascii="仿宋" w:hAnsi="仿宋" w:eastAsia="仿宋" w:cs="仿宋"/>
          <w:color w:val="auto"/>
          <w:highlight w:val="none"/>
          <w:lang w:eastAsia="zh-CN"/>
        </w:rPr>
      </w:pPr>
      <w:bookmarkStart w:id="465" w:name="_Toc30556"/>
      <w:bookmarkStart w:id="466" w:name="_Toc11587"/>
      <w:bookmarkStart w:id="467" w:name="_Toc30908"/>
      <w:bookmarkStart w:id="468" w:name="_Toc515647788"/>
      <w:bookmarkStart w:id="469" w:name="_Toc13522"/>
      <w:bookmarkStart w:id="470" w:name="_Toc23538"/>
      <w:bookmarkStart w:id="471" w:name="_Toc28066"/>
      <w:bookmarkStart w:id="472" w:name="_Toc286"/>
      <w:bookmarkStart w:id="473" w:name="_Toc23762"/>
      <w:bookmarkStart w:id="474" w:name="_Toc32399"/>
      <w:bookmarkStart w:id="475" w:name="_Toc520356170"/>
      <w:bookmarkStart w:id="476" w:name="_Toc23617"/>
      <w:bookmarkStart w:id="477" w:name="_Ref467307010"/>
      <w:bookmarkStart w:id="478" w:name="_Toc25225"/>
      <w:bookmarkStart w:id="479" w:name="_Toc22599"/>
      <w:bookmarkStart w:id="480" w:name="_Toc29826"/>
      <w:r>
        <w:rPr>
          <w:rFonts w:hint="eastAsia" w:ascii="仿宋" w:hAnsi="仿宋" w:eastAsia="仿宋" w:cs="仿宋"/>
          <w:color w:val="auto"/>
          <w:highlight w:val="none"/>
          <w:lang w:eastAsia="zh-CN"/>
        </w:rPr>
        <w:t>26.中标候选人的确定原则及标准</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3F249434">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除第28条规定外，对实质上响应招标文件的投标人按下列方法进行排序，确定投标候选人：</w:t>
      </w:r>
    </w:p>
    <w:p w14:paraId="70BE84AB">
      <w:pPr>
        <w:spacing w:line="288" w:lineRule="auto"/>
        <w:ind w:left="901"/>
        <w:rPr>
          <w:rFonts w:hint="eastAsia" w:ascii="仿宋" w:hAnsi="仿宋" w:eastAsia="仿宋" w:cs="仿宋"/>
          <w:color w:val="auto"/>
          <w:sz w:val="24"/>
          <w:highlight w:val="none"/>
          <w:lang w:eastAsia="zh-CN"/>
        </w:rPr>
      </w:pPr>
      <w:bookmarkStart w:id="481" w:name="_Toc520356171"/>
      <w:bookmarkStart w:id="482" w:name="_Toc515647789"/>
      <w:r>
        <w:rPr>
          <w:rFonts w:hint="eastAsia" w:ascii="仿宋" w:hAnsi="仿宋" w:eastAsia="仿宋" w:cs="仿宋"/>
          <w:color w:val="auto"/>
          <w:sz w:val="24"/>
          <w:highlight w:val="none"/>
          <w:lang w:eastAsia="zh-CN"/>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14:paraId="21145AB9">
      <w:pPr>
        <w:spacing w:line="288" w:lineRule="auto"/>
        <w:ind w:left="901"/>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（2）采用综合评分法的，评标结果按评审后得分由高到低顺序排列。得分相同的，按修正和扣除后的投标报价由低到高顺序排列。得分与投标报价均相同的处理方式详见招标文件第6章。</w:t>
      </w:r>
    </w:p>
    <w:p w14:paraId="5E2F0772">
      <w:pPr>
        <w:pStyle w:val="4"/>
        <w:tabs>
          <w:tab w:val="left" w:pos="900"/>
        </w:tabs>
        <w:spacing w:before="0" w:after="0" w:line="288" w:lineRule="auto"/>
        <w:rPr>
          <w:rFonts w:hint="eastAsia" w:ascii="仿宋" w:hAnsi="仿宋" w:eastAsia="仿宋" w:cs="仿宋"/>
          <w:color w:val="auto"/>
          <w:highlight w:val="none"/>
          <w:lang w:eastAsia="zh-CN"/>
        </w:rPr>
      </w:pPr>
      <w:bookmarkStart w:id="483" w:name="_Toc15415"/>
      <w:bookmarkStart w:id="484" w:name="_Toc17755"/>
      <w:bookmarkStart w:id="485" w:name="_Toc8300"/>
      <w:bookmarkStart w:id="486" w:name="_Toc14469"/>
      <w:bookmarkStart w:id="487" w:name="_Toc9653"/>
      <w:bookmarkStart w:id="488" w:name="_Toc19950"/>
      <w:bookmarkStart w:id="489" w:name="_Toc23951"/>
      <w:bookmarkStart w:id="490" w:name="_Toc28266"/>
      <w:bookmarkStart w:id="491" w:name="_Toc1493"/>
      <w:bookmarkStart w:id="492" w:name="_Toc19685"/>
      <w:bookmarkStart w:id="493" w:name="_Toc10359"/>
      <w:bookmarkStart w:id="494" w:name="_Toc16479"/>
      <w:bookmarkStart w:id="495" w:name="_Toc22105"/>
      <w:r>
        <w:rPr>
          <w:rFonts w:hint="eastAsia" w:ascii="仿宋" w:hAnsi="仿宋" w:eastAsia="仿宋" w:cs="仿宋"/>
          <w:color w:val="auto"/>
          <w:highlight w:val="none"/>
          <w:lang w:eastAsia="zh-CN"/>
        </w:rPr>
        <w:t>27</w:t>
      </w:r>
      <w:bookmarkEnd w:id="481"/>
      <w:r>
        <w:rPr>
          <w:rFonts w:hint="eastAsia" w:ascii="仿宋" w:hAnsi="仿宋" w:eastAsia="仿宋" w:cs="仿宋"/>
          <w:color w:val="auto"/>
          <w:highlight w:val="none"/>
          <w:lang w:eastAsia="zh-CN"/>
        </w:rPr>
        <w:t>.确定中标候选人和中标人</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08096AC3">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评标委员会将根据评标标准，按</w:t>
      </w:r>
      <w:r>
        <w:rPr>
          <w:rFonts w:hint="eastAsia" w:ascii="仿宋" w:hAnsi="仿宋" w:eastAsia="仿宋" w:cs="仿宋"/>
          <w:color w:val="auto"/>
          <w:sz w:val="24"/>
          <w:highlight w:val="none"/>
          <w:u w:val="single" w:color="000000"/>
          <w:lang w:eastAsia="zh-CN"/>
        </w:rPr>
        <w:t>投标人须知资料表中</w:t>
      </w:r>
      <w:r>
        <w:rPr>
          <w:rFonts w:hint="eastAsia" w:ascii="仿宋" w:hAnsi="仿宋" w:eastAsia="仿宋" w:cs="仿宋"/>
          <w:color w:val="auto"/>
          <w:sz w:val="24"/>
          <w:highlight w:val="none"/>
          <w:lang w:eastAsia="zh-CN"/>
        </w:rPr>
        <w:t>规定数量推荐中标候选人；或根据采购人的委托，直接确定中标人。</w:t>
      </w:r>
    </w:p>
    <w:p w14:paraId="1861E107">
      <w:pPr>
        <w:pStyle w:val="4"/>
        <w:tabs>
          <w:tab w:val="left" w:pos="900"/>
        </w:tabs>
        <w:spacing w:before="0" w:after="0" w:line="288" w:lineRule="auto"/>
        <w:rPr>
          <w:rFonts w:hint="eastAsia" w:ascii="仿宋" w:hAnsi="仿宋" w:eastAsia="仿宋" w:cs="仿宋"/>
          <w:color w:val="auto"/>
          <w:highlight w:val="none"/>
          <w:lang w:eastAsia="zh-CN"/>
        </w:rPr>
      </w:pPr>
      <w:bookmarkStart w:id="496" w:name="_Toc520356173"/>
      <w:bookmarkStart w:id="497" w:name="_Ref467306874"/>
      <w:bookmarkStart w:id="498" w:name="_Toc19331"/>
      <w:bookmarkStart w:id="499" w:name="_Toc8958"/>
      <w:bookmarkStart w:id="500" w:name="_Toc28562"/>
      <w:bookmarkStart w:id="501" w:name="_Toc28621"/>
      <w:bookmarkStart w:id="502" w:name="_Toc26160"/>
      <w:bookmarkStart w:id="503" w:name="_Toc13782"/>
      <w:bookmarkStart w:id="504" w:name="_Toc16986"/>
      <w:bookmarkStart w:id="505" w:name="_Toc11867"/>
      <w:bookmarkStart w:id="506" w:name="_Toc515647790"/>
      <w:bookmarkStart w:id="507" w:name="_Toc27049"/>
      <w:bookmarkStart w:id="508" w:name="_Toc7783"/>
      <w:bookmarkStart w:id="509" w:name="_Toc8389"/>
      <w:bookmarkStart w:id="510" w:name="_Toc6582"/>
      <w:bookmarkStart w:id="511" w:name="_Toc26197"/>
      <w:r>
        <w:rPr>
          <w:rFonts w:hint="eastAsia" w:ascii="仿宋" w:hAnsi="仿宋" w:eastAsia="仿宋" w:cs="仿宋"/>
          <w:color w:val="auto"/>
          <w:highlight w:val="none"/>
          <w:lang w:eastAsia="zh-CN"/>
        </w:rPr>
        <w:t>28.</w:t>
      </w:r>
      <w:bookmarkEnd w:id="496"/>
      <w:bookmarkEnd w:id="497"/>
      <w:r>
        <w:rPr>
          <w:rFonts w:hint="eastAsia" w:ascii="仿宋" w:hAnsi="仿宋" w:eastAsia="仿宋" w:cs="仿宋"/>
          <w:color w:val="auto"/>
          <w:highlight w:val="none"/>
          <w:lang w:eastAsia="zh-CN"/>
        </w:rPr>
        <w:t>采购任务取消</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06007C5D">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因重大变故采购任务取消时，采购人有权拒绝任何投标人中标，且对受影响的投标人不承担任何责任。</w:t>
      </w:r>
      <w:bookmarkStart w:id="512" w:name="_Toc520356174"/>
    </w:p>
    <w:p w14:paraId="17C104C0">
      <w:pPr>
        <w:pStyle w:val="4"/>
        <w:spacing w:before="0" w:after="0" w:line="288" w:lineRule="auto"/>
        <w:rPr>
          <w:rFonts w:hint="eastAsia" w:ascii="仿宋" w:hAnsi="仿宋" w:eastAsia="仿宋" w:cs="仿宋"/>
          <w:color w:val="auto"/>
          <w:highlight w:val="none"/>
          <w:lang w:eastAsia="zh-CN"/>
        </w:rPr>
      </w:pPr>
      <w:bookmarkStart w:id="513" w:name="_Toc30170"/>
      <w:bookmarkStart w:id="514" w:name="_Toc515647791"/>
      <w:bookmarkStart w:id="515" w:name="_Toc13508"/>
      <w:bookmarkStart w:id="516" w:name="_Toc31992"/>
      <w:bookmarkStart w:id="517" w:name="_Toc10164"/>
      <w:bookmarkStart w:id="518" w:name="_Toc25468"/>
      <w:bookmarkStart w:id="519" w:name="_Toc31099"/>
      <w:bookmarkStart w:id="520" w:name="_Toc3276"/>
      <w:bookmarkStart w:id="521" w:name="_Toc2614"/>
      <w:bookmarkStart w:id="522" w:name="_Toc22190"/>
      <w:bookmarkStart w:id="523" w:name="_Toc31281"/>
      <w:bookmarkStart w:id="524" w:name="_Toc31142"/>
      <w:bookmarkStart w:id="525" w:name="_Toc14229"/>
      <w:bookmarkStart w:id="526" w:name="_Toc5136"/>
      <w:r>
        <w:rPr>
          <w:rFonts w:hint="eastAsia" w:ascii="仿宋" w:hAnsi="仿宋" w:eastAsia="仿宋" w:cs="仿宋"/>
          <w:color w:val="auto"/>
          <w:highlight w:val="none"/>
          <w:lang w:eastAsia="zh-CN"/>
        </w:rPr>
        <w:t>29.中标通知书</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17226EA">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29.1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在投标有效期内，中标人确定后，采购人或者采购代理机构发布中标公告，公示期后以书面形式向中标人发出中标通知书。</w:t>
      </w:r>
    </w:p>
    <w:p w14:paraId="74FBA3C6">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29.2</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中标通知书是合同的组成部分。</w:t>
      </w:r>
    </w:p>
    <w:p w14:paraId="2E6B26BD">
      <w:pPr>
        <w:pStyle w:val="4"/>
        <w:spacing w:before="0" w:after="0" w:line="288" w:lineRule="auto"/>
        <w:rPr>
          <w:rFonts w:hint="eastAsia" w:ascii="仿宋" w:hAnsi="仿宋" w:eastAsia="仿宋" w:cs="仿宋"/>
          <w:color w:val="auto"/>
          <w:highlight w:val="none"/>
          <w:lang w:eastAsia="zh-CN"/>
        </w:rPr>
      </w:pPr>
      <w:bookmarkStart w:id="527" w:name="_Toc31080"/>
      <w:bookmarkStart w:id="528" w:name="_Toc7779"/>
      <w:bookmarkStart w:id="529" w:name="_Toc19020"/>
      <w:bookmarkStart w:id="530" w:name="_Toc28367"/>
      <w:bookmarkStart w:id="531" w:name="_Toc790"/>
      <w:bookmarkStart w:id="532" w:name="_Toc515647792"/>
      <w:bookmarkStart w:id="533" w:name="_Toc10227"/>
      <w:bookmarkStart w:id="534" w:name="_Ref467307062"/>
      <w:bookmarkStart w:id="535" w:name="_Toc24763"/>
      <w:bookmarkStart w:id="536" w:name="_Ref467306978"/>
      <w:bookmarkStart w:id="537" w:name="_Ref467306377"/>
      <w:bookmarkStart w:id="538" w:name="_Toc17224"/>
      <w:bookmarkStart w:id="539" w:name="_Ref467307204"/>
      <w:bookmarkStart w:id="540" w:name="_Toc520356175"/>
      <w:bookmarkStart w:id="541" w:name="_Toc28520"/>
      <w:bookmarkStart w:id="542" w:name="_Toc14795"/>
      <w:bookmarkStart w:id="543" w:name="_Toc32036"/>
      <w:bookmarkStart w:id="544" w:name="_Toc10386"/>
      <w:bookmarkStart w:id="545" w:name="_Toc27557"/>
      <w:r>
        <w:rPr>
          <w:rFonts w:hint="eastAsia" w:ascii="仿宋" w:hAnsi="仿宋" w:eastAsia="仿宋" w:cs="仿宋"/>
          <w:color w:val="auto"/>
          <w:highlight w:val="none"/>
          <w:lang w:eastAsia="zh-CN"/>
        </w:rPr>
        <w:t>30.签订合同</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061CF3C9">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30.1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中标人应当自发出中标通知书之日起30日内，与采购人签订合同。</w:t>
      </w:r>
    </w:p>
    <w:p w14:paraId="09450E19">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30.2</w:t>
      </w:r>
      <w:r>
        <w:rPr>
          <w:rFonts w:hint="eastAsia" w:ascii="仿宋" w:hAnsi="仿宋" w:eastAsia="仿宋" w:cs="仿宋"/>
          <w:color w:val="auto"/>
          <w:sz w:val="24"/>
          <w:highlight w:val="none"/>
          <w:lang w:eastAsia="zh-CN"/>
        </w:rPr>
        <w:tab/>
      </w:r>
      <w:bookmarkStart w:id="546" w:name="_Ref467306425"/>
      <w:bookmarkStart w:id="547" w:name="_Ref467307090"/>
      <w:bookmarkStart w:id="548" w:name="_Toc520356176"/>
      <w:r>
        <w:rPr>
          <w:rFonts w:hint="eastAsia" w:ascii="仿宋" w:hAnsi="仿宋" w:eastAsia="仿宋" w:cs="仿宋"/>
          <w:color w:val="auto"/>
          <w:sz w:val="24"/>
          <w:highlight w:val="none"/>
          <w:lang w:eastAsia="zh-CN"/>
        </w:rPr>
        <w:t>招标文件、中标人的投标文件及其澄清文件等，均为签订合同的依据。</w:t>
      </w:r>
    </w:p>
    <w:p w14:paraId="6172D59F">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30.3   中标人拒绝与采购人签订合同的，采购人可以按照评审报告推荐的中标候选人名单排序，确定下一中标候选人为中标人，也可以重新开展政府采购活动。</w:t>
      </w:r>
    </w:p>
    <w:p w14:paraId="58F608F1">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30.4   当出现法规规定的</w:t>
      </w:r>
      <w:r>
        <w:rPr>
          <w:rFonts w:hint="eastAsia" w:ascii="仿宋" w:hAnsi="仿宋" w:eastAsia="仿宋" w:cs="仿宋"/>
          <w:b/>
          <w:color w:val="auto"/>
          <w:sz w:val="24"/>
          <w:highlight w:val="none"/>
          <w:lang w:eastAsia="zh-CN"/>
        </w:rPr>
        <w:t>中标无效或中标结果无效</w:t>
      </w:r>
      <w:r>
        <w:rPr>
          <w:rFonts w:hint="eastAsia" w:ascii="仿宋" w:hAnsi="仿宋" w:eastAsia="仿宋" w:cs="仿宋"/>
          <w:color w:val="auto"/>
          <w:sz w:val="24"/>
          <w:highlight w:val="none"/>
          <w:lang w:eastAsia="zh-CN"/>
        </w:rPr>
        <w:t>情形时，采购人可与排名下一位的中标候选人另行签订合同，或依法重新开展采购活动。</w:t>
      </w:r>
    </w:p>
    <w:p w14:paraId="7F202F3F">
      <w:pPr>
        <w:pStyle w:val="4"/>
        <w:spacing w:before="0" w:after="0" w:line="288" w:lineRule="auto"/>
        <w:rPr>
          <w:rFonts w:hint="eastAsia" w:ascii="仿宋" w:hAnsi="仿宋" w:eastAsia="仿宋" w:cs="仿宋"/>
          <w:color w:val="auto"/>
          <w:highlight w:val="none"/>
          <w:lang w:eastAsia="zh-CN"/>
        </w:rPr>
      </w:pPr>
      <w:bookmarkStart w:id="549" w:name="_Toc25154"/>
      <w:bookmarkStart w:id="550" w:name="_Toc23806"/>
      <w:bookmarkStart w:id="551" w:name="_Toc10395"/>
      <w:bookmarkStart w:id="552" w:name="_Toc27954"/>
      <w:bookmarkStart w:id="553" w:name="_Toc7188"/>
      <w:bookmarkStart w:id="554" w:name="_Toc5487"/>
      <w:bookmarkStart w:id="555" w:name="_Toc22555"/>
      <w:bookmarkStart w:id="556" w:name="_Toc16785"/>
      <w:bookmarkStart w:id="557" w:name="_Toc515647793"/>
      <w:bookmarkStart w:id="558" w:name="_Toc11523"/>
      <w:bookmarkStart w:id="559" w:name="_Toc25751"/>
      <w:bookmarkStart w:id="560" w:name="_Toc13900"/>
      <w:bookmarkStart w:id="561" w:name="_Toc16031"/>
      <w:bookmarkStart w:id="562" w:name="_Toc14080"/>
      <w:r>
        <w:rPr>
          <w:rFonts w:hint="eastAsia" w:ascii="仿宋" w:hAnsi="仿宋" w:eastAsia="仿宋" w:cs="仿宋"/>
          <w:color w:val="auto"/>
          <w:highlight w:val="none"/>
          <w:lang w:eastAsia="zh-CN"/>
        </w:rPr>
        <w:t>31.履约保证金</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0D537EE1">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31.1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中标人应按照</w:t>
      </w:r>
      <w:r>
        <w:rPr>
          <w:rFonts w:hint="eastAsia" w:ascii="仿宋" w:hAnsi="仿宋" w:eastAsia="仿宋" w:cs="仿宋"/>
          <w:color w:val="auto"/>
          <w:sz w:val="24"/>
          <w:highlight w:val="none"/>
          <w:u w:val="single" w:color="000000"/>
          <w:lang w:eastAsia="zh-CN"/>
        </w:rPr>
        <w:t>投标人须知资料表</w:t>
      </w:r>
      <w:r>
        <w:rPr>
          <w:rFonts w:hint="eastAsia" w:ascii="仿宋" w:hAnsi="仿宋" w:eastAsia="仿宋" w:cs="仿宋"/>
          <w:color w:val="auto"/>
          <w:sz w:val="24"/>
          <w:highlight w:val="none"/>
          <w:lang w:eastAsia="zh-CN"/>
        </w:rPr>
        <w:t>规定向采购人缴纳履约保证金。</w:t>
      </w:r>
    </w:p>
    <w:p w14:paraId="1F26E9AB">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31.2   如果中标人没有按照上述履约保证金的规定执行，将视为放弃中标资格，中标人的投标保证金将不予退还。在此情况下，采购人可确定下一候选人为中标人，也可以重新开展采购活动。</w:t>
      </w:r>
    </w:p>
    <w:p w14:paraId="0906B123">
      <w:pPr>
        <w:pStyle w:val="4"/>
        <w:spacing w:before="0" w:after="0" w:line="288" w:lineRule="auto"/>
        <w:rPr>
          <w:rFonts w:hint="eastAsia" w:ascii="仿宋" w:hAnsi="仿宋" w:eastAsia="仿宋" w:cs="仿宋"/>
          <w:color w:val="auto"/>
          <w:highlight w:val="none"/>
          <w:lang w:eastAsia="zh-CN"/>
        </w:rPr>
      </w:pPr>
      <w:bookmarkStart w:id="563" w:name="_Toc12106"/>
      <w:bookmarkStart w:id="564" w:name="_Toc27777"/>
      <w:bookmarkStart w:id="565" w:name="_Toc30049"/>
      <w:bookmarkStart w:id="566" w:name="_Toc31936"/>
      <w:bookmarkStart w:id="567" w:name="_Toc10961"/>
      <w:bookmarkStart w:id="568" w:name="_Toc24667"/>
      <w:bookmarkStart w:id="569" w:name="_Toc15895"/>
      <w:bookmarkStart w:id="570" w:name="_Toc32069"/>
      <w:bookmarkStart w:id="571" w:name="_Toc19288"/>
      <w:bookmarkStart w:id="572" w:name="_Toc3090"/>
      <w:bookmarkStart w:id="573" w:name="_Toc29408"/>
      <w:bookmarkStart w:id="574" w:name="_Toc7922"/>
      <w:bookmarkStart w:id="575" w:name="_Toc11875"/>
      <w:bookmarkStart w:id="576" w:name="_Toc515647794"/>
      <w:r>
        <w:rPr>
          <w:rFonts w:hint="eastAsia" w:ascii="仿宋" w:hAnsi="仿宋" w:eastAsia="仿宋" w:cs="仿宋"/>
          <w:color w:val="auto"/>
          <w:highlight w:val="none"/>
          <w:lang w:eastAsia="zh-CN"/>
        </w:rPr>
        <w:t>32.中标服务费</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04416597">
      <w:pPr>
        <w:spacing w:line="288" w:lineRule="auto"/>
        <w:ind w:left="840" w:leftChars="200" w:hanging="420" w:hangingChars="1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中标人须按照</w:t>
      </w:r>
      <w:r>
        <w:rPr>
          <w:rFonts w:hint="eastAsia" w:ascii="仿宋" w:hAnsi="仿宋" w:eastAsia="仿宋" w:cs="仿宋"/>
          <w:color w:val="auto"/>
          <w:sz w:val="24"/>
          <w:highlight w:val="none"/>
          <w:u w:val="single" w:color="000000"/>
          <w:lang w:eastAsia="zh-CN"/>
        </w:rPr>
        <w:t>投标须知资料表</w:t>
      </w:r>
      <w:r>
        <w:rPr>
          <w:rFonts w:hint="eastAsia" w:ascii="仿宋" w:hAnsi="仿宋" w:eastAsia="仿宋" w:cs="仿宋"/>
          <w:color w:val="auto"/>
          <w:sz w:val="24"/>
          <w:highlight w:val="none"/>
          <w:lang w:eastAsia="zh-CN"/>
        </w:rPr>
        <w:t>规定，向采购代理机构支付中标服务费。</w:t>
      </w:r>
    </w:p>
    <w:p w14:paraId="78376064">
      <w:pPr>
        <w:pStyle w:val="4"/>
        <w:spacing w:before="0" w:after="0" w:line="288" w:lineRule="auto"/>
        <w:rPr>
          <w:rFonts w:hint="eastAsia" w:ascii="仿宋" w:hAnsi="仿宋" w:eastAsia="仿宋" w:cs="仿宋"/>
          <w:color w:val="auto"/>
          <w:highlight w:val="none"/>
          <w:lang w:eastAsia="zh-CN"/>
        </w:rPr>
      </w:pPr>
      <w:bookmarkStart w:id="577" w:name="_Toc10427"/>
      <w:bookmarkStart w:id="578" w:name="_Toc28457"/>
      <w:bookmarkStart w:id="579" w:name="_Toc7049"/>
      <w:bookmarkStart w:id="580" w:name="_Toc14390"/>
      <w:bookmarkStart w:id="581" w:name="_Toc16253"/>
      <w:bookmarkStart w:id="582" w:name="_Toc24553"/>
      <w:bookmarkStart w:id="583" w:name="_Toc13588"/>
      <w:bookmarkStart w:id="584" w:name="_Toc24674"/>
      <w:bookmarkStart w:id="585" w:name="_Toc12385"/>
      <w:bookmarkStart w:id="586" w:name="_Toc6923"/>
      <w:bookmarkStart w:id="587" w:name="_Toc515647795"/>
      <w:bookmarkStart w:id="588" w:name="_Toc30722"/>
      <w:bookmarkStart w:id="589" w:name="_Toc17196"/>
      <w:bookmarkStart w:id="590" w:name="_Toc3954"/>
      <w:r>
        <w:rPr>
          <w:rFonts w:hint="eastAsia" w:ascii="仿宋" w:hAnsi="仿宋" w:eastAsia="仿宋" w:cs="仿宋"/>
          <w:color w:val="auto"/>
          <w:highlight w:val="none"/>
          <w:lang w:eastAsia="zh-CN"/>
        </w:rPr>
        <w:t>33.政府采购信用担保</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4B3AABC0">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33.1   本项目是否属于信用担保试点范围见</w:t>
      </w:r>
      <w:r>
        <w:rPr>
          <w:rFonts w:hint="eastAsia" w:ascii="仿宋" w:hAnsi="仿宋" w:eastAsia="仿宋" w:cs="仿宋"/>
          <w:color w:val="auto"/>
          <w:sz w:val="24"/>
          <w:highlight w:val="none"/>
          <w:u w:val="single" w:color="000000"/>
          <w:lang w:eastAsia="zh-CN"/>
        </w:rPr>
        <w:t>投标人须知资料表</w:t>
      </w:r>
      <w:r>
        <w:rPr>
          <w:rFonts w:hint="eastAsia" w:ascii="仿宋" w:hAnsi="仿宋" w:eastAsia="仿宋" w:cs="仿宋"/>
          <w:color w:val="auto"/>
          <w:sz w:val="24"/>
          <w:highlight w:val="none"/>
          <w:lang w:eastAsia="zh-CN"/>
        </w:rPr>
        <w:t>。</w:t>
      </w:r>
    </w:p>
    <w:p w14:paraId="5FA6A446">
      <w:pPr>
        <w:spacing w:line="288" w:lineRule="auto"/>
        <w:ind w:left="850" w:hanging="849" w:hangingChars="354"/>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33.2   如属于政府采购信用担保试点范围内，中小型企业投标人可以自由按照财政部门的规定，采用投标担保、履约担保和融资担保。</w:t>
      </w:r>
    </w:p>
    <w:p w14:paraId="596FA7B2">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33.2.1 投标人递交的投标担保函和履约担保函应符合本招标文件的规定。</w:t>
      </w:r>
    </w:p>
    <w:p w14:paraId="647B181D">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33.2.2 中标人可以采取融资担保的形式为政府采购项目履约进行融资。</w:t>
      </w:r>
    </w:p>
    <w:p w14:paraId="01389BC5">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33.2.3 合格的政府采购专业信用担保机构名单见</w:t>
      </w:r>
      <w:r>
        <w:rPr>
          <w:rFonts w:hint="eastAsia" w:ascii="仿宋" w:hAnsi="仿宋" w:eastAsia="仿宋" w:cs="仿宋"/>
          <w:color w:val="auto"/>
          <w:sz w:val="24"/>
          <w:highlight w:val="none"/>
          <w:u w:val="single" w:color="000000"/>
          <w:lang w:eastAsia="zh-CN"/>
        </w:rPr>
        <w:t>投标人须知资料表</w:t>
      </w:r>
      <w:r>
        <w:rPr>
          <w:rFonts w:hint="eastAsia" w:ascii="仿宋" w:hAnsi="仿宋" w:eastAsia="仿宋" w:cs="仿宋"/>
          <w:color w:val="auto"/>
          <w:sz w:val="24"/>
          <w:highlight w:val="none"/>
          <w:lang w:eastAsia="zh-CN"/>
        </w:rPr>
        <w:t>。</w:t>
      </w:r>
    </w:p>
    <w:p w14:paraId="3AA731C4">
      <w:pPr>
        <w:pStyle w:val="4"/>
        <w:spacing w:before="0" w:after="0" w:line="288" w:lineRule="auto"/>
        <w:rPr>
          <w:rFonts w:hint="eastAsia" w:ascii="仿宋" w:hAnsi="仿宋" w:eastAsia="仿宋" w:cs="仿宋"/>
          <w:color w:val="auto"/>
          <w:highlight w:val="none"/>
          <w:lang w:eastAsia="zh-CN"/>
        </w:rPr>
      </w:pPr>
      <w:bookmarkStart w:id="591" w:name="_Toc27852"/>
      <w:bookmarkStart w:id="592" w:name="_Toc23999"/>
      <w:bookmarkStart w:id="593" w:name="_Toc515647796"/>
      <w:bookmarkStart w:id="594" w:name="_Toc9817"/>
      <w:bookmarkStart w:id="595" w:name="_Toc21223"/>
      <w:bookmarkStart w:id="596" w:name="_Toc22070"/>
      <w:bookmarkStart w:id="597" w:name="_Toc9688"/>
      <w:bookmarkStart w:id="598" w:name="_Toc28024"/>
      <w:bookmarkStart w:id="599" w:name="_Toc2133"/>
      <w:bookmarkStart w:id="600" w:name="_Toc27198"/>
      <w:bookmarkStart w:id="601" w:name="_Toc6716"/>
      <w:bookmarkStart w:id="602" w:name="_Toc7"/>
      <w:bookmarkStart w:id="603" w:name="_Toc29352"/>
      <w:bookmarkStart w:id="604" w:name="_Toc20713"/>
      <w:r>
        <w:rPr>
          <w:rFonts w:hint="eastAsia" w:ascii="仿宋" w:hAnsi="仿宋" w:eastAsia="仿宋" w:cs="仿宋"/>
          <w:color w:val="auto"/>
          <w:highlight w:val="none"/>
          <w:lang w:eastAsia="zh-CN"/>
        </w:rPr>
        <w:t>34.廉洁自律规定</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1CCFCB96">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34.1   采购代理机构工作人员不得以不正当手段获取政府采购代理业务，不得与采购人、供应商恶意串通操纵政府采购活动。</w:t>
      </w:r>
    </w:p>
    <w:p w14:paraId="295135DA">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34.2   采购代理机构工作人员不得接受采购人或者供应商组织的宴请、旅游、娱乐，不得收受礼品、现金、有价证券等，不得向采购人或者供应商报销应当由个人承担的费用。</w:t>
      </w:r>
    </w:p>
    <w:p w14:paraId="3C5D6FEE">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34.3   为强化采购代理机构内部监督机制，供应商可按</w:t>
      </w:r>
      <w:r>
        <w:rPr>
          <w:rFonts w:hint="eastAsia" w:ascii="仿宋" w:hAnsi="仿宋" w:eastAsia="仿宋" w:cs="仿宋"/>
          <w:color w:val="auto"/>
          <w:sz w:val="24"/>
          <w:highlight w:val="none"/>
          <w:u w:val="single" w:color="000000"/>
          <w:lang w:eastAsia="zh-CN"/>
        </w:rPr>
        <w:t>投标人须知资料表中的</w:t>
      </w:r>
      <w:r>
        <w:rPr>
          <w:rFonts w:hint="eastAsia" w:ascii="仿宋" w:hAnsi="仿宋" w:eastAsia="仿宋" w:cs="仿宋"/>
          <w:color w:val="auto"/>
          <w:sz w:val="24"/>
          <w:highlight w:val="none"/>
          <w:lang w:eastAsia="zh-CN"/>
        </w:rPr>
        <w:t>监督电话和邮箱，反映采购代理机构的廉洁自律等问题。</w:t>
      </w:r>
    </w:p>
    <w:p w14:paraId="4056564E">
      <w:pPr>
        <w:pStyle w:val="4"/>
        <w:spacing w:before="0" w:after="0" w:line="288" w:lineRule="auto"/>
        <w:rPr>
          <w:rFonts w:hint="eastAsia" w:ascii="仿宋" w:hAnsi="仿宋" w:eastAsia="仿宋" w:cs="仿宋"/>
          <w:color w:val="auto"/>
          <w:highlight w:val="none"/>
          <w:lang w:eastAsia="zh-CN"/>
        </w:rPr>
      </w:pPr>
      <w:bookmarkStart w:id="605" w:name="_Toc1541"/>
      <w:bookmarkStart w:id="606" w:name="_Toc24038"/>
      <w:bookmarkStart w:id="607" w:name="_Toc3888"/>
      <w:bookmarkStart w:id="608" w:name="_Toc6874"/>
      <w:bookmarkStart w:id="609" w:name="_Toc7266"/>
      <w:bookmarkStart w:id="610" w:name="_Toc25480"/>
      <w:bookmarkStart w:id="611" w:name="_Toc22285"/>
      <w:bookmarkStart w:id="612" w:name="_Toc11586"/>
      <w:bookmarkStart w:id="613" w:name="_Toc10376"/>
      <w:bookmarkStart w:id="614" w:name="_Toc10437"/>
      <w:bookmarkStart w:id="615" w:name="_Toc14897"/>
      <w:bookmarkStart w:id="616" w:name="_Toc18027"/>
      <w:bookmarkStart w:id="617" w:name="_Toc515647797"/>
      <w:bookmarkStart w:id="618" w:name="_Toc31644"/>
      <w:r>
        <w:rPr>
          <w:rFonts w:hint="eastAsia" w:ascii="仿宋" w:hAnsi="仿宋" w:eastAsia="仿宋" w:cs="仿宋"/>
          <w:color w:val="auto"/>
          <w:highlight w:val="none"/>
          <w:lang w:eastAsia="zh-CN"/>
        </w:rPr>
        <w:t>35.人员回避</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1A48B0BD">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投标人认为采购人员及其相关人员有法律法规所列与其他供应商有利害关系的，可以向采购人或采购代理机构书面提出回避申请，并说明理由。</w:t>
      </w:r>
    </w:p>
    <w:p w14:paraId="2B278CED">
      <w:pPr>
        <w:pStyle w:val="4"/>
        <w:spacing w:before="0" w:after="0" w:line="340" w:lineRule="exact"/>
        <w:rPr>
          <w:rFonts w:hint="eastAsia" w:ascii="仿宋" w:hAnsi="仿宋" w:eastAsia="仿宋" w:cs="仿宋"/>
          <w:color w:val="auto"/>
          <w:szCs w:val="24"/>
          <w:highlight w:val="none"/>
          <w:u w:val="none"/>
          <w:lang w:eastAsia="zh-CN"/>
        </w:rPr>
      </w:pPr>
      <w:bookmarkStart w:id="619" w:name="_Toc16862"/>
      <w:bookmarkStart w:id="620" w:name="_Toc870"/>
      <w:bookmarkStart w:id="621" w:name="_Toc3083"/>
      <w:bookmarkStart w:id="622" w:name="_Toc30751"/>
      <w:bookmarkStart w:id="623" w:name="_Toc518923103"/>
      <w:bookmarkStart w:id="624" w:name="_Toc23883"/>
      <w:bookmarkStart w:id="625" w:name="_Toc23678"/>
      <w:r>
        <w:rPr>
          <w:rFonts w:hint="eastAsia" w:ascii="仿宋" w:hAnsi="仿宋" w:eastAsia="仿宋" w:cs="仿宋"/>
          <w:color w:val="auto"/>
          <w:szCs w:val="24"/>
          <w:highlight w:val="none"/>
          <w:u w:val="none"/>
          <w:lang w:eastAsia="zh-CN"/>
        </w:rPr>
        <w:t>36.质疑与接收</w:t>
      </w:r>
      <w:bookmarkEnd w:id="619"/>
      <w:bookmarkEnd w:id="620"/>
    </w:p>
    <w:p w14:paraId="4987CD39">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36.1   供应商认为招标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47DE095D">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14:paraId="2FB51B77">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超出法定质疑期的、重复提出的、分次提出的或内容、形式不符合《政府采购质疑和投诉办法》的，质疑供应商将依法承担不利后果。</w:t>
      </w:r>
    </w:p>
    <w:p w14:paraId="70886838">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36.3   采购代理机构质疑函接收部门、联系电话和通讯地址, 见供应商须知资料表。</w:t>
      </w:r>
    </w:p>
    <w:p w14:paraId="51AD7EF4">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36.4、质疑的提出</w:t>
      </w:r>
    </w:p>
    <w:p w14:paraId="2E44F893">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36.5   本采购文件中所称质疑及答复，是指参加本次采购活动的供应商对政府采购活动中的采购文件、采购过程和成交结果向采购方提出质疑，采购方答复质疑的行为。</w:t>
      </w:r>
    </w:p>
    <w:p w14:paraId="5460ADC7">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36.6   供应商认为采购文件、采购过程和成交结果使自己的权益受到损害的，可以在知道或者应知其权益受到损害之日起7个工作日内，以书面形式向采购方提出质疑。供应商应知其权益受到损害之日，是指：</w:t>
      </w:r>
    </w:p>
    <w:p w14:paraId="36FA425B">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（一）对可以质疑的采购文件提出质疑的，为收到采购文件之日或者采购文件公告期限届满之日；</w:t>
      </w:r>
    </w:p>
    <w:p w14:paraId="29E86BA7">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（二）对采购过程提出质疑的，为各采购程序环节结束之日；</w:t>
      </w:r>
    </w:p>
    <w:p w14:paraId="341644B2">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（三）对成交结果提出质疑的，为成交结果公告期限届满之日。</w:t>
      </w:r>
    </w:p>
    <w:p w14:paraId="5AF4AF05">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36.7   对可以质疑的采购文件提出质疑的，质疑人为参与本项目的报价方或潜在报价方。可质疑的文件为采购公告以及采购文件（包括属于其组成部分的澄清、修改、补充文件和评审标准、合同文本等）。</w:t>
      </w:r>
    </w:p>
    <w:p w14:paraId="1C08B202">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1D8E3D04">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36.9   提出质疑应当符合下列条件：</w:t>
      </w:r>
    </w:p>
    <w:p w14:paraId="07014FFD">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（一）质疑主体应当符合有关规定；</w:t>
      </w:r>
    </w:p>
    <w:p w14:paraId="40D23E04">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（二）在质疑法定期限内提出；</w:t>
      </w:r>
    </w:p>
    <w:p w14:paraId="0FDA350D">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（三）属于可以提出质疑的政府采购事项受理范围和本项目采购人的管辖权范围；</w:t>
      </w:r>
    </w:p>
    <w:p w14:paraId="5624D4DA">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（四）政府采购法律、法规、规章规定的其他条件。</w:t>
      </w:r>
    </w:p>
    <w:p w14:paraId="57864D66">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5987067C">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40.1  质疑人所提供的证明材料应当具有真实性、合法性以及与质疑事项的关联性和证明力，否则不能作为认定该质疑事项成立的依据。</w:t>
      </w:r>
    </w:p>
    <w:p w14:paraId="51ADB6ED">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40.2   质疑人提出质疑时应当提交质疑函。质疑函包括下列内容：</w:t>
      </w:r>
    </w:p>
    <w:p w14:paraId="612242C9">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（一）提出质疑的质疑人的名称、地址、邮编、联系人及联系电话等；</w:t>
      </w:r>
    </w:p>
    <w:p w14:paraId="0B66C4CB">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（二）质疑项目的名称、编号；</w:t>
      </w:r>
    </w:p>
    <w:p w14:paraId="78ECDAA3">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（三）质疑事项；</w:t>
      </w:r>
    </w:p>
    <w:p w14:paraId="6ACAA30F">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（四）事实依据和证明材料；</w:t>
      </w:r>
    </w:p>
    <w:p w14:paraId="3555DD49">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（五）法律依据；</w:t>
      </w:r>
    </w:p>
    <w:p w14:paraId="6FA68871">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（六）提出质疑的日期。</w:t>
      </w:r>
    </w:p>
    <w:p w14:paraId="55358D43">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质疑函采用实名制。质疑人为自然人的应当由本人签字，并附有效身份证明文件；质疑人为法人或者非法人组织的应当由法定代表人或者负责人签字并加盖公章，并附有效身份证明文件。</w:t>
      </w:r>
    </w:p>
    <w:p w14:paraId="09D3BC64">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40.3    质疑人可以委托代理人进行质疑。代理人应当提交授权委托书。授权委托书应当载明委托代理的具体权限、期限和相关事项。</w:t>
      </w:r>
    </w:p>
    <w:p w14:paraId="3F672AF3">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40.4、质疑的审查和受理</w:t>
      </w:r>
    </w:p>
    <w:p w14:paraId="17A03408">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采购方在收到质疑函后应当及时审查是否符合质疑受理条件，对符合质疑受理条件的，及时予以受理。</w:t>
      </w:r>
    </w:p>
    <w:p w14:paraId="05031ADE">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40.5   对不符合质疑受理条件的，分别按照下列不同情形予以处理：</w:t>
      </w:r>
    </w:p>
    <w:p w14:paraId="0516D68A">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（一）质疑函内容不符合规定的，告知质疑人进行修改并重新提出质疑。修改后质疑事项仍不具体、不明确或者最终递交质疑函的时间超过质疑法定期限的，不予受理；</w:t>
      </w:r>
    </w:p>
    <w:p w14:paraId="5C028057">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（二）质疑主体不符合有关规定的，告知质疑人不予受理；</w:t>
      </w:r>
    </w:p>
    <w:p w14:paraId="0F299A6A">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（三）超过质疑法定期限提出质疑的，告知质疑人不予受理；</w:t>
      </w:r>
    </w:p>
    <w:p w14:paraId="36605367">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（四）对不属于可以提出质疑的政府采购事项提出质疑的，告知质疑人不予受理；</w:t>
      </w:r>
    </w:p>
    <w:p w14:paraId="7A570682">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（五）质疑不属于本项目采购方管辖的，告知质疑人向有管辖权的采购人提出质疑；</w:t>
      </w:r>
    </w:p>
    <w:p w14:paraId="762B5EE3">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（六）质疑不符合其他条件的，告知质疑人不予受理。</w:t>
      </w:r>
    </w:p>
    <w:p w14:paraId="3DB29B9F">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40.6、质疑的处理和答复</w:t>
      </w:r>
    </w:p>
    <w:p w14:paraId="1B4377F2">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40.7   采购方受理质疑后，将及时把质疑函发送给被质疑人，并要求其在一定限期内提交书面答复，同时提供有关证据、依据和相关材料。</w:t>
      </w:r>
    </w:p>
    <w:p w14:paraId="10F0C724">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40.8   对于质疑事项中涉及的问题较多、情况比较复杂的，为了全面查清事实、取得充分的证据，采购方认为有必要时，可以进行调查取证或者组织质证。</w:t>
      </w:r>
    </w:p>
    <w:p w14:paraId="49771A14">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40.9   对评审过程、成交结果提出质疑的，采购方可以组织原评审委员会协助答复质疑。</w:t>
      </w:r>
    </w:p>
    <w:p w14:paraId="1B0186D5">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41.   质疑处理过程中，质疑人书面申请撤回质疑的，将终止质疑处理程序。</w:t>
      </w:r>
    </w:p>
    <w:p w14:paraId="7A0E70FF">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41.1   质疑人拒绝配合采购方依法对质疑进行调查处理的，采购方将按质疑人自动撤回质疑处理；被质疑人拒绝配合采购方依法对质疑进行调查处理的，采购方将视同其认可质疑事项。</w:t>
      </w:r>
    </w:p>
    <w:p w14:paraId="030497AC">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41.1   质疑人拒绝配合采购方依法对质疑进行调查处理的，采购方将按质疑人自动撤回质疑处理；被质疑人拒绝配合采购方依法对质疑进行调查处理的，采购方将视同其认可质疑事项。</w:t>
      </w:r>
    </w:p>
    <w:p w14:paraId="5B6CD33B">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41.2   采购方将在正式受理质疑后7个工作日内作出答复。</w:t>
      </w:r>
    </w:p>
    <w:p w14:paraId="6566DB8E">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41.3   质疑答复应当包括下列内容：</w:t>
      </w:r>
    </w:p>
    <w:p w14:paraId="6C0B5E80">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（一）质疑人的姓名或者名称；</w:t>
      </w:r>
    </w:p>
    <w:p w14:paraId="717C0C5D">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（二）收到质疑函的日期、质疑项目名称及编号；</w:t>
      </w:r>
    </w:p>
    <w:p w14:paraId="6B0234E3">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（三）质疑事项、质疑答复的具体内容、事实依据和法律依据；</w:t>
      </w:r>
    </w:p>
    <w:p w14:paraId="0649E412">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（四）告知质疑供应商依法投诉的权利；</w:t>
      </w:r>
    </w:p>
    <w:p w14:paraId="3AC74BC0">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（五）质疑答复人名称；</w:t>
      </w:r>
    </w:p>
    <w:p w14:paraId="3E79AB8E">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（六）答复质疑的日期。</w:t>
      </w:r>
    </w:p>
    <w:p w14:paraId="1CEC9733">
      <w:pPr>
        <w:widowControl w:val="0"/>
        <w:spacing w:line="340" w:lineRule="exact"/>
        <w:ind w:left="904" w:hanging="904" w:hangingChars="375"/>
        <w:jc w:val="center"/>
        <w:textAlignment w:val="auto"/>
        <w:rPr>
          <w:rFonts w:hint="eastAsia" w:ascii="仿宋" w:hAnsi="仿宋" w:eastAsia="仿宋" w:cs="仿宋"/>
          <w:b/>
          <w:bCs/>
          <w:color w:val="auto"/>
          <w:sz w:val="24"/>
          <w:highlight w:val="none"/>
          <w:lang w:eastAsia="zh-CN"/>
        </w:rPr>
      </w:pPr>
    </w:p>
    <w:p w14:paraId="16EA1A42">
      <w:pPr>
        <w:widowControl w:val="0"/>
        <w:spacing w:line="340" w:lineRule="exact"/>
        <w:ind w:left="904" w:hanging="904" w:hangingChars="375"/>
        <w:jc w:val="center"/>
        <w:textAlignment w:val="auto"/>
        <w:rPr>
          <w:rFonts w:hint="eastAsia" w:ascii="仿宋" w:hAnsi="仿宋" w:eastAsia="仿宋" w:cs="仿宋"/>
          <w:b/>
          <w:bCs/>
          <w:color w:val="auto"/>
          <w:sz w:val="24"/>
          <w:highlight w:val="none"/>
          <w:lang w:eastAsia="zh-CN"/>
        </w:rPr>
      </w:pPr>
    </w:p>
    <w:p w14:paraId="112BAB3C">
      <w:pPr>
        <w:widowControl w:val="0"/>
        <w:spacing w:line="340" w:lineRule="exact"/>
        <w:ind w:left="904" w:hanging="904" w:hangingChars="375"/>
        <w:jc w:val="center"/>
        <w:textAlignment w:val="auto"/>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lang w:eastAsia="zh-CN"/>
        </w:rPr>
        <w:t>质疑函范本</w:t>
      </w:r>
    </w:p>
    <w:p w14:paraId="2D6906CF">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一、质疑供应商基本信息</w:t>
      </w:r>
    </w:p>
    <w:p w14:paraId="4CC6290E">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质疑供应商：</w:t>
      </w:r>
    </w:p>
    <w:p w14:paraId="5EA4F2FD">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地址：邮编：</w:t>
      </w:r>
    </w:p>
    <w:p w14:paraId="418504FC">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联系人：联系电话：</w:t>
      </w:r>
    </w:p>
    <w:p w14:paraId="001F7577">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授权代表：</w:t>
      </w:r>
    </w:p>
    <w:p w14:paraId="5C9C96F3">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联系电话：</w:t>
      </w:r>
    </w:p>
    <w:p w14:paraId="62083C8F">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地址：邮编：</w:t>
      </w:r>
    </w:p>
    <w:p w14:paraId="39ECEC47">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二、质疑项目基本情况</w:t>
      </w:r>
    </w:p>
    <w:p w14:paraId="6B31AFE0">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质疑项目的名称：</w:t>
      </w:r>
    </w:p>
    <w:p w14:paraId="546CB234">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质疑项目的编号：包号：</w:t>
      </w:r>
    </w:p>
    <w:p w14:paraId="0E761F11">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采购人名称：</w:t>
      </w:r>
    </w:p>
    <w:p w14:paraId="23EEAF26">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采购文件获取日期：</w:t>
      </w:r>
    </w:p>
    <w:p w14:paraId="4DF95539">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三、质疑事项具体内容</w:t>
      </w:r>
    </w:p>
    <w:p w14:paraId="643F2364">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质疑事项1：</w:t>
      </w:r>
    </w:p>
    <w:p w14:paraId="67C362CC">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事实依据：</w:t>
      </w:r>
    </w:p>
    <w:p w14:paraId="398C9DCA">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p>
    <w:p w14:paraId="78EFFF54">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法律依据：</w:t>
      </w:r>
    </w:p>
    <w:p w14:paraId="5289A98A">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p>
    <w:p w14:paraId="5EDCDE12">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质疑事项2</w:t>
      </w:r>
    </w:p>
    <w:p w14:paraId="385B2338">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p>
    <w:p w14:paraId="62778F6A">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四、与质疑事项相关的质疑请求</w:t>
      </w:r>
    </w:p>
    <w:p w14:paraId="16C095CB">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请求：</w:t>
      </w:r>
    </w:p>
    <w:p w14:paraId="4D687A9E">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签字(签章)：公章：</w:t>
      </w:r>
    </w:p>
    <w:p w14:paraId="5231A88A">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日期：</w:t>
      </w:r>
    </w:p>
    <w:p w14:paraId="3BEB75FF">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p>
    <w:p w14:paraId="37288775">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p>
    <w:p w14:paraId="2C933F1A">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质疑函制作说明：</w:t>
      </w:r>
    </w:p>
    <w:p w14:paraId="77272C3E">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1.供应商提出质疑时，应提交质疑函和必要的证明材料。</w:t>
      </w:r>
    </w:p>
    <w:p w14:paraId="1A164C96">
      <w:pPr>
        <w:widowControl w:val="0"/>
        <w:spacing w:line="3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63354AF">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3.质疑供应商若对项目的某一分包进行质疑，质疑函中应列明具体分包号。</w:t>
      </w:r>
    </w:p>
    <w:p w14:paraId="5C4A9B2E">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4.质疑函的质疑事项应具体、明确，并有必要的事实依据和法律依据。</w:t>
      </w:r>
    </w:p>
    <w:p w14:paraId="3EBA043F">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5.质疑函的质疑请求应与质疑事项相关。</w:t>
      </w:r>
    </w:p>
    <w:p w14:paraId="40D49B75">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6.质疑供应商为自然人的，质疑函应由本人签字；质疑供应商为法人或者其他组织的，质疑函应由法定代表人、主要负责人，或者其授权代表签字或者盖章，并加盖公章。</w:t>
      </w:r>
    </w:p>
    <w:p w14:paraId="0A97AED9">
      <w:pPr>
        <w:widowControl w:val="0"/>
        <w:spacing w:line="240" w:lineRule="atLeast"/>
        <w:ind w:left="1080" w:leftChars="257" w:hanging="540"/>
        <w:rPr>
          <w:rFonts w:hint="eastAsia" w:ascii="仿宋" w:hAnsi="仿宋" w:eastAsia="仿宋" w:cs="仿宋"/>
          <w:color w:val="auto"/>
          <w:highlight w:val="none"/>
          <w:lang w:eastAsia="zh-CN"/>
        </w:rPr>
      </w:pPr>
      <w:r>
        <w:rPr>
          <w:rFonts w:hint="eastAsia" w:ascii="仿宋" w:hAnsi="仿宋" w:eastAsia="仿宋" w:cs="仿宋"/>
          <w:color w:val="auto"/>
          <w:sz w:val="24"/>
          <w:highlight w:val="none"/>
          <w:lang w:eastAsia="zh-CN"/>
        </w:rPr>
        <w:br w:type="page"/>
      </w:r>
      <w:r>
        <w:rPr>
          <w:rFonts w:hint="eastAsia" w:ascii="仿宋" w:hAnsi="仿宋" w:eastAsia="仿宋" w:cs="仿宋"/>
          <w:color w:val="auto"/>
          <w:highlight w:val="none"/>
          <w:lang w:eastAsia="zh-CN"/>
        </w:rPr>
        <w:t>附件1：履约保证金保函（格式）</w:t>
      </w:r>
      <w:bookmarkEnd w:id="621"/>
      <w:bookmarkEnd w:id="622"/>
      <w:bookmarkEnd w:id="623"/>
      <w:bookmarkEnd w:id="624"/>
      <w:bookmarkEnd w:id="625"/>
    </w:p>
    <w:p w14:paraId="4D782070">
      <w:pPr>
        <w:pStyle w:val="12"/>
        <w:widowControl w:val="0"/>
        <w:spacing w:line="240" w:lineRule="atLeast"/>
        <w:ind w:left="1080" w:leftChars="257" w:hanging="540"/>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（中标后开具）</w:t>
      </w:r>
    </w:p>
    <w:p w14:paraId="0906B8BA">
      <w:pPr>
        <w:pStyle w:val="12"/>
        <w:widowControl w:val="0"/>
        <w:spacing w:line="240" w:lineRule="atLeast"/>
        <w:ind w:left="1080" w:leftChars="257" w:hanging="540"/>
        <w:rPr>
          <w:rFonts w:hint="eastAsia" w:ascii="仿宋" w:hAnsi="仿宋" w:eastAsia="仿宋" w:cs="仿宋"/>
          <w:b/>
          <w:color w:val="auto"/>
          <w:sz w:val="24"/>
          <w:highlight w:val="none"/>
          <w:lang w:eastAsia="zh-CN"/>
        </w:rPr>
      </w:pPr>
    </w:p>
    <w:p w14:paraId="2F36486D">
      <w:pPr>
        <w:pStyle w:val="12"/>
        <w:widowControl w:val="0"/>
        <w:spacing w:line="240" w:lineRule="atLeast"/>
        <w:ind w:left="1080" w:leftChars="257" w:hanging="540"/>
        <w:rPr>
          <w:rFonts w:hint="eastAsia" w:ascii="仿宋" w:hAnsi="仿宋" w:eastAsia="仿宋" w:cs="仿宋"/>
          <w:b/>
          <w:color w:val="auto"/>
          <w:sz w:val="24"/>
          <w:highlight w:val="none"/>
          <w:lang w:eastAsia="zh-CN"/>
        </w:rPr>
      </w:pPr>
    </w:p>
    <w:p w14:paraId="26545D59">
      <w:pPr>
        <w:pStyle w:val="12"/>
        <w:widowControl w:val="0"/>
        <w:spacing w:line="240" w:lineRule="atLeas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致: (</w:t>
      </w:r>
      <w:r>
        <w:rPr>
          <w:rFonts w:hint="eastAsia" w:ascii="仿宋" w:hAnsi="仿宋" w:eastAsia="仿宋" w:cs="仿宋"/>
          <w:i/>
          <w:color w:val="auto"/>
          <w:sz w:val="24"/>
          <w:szCs w:val="24"/>
          <w:highlight w:val="none"/>
          <w:u w:val="single"/>
          <w:lang w:eastAsia="zh-CN"/>
        </w:rPr>
        <w:t>买方名称</w:t>
      </w:r>
      <w:r>
        <w:rPr>
          <w:rFonts w:hint="eastAsia" w:ascii="仿宋" w:hAnsi="仿宋" w:eastAsia="仿宋" w:cs="仿宋"/>
          <w:color w:val="auto"/>
          <w:sz w:val="24"/>
          <w:szCs w:val="24"/>
          <w:highlight w:val="none"/>
          <w:lang w:eastAsia="zh-CN"/>
        </w:rPr>
        <w:t>)</w:t>
      </w:r>
    </w:p>
    <w:p w14:paraId="6AB09A44">
      <w:pPr>
        <w:pStyle w:val="12"/>
        <w:widowControl w:val="0"/>
        <w:spacing w:line="240" w:lineRule="atLeast"/>
        <w:ind w:left="1080" w:leftChars="257" w:hanging="54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号合同履约保函</w:t>
      </w:r>
    </w:p>
    <w:p w14:paraId="6B676699">
      <w:pPr>
        <w:pStyle w:val="12"/>
        <w:widowControl w:val="0"/>
        <w:spacing w:line="240" w:lineRule="atLeast"/>
        <w:ind w:left="1080" w:leftChars="257" w:hanging="540"/>
        <w:jc w:val="center"/>
        <w:rPr>
          <w:rFonts w:hint="eastAsia" w:ascii="仿宋" w:hAnsi="仿宋" w:eastAsia="仿宋" w:cs="仿宋"/>
          <w:color w:val="auto"/>
          <w:sz w:val="24"/>
          <w:szCs w:val="24"/>
          <w:highlight w:val="none"/>
          <w:lang w:eastAsia="zh-CN"/>
        </w:rPr>
      </w:pPr>
    </w:p>
    <w:p w14:paraId="1C944C66">
      <w:pPr>
        <w:pStyle w:val="12"/>
        <w:widowControl w:val="0"/>
        <w:spacing w:line="240" w:lineRule="atLeast"/>
        <w:ind w:firstLine="600" w:firstLineChars="2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本保函作为贵方与(</w:t>
      </w:r>
      <w:r>
        <w:rPr>
          <w:rFonts w:hint="eastAsia" w:ascii="仿宋" w:hAnsi="仿宋" w:eastAsia="仿宋" w:cs="仿宋"/>
          <w:i/>
          <w:color w:val="auto"/>
          <w:sz w:val="24"/>
          <w:szCs w:val="24"/>
          <w:highlight w:val="none"/>
          <w:u w:val="single"/>
          <w:lang w:eastAsia="zh-CN"/>
        </w:rPr>
        <w:t>卖方名称</w:t>
      </w:r>
      <w:r>
        <w:rPr>
          <w:rFonts w:hint="eastAsia" w:ascii="仿宋" w:hAnsi="仿宋" w:eastAsia="仿宋" w:cs="仿宋"/>
          <w:color w:val="auto"/>
          <w:sz w:val="24"/>
          <w:szCs w:val="24"/>
          <w:highlight w:val="none"/>
          <w:lang w:eastAsia="zh-CN"/>
        </w:rPr>
        <w:t>)(以下简称卖方)于年月日就项目(以下简称项目)项下提供(</w:t>
      </w:r>
      <w:r>
        <w:rPr>
          <w:rFonts w:hint="eastAsia" w:ascii="仿宋" w:hAnsi="仿宋" w:eastAsia="仿宋" w:cs="仿宋"/>
          <w:i/>
          <w:color w:val="auto"/>
          <w:sz w:val="24"/>
          <w:szCs w:val="24"/>
          <w:highlight w:val="none"/>
          <w:u w:val="single"/>
          <w:lang w:eastAsia="zh-CN"/>
        </w:rPr>
        <w:t>货物名称</w:t>
      </w:r>
      <w:r>
        <w:rPr>
          <w:rFonts w:hint="eastAsia" w:ascii="仿宋" w:hAnsi="仿宋" w:eastAsia="仿宋" w:cs="仿宋"/>
          <w:color w:val="auto"/>
          <w:sz w:val="24"/>
          <w:szCs w:val="24"/>
          <w:highlight w:val="none"/>
          <w:lang w:eastAsia="zh-CN"/>
        </w:rPr>
        <w:t>)(以下简称货物)签订的(</w:t>
      </w:r>
      <w:r>
        <w:rPr>
          <w:rFonts w:hint="eastAsia" w:ascii="仿宋" w:hAnsi="仿宋" w:eastAsia="仿宋" w:cs="仿宋"/>
          <w:i/>
          <w:color w:val="auto"/>
          <w:sz w:val="24"/>
          <w:szCs w:val="24"/>
          <w:highlight w:val="none"/>
          <w:u w:val="single"/>
          <w:lang w:eastAsia="zh-CN"/>
        </w:rPr>
        <w:t>合同号</w:t>
      </w:r>
      <w:r>
        <w:rPr>
          <w:rFonts w:hint="eastAsia" w:ascii="仿宋" w:hAnsi="仿宋" w:eastAsia="仿宋" w:cs="仿宋"/>
          <w:color w:val="auto"/>
          <w:sz w:val="24"/>
          <w:szCs w:val="24"/>
          <w:highlight w:val="none"/>
          <w:lang w:eastAsia="zh-CN"/>
        </w:rPr>
        <w:t>)号合同的履约保函。</w:t>
      </w:r>
    </w:p>
    <w:p w14:paraId="1ED44873">
      <w:pPr>
        <w:pStyle w:val="12"/>
        <w:widowControl w:val="0"/>
        <w:spacing w:line="240" w:lineRule="atLeast"/>
        <w:ind w:firstLine="540" w:firstLineChars="22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i/>
          <w:color w:val="auto"/>
          <w:sz w:val="24"/>
          <w:szCs w:val="24"/>
          <w:highlight w:val="none"/>
          <w:u w:val="single"/>
          <w:lang w:eastAsia="zh-CN"/>
        </w:rPr>
        <w:t>出具保函的银行名称</w:t>
      </w:r>
      <w:r>
        <w:rPr>
          <w:rFonts w:hint="eastAsia" w:ascii="仿宋" w:hAnsi="仿宋" w:eastAsia="仿宋" w:cs="仿宋"/>
          <w:color w:val="auto"/>
          <w:sz w:val="24"/>
          <w:szCs w:val="24"/>
          <w:highlight w:val="none"/>
          <w:lang w:eastAsia="zh-CN"/>
        </w:rPr>
        <w:t>)(以下简称银行)无条件地、不可撤销地具结保证本行、其继承人和受让人无追索地向贵方以(</w:t>
      </w:r>
      <w:r>
        <w:rPr>
          <w:rFonts w:hint="eastAsia" w:ascii="仿宋" w:hAnsi="仿宋" w:eastAsia="仿宋" w:cs="仿宋"/>
          <w:i/>
          <w:color w:val="auto"/>
          <w:sz w:val="24"/>
          <w:szCs w:val="24"/>
          <w:highlight w:val="none"/>
          <w:u w:val="single"/>
          <w:lang w:eastAsia="zh-CN"/>
        </w:rPr>
        <w:t>货币名称</w:t>
      </w:r>
      <w:r>
        <w:rPr>
          <w:rFonts w:hint="eastAsia" w:ascii="仿宋" w:hAnsi="仿宋" w:eastAsia="仿宋" w:cs="仿宋"/>
          <w:color w:val="auto"/>
          <w:sz w:val="24"/>
          <w:szCs w:val="24"/>
          <w:highlight w:val="none"/>
          <w:lang w:eastAsia="zh-CN"/>
        </w:rPr>
        <w:t>)支付总额不超过(</w:t>
      </w:r>
      <w:r>
        <w:rPr>
          <w:rFonts w:hint="eastAsia" w:ascii="仿宋" w:hAnsi="仿宋" w:eastAsia="仿宋" w:cs="仿宋"/>
          <w:i/>
          <w:color w:val="auto"/>
          <w:sz w:val="24"/>
          <w:szCs w:val="24"/>
          <w:highlight w:val="none"/>
          <w:u w:val="single"/>
          <w:lang w:eastAsia="zh-CN"/>
        </w:rPr>
        <w:t>货币数量</w:t>
      </w:r>
      <w:r>
        <w:rPr>
          <w:rFonts w:hint="eastAsia" w:ascii="仿宋" w:hAnsi="仿宋" w:eastAsia="仿宋" w:cs="仿宋"/>
          <w:color w:val="auto"/>
          <w:sz w:val="24"/>
          <w:szCs w:val="24"/>
          <w:highlight w:val="none"/>
          <w:lang w:eastAsia="zh-CN"/>
        </w:rPr>
        <w:t>),即相当于合同价格的%,并以此约定如下:</w:t>
      </w:r>
    </w:p>
    <w:p w14:paraId="4F1AEF70">
      <w:pPr>
        <w:pStyle w:val="12"/>
        <w:widowControl w:val="0"/>
        <w:spacing w:line="240" w:lineRule="atLeast"/>
        <w:ind w:left="540" w:leftChars="25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14:paraId="2DA48341">
      <w:pPr>
        <w:pStyle w:val="12"/>
        <w:widowControl w:val="0"/>
        <w:spacing w:line="240" w:lineRule="atLeast"/>
        <w:ind w:left="5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2.本保函项下的任何支付应为免税和净值。对于现有或将来的税收、关税、收费、费用扣减或预提税款，不论这些款项是何种性质和由谁征收，都不应从本保函项下的支付中扣除。</w:t>
      </w:r>
    </w:p>
    <w:p w14:paraId="4FD09BE8">
      <w:pPr>
        <w:pStyle w:val="12"/>
        <w:widowControl w:val="0"/>
        <w:spacing w:line="240" w:lineRule="atLeast"/>
        <w:ind w:left="5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2D9A2E8B">
      <w:pPr>
        <w:pStyle w:val="12"/>
        <w:widowControl w:val="0"/>
        <w:spacing w:line="240" w:lineRule="atLeast"/>
        <w:ind w:left="1080" w:leftChars="257" w:hanging="540"/>
        <w:rPr>
          <w:rFonts w:hint="eastAsia" w:ascii="仿宋" w:hAnsi="仿宋" w:eastAsia="仿宋" w:cs="仿宋"/>
          <w:color w:val="auto"/>
          <w:sz w:val="24"/>
          <w:szCs w:val="24"/>
          <w:highlight w:val="none"/>
          <w:lang w:eastAsia="zh-CN"/>
        </w:rPr>
      </w:pPr>
      <w:bookmarkStart w:id="626" w:name="_Toc6985"/>
      <w:bookmarkStart w:id="627" w:name="_Toc1076"/>
      <w:r>
        <w:rPr>
          <w:rFonts w:hint="eastAsia" w:ascii="仿宋" w:hAnsi="仿宋" w:eastAsia="仿宋" w:cs="仿宋"/>
          <w:color w:val="auto"/>
          <w:sz w:val="24"/>
          <w:szCs w:val="24"/>
          <w:highlight w:val="none"/>
          <w:lang w:eastAsia="zh-CN"/>
        </w:rPr>
        <w:t>4.本保函在本合同规定的保证期期满前完全有效。</w:t>
      </w:r>
      <w:bookmarkEnd w:id="626"/>
      <w:bookmarkEnd w:id="627"/>
    </w:p>
    <w:p w14:paraId="4D3B919F">
      <w:pPr>
        <w:pStyle w:val="12"/>
        <w:widowControl w:val="0"/>
        <w:spacing w:line="240" w:lineRule="atLeast"/>
        <w:ind w:left="1080" w:leftChars="257" w:hanging="540"/>
        <w:rPr>
          <w:rFonts w:hint="eastAsia" w:ascii="仿宋" w:hAnsi="仿宋" w:eastAsia="仿宋" w:cs="仿宋"/>
          <w:color w:val="auto"/>
          <w:sz w:val="24"/>
          <w:szCs w:val="24"/>
          <w:highlight w:val="none"/>
          <w:lang w:eastAsia="zh-CN"/>
        </w:rPr>
      </w:pPr>
    </w:p>
    <w:p w14:paraId="05895E0D">
      <w:pPr>
        <w:pStyle w:val="12"/>
        <w:widowControl w:val="0"/>
        <w:spacing w:line="240" w:lineRule="atLeast"/>
        <w:ind w:left="1080" w:leftChars="257" w:hanging="5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谨启</w:t>
      </w:r>
    </w:p>
    <w:p w14:paraId="605784F7">
      <w:pPr>
        <w:pStyle w:val="12"/>
        <w:widowControl w:val="0"/>
        <w:spacing w:line="240" w:lineRule="atLeast"/>
        <w:ind w:left="1080" w:leftChars="257" w:hanging="5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出具保函银行名称：</w:t>
      </w:r>
    </w:p>
    <w:p w14:paraId="5C39A7FB">
      <w:pPr>
        <w:pStyle w:val="12"/>
        <w:widowControl w:val="0"/>
        <w:spacing w:line="240" w:lineRule="atLeast"/>
        <w:ind w:left="1080" w:leftChars="257" w:hanging="54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签字人姓名和职务：</w:t>
      </w:r>
    </w:p>
    <w:p w14:paraId="27418E35">
      <w:pPr>
        <w:pStyle w:val="12"/>
        <w:widowControl w:val="0"/>
        <w:spacing w:line="240" w:lineRule="atLeast"/>
        <w:ind w:left="1080" w:leftChars="257" w:hanging="5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签字人签名：</w:t>
      </w:r>
    </w:p>
    <w:p w14:paraId="12B9C7F8">
      <w:pPr>
        <w:pStyle w:val="12"/>
        <w:widowControl w:val="0"/>
        <w:spacing w:line="240" w:lineRule="atLeast"/>
        <w:ind w:left="1080" w:leftChars="257" w:hanging="54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公章：</w:t>
      </w:r>
    </w:p>
    <w:p w14:paraId="760A9A2C">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757F7C48">
      <w:pPr>
        <w:pStyle w:val="8"/>
        <w:tabs>
          <w:tab w:val="left" w:pos="567"/>
        </w:tabs>
        <w:rPr>
          <w:rFonts w:hint="eastAsia" w:ascii="仿宋" w:hAnsi="仿宋" w:eastAsia="仿宋" w:cs="仿宋"/>
          <w:color w:val="auto"/>
          <w:highlight w:val="none"/>
          <w:lang w:eastAsia="zh-CN"/>
        </w:rPr>
      </w:pPr>
    </w:p>
    <w:p w14:paraId="56F66972">
      <w:pPr>
        <w:widowControl w:val="0"/>
        <w:spacing w:line="240" w:lineRule="atLeast"/>
        <w:ind w:left="1080" w:leftChars="257" w:hanging="540"/>
        <w:rPr>
          <w:rFonts w:hint="eastAsia" w:ascii="仿宋" w:hAnsi="仿宋" w:eastAsia="仿宋" w:cs="仿宋"/>
          <w:color w:val="auto"/>
          <w:highlight w:val="none"/>
          <w:lang w:eastAsia="zh-CN"/>
        </w:rPr>
      </w:pPr>
      <w:bookmarkStart w:id="628" w:name="_Toc27581"/>
      <w:bookmarkStart w:id="629" w:name="_Toc518923104"/>
      <w:bookmarkStart w:id="630" w:name="_Toc22540"/>
      <w:bookmarkStart w:id="631" w:name="_Toc21744"/>
      <w:bookmarkStart w:id="632" w:name="_Toc16707"/>
      <w:bookmarkStart w:id="633" w:name="_Toc27788"/>
      <w:r>
        <w:rPr>
          <w:rFonts w:hint="eastAsia" w:ascii="仿宋" w:hAnsi="仿宋" w:eastAsia="仿宋" w:cs="仿宋"/>
          <w:color w:val="auto"/>
          <w:highlight w:val="none"/>
          <w:lang w:eastAsia="zh-CN"/>
        </w:rPr>
        <w:t>附件2：履约担保函格式</w:t>
      </w:r>
      <w:bookmarkEnd w:id="628"/>
      <w:bookmarkEnd w:id="629"/>
      <w:bookmarkEnd w:id="630"/>
      <w:bookmarkEnd w:id="631"/>
      <w:bookmarkEnd w:id="632"/>
      <w:bookmarkEnd w:id="633"/>
    </w:p>
    <w:p w14:paraId="4353BF28">
      <w:pPr>
        <w:widowControl w:val="0"/>
        <w:spacing w:line="240" w:lineRule="atLeast"/>
        <w:ind w:left="1080" w:leftChars="257" w:hanging="540"/>
        <w:rPr>
          <w:rFonts w:hint="eastAsia" w:ascii="仿宋" w:hAnsi="仿宋" w:eastAsia="仿宋" w:cs="仿宋"/>
          <w:color w:val="auto"/>
          <w:highlight w:val="none"/>
          <w:lang w:eastAsia="zh-CN"/>
        </w:rPr>
      </w:pPr>
      <w:bookmarkStart w:id="634" w:name="_Toc515647801"/>
      <w:bookmarkStart w:id="635" w:name="_Toc9735"/>
      <w:bookmarkStart w:id="636" w:name="_Toc162"/>
      <w:bookmarkStart w:id="637" w:name="_Toc7209"/>
      <w:bookmarkStart w:id="638" w:name="_Toc32574"/>
      <w:bookmarkStart w:id="639" w:name="_Toc13962"/>
      <w:r>
        <w:rPr>
          <w:rFonts w:hint="eastAsia" w:ascii="仿宋" w:hAnsi="仿宋" w:eastAsia="仿宋" w:cs="仿宋"/>
          <w:color w:val="auto"/>
          <w:highlight w:val="none"/>
          <w:lang w:eastAsia="zh-CN"/>
        </w:rPr>
        <w:t>（采用政府采购信用担保形式时使用）</w:t>
      </w:r>
      <w:bookmarkEnd w:id="634"/>
      <w:bookmarkEnd w:id="635"/>
      <w:bookmarkEnd w:id="636"/>
      <w:bookmarkEnd w:id="637"/>
      <w:bookmarkEnd w:id="638"/>
      <w:bookmarkEnd w:id="639"/>
    </w:p>
    <w:p w14:paraId="08BE725B">
      <w:pPr>
        <w:widowControl w:val="0"/>
        <w:spacing w:line="240" w:lineRule="atLeast"/>
        <w:ind w:left="1080" w:leftChars="257" w:hanging="540"/>
        <w:rPr>
          <w:rFonts w:hint="eastAsia" w:ascii="仿宋" w:hAnsi="仿宋" w:eastAsia="仿宋" w:cs="仿宋"/>
          <w:b/>
          <w:color w:val="auto"/>
          <w:sz w:val="24"/>
          <w:szCs w:val="20"/>
          <w:highlight w:val="none"/>
          <w:lang w:eastAsia="zh-CN"/>
        </w:rPr>
      </w:pPr>
    </w:p>
    <w:p w14:paraId="4EB326F9">
      <w:pPr>
        <w:widowControl w:val="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政府采购履约担保函（项目用）</w:t>
      </w:r>
    </w:p>
    <w:p w14:paraId="5798F85E">
      <w:pPr>
        <w:widowControl w:val="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编号：</w:t>
      </w:r>
    </w:p>
    <w:p w14:paraId="370FABFD">
      <w:pPr>
        <w:widowControl w:val="0"/>
        <w:rPr>
          <w:rFonts w:hint="eastAsia" w:ascii="仿宋" w:hAnsi="仿宋" w:eastAsia="仿宋" w:cs="仿宋"/>
          <w:color w:val="auto"/>
          <w:sz w:val="24"/>
          <w:highlight w:val="none"/>
          <w:lang w:eastAsia="zh-CN"/>
        </w:rPr>
      </w:pPr>
    </w:p>
    <w:p w14:paraId="7EC72D09">
      <w:pPr>
        <w:widowControl w:val="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（采购人）：</w:t>
      </w:r>
    </w:p>
    <w:p w14:paraId="274C0E37">
      <w:pPr>
        <w:widowControl w:val="0"/>
        <w:rPr>
          <w:rFonts w:hint="eastAsia" w:ascii="仿宋" w:hAnsi="仿宋" w:eastAsia="仿宋" w:cs="仿宋"/>
          <w:color w:val="auto"/>
          <w:sz w:val="24"/>
          <w:highlight w:val="none"/>
          <w:lang w:eastAsia="zh-CN"/>
        </w:rPr>
      </w:pPr>
    </w:p>
    <w:p w14:paraId="7AE724DD">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鉴于你方与（以下简称供应商）于年月日签定编号为</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lang w:eastAsia="zh-CN"/>
        </w:rPr>
        <w:t>的《政府采购合同》（以下简称主合同），且依据该合同的约定，供应商应在年</w:t>
      </w:r>
    </w:p>
    <w:p w14:paraId="34944214">
      <w:pPr>
        <w:widowControl w:val="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月日前向你方交纳履约保证金，且可以履约担保函的形式交纳履约保证金。应供应商的申请，我方以保证的方式向你方提供如下履约保证金担保：</w:t>
      </w:r>
    </w:p>
    <w:p w14:paraId="739B62B3">
      <w:pPr>
        <w:widowControl w:val="0"/>
        <w:ind w:firstLine="480" w:firstLineChars="200"/>
        <w:rPr>
          <w:rFonts w:hint="eastAsia" w:ascii="仿宋" w:hAnsi="仿宋" w:eastAsia="仿宋" w:cs="仿宋"/>
          <w:color w:val="auto"/>
          <w:sz w:val="24"/>
          <w:highlight w:val="none"/>
          <w:lang w:eastAsia="zh-CN"/>
        </w:rPr>
      </w:pPr>
      <w:bookmarkStart w:id="640" w:name="_Toc16807"/>
      <w:r>
        <w:rPr>
          <w:rFonts w:hint="eastAsia" w:ascii="仿宋" w:hAnsi="仿宋" w:eastAsia="仿宋" w:cs="仿宋"/>
          <w:color w:val="auto"/>
          <w:sz w:val="24"/>
          <w:highlight w:val="none"/>
          <w:lang w:eastAsia="zh-CN"/>
        </w:rPr>
        <w:t>一、保证责任的情形及保证金额</w:t>
      </w:r>
      <w:bookmarkEnd w:id="640"/>
    </w:p>
    <w:p w14:paraId="1FCAD865">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（一）在供应商出现下列情形之一时，我方承担保证责任：</w:t>
      </w:r>
    </w:p>
    <w:p w14:paraId="302E6EA2">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1．将中标项目转让给他人，或者在投标文件中未说明，且未经采购招标机构人同意，将中标项目分包给他人的；</w:t>
      </w:r>
    </w:p>
    <w:p w14:paraId="7FBFCA3E">
      <w:pPr>
        <w:widowControl w:val="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w:t>
      </w:r>
      <w:bookmarkStart w:id="641" w:name="_Toc806"/>
      <w:bookmarkStart w:id="642" w:name="_Toc30650"/>
      <w:bookmarkStart w:id="643" w:name="_Toc2434"/>
      <w:r>
        <w:rPr>
          <w:rFonts w:hint="eastAsia" w:ascii="仿宋" w:hAnsi="仿宋" w:eastAsia="仿宋" w:cs="仿宋"/>
          <w:color w:val="auto"/>
          <w:sz w:val="24"/>
          <w:highlight w:val="none"/>
          <w:lang w:eastAsia="zh-CN"/>
        </w:rPr>
        <w:t>2．主合同约定的应当缴纳履约保证金的情形:</w:t>
      </w:r>
      <w:bookmarkEnd w:id="641"/>
      <w:bookmarkEnd w:id="642"/>
      <w:bookmarkEnd w:id="643"/>
    </w:p>
    <w:p w14:paraId="7D3C0472">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（1）未按主合同约定的质量、数量和期限供应货物/提供服务/完成工程的；</w:t>
      </w:r>
    </w:p>
    <w:p w14:paraId="183D46A7">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u w:val="single"/>
          <w:lang w:eastAsia="zh-CN"/>
        </w:rPr>
        <w:t xml:space="preserve">                                                        。</w:t>
      </w:r>
    </w:p>
    <w:p w14:paraId="4FA2B6BA">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（二）我方的保证范围是主合同约定的合同价款总额的%数额为元（大写），币种为。（即主合同履约保证金金额）</w:t>
      </w:r>
    </w:p>
    <w:p w14:paraId="7F838DF1">
      <w:pPr>
        <w:widowControl w:val="0"/>
        <w:ind w:firstLine="480" w:firstLineChars="200"/>
        <w:rPr>
          <w:rFonts w:hint="eastAsia" w:ascii="仿宋" w:hAnsi="仿宋" w:eastAsia="仿宋" w:cs="仿宋"/>
          <w:color w:val="auto"/>
          <w:sz w:val="24"/>
          <w:highlight w:val="none"/>
          <w:lang w:eastAsia="zh-CN"/>
        </w:rPr>
      </w:pPr>
      <w:bookmarkStart w:id="644" w:name="_Toc16733"/>
      <w:r>
        <w:rPr>
          <w:rFonts w:hint="eastAsia" w:ascii="仿宋" w:hAnsi="仿宋" w:eastAsia="仿宋" w:cs="仿宋"/>
          <w:color w:val="auto"/>
          <w:sz w:val="24"/>
          <w:highlight w:val="none"/>
          <w:lang w:eastAsia="zh-CN"/>
        </w:rPr>
        <w:t>二、保证的方式及保证期间</w:t>
      </w:r>
      <w:bookmarkEnd w:id="644"/>
    </w:p>
    <w:p w14:paraId="1191F873">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我方保证的方式为：连带责任保证。</w:t>
      </w:r>
    </w:p>
    <w:p w14:paraId="08152962">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我方保证的期间为：自本合同生效之日起至供应商按照主合同约定的供货/完工期限届满后日内。</w:t>
      </w:r>
    </w:p>
    <w:p w14:paraId="7E7FC09A">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如果供应商未按主合同约定向贵方供应货物/提供服务/完成工程的，由我方在保证金额内向你方支付上述款项。</w:t>
      </w:r>
    </w:p>
    <w:p w14:paraId="7025B44A">
      <w:pPr>
        <w:widowControl w:val="0"/>
        <w:ind w:firstLine="480" w:firstLineChars="200"/>
        <w:rPr>
          <w:rFonts w:hint="eastAsia" w:ascii="仿宋" w:hAnsi="仿宋" w:eastAsia="仿宋" w:cs="仿宋"/>
          <w:color w:val="auto"/>
          <w:sz w:val="24"/>
          <w:highlight w:val="none"/>
          <w:lang w:eastAsia="zh-CN"/>
        </w:rPr>
      </w:pPr>
      <w:bookmarkStart w:id="645" w:name="_Toc19668"/>
      <w:r>
        <w:rPr>
          <w:rFonts w:hint="eastAsia" w:ascii="仿宋" w:hAnsi="仿宋" w:eastAsia="仿宋" w:cs="仿宋"/>
          <w:color w:val="auto"/>
          <w:sz w:val="24"/>
          <w:highlight w:val="none"/>
          <w:lang w:eastAsia="zh-CN"/>
        </w:rPr>
        <w:t>三、承担保证责任的程序</w:t>
      </w:r>
      <w:bookmarkEnd w:id="645"/>
    </w:p>
    <w:p w14:paraId="78CDA563">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1．你方要求我方承担保证责任的，应在本保函保证期间内向我方发出书面索赔通知。索赔通知应写明要求索赔的金额，支付款项应到达的帐号。并附有证明供应商违约事实的证明材料。</w:t>
      </w:r>
    </w:p>
    <w:p w14:paraId="243184B6">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如果你方与供应商因货物质量问题产生争议，你方还需同时提供部门出具的质量检测报告，或经诉讼（仲裁）程序裁决后的裁决书、调解书，本保证人即按照检测结果或裁决书、调解书决定是否承担保证责任。</w:t>
      </w:r>
    </w:p>
    <w:p w14:paraId="54E22CB5">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 我方收到你方的书面索赔通知及相应证明材料，在工作日内进行核定后按照本保函的承诺承担保证责任。</w:t>
      </w:r>
    </w:p>
    <w:p w14:paraId="79A59D21">
      <w:pPr>
        <w:widowControl w:val="0"/>
        <w:ind w:firstLine="480" w:firstLineChars="200"/>
        <w:rPr>
          <w:rFonts w:hint="eastAsia" w:ascii="仿宋" w:hAnsi="仿宋" w:eastAsia="仿宋" w:cs="仿宋"/>
          <w:color w:val="auto"/>
          <w:sz w:val="24"/>
          <w:highlight w:val="none"/>
          <w:lang w:eastAsia="zh-CN"/>
        </w:rPr>
      </w:pPr>
      <w:bookmarkStart w:id="646" w:name="_Toc11641"/>
      <w:r>
        <w:rPr>
          <w:rFonts w:hint="eastAsia" w:ascii="仿宋" w:hAnsi="仿宋" w:eastAsia="仿宋" w:cs="仿宋"/>
          <w:color w:val="auto"/>
          <w:sz w:val="24"/>
          <w:highlight w:val="none"/>
          <w:lang w:eastAsia="zh-CN"/>
        </w:rPr>
        <w:t>四、保证责任的终止</w:t>
      </w:r>
      <w:bookmarkEnd w:id="646"/>
    </w:p>
    <w:p w14:paraId="11738D7E">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11B9C92F">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2．我方按照本保函向你方履行了保证责任后，自我方向你方支付款项（支付款项从我方账户划出）之日起，保证责任即终止。</w:t>
      </w:r>
    </w:p>
    <w:p w14:paraId="7478B5F3">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3．按照法律法规的规定或出现应终止我方保证责任的其它情形的，我方在本保函项下的保证责任亦终止。</w:t>
      </w:r>
    </w:p>
    <w:p w14:paraId="4A3E7603">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049B4BA9">
      <w:pPr>
        <w:widowControl w:val="0"/>
        <w:ind w:firstLine="480" w:firstLineChars="200"/>
        <w:rPr>
          <w:rFonts w:hint="eastAsia" w:ascii="仿宋" w:hAnsi="仿宋" w:eastAsia="仿宋" w:cs="仿宋"/>
          <w:color w:val="auto"/>
          <w:sz w:val="24"/>
          <w:highlight w:val="none"/>
          <w:lang w:eastAsia="zh-CN"/>
        </w:rPr>
      </w:pPr>
      <w:bookmarkStart w:id="647" w:name="_Toc3542"/>
      <w:r>
        <w:rPr>
          <w:rFonts w:hint="eastAsia" w:ascii="仿宋" w:hAnsi="仿宋" w:eastAsia="仿宋" w:cs="仿宋"/>
          <w:color w:val="auto"/>
          <w:sz w:val="24"/>
          <w:highlight w:val="none"/>
          <w:lang w:eastAsia="zh-CN"/>
        </w:rPr>
        <w:t>五、免责条款</w:t>
      </w:r>
      <w:bookmarkEnd w:id="647"/>
    </w:p>
    <w:p w14:paraId="2BDF922B">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1．因你方违反主合同约定致使供应商不能履行义务的，我方不承担保证责任。</w:t>
      </w:r>
    </w:p>
    <w:p w14:paraId="6702EA80">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2．依照法律法规的规定或你方与供应商的另行约定，全部或者部分免除供应商应缴纳的保证金义务的，我方亦免除相应的保证责任。</w:t>
      </w:r>
    </w:p>
    <w:p w14:paraId="1800E342">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3．因不可抗力造成供应商不能履行供货义务的，我方不承担保证责任。</w:t>
      </w:r>
    </w:p>
    <w:p w14:paraId="505DE2D8">
      <w:pPr>
        <w:widowControl w:val="0"/>
        <w:ind w:firstLine="480" w:firstLineChars="200"/>
        <w:rPr>
          <w:rFonts w:hint="eastAsia" w:ascii="仿宋" w:hAnsi="仿宋" w:eastAsia="仿宋" w:cs="仿宋"/>
          <w:color w:val="auto"/>
          <w:sz w:val="24"/>
          <w:highlight w:val="none"/>
          <w:lang w:eastAsia="zh-CN"/>
        </w:rPr>
      </w:pPr>
      <w:bookmarkStart w:id="648" w:name="_Toc908"/>
      <w:r>
        <w:rPr>
          <w:rFonts w:hint="eastAsia" w:ascii="仿宋" w:hAnsi="仿宋" w:eastAsia="仿宋" w:cs="仿宋"/>
          <w:color w:val="auto"/>
          <w:sz w:val="24"/>
          <w:highlight w:val="none"/>
          <w:lang w:eastAsia="zh-CN"/>
        </w:rPr>
        <w:t>六、争议的解决</w:t>
      </w:r>
      <w:bookmarkEnd w:id="648"/>
    </w:p>
    <w:p w14:paraId="5995E1B3">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因本保函发生的纠纷，由你我双方协商解决，协商不成的，通过诉讼程序解决，诉讼管辖地法院为法院。</w:t>
      </w:r>
    </w:p>
    <w:p w14:paraId="3480F134">
      <w:pPr>
        <w:widowControl w:val="0"/>
        <w:ind w:firstLine="480" w:firstLineChars="200"/>
        <w:rPr>
          <w:rFonts w:hint="eastAsia" w:ascii="仿宋" w:hAnsi="仿宋" w:eastAsia="仿宋" w:cs="仿宋"/>
          <w:color w:val="auto"/>
          <w:sz w:val="24"/>
          <w:highlight w:val="none"/>
          <w:lang w:eastAsia="zh-CN"/>
        </w:rPr>
      </w:pPr>
      <w:bookmarkStart w:id="649" w:name="_Toc17651"/>
      <w:r>
        <w:rPr>
          <w:rFonts w:hint="eastAsia" w:ascii="仿宋" w:hAnsi="仿宋" w:eastAsia="仿宋" w:cs="仿宋"/>
          <w:color w:val="auto"/>
          <w:sz w:val="24"/>
          <w:highlight w:val="none"/>
          <w:lang w:eastAsia="zh-CN"/>
        </w:rPr>
        <w:t>七、保函的生效</w:t>
      </w:r>
      <w:bookmarkEnd w:id="649"/>
    </w:p>
    <w:p w14:paraId="3EDC464F">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本保函自我方加盖公章之日起生效。</w:t>
      </w:r>
    </w:p>
    <w:p w14:paraId="5CF4B604">
      <w:pPr>
        <w:pStyle w:val="17"/>
        <w:rPr>
          <w:rFonts w:hint="eastAsia" w:ascii="仿宋" w:hAnsi="仿宋" w:eastAsia="仿宋" w:cs="仿宋"/>
          <w:color w:val="auto"/>
          <w:sz w:val="24"/>
          <w:highlight w:val="none"/>
          <w:lang w:eastAsia="zh-CN"/>
        </w:rPr>
      </w:pPr>
    </w:p>
    <w:p w14:paraId="6901599B">
      <w:pPr>
        <w:pStyle w:val="8"/>
        <w:tabs>
          <w:tab w:val="left" w:pos="567"/>
        </w:tabs>
        <w:rPr>
          <w:rFonts w:hint="eastAsia" w:ascii="仿宋" w:hAnsi="仿宋" w:eastAsia="仿宋" w:cs="仿宋"/>
          <w:color w:val="auto"/>
          <w:highlight w:val="none"/>
          <w:lang w:eastAsia="zh-CN"/>
        </w:rPr>
      </w:pPr>
    </w:p>
    <w:p w14:paraId="36B67F6D">
      <w:pPr>
        <w:widowControl w:val="0"/>
        <w:rPr>
          <w:rFonts w:hint="eastAsia" w:ascii="仿宋" w:hAnsi="仿宋" w:eastAsia="仿宋" w:cs="仿宋"/>
          <w:color w:val="auto"/>
          <w:sz w:val="24"/>
          <w:highlight w:val="none"/>
          <w:lang w:eastAsia="zh-CN"/>
        </w:rPr>
      </w:pPr>
    </w:p>
    <w:p w14:paraId="2AA07C95">
      <w:pPr>
        <w:widowControl w:val="0"/>
        <w:rPr>
          <w:rFonts w:hint="eastAsia" w:ascii="仿宋" w:hAnsi="仿宋" w:eastAsia="仿宋" w:cs="仿宋"/>
          <w:color w:val="auto"/>
          <w:sz w:val="24"/>
          <w:highlight w:val="none"/>
          <w:lang w:eastAsia="zh-CN"/>
        </w:rPr>
      </w:pPr>
    </w:p>
    <w:p w14:paraId="06E15254">
      <w:pPr>
        <w:widowControl w:val="0"/>
        <w:ind w:left="5040" w:firstLine="42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保证人：（公章）</w:t>
      </w:r>
    </w:p>
    <w:p w14:paraId="7A70F14A">
      <w:pPr>
        <w:widowControl w:val="0"/>
        <w:ind w:left="5040" w:firstLine="42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年     月      日</w:t>
      </w:r>
    </w:p>
    <w:p w14:paraId="0FF0654F">
      <w:pPr>
        <w:widowControl w:val="0"/>
        <w:rPr>
          <w:rFonts w:hint="eastAsia" w:ascii="仿宋" w:hAnsi="仿宋" w:eastAsia="仿宋" w:cs="仿宋"/>
          <w:color w:val="auto"/>
          <w:sz w:val="24"/>
          <w:highlight w:val="none"/>
          <w:lang w:eastAsia="zh-CN"/>
        </w:rPr>
      </w:pPr>
    </w:p>
    <w:p w14:paraId="4A52603E">
      <w:pPr>
        <w:rPr>
          <w:rFonts w:hint="eastAsia" w:ascii="仿宋" w:hAnsi="仿宋" w:eastAsia="仿宋" w:cs="仿宋"/>
          <w:color w:val="auto"/>
          <w:sz w:val="44"/>
          <w:szCs w:val="44"/>
          <w:highlight w:val="none"/>
          <w:lang w:eastAsia="zh-CN"/>
        </w:rPr>
      </w:pPr>
      <w:r>
        <w:rPr>
          <w:rFonts w:hint="eastAsia" w:ascii="仿宋" w:hAnsi="仿宋" w:eastAsia="仿宋" w:cs="仿宋"/>
          <w:b/>
          <w:color w:val="auto"/>
          <w:sz w:val="44"/>
          <w:szCs w:val="44"/>
          <w:highlight w:val="none"/>
          <w:lang w:eastAsia="zh-CN"/>
        </w:rPr>
        <w:br w:type="page"/>
      </w:r>
    </w:p>
    <w:p w14:paraId="2C401FC6">
      <w:pPr>
        <w:pStyle w:val="2"/>
        <w:tabs>
          <w:tab w:val="left" w:pos="0"/>
        </w:tabs>
        <w:spacing w:before="0" w:after="0" w:line="240" w:lineRule="atLeast"/>
        <w:rPr>
          <w:rFonts w:hint="eastAsia" w:ascii="仿宋" w:hAnsi="仿宋" w:eastAsia="仿宋" w:cs="仿宋"/>
          <w:color w:val="auto"/>
          <w:sz w:val="44"/>
          <w:szCs w:val="44"/>
          <w:highlight w:val="none"/>
          <w:lang w:eastAsia="zh-CN"/>
        </w:rPr>
      </w:pPr>
      <w:bookmarkStart w:id="650" w:name="_Toc29106"/>
      <w:r>
        <w:rPr>
          <w:rFonts w:hint="eastAsia" w:ascii="仿宋" w:hAnsi="仿宋" w:eastAsia="仿宋" w:cs="仿宋"/>
          <w:color w:val="auto"/>
          <w:kern w:val="0"/>
          <w:sz w:val="44"/>
          <w:szCs w:val="44"/>
          <w:highlight w:val="none"/>
          <w:lang w:eastAsia="zh-CN"/>
        </w:rPr>
        <w:t>第二章</w:t>
      </w:r>
      <w:r>
        <w:rPr>
          <w:rFonts w:hint="eastAsia" w:ascii="仿宋" w:hAnsi="仿宋" w:eastAsia="仿宋" w:cs="仿宋"/>
          <w:color w:val="auto"/>
          <w:sz w:val="44"/>
          <w:szCs w:val="44"/>
          <w:highlight w:val="none"/>
          <w:lang w:eastAsia="zh-CN"/>
        </w:rPr>
        <w:t xml:space="preserve">  投标文件格式</w:t>
      </w:r>
      <w:bookmarkEnd w:id="4"/>
      <w:bookmarkEnd w:id="5"/>
      <w:bookmarkEnd w:id="6"/>
      <w:bookmarkEnd w:id="7"/>
      <w:bookmarkEnd w:id="8"/>
      <w:bookmarkEnd w:id="9"/>
      <w:bookmarkEnd w:id="10"/>
      <w:bookmarkEnd w:id="11"/>
      <w:bookmarkEnd w:id="12"/>
      <w:bookmarkEnd w:id="650"/>
    </w:p>
    <w:p w14:paraId="34BFB13A">
      <w:pPr>
        <w:rPr>
          <w:rFonts w:hint="eastAsia" w:ascii="仿宋" w:hAnsi="仿宋" w:eastAsia="仿宋" w:cs="仿宋"/>
          <w:color w:val="auto"/>
          <w:sz w:val="20"/>
          <w:highlight w:val="none"/>
          <w:lang w:eastAsia="zh-CN"/>
        </w:rPr>
      </w:pPr>
    </w:p>
    <w:p w14:paraId="7BBAA1E7">
      <w:pPr>
        <w:rPr>
          <w:rFonts w:hint="eastAsia" w:ascii="仿宋" w:hAnsi="仿宋" w:eastAsia="仿宋" w:cs="仿宋"/>
          <w:color w:val="auto"/>
          <w:highlight w:val="none"/>
          <w:lang w:eastAsia="zh-CN"/>
        </w:rPr>
      </w:pPr>
      <w:bookmarkStart w:id="651" w:name="_Toc15142"/>
      <w:bookmarkStart w:id="652" w:name="_Toc518923107"/>
    </w:p>
    <w:p w14:paraId="51FDDA1C">
      <w:pPr>
        <w:pStyle w:val="3"/>
        <w:spacing w:before="0" w:line="240" w:lineRule="atLeast"/>
        <w:ind w:left="1080" w:leftChars="257" w:hanging="540"/>
        <w:rPr>
          <w:rFonts w:hint="eastAsia" w:ascii="仿宋" w:hAnsi="仿宋" w:eastAsia="仿宋" w:cs="仿宋"/>
          <w:color w:val="auto"/>
          <w:sz w:val="24"/>
          <w:highlight w:val="none"/>
          <w:lang w:eastAsia="zh-CN"/>
        </w:rPr>
      </w:pPr>
      <w:bookmarkStart w:id="653" w:name="_Toc24822"/>
      <w:bookmarkStart w:id="654" w:name="_Toc14363"/>
      <w:bookmarkStart w:id="655" w:name="_Toc10047"/>
      <w:bookmarkStart w:id="656" w:name="_Toc13309"/>
      <w:bookmarkStart w:id="657" w:name="_Toc21312"/>
      <w:bookmarkStart w:id="658" w:name="_Toc11730"/>
      <w:bookmarkStart w:id="659" w:name="_Toc7162"/>
      <w:bookmarkStart w:id="660" w:name="_Toc3323"/>
      <w:bookmarkStart w:id="661" w:name="_Toc11201"/>
      <w:bookmarkStart w:id="662" w:name="_Toc8875"/>
      <w:r>
        <w:rPr>
          <w:rFonts w:hint="eastAsia" w:ascii="仿宋" w:hAnsi="仿宋" w:eastAsia="仿宋" w:cs="仿宋"/>
          <w:color w:val="auto"/>
          <w:sz w:val="24"/>
          <w:highlight w:val="none"/>
          <w:lang w:eastAsia="zh-CN"/>
        </w:rPr>
        <w:t>第一部分 开标一览表及资格证明文件</w:t>
      </w:r>
      <w:bookmarkEnd w:id="651"/>
      <w:bookmarkEnd w:id="652"/>
      <w:bookmarkEnd w:id="653"/>
      <w:bookmarkEnd w:id="654"/>
      <w:bookmarkEnd w:id="655"/>
      <w:bookmarkEnd w:id="656"/>
      <w:bookmarkEnd w:id="657"/>
      <w:bookmarkEnd w:id="658"/>
      <w:bookmarkEnd w:id="659"/>
      <w:bookmarkEnd w:id="660"/>
      <w:bookmarkEnd w:id="661"/>
      <w:bookmarkEnd w:id="662"/>
    </w:p>
    <w:p w14:paraId="5760F19F">
      <w:pPr>
        <w:spacing w:line="288" w:lineRule="auto"/>
        <w:rPr>
          <w:rFonts w:hint="eastAsia" w:ascii="仿宋" w:hAnsi="仿宋" w:eastAsia="仿宋" w:cs="仿宋"/>
          <w:color w:val="auto"/>
          <w:sz w:val="24"/>
          <w:highlight w:val="none"/>
          <w:lang w:eastAsia="zh-CN"/>
        </w:rPr>
      </w:pPr>
    </w:p>
    <w:p w14:paraId="0F4BAED4">
      <w:pPr>
        <w:spacing w:line="240" w:lineRule="atLeast"/>
        <w:ind w:left="708" w:hanging="708" w:hangingChars="295"/>
        <w:jc w:val="center"/>
        <w:rPr>
          <w:rFonts w:hint="eastAsia" w:ascii="仿宋" w:hAnsi="仿宋" w:eastAsia="仿宋" w:cs="仿宋"/>
          <w:color w:val="auto"/>
          <w:sz w:val="24"/>
          <w:highlight w:val="none"/>
          <w:lang w:eastAsia="zh-CN"/>
        </w:rPr>
      </w:pPr>
    </w:p>
    <w:p w14:paraId="45D97ED3">
      <w:pPr>
        <w:pStyle w:val="12"/>
        <w:spacing w:line="288"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bCs/>
          <w:iCs/>
          <w:sz w:val="24"/>
          <w:szCs w:val="24"/>
          <w:highlight w:val="none"/>
        </w:rPr>
        <w:t>法人或者非法人组织的营业执照等证明文件复印件（须加盖本单位章）或自然人的身份证明复印件</w:t>
      </w:r>
    </w:p>
    <w:p w14:paraId="4C79EB63">
      <w:pPr>
        <w:spacing w:line="360" w:lineRule="auto"/>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bCs/>
          <w:iCs/>
          <w:snapToGrid w:val="0"/>
          <w:color w:val="000000"/>
          <w:sz w:val="24"/>
          <w:szCs w:val="24"/>
          <w:highlight w:val="none"/>
          <w:lang w:val="en-US" w:eastAsia="zh-CN" w:bidi="ar-SA"/>
        </w:rPr>
        <w:t>、法人身份证明或法人授权委托书</w:t>
      </w:r>
      <w:r>
        <w:rPr>
          <w:rFonts w:hint="eastAsia" w:ascii="仿宋" w:hAnsi="仿宋" w:eastAsia="仿宋" w:cs="仿宋"/>
          <w:bCs/>
          <w:iCs/>
          <w:snapToGrid w:val="0"/>
          <w:color w:val="000000"/>
          <w:sz w:val="24"/>
          <w:szCs w:val="24"/>
          <w:highlight w:val="none"/>
          <w:lang w:val="en-US" w:eastAsia="en-US" w:bidi="ar-SA"/>
        </w:rPr>
        <w:t>（</w:t>
      </w:r>
      <w:r>
        <w:rPr>
          <w:rFonts w:hint="eastAsia" w:ascii="仿宋" w:hAnsi="仿宋" w:eastAsia="仿宋" w:cs="仿宋"/>
          <w:bCs/>
          <w:iCs/>
          <w:sz w:val="24"/>
          <w:szCs w:val="24"/>
          <w:highlight w:val="none"/>
        </w:rPr>
        <w:t>自然人投标的无需提供，投标人为法人的提供法人证明书</w:t>
      </w:r>
      <w:r>
        <w:rPr>
          <w:rFonts w:hint="eastAsia" w:ascii="仿宋" w:hAnsi="仿宋" w:eastAsia="仿宋" w:cs="仿宋"/>
          <w:bCs/>
          <w:iCs/>
          <w:sz w:val="24"/>
          <w:szCs w:val="24"/>
          <w:highlight w:val="none"/>
          <w:lang w:eastAsia="zh-CN"/>
        </w:rPr>
        <w:t>）</w:t>
      </w:r>
    </w:p>
    <w:p w14:paraId="4B8B19D5">
      <w:pPr>
        <w:pStyle w:val="12"/>
        <w:spacing w:line="288"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、投标保证金缴纳凭证复印件或银行保函复印件</w:t>
      </w:r>
    </w:p>
    <w:p w14:paraId="16C1AA8B">
      <w:pPr>
        <w:pStyle w:val="12"/>
        <w:spacing w:line="288"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w:t>
      </w:r>
      <w:r>
        <w:rPr>
          <w:rFonts w:hint="eastAsia" w:ascii="仿宋" w:hAnsi="仿宋" w:eastAsia="仿宋" w:cs="仿宋"/>
          <w:bCs/>
          <w:iCs/>
          <w:sz w:val="24"/>
          <w:szCs w:val="24"/>
          <w:highlight w:val="none"/>
        </w:rPr>
        <w:t>投标企业依法缴纳近</w:t>
      </w:r>
      <w:r>
        <w:rPr>
          <w:rFonts w:hint="eastAsia" w:ascii="仿宋" w:hAnsi="仿宋" w:eastAsia="仿宋" w:cs="仿宋"/>
          <w:bCs/>
          <w:iCs/>
          <w:sz w:val="24"/>
          <w:szCs w:val="24"/>
          <w:highlight w:val="none"/>
          <w:lang w:val="en-US" w:eastAsia="zh-CN"/>
        </w:rPr>
        <w:t>3</w:t>
      </w:r>
      <w:r>
        <w:rPr>
          <w:rFonts w:hint="eastAsia" w:ascii="仿宋" w:hAnsi="仿宋" w:eastAsia="仿宋" w:cs="仿宋"/>
          <w:bCs/>
          <w:iCs/>
          <w:sz w:val="24"/>
          <w:szCs w:val="24"/>
          <w:highlight w:val="none"/>
        </w:rPr>
        <w:t>个月任意一个月社会保险的凭据</w:t>
      </w:r>
    </w:p>
    <w:p w14:paraId="7D8991A0">
      <w:pPr>
        <w:pStyle w:val="12"/>
        <w:spacing w:line="288"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w:t>
      </w:r>
      <w:r>
        <w:rPr>
          <w:rFonts w:hint="eastAsia" w:ascii="仿宋" w:hAnsi="仿宋" w:eastAsia="仿宋" w:cs="仿宋"/>
          <w:bCs/>
          <w:iCs/>
          <w:sz w:val="24"/>
          <w:szCs w:val="24"/>
          <w:highlight w:val="none"/>
        </w:rPr>
        <w:t>投标企业提供税务部门出具的近</w:t>
      </w:r>
      <w:r>
        <w:rPr>
          <w:rFonts w:hint="eastAsia" w:ascii="仿宋" w:hAnsi="仿宋" w:eastAsia="仿宋" w:cs="仿宋"/>
          <w:bCs/>
          <w:iCs/>
          <w:sz w:val="24"/>
          <w:szCs w:val="24"/>
          <w:highlight w:val="none"/>
          <w:lang w:val="en-US" w:eastAsia="zh-CN"/>
        </w:rPr>
        <w:t>3</w:t>
      </w:r>
      <w:r>
        <w:rPr>
          <w:rFonts w:hint="eastAsia" w:ascii="仿宋" w:hAnsi="仿宋" w:eastAsia="仿宋" w:cs="仿宋"/>
          <w:bCs/>
          <w:iCs/>
          <w:sz w:val="24"/>
          <w:szCs w:val="24"/>
          <w:highlight w:val="none"/>
        </w:rPr>
        <w:t>个月任意一个月的完税证明</w:t>
      </w:r>
    </w:p>
    <w:p w14:paraId="29B0A2BC">
      <w:pPr>
        <w:pStyle w:val="12"/>
        <w:spacing w:line="288"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bCs/>
          <w:iCs/>
          <w:sz w:val="24"/>
          <w:szCs w:val="24"/>
          <w:highlight w:val="none"/>
        </w:rPr>
        <w:t>近两年任意一年完整的财务审计报告（新成立公司提供开标前三个月内任意一个月有效银行资信证明）</w:t>
      </w:r>
    </w:p>
    <w:p w14:paraId="0F9AB7F6">
      <w:pPr>
        <w:pStyle w:val="12"/>
        <w:spacing w:line="288"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lang w:eastAsia="zh-CN"/>
        </w:rPr>
        <w:t>、</w:t>
      </w:r>
      <w:r>
        <w:rPr>
          <w:rFonts w:hint="eastAsia" w:ascii="仿宋" w:hAnsi="仿宋" w:eastAsia="仿宋" w:cs="仿宋"/>
          <w:bCs/>
          <w:iCs/>
          <w:sz w:val="24"/>
          <w:szCs w:val="24"/>
          <w:highlight w:val="none"/>
        </w:rPr>
        <w:t>参与政府采购活动供应商在前3年内未被“信用中国”网站（www.creditchina.gov.cn）、“中国政府采购网”(www.ccgp.gov.cn)列入失信被执行人、</w:t>
      </w:r>
      <w:r>
        <w:rPr>
          <w:rFonts w:hint="eastAsia" w:ascii="仿宋" w:hAnsi="仿宋" w:eastAsia="仿宋" w:cs="仿宋"/>
          <w:bCs/>
          <w:iCs/>
          <w:sz w:val="24"/>
          <w:szCs w:val="24"/>
          <w:highlight w:val="none"/>
          <w:lang w:eastAsia="zh-CN"/>
        </w:rPr>
        <w:t>重大税收违法失信主体</w:t>
      </w:r>
      <w:r>
        <w:rPr>
          <w:rFonts w:hint="eastAsia" w:ascii="仿宋" w:hAnsi="仿宋" w:eastAsia="仿宋" w:cs="仿宋"/>
          <w:bCs/>
          <w:iCs/>
          <w:sz w:val="24"/>
          <w:szCs w:val="24"/>
          <w:highlight w:val="none"/>
        </w:rPr>
        <w:t>、政府采购严重失信行为记录名单（提供网页截图）；（以招标代理或招标人查询为准）</w:t>
      </w:r>
    </w:p>
    <w:p w14:paraId="1D2F4CD6">
      <w:pPr>
        <w:pStyle w:val="12"/>
        <w:spacing w:line="288"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、参加政府采购活动前3年内在经营活动中没有重大违法记录的书面声明</w:t>
      </w:r>
      <w:r>
        <w:rPr>
          <w:rFonts w:hint="eastAsia" w:ascii="仿宋" w:hAnsi="仿宋" w:eastAsia="仿宋" w:cs="仿宋"/>
          <w:color w:val="auto"/>
          <w:sz w:val="24"/>
          <w:szCs w:val="24"/>
          <w:highlight w:val="none"/>
          <w:lang w:eastAsia="zh-CN"/>
        </w:rPr>
        <w:t>（</w:t>
      </w:r>
      <w:r>
        <w:rPr>
          <w:rFonts w:hint="eastAsia" w:ascii="仿宋" w:hAnsi="仿宋" w:eastAsia="仿宋" w:cs="仿宋"/>
          <w:sz w:val="24"/>
          <w:highlight w:val="none"/>
          <w:lang w:val="en-US" w:eastAsia="zh-CN"/>
        </w:rPr>
        <w:t>包括但不限于不良记录，政府采购相关的行政处罚，税务处罚，失信人名单等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highlight w:val="none"/>
          <w:lang w:eastAsia="zh-CN"/>
        </w:rPr>
        <w:t>及反商业受贿承诺</w:t>
      </w:r>
    </w:p>
    <w:p w14:paraId="782DB955">
      <w:pPr>
        <w:pStyle w:val="12"/>
        <w:spacing w:line="288"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eastAsia="zh-CN"/>
        </w:rPr>
        <w:t>、</w:t>
      </w:r>
      <w:r>
        <w:rPr>
          <w:rFonts w:hint="eastAsia" w:ascii="仿宋" w:hAnsi="仿宋" w:eastAsia="仿宋" w:cs="仿宋"/>
          <w:sz w:val="24"/>
          <w:szCs w:val="24"/>
          <w:highlight w:val="none"/>
        </w:rPr>
        <w:t>本项目不接受联合体投标</w:t>
      </w:r>
    </w:p>
    <w:p w14:paraId="0919B73B">
      <w:pPr>
        <w:pStyle w:val="12"/>
        <w:spacing w:line="288"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lang w:eastAsia="zh-CN"/>
        </w:rPr>
        <w:t>投标人须知资料表要求的其他资格证明文件</w:t>
      </w:r>
    </w:p>
    <w:p w14:paraId="256B1827">
      <w:pPr>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lang w:eastAsia="zh-CN"/>
        </w:rPr>
        <w:br w:type="page"/>
      </w:r>
    </w:p>
    <w:p w14:paraId="7A0BA4A9">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bookmarkStart w:id="663" w:name="_Toc32287"/>
      <w:bookmarkStart w:id="664" w:name="_Toc22537"/>
      <w:r>
        <w:rPr>
          <w:rFonts w:hint="eastAsia" w:ascii="仿宋" w:hAnsi="仿宋" w:eastAsia="仿宋" w:cs="仿宋"/>
          <w:color w:val="auto"/>
          <w:highlight w:val="none"/>
          <w:u w:val="none"/>
          <w:lang w:val="en-US" w:eastAsia="zh-CN"/>
        </w:rPr>
        <w:t>1</w:t>
      </w:r>
      <w:r>
        <w:rPr>
          <w:rFonts w:hint="eastAsia" w:ascii="仿宋" w:hAnsi="仿宋" w:eastAsia="仿宋" w:cs="仿宋"/>
          <w:color w:val="auto"/>
          <w:highlight w:val="none"/>
          <w:u w:val="none"/>
          <w:lang w:eastAsia="zh-CN"/>
        </w:rPr>
        <w:t xml:space="preserve">  法人或者非法人组织的营业执照等证明文件</w:t>
      </w:r>
      <w:bookmarkEnd w:id="663"/>
      <w:bookmarkEnd w:id="664"/>
    </w:p>
    <w:p w14:paraId="6C54E3E2">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3C8E0DA9">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说明：1.提供有效的营业执照等证明文件复印件，复印件上应加盖本单位章。</w:t>
      </w:r>
    </w:p>
    <w:p w14:paraId="30642241">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2. 投标人为自然人的，应提供身份证明的复印件。</w:t>
      </w:r>
    </w:p>
    <w:p w14:paraId="7500B116">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3.联合体投标应提供联合体各方满足以上要求的证明文件。</w:t>
      </w:r>
    </w:p>
    <w:p w14:paraId="7F2FEA34">
      <w:pPr>
        <w:pStyle w:val="12"/>
        <w:tabs>
          <w:tab w:val="left" w:pos="5580"/>
        </w:tabs>
        <w:spacing w:line="288" w:lineRule="auto"/>
        <w:rPr>
          <w:rFonts w:hint="eastAsia" w:ascii="仿宋" w:hAnsi="仿宋" w:eastAsia="仿宋" w:cs="仿宋"/>
          <w:color w:val="auto"/>
          <w:sz w:val="24"/>
          <w:highlight w:val="none"/>
          <w:lang w:eastAsia="zh-CN"/>
        </w:rPr>
      </w:pPr>
    </w:p>
    <w:p w14:paraId="0B3EDFCE">
      <w:pPr>
        <w:pStyle w:val="12"/>
        <w:tabs>
          <w:tab w:val="left" w:pos="5580"/>
        </w:tabs>
        <w:spacing w:line="288" w:lineRule="auto"/>
        <w:rPr>
          <w:rFonts w:hint="eastAsia" w:ascii="仿宋" w:hAnsi="仿宋" w:eastAsia="仿宋" w:cs="仿宋"/>
          <w:color w:val="auto"/>
          <w:sz w:val="24"/>
          <w:highlight w:val="none"/>
          <w:lang w:eastAsia="zh-CN"/>
        </w:rPr>
      </w:pPr>
    </w:p>
    <w:p w14:paraId="23970924">
      <w:pPr>
        <w:pStyle w:val="4"/>
        <w:spacing w:before="0" w:after="0" w:line="288" w:lineRule="auto"/>
        <w:ind w:left="1079" w:leftChars="257" w:hanging="539"/>
        <w:jc w:val="center"/>
        <w:rPr>
          <w:rFonts w:hint="eastAsia" w:ascii="仿宋" w:hAnsi="仿宋" w:eastAsia="仿宋" w:cs="仿宋"/>
          <w:color w:val="auto"/>
          <w:highlight w:val="none"/>
          <w:u w:val="none"/>
          <w:lang w:val="en-US" w:eastAsia="zh-CN"/>
        </w:rPr>
      </w:pPr>
      <w:bookmarkStart w:id="665" w:name="_Toc7115"/>
      <w:bookmarkStart w:id="666" w:name="_Toc29141"/>
      <w:r>
        <w:rPr>
          <w:rFonts w:hint="eastAsia" w:ascii="仿宋" w:hAnsi="仿宋" w:eastAsia="仿宋" w:cs="仿宋"/>
          <w:color w:val="auto"/>
          <w:highlight w:val="none"/>
          <w:u w:val="none"/>
          <w:lang w:val="en-US" w:eastAsia="zh-CN"/>
        </w:rPr>
        <w:t>2  法人身份证明或法人授权委托书</w:t>
      </w:r>
      <w:bookmarkEnd w:id="665"/>
      <w:bookmarkEnd w:id="666"/>
    </w:p>
    <w:p w14:paraId="10AA02F3">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512DF364">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说明：含法人身份证复印件和被授权人身份有效证件（身份证复印件）;</w:t>
      </w:r>
    </w:p>
    <w:p w14:paraId="38A1813F">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02C18840">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781A30C8">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6539AA2F">
      <w:pPr>
        <w:spacing w:line="360" w:lineRule="auto"/>
        <w:jc w:val="center"/>
        <w:rPr>
          <w:rFonts w:hint="eastAsia" w:ascii="仿宋" w:hAnsi="仿宋" w:eastAsia="仿宋" w:cs="仿宋"/>
          <w:b/>
          <w:bCs/>
          <w:color w:val="auto"/>
          <w:sz w:val="32"/>
          <w:szCs w:val="22"/>
          <w:highlight w:val="none"/>
          <w:lang w:eastAsia="zh-CN"/>
        </w:rPr>
      </w:pPr>
      <w:r>
        <w:rPr>
          <w:rFonts w:hint="eastAsia" w:ascii="仿宋" w:hAnsi="仿宋" w:eastAsia="仿宋" w:cs="仿宋"/>
          <w:b/>
          <w:bCs/>
          <w:color w:val="auto"/>
          <w:sz w:val="24"/>
          <w:szCs w:val="24"/>
          <w:highlight w:val="none"/>
          <w:u w:val="none"/>
          <w:lang w:val="en-US" w:eastAsia="zh-CN"/>
        </w:rPr>
        <w:t>法人身份证明</w:t>
      </w:r>
    </w:p>
    <w:p w14:paraId="5B79E578">
      <w:pPr>
        <w:spacing w:line="360" w:lineRule="auto"/>
        <w:ind w:firstLine="480" w:firstLineChars="200"/>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u w:val="single" w:color="000000"/>
          <w:lang w:eastAsia="zh-CN"/>
        </w:rPr>
        <w:t xml:space="preserve">       </w:t>
      </w:r>
      <w:r>
        <w:rPr>
          <w:rFonts w:hint="eastAsia" w:ascii="仿宋" w:hAnsi="仿宋" w:eastAsia="仿宋" w:cs="仿宋"/>
          <w:color w:val="auto"/>
          <w:sz w:val="24"/>
          <w:szCs w:val="20"/>
          <w:highlight w:val="none"/>
          <w:lang w:eastAsia="zh-CN"/>
        </w:rPr>
        <w:t>同志，现任我单位</w:t>
      </w:r>
      <w:r>
        <w:rPr>
          <w:rFonts w:hint="eastAsia" w:ascii="仿宋" w:hAnsi="仿宋" w:eastAsia="仿宋" w:cs="仿宋"/>
          <w:color w:val="auto"/>
          <w:sz w:val="24"/>
          <w:szCs w:val="20"/>
          <w:highlight w:val="none"/>
          <w:u w:val="single" w:color="000000"/>
          <w:lang w:eastAsia="zh-CN"/>
        </w:rPr>
        <w:t xml:space="preserve">          职</w:t>
      </w:r>
      <w:r>
        <w:rPr>
          <w:rFonts w:hint="eastAsia" w:ascii="仿宋" w:hAnsi="仿宋" w:eastAsia="仿宋" w:cs="仿宋"/>
          <w:color w:val="auto"/>
          <w:sz w:val="24"/>
          <w:szCs w:val="20"/>
          <w:highlight w:val="none"/>
          <w:lang w:eastAsia="zh-CN"/>
        </w:rPr>
        <w:t xml:space="preserve">务，为法定代表人，特此证明。       </w:t>
      </w:r>
    </w:p>
    <w:p w14:paraId="08211455">
      <w:pPr>
        <w:spacing w:line="360" w:lineRule="auto"/>
        <w:ind w:firstLine="240" w:firstLineChars="100"/>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附：代表人性别：</w:t>
      </w:r>
      <w:r>
        <w:rPr>
          <w:rFonts w:hint="eastAsia" w:ascii="仿宋" w:hAnsi="仿宋" w:eastAsia="仿宋" w:cs="仿宋"/>
          <w:color w:val="auto"/>
          <w:sz w:val="24"/>
          <w:szCs w:val="20"/>
          <w:highlight w:val="none"/>
          <w:u w:val="single" w:color="000000"/>
          <w:lang w:eastAsia="zh-CN"/>
        </w:rPr>
        <w:t xml:space="preserve">    </w:t>
      </w:r>
      <w:r>
        <w:rPr>
          <w:rFonts w:hint="eastAsia" w:ascii="仿宋" w:hAnsi="仿宋" w:eastAsia="仿宋" w:cs="仿宋"/>
          <w:color w:val="auto"/>
          <w:sz w:val="24"/>
          <w:szCs w:val="20"/>
          <w:highlight w:val="none"/>
          <w:u w:val="single" w:color="000000"/>
          <w:lang w:val="en-US" w:eastAsia="zh-CN"/>
        </w:rPr>
        <w:t xml:space="preserve">        </w:t>
      </w:r>
      <w:r>
        <w:rPr>
          <w:rFonts w:hint="eastAsia" w:ascii="仿宋" w:hAnsi="仿宋" w:eastAsia="仿宋" w:cs="仿宋"/>
          <w:color w:val="auto"/>
          <w:sz w:val="24"/>
          <w:szCs w:val="20"/>
          <w:highlight w:val="none"/>
          <w:u w:val="single" w:color="000000"/>
          <w:lang w:eastAsia="zh-CN"/>
        </w:rPr>
        <w:t xml:space="preserve">  </w:t>
      </w:r>
      <w:r>
        <w:rPr>
          <w:rFonts w:hint="eastAsia" w:ascii="仿宋" w:hAnsi="仿宋" w:eastAsia="仿宋" w:cs="仿宋"/>
          <w:color w:val="auto"/>
          <w:sz w:val="24"/>
          <w:szCs w:val="20"/>
          <w:highlight w:val="none"/>
          <w:lang w:eastAsia="zh-CN"/>
        </w:rPr>
        <w:t xml:space="preserve">     身份证号码：</w:t>
      </w:r>
      <w:r>
        <w:rPr>
          <w:rFonts w:hint="eastAsia" w:ascii="仿宋" w:hAnsi="仿宋" w:eastAsia="仿宋" w:cs="仿宋"/>
          <w:color w:val="auto"/>
          <w:sz w:val="24"/>
          <w:szCs w:val="20"/>
          <w:highlight w:val="none"/>
          <w:u w:val="single" w:color="000000"/>
          <w:lang w:eastAsia="zh-CN"/>
        </w:rPr>
        <w:t xml:space="preserve"> </w:t>
      </w:r>
      <w:r>
        <w:rPr>
          <w:rFonts w:hint="eastAsia" w:ascii="仿宋" w:hAnsi="仿宋" w:eastAsia="仿宋" w:cs="仿宋"/>
          <w:color w:val="auto"/>
          <w:sz w:val="24"/>
          <w:szCs w:val="20"/>
          <w:highlight w:val="none"/>
          <w:u w:val="single" w:color="000000"/>
          <w:lang w:val="en-US" w:eastAsia="zh-CN"/>
        </w:rPr>
        <w:t xml:space="preserve">             </w:t>
      </w:r>
      <w:r>
        <w:rPr>
          <w:rFonts w:hint="eastAsia" w:ascii="仿宋" w:hAnsi="仿宋" w:eastAsia="仿宋" w:cs="仿宋"/>
          <w:color w:val="auto"/>
          <w:sz w:val="24"/>
          <w:szCs w:val="20"/>
          <w:highlight w:val="none"/>
          <w:u w:val="single" w:color="000000"/>
          <w:lang w:eastAsia="zh-CN"/>
        </w:rPr>
        <w:t xml:space="preserve">     </w:t>
      </w:r>
    </w:p>
    <w:p w14:paraId="76269722">
      <w:pPr>
        <w:spacing w:line="360" w:lineRule="auto"/>
        <w:ind w:firstLine="240" w:firstLineChars="100"/>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联系电话：</w:t>
      </w:r>
      <w:r>
        <w:rPr>
          <w:rFonts w:hint="eastAsia" w:ascii="仿宋" w:hAnsi="仿宋" w:eastAsia="仿宋" w:cs="仿宋"/>
          <w:color w:val="auto"/>
          <w:sz w:val="24"/>
          <w:szCs w:val="20"/>
          <w:highlight w:val="none"/>
          <w:u w:val="single" w:color="000000"/>
          <w:lang w:eastAsia="zh-CN"/>
        </w:rPr>
        <w:t xml:space="preserve">    </w:t>
      </w:r>
      <w:r>
        <w:rPr>
          <w:rFonts w:hint="eastAsia" w:ascii="仿宋" w:hAnsi="仿宋" w:eastAsia="仿宋" w:cs="仿宋"/>
          <w:color w:val="auto"/>
          <w:sz w:val="24"/>
          <w:szCs w:val="20"/>
          <w:highlight w:val="none"/>
          <w:u w:val="single" w:color="000000"/>
          <w:lang w:val="en-US" w:eastAsia="zh-CN"/>
        </w:rPr>
        <w:t xml:space="preserve">        </w:t>
      </w:r>
      <w:r>
        <w:rPr>
          <w:rFonts w:hint="eastAsia" w:ascii="仿宋" w:hAnsi="仿宋" w:eastAsia="仿宋" w:cs="仿宋"/>
          <w:color w:val="auto"/>
          <w:sz w:val="24"/>
          <w:szCs w:val="20"/>
          <w:highlight w:val="none"/>
          <w:u w:val="single" w:color="000000"/>
          <w:lang w:eastAsia="zh-CN"/>
        </w:rPr>
        <w:t xml:space="preserve">  </w:t>
      </w:r>
      <w:r>
        <w:rPr>
          <w:rFonts w:hint="eastAsia" w:ascii="仿宋" w:hAnsi="仿宋" w:eastAsia="仿宋" w:cs="仿宋"/>
          <w:color w:val="auto"/>
          <w:sz w:val="24"/>
          <w:szCs w:val="20"/>
          <w:highlight w:val="none"/>
          <w:lang w:eastAsia="zh-CN"/>
        </w:rPr>
        <w:t xml:space="preserve">       </w:t>
      </w:r>
    </w:p>
    <w:p w14:paraId="18919698">
      <w:pPr>
        <w:spacing w:line="360" w:lineRule="auto"/>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说明：</w:t>
      </w:r>
    </w:p>
    <w:p w14:paraId="68A47E61">
      <w:pPr>
        <w:spacing w:line="360" w:lineRule="auto"/>
        <w:ind w:firstLine="240" w:firstLineChars="100"/>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1、法定代表人为企业事业单位、国家机关、社会团体的主要行政负责人。</w:t>
      </w:r>
    </w:p>
    <w:p w14:paraId="3E610887">
      <w:pPr>
        <w:spacing w:line="360" w:lineRule="auto"/>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 xml:space="preserve">  2、内容必须填写真实、清楚、涂改无效，不得转让。</w:t>
      </w:r>
    </w:p>
    <w:p w14:paraId="557460BD">
      <w:pPr>
        <w:spacing w:line="360" w:lineRule="auto"/>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mc:AlternateContent>
          <mc:Choice Requires="wps">
            <w:drawing>
              <wp:anchor distT="0" distB="0" distL="114300" distR="114300" simplePos="0" relativeHeight="251666432" behindDoc="0" locked="0" layoutInCell="1" allowOverlap="1">
                <wp:simplePos x="0" y="0"/>
                <wp:positionH relativeFrom="column">
                  <wp:posOffset>3191510</wp:posOffset>
                </wp:positionH>
                <wp:positionV relativeFrom="paragraph">
                  <wp:posOffset>28575</wp:posOffset>
                </wp:positionV>
                <wp:extent cx="2529205" cy="1605915"/>
                <wp:effectExtent l="7620" t="7620" r="15875" b="24765"/>
                <wp:wrapNone/>
                <wp:docPr id="12" name="圆角矩形 12"/>
                <wp:cNvGraphicFramePr/>
                <a:graphic xmlns:a="http://schemas.openxmlformats.org/drawingml/2006/main">
                  <a:graphicData uri="http://schemas.microsoft.com/office/word/2010/wordprocessingShape">
                    <wps:wsp>
                      <wps:cNvSpPr/>
                      <wps:spPr>
                        <a:xfrm>
                          <a:off x="0" y="0"/>
                          <a:ext cx="2529205" cy="160591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67B059DD">
                            <w:pPr>
                              <w:jc w:val="center"/>
                              <w:rPr>
                                <w:rFonts w:hAnsi="宋体"/>
                              </w:rPr>
                            </w:pPr>
                          </w:p>
                          <w:p w14:paraId="3E26C7F8">
                            <w:pPr>
                              <w:jc w:val="center"/>
                              <w:rPr>
                                <w:rFonts w:hAnsi="宋体"/>
                              </w:rPr>
                            </w:pPr>
                          </w:p>
                          <w:p w14:paraId="70E7C12F">
                            <w:pPr>
                              <w:jc w:val="center"/>
                              <w:rPr>
                                <w:rFonts w:hAnsi="宋体"/>
                              </w:rPr>
                            </w:pPr>
                          </w:p>
                          <w:p w14:paraId="5F003B8C">
                            <w:pPr>
                              <w:jc w:val="center"/>
                            </w:pPr>
                            <w:r>
                              <w:rPr>
                                <w:rFonts w:hint="eastAsia" w:hAnsi="宋体"/>
                              </w:rPr>
                              <w:t>法人身份证复印件反面</w:t>
                            </w:r>
                          </w:p>
                          <w:p w14:paraId="262AC806"/>
                          <w:p w14:paraId="08D4FC94">
                            <w:pPr>
                              <w:pStyle w:val="5"/>
                            </w:pPr>
                          </w:p>
                          <w:p w14:paraId="02BBCD51">
                            <w:pPr>
                              <w:pStyle w:val="5"/>
                            </w:pPr>
                          </w:p>
                          <w:p w14:paraId="39B5DF65">
                            <w:pPr>
                              <w:pStyle w:val="5"/>
                            </w:pPr>
                          </w:p>
                          <w:p w14:paraId="77A6D657">
                            <w:pPr>
                              <w:pStyle w:val="5"/>
                            </w:pPr>
                          </w:p>
                        </w:txbxContent>
                      </wps:txbx>
                      <wps:bodyPr upright="1"/>
                    </wps:wsp>
                  </a:graphicData>
                </a:graphic>
              </wp:anchor>
            </w:drawing>
          </mc:Choice>
          <mc:Fallback>
            <w:pict>
              <v:roundrect id="_x0000_s1026" o:spid="_x0000_s1026" o:spt="2" style="position:absolute;left:0pt;margin-left:251.3pt;margin-top:2.25pt;height:126.45pt;width:199.15pt;z-index:251666432;mso-width-relative:page;mso-height-relative:page;" fillcolor="#FFFFFF" filled="t" stroked="t" coordsize="21600,21600" arcsize="0.166666666666667" o:gfxdata="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TsvtnbAAAACQEAAA8AAAAAAAAAAQAgAAAAIgAAAGRycy9kb3ducmV2LnhtbFBL&#10;AQIUABQAAAAIAIdO4kAK8R/JLAIAAGgEAAAOAAAAAAAAAAEAIAAAACoBAABkcnMvZTJvRG9jLnht&#10;bFBLBQYAAAAABgAGAFkBAADIBQAAAAA=&#10;">
                <v:fill on="t" focussize="0,0"/>
                <v:stroke weight="1.25pt" color="#808080" joinstyle="round"/>
                <v:imagedata o:title=""/>
                <o:lock v:ext="edit" aspectratio="f"/>
                <v:textbox>
                  <w:txbxContent>
                    <w:p w14:paraId="67B059DD">
                      <w:pPr>
                        <w:jc w:val="center"/>
                        <w:rPr>
                          <w:rFonts w:hAnsi="宋体"/>
                        </w:rPr>
                      </w:pPr>
                    </w:p>
                    <w:p w14:paraId="3E26C7F8">
                      <w:pPr>
                        <w:jc w:val="center"/>
                        <w:rPr>
                          <w:rFonts w:hAnsi="宋体"/>
                        </w:rPr>
                      </w:pPr>
                    </w:p>
                    <w:p w14:paraId="70E7C12F">
                      <w:pPr>
                        <w:jc w:val="center"/>
                        <w:rPr>
                          <w:rFonts w:hAnsi="宋体"/>
                        </w:rPr>
                      </w:pPr>
                    </w:p>
                    <w:p w14:paraId="5F003B8C">
                      <w:pPr>
                        <w:jc w:val="center"/>
                      </w:pPr>
                      <w:r>
                        <w:rPr>
                          <w:rFonts w:hint="eastAsia" w:hAnsi="宋体"/>
                        </w:rPr>
                        <w:t>法人身份证复印件反面</w:t>
                      </w:r>
                    </w:p>
                    <w:p w14:paraId="262AC806"/>
                    <w:p w14:paraId="08D4FC94">
                      <w:pPr>
                        <w:pStyle w:val="5"/>
                      </w:pPr>
                    </w:p>
                    <w:p w14:paraId="02BBCD51">
                      <w:pPr>
                        <w:pStyle w:val="5"/>
                      </w:pPr>
                    </w:p>
                    <w:p w14:paraId="39B5DF65">
                      <w:pPr>
                        <w:pStyle w:val="5"/>
                      </w:pPr>
                    </w:p>
                    <w:p w14:paraId="77A6D657">
                      <w:pPr>
                        <w:pStyle w:val="5"/>
                      </w:pPr>
                    </w:p>
                  </w:txbxContent>
                </v:textbox>
              </v:roundrect>
            </w:pict>
          </mc:Fallback>
        </mc:AlternateContent>
      </w:r>
      <w:r>
        <w:rPr>
          <w:rFonts w:hint="eastAsia" w:ascii="仿宋" w:hAnsi="仿宋" w:eastAsia="仿宋" w:cs="仿宋"/>
          <w:color w:val="auto"/>
          <w:sz w:val="24"/>
          <w:szCs w:val="20"/>
          <w:highlight w:val="none"/>
          <w:lang w:eastAsia="zh-CN"/>
        </w:rPr>
        <mc:AlternateContent>
          <mc:Choice Requires="wps">
            <w:drawing>
              <wp:anchor distT="0" distB="0" distL="114300" distR="114300" simplePos="0" relativeHeight="251665408" behindDoc="0" locked="0" layoutInCell="1" allowOverlap="1">
                <wp:simplePos x="0" y="0"/>
                <wp:positionH relativeFrom="column">
                  <wp:posOffset>154305</wp:posOffset>
                </wp:positionH>
                <wp:positionV relativeFrom="paragraph">
                  <wp:posOffset>10795</wp:posOffset>
                </wp:positionV>
                <wp:extent cx="2496185" cy="1652270"/>
                <wp:effectExtent l="4445" t="4445" r="13970" b="19685"/>
                <wp:wrapNone/>
                <wp:docPr id="17" name="流程图: 可选过程 17"/>
                <wp:cNvGraphicFramePr/>
                <a:graphic xmlns:a="http://schemas.openxmlformats.org/drawingml/2006/main">
                  <a:graphicData uri="http://schemas.microsoft.com/office/word/2010/wordprocessingShape">
                    <wps:wsp>
                      <wps:cNvSpPr/>
                      <wps:spPr>
                        <a:xfrm>
                          <a:off x="0" y="0"/>
                          <a:ext cx="2496185" cy="16522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0C9140F">
                            <w:pPr>
                              <w:jc w:val="center"/>
                              <w:rPr>
                                <w:rFonts w:hAnsi="宋体"/>
                              </w:rPr>
                            </w:pPr>
                          </w:p>
                          <w:p w14:paraId="4ECE9F8C">
                            <w:pPr>
                              <w:jc w:val="center"/>
                              <w:rPr>
                                <w:rFonts w:hAnsi="宋体"/>
                              </w:rPr>
                            </w:pPr>
                          </w:p>
                          <w:p w14:paraId="29BF01A0">
                            <w:pPr>
                              <w:jc w:val="center"/>
                              <w:rPr>
                                <w:rFonts w:hAnsi="宋体"/>
                              </w:rPr>
                            </w:pPr>
                          </w:p>
                          <w:p w14:paraId="6E5D5066">
                            <w:pPr>
                              <w:jc w:val="center"/>
                              <w:rPr>
                                <w:lang w:eastAsia="zh-CN"/>
                              </w:rPr>
                            </w:pPr>
                            <w:r>
                              <w:rPr>
                                <w:rFonts w:hint="eastAsia" w:hAnsi="宋体"/>
                                <w:lang w:eastAsia="zh-CN"/>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0.85pt;height:130.1pt;width:196.55pt;z-index:251665408;mso-width-relative:page;mso-height-relative:page;" fillcolor="#FFFFFF" filled="t" stroked="t" coordsize="21600,21600" o:gfxdata="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FCAuu1gAAAAgBAAAPAAAAAAAAAAEAIAAAACIAAABkcnMvZG93bnJldi54bWxQ&#10;SwECFAAUAAAACACHTuJAN9nLuzICAABgBAAADgAAAAAAAAABACAAAAAlAQAAZHJzL2Uyb0RvYy54&#10;bWxQSwUGAAAAAAYABgBZAQAAyQUAAAAA&#10;">
                <v:fill on="t" focussize="0,0"/>
                <v:stroke color="#000000" joinstyle="miter"/>
                <v:imagedata o:title=""/>
                <o:lock v:ext="edit" aspectratio="f"/>
                <v:textbox>
                  <w:txbxContent>
                    <w:p w14:paraId="70C9140F">
                      <w:pPr>
                        <w:jc w:val="center"/>
                        <w:rPr>
                          <w:rFonts w:hAnsi="宋体"/>
                        </w:rPr>
                      </w:pPr>
                    </w:p>
                    <w:p w14:paraId="4ECE9F8C">
                      <w:pPr>
                        <w:jc w:val="center"/>
                        <w:rPr>
                          <w:rFonts w:hAnsi="宋体"/>
                        </w:rPr>
                      </w:pPr>
                    </w:p>
                    <w:p w14:paraId="29BF01A0">
                      <w:pPr>
                        <w:jc w:val="center"/>
                        <w:rPr>
                          <w:rFonts w:hAnsi="宋体"/>
                        </w:rPr>
                      </w:pPr>
                    </w:p>
                    <w:p w14:paraId="6E5D5066">
                      <w:pPr>
                        <w:jc w:val="center"/>
                        <w:rPr>
                          <w:lang w:eastAsia="zh-CN"/>
                        </w:rPr>
                      </w:pPr>
                      <w:r>
                        <w:rPr>
                          <w:rFonts w:hint="eastAsia" w:hAnsi="宋体"/>
                          <w:lang w:eastAsia="zh-CN"/>
                        </w:rPr>
                        <w:t>法定代表人身份证复印件</w:t>
                      </w:r>
                    </w:p>
                  </w:txbxContent>
                </v:textbox>
              </v:shape>
            </w:pict>
          </mc:Fallback>
        </mc:AlternateContent>
      </w:r>
    </w:p>
    <w:p w14:paraId="149DD4E7">
      <w:pPr>
        <w:spacing w:line="360" w:lineRule="auto"/>
        <w:rPr>
          <w:rFonts w:hint="eastAsia" w:ascii="仿宋" w:hAnsi="仿宋" w:eastAsia="仿宋" w:cs="仿宋"/>
          <w:color w:val="auto"/>
          <w:sz w:val="24"/>
          <w:szCs w:val="20"/>
          <w:highlight w:val="none"/>
          <w:lang w:eastAsia="zh-CN"/>
        </w:rPr>
      </w:pPr>
    </w:p>
    <w:p w14:paraId="43314301">
      <w:pPr>
        <w:spacing w:line="360" w:lineRule="auto"/>
        <w:rPr>
          <w:rFonts w:hint="eastAsia" w:ascii="仿宋" w:hAnsi="仿宋" w:eastAsia="仿宋" w:cs="仿宋"/>
          <w:color w:val="auto"/>
          <w:sz w:val="24"/>
          <w:szCs w:val="20"/>
          <w:highlight w:val="none"/>
          <w:lang w:eastAsia="zh-CN"/>
        </w:rPr>
      </w:pPr>
    </w:p>
    <w:p w14:paraId="5DB94C6E">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仿宋" w:hAnsi="仿宋" w:eastAsia="仿宋" w:cs="仿宋"/>
          <w:color w:val="auto"/>
          <w:sz w:val="24"/>
          <w:szCs w:val="20"/>
          <w:highlight w:val="none"/>
          <w:lang w:eastAsia="zh-CN"/>
        </w:rPr>
      </w:pPr>
    </w:p>
    <w:p w14:paraId="37261247">
      <w:pPr>
        <w:spacing w:line="360" w:lineRule="auto"/>
        <w:ind w:right="246"/>
        <w:rPr>
          <w:rFonts w:hint="eastAsia" w:ascii="仿宋" w:hAnsi="仿宋" w:eastAsia="仿宋" w:cs="仿宋"/>
          <w:color w:val="auto"/>
          <w:sz w:val="24"/>
          <w:szCs w:val="20"/>
          <w:highlight w:val="none"/>
          <w:lang w:eastAsia="zh-CN"/>
        </w:rPr>
      </w:pPr>
    </w:p>
    <w:p w14:paraId="3CA28A1F">
      <w:pPr>
        <w:spacing w:line="360" w:lineRule="auto"/>
        <w:ind w:right="246" w:firstLine="784" w:firstLineChars="327"/>
        <w:rPr>
          <w:rFonts w:hint="eastAsia" w:ascii="仿宋" w:hAnsi="仿宋" w:eastAsia="仿宋" w:cs="仿宋"/>
          <w:color w:val="auto"/>
          <w:sz w:val="24"/>
          <w:szCs w:val="20"/>
          <w:highlight w:val="none"/>
          <w:lang w:eastAsia="zh-CN"/>
        </w:rPr>
      </w:pPr>
    </w:p>
    <w:p w14:paraId="0657F55A">
      <w:pPr>
        <w:spacing w:line="360" w:lineRule="auto"/>
        <w:ind w:right="246" w:firstLine="784" w:firstLineChars="327"/>
        <w:rPr>
          <w:rFonts w:hint="eastAsia" w:ascii="仿宋" w:hAnsi="仿宋" w:eastAsia="仿宋" w:cs="仿宋"/>
          <w:color w:val="auto"/>
          <w:sz w:val="24"/>
          <w:szCs w:val="20"/>
          <w:highlight w:val="none"/>
          <w:lang w:eastAsia="zh-CN"/>
        </w:rPr>
      </w:pPr>
    </w:p>
    <w:p w14:paraId="2B2971AB">
      <w:pPr>
        <w:spacing w:line="360" w:lineRule="auto"/>
        <w:ind w:right="246" w:firstLine="784" w:firstLineChars="327"/>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 xml:space="preserve">供应商（盖章）：                              </w:t>
      </w:r>
    </w:p>
    <w:p w14:paraId="720F6A92">
      <w:pPr>
        <w:spacing w:line="360" w:lineRule="auto"/>
        <w:ind w:firstLine="784" w:firstLineChars="327"/>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 xml:space="preserve">法定代表人（签字或盖章）：                    </w:t>
      </w:r>
    </w:p>
    <w:p w14:paraId="3F709808">
      <w:pPr>
        <w:spacing w:line="360" w:lineRule="auto"/>
        <w:ind w:firstLine="784" w:firstLineChars="327"/>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 xml:space="preserve">日期：                                       </w:t>
      </w:r>
    </w:p>
    <w:p w14:paraId="72824EF0">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1EFAB25C">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74BF5AC1">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3C4CB248">
      <w:pPr>
        <w:spacing w:line="360" w:lineRule="auto"/>
        <w:jc w:val="both"/>
        <w:rPr>
          <w:rFonts w:hint="eastAsia" w:ascii="仿宋" w:hAnsi="仿宋" w:eastAsia="仿宋" w:cs="仿宋"/>
          <w:b/>
          <w:bCs/>
          <w:color w:val="auto"/>
          <w:sz w:val="24"/>
          <w:szCs w:val="24"/>
          <w:highlight w:val="none"/>
          <w:u w:val="none"/>
          <w:lang w:val="en-US" w:eastAsia="zh-CN"/>
        </w:rPr>
      </w:pPr>
    </w:p>
    <w:p w14:paraId="63A0377A">
      <w:pPr>
        <w:spacing w:line="360" w:lineRule="auto"/>
        <w:jc w:val="center"/>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法定代表人授权委托书</w:t>
      </w:r>
    </w:p>
    <w:p w14:paraId="47AC0F39">
      <w:pPr>
        <w:rPr>
          <w:rFonts w:hint="eastAsia" w:ascii="仿宋" w:hAnsi="仿宋" w:eastAsia="仿宋" w:cs="仿宋"/>
          <w:color w:val="auto"/>
          <w:highlight w:val="none"/>
          <w:lang w:eastAsia="zh-CN"/>
        </w:rPr>
      </w:pPr>
    </w:p>
    <w:p w14:paraId="57A62AEF">
      <w:pPr>
        <w:pStyle w:val="12"/>
        <w:tabs>
          <w:tab w:val="left" w:pos="5580"/>
        </w:tabs>
        <w:kinsoku/>
        <w:autoSpaceDE/>
        <w:autoSpaceDN/>
        <w:adjustRightInd/>
        <w:snapToGrid/>
        <w:spacing w:line="240" w:lineRule="atLeas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本授权书声明：注册于</w:t>
      </w:r>
      <w:r>
        <w:rPr>
          <w:rFonts w:hint="eastAsia" w:ascii="仿宋" w:hAnsi="仿宋" w:eastAsia="仿宋" w:cs="仿宋"/>
          <w:color w:val="auto"/>
          <w:sz w:val="24"/>
          <w:highlight w:val="none"/>
          <w:u w:val="single"/>
          <w:lang w:eastAsia="zh-CN"/>
        </w:rPr>
        <w:t>（国家或地区的名称）</w:t>
      </w:r>
      <w:r>
        <w:rPr>
          <w:rFonts w:hint="eastAsia" w:ascii="仿宋" w:hAnsi="仿宋" w:eastAsia="仿宋" w:cs="仿宋"/>
          <w:color w:val="auto"/>
          <w:sz w:val="24"/>
          <w:highlight w:val="none"/>
          <w:lang w:eastAsia="zh-CN"/>
        </w:rPr>
        <w:t>的</w:t>
      </w:r>
      <w:r>
        <w:rPr>
          <w:rFonts w:hint="eastAsia" w:ascii="仿宋" w:hAnsi="仿宋" w:eastAsia="仿宋" w:cs="仿宋"/>
          <w:color w:val="auto"/>
          <w:sz w:val="24"/>
          <w:highlight w:val="none"/>
          <w:u w:val="single"/>
          <w:lang w:eastAsia="zh-CN"/>
        </w:rPr>
        <w:t>（供应商）</w:t>
      </w:r>
      <w:r>
        <w:rPr>
          <w:rFonts w:hint="eastAsia" w:ascii="仿宋" w:hAnsi="仿宋" w:eastAsia="仿宋" w:cs="仿宋"/>
          <w:color w:val="auto"/>
          <w:sz w:val="24"/>
          <w:highlight w:val="none"/>
          <w:lang w:eastAsia="zh-CN"/>
        </w:rPr>
        <w:t>的在下面签字的</w:t>
      </w:r>
      <w:r>
        <w:rPr>
          <w:rFonts w:hint="eastAsia" w:ascii="仿宋" w:hAnsi="仿宋" w:eastAsia="仿宋" w:cs="仿宋"/>
          <w:color w:val="auto"/>
          <w:sz w:val="24"/>
          <w:highlight w:val="none"/>
          <w:u w:val="single"/>
          <w:lang w:eastAsia="zh-CN"/>
        </w:rPr>
        <w:t>（法人代表姓名、职务）</w:t>
      </w:r>
      <w:r>
        <w:rPr>
          <w:rFonts w:hint="eastAsia" w:ascii="仿宋" w:hAnsi="仿宋" w:eastAsia="仿宋" w:cs="仿宋"/>
          <w:color w:val="auto"/>
          <w:sz w:val="24"/>
          <w:highlight w:val="none"/>
          <w:lang w:eastAsia="zh-CN"/>
        </w:rPr>
        <w:t>代表我单位授权</w:t>
      </w:r>
      <w:r>
        <w:rPr>
          <w:rFonts w:hint="eastAsia" w:ascii="仿宋" w:hAnsi="仿宋" w:eastAsia="仿宋" w:cs="仿宋"/>
          <w:color w:val="auto"/>
          <w:sz w:val="24"/>
          <w:highlight w:val="none"/>
          <w:u w:val="single"/>
          <w:lang w:eastAsia="zh-CN"/>
        </w:rPr>
        <w:t>（单位名称）</w:t>
      </w:r>
      <w:r>
        <w:rPr>
          <w:rFonts w:hint="eastAsia" w:ascii="仿宋" w:hAnsi="仿宋" w:eastAsia="仿宋" w:cs="仿宋"/>
          <w:color w:val="auto"/>
          <w:sz w:val="24"/>
          <w:highlight w:val="none"/>
          <w:lang w:eastAsia="zh-CN"/>
        </w:rPr>
        <w:t>的在下面签字的</w:t>
      </w:r>
      <w:r>
        <w:rPr>
          <w:rFonts w:hint="eastAsia" w:ascii="仿宋" w:hAnsi="仿宋" w:eastAsia="仿宋" w:cs="仿宋"/>
          <w:color w:val="auto"/>
          <w:sz w:val="24"/>
          <w:highlight w:val="none"/>
          <w:u w:val="single"/>
          <w:lang w:eastAsia="zh-CN"/>
        </w:rPr>
        <w:t>（被授权人的姓名、职务）</w:t>
      </w:r>
      <w:r>
        <w:rPr>
          <w:rFonts w:hint="eastAsia" w:ascii="仿宋" w:hAnsi="仿宋" w:eastAsia="仿宋" w:cs="仿宋"/>
          <w:color w:val="auto"/>
          <w:sz w:val="24"/>
          <w:highlight w:val="none"/>
          <w:lang w:eastAsia="zh-CN"/>
        </w:rPr>
        <w:t>为我单位的合法代理人，就项目名称</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lang w:eastAsia="zh-CN"/>
        </w:rPr>
        <w:t>项目编号</w:t>
      </w:r>
      <w:r>
        <w:rPr>
          <w:rFonts w:hint="eastAsia" w:ascii="仿宋" w:hAnsi="仿宋" w:eastAsia="仿宋" w:cs="仿宋"/>
          <w:color w:val="auto"/>
          <w:sz w:val="24"/>
          <w:highlight w:val="none"/>
          <w:u w:val="single"/>
          <w:lang w:eastAsia="zh-CN"/>
        </w:rPr>
        <w:t>（编号名称）</w:t>
      </w:r>
      <w:r>
        <w:rPr>
          <w:rFonts w:hint="eastAsia" w:ascii="仿宋" w:hAnsi="仿宋" w:eastAsia="仿宋" w:cs="仿宋"/>
          <w:color w:val="auto"/>
          <w:sz w:val="24"/>
          <w:highlight w:val="none"/>
          <w:lang w:eastAsia="zh-CN"/>
        </w:rPr>
        <w:t>公开招标，以我单位名义处理一切与之有关的事务。</w:t>
      </w:r>
      <w:r>
        <w:rPr>
          <w:rFonts w:hint="eastAsia" w:ascii="仿宋" w:hAnsi="仿宋" w:eastAsia="仿宋" w:cs="仿宋"/>
          <w:color w:val="auto"/>
          <w:sz w:val="24"/>
          <w:highlight w:val="none"/>
          <w:lang w:eastAsia="zh-CN"/>
        </w:rPr>
        <w:cr/>
      </w:r>
    </w:p>
    <w:p w14:paraId="64813C90">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mc:AlternateContent>
          <mc:Choice Requires="wps">
            <w:drawing>
              <wp:anchor distT="0" distB="0" distL="114300" distR="114300" simplePos="0" relativeHeight="251668480" behindDoc="0" locked="0" layoutInCell="1" allowOverlap="1">
                <wp:simplePos x="0" y="0"/>
                <wp:positionH relativeFrom="column">
                  <wp:posOffset>2810510</wp:posOffset>
                </wp:positionH>
                <wp:positionV relativeFrom="paragraph">
                  <wp:posOffset>591185</wp:posOffset>
                </wp:positionV>
                <wp:extent cx="2506980" cy="1424940"/>
                <wp:effectExtent l="8255" t="7620" r="18415" b="15240"/>
                <wp:wrapNone/>
                <wp:docPr id="18" name="圆角矩形 18"/>
                <wp:cNvGraphicFramePr/>
                <a:graphic xmlns:a="http://schemas.openxmlformats.org/drawingml/2006/main">
                  <a:graphicData uri="http://schemas.microsoft.com/office/word/2010/wordprocessingShape">
                    <wps:wsp>
                      <wps:cNvSpPr/>
                      <wps:spPr>
                        <a:xfrm>
                          <a:off x="0" y="0"/>
                          <a:ext cx="2506980" cy="142494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10B51D88">
                            <w:pPr>
                              <w:rPr>
                                <w:rFonts w:hAnsi="宋体"/>
                              </w:rPr>
                            </w:pPr>
                          </w:p>
                          <w:p w14:paraId="4F4D3979">
                            <w:pPr>
                              <w:rPr>
                                <w:rFonts w:hAnsi="宋体"/>
                              </w:rPr>
                            </w:pPr>
                          </w:p>
                          <w:p w14:paraId="7CAC5FEB">
                            <w:pPr>
                              <w:rPr>
                                <w:lang w:eastAsia="zh-CN"/>
                              </w:rPr>
                            </w:pPr>
                            <w:r>
                              <w:rPr>
                                <w:rFonts w:hint="eastAsia" w:hAnsi="宋体"/>
                                <w:lang w:eastAsia="zh-CN"/>
                              </w:rPr>
                              <w:t>授权委托人身份证复印件反面</w:t>
                            </w:r>
                          </w:p>
                          <w:p w14:paraId="0C239ACB">
                            <w:pPr>
                              <w:rPr>
                                <w:lang w:eastAsia="zh-CN"/>
                              </w:rPr>
                            </w:pPr>
                          </w:p>
                        </w:txbxContent>
                      </wps:txbx>
                      <wps:bodyPr upright="1"/>
                    </wps:wsp>
                  </a:graphicData>
                </a:graphic>
              </wp:anchor>
            </w:drawing>
          </mc:Choice>
          <mc:Fallback>
            <w:pict>
              <v:roundrect id="_x0000_s1026" o:spid="_x0000_s1026" o:spt="2" style="position:absolute;left:0pt;margin-left:221.3pt;margin-top:46.55pt;height:112.2pt;width:197.4pt;z-index:251668480;mso-width-relative:page;mso-height-relative:page;" fillcolor="#FFFFFF" filled="t" stroked="t" coordsize="21600,21600" arcsize="0.166666666666667" o:gfxdata="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S9eSLcAAAACgEAAA8AAAAAAAAAAQAgAAAAIgAAAGRycy9kb3ducmV2Lnht&#10;bFBLAQIUABQAAAAIAIdO4kAIxVa+LgIAAGgEAAAOAAAAAAAAAAEAIAAAACsBAABkcnMvZTJvRG9j&#10;LnhtbFBLBQYAAAAABgAGAFkBAADLBQAAAAA=&#10;">
                <v:fill on="t" focussize="0,0"/>
                <v:stroke weight="1.25pt" color="#808080" joinstyle="round"/>
                <v:imagedata o:title=""/>
                <o:lock v:ext="edit" aspectratio="f"/>
                <v:textbox>
                  <w:txbxContent>
                    <w:p w14:paraId="10B51D88">
                      <w:pPr>
                        <w:rPr>
                          <w:rFonts w:hAnsi="宋体"/>
                        </w:rPr>
                      </w:pPr>
                    </w:p>
                    <w:p w14:paraId="4F4D3979">
                      <w:pPr>
                        <w:rPr>
                          <w:rFonts w:hAnsi="宋体"/>
                        </w:rPr>
                      </w:pPr>
                    </w:p>
                    <w:p w14:paraId="7CAC5FEB">
                      <w:pPr>
                        <w:rPr>
                          <w:lang w:eastAsia="zh-CN"/>
                        </w:rPr>
                      </w:pPr>
                      <w:r>
                        <w:rPr>
                          <w:rFonts w:hint="eastAsia" w:hAnsi="宋体"/>
                          <w:lang w:eastAsia="zh-CN"/>
                        </w:rPr>
                        <w:t>授权委托人身份证复印件反面</w:t>
                      </w:r>
                    </w:p>
                    <w:p w14:paraId="0C239ACB">
                      <w:pPr>
                        <w:rPr>
                          <w:lang w:eastAsia="zh-CN"/>
                        </w:rPr>
                      </w:pPr>
                    </w:p>
                  </w:txbxContent>
                </v:textbox>
              </v:roundrect>
            </w:pict>
          </mc:Fallback>
        </mc:AlternateContent>
      </w:r>
      <w:r>
        <w:rPr>
          <w:rFonts w:hint="eastAsia" w:ascii="仿宋" w:hAnsi="仿宋" w:eastAsia="仿宋" w:cs="仿宋"/>
          <w:color w:val="auto"/>
          <w:sz w:val="24"/>
          <w:highlight w:val="none"/>
          <w:lang w:eastAsia="zh-CN"/>
        </w:rPr>
        <w:t>本授权书于           年     月     日签字生效,特此声明。</w:t>
      </w:r>
      <w:r>
        <w:rPr>
          <w:rFonts w:hint="eastAsia" w:ascii="仿宋" w:hAnsi="仿宋" w:eastAsia="仿宋" w:cs="仿宋"/>
          <w:color w:val="auto"/>
          <w:sz w:val="24"/>
          <w:highlight w:val="none"/>
          <w:lang w:eastAsia="zh-CN"/>
        </w:rPr>
        <w:cr/>
      </w:r>
      <w:r>
        <w:rPr>
          <w:rFonts w:hint="eastAsia" w:ascii="仿宋" w:hAnsi="仿宋" w:eastAsia="仿宋" w:cs="仿宋"/>
          <w:color w:val="auto"/>
          <w:sz w:val="24"/>
          <w:highlight w:val="none"/>
          <w:lang w:eastAsia="zh-CN"/>
        </w:rPr>
        <w:cr/>
      </w:r>
    </w:p>
    <w:p w14:paraId="6CBDE12A">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mc:AlternateContent>
          <mc:Choice Requires="wps">
            <w:drawing>
              <wp:anchor distT="0" distB="0" distL="114300" distR="114300" simplePos="0" relativeHeight="251667456" behindDoc="0" locked="0" layoutInCell="1" allowOverlap="1">
                <wp:simplePos x="0" y="0"/>
                <wp:positionH relativeFrom="column">
                  <wp:posOffset>241935</wp:posOffset>
                </wp:positionH>
                <wp:positionV relativeFrom="paragraph">
                  <wp:posOffset>6350</wp:posOffset>
                </wp:positionV>
                <wp:extent cx="2440305" cy="1426210"/>
                <wp:effectExtent l="4445" t="4445" r="12700" b="17145"/>
                <wp:wrapNone/>
                <wp:docPr id="19" name="流程图: 可选过程 19"/>
                <wp:cNvGraphicFramePr/>
                <a:graphic xmlns:a="http://schemas.openxmlformats.org/drawingml/2006/main">
                  <a:graphicData uri="http://schemas.microsoft.com/office/word/2010/wordprocessingShape">
                    <wps:wsp>
                      <wps:cNvSpPr/>
                      <wps:spPr>
                        <a:xfrm>
                          <a:off x="0" y="0"/>
                          <a:ext cx="2440305" cy="14262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F3089D0">
                            <w:pPr>
                              <w:jc w:val="center"/>
                              <w:rPr>
                                <w:rFonts w:hAnsi="宋体"/>
                              </w:rPr>
                            </w:pPr>
                          </w:p>
                          <w:p w14:paraId="17E488DB">
                            <w:pPr>
                              <w:jc w:val="center"/>
                              <w:rPr>
                                <w:rFonts w:hAnsi="宋体"/>
                              </w:rPr>
                            </w:pPr>
                          </w:p>
                          <w:p w14:paraId="7E715EAC">
                            <w:pPr>
                              <w:rPr>
                                <w:lang w:eastAsia="zh-CN"/>
                              </w:rPr>
                            </w:pPr>
                            <w:r>
                              <w:rPr>
                                <w:rFonts w:hint="eastAsia" w:hAnsi="宋体"/>
                                <w:lang w:eastAsia="zh-CN"/>
                              </w:rPr>
                              <w:t>授权委托人身份证复印件正面</w:t>
                            </w:r>
                          </w:p>
                        </w:txbxContent>
                      </wps:txbx>
                      <wps:bodyPr upright="1"/>
                    </wps:wsp>
                  </a:graphicData>
                </a:graphic>
              </wp:anchor>
            </w:drawing>
          </mc:Choice>
          <mc:Fallback>
            <w:pict>
              <v:shape id="_x0000_s1026" o:spid="_x0000_s1026" o:spt="176" type="#_x0000_t176" style="position:absolute;left:0pt;margin-left:19.05pt;margin-top:0.5pt;height:112.3pt;width:192.15pt;z-index:251667456;mso-width-relative:page;mso-height-relative:page;" fillcolor="#FFFFFF" filled="t" stroked="t" coordsize="21600,21600" o:gfxdata="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iXziHWAAAACAEAAA8AAAAAAAAAAQAgAAAAIgAAAGRycy9kb3ducmV2LnhtbFBL&#10;AQIUABQAAAAIAIdO4kCLbP6BMQIAAGAEAAAOAAAAAAAAAAEAIAAAACUBAABkcnMvZTJvRG9jLnht&#10;bFBLBQYAAAAABgAGAFkBAADIBQAAAAA=&#10;">
                <v:fill on="t" focussize="0,0"/>
                <v:stroke color="#000000" joinstyle="miter"/>
                <v:imagedata o:title=""/>
                <o:lock v:ext="edit" aspectratio="f"/>
                <v:textbox>
                  <w:txbxContent>
                    <w:p w14:paraId="7F3089D0">
                      <w:pPr>
                        <w:jc w:val="center"/>
                        <w:rPr>
                          <w:rFonts w:hAnsi="宋体"/>
                        </w:rPr>
                      </w:pPr>
                    </w:p>
                    <w:p w14:paraId="17E488DB">
                      <w:pPr>
                        <w:jc w:val="center"/>
                        <w:rPr>
                          <w:rFonts w:hAnsi="宋体"/>
                        </w:rPr>
                      </w:pPr>
                    </w:p>
                    <w:p w14:paraId="7E715EAC">
                      <w:pPr>
                        <w:rPr>
                          <w:lang w:eastAsia="zh-CN"/>
                        </w:rPr>
                      </w:pPr>
                      <w:r>
                        <w:rPr>
                          <w:rFonts w:hint="eastAsia" w:hAnsi="宋体"/>
                          <w:lang w:eastAsia="zh-CN"/>
                        </w:rPr>
                        <w:t>授权委托人身份证复印件正面</w:t>
                      </w:r>
                    </w:p>
                  </w:txbxContent>
                </v:textbox>
              </v:shape>
            </w:pict>
          </mc:Fallback>
        </mc:AlternateContent>
      </w:r>
    </w:p>
    <w:p w14:paraId="2D8A32BB">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0BD41232">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249E75A5">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22ED4C75">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78711555">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70C61FC6">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6FDB1A63">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mc:AlternateContent>
          <mc:Choice Requires="wps">
            <w:drawing>
              <wp:anchor distT="0" distB="0" distL="114300" distR="114300" simplePos="0" relativeHeight="251670528" behindDoc="0" locked="0" layoutInCell="1" allowOverlap="1">
                <wp:simplePos x="0" y="0"/>
                <wp:positionH relativeFrom="column">
                  <wp:posOffset>2845435</wp:posOffset>
                </wp:positionH>
                <wp:positionV relativeFrom="paragraph">
                  <wp:posOffset>121285</wp:posOffset>
                </wp:positionV>
                <wp:extent cx="2491105" cy="1392555"/>
                <wp:effectExtent l="7620" t="7620" r="15875" b="9525"/>
                <wp:wrapNone/>
                <wp:docPr id="20" name="圆角矩形 20"/>
                <wp:cNvGraphicFramePr/>
                <a:graphic xmlns:a="http://schemas.openxmlformats.org/drawingml/2006/main">
                  <a:graphicData uri="http://schemas.microsoft.com/office/word/2010/wordprocessingShape">
                    <wps:wsp>
                      <wps:cNvSpPr/>
                      <wps:spPr>
                        <a:xfrm>
                          <a:off x="0" y="0"/>
                          <a:ext cx="2491105" cy="139255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569FBD3F">
                            <w:pPr>
                              <w:rPr>
                                <w:rFonts w:hAnsi="宋体"/>
                              </w:rPr>
                            </w:pPr>
                          </w:p>
                          <w:p w14:paraId="19023332">
                            <w:pPr>
                              <w:ind w:firstLine="420" w:firstLineChars="200"/>
                              <w:rPr>
                                <w:rFonts w:hAnsi="宋体"/>
                              </w:rPr>
                            </w:pPr>
                          </w:p>
                          <w:p w14:paraId="0D79813F">
                            <w:pPr>
                              <w:ind w:firstLine="420" w:firstLineChars="200"/>
                            </w:pPr>
                            <w:r>
                              <w:rPr>
                                <w:rFonts w:hint="eastAsia" w:hAnsi="宋体"/>
                              </w:rPr>
                              <w:t>法人身份证复印件反面</w:t>
                            </w:r>
                          </w:p>
                          <w:p w14:paraId="706C87A1"/>
                        </w:txbxContent>
                      </wps:txbx>
                      <wps:bodyPr upright="1"/>
                    </wps:wsp>
                  </a:graphicData>
                </a:graphic>
              </wp:anchor>
            </w:drawing>
          </mc:Choice>
          <mc:Fallback>
            <w:pict>
              <v:roundrect id="_x0000_s1026" o:spid="_x0000_s1026" o:spt="2" style="position:absolute;left:0pt;margin-left:224.05pt;margin-top:9.55pt;height:109.65pt;width:196.15pt;z-index:251670528;mso-width-relative:page;mso-height-relative:page;" fillcolor="#FFFFFF" filled="t" stroked="t" coordsize="21600,21600" arcsize="0.166666666666667" o:gfxdata="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X6ks42wAAAAoBAAAPAAAAAAAAAAEAIAAAACIAAABkcnMvZG93bnJldi54bWxQ&#10;SwECFAAUAAAACACHTuJAyAPBPC0CAABoBAAADgAAAAAAAAABACAAAAAqAQAAZHJzL2Uyb0RvYy54&#10;bWxQSwUGAAAAAAYABgBZAQAAyQUAAAAA&#10;">
                <v:fill on="t" focussize="0,0"/>
                <v:stroke weight="1.25pt" color="#808080" joinstyle="round"/>
                <v:imagedata o:title=""/>
                <o:lock v:ext="edit" aspectratio="f"/>
                <v:textbox>
                  <w:txbxContent>
                    <w:p w14:paraId="569FBD3F">
                      <w:pPr>
                        <w:rPr>
                          <w:rFonts w:hAnsi="宋体"/>
                        </w:rPr>
                      </w:pPr>
                    </w:p>
                    <w:p w14:paraId="19023332">
                      <w:pPr>
                        <w:ind w:firstLine="420" w:firstLineChars="200"/>
                        <w:rPr>
                          <w:rFonts w:hAnsi="宋体"/>
                        </w:rPr>
                      </w:pPr>
                    </w:p>
                    <w:p w14:paraId="0D79813F">
                      <w:pPr>
                        <w:ind w:firstLine="420" w:firstLineChars="200"/>
                      </w:pPr>
                      <w:r>
                        <w:rPr>
                          <w:rFonts w:hint="eastAsia" w:hAnsi="宋体"/>
                        </w:rPr>
                        <w:t>法人身份证复印件反面</w:t>
                      </w:r>
                    </w:p>
                    <w:p w14:paraId="706C87A1"/>
                  </w:txbxContent>
                </v:textbox>
              </v:roundrect>
            </w:pict>
          </mc:Fallback>
        </mc:AlternateContent>
      </w:r>
      <w:r>
        <w:rPr>
          <w:rFonts w:hint="eastAsia" w:ascii="仿宋" w:hAnsi="仿宋" w:eastAsia="仿宋" w:cs="仿宋"/>
          <w:color w:val="auto"/>
          <w:sz w:val="24"/>
          <w:highlight w:val="none"/>
          <w:lang w:eastAsia="zh-CN"/>
        </w:rPr>
        <mc:AlternateContent>
          <mc:Choice Requires="wps">
            <w:drawing>
              <wp:anchor distT="0" distB="0" distL="114300" distR="114300" simplePos="0" relativeHeight="251669504" behindDoc="0" locked="0" layoutInCell="1" allowOverlap="1">
                <wp:simplePos x="0" y="0"/>
                <wp:positionH relativeFrom="column">
                  <wp:posOffset>244475</wp:posOffset>
                </wp:positionH>
                <wp:positionV relativeFrom="paragraph">
                  <wp:posOffset>111125</wp:posOffset>
                </wp:positionV>
                <wp:extent cx="2461895" cy="1411605"/>
                <wp:effectExtent l="7620" t="7620" r="26035" b="9525"/>
                <wp:wrapNone/>
                <wp:docPr id="21" name="圆角矩形 21"/>
                <wp:cNvGraphicFramePr/>
                <a:graphic xmlns:a="http://schemas.openxmlformats.org/drawingml/2006/main">
                  <a:graphicData uri="http://schemas.microsoft.com/office/word/2010/wordprocessingShape">
                    <wps:wsp>
                      <wps:cNvSpPr/>
                      <wps:spPr>
                        <a:xfrm>
                          <a:off x="0" y="0"/>
                          <a:ext cx="2461895" cy="141160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55C712DF">
                            <w:pPr>
                              <w:jc w:val="center"/>
                              <w:rPr>
                                <w:rFonts w:hAnsi="宋体"/>
                              </w:rPr>
                            </w:pPr>
                          </w:p>
                          <w:p w14:paraId="41113082">
                            <w:pPr>
                              <w:jc w:val="center"/>
                              <w:rPr>
                                <w:rFonts w:hAnsi="宋体"/>
                              </w:rPr>
                            </w:pPr>
                          </w:p>
                          <w:p w14:paraId="26E5B4E0">
                            <w:pPr>
                              <w:ind w:firstLine="420" w:firstLineChars="200"/>
                            </w:pPr>
                            <w:r>
                              <w:rPr>
                                <w:rFonts w:hint="eastAsia" w:hAnsi="宋体"/>
                              </w:rPr>
                              <w:t>法人身份证复印件正面</w:t>
                            </w:r>
                          </w:p>
                          <w:p w14:paraId="005DB7E4"/>
                        </w:txbxContent>
                      </wps:txbx>
                      <wps:bodyPr upright="1"/>
                    </wps:wsp>
                  </a:graphicData>
                </a:graphic>
              </wp:anchor>
            </w:drawing>
          </mc:Choice>
          <mc:Fallback>
            <w:pict>
              <v:roundrect id="_x0000_s1026" o:spid="_x0000_s1026" o:spt="2" style="position:absolute;left:0pt;margin-left:19.25pt;margin-top:8.75pt;height:111.15pt;width:193.85pt;z-index:251669504;mso-width-relative:page;mso-height-relative:page;" fillcolor="#FFFFFF" filled="t" stroked="t" coordsize="21600,21600" arcsize="0.166666666666667" o:gfxdata="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aA1a52wAAAAkBAAAPAAAAAAAAAAEAIAAAACIAAABkcnMvZG93bnJldi54bWxQ&#10;SwECFAAUAAAACACHTuJATHVJqS0CAABoBAAADgAAAAAAAAABACAAAAAqAQAAZHJzL2Uyb0RvYy54&#10;bWxQSwUGAAAAAAYABgBZAQAAyQUAAAAA&#10;">
                <v:fill on="t" focussize="0,0"/>
                <v:stroke weight="1.25pt" color="#808080" joinstyle="round"/>
                <v:imagedata o:title=""/>
                <o:lock v:ext="edit" aspectratio="f"/>
                <v:textbox>
                  <w:txbxContent>
                    <w:p w14:paraId="55C712DF">
                      <w:pPr>
                        <w:jc w:val="center"/>
                        <w:rPr>
                          <w:rFonts w:hAnsi="宋体"/>
                        </w:rPr>
                      </w:pPr>
                    </w:p>
                    <w:p w14:paraId="41113082">
                      <w:pPr>
                        <w:jc w:val="center"/>
                        <w:rPr>
                          <w:rFonts w:hAnsi="宋体"/>
                        </w:rPr>
                      </w:pPr>
                    </w:p>
                    <w:p w14:paraId="26E5B4E0">
                      <w:pPr>
                        <w:ind w:firstLine="420" w:firstLineChars="200"/>
                      </w:pPr>
                      <w:r>
                        <w:rPr>
                          <w:rFonts w:hint="eastAsia" w:hAnsi="宋体"/>
                        </w:rPr>
                        <w:t>法人身份证复印件正面</w:t>
                      </w:r>
                    </w:p>
                    <w:p w14:paraId="005DB7E4"/>
                  </w:txbxContent>
                </v:textbox>
              </v:roundrect>
            </w:pict>
          </mc:Fallback>
        </mc:AlternateContent>
      </w:r>
    </w:p>
    <w:p w14:paraId="6397AB8E">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2876596F">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41E917B5">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5767E136">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4E68198C">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2C0DA26A">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13BCDCFD">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430EAC6E">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5E16F81F">
      <w:pPr>
        <w:pStyle w:val="51"/>
        <w:tabs>
          <w:tab w:val="left" w:pos="5580"/>
        </w:tabs>
        <w:spacing w:line="360" w:lineRule="auto"/>
        <w:ind w:left="-540" w:leftChars="-257" w:firstLine="900" w:firstLineChars="375"/>
        <w:rPr>
          <w:rFonts w:hint="eastAsia" w:ascii="仿宋" w:hAnsi="仿宋" w:eastAsia="仿宋" w:cs="仿宋"/>
          <w:sz w:val="24"/>
          <w:highlight w:val="none"/>
        </w:rPr>
      </w:pPr>
    </w:p>
    <w:p w14:paraId="09D8BF3A">
      <w:pPr>
        <w:pStyle w:val="51"/>
        <w:tabs>
          <w:tab w:val="left" w:pos="5580"/>
        </w:tabs>
        <w:spacing w:line="360" w:lineRule="auto"/>
        <w:ind w:firstLine="480" w:firstLineChars="200"/>
        <w:rPr>
          <w:rFonts w:hint="eastAsia" w:ascii="仿宋" w:hAnsi="仿宋" w:eastAsia="仿宋" w:cs="仿宋"/>
          <w:sz w:val="24"/>
          <w:highlight w:val="none"/>
          <w:u w:val="single"/>
          <w:lang w:eastAsia="zh-CN"/>
        </w:rPr>
      </w:pPr>
      <w:r>
        <w:rPr>
          <w:rFonts w:hint="eastAsia" w:ascii="仿宋" w:hAnsi="仿宋" w:eastAsia="仿宋" w:cs="仿宋"/>
          <w:sz w:val="24"/>
          <w:highlight w:val="none"/>
          <w:u w:val="single"/>
        </w:rPr>
        <w:t>投标人（盖单位章）</w:t>
      </w:r>
      <w:r>
        <w:rPr>
          <w:rFonts w:hint="eastAsia" w:ascii="仿宋" w:hAnsi="仿宋" w:eastAsia="仿宋" w:cs="仿宋"/>
          <w:sz w:val="24"/>
          <w:highlight w:val="none"/>
          <w:u w:val="single"/>
          <w:lang w:eastAsia="zh-CN"/>
        </w:rPr>
        <w:t>：</w:t>
      </w:r>
    </w:p>
    <w:p w14:paraId="74B62E48">
      <w:pPr>
        <w:pStyle w:val="51"/>
        <w:tabs>
          <w:tab w:val="left" w:pos="5580"/>
        </w:tabs>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u w:val="single"/>
        </w:rPr>
        <w:t>法定代表人（或企业负责人）（签字或签章）</w:t>
      </w:r>
      <w:r>
        <w:rPr>
          <w:rFonts w:hint="eastAsia" w:ascii="仿宋" w:hAnsi="仿宋" w:eastAsia="仿宋" w:cs="仿宋"/>
          <w:sz w:val="24"/>
          <w:highlight w:val="none"/>
        </w:rPr>
        <w:t>：</w:t>
      </w:r>
    </w:p>
    <w:p w14:paraId="7C3A2210">
      <w:pPr>
        <w:pStyle w:val="51"/>
        <w:tabs>
          <w:tab w:val="left" w:pos="5580"/>
        </w:tabs>
        <w:spacing w:line="360" w:lineRule="auto"/>
        <w:ind w:firstLine="480" w:firstLineChars="200"/>
        <w:rPr>
          <w:rFonts w:hint="eastAsia" w:ascii="仿宋" w:hAnsi="仿宋" w:eastAsia="仿宋" w:cs="仿宋"/>
          <w:sz w:val="24"/>
          <w:highlight w:val="none"/>
          <w:u w:val="single"/>
          <w:lang w:val="en-US" w:eastAsia="zh-CN"/>
        </w:rPr>
      </w:pPr>
      <w:r>
        <w:rPr>
          <w:rFonts w:hint="eastAsia" w:ascii="仿宋" w:hAnsi="仿宋" w:eastAsia="仿宋" w:cs="仿宋"/>
          <w:sz w:val="24"/>
          <w:highlight w:val="none"/>
          <w:u w:val="single"/>
        </w:rPr>
        <w:t>身份证号码：</w:t>
      </w:r>
      <w:r>
        <w:rPr>
          <w:rFonts w:hint="eastAsia" w:ascii="仿宋" w:hAnsi="仿宋" w:eastAsia="仿宋" w:cs="仿宋"/>
          <w:sz w:val="24"/>
          <w:highlight w:val="none"/>
          <w:u w:val="single"/>
          <w:lang w:val="en-US" w:eastAsia="zh-CN"/>
        </w:rPr>
        <w:t xml:space="preserve">                            </w:t>
      </w:r>
    </w:p>
    <w:p w14:paraId="63B50F1F">
      <w:pPr>
        <w:pStyle w:val="51"/>
        <w:tabs>
          <w:tab w:val="left" w:pos="5580"/>
        </w:tabs>
        <w:spacing w:line="360" w:lineRule="auto"/>
        <w:ind w:firstLine="480" w:firstLineChars="200"/>
        <w:rPr>
          <w:rFonts w:hint="eastAsia" w:ascii="仿宋" w:hAnsi="仿宋" w:eastAsia="仿宋" w:cs="仿宋"/>
          <w:sz w:val="24"/>
          <w:highlight w:val="none"/>
          <w:u w:val="single"/>
          <w:lang w:val="en-US" w:eastAsia="zh-CN"/>
        </w:rPr>
      </w:pPr>
      <w:r>
        <w:rPr>
          <w:rFonts w:hint="eastAsia" w:ascii="仿宋" w:hAnsi="仿宋" w:eastAsia="仿宋" w:cs="仿宋"/>
          <w:sz w:val="24"/>
          <w:highlight w:val="none"/>
          <w:u w:val="single"/>
        </w:rPr>
        <w:t>委托代理人：</w:t>
      </w:r>
      <w:r>
        <w:rPr>
          <w:rFonts w:hint="eastAsia" w:ascii="仿宋" w:hAnsi="仿宋" w:eastAsia="仿宋" w:cs="仿宋"/>
          <w:sz w:val="24"/>
          <w:highlight w:val="none"/>
          <w:u w:val="single"/>
          <w:lang w:val="en-US" w:eastAsia="zh-CN"/>
        </w:rPr>
        <w:t xml:space="preserve">                            </w:t>
      </w:r>
    </w:p>
    <w:p w14:paraId="5C53A6D6">
      <w:pPr>
        <w:pStyle w:val="51"/>
        <w:tabs>
          <w:tab w:val="left" w:pos="5580"/>
        </w:tabs>
        <w:spacing w:line="360" w:lineRule="auto"/>
        <w:ind w:firstLine="480" w:firstLineChars="200"/>
        <w:rPr>
          <w:rFonts w:hint="eastAsia" w:ascii="仿宋" w:hAnsi="仿宋" w:eastAsia="仿宋" w:cs="仿宋"/>
          <w:sz w:val="24"/>
          <w:highlight w:val="none"/>
          <w:u w:val="single"/>
          <w:lang w:val="en-US" w:eastAsia="zh-CN"/>
        </w:rPr>
      </w:pPr>
      <w:r>
        <w:rPr>
          <w:rFonts w:hint="eastAsia" w:ascii="仿宋" w:hAnsi="仿宋" w:eastAsia="仿宋" w:cs="仿宋"/>
          <w:sz w:val="24"/>
          <w:highlight w:val="none"/>
          <w:u w:val="single"/>
        </w:rPr>
        <w:t>身份证号码：</w:t>
      </w:r>
      <w:r>
        <w:rPr>
          <w:rFonts w:hint="eastAsia" w:ascii="仿宋" w:hAnsi="仿宋" w:eastAsia="仿宋" w:cs="仿宋"/>
          <w:sz w:val="24"/>
          <w:highlight w:val="none"/>
          <w:u w:val="single"/>
          <w:lang w:val="en-US" w:eastAsia="zh-CN"/>
        </w:rPr>
        <w:t xml:space="preserve">                            </w:t>
      </w:r>
    </w:p>
    <w:p w14:paraId="0D799D42">
      <w:pPr>
        <w:pStyle w:val="51"/>
        <w:tabs>
          <w:tab w:val="left" w:pos="5580"/>
        </w:tabs>
        <w:spacing w:line="360" w:lineRule="auto"/>
        <w:ind w:firstLine="480" w:firstLineChars="200"/>
        <w:rPr>
          <w:rFonts w:hint="eastAsia" w:ascii="仿宋" w:hAnsi="仿宋" w:eastAsia="仿宋" w:cs="仿宋"/>
          <w:sz w:val="24"/>
          <w:highlight w:val="none"/>
          <w:u w:val="single"/>
          <w:lang w:val="en-US" w:eastAsia="zh-CN"/>
        </w:rPr>
      </w:pPr>
      <w:r>
        <w:rPr>
          <w:rFonts w:hint="eastAsia" w:ascii="仿宋" w:hAnsi="仿宋" w:eastAsia="仿宋" w:cs="仿宋"/>
          <w:sz w:val="24"/>
          <w:highlight w:val="none"/>
          <w:u w:val="single"/>
        </w:rPr>
        <w:t>详细通讯地址</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lang w:val="en-US" w:eastAsia="zh-CN"/>
        </w:rPr>
        <w:t xml:space="preserve"> </w:t>
      </w:r>
    </w:p>
    <w:p w14:paraId="7EC3DC29">
      <w:pPr>
        <w:pStyle w:val="51"/>
        <w:tabs>
          <w:tab w:val="left" w:pos="5580"/>
        </w:tabs>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u w:val="single"/>
        </w:rPr>
        <w:t>邮政编码</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lang w:val="en-US" w:eastAsia="zh-CN"/>
        </w:rPr>
        <w:t xml:space="preserve">                              </w:t>
      </w:r>
    </w:p>
    <w:p w14:paraId="1CE0D9C3">
      <w:pPr>
        <w:pStyle w:val="51"/>
        <w:tabs>
          <w:tab w:val="left" w:pos="5580"/>
        </w:tabs>
        <w:spacing w:line="360" w:lineRule="auto"/>
        <w:ind w:firstLine="480" w:firstLineChars="200"/>
        <w:rPr>
          <w:rFonts w:hint="eastAsia" w:ascii="仿宋" w:hAnsi="仿宋" w:eastAsia="仿宋" w:cs="仿宋"/>
          <w:sz w:val="24"/>
          <w:highlight w:val="none"/>
          <w:u w:val="single"/>
          <w:lang w:val="en-US" w:eastAsia="zh-CN"/>
        </w:rPr>
      </w:pPr>
      <w:r>
        <w:rPr>
          <w:rFonts w:hint="eastAsia" w:ascii="仿宋" w:hAnsi="仿宋" w:eastAsia="仿宋" w:cs="仿宋"/>
          <w:sz w:val="24"/>
          <w:highlight w:val="none"/>
          <w:u w:val="single"/>
        </w:rPr>
        <w:t>传真</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lang w:val="en-US" w:eastAsia="zh-CN"/>
        </w:rPr>
        <w:t xml:space="preserve">                                  </w:t>
      </w:r>
    </w:p>
    <w:p w14:paraId="513160A6">
      <w:pPr>
        <w:pStyle w:val="51"/>
        <w:tabs>
          <w:tab w:val="left" w:pos="5580"/>
        </w:tabs>
        <w:spacing w:line="360" w:lineRule="auto"/>
        <w:ind w:firstLine="480" w:firstLineChars="200"/>
        <w:rPr>
          <w:rFonts w:hint="eastAsia" w:ascii="仿宋" w:hAnsi="仿宋" w:eastAsia="仿宋" w:cs="仿宋"/>
          <w:sz w:val="24"/>
          <w:highlight w:val="none"/>
          <w:u w:val="single"/>
          <w:lang w:val="en-US" w:eastAsia="zh-CN"/>
        </w:rPr>
      </w:pPr>
      <w:r>
        <w:rPr>
          <w:rFonts w:hint="eastAsia" w:ascii="仿宋" w:hAnsi="仿宋" w:eastAsia="仿宋" w:cs="仿宋"/>
          <w:sz w:val="24"/>
          <w:highlight w:val="none"/>
          <w:u w:val="single"/>
        </w:rPr>
        <w:t>电话</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lang w:val="en-US" w:eastAsia="zh-CN"/>
        </w:rPr>
        <w:t xml:space="preserve">                                  </w:t>
      </w:r>
    </w:p>
    <w:p w14:paraId="221CC3A6">
      <w:pPr>
        <w:rPr>
          <w:rFonts w:hint="eastAsia" w:ascii="仿宋" w:hAnsi="仿宋" w:eastAsia="仿宋" w:cs="仿宋"/>
          <w:color w:val="auto"/>
          <w:highlight w:val="none"/>
          <w:lang w:eastAsia="zh-CN"/>
        </w:rPr>
      </w:pPr>
      <w:r>
        <w:rPr>
          <w:rFonts w:hint="eastAsia" w:ascii="仿宋" w:hAnsi="仿宋" w:eastAsia="仿宋" w:cs="仿宋"/>
          <w:b/>
          <w:bCs/>
          <w:iCs/>
          <w:color w:val="auto"/>
          <w:sz w:val="24"/>
          <w:highlight w:val="none"/>
          <w:lang w:eastAsia="zh-CN"/>
        </w:rPr>
        <w:br w:type="page"/>
      </w:r>
    </w:p>
    <w:p w14:paraId="5AA9A8AB">
      <w:pPr>
        <w:rPr>
          <w:rFonts w:hint="eastAsia" w:ascii="仿宋" w:hAnsi="仿宋" w:eastAsia="仿宋" w:cs="仿宋"/>
          <w:color w:val="auto"/>
          <w:highlight w:val="none"/>
          <w:lang w:eastAsia="zh-CN"/>
        </w:rPr>
      </w:pPr>
    </w:p>
    <w:p w14:paraId="4CB39ED6">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bookmarkStart w:id="667" w:name="_Toc415"/>
      <w:bookmarkStart w:id="668" w:name="_Toc32382"/>
      <w:r>
        <w:rPr>
          <w:rFonts w:hint="eastAsia" w:ascii="仿宋" w:hAnsi="仿宋" w:eastAsia="仿宋" w:cs="仿宋"/>
          <w:color w:val="auto"/>
          <w:highlight w:val="none"/>
          <w:u w:val="none"/>
          <w:lang w:val="en-US" w:eastAsia="zh-CN"/>
        </w:rPr>
        <w:t>3</w:t>
      </w:r>
      <w:r>
        <w:rPr>
          <w:rFonts w:hint="eastAsia" w:ascii="仿宋" w:hAnsi="仿宋" w:eastAsia="仿宋" w:cs="仿宋"/>
          <w:color w:val="auto"/>
          <w:highlight w:val="none"/>
          <w:u w:val="none"/>
          <w:lang w:eastAsia="zh-CN"/>
        </w:rPr>
        <w:t xml:space="preserve">  投标保证金缴纳凭证复印件或银行保函复印件</w:t>
      </w:r>
      <w:bookmarkEnd w:id="667"/>
      <w:bookmarkEnd w:id="668"/>
    </w:p>
    <w:p w14:paraId="67DF047C">
      <w:pPr>
        <w:pStyle w:val="21"/>
        <w:spacing w:beforeAutospacing="0" w:afterAutospacing="0" w:line="360" w:lineRule="auto"/>
        <w:ind w:left="147" w:firstLine="48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eastAsia="zh-CN"/>
        </w:rPr>
        <w:t>投标保证金应当以支票、汇票、本票或者金融机构、担保机构出具的保函等非现金形式提交。投标人未按照招标文件要求提交投标保证金的，投标无效。投标人可将本项目保证金凭证的复印件作为缴纳凭证体现在本部分中，复印件上应加盖本单位章；使用银行保函等其他投标担保函的，应将担保函复印件，体现在本部分中；如采用政府采购信用担保形式的，将复印件体现在本部分中，复印件上应加盖本单位章。</w:t>
      </w:r>
    </w:p>
    <w:p w14:paraId="59FA71FA">
      <w:pPr>
        <w:rPr>
          <w:rFonts w:hint="eastAsia" w:ascii="仿宋" w:hAnsi="仿宋" w:eastAsia="仿宋" w:cs="仿宋"/>
          <w:color w:val="auto"/>
          <w:highlight w:val="none"/>
          <w:lang w:eastAsia="zh-CN"/>
        </w:rPr>
      </w:pPr>
    </w:p>
    <w:p w14:paraId="1F9F025F">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bookmarkStart w:id="669" w:name="_Toc10632"/>
      <w:bookmarkStart w:id="670" w:name="_Toc23564"/>
      <w:r>
        <w:rPr>
          <w:rFonts w:hint="eastAsia" w:ascii="仿宋" w:hAnsi="仿宋" w:eastAsia="仿宋" w:cs="仿宋"/>
          <w:color w:val="auto"/>
          <w:highlight w:val="none"/>
          <w:u w:val="none"/>
          <w:lang w:val="en-US" w:eastAsia="zh-CN"/>
        </w:rPr>
        <w:t>4</w:t>
      </w:r>
      <w:r>
        <w:rPr>
          <w:rFonts w:hint="eastAsia" w:ascii="仿宋" w:hAnsi="仿宋" w:eastAsia="仿宋" w:cs="仿宋"/>
          <w:color w:val="auto"/>
          <w:highlight w:val="none"/>
          <w:u w:val="none"/>
          <w:lang w:eastAsia="zh-CN"/>
        </w:rPr>
        <w:t xml:space="preserve">  投标企业依法缴纳近</w:t>
      </w:r>
      <w:r>
        <w:rPr>
          <w:rFonts w:hint="eastAsia" w:ascii="仿宋" w:hAnsi="仿宋" w:eastAsia="仿宋" w:cs="仿宋"/>
          <w:color w:val="auto"/>
          <w:highlight w:val="none"/>
          <w:u w:val="none"/>
          <w:lang w:val="en-US" w:eastAsia="zh-CN"/>
        </w:rPr>
        <w:t>3</w:t>
      </w:r>
      <w:r>
        <w:rPr>
          <w:rFonts w:hint="eastAsia" w:ascii="仿宋" w:hAnsi="仿宋" w:eastAsia="仿宋" w:cs="仿宋"/>
          <w:color w:val="auto"/>
          <w:highlight w:val="none"/>
          <w:u w:val="none"/>
          <w:lang w:eastAsia="zh-CN"/>
        </w:rPr>
        <w:t>个月任意一个月社会保险的凭据</w:t>
      </w:r>
      <w:bookmarkEnd w:id="669"/>
      <w:bookmarkEnd w:id="670"/>
    </w:p>
    <w:p w14:paraId="209C0086">
      <w:pPr>
        <w:pStyle w:val="12"/>
        <w:tabs>
          <w:tab w:val="left" w:pos="5580"/>
        </w:tabs>
        <w:spacing w:line="288" w:lineRule="auto"/>
        <w:rPr>
          <w:rFonts w:hint="eastAsia" w:ascii="仿宋" w:hAnsi="仿宋" w:eastAsia="仿宋" w:cs="仿宋"/>
          <w:b/>
          <w:color w:val="auto"/>
          <w:sz w:val="24"/>
          <w:highlight w:val="none"/>
          <w:lang w:eastAsia="zh-CN"/>
        </w:rPr>
      </w:pPr>
    </w:p>
    <w:p w14:paraId="7B048B53">
      <w:pPr>
        <w:pStyle w:val="12"/>
        <w:tabs>
          <w:tab w:val="left" w:pos="5580"/>
        </w:tabs>
        <w:spacing w:line="240" w:lineRule="atLeast"/>
        <w:ind w:left="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说明：说明：1.按照</w:t>
      </w:r>
      <w:r>
        <w:rPr>
          <w:rFonts w:hint="eastAsia" w:ascii="仿宋" w:hAnsi="仿宋" w:eastAsia="仿宋" w:cs="仿宋"/>
          <w:color w:val="auto"/>
          <w:sz w:val="24"/>
          <w:highlight w:val="none"/>
          <w:u w:val="single"/>
          <w:lang w:eastAsia="zh-CN"/>
        </w:rPr>
        <w:t>投标人须知资料表</w:t>
      </w:r>
      <w:r>
        <w:rPr>
          <w:rFonts w:hint="eastAsia" w:ascii="仿宋" w:hAnsi="仿宋" w:eastAsia="仿宋" w:cs="仿宋"/>
          <w:color w:val="auto"/>
          <w:sz w:val="24"/>
          <w:highlight w:val="none"/>
          <w:lang w:eastAsia="zh-CN"/>
        </w:rPr>
        <w:t>中的规定提供复印件。</w:t>
      </w:r>
    </w:p>
    <w:p w14:paraId="4B689098">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2.复印件上应加盖本单位章。</w:t>
      </w:r>
    </w:p>
    <w:p w14:paraId="2EC22557">
      <w:pPr>
        <w:tabs>
          <w:tab w:val="left" w:pos="5580"/>
        </w:tabs>
        <w:spacing w:line="240" w:lineRule="atLeas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3.如果是联合体投标，联合体各方均需提供上述证明。</w:t>
      </w:r>
    </w:p>
    <w:p w14:paraId="2B295C7A">
      <w:pPr>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0B1A53B0">
      <w:pPr>
        <w:spacing w:line="288" w:lineRule="auto"/>
        <w:rPr>
          <w:rFonts w:hint="eastAsia" w:ascii="仿宋" w:hAnsi="仿宋" w:eastAsia="仿宋" w:cs="仿宋"/>
          <w:color w:val="auto"/>
          <w:sz w:val="24"/>
          <w:highlight w:val="none"/>
          <w:lang w:eastAsia="zh-CN"/>
        </w:rPr>
      </w:pPr>
    </w:p>
    <w:p w14:paraId="16CF5B28">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bookmarkStart w:id="671" w:name="_Toc22473"/>
      <w:bookmarkStart w:id="672" w:name="_Toc4023"/>
      <w:r>
        <w:rPr>
          <w:rFonts w:hint="eastAsia" w:ascii="仿宋" w:hAnsi="仿宋" w:eastAsia="仿宋" w:cs="仿宋"/>
          <w:color w:val="auto"/>
          <w:highlight w:val="none"/>
          <w:u w:val="none"/>
          <w:lang w:val="en-US" w:eastAsia="zh-CN"/>
        </w:rPr>
        <w:t>5</w:t>
      </w:r>
      <w:r>
        <w:rPr>
          <w:rFonts w:hint="eastAsia" w:ascii="仿宋" w:hAnsi="仿宋" w:eastAsia="仿宋" w:cs="仿宋"/>
          <w:color w:val="auto"/>
          <w:highlight w:val="none"/>
          <w:u w:val="none"/>
          <w:lang w:eastAsia="zh-CN"/>
        </w:rPr>
        <w:t xml:space="preserve">  投标企业提供税务部门出具的近</w:t>
      </w:r>
      <w:r>
        <w:rPr>
          <w:rFonts w:hint="eastAsia" w:ascii="仿宋" w:hAnsi="仿宋" w:eastAsia="仿宋" w:cs="仿宋"/>
          <w:color w:val="auto"/>
          <w:highlight w:val="none"/>
          <w:u w:val="none"/>
          <w:lang w:val="en-US" w:eastAsia="zh-CN"/>
        </w:rPr>
        <w:t>3</w:t>
      </w:r>
      <w:r>
        <w:rPr>
          <w:rFonts w:hint="eastAsia" w:ascii="仿宋" w:hAnsi="仿宋" w:eastAsia="仿宋" w:cs="仿宋"/>
          <w:color w:val="auto"/>
          <w:highlight w:val="none"/>
          <w:u w:val="none"/>
          <w:lang w:eastAsia="zh-CN"/>
        </w:rPr>
        <w:t>个月任意一个月的完税证明</w:t>
      </w:r>
      <w:bookmarkEnd w:id="671"/>
      <w:bookmarkEnd w:id="672"/>
    </w:p>
    <w:p w14:paraId="725FCD97">
      <w:pPr>
        <w:pStyle w:val="12"/>
        <w:tabs>
          <w:tab w:val="left" w:pos="5580"/>
        </w:tabs>
        <w:spacing w:line="240" w:lineRule="atLeast"/>
        <w:ind w:left="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说明：1.按照</w:t>
      </w:r>
      <w:r>
        <w:rPr>
          <w:rFonts w:hint="eastAsia" w:ascii="仿宋" w:hAnsi="仿宋" w:eastAsia="仿宋" w:cs="仿宋"/>
          <w:color w:val="auto"/>
          <w:sz w:val="24"/>
          <w:highlight w:val="none"/>
          <w:u w:val="single"/>
          <w:lang w:eastAsia="zh-CN"/>
        </w:rPr>
        <w:t>投标人须知资料表</w:t>
      </w:r>
      <w:r>
        <w:rPr>
          <w:rFonts w:hint="eastAsia" w:ascii="仿宋" w:hAnsi="仿宋" w:eastAsia="仿宋" w:cs="仿宋"/>
          <w:color w:val="auto"/>
          <w:sz w:val="24"/>
          <w:highlight w:val="none"/>
          <w:lang w:eastAsia="zh-CN"/>
        </w:rPr>
        <w:t>中的规定提供复印件。</w:t>
      </w:r>
    </w:p>
    <w:p w14:paraId="3E4DBC6D">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2.复印件上应加盖本单位章。</w:t>
      </w:r>
    </w:p>
    <w:p w14:paraId="1C23E280">
      <w:pPr>
        <w:pStyle w:val="12"/>
        <w:tabs>
          <w:tab w:val="left" w:pos="5580"/>
        </w:tabs>
        <w:spacing w:line="288" w:lineRule="auto"/>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3.如果是联合体投标，联合体各方均需提供上述证明。</w:t>
      </w:r>
    </w:p>
    <w:p w14:paraId="3D80F855">
      <w:pPr>
        <w:pStyle w:val="12"/>
        <w:tabs>
          <w:tab w:val="left" w:pos="5580"/>
        </w:tabs>
        <w:spacing w:line="288" w:lineRule="auto"/>
        <w:ind w:left="1080" w:leftChars="257" w:hanging="540"/>
        <w:rPr>
          <w:rFonts w:hint="eastAsia" w:ascii="仿宋" w:hAnsi="仿宋" w:eastAsia="仿宋" w:cs="仿宋"/>
          <w:b/>
          <w:bCs/>
          <w:spacing w:val="11"/>
          <w:sz w:val="23"/>
          <w:szCs w:val="23"/>
          <w:highlight w:val="none"/>
        </w:rPr>
      </w:pPr>
      <w:r>
        <w:rPr>
          <w:rFonts w:hint="eastAsia" w:ascii="仿宋" w:hAnsi="仿宋" w:eastAsia="仿宋" w:cs="仿宋"/>
          <w:b/>
          <w:bCs/>
          <w:spacing w:val="11"/>
          <w:sz w:val="23"/>
          <w:szCs w:val="23"/>
          <w:highlight w:val="none"/>
          <w:lang w:val="en-US" w:eastAsia="zh-CN"/>
        </w:rPr>
        <w:t>注：</w:t>
      </w:r>
      <w:r>
        <w:rPr>
          <w:rFonts w:hint="eastAsia" w:ascii="仿宋" w:hAnsi="仿宋" w:eastAsia="仿宋" w:cs="仿宋"/>
          <w:b/>
          <w:bCs/>
          <w:spacing w:val="11"/>
          <w:sz w:val="23"/>
          <w:szCs w:val="23"/>
          <w:highlight w:val="none"/>
          <w:lang w:eastAsia="zh-CN"/>
        </w:rPr>
        <w:t>1、“提供税务部门出具的完税证明”：①若供应商某月税收为零申报，须提供当月加盖税务局公章的无欠税证明或“国家税务总局电子税务局12366.chinatax.gov.cn/bsfw/onlinetaxation/main）”的申报结果查询截图 ②完税证明中“税种”非养老保险、医疗保险、失业保险、工伤保险和生育保险。</w:t>
      </w:r>
      <w:r>
        <w:rPr>
          <w:rFonts w:hint="eastAsia" w:ascii="仿宋" w:hAnsi="仿宋" w:eastAsia="仿宋" w:cs="仿宋"/>
          <w:b/>
          <w:bCs/>
          <w:spacing w:val="11"/>
          <w:sz w:val="23"/>
          <w:szCs w:val="23"/>
          <w:highlight w:val="none"/>
        </w:rPr>
        <w:t>请各供应商注意！</w:t>
      </w:r>
    </w:p>
    <w:p w14:paraId="0717B186">
      <w:pPr>
        <w:pStyle w:val="12"/>
        <w:tabs>
          <w:tab w:val="left" w:pos="5580"/>
        </w:tabs>
        <w:spacing w:line="288" w:lineRule="auto"/>
        <w:ind w:left="1080" w:leftChars="257" w:hanging="540"/>
        <w:rPr>
          <w:rFonts w:hint="eastAsia" w:ascii="仿宋" w:hAnsi="仿宋" w:eastAsia="仿宋" w:cs="仿宋"/>
          <w:b/>
          <w:bCs/>
          <w:spacing w:val="11"/>
          <w:sz w:val="23"/>
          <w:szCs w:val="23"/>
          <w:highlight w:val="none"/>
          <w:lang w:eastAsia="zh-CN"/>
        </w:rPr>
      </w:pPr>
    </w:p>
    <w:p w14:paraId="271F1812">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p>
    <w:p w14:paraId="6ECF9F41">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bookmarkStart w:id="673" w:name="_Toc6041"/>
      <w:bookmarkStart w:id="674" w:name="_Toc14289"/>
      <w:r>
        <w:rPr>
          <w:rFonts w:hint="eastAsia" w:ascii="仿宋" w:hAnsi="仿宋" w:eastAsia="仿宋" w:cs="仿宋"/>
          <w:color w:val="auto"/>
          <w:highlight w:val="none"/>
          <w:u w:val="none"/>
          <w:lang w:val="en-US" w:eastAsia="zh-CN"/>
        </w:rPr>
        <w:t xml:space="preserve">6  </w:t>
      </w:r>
      <w:r>
        <w:rPr>
          <w:rFonts w:hint="eastAsia" w:ascii="仿宋" w:hAnsi="仿宋" w:eastAsia="仿宋" w:cs="仿宋"/>
          <w:color w:val="auto"/>
          <w:highlight w:val="none"/>
          <w:u w:val="none"/>
          <w:lang w:eastAsia="zh-CN"/>
        </w:rPr>
        <w:t>近两年任意一年完整的财务审计报告（新成立公司提供开标前三个月内任意一个月有效银行资信证明）</w:t>
      </w:r>
      <w:bookmarkEnd w:id="673"/>
      <w:bookmarkEnd w:id="674"/>
    </w:p>
    <w:p w14:paraId="21133168">
      <w:pPr>
        <w:tabs>
          <w:tab w:val="left" w:pos="5580"/>
        </w:tabs>
        <w:spacing w:line="240" w:lineRule="atLeast"/>
        <w:ind w:left="1080" w:leftChars="257" w:hanging="5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说明：</w:t>
      </w:r>
    </w:p>
    <w:p w14:paraId="5086F5FE">
      <w:pPr>
        <w:tabs>
          <w:tab w:val="left" w:pos="5580"/>
        </w:tabs>
        <w:spacing w:line="240" w:lineRule="atLeast"/>
        <w:ind w:left="540"/>
        <w:rPr>
          <w:rFonts w:hint="eastAsia" w:ascii="仿宋" w:hAnsi="仿宋" w:eastAsia="仿宋" w:cs="仿宋"/>
          <w:bCs/>
          <w:color w:val="auto"/>
          <w:sz w:val="24"/>
          <w:szCs w:val="24"/>
          <w:highlight w:val="none"/>
          <w:lang w:eastAsia="zh-CN"/>
        </w:rPr>
      </w:pPr>
      <w:r>
        <w:rPr>
          <w:rFonts w:hint="eastAsia" w:ascii="仿宋" w:hAnsi="仿宋" w:eastAsia="仿宋" w:cs="仿宋"/>
          <w:color w:val="auto"/>
          <w:sz w:val="24"/>
          <w:szCs w:val="24"/>
          <w:highlight w:val="none"/>
          <w:lang w:eastAsia="zh-CN"/>
        </w:rPr>
        <w:t>1、如提供本单位202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或202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年度经会计师事务所出具的审计报告复印件须加盖</w:t>
      </w:r>
      <w:r>
        <w:rPr>
          <w:rFonts w:hint="eastAsia" w:ascii="仿宋" w:hAnsi="仿宋" w:eastAsia="仿宋" w:cs="仿宋"/>
          <w:bCs/>
          <w:color w:val="auto"/>
          <w:sz w:val="24"/>
          <w:szCs w:val="24"/>
          <w:highlight w:val="none"/>
          <w:lang w:eastAsia="zh-CN"/>
        </w:rPr>
        <w:t>本单位章。</w:t>
      </w:r>
    </w:p>
    <w:p w14:paraId="0E7CB1A7">
      <w:pPr>
        <w:tabs>
          <w:tab w:val="left" w:pos="5580"/>
        </w:tabs>
        <w:spacing w:line="240" w:lineRule="atLeast"/>
        <w:ind w:left="5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000000"/>
          <w:kern w:val="2"/>
          <w:sz w:val="24"/>
          <w:szCs w:val="24"/>
          <w:highlight w:val="none"/>
        </w:rPr>
        <w:t>如提供银行出具的证明文件。银行证明文件需提供银行在开标日前三个月内开具证明文件的复印件并盖单位章。银行出具的证明文件应能说明该投标人与银行之间业务往来正常，企业信誉良好等。</w:t>
      </w:r>
    </w:p>
    <w:p w14:paraId="28FFE73F">
      <w:pPr>
        <w:tabs>
          <w:tab w:val="left" w:pos="5580"/>
        </w:tabs>
        <w:spacing w:line="240" w:lineRule="atLeas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szCs w:val="24"/>
          <w:highlight w:val="none"/>
          <w:lang w:eastAsia="zh-CN"/>
        </w:rPr>
        <w:t>3、如果是联合体投标，联合体各方均需提供上述证明。</w:t>
      </w:r>
    </w:p>
    <w:p w14:paraId="024B52A5">
      <w:pPr>
        <w:rPr>
          <w:rFonts w:hint="eastAsia" w:ascii="仿宋" w:hAnsi="仿宋" w:eastAsia="仿宋" w:cs="仿宋"/>
          <w:color w:val="auto"/>
          <w:highlight w:val="none"/>
          <w:lang w:eastAsia="zh-CN"/>
        </w:rPr>
      </w:pPr>
      <w:r>
        <w:rPr>
          <w:rFonts w:hint="eastAsia" w:ascii="仿宋" w:hAnsi="仿宋" w:eastAsia="仿宋" w:cs="仿宋"/>
          <w:color w:val="auto"/>
          <w:sz w:val="24"/>
          <w:highlight w:val="none"/>
          <w:lang w:eastAsia="zh-CN"/>
        </w:rPr>
        <w:br w:type="page"/>
      </w:r>
    </w:p>
    <w:p w14:paraId="676A857B">
      <w:pPr>
        <w:pStyle w:val="12"/>
        <w:tabs>
          <w:tab w:val="left" w:pos="5580"/>
        </w:tabs>
        <w:spacing w:line="288" w:lineRule="auto"/>
        <w:ind w:left="1080" w:leftChars="257" w:hanging="540"/>
        <w:rPr>
          <w:rFonts w:hint="eastAsia" w:ascii="仿宋" w:hAnsi="仿宋" w:eastAsia="仿宋" w:cs="仿宋"/>
          <w:color w:val="auto"/>
          <w:sz w:val="24"/>
          <w:highlight w:val="none"/>
          <w:lang w:eastAsia="zh-CN"/>
        </w:rPr>
      </w:pPr>
    </w:p>
    <w:p w14:paraId="4BC3EAAB">
      <w:pPr>
        <w:pStyle w:val="3"/>
        <w:spacing w:before="0" w:line="288" w:lineRule="auto"/>
        <w:ind w:left="1080" w:leftChars="257" w:hanging="540"/>
        <w:rPr>
          <w:rFonts w:hint="eastAsia" w:ascii="仿宋" w:hAnsi="仿宋" w:eastAsia="仿宋" w:cs="仿宋"/>
          <w:color w:val="auto"/>
          <w:sz w:val="24"/>
          <w:highlight w:val="none"/>
          <w:lang w:eastAsia="zh-CN"/>
        </w:rPr>
      </w:pPr>
      <w:bookmarkStart w:id="675" w:name="_Toc11180"/>
      <w:bookmarkStart w:id="676" w:name="_Toc30317"/>
      <w:bookmarkStart w:id="677" w:name="_Toc27549"/>
      <w:bookmarkStart w:id="678" w:name="_Toc22967"/>
      <w:bookmarkStart w:id="679" w:name="_Toc26950"/>
      <w:bookmarkStart w:id="680" w:name="_Toc19244"/>
      <w:bookmarkStart w:id="681" w:name="_Toc23967"/>
      <w:bookmarkStart w:id="682" w:name="_Toc22608"/>
      <w:bookmarkStart w:id="683" w:name="_Toc21263"/>
      <w:bookmarkStart w:id="684" w:name="_Toc26028"/>
      <w:bookmarkStart w:id="685" w:name="_Toc515647816"/>
      <w:bookmarkStart w:id="686" w:name="_Toc26404"/>
      <w:bookmarkStart w:id="687" w:name="_Toc168"/>
      <w:bookmarkStart w:id="688" w:name="_Toc11868"/>
      <w:r>
        <w:rPr>
          <w:rFonts w:hint="eastAsia" w:ascii="仿宋" w:hAnsi="仿宋" w:eastAsia="仿宋" w:cs="仿宋"/>
          <w:color w:val="auto"/>
          <w:sz w:val="24"/>
          <w:highlight w:val="none"/>
          <w:lang w:eastAsia="zh-CN"/>
        </w:rPr>
        <w:t>第二部分</w:t>
      </w:r>
      <w:r>
        <w:rPr>
          <w:rFonts w:hint="eastAsia" w:ascii="仿宋" w:hAnsi="仿宋" w:eastAsia="仿宋" w:cs="仿宋"/>
          <w:color w:val="auto"/>
          <w:sz w:val="24"/>
          <w:szCs w:val="24"/>
          <w:highlight w:val="none"/>
          <w:lang w:eastAsia="zh-CN"/>
        </w:rPr>
        <w:t xml:space="preserve"> 商务及技术文件</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02C7ED1D">
      <w:pPr>
        <w:pStyle w:val="12"/>
        <w:spacing w:line="288" w:lineRule="auto"/>
        <w:ind w:left="1080" w:leftChars="257" w:hanging="5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1、投标书</w:t>
      </w:r>
    </w:p>
    <w:p w14:paraId="02CE9731">
      <w:pPr>
        <w:pStyle w:val="12"/>
        <w:spacing w:line="288" w:lineRule="auto"/>
        <w:ind w:left="1080" w:leftChars="257" w:hanging="5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2、开标一览表</w:t>
      </w:r>
    </w:p>
    <w:p w14:paraId="579A6488">
      <w:pPr>
        <w:pStyle w:val="12"/>
        <w:spacing w:line="288" w:lineRule="auto"/>
        <w:ind w:left="1080" w:leftChars="257" w:hanging="5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、投标分项报价表</w:t>
      </w:r>
    </w:p>
    <w:p w14:paraId="5D5C4EB0">
      <w:pPr>
        <w:pStyle w:val="12"/>
        <w:spacing w:line="288" w:lineRule="auto"/>
        <w:ind w:left="1080" w:leftChars="257" w:hanging="5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、技术规格偏离表</w:t>
      </w:r>
    </w:p>
    <w:p w14:paraId="5FFC078C">
      <w:pPr>
        <w:pStyle w:val="12"/>
        <w:spacing w:line="288" w:lineRule="auto"/>
        <w:ind w:left="1080" w:leftChars="257" w:hanging="5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、商务条款偏离表</w:t>
      </w:r>
    </w:p>
    <w:p w14:paraId="3EAABE6D">
      <w:pPr>
        <w:pStyle w:val="12"/>
        <w:spacing w:line="288" w:lineRule="auto"/>
        <w:ind w:left="1080" w:leftChars="257" w:hanging="5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符合《政府采购促进中小企业发展暂行办法》、《关于政府采购支持监狱企业发展有关问题的通知》和《三部门联合发布关于促进残疾人就业政府采购政策的通知》价格扣减条件的投标人须提交）《关于调整优化节能产品、环境标志产品政府采购执行机制的通知》（财库〔2019〕9号）、《节能产品政府采购品目清单》（财库〔2019〕19号）、《环境标志产品政府采购品目清单》（财库〔2019〕18号；</w:t>
      </w:r>
    </w:p>
    <w:p w14:paraId="3F49128D">
      <w:pPr>
        <w:pStyle w:val="12"/>
        <w:spacing w:line="288" w:lineRule="auto"/>
        <w:ind w:left="1080" w:leftChars="257" w:hanging="5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-1《中小企业声明函（货物)》</w:t>
      </w:r>
    </w:p>
    <w:p w14:paraId="7E27BF6C">
      <w:pPr>
        <w:pStyle w:val="12"/>
        <w:spacing w:line="288" w:lineRule="auto"/>
        <w:ind w:left="1080" w:leftChars="257" w:hanging="5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-2《残疾人福利性单位声明函》</w:t>
      </w:r>
    </w:p>
    <w:p w14:paraId="51BDDE85">
      <w:pPr>
        <w:pStyle w:val="12"/>
        <w:spacing w:line="288" w:lineRule="auto"/>
        <w:ind w:left="1080" w:leftChars="257" w:hanging="5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-3《监狱企业适用》</w:t>
      </w:r>
    </w:p>
    <w:p w14:paraId="33DC65AD">
      <w:pPr>
        <w:pStyle w:val="12"/>
        <w:spacing w:line="288" w:lineRule="auto"/>
        <w:ind w:left="1080" w:leftChars="257" w:hanging="5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6-4 节能、环境标志产品</w:t>
      </w:r>
    </w:p>
    <w:p w14:paraId="749AB939">
      <w:pPr>
        <w:pStyle w:val="12"/>
        <w:spacing w:line="288" w:lineRule="auto"/>
        <w:ind w:left="1080" w:leftChars="257" w:hanging="5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、投标文件还应包括第五章、综合评分表的所有技术文件</w:t>
      </w:r>
    </w:p>
    <w:p w14:paraId="7319CED3">
      <w:pPr>
        <w:pStyle w:val="12"/>
        <w:spacing w:line="288"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、投标人关联单位的说明（格式自拟）</w:t>
      </w:r>
    </w:p>
    <w:p w14:paraId="34F7BFFE">
      <w:pPr>
        <w:pStyle w:val="12"/>
        <w:spacing w:line="288" w:lineRule="auto"/>
        <w:ind w:left="210"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、其他有利于投标人的文件或证明材料</w:t>
      </w:r>
    </w:p>
    <w:p w14:paraId="5D52C43A">
      <w:pPr>
        <w:pStyle w:val="12"/>
        <w:spacing w:line="288" w:lineRule="auto"/>
        <w:ind w:left="210"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、对本项目投标文件（响应文件）中资料真实性的承诺</w:t>
      </w:r>
    </w:p>
    <w:p w14:paraId="4FE007FD">
      <w:pPr>
        <w:pStyle w:val="12"/>
        <w:rPr>
          <w:rFonts w:hint="eastAsia" w:ascii="仿宋" w:hAnsi="仿宋" w:eastAsia="仿宋" w:cs="仿宋"/>
          <w:color w:val="auto"/>
          <w:sz w:val="24"/>
          <w:szCs w:val="24"/>
          <w:highlight w:val="none"/>
          <w:lang w:eastAsia="zh-CN"/>
        </w:rPr>
      </w:pPr>
    </w:p>
    <w:p w14:paraId="01DE7BB3">
      <w:pPr>
        <w:rPr>
          <w:rFonts w:hint="eastAsia" w:ascii="仿宋" w:hAnsi="仿宋" w:eastAsia="仿宋" w:cs="仿宋"/>
          <w:color w:val="auto"/>
          <w:highlight w:val="none"/>
          <w:lang w:eastAsia="zh-CN"/>
        </w:rPr>
      </w:pPr>
      <w:bookmarkStart w:id="689" w:name="_Toc25213"/>
      <w:bookmarkStart w:id="690" w:name="_Toc3618"/>
      <w:bookmarkStart w:id="691" w:name="_Toc24743"/>
      <w:bookmarkStart w:id="692" w:name="_Toc11043"/>
      <w:bookmarkStart w:id="693" w:name="_Toc31638"/>
      <w:bookmarkStart w:id="694" w:name="_Toc31410"/>
      <w:bookmarkStart w:id="695" w:name="_Toc21159"/>
      <w:bookmarkStart w:id="696" w:name="_Toc17635"/>
      <w:bookmarkStart w:id="697" w:name="_Toc14062"/>
      <w:r>
        <w:rPr>
          <w:rFonts w:hint="eastAsia" w:ascii="仿宋" w:hAnsi="仿宋" w:eastAsia="仿宋" w:cs="仿宋"/>
          <w:color w:val="auto"/>
          <w:highlight w:val="none"/>
          <w:lang w:eastAsia="zh-CN"/>
        </w:rPr>
        <w:br w:type="page"/>
      </w:r>
    </w:p>
    <w:bookmarkEnd w:id="689"/>
    <w:bookmarkEnd w:id="690"/>
    <w:bookmarkEnd w:id="691"/>
    <w:bookmarkEnd w:id="692"/>
    <w:bookmarkEnd w:id="693"/>
    <w:bookmarkEnd w:id="694"/>
    <w:bookmarkEnd w:id="695"/>
    <w:bookmarkEnd w:id="696"/>
    <w:bookmarkEnd w:id="697"/>
    <w:p w14:paraId="347B5468">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bookmarkStart w:id="698" w:name="_Toc1452"/>
      <w:bookmarkStart w:id="699" w:name="_Toc6283"/>
      <w:r>
        <w:rPr>
          <w:rFonts w:hint="eastAsia" w:ascii="仿宋" w:hAnsi="仿宋" w:eastAsia="仿宋" w:cs="仿宋"/>
          <w:color w:val="auto"/>
          <w:highlight w:val="none"/>
          <w:u w:val="none"/>
          <w:lang w:eastAsia="zh-CN"/>
        </w:rPr>
        <w:t>1  投标书</w:t>
      </w:r>
      <w:bookmarkEnd w:id="698"/>
      <w:bookmarkEnd w:id="699"/>
    </w:p>
    <w:p w14:paraId="069F4556">
      <w:pPr>
        <w:tabs>
          <w:tab w:val="left" w:pos="5580"/>
        </w:tabs>
        <w:spacing w:line="240" w:lineRule="atLeast"/>
        <w:ind w:left="1080" w:leftChars="257" w:hanging="540"/>
        <w:rPr>
          <w:rFonts w:hint="eastAsia" w:ascii="仿宋" w:hAnsi="仿宋" w:eastAsia="仿宋" w:cs="仿宋"/>
          <w:color w:val="auto"/>
          <w:sz w:val="32"/>
          <w:szCs w:val="32"/>
          <w:highlight w:val="none"/>
          <w:lang w:eastAsia="zh-CN"/>
        </w:rPr>
      </w:pPr>
    </w:p>
    <w:p w14:paraId="5D5C96C7">
      <w:pPr>
        <w:tabs>
          <w:tab w:val="left" w:pos="5580"/>
        </w:tabs>
        <w:spacing w:line="320" w:lineRule="exact"/>
        <w:ind w:left="1080" w:hanging="10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致：</w:t>
      </w:r>
      <w:r>
        <w:rPr>
          <w:rFonts w:hint="eastAsia" w:ascii="仿宋" w:hAnsi="仿宋" w:eastAsia="仿宋" w:cs="仿宋"/>
          <w:color w:val="auto"/>
          <w:sz w:val="24"/>
          <w:highlight w:val="none"/>
          <w:u w:val="single" w:color="000000"/>
          <w:lang w:eastAsia="zh-CN"/>
        </w:rPr>
        <w:t xml:space="preserve"> （采购人名称）</w:t>
      </w:r>
    </w:p>
    <w:p w14:paraId="699EE02A">
      <w:pPr>
        <w:pStyle w:val="12"/>
        <w:tabs>
          <w:tab w:val="left" w:pos="5580"/>
        </w:tabs>
        <w:spacing w:line="320" w:lineRule="exact"/>
        <w:ind w:left="1080" w:leftChars="257" w:hanging="540"/>
        <w:rPr>
          <w:rFonts w:hint="eastAsia" w:ascii="仿宋" w:hAnsi="仿宋" w:eastAsia="仿宋" w:cs="仿宋"/>
          <w:color w:val="auto"/>
          <w:sz w:val="24"/>
          <w:highlight w:val="none"/>
          <w:lang w:eastAsia="zh-CN"/>
        </w:rPr>
      </w:pPr>
    </w:p>
    <w:p w14:paraId="438C191B">
      <w:pPr>
        <w:pStyle w:val="12"/>
        <w:tabs>
          <w:tab w:val="left" w:pos="5580"/>
        </w:tabs>
        <w:spacing w:line="400" w:lineRule="exact"/>
        <w:ind w:left="2" w:leftChars="1"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根据贵方(项目名称)项目的投标邀请(招标编号),签字代表(姓名、职务)经正式授权并代表投标人（名称、地址）上传</w:t>
      </w:r>
      <w:r>
        <w:rPr>
          <w:rFonts w:hint="eastAsia" w:ascii="仿宋" w:hAnsi="仿宋" w:eastAsia="仿宋" w:cs="仿宋"/>
          <w:color w:val="auto"/>
          <w:sz w:val="24"/>
          <w:szCs w:val="24"/>
          <w:highlight w:val="none"/>
          <w:u w:val="single"/>
          <w:lang w:eastAsia="zh-CN"/>
        </w:rPr>
        <w:t>响应文件</w:t>
      </w:r>
      <w:r>
        <w:rPr>
          <w:rFonts w:hint="eastAsia" w:ascii="仿宋" w:hAnsi="仿宋" w:eastAsia="仿宋" w:cs="仿宋"/>
          <w:color w:val="auto"/>
          <w:sz w:val="24"/>
          <w:szCs w:val="24"/>
          <w:highlight w:val="none"/>
          <w:lang w:eastAsia="zh-CN"/>
        </w:rPr>
        <w:t>，并以</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形式</w:t>
      </w:r>
      <w:r>
        <w:rPr>
          <w:rFonts w:hint="eastAsia" w:ascii="仿宋" w:hAnsi="仿宋" w:eastAsia="仿宋" w:cs="仿宋"/>
          <w:color w:val="auto"/>
          <w:sz w:val="24"/>
          <w:szCs w:val="24"/>
          <w:highlight w:val="none"/>
          <w:lang w:eastAsia="zh-CN"/>
        </w:rPr>
        <w:t>出具的金额为人民币</w:t>
      </w:r>
      <w:r>
        <w:rPr>
          <w:rFonts w:hint="eastAsia" w:ascii="仿宋" w:hAnsi="仿宋" w:eastAsia="仿宋" w:cs="仿宋"/>
          <w:color w:val="auto"/>
          <w:sz w:val="24"/>
          <w:szCs w:val="24"/>
          <w:highlight w:val="none"/>
          <w:u w:val="single"/>
          <w:lang w:eastAsia="zh-CN"/>
        </w:rPr>
        <w:t>　　　　</w:t>
      </w:r>
      <w:r>
        <w:rPr>
          <w:rFonts w:hint="eastAsia" w:ascii="仿宋" w:hAnsi="仿宋" w:eastAsia="仿宋" w:cs="仿宋"/>
          <w:color w:val="auto"/>
          <w:sz w:val="24"/>
          <w:szCs w:val="24"/>
          <w:highlight w:val="none"/>
          <w:lang w:eastAsia="zh-CN"/>
        </w:rPr>
        <w:t>元的投标保证金。</w:t>
      </w:r>
    </w:p>
    <w:p w14:paraId="24E6668C">
      <w:pPr>
        <w:pStyle w:val="12"/>
        <w:tabs>
          <w:tab w:val="left" w:pos="5580"/>
        </w:tabs>
        <w:spacing w:line="320" w:lineRule="exac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据此，签字代表宣布同意如下：</w:t>
      </w:r>
    </w:p>
    <w:p w14:paraId="2C761AF7">
      <w:pPr>
        <w:pStyle w:val="12"/>
        <w:tabs>
          <w:tab w:val="left" w:pos="720"/>
          <w:tab w:val="left" w:pos="900"/>
        </w:tabs>
        <w:spacing w:line="320" w:lineRule="exact"/>
        <w:ind w:left="769" w:leftChars="257" w:hanging="22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（1）附投标价格表中规定的应提供服务的投标总价详见开标一览表。</w:t>
      </w:r>
    </w:p>
    <w:p w14:paraId="7C4B0A36">
      <w:pPr>
        <w:pStyle w:val="12"/>
        <w:tabs>
          <w:tab w:val="left" w:pos="5580"/>
        </w:tabs>
        <w:spacing w:line="320" w:lineRule="exac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（2）本投标有效期为自投标截止之日起个</w:t>
      </w:r>
      <w:r>
        <w:rPr>
          <w:rFonts w:hint="eastAsia" w:ascii="仿宋" w:hAnsi="仿宋" w:eastAsia="仿宋" w:cs="仿宋"/>
          <w:sz w:val="24"/>
          <w:highlight w:val="none"/>
          <w:u w:val="single"/>
          <w:lang w:val="en-US" w:eastAsia="zh-CN"/>
        </w:rPr>
        <w:t xml:space="preserve"> 90 </w:t>
      </w:r>
      <w:r>
        <w:rPr>
          <w:rFonts w:hint="eastAsia" w:ascii="仿宋" w:hAnsi="仿宋" w:eastAsia="仿宋" w:cs="仿宋"/>
          <w:color w:val="auto"/>
          <w:sz w:val="24"/>
          <w:highlight w:val="none"/>
          <w:lang w:eastAsia="zh-CN"/>
        </w:rPr>
        <w:t>日历日。</w:t>
      </w:r>
    </w:p>
    <w:p w14:paraId="5590680C">
      <w:pPr>
        <w:pStyle w:val="12"/>
        <w:tabs>
          <w:tab w:val="left" w:pos="5580"/>
        </w:tabs>
        <w:spacing w:line="320" w:lineRule="exac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（3）联合体中的大中型企业和其他自然人、法人或者非法人组织，与联合体中的小型、微型企业之间</w:t>
      </w:r>
      <w:r>
        <w:rPr>
          <w:rFonts w:hint="eastAsia" w:ascii="仿宋" w:hAnsi="仿宋" w:eastAsia="仿宋" w:cs="仿宋"/>
          <w:color w:val="auto"/>
          <w:sz w:val="24"/>
          <w:highlight w:val="none"/>
          <w:u w:val="single" w:color="000000"/>
          <w:lang w:eastAsia="zh-CN"/>
        </w:rPr>
        <w:t xml:space="preserve">     （</w:t>
      </w:r>
      <w:r>
        <w:rPr>
          <w:rFonts w:hint="eastAsia" w:ascii="仿宋" w:hAnsi="仿宋" w:eastAsia="仿宋" w:cs="仿宋"/>
          <w:color w:val="auto"/>
          <w:sz w:val="24"/>
          <w:highlight w:val="none"/>
          <w:lang w:eastAsia="zh-CN"/>
        </w:rPr>
        <w:t>存在、不存在）投资关系（如果是联合体的话）。</w:t>
      </w:r>
    </w:p>
    <w:p w14:paraId="1D591593">
      <w:pPr>
        <w:pStyle w:val="12"/>
        <w:tabs>
          <w:tab w:val="left" w:pos="5580"/>
        </w:tabs>
        <w:spacing w:line="320" w:lineRule="exac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（4）已详细审查全部招标文件，包括所有补充通知（如果有的话），完全理解并同意放弃对这方面有不明、误解和质疑的权力。</w:t>
      </w:r>
    </w:p>
    <w:p w14:paraId="699A8209">
      <w:pPr>
        <w:pStyle w:val="12"/>
        <w:tabs>
          <w:tab w:val="left" w:pos="5580"/>
        </w:tabs>
        <w:spacing w:line="320" w:lineRule="exac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（5）在规定的开标时间后，遵守招标文件中有关保证金的规定。</w:t>
      </w:r>
    </w:p>
    <w:p w14:paraId="69D961D3">
      <w:pPr>
        <w:pStyle w:val="12"/>
        <w:tabs>
          <w:tab w:val="left" w:pos="5580"/>
        </w:tabs>
        <w:spacing w:line="320" w:lineRule="exac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（6）根据投标人须知规定，我方不是为本项目提供整体设计、规范编制或者项目管理、监理、检测等服务的供应商，我方不是采购代理机构的附属机构。</w:t>
      </w:r>
    </w:p>
    <w:p w14:paraId="005BA971">
      <w:pPr>
        <w:pStyle w:val="12"/>
        <w:tabs>
          <w:tab w:val="left" w:pos="5580"/>
        </w:tabs>
        <w:spacing w:line="320" w:lineRule="exac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lang w:eastAsia="zh-CN"/>
        </w:rPr>
        <w:t>）按照贵方可能要求，提供与其投标有关的一切数据或资料，完全理解贵方不一定接受最低价的投标或收到的任何投标。</w:t>
      </w:r>
    </w:p>
    <w:p w14:paraId="2566FD77">
      <w:pPr>
        <w:pStyle w:val="12"/>
        <w:tabs>
          <w:tab w:val="left" w:pos="5580"/>
        </w:tabs>
        <w:spacing w:line="320" w:lineRule="exac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）按照招标文件的规定履行合同责任和义务。</w:t>
      </w:r>
    </w:p>
    <w:p w14:paraId="48270F98">
      <w:pPr>
        <w:pStyle w:val="12"/>
        <w:tabs>
          <w:tab w:val="left" w:pos="5580"/>
        </w:tabs>
        <w:spacing w:line="320" w:lineRule="exact"/>
        <w:ind w:left="1080" w:leftChars="257" w:hanging="540"/>
        <w:rPr>
          <w:rFonts w:hint="eastAsia" w:ascii="仿宋" w:hAnsi="仿宋" w:eastAsia="仿宋" w:cs="仿宋"/>
          <w:color w:val="auto"/>
          <w:sz w:val="24"/>
          <w:highlight w:val="none"/>
          <w:lang w:eastAsia="zh-CN"/>
        </w:rPr>
      </w:pPr>
    </w:p>
    <w:p w14:paraId="4AD723DF">
      <w:pPr>
        <w:pStyle w:val="12"/>
        <w:tabs>
          <w:tab w:val="left" w:pos="5580"/>
        </w:tabs>
        <w:spacing w:line="320" w:lineRule="exact"/>
        <w:ind w:left="1080" w:leftChars="257" w:hanging="540"/>
        <w:rPr>
          <w:rFonts w:hint="eastAsia" w:ascii="仿宋" w:hAnsi="仿宋" w:eastAsia="仿宋" w:cs="仿宋"/>
          <w:color w:val="auto"/>
          <w:sz w:val="24"/>
          <w:highlight w:val="none"/>
          <w:lang w:eastAsia="zh-CN"/>
        </w:rPr>
      </w:pPr>
    </w:p>
    <w:p w14:paraId="70F06B86">
      <w:pPr>
        <w:pStyle w:val="12"/>
        <w:tabs>
          <w:tab w:val="left" w:pos="5580"/>
        </w:tabs>
        <w:spacing w:line="320" w:lineRule="exact"/>
        <w:ind w:left="1080" w:leftChars="257" w:hanging="540"/>
        <w:rPr>
          <w:rFonts w:hint="eastAsia" w:ascii="仿宋" w:hAnsi="仿宋" w:eastAsia="仿宋" w:cs="仿宋"/>
          <w:color w:val="auto"/>
          <w:sz w:val="24"/>
          <w:highlight w:val="none"/>
          <w:lang w:eastAsia="zh-CN"/>
        </w:rPr>
      </w:pPr>
    </w:p>
    <w:p w14:paraId="2E117BCC">
      <w:pPr>
        <w:pStyle w:val="12"/>
        <w:tabs>
          <w:tab w:val="left" w:pos="5580"/>
        </w:tabs>
        <w:spacing w:line="360" w:lineRule="auto"/>
        <w:ind w:left="1080" w:leftChars="257" w:hanging="540"/>
        <w:rPr>
          <w:rFonts w:hint="eastAsia" w:ascii="仿宋" w:hAnsi="仿宋" w:eastAsia="仿宋" w:cs="仿宋"/>
          <w:sz w:val="24"/>
          <w:highlight w:val="none"/>
          <w:u w:val="single"/>
        </w:rPr>
      </w:pPr>
      <w:r>
        <w:rPr>
          <w:rFonts w:hint="eastAsia" w:ascii="仿宋" w:hAnsi="仿宋" w:eastAsia="仿宋" w:cs="仿宋"/>
          <w:sz w:val="24"/>
          <w:highlight w:val="none"/>
        </w:rPr>
        <w:t>法定代表人或其委托代理人签字</w:t>
      </w:r>
      <w:r>
        <w:rPr>
          <w:rFonts w:hint="eastAsia" w:ascii="仿宋" w:hAnsi="仿宋" w:eastAsia="仿宋" w:cs="仿宋"/>
          <w:sz w:val="24"/>
          <w:highlight w:val="none"/>
          <w:lang w:val="en-US" w:eastAsia="zh-CN"/>
        </w:rPr>
        <w:t>或签章</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p>
    <w:p w14:paraId="4DE6C0C1">
      <w:pPr>
        <w:pStyle w:val="12"/>
        <w:tabs>
          <w:tab w:val="left" w:pos="5580"/>
        </w:tabs>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投标人名称（全称）：</w:t>
      </w:r>
      <w:r>
        <w:rPr>
          <w:rFonts w:hint="eastAsia" w:ascii="仿宋" w:hAnsi="仿宋" w:eastAsia="仿宋" w:cs="仿宋"/>
          <w:sz w:val="24"/>
          <w:highlight w:val="none"/>
          <w:u w:val="single"/>
        </w:rPr>
        <w:t xml:space="preserve">                  </w:t>
      </w:r>
    </w:p>
    <w:p w14:paraId="48F6F8BF">
      <w:pPr>
        <w:pStyle w:val="12"/>
        <w:tabs>
          <w:tab w:val="left" w:pos="5580"/>
        </w:tabs>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投标人开户银行（全称）：</w:t>
      </w:r>
      <w:r>
        <w:rPr>
          <w:rFonts w:hint="eastAsia" w:ascii="仿宋" w:hAnsi="仿宋" w:eastAsia="仿宋" w:cs="仿宋"/>
          <w:sz w:val="24"/>
          <w:highlight w:val="none"/>
          <w:u w:val="single"/>
        </w:rPr>
        <w:t xml:space="preserve">                  </w:t>
      </w:r>
    </w:p>
    <w:p w14:paraId="2913554C">
      <w:pPr>
        <w:pStyle w:val="12"/>
        <w:tabs>
          <w:tab w:val="left" w:pos="5580"/>
        </w:tabs>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投标人银行帐号：</w:t>
      </w:r>
      <w:r>
        <w:rPr>
          <w:rFonts w:hint="eastAsia" w:ascii="仿宋" w:hAnsi="仿宋" w:eastAsia="仿宋" w:cs="仿宋"/>
          <w:sz w:val="24"/>
          <w:highlight w:val="none"/>
          <w:u w:val="single"/>
        </w:rPr>
        <w:t xml:space="preserve">                  </w:t>
      </w:r>
    </w:p>
    <w:p w14:paraId="290BA62E">
      <w:pPr>
        <w:pStyle w:val="12"/>
        <w:tabs>
          <w:tab w:val="left" w:pos="5580"/>
        </w:tabs>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投标人单位章：</w:t>
      </w:r>
      <w:r>
        <w:rPr>
          <w:rFonts w:hint="eastAsia" w:ascii="仿宋" w:hAnsi="仿宋" w:eastAsia="仿宋" w:cs="仿宋"/>
          <w:sz w:val="24"/>
          <w:highlight w:val="none"/>
          <w:u w:val="single"/>
        </w:rPr>
        <w:t xml:space="preserve">                  </w:t>
      </w:r>
    </w:p>
    <w:p w14:paraId="5C9C2FFC">
      <w:pPr>
        <w:pStyle w:val="12"/>
        <w:tabs>
          <w:tab w:val="left" w:pos="5580"/>
        </w:tabs>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日</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期：</w:t>
      </w:r>
      <w:r>
        <w:rPr>
          <w:rFonts w:hint="eastAsia" w:ascii="仿宋" w:hAnsi="仿宋" w:eastAsia="仿宋" w:cs="仿宋"/>
          <w:sz w:val="24"/>
          <w:highlight w:val="none"/>
          <w:u w:val="single"/>
        </w:rPr>
        <w:t xml:space="preserve">                  </w:t>
      </w:r>
    </w:p>
    <w:p w14:paraId="1DD8DE42">
      <w:pPr>
        <w:pStyle w:val="12"/>
        <w:tabs>
          <w:tab w:val="left" w:pos="5580"/>
        </w:tabs>
        <w:spacing w:line="320" w:lineRule="exact"/>
        <w:ind w:left="1080" w:leftChars="257" w:hanging="540"/>
        <w:rPr>
          <w:rFonts w:hint="eastAsia" w:ascii="仿宋" w:hAnsi="仿宋" w:eastAsia="仿宋" w:cs="仿宋"/>
          <w:color w:val="auto"/>
          <w:sz w:val="24"/>
          <w:highlight w:val="none"/>
          <w:lang w:eastAsia="zh-CN"/>
        </w:rPr>
      </w:pPr>
    </w:p>
    <w:p w14:paraId="64B940E4">
      <w:pPr>
        <w:pStyle w:val="12"/>
        <w:tabs>
          <w:tab w:val="left" w:pos="5580"/>
        </w:tabs>
        <w:spacing w:line="320" w:lineRule="exac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br w:type="page"/>
      </w:r>
    </w:p>
    <w:p w14:paraId="7D29E0E5">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bookmarkStart w:id="700" w:name="_Toc18565"/>
      <w:bookmarkStart w:id="701" w:name="_Toc14309"/>
      <w:bookmarkStart w:id="702" w:name="_Toc9159"/>
      <w:bookmarkStart w:id="703" w:name="_Toc2495"/>
      <w:bookmarkStart w:id="704" w:name="_Toc2776"/>
      <w:bookmarkStart w:id="705" w:name="_Toc515647804"/>
      <w:bookmarkStart w:id="706" w:name="_Toc30524"/>
      <w:bookmarkStart w:id="707" w:name="_Toc32488"/>
      <w:bookmarkStart w:id="708" w:name="_Toc4959"/>
      <w:bookmarkStart w:id="709" w:name="_Toc29905"/>
      <w:bookmarkStart w:id="710" w:name="_Toc30573"/>
      <w:bookmarkStart w:id="711" w:name="_Toc4701"/>
      <w:bookmarkStart w:id="712" w:name="_Toc16568"/>
      <w:bookmarkStart w:id="713" w:name="_Toc9428"/>
      <w:bookmarkStart w:id="714" w:name="_Toc14603"/>
      <w:bookmarkStart w:id="715" w:name="_Toc19321"/>
      <w:bookmarkStart w:id="716" w:name="_Toc16287"/>
      <w:bookmarkStart w:id="717" w:name="_Toc18267"/>
      <w:bookmarkStart w:id="718" w:name="_Toc515647819"/>
      <w:bookmarkStart w:id="719" w:name="_Toc216582816"/>
      <w:bookmarkStart w:id="720" w:name="_Toc32398"/>
      <w:bookmarkStart w:id="721" w:name="_Toc14037"/>
      <w:r>
        <w:rPr>
          <w:rFonts w:hint="eastAsia" w:ascii="仿宋" w:hAnsi="仿宋" w:eastAsia="仿宋" w:cs="仿宋"/>
          <w:color w:val="auto"/>
          <w:highlight w:val="none"/>
          <w:u w:val="none"/>
          <w:lang w:val="en-US" w:eastAsia="zh-CN"/>
        </w:rPr>
        <w:t>2</w:t>
      </w:r>
      <w:r>
        <w:rPr>
          <w:rFonts w:hint="eastAsia" w:ascii="仿宋" w:hAnsi="仿宋" w:eastAsia="仿宋" w:cs="仿宋"/>
          <w:color w:val="auto"/>
          <w:highlight w:val="none"/>
          <w:u w:val="none"/>
          <w:lang w:eastAsia="zh-CN"/>
        </w:rPr>
        <w:t xml:space="preserve">  开标一览表</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5D77F840">
      <w:pPr>
        <w:tabs>
          <w:tab w:val="left" w:pos="1800"/>
          <w:tab w:val="left" w:pos="5580"/>
        </w:tabs>
        <w:spacing w:line="360" w:lineRule="auto"/>
        <w:ind w:right="-867" w:rightChars="-413"/>
        <w:rPr>
          <w:rFonts w:hint="eastAsia" w:ascii="仿宋" w:hAnsi="仿宋" w:eastAsia="仿宋" w:cs="仿宋"/>
          <w:sz w:val="24"/>
          <w:highlight w:val="none"/>
        </w:rPr>
      </w:pPr>
    </w:p>
    <w:p w14:paraId="1766F44E">
      <w:pPr>
        <w:tabs>
          <w:tab w:val="left" w:pos="1800"/>
          <w:tab w:val="left" w:pos="5580"/>
        </w:tabs>
        <w:spacing w:line="360" w:lineRule="auto"/>
        <w:ind w:right="-867" w:rightChars="-413"/>
        <w:rPr>
          <w:rFonts w:hint="eastAsia" w:ascii="仿宋" w:hAnsi="仿宋" w:eastAsia="仿宋" w:cs="仿宋"/>
          <w:sz w:val="24"/>
          <w:highlight w:val="none"/>
        </w:rPr>
      </w:pPr>
      <w:r>
        <w:rPr>
          <w:rFonts w:hint="eastAsia" w:ascii="仿宋" w:hAnsi="仿宋" w:eastAsia="仿宋" w:cs="仿宋"/>
          <w:sz w:val="24"/>
          <w:highlight w:val="none"/>
        </w:rPr>
        <w:t>项目名称：                招标编号：                报价单位：人民币</w:t>
      </w:r>
      <w:r>
        <w:rPr>
          <w:rFonts w:hint="eastAsia" w:ascii="仿宋" w:hAnsi="仿宋" w:eastAsia="仿宋" w:cs="仿宋"/>
          <w:b/>
          <w:sz w:val="24"/>
          <w:highlight w:val="none"/>
        </w:rPr>
        <w:t>元</w:t>
      </w:r>
    </w:p>
    <w:tbl>
      <w:tblPr>
        <w:tblStyle w:val="23"/>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0"/>
        <w:gridCol w:w="1882"/>
        <w:gridCol w:w="1792"/>
        <w:gridCol w:w="1453"/>
        <w:gridCol w:w="1269"/>
        <w:gridCol w:w="1274"/>
      </w:tblGrid>
      <w:tr w14:paraId="1570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420" w:type="dxa"/>
            <w:noWrap w:val="0"/>
            <w:vAlign w:val="center"/>
          </w:tcPr>
          <w:p w14:paraId="5725098A">
            <w:pPr>
              <w:keepNext w:val="0"/>
              <w:keepLines w:val="0"/>
              <w:suppressLineNumbers w:val="0"/>
              <w:tabs>
                <w:tab w:val="left" w:pos="5580"/>
              </w:tabs>
              <w:spacing w:before="0" w:beforeAutospacing="0" w:after="0" w:afterAutospacing="0" w:line="360" w:lineRule="auto"/>
              <w:ind w:left="0" w:right="-199"/>
              <w:jc w:val="center"/>
              <w:rPr>
                <w:rFonts w:hint="eastAsia" w:ascii="仿宋" w:hAnsi="仿宋" w:eastAsia="仿宋" w:cs="仿宋"/>
                <w:sz w:val="24"/>
                <w:highlight w:val="none"/>
              </w:rPr>
            </w:pPr>
            <w:r>
              <w:rPr>
                <w:rFonts w:hint="eastAsia" w:ascii="仿宋" w:hAnsi="仿宋" w:eastAsia="仿宋" w:cs="仿宋"/>
                <w:sz w:val="24"/>
                <w:highlight w:val="none"/>
              </w:rPr>
              <w:t>项目名称</w:t>
            </w:r>
          </w:p>
        </w:tc>
        <w:tc>
          <w:tcPr>
            <w:tcW w:w="1882" w:type="dxa"/>
            <w:noWrap w:val="0"/>
            <w:vAlign w:val="center"/>
          </w:tcPr>
          <w:p w14:paraId="49FFF78D">
            <w:pPr>
              <w:keepNext w:val="0"/>
              <w:keepLines w:val="0"/>
              <w:suppressLineNumbers w:val="0"/>
              <w:tabs>
                <w:tab w:val="left" w:pos="5580"/>
              </w:tabs>
              <w:spacing w:before="0" w:beforeAutospacing="0" w:after="0" w:afterAutospacing="0" w:line="360" w:lineRule="auto"/>
              <w:ind w:left="0" w:right="0"/>
              <w:jc w:val="center"/>
              <w:rPr>
                <w:rFonts w:hint="eastAsia" w:ascii="仿宋" w:hAnsi="仿宋" w:eastAsia="仿宋" w:cs="仿宋"/>
                <w:sz w:val="24"/>
                <w:highlight w:val="none"/>
              </w:rPr>
            </w:pPr>
            <w:r>
              <w:rPr>
                <w:rFonts w:hint="eastAsia" w:ascii="仿宋" w:hAnsi="仿宋" w:eastAsia="仿宋" w:cs="仿宋"/>
                <w:sz w:val="24"/>
                <w:highlight w:val="none"/>
              </w:rPr>
              <w:t>投标总价</w:t>
            </w:r>
          </w:p>
        </w:tc>
        <w:tc>
          <w:tcPr>
            <w:tcW w:w="1792" w:type="dxa"/>
            <w:noWrap w:val="0"/>
            <w:vAlign w:val="center"/>
          </w:tcPr>
          <w:p w14:paraId="5FB19A11">
            <w:pPr>
              <w:keepNext w:val="0"/>
              <w:keepLines w:val="0"/>
              <w:suppressLineNumbers w:val="0"/>
              <w:tabs>
                <w:tab w:val="left" w:pos="5580"/>
              </w:tabs>
              <w:spacing w:before="0" w:beforeAutospacing="0" w:after="0" w:afterAutospacing="0" w:line="360" w:lineRule="auto"/>
              <w:ind w:left="0" w:right="0"/>
              <w:jc w:val="center"/>
              <w:rPr>
                <w:rFonts w:hint="eastAsia" w:ascii="仿宋" w:hAnsi="仿宋" w:eastAsia="仿宋" w:cs="仿宋"/>
                <w:sz w:val="24"/>
                <w:highlight w:val="none"/>
              </w:rPr>
            </w:pPr>
            <w:r>
              <w:rPr>
                <w:rFonts w:hint="eastAsia" w:ascii="仿宋" w:hAnsi="仿宋" w:eastAsia="仿宋" w:cs="仿宋"/>
                <w:sz w:val="24"/>
                <w:highlight w:val="none"/>
              </w:rPr>
              <w:t>投标保证金缴纳方式</w:t>
            </w:r>
          </w:p>
        </w:tc>
        <w:tc>
          <w:tcPr>
            <w:tcW w:w="1453" w:type="dxa"/>
            <w:noWrap w:val="0"/>
            <w:vAlign w:val="center"/>
          </w:tcPr>
          <w:p w14:paraId="0413AE1C">
            <w:pPr>
              <w:keepNext w:val="0"/>
              <w:keepLines w:val="0"/>
              <w:suppressLineNumbers w:val="0"/>
              <w:tabs>
                <w:tab w:val="left" w:pos="5580"/>
              </w:tabs>
              <w:spacing w:before="0" w:beforeAutospacing="0" w:after="0" w:afterAutospacing="0" w:line="360" w:lineRule="auto"/>
              <w:ind w:left="0" w:right="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交货期</w:t>
            </w:r>
          </w:p>
        </w:tc>
        <w:tc>
          <w:tcPr>
            <w:tcW w:w="1269" w:type="dxa"/>
            <w:noWrap w:val="0"/>
            <w:vAlign w:val="center"/>
          </w:tcPr>
          <w:p w14:paraId="5E3044CF">
            <w:pPr>
              <w:keepNext w:val="0"/>
              <w:keepLines w:val="0"/>
              <w:suppressLineNumbers w:val="0"/>
              <w:tabs>
                <w:tab w:val="left" w:pos="5580"/>
              </w:tabs>
              <w:spacing w:before="0" w:beforeAutospacing="0" w:after="0" w:afterAutospacing="0" w:line="360" w:lineRule="auto"/>
              <w:ind w:left="0" w:right="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交货地点</w:t>
            </w:r>
          </w:p>
        </w:tc>
        <w:tc>
          <w:tcPr>
            <w:tcW w:w="1274" w:type="dxa"/>
            <w:noWrap w:val="0"/>
            <w:vAlign w:val="center"/>
          </w:tcPr>
          <w:p w14:paraId="37604C6C">
            <w:pPr>
              <w:keepNext w:val="0"/>
              <w:keepLines w:val="0"/>
              <w:suppressLineNumbers w:val="0"/>
              <w:tabs>
                <w:tab w:val="left" w:pos="5580"/>
              </w:tabs>
              <w:spacing w:before="0" w:beforeAutospacing="0" w:after="0" w:afterAutospacing="0" w:line="360" w:lineRule="auto"/>
              <w:ind w:left="0" w:right="0"/>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14:paraId="7228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jc w:val="center"/>
        </w:trPr>
        <w:tc>
          <w:tcPr>
            <w:tcW w:w="1420" w:type="dxa"/>
            <w:noWrap w:val="0"/>
            <w:vAlign w:val="center"/>
          </w:tcPr>
          <w:p w14:paraId="140AA3CC">
            <w:pPr>
              <w:keepNext w:val="0"/>
              <w:keepLines w:val="0"/>
              <w:suppressLineNumbers w:val="0"/>
              <w:tabs>
                <w:tab w:val="left" w:pos="5580"/>
              </w:tabs>
              <w:spacing w:before="0" w:beforeAutospacing="0" w:after="0" w:afterAutospacing="0" w:line="360" w:lineRule="auto"/>
              <w:ind w:left="1080" w:leftChars="257" w:right="0" w:hanging="540"/>
              <w:jc w:val="center"/>
              <w:rPr>
                <w:rFonts w:hint="eastAsia" w:ascii="仿宋" w:hAnsi="仿宋" w:eastAsia="仿宋" w:cs="仿宋"/>
                <w:sz w:val="24"/>
                <w:highlight w:val="none"/>
              </w:rPr>
            </w:pPr>
          </w:p>
        </w:tc>
        <w:tc>
          <w:tcPr>
            <w:tcW w:w="1882" w:type="dxa"/>
            <w:noWrap w:val="0"/>
            <w:vAlign w:val="center"/>
          </w:tcPr>
          <w:p w14:paraId="2B15E3B8">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rPr>
              <w:t>大写：</w:t>
            </w:r>
          </w:p>
          <w:p w14:paraId="0D9C190E">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rPr>
              <w:t>小写：</w:t>
            </w:r>
          </w:p>
        </w:tc>
        <w:tc>
          <w:tcPr>
            <w:tcW w:w="1792" w:type="dxa"/>
            <w:noWrap w:val="0"/>
            <w:vAlign w:val="center"/>
          </w:tcPr>
          <w:p w14:paraId="78EB99FF">
            <w:pPr>
              <w:keepNext w:val="0"/>
              <w:keepLines w:val="0"/>
              <w:suppressLineNumbers w:val="0"/>
              <w:tabs>
                <w:tab w:val="left" w:pos="5580"/>
              </w:tabs>
              <w:spacing w:before="0" w:beforeAutospacing="0" w:after="0" w:afterAutospacing="0" w:line="360" w:lineRule="auto"/>
              <w:ind w:left="1080" w:leftChars="257" w:right="0" w:hanging="540"/>
              <w:jc w:val="center"/>
              <w:rPr>
                <w:rFonts w:hint="eastAsia" w:ascii="仿宋" w:hAnsi="仿宋" w:eastAsia="仿宋" w:cs="仿宋"/>
                <w:sz w:val="24"/>
                <w:highlight w:val="none"/>
              </w:rPr>
            </w:pPr>
          </w:p>
        </w:tc>
        <w:tc>
          <w:tcPr>
            <w:tcW w:w="1453" w:type="dxa"/>
            <w:noWrap w:val="0"/>
            <w:vAlign w:val="center"/>
          </w:tcPr>
          <w:p w14:paraId="14A0BBCF">
            <w:pPr>
              <w:keepNext w:val="0"/>
              <w:keepLines w:val="0"/>
              <w:suppressLineNumbers w:val="0"/>
              <w:tabs>
                <w:tab w:val="left" w:pos="5580"/>
              </w:tabs>
              <w:spacing w:before="0" w:beforeAutospacing="0" w:after="0" w:afterAutospacing="0" w:line="360" w:lineRule="auto"/>
              <w:ind w:left="1080" w:leftChars="257" w:right="0" w:hanging="540"/>
              <w:jc w:val="center"/>
              <w:rPr>
                <w:rFonts w:hint="eastAsia" w:ascii="仿宋" w:hAnsi="仿宋" w:eastAsia="仿宋" w:cs="仿宋"/>
                <w:sz w:val="24"/>
                <w:highlight w:val="none"/>
              </w:rPr>
            </w:pPr>
          </w:p>
        </w:tc>
        <w:tc>
          <w:tcPr>
            <w:tcW w:w="1269" w:type="dxa"/>
            <w:noWrap w:val="0"/>
            <w:vAlign w:val="center"/>
          </w:tcPr>
          <w:p w14:paraId="6E7DE114">
            <w:pPr>
              <w:keepNext w:val="0"/>
              <w:keepLines w:val="0"/>
              <w:suppressLineNumbers w:val="0"/>
              <w:tabs>
                <w:tab w:val="left" w:pos="5580"/>
              </w:tabs>
              <w:spacing w:before="0" w:beforeAutospacing="0" w:after="0" w:afterAutospacing="0" w:line="360" w:lineRule="auto"/>
              <w:ind w:left="1080" w:leftChars="257" w:right="0" w:hanging="540"/>
              <w:jc w:val="center"/>
              <w:rPr>
                <w:rFonts w:hint="eastAsia" w:ascii="仿宋" w:hAnsi="仿宋" w:eastAsia="仿宋" w:cs="仿宋"/>
                <w:sz w:val="24"/>
                <w:highlight w:val="none"/>
              </w:rPr>
            </w:pPr>
          </w:p>
        </w:tc>
        <w:tc>
          <w:tcPr>
            <w:tcW w:w="1274" w:type="dxa"/>
            <w:noWrap w:val="0"/>
            <w:vAlign w:val="center"/>
          </w:tcPr>
          <w:p w14:paraId="4B1B0C2F">
            <w:pPr>
              <w:keepNext w:val="0"/>
              <w:keepLines w:val="0"/>
              <w:suppressLineNumbers w:val="0"/>
              <w:tabs>
                <w:tab w:val="left" w:pos="5580"/>
              </w:tabs>
              <w:spacing w:before="0" w:beforeAutospacing="0" w:after="0" w:afterAutospacing="0" w:line="360" w:lineRule="auto"/>
              <w:ind w:left="1080" w:leftChars="257" w:right="0" w:hanging="540"/>
              <w:jc w:val="center"/>
              <w:rPr>
                <w:rFonts w:hint="eastAsia" w:ascii="仿宋" w:hAnsi="仿宋" w:eastAsia="仿宋" w:cs="仿宋"/>
                <w:sz w:val="24"/>
                <w:highlight w:val="none"/>
              </w:rPr>
            </w:pPr>
          </w:p>
        </w:tc>
      </w:tr>
    </w:tbl>
    <w:p w14:paraId="3F8F16F7">
      <w:pPr>
        <w:pStyle w:val="12"/>
        <w:tabs>
          <w:tab w:val="left" w:pos="5580"/>
        </w:tabs>
        <w:spacing w:line="360" w:lineRule="auto"/>
        <w:ind w:left="1080" w:leftChars="257" w:hanging="540"/>
        <w:rPr>
          <w:rFonts w:hint="eastAsia" w:ascii="仿宋" w:hAnsi="仿宋" w:eastAsia="仿宋" w:cs="仿宋"/>
          <w:sz w:val="24"/>
          <w:highlight w:val="none"/>
        </w:rPr>
      </w:pPr>
    </w:p>
    <w:p w14:paraId="4B280F37">
      <w:pPr>
        <w:pStyle w:val="12"/>
        <w:tabs>
          <w:tab w:val="left" w:pos="5580"/>
        </w:tabs>
        <w:spacing w:line="360" w:lineRule="auto"/>
        <w:rPr>
          <w:rFonts w:hint="eastAsia" w:ascii="仿宋" w:hAnsi="仿宋" w:eastAsia="仿宋" w:cs="仿宋"/>
          <w:sz w:val="24"/>
          <w:highlight w:val="none"/>
          <w:u w:val="single"/>
        </w:rPr>
      </w:pPr>
    </w:p>
    <w:p w14:paraId="44098E4B">
      <w:pPr>
        <w:pStyle w:val="12"/>
        <w:tabs>
          <w:tab w:val="left" w:pos="5580"/>
        </w:tabs>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投标人名称（单位章）：</w:t>
      </w:r>
      <w:r>
        <w:rPr>
          <w:rFonts w:hint="eastAsia" w:ascii="仿宋" w:hAnsi="仿宋" w:eastAsia="仿宋" w:cs="仿宋"/>
          <w:sz w:val="24"/>
          <w:highlight w:val="none"/>
          <w:u w:val="single"/>
        </w:rPr>
        <w:t xml:space="preserve">                       </w:t>
      </w:r>
    </w:p>
    <w:p w14:paraId="54200B05">
      <w:pPr>
        <w:pStyle w:val="12"/>
        <w:tabs>
          <w:tab w:val="left" w:pos="5580"/>
        </w:tabs>
        <w:spacing w:line="360" w:lineRule="auto"/>
        <w:ind w:left="1080" w:leftChars="257" w:hanging="54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法定代表人或其委托代理人(签字</w:t>
      </w:r>
      <w:r>
        <w:rPr>
          <w:rFonts w:hint="eastAsia" w:ascii="仿宋" w:hAnsi="仿宋" w:eastAsia="仿宋" w:cs="仿宋"/>
          <w:sz w:val="24"/>
          <w:highlight w:val="none"/>
          <w:lang w:val="en-US" w:eastAsia="zh-CN"/>
        </w:rPr>
        <w:t>或签章</w:t>
      </w:r>
      <w:r>
        <w:rPr>
          <w:rFonts w:hint="eastAsia" w:ascii="仿宋" w:hAnsi="仿宋" w:eastAsia="仿宋" w:cs="仿宋"/>
          <w:sz w:val="24"/>
          <w:highlight w:val="none"/>
        </w:rPr>
        <w:t>):</w:t>
      </w:r>
      <w:r>
        <w:rPr>
          <w:rFonts w:hint="eastAsia" w:ascii="仿宋" w:hAnsi="仿宋" w:eastAsia="仿宋" w:cs="仿宋"/>
          <w:sz w:val="24"/>
          <w:highlight w:val="none"/>
          <w:u w:val="single"/>
        </w:rPr>
        <w:tab/>
      </w:r>
      <w:r>
        <w:rPr>
          <w:rFonts w:hint="eastAsia" w:ascii="仿宋" w:hAnsi="仿宋" w:eastAsia="仿宋" w:cs="仿宋"/>
          <w:sz w:val="24"/>
          <w:highlight w:val="none"/>
          <w:u w:val="single"/>
          <w:lang w:val="en-US" w:eastAsia="zh-CN"/>
        </w:rPr>
        <w:t xml:space="preserve">   </w:t>
      </w:r>
    </w:p>
    <w:p w14:paraId="4C46850B">
      <w:pPr>
        <w:pStyle w:val="12"/>
        <w:tabs>
          <w:tab w:val="left" w:pos="5580"/>
        </w:tabs>
        <w:spacing w:line="360" w:lineRule="auto"/>
        <w:rPr>
          <w:rFonts w:hint="eastAsia" w:ascii="仿宋" w:hAnsi="仿宋" w:eastAsia="仿宋" w:cs="仿宋"/>
          <w:b/>
          <w:highlight w:val="none"/>
        </w:rPr>
      </w:pPr>
    </w:p>
    <w:p w14:paraId="300AD4F4">
      <w:pPr>
        <w:pStyle w:val="12"/>
        <w:tabs>
          <w:tab w:val="left" w:pos="5580"/>
        </w:tabs>
        <w:spacing w:line="360" w:lineRule="auto"/>
        <w:rPr>
          <w:rFonts w:hint="eastAsia" w:ascii="仿宋" w:hAnsi="仿宋" w:eastAsia="仿宋" w:cs="仿宋"/>
          <w:sz w:val="24"/>
          <w:highlight w:val="none"/>
          <w:u w:val="single"/>
        </w:rPr>
      </w:pPr>
    </w:p>
    <w:p w14:paraId="440188C2">
      <w:pPr>
        <w:pStyle w:val="12"/>
        <w:tabs>
          <w:tab w:val="left" w:pos="5580"/>
        </w:tabs>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注:</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1、此表应按投标人须知的规定</w:t>
      </w:r>
      <w:r>
        <w:rPr>
          <w:rFonts w:hint="eastAsia" w:ascii="仿宋" w:hAnsi="仿宋" w:eastAsia="仿宋" w:cs="仿宋"/>
          <w:sz w:val="24"/>
          <w:highlight w:val="none"/>
          <w:lang w:val="en-US" w:eastAsia="zh-CN"/>
        </w:rPr>
        <w:t>上传</w:t>
      </w:r>
      <w:r>
        <w:rPr>
          <w:rFonts w:hint="eastAsia" w:ascii="仿宋" w:hAnsi="仿宋" w:eastAsia="仿宋" w:cs="仿宋"/>
          <w:sz w:val="24"/>
          <w:highlight w:val="none"/>
        </w:rPr>
        <w:t>。</w:t>
      </w:r>
    </w:p>
    <w:p w14:paraId="39DAF513">
      <w:pPr>
        <w:pStyle w:val="12"/>
        <w:numPr>
          <w:ilvl w:val="0"/>
          <w:numId w:val="5"/>
        </w:numPr>
        <w:tabs>
          <w:tab w:val="left" w:pos="5580"/>
        </w:tabs>
        <w:spacing w:line="360" w:lineRule="auto"/>
        <w:ind w:left="1079" w:leftChars="428" w:hanging="180" w:hangingChars="75"/>
        <w:rPr>
          <w:rFonts w:hint="eastAsia" w:ascii="仿宋" w:hAnsi="仿宋" w:eastAsia="仿宋" w:cs="仿宋"/>
          <w:sz w:val="24"/>
          <w:highlight w:val="none"/>
        </w:rPr>
      </w:pPr>
      <w:r>
        <w:rPr>
          <w:rFonts w:hint="eastAsia" w:ascii="仿宋" w:hAnsi="仿宋" w:eastAsia="仿宋" w:cs="仿宋"/>
          <w:sz w:val="24"/>
          <w:highlight w:val="none"/>
        </w:rPr>
        <w:t>此表中，投标总价应和投标分项报价表的总价相一致。</w:t>
      </w:r>
    </w:p>
    <w:p w14:paraId="6BA47FB1">
      <w:pPr>
        <w:pStyle w:val="12"/>
        <w:numPr>
          <w:ilvl w:val="0"/>
          <w:numId w:val="0"/>
        </w:numPr>
        <w:tabs>
          <w:tab w:val="left" w:pos="5580"/>
        </w:tabs>
        <w:kinsoku w:val="0"/>
        <w:autoSpaceDE w:val="0"/>
        <w:autoSpaceDN w:val="0"/>
        <w:adjustRightInd w:val="0"/>
        <w:snapToGrid w:val="0"/>
        <w:spacing w:line="360" w:lineRule="auto"/>
        <w:textAlignment w:val="baseline"/>
        <w:rPr>
          <w:rFonts w:hint="eastAsia" w:ascii="仿宋" w:hAnsi="仿宋" w:eastAsia="仿宋" w:cs="仿宋"/>
          <w:sz w:val="24"/>
          <w:highlight w:val="none"/>
        </w:rPr>
      </w:pPr>
    </w:p>
    <w:p w14:paraId="0620353D">
      <w:pPr>
        <w:pStyle w:val="12"/>
        <w:numPr>
          <w:ilvl w:val="0"/>
          <w:numId w:val="0"/>
        </w:numPr>
        <w:tabs>
          <w:tab w:val="left" w:pos="5580"/>
        </w:tabs>
        <w:kinsoku w:val="0"/>
        <w:autoSpaceDE w:val="0"/>
        <w:autoSpaceDN w:val="0"/>
        <w:adjustRightInd w:val="0"/>
        <w:snapToGrid w:val="0"/>
        <w:spacing w:line="360" w:lineRule="auto"/>
        <w:textAlignment w:val="baseline"/>
        <w:rPr>
          <w:rFonts w:hint="eastAsia" w:ascii="仿宋" w:hAnsi="仿宋" w:eastAsia="仿宋" w:cs="仿宋"/>
          <w:sz w:val="24"/>
          <w:highlight w:val="none"/>
        </w:rPr>
      </w:pPr>
    </w:p>
    <w:p w14:paraId="1B9EBD6F">
      <w:pPr>
        <w:pStyle w:val="12"/>
        <w:numPr>
          <w:ilvl w:val="0"/>
          <w:numId w:val="0"/>
        </w:numPr>
        <w:tabs>
          <w:tab w:val="left" w:pos="5580"/>
        </w:tabs>
        <w:kinsoku w:val="0"/>
        <w:autoSpaceDE w:val="0"/>
        <w:autoSpaceDN w:val="0"/>
        <w:adjustRightInd w:val="0"/>
        <w:snapToGrid w:val="0"/>
        <w:spacing w:line="360" w:lineRule="auto"/>
        <w:textAlignment w:val="baseline"/>
        <w:rPr>
          <w:rFonts w:hint="eastAsia" w:ascii="仿宋" w:hAnsi="仿宋" w:eastAsia="仿宋" w:cs="仿宋"/>
          <w:sz w:val="24"/>
          <w:highlight w:val="none"/>
        </w:rPr>
      </w:pPr>
    </w:p>
    <w:p w14:paraId="75A11E67">
      <w:pPr>
        <w:pStyle w:val="12"/>
        <w:numPr>
          <w:ilvl w:val="0"/>
          <w:numId w:val="0"/>
        </w:numPr>
        <w:tabs>
          <w:tab w:val="left" w:pos="5580"/>
        </w:tabs>
        <w:kinsoku w:val="0"/>
        <w:autoSpaceDE w:val="0"/>
        <w:autoSpaceDN w:val="0"/>
        <w:adjustRightInd w:val="0"/>
        <w:snapToGrid w:val="0"/>
        <w:spacing w:line="360" w:lineRule="auto"/>
        <w:textAlignment w:val="baseline"/>
        <w:rPr>
          <w:rFonts w:hint="eastAsia" w:ascii="仿宋" w:hAnsi="仿宋" w:eastAsia="仿宋" w:cs="仿宋"/>
          <w:sz w:val="24"/>
          <w:highlight w:val="none"/>
        </w:rPr>
      </w:pPr>
    </w:p>
    <w:p w14:paraId="54071928">
      <w:pPr>
        <w:pStyle w:val="12"/>
        <w:numPr>
          <w:ilvl w:val="0"/>
          <w:numId w:val="0"/>
        </w:numPr>
        <w:tabs>
          <w:tab w:val="left" w:pos="5580"/>
        </w:tabs>
        <w:kinsoku w:val="0"/>
        <w:autoSpaceDE w:val="0"/>
        <w:autoSpaceDN w:val="0"/>
        <w:adjustRightInd w:val="0"/>
        <w:snapToGrid w:val="0"/>
        <w:spacing w:line="360" w:lineRule="auto"/>
        <w:textAlignment w:val="baseline"/>
        <w:rPr>
          <w:rFonts w:hint="eastAsia" w:ascii="仿宋" w:hAnsi="仿宋" w:eastAsia="仿宋" w:cs="仿宋"/>
          <w:sz w:val="24"/>
          <w:highlight w:val="none"/>
        </w:rPr>
      </w:pPr>
    </w:p>
    <w:p w14:paraId="4BC172D2">
      <w:pPr>
        <w:pStyle w:val="12"/>
        <w:numPr>
          <w:ilvl w:val="0"/>
          <w:numId w:val="0"/>
        </w:numPr>
        <w:tabs>
          <w:tab w:val="left" w:pos="5580"/>
        </w:tabs>
        <w:kinsoku w:val="0"/>
        <w:autoSpaceDE w:val="0"/>
        <w:autoSpaceDN w:val="0"/>
        <w:adjustRightInd w:val="0"/>
        <w:snapToGrid w:val="0"/>
        <w:spacing w:line="360" w:lineRule="auto"/>
        <w:textAlignment w:val="baseline"/>
        <w:rPr>
          <w:rFonts w:hint="eastAsia" w:ascii="仿宋" w:hAnsi="仿宋" w:eastAsia="仿宋" w:cs="仿宋"/>
          <w:sz w:val="24"/>
          <w:highlight w:val="none"/>
        </w:rPr>
      </w:pPr>
    </w:p>
    <w:p w14:paraId="6C05110E">
      <w:pPr>
        <w:pStyle w:val="12"/>
        <w:numPr>
          <w:ilvl w:val="0"/>
          <w:numId w:val="0"/>
        </w:numPr>
        <w:tabs>
          <w:tab w:val="left" w:pos="5580"/>
        </w:tabs>
        <w:kinsoku w:val="0"/>
        <w:autoSpaceDE w:val="0"/>
        <w:autoSpaceDN w:val="0"/>
        <w:adjustRightInd w:val="0"/>
        <w:snapToGrid w:val="0"/>
        <w:spacing w:line="360" w:lineRule="auto"/>
        <w:textAlignment w:val="baseline"/>
        <w:rPr>
          <w:rFonts w:hint="eastAsia" w:ascii="仿宋" w:hAnsi="仿宋" w:eastAsia="仿宋" w:cs="仿宋"/>
          <w:sz w:val="24"/>
          <w:highlight w:val="none"/>
        </w:rPr>
      </w:pPr>
    </w:p>
    <w:p w14:paraId="5FA7F2EE">
      <w:pPr>
        <w:pStyle w:val="12"/>
        <w:numPr>
          <w:ilvl w:val="0"/>
          <w:numId w:val="0"/>
        </w:numPr>
        <w:tabs>
          <w:tab w:val="left" w:pos="5580"/>
        </w:tabs>
        <w:kinsoku w:val="0"/>
        <w:autoSpaceDE w:val="0"/>
        <w:autoSpaceDN w:val="0"/>
        <w:adjustRightInd w:val="0"/>
        <w:snapToGrid w:val="0"/>
        <w:spacing w:line="360" w:lineRule="auto"/>
        <w:textAlignment w:val="baseline"/>
        <w:rPr>
          <w:rFonts w:hint="eastAsia" w:ascii="仿宋" w:hAnsi="仿宋" w:eastAsia="仿宋" w:cs="仿宋"/>
          <w:sz w:val="24"/>
          <w:highlight w:val="none"/>
        </w:rPr>
      </w:pPr>
    </w:p>
    <w:p w14:paraId="681EE103">
      <w:pPr>
        <w:pStyle w:val="12"/>
        <w:numPr>
          <w:ilvl w:val="0"/>
          <w:numId w:val="0"/>
        </w:numPr>
        <w:tabs>
          <w:tab w:val="left" w:pos="5580"/>
        </w:tabs>
        <w:kinsoku w:val="0"/>
        <w:autoSpaceDE w:val="0"/>
        <w:autoSpaceDN w:val="0"/>
        <w:adjustRightInd w:val="0"/>
        <w:snapToGrid w:val="0"/>
        <w:spacing w:line="360" w:lineRule="auto"/>
        <w:textAlignment w:val="baseline"/>
        <w:rPr>
          <w:rFonts w:hint="eastAsia" w:ascii="仿宋" w:hAnsi="仿宋" w:eastAsia="仿宋" w:cs="仿宋"/>
          <w:sz w:val="24"/>
          <w:highlight w:val="none"/>
        </w:rPr>
      </w:pPr>
    </w:p>
    <w:p w14:paraId="0E917D53">
      <w:pPr>
        <w:pStyle w:val="12"/>
        <w:numPr>
          <w:ilvl w:val="0"/>
          <w:numId w:val="0"/>
        </w:numPr>
        <w:tabs>
          <w:tab w:val="left" w:pos="5580"/>
        </w:tabs>
        <w:kinsoku w:val="0"/>
        <w:autoSpaceDE w:val="0"/>
        <w:autoSpaceDN w:val="0"/>
        <w:adjustRightInd w:val="0"/>
        <w:snapToGrid w:val="0"/>
        <w:spacing w:line="360" w:lineRule="auto"/>
        <w:textAlignment w:val="baseline"/>
        <w:rPr>
          <w:rFonts w:hint="eastAsia" w:ascii="仿宋" w:hAnsi="仿宋" w:eastAsia="仿宋" w:cs="仿宋"/>
          <w:sz w:val="24"/>
          <w:highlight w:val="none"/>
        </w:rPr>
      </w:pPr>
    </w:p>
    <w:p w14:paraId="778AD3C4">
      <w:pPr>
        <w:pStyle w:val="12"/>
        <w:numPr>
          <w:ilvl w:val="0"/>
          <w:numId w:val="0"/>
        </w:numPr>
        <w:tabs>
          <w:tab w:val="left" w:pos="5580"/>
        </w:tabs>
        <w:kinsoku w:val="0"/>
        <w:autoSpaceDE w:val="0"/>
        <w:autoSpaceDN w:val="0"/>
        <w:adjustRightInd w:val="0"/>
        <w:snapToGrid w:val="0"/>
        <w:spacing w:line="360" w:lineRule="auto"/>
        <w:textAlignment w:val="baseline"/>
        <w:rPr>
          <w:rFonts w:hint="eastAsia" w:ascii="仿宋" w:hAnsi="仿宋" w:eastAsia="仿宋" w:cs="仿宋"/>
          <w:sz w:val="24"/>
          <w:highlight w:val="none"/>
        </w:rPr>
      </w:pPr>
    </w:p>
    <w:p w14:paraId="60B43D2D">
      <w:pPr>
        <w:pStyle w:val="4"/>
        <w:spacing w:before="0" w:after="0" w:line="288" w:lineRule="auto"/>
        <w:jc w:val="both"/>
        <w:rPr>
          <w:rFonts w:hint="eastAsia" w:ascii="仿宋" w:hAnsi="仿宋" w:eastAsia="仿宋" w:cs="仿宋"/>
          <w:color w:val="auto"/>
          <w:highlight w:val="none"/>
          <w:u w:val="none"/>
          <w:lang w:eastAsia="zh-CN"/>
        </w:rPr>
      </w:pPr>
    </w:p>
    <w:p w14:paraId="0D736DFD">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p>
    <w:bookmarkEnd w:id="715"/>
    <w:bookmarkEnd w:id="716"/>
    <w:p w14:paraId="21AF7C8F">
      <w:pPr>
        <w:pStyle w:val="12"/>
        <w:spacing w:line="240" w:lineRule="atLeast"/>
        <w:ind w:left="1080" w:leftChars="257" w:hanging="540"/>
        <w:rPr>
          <w:rFonts w:hint="eastAsia" w:ascii="仿宋" w:hAnsi="仿宋" w:eastAsia="仿宋" w:cs="仿宋"/>
          <w:color w:val="auto"/>
          <w:sz w:val="24"/>
          <w:highlight w:val="none"/>
          <w:lang w:eastAsia="zh-CN"/>
        </w:rPr>
      </w:pPr>
    </w:p>
    <w:p w14:paraId="091A5F14">
      <w:pPr>
        <w:pStyle w:val="12"/>
        <w:spacing w:line="240" w:lineRule="atLeast"/>
        <w:ind w:left="79" w:leftChars="-27" w:hanging="136" w:hangingChars="57"/>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w:t>
      </w:r>
    </w:p>
    <w:p w14:paraId="0B65D16A">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bookmarkStart w:id="722" w:name="_Toc17435"/>
      <w:bookmarkStart w:id="723" w:name="_Toc5531"/>
      <w:r>
        <w:rPr>
          <w:rFonts w:hint="eastAsia" w:ascii="仿宋" w:hAnsi="仿宋" w:eastAsia="仿宋" w:cs="仿宋"/>
          <w:color w:val="auto"/>
          <w:highlight w:val="none"/>
          <w:u w:val="none"/>
          <w:lang w:val="en-US" w:eastAsia="zh-CN"/>
        </w:rPr>
        <w:t>3</w:t>
      </w:r>
      <w:r>
        <w:rPr>
          <w:rFonts w:hint="eastAsia" w:ascii="仿宋" w:hAnsi="仿宋" w:eastAsia="仿宋" w:cs="仿宋"/>
          <w:color w:val="auto"/>
          <w:highlight w:val="none"/>
          <w:u w:val="none"/>
          <w:lang w:eastAsia="zh-CN"/>
        </w:rPr>
        <w:t xml:space="preserve">  投标分项报价表</w:t>
      </w:r>
      <w:bookmarkEnd w:id="722"/>
      <w:bookmarkEnd w:id="723"/>
    </w:p>
    <w:p w14:paraId="336359FA">
      <w:pPr>
        <w:rPr>
          <w:rFonts w:hint="eastAsia" w:ascii="仿宋" w:hAnsi="仿宋" w:eastAsia="仿宋" w:cs="仿宋"/>
          <w:highlight w:val="none"/>
          <w:lang w:eastAsia="zh-CN"/>
        </w:rPr>
      </w:pPr>
      <w:r>
        <w:rPr>
          <w:rFonts w:hint="eastAsia" w:ascii="仿宋" w:hAnsi="仿宋" w:eastAsia="仿宋" w:cs="仿宋"/>
          <w:color w:val="auto"/>
          <w:sz w:val="24"/>
          <w:highlight w:val="none"/>
          <w:lang w:eastAsia="zh-CN"/>
        </w:rPr>
        <w:t xml:space="preserve">项目名称:                                        招标编号:    </w:t>
      </w:r>
    </w:p>
    <w:p w14:paraId="247B8779">
      <w:pPr>
        <w:pStyle w:val="12"/>
        <w:spacing w:line="240" w:lineRule="atLeast"/>
        <w:ind w:left="79" w:leftChars="-27" w:hanging="136" w:hangingChars="57"/>
        <w:rPr>
          <w:rFonts w:hint="eastAsia" w:ascii="仿宋" w:hAnsi="仿宋" w:eastAsia="仿宋" w:cs="仿宋"/>
          <w:color w:val="auto"/>
          <w:sz w:val="24"/>
          <w:highlight w:val="none"/>
          <w:lang w:eastAsia="zh-CN"/>
        </w:rPr>
      </w:pPr>
    </w:p>
    <w:p w14:paraId="16445BE0">
      <w:pPr>
        <w:pStyle w:val="12"/>
        <w:spacing w:line="240" w:lineRule="atLeast"/>
        <w:ind w:left="79" w:leftChars="-27" w:hanging="136" w:hangingChars="57"/>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标    段: 　 　                                  报价单位：人民币元</w:t>
      </w:r>
    </w:p>
    <w:p w14:paraId="5C995DE9">
      <w:pPr>
        <w:pStyle w:val="12"/>
        <w:spacing w:line="240" w:lineRule="atLeast"/>
        <w:ind w:left="1080" w:leftChars="257" w:hanging="540"/>
        <w:rPr>
          <w:rFonts w:hint="eastAsia" w:ascii="仿宋" w:hAnsi="仿宋" w:eastAsia="仿宋" w:cs="仿宋"/>
          <w:color w:val="auto"/>
          <w:sz w:val="24"/>
          <w:highlight w:val="none"/>
          <w:lang w:eastAsia="zh-CN"/>
        </w:rPr>
      </w:pPr>
    </w:p>
    <w:tbl>
      <w:tblPr>
        <w:tblStyle w:val="23"/>
        <w:tblW w:w="10448" w:type="dxa"/>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515"/>
        <w:gridCol w:w="1290"/>
        <w:gridCol w:w="1185"/>
        <w:gridCol w:w="1005"/>
        <w:gridCol w:w="859"/>
        <w:gridCol w:w="1422"/>
        <w:gridCol w:w="922"/>
        <w:gridCol w:w="967"/>
        <w:gridCol w:w="653"/>
      </w:tblGrid>
      <w:tr w14:paraId="3D97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630" w:type="dxa"/>
            <w:noWrap/>
            <w:vAlign w:val="center"/>
          </w:tcPr>
          <w:p w14:paraId="4976546B">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515" w:type="dxa"/>
            <w:noWrap/>
            <w:vAlign w:val="center"/>
          </w:tcPr>
          <w:p w14:paraId="0426DD03">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货物名称</w:t>
            </w:r>
          </w:p>
        </w:tc>
        <w:tc>
          <w:tcPr>
            <w:tcW w:w="1290" w:type="dxa"/>
            <w:noWrap/>
            <w:vAlign w:val="center"/>
          </w:tcPr>
          <w:p w14:paraId="4736B889">
            <w:pPr>
              <w:pStyle w:val="12"/>
              <w:spacing w:line="240" w:lineRule="atLeast"/>
              <w:jc w:val="center"/>
              <w:rPr>
                <w:rFonts w:hint="eastAsia" w:ascii="仿宋" w:hAnsi="仿宋" w:eastAsia="仿宋" w:cs="仿宋"/>
                <w:color w:val="auto"/>
                <w:sz w:val="24"/>
                <w:highlight w:val="none"/>
              </w:rPr>
            </w:pPr>
          </w:p>
          <w:p w14:paraId="6CB0106F">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品牌型号</w:t>
            </w:r>
          </w:p>
          <w:p w14:paraId="19347A10">
            <w:pPr>
              <w:pStyle w:val="12"/>
              <w:spacing w:line="240" w:lineRule="atLeast"/>
              <w:jc w:val="center"/>
              <w:rPr>
                <w:rFonts w:hint="eastAsia" w:ascii="仿宋" w:hAnsi="仿宋" w:eastAsia="仿宋" w:cs="仿宋"/>
                <w:color w:val="auto"/>
                <w:sz w:val="24"/>
                <w:highlight w:val="none"/>
              </w:rPr>
            </w:pPr>
          </w:p>
        </w:tc>
        <w:tc>
          <w:tcPr>
            <w:tcW w:w="1185" w:type="dxa"/>
            <w:noWrap/>
            <w:vAlign w:val="center"/>
          </w:tcPr>
          <w:p w14:paraId="7F00AD22">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投标规格</w:t>
            </w:r>
          </w:p>
        </w:tc>
        <w:tc>
          <w:tcPr>
            <w:tcW w:w="1005" w:type="dxa"/>
            <w:noWrap/>
            <w:vAlign w:val="center"/>
          </w:tcPr>
          <w:p w14:paraId="6E9CA24D">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859" w:type="dxa"/>
            <w:noWrap/>
            <w:vAlign w:val="center"/>
          </w:tcPr>
          <w:p w14:paraId="0F04E1FC">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1422" w:type="dxa"/>
            <w:noWrap/>
            <w:vAlign w:val="center"/>
          </w:tcPr>
          <w:p w14:paraId="5EE5E3F7">
            <w:pPr>
              <w:pStyle w:val="12"/>
              <w:spacing w:line="2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制造商名称</w:t>
            </w:r>
          </w:p>
        </w:tc>
        <w:tc>
          <w:tcPr>
            <w:tcW w:w="922" w:type="dxa"/>
            <w:noWrap/>
            <w:vAlign w:val="center"/>
          </w:tcPr>
          <w:p w14:paraId="732343D7">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w:t>
            </w:r>
          </w:p>
        </w:tc>
        <w:tc>
          <w:tcPr>
            <w:tcW w:w="967" w:type="dxa"/>
            <w:noWrap/>
            <w:vAlign w:val="center"/>
          </w:tcPr>
          <w:p w14:paraId="414E5C62">
            <w:pPr>
              <w:pStyle w:val="12"/>
              <w:spacing w:line="240" w:lineRule="atLeas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总价</w:t>
            </w:r>
          </w:p>
        </w:tc>
        <w:tc>
          <w:tcPr>
            <w:tcW w:w="653" w:type="dxa"/>
            <w:noWrap/>
            <w:vAlign w:val="center"/>
          </w:tcPr>
          <w:p w14:paraId="6D2A9F14">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232E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noWrap/>
            <w:vAlign w:val="center"/>
          </w:tcPr>
          <w:p w14:paraId="6679DEC8">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515" w:type="dxa"/>
            <w:noWrap/>
            <w:vAlign w:val="center"/>
          </w:tcPr>
          <w:p w14:paraId="139199EA">
            <w:pPr>
              <w:jc w:val="both"/>
              <w:textAlignment w:val="center"/>
              <w:rPr>
                <w:rFonts w:hint="eastAsia" w:ascii="仿宋" w:hAnsi="仿宋" w:eastAsia="仿宋" w:cs="仿宋"/>
                <w:color w:val="auto"/>
                <w:sz w:val="24"/>
                <w:highlight w:val="none"/>
              </w:rPr>
            </w:pPr>
          </w:p>
        </w:tc>
        <w:tc>
          <w:tcPr>
            <w:tcW w:w="1290" w:type="dxa"/>
            <w:noWrap/>
            <w:vAlign w:val="center"/>
          </w:tcPr>
          <w:p w14:paraId="3C0BCF03">
            <w:pPr>
              <w:pStyle w:val="12"/>
              <w:spacing w:line="240" w:lineRule="atLeast"/>
              <w:ind w:left="1080" w:leftChars="257" w:hanging="540"/>
              <w:jc w:val="center"/>
              <w:rPr>
                <w:rFonts w:hint="eastAsia" w:ascii="仿宋" w:hAnsi="仿宋" w:eastAsia="仿宋" w:cs="仿宋"/>
                <w:color w:val="auto"/>
                <w:sz w:val="24"/>
                <w:highlight w:val="none"/>
              </w:rPr>
            </w:pPr>
          </w:p>
        </w:tc>
        <w:tc>
          <w:tcPr>
            <w:tcW w:w="1185" w:type="dxa"/>
            <w:noWrap/>
            <w:vAlign w:val="center"/>
          </w:tcPr>
          <w:p w14:paraId="556632BC">
            <w:pPr>
              <w:pStyle w:val="12"/>
              <w:spacing w:line="240" w:lineRule="atLeast"/>
              <w:ind w:left="1080" w:leftChars="257" w:hanging="540"/>
              <w:jc w:val="center"/>
              <w:rPr>
                <w:rFonts w:hint="eastAsia" w:ascii="仿宋" w:hAnsi="仿宋" w:eastAsia="仿宋" w:cs="仿宋"/>
                <w:color w:val="auto"/>
                <w:sz w:val="24"/>
                <w:highlight w:val="none"/>
              </w:rPr>
            </w:pPr>
          </w:p>
        </w:tc>
        <w:tc>
          <w:tcPr>
            <w:tcW w:w="1005" w:type="dxa"/>
            <w:noWrap/>
            <w:vAlign w:val="center"/>
          </w:tcPr>
          <w:p w14:paraId="525B45BC">
            <w:pPr>
              <w:pStyle w:val="12"/>
              <w:spacing w:line="240" w:lineRule="atLeast"/>
              <w:ind w:left="1080" w:leftChars="257" w:hanging="540"/>
              <w:jc w:val="center"/>
              <w:rPr>
                <w:rFonts w:hint="eastAsia" w:ascii="仿宋" w:hAnsi="仿宋" w:eastAsia="仿宋" w:cs="仿宋"/>
                <w:color w:val="auto"/>
                <w:sz w:val="24"/>
                <w:highlight w:val="none"/>
              </w:rPr>
            </w:pPr>
          </w:p>
        </w:tc>
        <w:tc>
          <w:tcPr>
            <w:tcW w:w="859" w:type="dxa"/>
            <w:noWrap/>
            <w:vAlign w:val="center"/>
          </w:tcPr>
          <w:p w14:paraId="70C0E3E6">
            <w:pPr>
              <w:pStyle w:val="12"/>
              <w:spacing w:line="240" w:lineRule="atLeast"/>
              <w:ind w:left="1080" w:leftChars="257" w:hanging="540"/>
              <w:jc w:val="center"/>
              <w:rPr>
                <w:rFonts w:hint="eastAsia" w:ascii="仿宋" w:hAnsi="仿宋" w:eastAsia="仿宋" w:cs="仿宋"/>
                <w:color w:val="auto"/>
                <w:sz w:val="24"/>
                <w:highlight w:val="none"/>
              </w:rPr>
            </w:pPr>
          </w:p>
        </w:tc>
        <w:tc>
          <w:tcPr>
            <w:tcW w:w="1422" w:type="dxa"/>
            <w:noWrap/>
            <w:vAlign w:val="center"/>
          </w:tcPr>
          <w:p w14:paraId="3F0D7ECF">
            <w:pPr>
              <w:pStyle w:val="12"/>
              <w:spacing w:line="240" w:lineRule="atLeast"/>
              <w:ind w:left="1080" w:leftChars="257" w:hanging="540"/>
              <w:jc w:val="center"/>
              <w:rPr>
                <w:rFonts w:hint="eastAsia" w:ascii="仿宋" w:hAnsi="仿宋" w:eastAsia="仿宋" w:cs="仿宋"/>
                <w:color w:val="auto"/>
                <w:sz w:val="24"/>
                <w:highlight w:val="none"/>
              </w:rPr>
            </w:pPr>
          </w:p>
        </w:tc>
        <w:tc>
          <w:tcPr>
            <w:tcW w:w="922" w:type="dxa"/>
            <w:noWrap/>
            <w:vAlign w:val="center"/>
          </w:tcPr>
          <w:p w14:paraId="2ADA05CE">
            <w:pPr>
              <w:pStyle w:val="12"/>
              <w:spacing w:line="240" w:lineRule="atLeast"/>
              <w:ind w:left="1080" w:leftChars="257" w:hanging="540"/>
              <w:jc w:val="center"/>
              <w:rPr>
                <w:rFonts w:hint="eastAsia" w:ascii="仿宋" w:hAnsi="仿宋" w:eastAsia="仿宋" w:cs="仿宋"/>
                <w:color w:val="auto"/>
                <w:sz w:val="24"/>
                <w:highlight w:val="none"/>
              </w:rPr>
            </w:pPr>
          </w:p>
        </w:tc>
        <w:tc>
          <w:tcPr>
            <w:tcW w:w="967" w:type="dxa"/>
            <w:noWrap/>
            <w:vAlign w:val="center"/>
          </w:tcPr>
          <w:p w14:paraId="121FB10E">
            <w:pPr>
              <w:pStyle w:val="12"/>
              <w:spacing w:line="240" w:lineRule="atLeast"/>
              <w:ind w:left="1080" w:leftChars="257" w:hanging="540"/>
              <w:jc w:val="center"/>
              <w:rPr>
                <w:rFonts w:hint="eastAsia" w:ascii="仿宋" w:hAnsi="仿宋" w:eastAsia="仿宋" w:cs="仿宋"/>
                <w:color w:val="auto"/>
                <w:sz w:val="24"/>
                <w:highlight w:val="none"/>
              </w:rPr>
            </w:pPr>
          </w:p>
        </w:tc>
        <w:tc>
          <w:tcPr>
            <w:tcW w:w="653" w:type="dxa"/>
            <w:noWrap/>
            <w:vAlign w:val="center"/>
          </w:tcPr>
          <w:p w14:paraId="3AB0E295">
            <w:pPr>
              <w:pStyle w:val="12"/>
              <w:spacing w:line="240" w:lineRule="atLeast"/>
              <w:ind w:left="1080" w:leftChars="257" w:hanging="540"/>
              <w:jc w:val="center"/>
              <w:rPr>
                <w:rFonts w:hint="eastAsia" w:ascii="仿宋" w:hAnsi="仿宋" w:eastAsia="仿宋" w:cs="仿宋"/>
                <w:color w:val="auto"/>
                <w:sz w:val="24"/>
                <w:highlight w:val="none"/>
              </w:rPr>
            </w:pPr>
          </w:p>
        </w:tc>
      </w:tr>
      <w:tr w14:paraId="3239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noWrap/>
            <w:vAlign w:val="center"/>
          </w:tcPr>
          <w:p w14:paraId="0BCEF025">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515" w:type="dxa"/>
            <w:noWrap/>
            <w:vAlign w:val="center"/>
          </w:tcPr>
          <w:p w14:paraId="3E1503D8">
            <w:pPr>
              <w:jc w:val="both"/>
              <w:textAlignment w:val="center"/>
              <w:rPr>
                <w:rFonts w:hint="eastAsia" w:ascii="仿宋" w:hAnsi="仿宋" w:eastAsia="仿宋" w:cs="仿宋"/>
                <w:color w:val="auto"/>
                <w:sz w:val="24"/>
                <w:highlight w:val="none"/>
              </w:rPr>
            </w:pPr>
          </w:p>
        </w:tc>
        <w:tc>
          <w:tcPr>
            <w:tcW w:w="1290" w:type="dxa"/>
            <w:noWrap/>
            <w:vAlign w:val="center"/>
          </w:tcPr>
          <w:p w14:paraId="62EEF1C3">
            <w:pPr>
              <w:pStyle w:val="12"/>
              <w:spacing w:line="240" w:lineRule="atLeast"/>
              <w:ind w:left="1080" w:leftChars="257" w:hanging="540"/>
              <w:jc w:val="center"/>
              <w:rPr>
                <w:rFonts w:hint="eastAsia" w:ascii="仿宋" w:hAnsi="仿宋" w:eastAsia="仿宋" w:cs="仿宋"/>
                <w:color w:val="auto"/>
                <w:sz w:val="24"/>
                <w:highlight w:val="none"/>
              </w:rPr>
            </w:pPr>
          </w:p>
        </w:tc>
        <w:tc>
          <w:tcPr>
            <w:tcW w:w="1185" w:type="dxa"/>
            <w:noWrap/>
            <w:vAlign w:val="center"/>
          </w:tcPr>
          <w:p w14:paraId="17BC0746">
            <w:pPr>
              <w:pStyle w:val="12"/>
              <w:spacing w:line="240" w:lineRule="atLeast"/>
              <w:ind w:left="1080" w:leftChars="257" w:hanging="540"/>
              <w:jc w:val="center"/>
              <w:rPr>
                <w:rFonts w:hint="eastAsia" w:ascii="仿宋" w:hAnsi="仿宋" w:eastAsia="仿宋" w:cs="仿宋"/>
                <w:color w:val="auto"/>
                <w:sz w:val="24"/>
                <w:highlight w:val="none"/>
              </w:rPr>
            </w:pPr>
          </w:p>
        </w:tc>
        <w:tc>
          <w:tcPr>
            <w:tcW w:w="1005" w:type="dxa"/>
            <w:noWrap/>
            <w:vAlign w:val="center"/>
          </w:tcPr>
          <w:p w14:paraId="0686C78A">
            <w:pPr>
              <w:pStyle w:val="12"/>
              <w:spacing w:line="240" w:lineRule="atLeast"/>
              <w:ind w:left="1080" w:leftChars="257" w:hanging="540"/>
              <w:jc w:val="center"/>
              <w:rPr>
                <w:rFonts w:hint="eastAsia" w:ascii="仿宋" w:hAnsi="仿宋" w:eastAsia="仿宋" w:cs="仿宋"/>
                <w:color w:val="auto"/>
                <w:sz w:val="24"/>
                <w:highlight w:val="none"/>
              </w:rPr>
            </w:pPr>
          </w:p>
        </w:tc>
        <w:tc>
          <w:tcPr>
            <w:tcW w:w="859" w:type="dxa"/>
            <w:noWrap/>
            <w:vAlign w:val="center"/>
          </w:tcPr>
          <w:p w14:paraId="48F2C67B">
            <w:pPr>
              <w:pStyle w:val="12"/>
              <w:spacing w:line="240" w:lineRule="atLeast"/>
              <w:ind w:left="1080" w:leftChars="257" w:hanging="540"/>
              <w:jc w:val="center"/>
              <w:rPr>
                <w:rFonts w:hint="eastAsia" w:ascii="仿宋" w:hAnsi="仿宋" w:eastAsia="仿宋" w:cs="仿宋"/>
                <w:color w:val="auto"/>
                <w:sz w:val="24"/>
                <w:highlight w:val="none"/>
              </w:rPr>
            </w:pPr>
          </w:p>
        </w:tc>
        <w:tc>
          <w:tcPr>
            <w:tcW w:w="1422" w:type="dxa"/>
            <w:noWrap/>
            <w:vAlign w:val="center"/>
          </w:tcPr>
          <w:p w14:paraId="3D2F438E">
            <w:pPr>
              <w:pStyle w:val="12"/>
              <w:spacing w:line="240" w:lineRule="atLeast"/>
              <w:ind w:left="1080" w:leftChars="257" w:hanging="540"/>
              <w:jc w:val="center"/>
              <w:rPr>
                <w:rFonts w:hint="eastAsia" w:ascii="仿宋" w:hAnsi="仿宋" w:eastAsia="仿宋" w:cs="仿宋"/>
                <w:color w:val="auto"/>
                <w:sz w:val="24"/>
                <w:highlight w:val="none"/>
              </w:rPr>
            </w:pPr>
          </w:p>
        </w:tc>
        <w:tc>
          <w:tcPr>
            <w:tcW w:w="922" w:type="dxa"/>
            <w:noWrap/>
            <w:vAlign w:val="center"/>
          </w:tcPr>
          <w:p w14:paraId="28CFC64D">
            <w:pPr>
              <w:pStyle w:val="12"/>
              <w:spacing w:line="240" w:lineRule="atLeast"/>
              <w:ind w:left="1080" w:leftChars="257" w:hanging="540"/>
              <w:jc w:val="center"/>
              <w:rPr>
                <w:rFonts w:hint="eastAsia" w:ascii="仿宋" w:hAnsi="仿宋" w:eastAsia="仿宋" w:cs="仿宋"/>
                <w:color w:val="auto"/>
                <w:sz w:val="24"/>
                <w:highlight w:val="none"/>
              </w:rPr>
            </w:pPr>
          </w:p>
        </w:tc>
        <w:tc>
          <w:tcPr>
            <w:tcW w:w="967" w:type="dxa"/>
            <w:noWrap/>
            <w:vAlign w:val="center"/>
          </w:tcPr>
          <w:p w14:paraId="29A57DAA">
            <w:pPr>
              <w:pStyle w:val="12"/>
              <w:spacing w:line="240" w:lineRule="atLeast"/>
              <w:ind w:left="1080" w:leftChars="257" w:hanging="540"/>
              <w:jc w:val="center"/>
              <w:rPr>
                <w:rFonts w:hint="eastAsia" w:ascii="仿宋" w:hAnsi="仿宋" w:eastAsia="仿宋" w:cs="仿宋"/>
                <w:color w:val="auto"/>
                <w:sz w:val="24"/>
                <w:highlight w:val="none"/>
              </w:rPr>
            </w:pPr>
          </w:p>
        </w:tc>
        <w:tc>
          <w:tcPr>
            <w:tcW w:w="653" w:type="dxa"/>
            <w:noWrap/>
            <w:vAlign w:val="center"/>
          </w:tcPr>
          <w:p w14:paraId="207B445A">
            <w:pPr>
              <w:pStyle w:val="12"/>
              <w:spacing w:line="240" w:lineRule="atLeast"/>
              <w:ind w:left="1080" w:leftChars="257" w:hanging="540"/>
              <w:jc w:val="center"/>
              <w:rPr>
                <w:rFonts w:hint="eastAsia" w:ascii="仿宋" w:hAnsi="仿宋" w:eastAsia="仿宋" w:cs="仿宋"/>
                <w:color w:val="auto"/>
                <w:sz w:val="24"/>
                <w:highlight w:val="none"/>
              </w:rPr>
            </w:pPr>
          </w:p>
        </w:tc>
      </w:tr>
      <w:tr w14:paraId="113D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noWrap/>
            <w:vAlign w:val="center"/>
          </w:tcPr>
          <w:p w14:paraId="41B1ACAE">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515" w:type="dxa"/>
            <w:noWrap/>
            <w:vAlign w:val="center"/>
          </w:tcPr>
          <w:p w14:paraId="547353CC">
            <w:pPr>
              <w:jc w:val="both"/>
              <w:textAlignment w:val="center"/>
              <w:rPr>
                <w:rFonts w:hint="eastAsia" w:ascii="仿宋" w:hAnsi="仿宋" w:eastAsia="仿宋" w:cs="仿宋"/>
                <w:color w:val="auto"/>
                <w:sz w:val="24"/>
                <w:highlight w:val="none"/>
              </w:rPr>
            </w:pPr>
          </w:p>
        </w:tc>
        <w:tc>
          <w:tcPr>
            <w:tcW w:w="1290" w:type="dxa"/>
            <w:noWrap/>
            <w:vAlign w:val="center"/>
          </w:tcPr>
          <w:p w14:paraId="070713AC">
            <w:pPr>
              <w:pStyle w:val="12"/>
              <w:spacing w:line="240" w:lineRule="atLeast"/>
              <w:ind w:left="1080" w:leftChars="257" w:hanging="540"/>
              <w:jc w:val="center"/>
              <w:rPr>
                <w:rFonts w:hint="eastAsia" w:ascii="仿宋" w:hAnsi="仿宋" w:eastAsia="仿宋" w:cs="仿宋"/>
                <w:color w:val="auto"/>
                <w:sz w:val="24"/>
                <w:highlight w:val="none"/>
              </w:rPr>
            </w:pPr>
          </w:p>
        </w:tc>
        <w:tc>
          <w:tcPr>
            <w:tcW w:w="1185" w:type="dxa"/>
            <w:noWrap/>
            <w:vAlign w:val="center"/>
          </w:tcPr>
          <w:p w14:paraId="3C619228">
            <w:pPr>
              <w:pStyle w:val="12"/>
              <w:spacing w:line="240" w:lineRule="atLeast"/>
              <w:ind w:left="1080" w:leftChars="257" w:hanging="540"/>
              <w:jc w:val="center"/>
              <w:rPr>
                <w:rFonts w:hint="eastAsia" w:ascii="仿宋" w:hAnsi="仿宋" w:eastAsia="仿宋" w:cs="仿宋"/>
                <w:color w:val="auto"/>
                <w:sz w:val="24"/>
                <w:highlight w:val="none"/>
              </w:rPr>
            </w:pPr>
          </w:p>
        </w:tc>
        <w:tc>
          <w:tcPr>
            <w:tcW w:w="1005" w:type="dxa"/>
            <w:noWrap/>
            <w:vAlign w:val="center"/>
          </w:tcPr>
          <w:p w14:paraId="11C59D28">
            <w:pPr>
              <w:pStyle w:val="12"/>
              <w:spacing w:line="240" w:lineRule="atLeast"/>
              <w:ind w:left="1080" w:leftChars="257" w:hanging="540"/>
              <w:jc w:val="center"/>
              <w:rPr>
                <w:rFonts w:hint="eastAsia" w:ascii="仿宋" w:hAnsi="仿宋" w:eastAsia="仿宋" w:cs="仿宋"/>
                <w:color w:val="auto"/>
                <w:sz w:val="24"/>
                <w:highlight w:val="none"/>
              </w:rPr>
            </w:pPr>
          </w:p>
        </w:tc>
        <w:tc>
          <w:tcPr>
            <w:tcW w:w="859" w:type="dxa"/>
            <w:noWrap/>
            <w:vAlign w:val="center"/>
          </w:tcPr>
          <w:p w14:paraId="6AAEE73A">
            <w:pPr>
              <w:pStyle w:val="12"/>
              <w:spacing w:line="240" w:lineRule="atLeast"/>
              <w:ind w:left="1080" w:leftChars="257" w:hanging="540"/>
              <w:jc w:val="center"/>
              <w:rPr>
                <w:rFonts w:hint="eastAsia" w:ascii="仿宋" w:hAnsi="仿宋" w:eastAsia="仿宋" w:cs="仿宋"/>
                <w:color w:val="auto"/>
                <w:sz w:val="24"/>
                <w:highlight w:val="none"/>
              </w:rPr>
            </w:pPr>
          </w:p>
        </w:tc>
        <w:tc>
          <w:tcPr>
            <w:tcW w:w="1422" w:type="dxa"/>
            <w:noWrap/>
            <w:vAlign w:val="center"/>
          </w:tcPr>
          <w:p w14:paraId="54FD03A9">
            <w:pPr>
              <w:pStyle w:val="12"/>
              <w:spacing w:line="240" w:lineRule="atLeast"/>
              <w:ind w:left="1080" w:leftChars="257" w:hanging="540"/>
              <w:jc w:val="center"/>
              <w:rPr>
                <w:rFonts w:hint="eastAsia" w:ascii="仿宋" w:hAnsi="仿宋" w:eastAsia="仿宋" w:cs="仿宋"/>
                <w:color w:val="auto"/>
                <w:sz w:val="24"/>
                <w:highlight w:val="none"/>
              </w:rPr>
            </w:pPr>
          </w:p>
        </w:tc>
        <w:tc>
          <w:tcPr>
            <w:tcW w:w="922" w:type="dxa"/>
            <w:noWrap/>
            <w:vAlign w:val="center"/>
          </w:tcPr>
          <w:p w14:paraId="31DB4785">
            <w:pPr>
              <w:pStyle w:val="12"/>
              <w:spacing w:line="240" w:lineRule="atLeast"/>
              <w:ind w:left="1080" w:leftChars="257" w:hanging="540"/>
              <w:jc w:val="center"/>
              <w:rPr>
                <w:rFonts w:hint="eastAsia" w:ascii="仿宋" w:hAnsi="仿宋" w:eastAsia="仿宋" w:cs="仿宋"/>
                <w:color w:val="auto"/>
                <w:sz w:val="24"/>
                <w:highlight w:val="none"/>
              </w:rPr>
            </w:pPr>
          </w:p>
        </w:tc>
        <w:tc>
          <w:tcPr>
            <w:tcW w:w="967" w:type="dxa"/>
            <w:noWrap/>
            <w:vAlign w:val="center"/>
          </w:tcPr>
          <w:p w14:paraId="5763814E">
            <w:pPr>
              <w:pStyle w:val="12"/>
              <w:spacing w:line="240" w:lineRule="atLeast"/>
              <w:ind w:left="1080" w:leftChars="257" w:hanging="540"/>
              <w:jc w:val="center"/>
              <w:rPr>
                <w:rFonts w:hint="eastAsia" w:ascii="仿宋" w:hAnsi="仿宋" w:eastAsia="仿宋" w:cs="仿宋"/>
                <w:color w:val="auto"/>
                <w:sz w:val="24"/>
                <w:highlight w:val="none"/>
              </w:rPr>
            </w:pPr>
          </w:p>
        </w:tc>
        <w:tc>
          <w:tcPr>
            <w:tcW w:w="653" w:type="dxa"/>
            <w:noWrap/>
            <w:vAlign w:val="center"/>
          </w:tcPr>
          <w:p w14:paraId="3DC6014B">
            <w:pPr>
              <w:pStyle w:val="12"/>
              <w:spacing w:line="240" w:lineRule="atLeast"/>
              <w:ind w:left="1080" w:leftChars="257" w:hanging="540"/>
              <w:jc w:val="center"/>
              <w:rPr>
                <w:rFonts w:hint="eastAsia" w:ascii="仿宋" w:hAnsi="仿宋" w:eastAsia="仿宋" w:cs="仿宋"/>
                <w:color w:val="auto"/>
                <w:sz w:val="24"/>
                <w:highlight w:val="none"/>
              </w:rPr>
            </w:pPr>
          </w:p>
        </w:tc>
      </w:tr>
      <w:tr w14:paraId="64544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noWrap/>
            <w:vAlign w:val="center"/>
          </w:tcPr>
          <w:p w14:paraId="6499D4CD">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515" w:type="dxa"/>
            <w:noWrap/>
            <w:vAlign w:val="center"/>
          </w:tcPr>
          <w:p w14:paraId="2B978069">
            <w:pPr>
              <w:jc w:val="both"/>
              <w:textAlignment w:val="center"/>
              <w:rPr>
                <w:rFonts w:hint="eastAsia" w:ascii="仿宋" w:hAnsi="仿宋" w:eastAsia="仿宋" w:cs="仿宋"/>
                <w:color w:val="auto"/>
                <w:sz w:val="24"/>
                <w:highlight w:val="none"/>
              </w:rPr>
            </w:pPr>
          </w:p>
        </w:tc>
        <w:tc>
          <w:tcPr>
            <w:tcW w:w="1290" w:type="dxa"/>
            <w:noWrap/>
            <w:vAlign w:val="center"/>
          </w:tcPr>
          <w:p w14:paraId="12A1CE1B">
            <w:pPr>
              <w:pStyle w:val="12"/>
              <w:spacing w:line="240" w:lineRule="atLeast"/>
              <w:ind w:left="1080" w:leftChars="257" w:hanging="540"/>
              <w:jc w:val="center"/>
              <w:rPr>
                <w:rFonts w:hint="eastAsia" w:ascii="仿宋" w:hAnsi="仿宋" w:eastAsia="仿宋" w:cs="仿宋"/>
                <w:color w:val="auto"/>
                <w:sz w:val="24"/>
                <w:highlight w:val="none"/>
              </w:rPr>
            </w:pPr>
          </w:p>
        </w:tc>
        <w:tc>
          <w:tcPr>
            <w:tcW w:w="1185" w:type="dxa"/>
            <w:noWrap/>
            <w:vAlign w:val="center"/>
          </w:tcPr>
          <w:p w14:paraId="332D2531">
            <w:pPr>
              <w:pStyle w:val="12"/>
              <w:spacing w:line="240" w:lineRule="atLeast"/>
              <w:ind w:left="1080" w:leftChars="257" w:hanging="540"/>
              <w:jc w:val="center"/>
              <w:rPr>
                <w:rFonts w:hint="eastAsia" w:ascii="仿宋" w:hAnsi="仿宋" w:eastAsia="仿宋" w:cs="仿宋"/>
                <w:color w:val="auto"/>
                <w:sz w:val="24"/>
                <w:highlight w:val="none"/>
              </w:rPr>
            </w:pPr>
          </w:p>
        </w:tc>
        <w:tc>
          <w:tcPr>
            <w:tcW w:w="1005" w:type="dxa"/>
            <w:noWrap/>
            <w:vAlign w:val="center"/>
          </w:tcPr>
          <w:p w14:paraId="541D4B50">
            <w:pPr>
              <w:pStyle w:val="12"/>
              <w:spacing w:line="240" w:lineRule="atLeast"/>
              <w:ind w:left="1080" w:leftChars="257" w:hanging="540"/>
              <w:jc w:val="center"/>
              <w:rPr>
                <w:rFonts w:hint="eastAsia" w:ascii="仿宋" w:hAnsi="仿宋" w:eastAsia="仿宋" w:cs="仿宋"/>
                <w:color w:val="auto"/>
                <w:sz w:val="24"/>
                <w:highlight w:val="none"/>
              </w:rPr>
            </w:pPr>
          </w:p>
        </w:tc>
        <w:tc>
          <w:tcPr>
            <w:tcW w:w="859" w:type="dxa"/>
            <w:noWrap/>
            <w:vAlign w:val="center"/>
          </w:tcPr>
          <w:p w14:paraId="158DFD12">
            <w:pPr>
              <w:pStyle w:val="12"/>
              <w:spacing w:line="240" w:lineRule="atLeast"/>
              <w:ind w:left="1080" w:leftChars="257" w:hanging="540"/>
              <w:jc w:val="center"/>
              <w:rPr>
                <w:rFonts w:hint="eastAsia" w:ascii="仿宋" w:hAnsi="仿宋" w:eastAsia="仿宋" w:cs="仿宋"/>
                <w:color w:val="auto"/>
                <w:sz w:val="24"/>
                <w:highlight w:val="none"/>
              </w:rPr>
            </w:pPr>
          </w:p>
        </w:tc>
        <w:tc>
          <w:tcPr>
            <w:tcW w:w="1422" w:type="dxa"/>
            <w:noWrap/>
            <w:vAlign w:val="center"/>
          </w:tcPr>
          <w:p w14:paraId="3C46B164">
            <w:pPr>
              <w:pStyle w:val="12"/>
              <w:spacing w:line="240" w:lineRule="atLeast"/>
              <w:ind w:left="1080" w:leftChars="257" w:hanging="540"/>
              <w:jc w:val="center"/>
              <w:rPr>
                <w:rFonts w:hint="eastAsia" w:ascii="仿宋" w:hAnsi="仿宋" w:eastAsia="仿宋" w:cs="仿宋"/>
                <w:color w:val="auto"/>
                <w:sz w:val="24"/>
                <w:highlight w:val="none"/>
              </w:rPr>
            </w:pPr>
          </w:p>
        </w:tc>
        <w:tc>
          <w:tcPr>
            <w:tcW w:w="922" w:type="dxa"/>
            <w:noWrap/>
            <w:vAlign w:val="center"/>
          </w:tcPr>
          <w:p w14:paraId="734C205D">
            <w:pPr>
              <w:pStyle w:val="12"/>
              <w:spacing w:line="240" w:lineRule="atLeast"/>
              <w:ind w:left="1080" w:leftChars="257" w:hanging="540"/>
              <w:jc w:val="center"/>
              <w:rPr>
                <w:rFonts w:hint="eastAsia" w:ascii="仿宋" w:hAnsi="仿宋" w:eastAsia="仿宋" w:cs="仿宋"/>
                <w:color w:val="auto"/>
                <w:sz w:val="24"/>
                <w:highlight w:val="none"/>
              </w:rPr>
            </w:pPr>
          </w:p>
        </w:tc>
        <w:tc>
          <w:tcPr>
            <w:tcW w:w="967" w:type="dxa"/>
            <w:noWrap/>
            <w:vAlign w:val="center"/>
          </w:tcPr>
          <w:p w14:paraId="551BCF61">
            <w:pPr>
              <w:pStyle w:val="12"/>
              <w:spacing w:line="240" w:lineRule="atLeast"/>
              <w:ind w:left="1080" w:leftChars="257" w:hanging="540"/>
              <w:jc w:val="center"/>
              <w:rPr>
                <w:rFonts w:hint="eastAsia" w:ascii="仿宋" w:hAnsi="仿宋" w:eastAsia="仿宋" w:cs="仿宋"/>
                <w:color w:val="auto"/>
                <w:sz w:val="24"/>
                <w:highlight w:val="none"/>
              </w:rPr>
            </w:pPr>
          </w:p>
        </w:tc>
        <w:tc>
          <w:tcPr>
            <w:tcW w:w="653" w:type="dxa"/>
            <w:noWrap/>
            <w:vAlign w:val="center"/>
          </w:tcPr>
          <w:p w14:paraId="1D01EC92">
            <w:pPr>
              <w:pStyle w:val="12"/>
              <w:spacing w:line="240" w:lineRule="atLeast"/>
              <w:ind w:left="1080" w:leftChars="257" w:hanging="540"/>
              <w:jc w:val="center"/>
              <w:rPr>
                <w:rFonts w:hint="eastAsia" w:ascii="仿宋" w:hAnsi="仿宋" w:eastAsia="仿宋" w:cs="仿宋"/>
                <w:color w:val="auto"/>
                <w:sz w:val="24"/>
                <w:highlight w:val="none"/>
              </w:rPr>
            </w:pPr>
          </w:p>
        </w:tc>
      </w:tr>
      <w:tr w14:paraId="149D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30" w:type="dxa"/>
            <w:noWrap/>
            <w:vAlign w:val="center"/>
          </w:tcPr>
          <w:p w14:paraId="3247DE53">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1515" w:type="dxa"/>
            <w:noWrap/>
            <w:vAlign w:val="center"/>
          </w:tcPr>
          <w:p w14:paraId="4D750203">
            <w:pPr>
              <w:jc w:val="both"/>
              <w:textAlignment w:val="center"/>
              <w:rPr>
                <w:rFonts w:hint="eastAsia" w:ascii="仿宋" w:hAnsi="仿宋" w:eastAsia="仿宋" w:cs="仿宋"/>
                <w:color w:val="auto"/>
                <w:sz w:val="24"/>
                <w:highlight w:val="none"/>
              </w:rPr>
            </w:pPr>
          </w:p>
        </w:tc>
        <w:tc>
          <w:tcPr>
            <w:tcW w:w="1290" w:type="dxa"/>
            <w:noWrap/>
            <w:vAlign w:val="center"/>
          </w:tcPr>
          <w:p w14:paraId="4CBA5E6D">
            <w:pPr>
              <w:pStyle w:val="12"/>
              <w:spacing w:line="240" w:lineRule="atLeast"/>
              <w:ind w:left="1080" w:leftChars="257" w:hanging="540"/>
              <w:jc w:val="center"/>
              <w:rPr>
                <w:rFonts w:hint="eastAsia" w:ascii="仿宋" w:hAnsi="仿宋" w:eastAsia="仿宋" w:cs="仿宋"/>
                <w:color w:val="auto"/>
                <w:sz w:val="24"/>
                <w:highlight w:val="none"/>
              </w:rPr>
            </w:pPr>
          </w:p>
        </w:tc>
        <w:tc>
          <w:tcPr>
            <w:tcW w:w="1185" w:type="dxa"/>
            <w:noWrap/>
            <w:vAlign w:val="center"/>
          </w:tcPr>
          <w:p w14:paraId="30D8535A">
            <w:pPr>
              <w:pStyle w:val="12"/>
              <w:spacing w:line="240" w:lineRule="atLeast"/>
              <w:ind w:left="1080" w:leftChars="257" w:hanging="540"/>
              <w:jc w:val="center"/>
              <w:rPr>
                <w:rFonts w:hint="eastAsia" w:ascii="仿宋" w:hAnsi="仿宋" w:eastAsia="仿宋" w:cs="仿宋"/>
                <w:color w:val="auto"/>
                <w:sz w:val="24"/>
                <w:highlight w:val="none"/>
              </w:rPr>
            </w:pPr>
          </w:p>
        </w:tc>
        <w:tc>
          <w:tcPr>
            <w:tcW w:w="1005" w:type="dxa"/>
            <w:noWrap/>
            <w:vAlign w:val="center"/>
          </w:tcPr>
          <w:p w14:paraId="4BB910E0">
            <w:pPr>
              <w:pStyle w:val="12"/>
              <w:spacing w:line="240" w:lineRule="atLeast"/>
              <w:ind w:left="1080" w:leftChars="257" w:hanging="540"/>
              <w:jc w:val="center"/>
              <w:rPr>
                <w:rFonts w:hint="eastAsia" w:ascii="仿宋" w:hAnsi="仿宋" w:eastAsia="仿宋" w:cs="仿宋"/>
                <w:color w:val="auto"/>
                <w:sz w:val="24"/>
                <w:highlight w:val="none"/>
              </w:rPr>
            </w:pPr>
          </w:p>
        </w:tc>
        <w:tc>
          <w:tcPr>
            <w:tcW w:w="859" w:type="dxa"/>
            <w:noWrap/>
            <w:vAlign w:val="center"/>
          </w:tcPr>
          <w:p w14:paraId="7CAFD683">
            <w:pPr>
              <w:pStyle w:val="12"/>
              <w:spacing w:line="240" w:lineRule="atLeast"/>
              <w:ind w:left="1080" w:leftChars="257" w:hanging="540"/>
              <w:jc w:val="center"/>
              <w:rPr>
                <w:rFonts w:hint="eastAsia" w:ascii="仿宋" w:hAnsi="仿宋" w:eastAsia="仿宋" w:cs="仿宋"/>
                <w:color w:val="auto"/>
                <w:sz w:val="24"/>
                <w:highlight w:val="none"/>
              </w:rPr>
            </w:pPr>
          </w:p>
        </w:tc>
        <w:tc>
          <w:tcPr>
            <w:tcW w:w="1422" w:type="dxa"/>
            <w:noWrap/>
            <w:vAlign w:val="center"/>
          </w:tcPr>
          <w:p w14:paraId="4844DA13">
            <w:pPr>
              <w:pStyle w:val="12"/>
              <w:spacing w:line="240" w:lineRule="atLeast"/>
              <w:ind w:left="1080" w:leftChars="257" w:hanging="540"/>
              <w:jc w:val="center"/>
              <w:rPr>
                <w:rFonts w:hint="eastAsia" w:ascii="仿宋" w:hAnsi="仿宋" w:eastAsia="仿宋" w:cs="仿宋"/>
                <w:color w:val="auto"/>
                <w:sz w:val="24"/>
                <w:highlight w:val="none"/>
              </w:rPr>
            </w:pPr>
          </w:p>
        </w:tc>
        <w:tc>
          <w:tcPr>
            <w:tcW w:w="922" w:type="dxa"/>
            <w:noWrap/>
            <w:vAlign w:val="center"/>
          </w:tcPr>
          <w:p w14:paraId="7C2DBFC3">
            <w:pPr>
              <w:pStyle w:val="12"/>
              <w:spacing w:line="240" w:lineRule="atLeast"/>
              <w:ind w:left="1080" w:leftChars="257" w:hanging="540"/>
              <w:jc w:val="center"/>
              <w:rPr>
                <w:rFonts w:hint="eastAsia" w:ascii="仿宋" w:hAnsi="仿宋" w:eastAsia="仿宋" w:cs="仿宋"/>
                <w:color w:val="auto"/>
                <w:sz w:val="24"/>
                <w:highlight w:val="none"/>
              </w:rPr>
            </w:pPr>
          </w:p>
        </w:tc>
        <w:tc>
          <w:tcPr>
            <w:tcW w:w="967" w:type="dxa"/>
            <w:noWrap/>
            <w:vAlign w:val="center"/>
          </w:tcPr>
          <w:p w14:paraId="620AC9A8">
            <w:pPr>
              <w:pStyle w:val="12"/>
              <w:spacing w:line="240" w:lineRule="atLeast"/>
              <w:ind w:left="1080" w:leftChars="257" w:hanging="540"/>
              <w:jc w:val="center"/>
              <w:rPr>
                <w:rFonts w:hint="eastAsia" w:ascii="仿宋" w:hAnsi="仿宋" w:eastAsia="仿宋" w:cs="仿宋"/>
                <w:color w:val="auto"/>
                <w:sz w:val="24"/>
                <w:highlight w:val="none"/>
              </w:rPr>
            </w:pPr>
          </w:p>
        </w:tc>
        <w:tc>
          <w:tcPr>
            <w:tcW w:w="653" w:type="dxa"/>
            <w:noWrap/>
            <w:vAlign w:val="center"/>
          </w:tcPr>
          <w:p w14:paraId="2905C5D5">
            <w:pPr>
              <w:pStyle w:val="12"/>
              <w:spacing w:line="240" w:lineRule="atLeast"/>
              <w:ind w:left="1080" w:leftChars="257" w:hanging="540"/>
              <w:jc w:val="center"/>
              <w:rPr>
                <w:rFonts w:hint="eastAsia" w:ascii="仿宋" w:hAnsi="仿宋" w:eastAsia="仿宋" w:cs="仿宋"/>
                <w:color w:val="auto"/>
                <w:sz w:val="24"/>
                <w:highlight w:val="none"/>
              </w:rPr>
            </w:pPr>
          </w:p>
        </w:tc>
      </w:tr>
      <w:tr w14:paraId="1D27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795" w:type="dxa"/>
            <w:gridSpan w:val="9"/>
            <w:noWrap/>
            <w:vAlign w:val="center"/>
          </w:tcPr>
          <w:p w14:paraId="620E8991">
            <w:pPr>
              <w:pStyle w:val="12"/>
              <w:spacing w:line="240" w:lineRule="atLeast"/>
              <w:ind w:left="1080" w:leftChars="257" w:hanging="540"/>
              <w:jc w:val="both"/>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lang w:eastAsia="zh-CN"/>
              </w:rPr>
              <w:t>总价（元）</w:t>
            </w:r>
          </w:p>
        </w:tc>
        <w:tc>
          <w:tcPr>
            <w:tcW w:w="653" w:type="dxa"/>
            <w:noWrap/>
            <w:vAlign w:val="center"/>
          </w:tcPr>
          <w:p w14:paraId="5D1D98A3">
            <w:pPr>
              <w:pStyle w:val="12"/>
              <w:spacing w:line="240" w:lineRule="atLeast"/>
              <w:ind w:left="1080" w:leftChars="257" w:hanging="540"/>
              <w:jc w:val="center"/>
              <w:rPr>
                <w:rFonts w:hint="eastAsia" w:ascii="仿宋" w:hAnsi="仿宋" w:eastAsia="仿宋" w:cs="仿宋"/>
                <w:color w:val="auto"/>
                <w:sz w:val="24"/>
                <w:highlight w:val="none"/>
              </w:rPr>
            </w:pPr>
          </w:p>
        </w:tc>
      </w:tr>
    </w:tbl>
    <w:p w14:paraId="214A6358">
      <w:pPr>
        <w:pStyle w:val="12"/>
        <w:spacing w:line="240" w:lineRule="atLeast"/>
        <w:ind w:left="1080" w:leftChars="257" w:hanging="540"/>
        <w:rPr>
          <w:rFonts w:hint="eastAsia" w:ascii="仿宋" w:hAnsi="仿宋" w:eastAsia="仿宋" w:cs="仿宋"/>
          <w:color w:val="auto"/>
          <w:sz w:val="24"/>
          <w:highlight w:val="none"/>
        </w:rPr>
      </w:pPr>
    </w:p>
    <w:p w14:paraId="131704F9">
      <w:pPr>
        <w:pStyle w:val="51"/>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法定代表人或其委托代理人（签字或签章）:</w:t>
      </w:r>
      <w:r>
        <w:rPr>
          <w:rFonts w:hint="eastAsia" w:ascii="仿宋" w:hAnsi="仿宋" w:eastAsia="仿宋" w:cs="仿宋"/>
          <w:sz w:val="24"/>
          <w:highlight w:val="none"/>
          <w:u w:val="single"/>
        </w:rPr>
        <w:t xml:space="preserve">             </w:t>
      </w:r>
    </w:p>
    <w:p w14:paraId="1B4BAA69">
      <w:pPr>
        <w:pStyle w:val="51"/>
        <w:tabs>
          <w:tab w:val="left" w:pos="5370"/>
        </w:tabs>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投标人(盖单位章):</w:t>
      </w:r>
      <w:r>
        <w:rPr>
          <w:rFonts w:hint="eastAsia" w:ascii="仿宋" w:hAnsi="仿宋" w:eastAsia="仿宋" w:cs="仿宋"/>
          <w:sz w:val="24"/>
          <w:highlight w:val="none"/>
          <w:u w:val="single"/>
        </w:rPr>
        <w:tab/>
      </w:r>
    </w:p>
    <w:p w14:paraId="4F719C34">
      <w:pPr>
        <w:pStyle w:val="51"/>
        <w:spacing w:line="360" w:lineRule="auto"/>
        <w:ind w:left="1080" w:leftChars="257" w:hanging="540"/>
        <w:rPr>
          <w:rFonts w:hint="eastAsia" w:ascii="仿宋" w:hAnsi="仿宋" w:eastAsia="仿宋" w:cs="仿宋"/>
          <w:sz w:val="24"/>
          <w:highlight w:val="none"/>
        </w:rPr>
      </w:pPr>
    </w:p>
    <w:p w14:paraId="5C09A000">
      <w:pPr>
        <w:pStyle w:val="51"/>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1.如果按单价计算的结果与总价不一致,以单价为准修正总价。</w:t>
      </w:r>
    </w:p>
    <w:p w14:paraId="73C2A4CE">
      <w:pPr>
        <w:pStyle w:val="51"/>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.如果不提供详细分项报价将视为没有实质性响应招标文件</w:t>
      </w:r>
      <w:r>
        <w:rPr>
          <w:rFonts w:hint="eastAsia" w:ascii="仿宋" w:hAnsi="仿宋" w:eastAsia="仿宋" w:cs="仿宋"/>
          <w:b/>
          <w:bCs/>
          <w:sz w:val="24"/>
          <w:highlight w:val="none"/>
        </w:rPr>
        <w:t>（</w:t>
      </w:r>
      <w:r>
        <w:rPr>
          <w:rFonts w:hint="eastAsia" w:ascii="仿宋" w:hAnsi="仿宋" w:eastAsia="仿宋" w:cs="仿宋"/>
          <w:b/>
          <w:bCs/>
          <w:sz w:val="24"/>
          <w:highlight w:val="none"/>
          <w:lang w:val="en-US" w:eastAsia="zh-CN"/>
        </w:rPr>
        <w:t>包括服务内容中货物（或软件）的</w:t>
      </w:r>
      <w:r>
        <w:rPr>
          <w:rFonts w:hint="eastAsia" w:ascii="仿宋" w:hAnsi="仿宋" w:eastAsia="仿宋" w:cs="仿宋"/>
          <w:b/>
          <w:bCs/>
          <w:sz w:val="24"/>
          <w:highlight w:val="none"/>
        </w:rPr>
        <w:t>名称、</w:t>
      </w:r>
      <w:r>
        <w:rPr>
          <w:rFonts w:hint="eastAsia" w:ascii="仿宋" w:hAnsi="仿宋" w:eastAsia="仿宋" w:cs="仿宋"/>
          <w:b/>
          <w:bCs/>
          <w:sz w:val="24"/>
          <w:highlight w:val="none"/>
          <w:lang w:val="en-US" w:eastAsia="zh-CN"/>
        </w:rPr>
        <w:t>品牌、</w:t>
      </w:r>
      <w:r>
        <w:rPr>
          <w:rFonts w:hint="eastAsia" w:ascii="仿宋" w:hAnsi="仿宋" w:eastAsia="仿宋" w:cs="仿宋"/>
          <w:b/>
          <w:bCs/>
          <w:sz w:val="24"/>
          <w:highlight w:val="none"/>
        </w:rPr>
        <w:t>型号、数量、制造商名称、单价、总价需全部完整填写</w:t>
      </w:r>
      <w:r>
        <w:rPr>
          <w:rFonts w:hint="eastAsia" w:ascii="仿宋" w:hAnsi="仿宋" w:eastAsia="仿宋" w:cs="仿宋"/>
          <w:b/>
          <w:bCs/>
          <w:sz w:val="24"/>
          <w:highlight w:val="none"/>
          <w:lang w:eastAsia="zh-CN"/>
        </w:rPr>
        <w:t>，若需求清单中含辅材或采购需求定制产品可在“品牌、型号”处填写“定制”</w:t>
      </w:r>
      <w:r>
        <w:rPr>
          <w:rFonts w:hint="eastAsia" w:ascii="仿宋" w:hAnsi="仿宋" w:eastAsia="仿宋" w:cs="仿宋"/>
          <w:b/>
          <w:bCs/>
          <w:sz w:val="24"/>
          <w:highlight w:val="none"/>
        </w:rPr>
        <w:t>）</w:t>
      </w:r>
      <w:r>
        <w:rPr>
          <w:rFonts w:hint="eastAsia" w:ascii="仿宋" w:hAnsi="仿宋" w:eastAsia="仿宋" w:cs="仿宋"/>
          <w:sz w:val="24"/>
          <w:highlight w:val="none"/>
        </w:rPr>
        <w:t>。</w:t>
      </w:r>
    </w:p>
    <w:p w14:paraId="2DB7A877">
      <w:pPr>
        <w:pStyle w:val="51"/>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4.如果投标人认为需要，</w:t>
      </w:r>
      <w:r>
        <w:rPr>
          <w:rFonts w:hint="eastAsia" w:ascii="仿宋" w:hAnsi="仿宋" w:eastAsia="仿宋" w:cs="仿宋"/>
          <w:sz w:val="24"/>
          <w:highlight w:val="none"/>
          <w:lang w:val="en-US" w:eastAsia="zh-CN"/>
        </w:rPr>
        <w:t>可在不删减原表基础上新增其他内容或</w:t>
      </w:r>
      <w:r>
        <w:rPr>
          <w:rFonts w:hint="eastAsia" w:ascii="仿宋" w:hAnsi="仿宋" w:eastAsia="仿宋" w:cs="仿宋"/>
          <w:sz w:val="24"/>
          <w:highlight w:val="none"/>
        </w:rPr>
        <w:t>另页描述。</w:t>
      </w:r>
    </w:p>
    <w:p w14:paraId="40CC7F67">
      <w:pPr>
        <w:pStyle w:val="12"/>
        <w:spacing w:line="240" w:lineRule="atLeast"/>
        <w:ind w:firstLine="480" w:firstLineChars="200"/>
        <w:rPr>
          <w:rFonts w:hint="eastAsia" w:ascii="仿宋" w:hAnsi="仿宋" w:eastAsia="仿宋" w:cs="仿宋"/>
          <w:sz w:val="24"/>
          <w:highlight w:val="none"/>
        </w:rPr>
      </w:pPr>
      <w:bookmarkStart w:id="724" w:name="_Toc31304"/>
      <w:bookmarkEnd w:id="724"/>
      <w:r>
        <w:rPr>
          <w:rFonts w:hint="eastAsia" w:ascii="仿宋" w:hAnsi="仿宋" w:eastAsia="仿宋" w:cs="仿宋"/>
          <w:sz w:val="24"/>
          <w:highlight w:val="none"/>
        </w:rPr>
        <w:t>5.如果开标一览表（报价表）内容与投标文件中明细表内容不一致的，以开标一览表（报价表）内容为准。</w:t>
      </w:r>
    </w:p>
    <w:p w14:paraId="3218E605">
      <w:pPr>
        <w:pStyle w:val="12"/>
        <w:spacing w:line="240" w:lineRule="atLeas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6.以上报价的货物、技术服务，包装、仓储、运输、装卸、保险、安装、税金（规费、税金）等的一切费用。</w:t>
      </w:r>
    </w:p>
    <w:p w14:paraId="68002230">
      <w:pPr>
        <w:rPr>
          <w:rFonts w:hint="eastAsia" w:ascii="仿宋" w:hAnsi="仿宋" w:eastAsia="仿宋" w:cs="仿宋"/>
          <w:color w:val="auto"/>
          <w:sz w:val="24"/>
          <w:highlight w:val="none"/>
          <w:lang w:eastAsia="zh-CN"/>
        </w:rPr>
      </w:pPr>
      <w:bookmarkStart w:id="725" w:name="_Toc30769"/>
      <w:bookmarkStart w:id="726" w:name="_Toc24906"/>
      <w:bookmarkStart w:id="727" w:name="_Toc21472"/>
      <w:bookmarkStart w:id="728" w:name="_Toc1207"/>
      <w:bookmarkStart w:id="729" w:name="_Toc1486"/>
      <w:bookmarkStart w:id="730" w:name="_Toc25123"/>
      <w:bookmarkStart w:id="731" w:name="_Toc7334"/>
      <w:bookmarkStart w:id="732" w:name="_Toc7368"/>
      <w:bookmarkStart w:id="733" w:name="_Toc19912"/>
      <w:r>
        <w:rPr>
          <w:rFonts w:hint="eastAsia" w:ascii="仿宋" w:hAnsi="仿宋" w:eastAsia="仿宋" w:cs="仿宋"/>
          <w:color w:val="auto"/>
          <w:highlight w:val="none"/>
          <w:lang w:eastAsia="zh-CN"/>
        </w:rPr>
        <w:br w:type="page"/>
      </w:r>
      <w:bookmarkEnd w:id="717"/>
      <w:bookmarkEnd w:id="718"/>
      <w:bookmarkEnd w:id="719"/>
      <w:bookmarkEnd w:id="720"/>
      <w:bookmarkEnd w:id="721"/>
      <w:bookmarkEnd w:id="725"/>
      <w:bookmarkEnd w:id="726"/>
      <w:bookmarkEnd w:id="727"/>
      <w:bookmarkEnd w:id="728"/>
      <w:bookmarkEnd w:id="729"/>
      <w:bookmarkEnd w:id="730"/>
      <w:bookmarkEnd w:id="731"/>
      <w:bookmarkEnd w:id="732"/>
      <w:bookmarkEnd w:id="733"/>
    </w:p>
    <w:p w14:paraId="70CD5C5E">
      <w:pPr>
        <w:pStyle w:val="12"/>
        <w:spacing w:line="240" w:lineRule="atLeast"/>
        <w:ind w:left="1080" w:leftChars="257" w:hanging="540"/>
        <w:jc w:val="center"/>
        <w:rPr>
          <w:rFonts w:hint="eastAsia" w:ascii="仿宋" w:hAnsi="仿宋" w:eastAsia="仿宋" w:cs="仿宋"/>
          <w:color w:val="auto"/>
          <w:sz w:val="24"/>
          <w:highlight w:val="none"/>
          <w:lang w:eastAsia="zh-CN"/>
        </w:rPr>
        <w:sectPr>
          <w:headerReference r:id="rId7" w:type="default"/>
          <w:footerReference r:id="rId8" w:type="default"/>
          <w:pgSz w:w="11906" w:h="16838"/>
          <w:pgMar w:top="1440" w:right="1797" w:bottom="1440" w:left="1797" w:header="851" w:footer="992" w:gutter="0"/>
          <w:cols w:space="720" w:num="1"/>
          <w:docGrid w:linePitch="312" w:charSpace="0"/>
        </w:sectPr>
      </w:pPr>
    </w:p>
    <w:p w14:paraId="4B244D1C">
      <w:pPr>
        <w:pStyle w:val="4"/>
        <w:spacing w:before="0" w:after="0" w:line="288" w:lineRule="auto"/>
        <w:jc w:val="center"/>
        <w:rPr>
          <w:rFonts w:hint="eastAsia" w:ascii="仿宋" w:hAnsi="仿宋" w:eastAsia="仿宋" w:cs="仿宋"/>
          <w:color w:val="auto"/>
          <w:highlight w:val="none"/>
          <w:u w:val="none"/>
          <w:lang w:eastAsia="zh-CN"/>
        </w:rPr>
      </w:pPr>
      <w:bookmarkStart w:id="734" w:name="_Toc5951"/>
      <w:bookmarkStart w:id="735" w:name="_Toc29890"/>
      <w:bookmarkStart w:id="736" w:name="_Toc28959"/>
      <w:bookmarkStart w:id="737" w:name="_Toc28689"/>
      <w:bookmarkStart w:id="738" w:name="_Toc29780"/>
      <w:bookmarkStart w:id="739" w:name="_Toc24855"/>
      <w:bookmarkStart w:id="740" w:name="_Toc32464"/>
      <w:bookmarkStart w:id="741" w:name="_Toc12128"/>
      <w:bookmarkStart w:id="742" w:name="_Toc1112"/>
      <w:bookmarkStart w:id="743" w:name="_Toc216582817"/>
      <w:bookmarkStart w:id="744" w:name="_Toc515647820"/>
      <w:bookmarkStart w:id="745" w:name="_Toc22563"/>
      <w:bookmarkStart w:id="746" w:name="_Toc29133"/>
      <w:bookmarkStart w:id="747" w:name="_Toc14433"/>
      <w:bookmarkStart w:id="748" w:name="_Toc10052"/>
      <w:bookmarkStart w:id="749" w:name="_Toc14695"/>
      <w:r>
        <w:rPr>
          <w:rFonts w:hint="eastAsia" w:ascii="仿宋" w:hAnsi="仿宋" w:eastAsia="仿宋" w:cs="仿宋"/>
          <w:color w:val="auto"/>
          <w:highlight w:val="none"/>
          <w:u w:val="none"/>
          <w:lang w:val="en-US" w:eastAsia="zh-CN"/>
        </w:rPr>
        <w:t>4</w:t>
      </w:r>
      <w:r>
        <w:rPr>
          <w:rFonts w:hint="eastAsia" w:ascii="仿宋" w:hAnsi="仿宋" w:eastAsia="仿宋" w:cs="仿宋"/>
          <w:color w:val="auto"/>
          <w:highlight w:val="none"/>
          <w:u w:val="none"/>
          <w:lang w:eastAsia="zh-CN"/>
        </w:rPr>
        <w:t xml:space="preserve"> 技术规格偏离表</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14:paraId="019DFF8C">
      <w:pPr>
        <w:pStyle w:val="12"/>
        <w:spacing w:line="240" w:lineRule="atLeast"/>
        <w:ind w:left="1080" w:leftChars="257" w:hanging="540"/>
        <w:rPr>
          <w:rFonts w:hint="eastAsia" w:ascii="仿宋" w:hAnsi="仿宋" w:eastAsia="仿宋" w:cs="仿宋"/>
          <w:color w:val="auto"/>
          <w:sz w:val="24"/>
          <w:highlight w:val="none"/>
          <w:lang w:eastAsia="zh-CN"/>
        </w:rPr>
      </w:pPr>
    </w:p>
    <w:p w14:paraId="5AF1DE04">
      <w:pPr>
        <w:pStyle w:val="12"/>
        <w:spacing w:line="240" w:lineRule="atLeast"/>
        <w:ind w:firstLine="360" w:firstLineChars="1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项目名称:                       招标编号:                 包号:</w:t>
      </w:r>
    </w:p>
    <w:p w14:paraId="0173A914">
      <w:pPr>
        <w:pStyle w:val="12"/>
        <w:spacing w:line="240" w:lineRule="atLeast"/>
        <w:ind w:left="1080" w:leftChars="257" w:hanging="540"/>
        <w:rPr>
          <w:rFonts w:hint="eastAsia" w:ascii="仿宋" w:hAnsi="仿宋" w:eastAsia="仿宋" w:cs="仿宋"/>
          <w:color w:val="auto"/>
          <w:sz w:val="24"/>
          <w:highlight w:val="none"/>
          <w:lang w:eastAsia="zh-CN"/>
        </w:rPr>
      </w:pPr>
    </w:p>
    <w:tbl>
      <w:tblPr>
        <w:tblStyle w:val="23"/>
        <w:tblW w:w="8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686"/>
        <w:gridCol w:w="1809"/>
        <w:gridCol w:w="1534"/>
        <w:gridCol w:w="1435"/>
        <w:gridCol w:w="1119"/>
      </w:tblGrid>
      <w:tr w14:paraId="2F03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89" w:type="dxa"/>
            <w:noWrap/>
            <w:vAlign w:val="center"/>
          </w:tcPr>
          <w:p w14:paraId="0206B7B3">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686" w:type="dxa"/>
            <w:noWrap/>
            <w:vAlign w:val="center"/>
          </w:tcPr>
          <w:p w14:paraId="527075B4">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货物名称</w:t>
            </w:r>
          </w:p>
        </w:tc>
        <w:tc>
          <w:tcPr>
            <w:tcW w:w="1809" w:type="dxa"/>
            <w:noWrap/>
            <w:vAlign w:val="center"/>
          </w:tcPr>
          <w:p w14:paraId="5D3637D6">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招标规格</w:t>
            </w:r>
          </w:p>
        </w:tc>
        <w:tc>
          <w:tcPr>
            <w:tcW w:w="1534" w:type="dxa"/>
            <w:noWrap/>
            <w:vAlign w:val="center"/>
          </w:tcPr>
          <w:p w14:paraId="7E76A8A4">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投标规格</w:t>
            </w:r>
          </w:p>
        </w:tc>
        <w:tc>
          <w:tcPr>
            <w:tcW w:w="1435" w:type="dxa"/>
            <w:noWrap/>
            <w:vAlign w:val="center"/>
          </w:tcPr>
          <w:p w14:paraId="6BFB1FE0">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w:t>
            </w:r>
          </w:p>
        </w:tc>
        <w:tc>
          <w:tcPr>
            <w:tcW w:w="1119" w:type="dxa"/>
            <w:noWrap/>
            <w:vAlign w:val="center"/>
          </w:tcPr>
          <w:p w14:paraId="5D8D3820">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14:paraId="5D49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89" w:type="dxa"/>
            <w:noWrap/>
          </w:tcPr>
          <w:p w14:paraId="4F535371">
            <w:pPr>
              <w:pStyle w:val="12"/>
              <w:spacing w:line="240" w:lineRule="atLeast"/>
              <w:ind w:left="1080" w:leftChars="257" w:hanging="540"/>
              <w:rPr>
                <w:rFonts w:hint="eastAsia" w:ascii="仿宋" w:hAnsi="仿宋" w:eastAsia="仿宋" w:cs="仿宋"/>
                <w:color w:val="auto"/>
                <w:sz w:val="24"/>
                <w:highlight w:val="none"/>
              </w:rPr>
            </w:pPr>
          </w:p>
        </w:tc>
        <w:tc>
          <w:tcPr>
            <w:tcW w:w="1686" w:type="dxa"/>
            <w:noWrap/>
          </w:tcPr>
          <w:p w14:paraId="298BD070">
            <w:pPr>
              <w:pStyle w:val="12"/>
              <w:spacing w:line="240" w:lineRule="atLeast"/>
              <w:ind w:left="1080" w:leftChars="257" w:hanging="540"/>
              <w:rPr>
                <w:rFonts w:hint="eastAsia" w:ascii="仿宋" w:hAnsi="仿宋" w:eastAsia="仿宋" w:cs="仿宋"/>
                <w:color w:val="auto"/>
                <w:sz w:val="24"/>
                <w:highlight w:val="none"/>
              </w:rPr>
            </w:pPr>
          </w:p>
        </w:tc>
        <w:tc>
          <w:tcPr>
            <w:tcW w:w="1809" w:type="dxa"/>
            <w:noWrap/>
          </w:tcPr>
          <w:p w14:paraId="325EA3CC">
            <w:pPr>
              <w:pStyle w:val="12"/>
              <w:spacing w:line="240" w:lineRule="atLeast"/>
              <w:ind w:left="1080" w:leftChars="257" w:hanging="540"/>
              <w:rPr>
                <w:rFonts w:hint="eastAsia" w:ascii="仿宋" w:hAnsi="仿宋" w:eastAsia="仿宋" w:cs="仿宋"/>
                <w:color w:val="auto"/>
                <w:sz w:val="24"/>
                <w:highlight w:val="none"/>
              </w:rPr>
            </w:pPr>
          </w:p>
        </w:tc>
        <w:tc>
          <w:tcPr>
            <w:tcW w:w="1534" w:type="dxa"/>
            <w:noWrap/>
          </w:tcPr>
          <w:p w14:paraId="48728838">
            <w:pPr>
              <w:pStyle w:val="12"/>
              <w:spacing w:line="240" w:lineRule="atLeast"/>
              <w:ind w:left="1080" w:leftChars="257" w:hanging="540"/>
              <w:rPr>
                <w:rFonts w:hint="eastAsia" w:ascii="仿宋" w:hAnsi="仿宋" w:eastAsia="仿宋" w:cs="仿宋"/>
                <w:color w:val="auto"/>
                <w:sz w:val="24"/>
                <w:highlight w:val="none"/>
              </w:rPr>
            </w:pPr>
          </w:p>
        </w:tc>
        <w:tc>
          <w:tcPr>
            <w:tcW w:w="1435" w:type="dxa"/>
            <w:noWrap/>
          </w:tcPr>
          <w:p w14:paraId="299CD4C0">
            <w:pPr>
              <w:pStyle w:val="12"/>
              <w:spacing w:line="240" w:lineRule="atLeast"/>
              <w:ind w:left="1080" w:leftChars="257" w:hanging="540"/>
              <w:rPr>
                <w:rFonts w:hint="eastAsia" w:ascii="仿宋" w:hAnsi="仿宋" w:eastAsia="仿宋" w:cs="仿宋"/>
                <w:color w:val="auto"/>
                <w:sz w:val="24"/>
                <w:highlight w:val="none"/>
              </w:rPr>
            </w:pPr>
          </w:p>
        </w:tc>
        <w:tc>
          <w:tcPr>
            <w:tcW w:w="1119" w:type="dxa"/>
            <w:noWrap/>
          </w:tcPr>
          <w:p w14:paraId="30A8C630">
            <w:pPr>
              <w:pStyle w:val="12"/>
              <w:spacing w:line="240" w:lineRule="atLeast"/>
              <w:ind w:left="1080" w:leftChars="257" w:hanging="540"/>
              <w:rPr>
                <w:rFonts w:hint="eastAsia" w:ascii="仿宋" w:hAnsi="仿宋" w:eastAsia="仿宋" w:cs="仿宋"/>
                <w:color w:val="auto"/>
                <w:sz w:val="24"/>
                <w:highlight w:val="none"/>
              </w:rPr>
            </w:pPr>
          </w:p>
        </w:tc>
      </w:tr>
      <w:tr w14:paraId="704F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89" w:type="dxa"/>
            <w:noWrap/>
          </w:tcPr>
          <w:p w14:paraId="2F42E083">
            <w:pPr>
              <w:pStyle w:val="12"/>
              <w:spacing w:line="240" w:lineRule="atLeast"/>
              <w:ind w:left="1080" w:leftChars="257" w:hanging="540"/>
              <w:rPr>
                <w:rFonts w:hint="eastAsia" w:ascii="仿宋" w:hAnsi="仿宋" w:eastAsia="仿宋" w:cs="仿宋"/>
                <w:color w:val="auto"/>
                <w:sz w:val="24"/>
                <w:highlight w:val="none"/>
              </w:rPr>
            </w:pPr>
          </w:p>
        </w:tc>
        <w:tc>
          <w:tcPr>
            <w:tcW w:w="1686" w:type="dxa"/>
            <w:noWrap/>
          </w:tcPr>
          <w:p w14:paraId="7F7C77AF">
            <w:pPr>
              <w:pStyle w:val="12"/>
              <w:spacing w:line="240" w:lineRule="atLeast"/>
              <w:ind w:left="1080" w:leftChars="257" w:hanging="540"/>
              <w:rPr>
                <w:rFonts w:hint="eastAsia" w:ascii="仿宋" w:hAnsi="仿宋" w:eastAsia="仿宋" w:cs="仿宋"/>
                <w:color w:val="auto"/>
                <w:sz w:val="24"/>
                <w:highlight w:val="none"/>
              </w:rPr>
            </w:pPr>
          </w:p>
        </w:tc>
        <w:tc>
          <w:tcPr>
            <w:tcW w:w="1809" w:type="dxa"/>
            <w:noWrap/>
          </w:tcPr>
          <w:p w14:paraId="631451F8">
            <w:pPr>
              <w:pStyle w:val="12"/>
              <w:spacing w:line="240" w:lineRule="atLeast"/>
              <w:ind w:left="1080" w:leftChars="257" w:hanging="540"/>
              <w:rPr>
                <w:rFonts w:hint="eastAsia" w:ascii="仿宋" w:hAnsi="仿宋" w:eastAsia="仿宋" w:cs="仿宋"/>
                <w:color w:val="auto"/>
                <w:sz w:val="24"/>
                <w:highlight w:val="none"/>
              </w:rPr>
            </w:pPr>
          </w:p>
        </w:tc>
        <w:tc>
          <w:tcPr>
            <w:tcW w:w="1534" w:type="dxa"/>
            <w:noWrap/>
          </w:tcPr>
          <w:p w14:paraId="01C72DAA">
            <w:pPr>
              <w:pStyle w:val="12"/>
              <w:spacing w:line="240" w:lineRule="atLeast"/>
              <w:ind w:left="1080" w:leftChars="257" w:hanging="540"/>
              <w:rPr>
                <w:rFonts w:hint="eastAsia" w:ascii="仿宋" w:hAnsi="仿宋" w:eastAsia="仿宋" w:cs="仿宋"/>
                <w:color w:val="auto"/>
                <w:sz w:val="24"/>
                <w:highlight w:val="none"/>
              </w:rPr>
            </w:pPr>
          </w:p>
        </w:tc>
        <w:tc>
          <w:tcPr>
            <w:tcW w:w="1435" w:type="dxa"/>
            <w:noWrap/>
          </w:tcPr>
          <w:p w14:paraId="6F815EB1">
            <w:pPr>
              <w:pStyle w:val="12"/>
              <w:spacing w:line="240" w:lineRule="atLeast"/>
              <w:ind w:left="1080" w:leftChars="257" w:hanging="540"/>
              <w:rPr>
                <w:rFonts w:hint="eastAsia" w:ascii="仿宋" w:hAnsi="仿宋" w:eastAsia="仿宋" w:cs="仿宋"/>
                <w:color w:val="auto"/>
                <w:sz w:val="24"/>
                <w:highlight w:val="none"/>
              </w:rPr>
            </w:pPr>
          </w:p>
        </w:tc>
        <w:tc>
          <w:tcPr>
            <w:tcW w:w="1119" w:type="dxa"/>
            <w:noWrap/>
          </w:tcPr>
          <w:p w14:paraId="0FF7ECA4">
            <w:pPr>
              <w:pStyle w:val="12"/>
              <w:spacing w:line="240" w:lineRule="atLeast"/>
              <w:ind w:left="1080" w:leftChars="257" w:hanging="540"/>
              <w:rPr>
                <w:rFonts w:hint="eastAsia" w:ascii="仿宋" w:hAnsi="仿宋" w:eastAsia="仿宋" w:cs="仿宋"/>
                <w:color w:val="auto"/>
                <w:sz w:val="24"/>
                <w:highlight w:val="none"/>
              </w:rPr>
            </w:pPr>
          </w:p>
        </w:tc>
      </w:tr>
      <w:tr w14:paraId="30F3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89" w:type="dxa"/>
            <w:noWrap/>
          </w:tcPr>
          <w:p w14:paraId="5003610F">
            <w:pPr>
              <w:pStyle w:val="12"/>
              <w:spacing w:line="240" w:lineRule="atLeast"/>
              <w:ind w:left="1080" w:leftChars="257" w:hanging="540"/>
              <w:rPr>
                <w:rFonts w:hint="eastAsia" w:ascii="仿宋" w:hAnsi="仿宋" w:eastAsia="仿宋" w:cs="仿宋"/>
                <w:color w:val="auto"/>
                <w:sz w:val="24"/>
                <w:highlight w:val="none"/>
              </w:rPr>
            </w:pPr>
          </w:p>
        </w:tc>
        <w:tc>
          <w:tcPr>
            <w:tcW w:w="1686" w:type="dxa"/>
            <w:noWrap/>
          </w:tcPr>
          <w:p w14:paraId="3FFA37B1">
            <w:pPr>
              <w:pStyle w:val="12"/>
              <w:spacing w:line="240" w:lineRule="atLeast"/>
              <w:ind w:left="1080" w:leftChars="257" w:hanging="540"/>
              <w:rPr>
                <w:rFonts w:hint="eastAsia" w:ascii="仿宋" w:hAnsi="仿宋" w:eastAsia="仿宋" w:cs="仿宋"/>
                <w:color w:val="auto"/>
                <w:sz w:val="24"/>
                <w:highlight w:val="none"/>
              </w:rPr>
            </w:pPr>
          </w:p>
        </w:tc>
        <w:tc>
          <w:tcPr>
            <w:tcW w:w="1809" w:type="dxa"/>
            <w:noWrap/>
          </w:tcPr>
          <w:p w14:paraId="445E9BD7">
            <w:pPr>
              <w:pStyle w:val="12"/>
              <w:spacing w:line="240" w:lineRule="atLeast"/>
              <w:ind w:left="1080" w:leftChars="257" w:hanging="540"/>
              <w:rPr>
                <w:rFonts w:hint="eastAsia" w:ascii="仿宋" w:hAnsi="仿宋" w:eastAsia="仿宋" w:cs="仿宋"/>
                <w:color w:val="auto"/>
                <w:sz w:val="24"/>
                <w:highlight w:val="none"/>
              </w:rPr>
            </w:pPr>
          </w:p>
        </w:tc>
        <w:tc>
          <w:tcPr>
            <w:tcW w:w="1534" w:type="dxa"/>
            <w:noWrap/>
          </w:tcPr>
          <w:p w14:paraId="31FF5AA3">
            <w:pPr>
              <w:pStyle w:val="12"/>
              <w:spacing w:line="240" w:lineRule="atLeast"/>
              <w:ind w:left="1080" w:leftChars="257" w:hanging="540"/>
              <w:rPr>
                <w:rFonts w:hint="eastAsia" w:ascii="仿宋" w:hAnsi="仿宋" w:eastAsia="仿宋" w:cs="仿宋"/>
                <w:color w:val="auto"/>
                <w:sz w:val="24"/>
                <w:highlight w:val="none"/>
              </w:rPr>
            </w:pPr>
          </w:p>
        </w:tc>
        <w:tc>
          <w:tcPr>
            <w:tcW w:w="1435" w:type="dxa"/>
            <w:noWrap/>
          </w:tcPr>
          <w:p w14:paraId="45978505">
            <w:pPr>
              <w:pStyle w:val="12"/>
              <w:spacing w:line="240" w:lineRule="atLeast"/>
              <w:ind w:left="1080" w:leftChars="257" w:hanging="540"/>
              <w:rPr>
                <w:rFonts w:hint="eastAsia" w:ascii="仿宋" w:hAnsi="仿宋" w:eastAsia="仿宋" w:cs="仿宋"/>
                <w:color w:val="auto"/>
                <w:sz w:val="24"/>
                <w:highlight w:val="none"/>
              </w:rPr>
            </w:pPr>
          </w:p>
        </w:tc>
        <w:tc>
          <w:tcPr>
            <w:tcW w:w="1119" w:type="dxa"/>
            <w:noWrap/>
          </w:tcPr>
          <w:p w14:paraId="587E6F4C">
            <w:pPr>
              <w:pStyle w:val="12"/>
              <w:spacing w:line="240" w:lineRule="atLeast"/>
              <w:ind w:left="1080" w:leftChars="257" w:hanging="540"/>
              <w:rPr>
                <w:rFonts w:hint="eastAsia" w:ascii="仿宋" w:hAnsi="仿宋" w:eastAsia="仿宋" w:cs="仿宋"/>
                <w:color w:val="auto"/>
                <w:sz w:val="24"/>
                <w:highlight w:val="none"/>
              </w:rPr>
            </w:pPr>
          </w:p>
        </w:tc>
      </w:tr>
      <w:tr w14:paraId="31F7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89" w:type="dxa"/>
            <w:noWrap/>
          </w:tcPr>
          <w:p w14:paraId="196886E6">
            <w:pPr>
              <w:pStyle w:val="12"/>
              <w:spacing w:line="240" w:lineRule="atLeast"/>
              <w:ind w:left="1080" w:leftChars="257" w:hanging="540"/>
              <w:rPr>
                <w:rFonts w:hint="eastAsia" w:ascii="仿宋" w:hAnsi="仿宋" w:eastAsia="仿宋" w:cs="仿宋"/>
                <w:color w:val="auto"/>
                <w:sz w:val="24"/>
                <w:highlight w:val="none"/>
              </w:rPr>
            </w:pPr>
          </w:p>
        </w:tc>
        <w:tc>
          <w:tcPr>
            <w:tcW w:w="1686" w:type="dxa"/>
            <w:noWrap/>
          </w:tcPr>
          <w:p w14:paraId="1910EFFA">
            <w:pPr>
              <w:pStyle w:val="12"/>
              <w:spacing w:line="240" w:lineRule="atLeast"/>
              <w:ind w:left="1080" w:leftChars="257" w:hanging="540"/>
              <w:rPr>
                <w:rFonts w:hint="eastAsia" w:ascii="仿宋" w:hAnsi="仿宋" w:eastAsia="仿宋" w:cs="仿宋"/>
                <w:color w:val="auto"/>
                <w:sz w:val="24"/>
                <w:highlight w:val="none"/>
              </w:rPr>
            </w:pPr>
          </w:p>
        </w:tc>
        <w:tc>
          <w:tcPr>
            <w:tcW w:w="1809" w:type="dxa"/>
            <w:noWrap/>
          </w:tcPr>
          <w:p w14:paraId="75538364">
            <w:pPr>
              <w:pStyle w:val="12"/>
              <w:spacing w:line="240" w:lineRule="atLeast"/>
              <w:ind w:left="1080" w:leftChars="257" w:hanging="540"/>
              <w:rPr>
                <w:rFonts w:hint="eastAsia" w:ascii="仿宋" w:hAnsi="仿宋" w:eastAsia="仿宋" w:cs="仿宋"/>
                <w:color w:val="auto"/>
                <w:sz w:val="24"/>
                <w:highlight w:val="none"/>
              </w:rPr>
            </w:pPr>
          </w:p>
        </w:tc>
        <w:tc>
          <w:tcPr>
            <w:tcW w:w="1534" w:type="dxa"/>
            <w:noWrap/>
          </w:tcPr>
          <w:p w14:paraId="65C16DA9">
            <w:pPr>
              <w:pStyle w:val="12"/>
              <w:spacing w:line="240" w:lineRule="atLeast"/>
              <w:ind w:left="1080" w:leftChars="257" w:hanging="540"/>
              <w:rPr>
                <w:rFonts w:hint="eastAsia" w:ascii="仿宋" w:hAnsi="仿宋" w:eastAsia="仿宋" w:cs="仿宋"/>
                <w:color w:val="auto"/>
                <w:sz w:val="24"/>
                <w:highlight w:val="none"/>
              </w:rPr>
            </w:pPr>
          </w:p>
        </w:tc>
        <w:tc>
          <w:tcPr>
            <w:tcW w:w="1435" w:type="dxa"/>
            <w:noWrap/>
          </w:tcPr>
          <w:p w14:paraId="31A75420">
            <w:pPr>
              <w:pStyle w:val="12"/>
              <w:spacing w:line="240" w:lineRule="atLeast"/>
              <w:ind w:left="1080" w:leftChars="257" w:hanging="540"/>
              <w:rPr>
                <w:rFonts w:hint="eastAsia" w:ascii="仿宋" w:hAnsi="仿宋" w:eastAsia="仿宋" w:cs="仿宋"/>
                <w:color w:val="auto"/>
                <w:sz w:val="24"/>
                <w:highlight w:val="none"/>
              </w:rPr>
            </w:pPr>
          </w:p>
        </w:tc>
        <w:tc>
          <w:tcPr>
            <w:tcW w:w="1119" w:type="dxa"/>
            <w:noWrap/>
          </w:tcPr>
          <w:p w14:paraId="6CCF39F4">
            <w:pPr>
              <w:pStyle w:val="12"/>
              <w:spacing w:line="240" w:lineRule="atLeast"/>
              <w:ind w:left="1080" w:leftChars="257" w:hanging="540"/>
              <w:rPr>
                <w:rFonts w:hint="eastAsia" w:ascii="仿宋" w:hAnsi="仿宋" w:eastAsia="仿宋" w:cs="仿宋"/>
                <w:color w:val="auto"/>
                <w:sz w:val="24"/>
                <w:highlight w:val="none"/>
              </w:rPr>
            </w:pPr>
          </w:p>
        </w:tc>
      </w:tr>
      <w:tr w14:paraId="7163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89" w:type="dxa"/>
            <w:noWrap/>
          </w:tcPr>
          <w:p w14:paraId="78AE18CD">
            <w:pPr>
              <w:pStyle w:val="12"/>
              <w:spacing w:line="240" w:lineRule="atLeast"/>
              <w:ind w:left="1080" w:leftChars="257" w:hanging="540"/>
              <w:rPr>
                <w:rFonts w:hint="eastAsia" w:ascii="仿宋" w:hAnsi="仿宋" w:eastAsia="仿宋" w:cs="仿宋"/>
                <w:color w:val="auto"/>
                <w:sz w:val="24"/>
                <w:highlight w:val="none"/>
              </w:rPr>
            </w:pPr>
          </w:p>
        </w:tc>
        <w:tc>
          <w:tcPr>
            <w:tcW w:w="1686" w:type="dxa"/>
            <w:noWrap/>
          </w:tcPr>
          <w:p w14:paraId="241B5BC5">
            <w:pPr>
              <w:pStyle w:val="12"/>
              <w:spacing w:line="240" w:lineRule="atLeast"/>
              <w:ind w:left="1080" w:leftChars="257" w:hanging="540"/>
              <w:rPr>
                <w:rFonts w:hint="eastAsia" w:ascii="仿宋" w:hAnsi="仿宋" w:eastAsia="仿宋" w:cs="仿宋"/>
                <w:color w:val="auto"/>
                <w:sz w:val="24"/>
                <w:highlight w:val="none"/>
              </w:rPr>
            </w:pPr>
          </w:p>
        </w:tc>
        <w:tc>
          <w:tcPr>
            <w:tcW w:w="1809" w:type="dxa"/>
            <w:noWrap/>
          </w:tcPr>
          <w:p w14:paraId="605F86A6">
            <w:pPr>
              <w:pStyle w:val="12"/>
              <w:spacing w:line="240" w:lineRule="atLeast"/>
              <w:ind w:left="1080" w:leftChars="257" w:hanging="540"/>
              <w:rPr>
                <w:rFonts w:hint="eastAsia" w:ascii="仿宋" w:hAnsi="仿宋" w:eastAsia="仿宋" w:cs="仿宋"/>
                <w:color w:val="auto"/>
                <w:sz w:val="24"/>
                <w:highlight w:val="none"/>
              </w:rPr>
            </w:pPr>
          </w:p>
        </w:tc>
        <w:tc>
          <w:tcPr>
            <w:tcW w:w="1534" w:type="dxa"/>
            <w:noWrap/>
          </w:tcPr>
          <w:p w14:paraId="6258AE9B">
            <w:pPr>
              <w:pStyle w:val="12"/>
              <w:spacing w:line="240" w:lineRule="atLeast"/>
              <w:ind w:left="1080" w:leftChars="257" w:hanging="540"/>
              <w:rPr>
                <w:rFonts w:hint="eastAsia" w:ascii="仿宋" w:hAnsi="仿宋" w:eastAsia="仿宋" w:cs="仿宋"/>
                <w:color w:val="auto"/>
                <w:sz w:val="24"/>
                <w:highlight w:val="none"/>
              </w:rPr>
            </w:pPr>
          </w:p>
        </w:tc>
        <w:tc>
          <w:tcPr>
            <w:tcW w:w="1435" w:type="dxa"/>
            <w:noWrap/>
          </w:tcPr>
          <w:p w14:paraId="552AA335">
            <w:pPr>
              <w:pStyle w:val="12"/>
              <w:spacing w:line="240" w:lineRule="atLeast"/>
              <w:ind w:left="1080" w:leftChars="257" w:hanging="540"/>
              <w:rPr>
                <w:rFonts w:hint="eastAsia" w:ascii="仿宋" w:hAnsi="仿宋" w:eastAsia="仿宋" w:cs="仿宋"/>
                <w:color w:val="auto"/>
                <w:sz w:val="24"/>
                <w:highlight w:val="none"/>
              </w:rPr>
            </w:pPr>
          </w:p>
        </w:tc>
        <w:tc>
          <w:tcPr>
            <w:tcW w:w="1119" w:type="dxa"/>
            <w:noWrap/>
          </w:tcPr>
          <w:p w14:paraId="6BFAB8AF">
            <w:pPr>
              <w:pStyle w:val="12"/>
              <w:spacing w:line="240" w:lineRule="atLeast"/>
              <w:ind w:left="1080" w:leftChars="257" w:hanging="540"/>
              <w:rPr>
                <w:rFonts w:hint="eastAsia" w:ascii="仿宋" w:hAnsi="仿宋" w:eastAsia="仿宋" w:cs="仿宋"/>
                <w:color w:val="auto"/>
                <w:sz w:val="24"/>
                <w:highlight w:val="none"/>
              </w:rPr>
            </w:pPr>
          </w:p>
        </w:tc>
      </w:tr>
      <w:tr w14:paraId="5BD2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89" w:type="dxa"/>
            <w:noWrap/>
          </w:tcPr>
          <w:p w14:paraId="1806065A">
            <w:pPr>
              <w:pStyle w:val="12"/>
              <w:spacing w:line="240" w:lineRule="atLeast"/>
              <w:ind w:left="1080" w:leftChars="257" w:hanging="540"/>
              <w:rPr>
                <w:rFonts w:hint="eastAsia" w:ascii="仿宋" w:hAnsi="仿宋" w:eastAsia="仿宋" w:cs="仿宋"/>
                <w:color w:val="auto"/>
                <w:sz w:val="24"/>
                <w:highlight w:val="none"/>
              </w:rPr>
            </w:pPr>
          </w:p>
        </w:tc>
        <w:tc>
          <w:tcPr>
            <w:tcW w:w="1686" w:type="dxa"/>
            <w:noWrap/>
          </w:tcPr>
          <w:p w14:paraId="0ED69D15">
            <w:pPr>
              <w:pStyle w:val="12"/>
              <w:spacing w:line="240" w:lineRule="atLeast"/>
              <w:ind w:left="1080" w:leftChars="257" w:hanging="540"/>
              <w:rPr>
                <w:rFonts w:hint="eastAsia" w:ascii="仿宋" w:hAnsi="仿宋" w:eastAsia="仿宋" w:cs="仿宋"/>
                <w:color w:val="auto"/>
                <w:sz w:val="24"/>
                <w:highlight w:val="none"/>
              </w:rPr>
            </w:pPr>
          </w:p>
        </w:tc>
        <w:tc>
          <w:tcPr>
            <w:tcW w:w="1809" w:type="dxa"/>
            <w:noWrap/>
          </w:tcPr>
          <w:p w14:paraId="7EB2740B">
            <w:pPr>
              <w:pStyle w:val="12"/>
              <w:spacing w:line="240" w:lineRule="atLeast"/>
              <w:ind w:left="1080" w:leftChars="257" w:hanging="540"/>
              <w:rPr>
                <w:rFonts w:hint="eastAsia" w:ascii="仿宋" w:hAnsi="仿宋" w:eastAsia="仿宋" w:cs="仿宋"/>
                <w:color w:val="auto"/>
                <w:sz w:val="24"/>
                <w:highlight w:val="none"/>
              </w:rPr>
            </w:pPr>
          </w:p>
        </w:tc>
        <w:tc>
          <w:tcPr>
            <w:tcW w:w="1534" w:type="dxa"/>
            <w:noWrap/>
          </w:tcPr>
          <w:p w14:paraId="3A339397">
            <w:pPr>
              <w:pStyle w:val="12"/>
              <w:spacing w:line="240" w:lineRule="atLeast"/>
              <w:ind w:left="1080" w:leftChars="257" w:hanging="540"/>
              <w:rPr>
                <w:rFonts w:hint="eastAsia" w:ascii="仿宋" w:hAnsi="仿宋" w:eastAsia="仿宋" w:cs="仿宋"/>
                <w:color w:val="auto"/>
                <w:sz w:val="24"/>
                <w:highlight w:val="none"/>
              </w:rPr>
            </w:pPr>
          </w:p>
        </w:tc>
        <w:tc>
          <w:tcPr>
            <w:tcW w:w="1435" w:type="dxa"/>
            <w:noWrap/>
          </w:tcPr>
          <w:p w14:paraId="6B9A8C09">
            <w:pPr>
              <w:pStyle w:val="12"/>
              <w:spacing w:line="240" w:lineRule="atLeast"/>
              <w:ind w:left="1080" w:leftChars="257" w:hanging="540"/>
              <w:rPr>
                <w:rFonts w:hint="eastAsia" w:ascii="仿宋" w:hAnsi="仿宋" w:eastAsia="仿宋" w:cs="仿宋"/>
                <w:color w:val="auto"/>
                <w:sz w:val="24"/>
                <w:highlight w:val="none"/>
              </w:rPr>
            </w:pPr>
          </w:p>
        </w:tc>
        <w:tc>
          <w:tcPr>
            <w:tcW w:w="1119" w:type="dxa"/>
            <w:noWrap/>
          </w:tcPr>
          <w:p w14:paraId="40E4F858">
            <w:pPr>
              <w:pStyle w:val="12"/>
              <w:spacing w:line="240" w:lineRule="atLeast"/>
              <w:ind w:left="1080" w:leftChars="257" w:hanging="540"/>
              <w:rPr>
                <w:rFonts w:hint="eastAsia" w:ascii="仿宋" w:hAnsi="仿宋" w:eastAsia="仿宋" w:cs="仿宋"/>
                <w:color w:val="auto"/>
                <w:sz w:val="24"/>
                <w:highlight w:val="none"/>
              </w:rPr>
            </w:pPr>
          </w:p>
        </w:tc>
      </w:tr>
      <w:tr w14:paraId="6B17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89" w:type="dxa"/>
            <w:noWrap/>
          </w:tcPr>
          <w:p w14:paraId="0D566501">
            <w:pPr>
              <w:pStyle w:val="12"/>
              <w:spacing w:line="240" w:lineRule="atLeast"/>
              <w:ind w:left="1080" w:leftChars="257" w:hanging="540"/>
              <w:rPr>
                <w:rFonts w:hint="eastAsia" w:ascii="仿宋" w:hAnsi="仿宋" w:eastAsia="仿宋" w:cs="仿宋"/>
                <w:color w:val="auto"/>
                <w:sz w:val="24"/>
                <w:highlight w:val="none"/>
              </w:rPr>
            </w:pPr>
          </w:p>
        </w:tc>
        <w:tc>
          <w:tcPr>
            <w:tcW w:w="1686" w:type="dxa"/>
            <w:noWrap/>
          </w:tcPr>
          <w:p w14:paraId="188103F7">
            <w:pPr>
              <w:pStyle w:val="12"/>
              <w:spacing w:line="240" w:lineRule="atLeast"/>
              <w:ind w:left="1080" w:leftChars="257" w:hanging="540"/>
              <w:rPr>
                <w:rFonts w:hint="eastAsia" w:ascii="仿宋" w:hAnsi="仿宋" w:eastAsia="仿宋" w:cs="仿宋"/>
                <w:color w:val="auto"/>
                <w:sz w:val="24"/>
                <w:highlight w:val="none"/>
              </w:rPr>
            </w:pPr>
          </w:p>
        </w:tc>
        <w:tc>
          <w:tcPr>
            <w:tcW w:w="1809" w:type="dxa"/>
            <w:noWrap/>
          </w:tcPr>
          <w:p w14:paraId="0F6A44AD">
            <w:pPr>
              <w:pStyle w:val="12"/>
              <w:spacing w:line="240" w:lineRule="atLeast"/>
              <w:ind w:left="1080" w:leftChars="257" w:hanging="540"/>
              <w:rPr>
                <w:rFonts w:hint="eastAsia" w:ascii="仿宋" w:hAnsi="仿宋" w:eastAsia="仿宋" w:cs="仿宋"/>
                <w:color w:val="auto"/>
                <w:sz w:val="24"/>
                <w:highlight w:val="none"/>
              </w:rPr>
            </w:pPr>
          </w:p>
        </w:tc>
        <w:tc>
          <w:tcPr>
            <w:tcW w:w="1534" w:type="dxa"/>
            <w:noWrap/>
          </w:tcPr>
          <w:p w14:paraId="003561BC">
            <w:pPr>
              <w:pStyle w:val="12"/>
              <w:spacing w:line="240" w:lineRule="atLeast"/>
              <w:ind w:left="1080" w:leftChars="257" w:hanging="540"/>
              <w:rPr>
                <w:rFonts w:hint="eastAsia" w:ascii="仿宋" w:hAnsi="仿宋" w:eastAsia="仿宋" w:cs="仿宋"/>
                <w:color w:val="auto"/>
                <w:sz w:val="24"/>
                <w:highlight w:val="none"/>
              </w:rPr>
            </w:pPr>
          </w:p>
        </w:tc>
        <w:tc>
          <w:tcPr>
            <w:tcW w:w="1435" w:type="dxa"/>
            <w:noWrap/>
          </w:tcPr>
          <w:p w14:paraId="765EB070">
            <w:pPr>
              <w:pStyle w:val="12"/>
              <w:spacing w:line="240" w:lineRule="atLeast"/>
              <w:ind w:left="1080" w:leftChars="257" w:hanging="540"/>
              <w:rPr>
                <w:rFonts w:hint="eastAsia" w:ascii="仿宋" w:hAnsi="仿宋" w:eastAsia="仿宋" w:cs="仿宋"/>
                <w:color w:val="auto"/>
                <w:sz w:val="24"/>
                <w:highlight w:val="none"/>
              </w:rPr>
            </w:pPr>
          </w:p>
        </w:tc>
        <w:tc>
          <w:tcPr>
            <w:tcW w:w="1119" w:type="dxa"/>
            <w:noWrap/>
          </w:tcPr>
          <w:p w14:paraId="49449F90">
            <w:pPr>
              <w:pStyle w:val="12"/>
              <w:spacing w:line="240" w:lineRule="atLeast"/>
              <w:ind w:left="1080" w:leftChars="257" w:hanging="540"/>
              <w:rPr>
                <w:rFonts w:hint="eastAsia" w:ascii="仿宋" w:hAnsi="仿宋" w:eastAsia="仿宋" w:cs="仿宋"/>
                <w:color w:val="auto"/>
                <w:sz w:val="24"/>
                <w:highlight w:val="none"/>
              </w:rPr>
            </w:pPr>
          </w:p>
        </w:tc>
      </w:tr>
      <w:tr w14:paraId="23A0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89" w:type="dxa"/>
            <w:noWrap/>
          </w:tcPr>
          <w:p w14:paraId="69069DE1">
            <w:pPr>
              <w:pStyle w:val="12"/>
              <w:spacing w:line="240" w:lineRule="atLeast"/>
              <w:ind w:left="1080" w:leftChars="257" w:hanging="540"/>
              <w:rPr>
                <w:rFonts w:hint="eastAsia" w:ascii="仿宋" w:hAnsi="仿宋" w:eastAsia="仿宋" w:cs="仿宋"/>
                <w:color w:val="auto"/>
                <w:sz w:val="24"/>
                <w:highlight w:val="none"/>
              </w:rPr>
            </w:pPr>
          </w:p>
        </w:tc>
        <w:tc>
          <w:tcPr>
            <w:tcW w:w="1686" w:type="dxa"/>
            <w:noWrap/>
          </w:tcPr>
          <w:p w14:paraId="4DAD4BDC">
            <w:pPr>
              <w:pStyle w:val="12"/>
              <w:spacing w:line="240" w:lineRule="atLeast"/>
              <w:ind w:left="1080" w:leftChars="257" w:hanging="540"/>
              <w:rPr>
                <w:rFonts w:hint="eastAsia" w:ascii="仿宋" w:hAnsi="仿宋" w:eastAsia="仿宋" w:cs="仿宋"/>
                <w:color w:val="auto"/>
                <w:sz w:val="24"/>
                <w:highlight w:val="none"/>
              </w:rPr>
            </w:pPr>
          </w:p>
        </w:tc>
        <w:tc>
          <w:tcPr>
            <w:tcW w:w="1809" w:type="dxa"/>
            <w:noWrap/>
          </w:tcPr>
          <w:p w14:paraId="5FEB2B16">
            <w:pPr>
              <w:pStyle w:val="12"/>
              <w:spacing w:line="240" w:lineRule="atLeast"/>
              <w:ind w:left="1080" w:leftChars="257" w:hanging="540"/>
              <w:rPr>
                <w:rFonts w:hint="eastAsia" w:ascii="仿宋" w:hAnsi="仿宋" w:eastAsia="仿宋" w:cs="仿宋"/>
                <w:color w:val="auto"/>
                <w:sz w:val="24"/>
                <w:highlight w:val="none"/>
              </w:rPr>
            </w:pPr>
          </w:p>
        </w:tc>
        <w:tc>
          <w:tcPr>
            <w:tcW w:w="1534" w:type="dxa"/>
            <w:noWrap/>
          </w:tcPr>
          <w:p w14:paraId="7D57D7E6">
            <w:pPr>
              <w:pStyle w:val="12"/>
              <w:spacing w:line="240" w:lineRule="atLeast"/>
              <w:ind w:left="1080" w:leftChars="257" w:hanging="540"/>
              <w:rPr>
                <w:rFonts w:hint="eastAsia" w:ascii="仿宋" w:hAnsi="仿宋" w:eastAsia="仿宋" w:cs="仿宋"/>
                <w:color w:val="auto"/>
                <w:sz w:val="24"/>
                <w:highlight w:val="none"/>
              </w:rPr>
            </w:pPr>
          </w:p>
        </w:tc>
        <w:tc>
          <w:tcPr>
            <w:tcW w:w="1435" w:type="dxa"/>
            <w:noWrap/>
          </w:tcPr>
          <w:p w14:paraId="597B854A">
            <w:pPr>
              <w:pStyle w:val="12"/>
              <w:spacing w:line="240" w:lineRule="atLeast"/>
              <w:ind w:left="1080" w:leftChars="257" w:hanging="540"/>
              <w:rPr>
                <w:rFonts w:hint="eastAsia" w:ascii="仿宋" w:hAnsi="仿宋" w:eastAsia="仿宋" w:cs="仿宋"/>
                <w:color w:val="auto"/>
                <w:sz w:val="24"/>
                <w:highlight w:val="none"/>
              </w:rPr>
            </w:pPr>
          </w:p>
        </w:tc>
        <w:tc>
          <w:tcPr>
            <w:tcW w:w="1119" w:type="dxa"/>
            <w:noWrap/>
          </w:tcPr>
          <w:p w14:paraId="4844A54B">
            <w:pPr>
              <w:pStyle w:val="12"/>
              <w:spacing w:line="240" w:lineRule="atLeast"/>
              <w:ind w:left="1080" w:leftChars="257" w:hanging="540"/>
              <w:rPr>
                <w:rFonts w:hint="eastAsia" w:ascii="仿宋" w:hAnsi="仿宋" w:eastAsia="仿宋" w:cs="仿宋"/>
                <w:color w:val="auto"/>
                <w:sz w:val="24"/>
                <w:highlight w:val="none"/>
              </w:rPr>
            </w:pPr>
          </w:p>
        </w:tc>
      </w:tr>
      <w:tr w14:paraId="7E7F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89" w:type="dxa"/>
            <w:noWrap/>
          </w:tcPr>
          <w:p w14:paraId="109248D5">
            <w:pPr>
              <w:pStyle w:val="12"/>
              <w:spacing w:line="240" w:lineRule="atLeast"/>
              <w:ind w:left="1080" w:leftChars="257" w:hanging="540"/>
              <w:rPr>
                <w:rFonts w:hint="eastAsia" w:ascii="仿宋" w:hAnsi="仿宋" w:eastAsia="仿宋" w:cs="仿宋"/>
                <w:color w:val="auto"/>
                <w:sz w:val="24"/>
                <w:highlight w:val="none"/>
              </w:rPr>
            </w:pPr>
          </w:p>
        </w:tc>
        <w:tc>
          <w:tcPr>
            <w:tcW w:w="1686" w:type="dxa"/>
            <w:noWrap/>
          </w:tcPr>
          <w:p w14:paraId="1840790B">
            <w:pPr>
              <w:pStyle w:val="12"/>
              <w:spacing w:line="240" w:lineRule="atLeast"/>
              <w:ind w:left="1080" w:leftChars="257" w:hanging="540"/>
              <w:rPr>
                <w:rFonts w:hint="eastAsia" w:ascii="仿宋" w:hAnsi="仿宋" w:eastAsia="仿宋" w:cs="仿宋"/>
                <w:color w:val="auto"/>
                <w:sz w:val="24"/>
                <w:highlight w:val="none"/>
              </w:rPr>
            </w:pPr>
          </w:p>
        </w:tc>
        <w:tc>
          <w:tcPr>
            <w:tcW w:w="1809" w:type="dxa"/>
            <w:noWrap/>
          </w:tcPr>
          <w:p w14:paraId="35FBAE21">
            <w:pPr>
              <w:pStyle w:val="12"/>
              <w:spacing w:line="240" w:lineRule="atLeast"/>
              <w:ind w:left="1080" w:leftChars="257" w:hanging="540"/>
              <w:rPr>
                <w:rFonts w:hint="eastAsia" w:ascii="仿宋" w:hAnsi="仿宋" w:eastAsia="仿宋" w:cs="仿宋"/>
                <w:color w:val="auto"/>
                <w:sz w:val="24"/>
                <w:highlight w:val="none"/>
              </w:rPr>
            </w:pPr>
          </w:p>
        </w:tc>
        <w:tc>
          <w:tcPr>
            <w:tcW w:w="1534" w:type="dxa"/>
            <w:noWrap/>
          </w:tcPr>
          <w:p w14:paraId="4D142339">
            <w:pPr>
              <w:pStyle w:val="12"/>
              <w:spacing w:line="240" w:lineRule="atLeast"/>
              <w:ind w:left="1080" w:leftChars="257" w:hanging="540"/>
              <w:rPr>
                <w:rFonts w:hint="eastAsia" w:ascii="仿宋" w:hAnsi="仿宋" w:eastAsia="仿宋" w:cs="仿宋"/>
                <w:color w:val="auto"/>
                <w:sz w:val="24"/>
                <w:highlight w:val="none"/>
              </w:rPr>
            </w:pPr>
          </w:p>
        </w:tc>
        <w:tc>
          <w:tcPr>
            <w:tcW w:w="1435" w:type="dxa"/>
            <w:noWrap/>
          </w:tcPr>
          <w:p w14:paraId="74E20A74">
            <w:pPr>
              <w:pStyle w:val="12"/>
              <w:spacing w:line="240" w:lineRule="atLeast"/>
              <w:ind w:left="1080" w:leftChars="257" w:hanging="540"/>
              <w:rPr>
                <w:rFonts w:hint="eastAsia" w:ascii="仿宋" w:hAnsi="仿宋" w:eastAsia="仿宋" w:cs="仿宋"/>
                <w:color w:val="auto"/>
                <w:sz w:val="24"/>
                <w:highlight w:val="none"/>
              </w:rPr>
            </w:pPr>
          </w:p>
        </w:tc>
        <w:tc>
          <w:tcPr>
            <w:tcW w:w="1119" w:type="dxa"/>
            <w:noWrap/>
          </w:tcPr>
          <w:p w14:paraId="54615A39">
            <w:pPr>
              <w:pStyle w:val="12"/>
              <w:spacing w:line="240" w:lineRule="atLeast"/>
              <w:ind w:left="1080" w:leftChars="257" w:hanging="540"/>
              <w:rPr>
                <w:rFonts w:hint="eastAsia" w:ascii="仿宋" w:hAnsi="仿宋" w:eastAsia="仿宋" w:cs="仿宋"/>
                <w:color w:val="auto"/>
                <w:sz w:val="24"/>
                <w:highlight w:val="none"/>
              </w:rPr>
            </w:pPr>
          </w:p>
        </w:tc>
      </w:tr>
      <w:tr w14:paraId="71911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89" w:type="dxa"/>
            <w:noWrap/>
          </w:tcPr>
          <w:p w14:paraId="06B4823A">
            <w:pPr>
              <w:pStyle w:val="12"/>
              <w:spacing w:line="240" w:lineRule="atLeast"/>
              <w:ind w:left="1080" w:leftChars="257" w:hanging="540"/>
              <w:rPr>
                <w:rFonts w:hint="eastAsia" w:ascii="仿宋" w:hAnsi="仿宋" w:eastAsia="仿宋" w:cs="仿宋"/>
                <w:color w:val="auto"/>
                <w:sz w:val="24"/>
                <w:highlight w:val="none"/>
              </w:rPr>
            </w:pPr>
          </w:p>
        </w:tc>
        <w:tc>
          <w:tcPr>
            <w:tcW w:w="1686" w:type="dxa"/>
            <w:noWrap/>
          </w:tcPr>
          <w:p w14:paraId="10372297">
            <w:pPr>
              <w:pStyle w:val="12"/>
              <w:spacing w:line="240" w:lineRule="atLeast"/>
              <w:ind w:left="1080" w:leftChars="257" w:hanging="540"/>
              <w:rPr>
                <w:rFonts w:hint="eastAsia" w:ascii="仿宋" w:hAnsi="仿宋" w:eastAsia="仿宋" w:cs="仿宋"/>
                <w:color w:val="auto"/>
                <w:sz w:val="24"/>
                <w:highlight w:val="none"/>
              </w:rPr>
            </w:pPr>
          </w:p>
        </w:tc>
        <w:tc>
          <w:tcPr>
            <w:tcW w:w="1809" w:type="dxa"/>
            <w:noWrap/>
          </w:tcPr>
          <w:p w14:paraId="0B91FF2E">
            <w:pPr>
              <w:pStyle w:val="12"/>
              <w:spacing w:line="240" w:lineRule="atLeast"/>
              <w:ind w:left="1080" w:leftChars="257" w:hanging="540"/>
              <w:rPr>
                <w:rFonts w:hint="eastAsia" w:ascii="仿宋" w:hAnsi="仿宋" w:eastAsia="仿宋" w:cs="仿宋"/>
                <w:color w:val="auto"/>
                <w:sz w:val="24"/>
                <w:highlight w:val="none"/>
              </w:rPr>
            </w:pPr>
          </w:p>
        </w:tc>
        <w:tc>
          <w:tcPr>
            <w:tcW w:w="1534" w:type="dxa"/>
            <w:noWrap/>
          </w:tcPr>
          <w:p w14:paraId="3E4B6D94">
            <w:pPr>
              <w:pStyle w:val="12"/>
              <w:spacing w:line="240" w:lineRule="atLeast"/>
              <w:ind w:left="1080" w:leftChars="257" w:hanging="540"/>
              <w:rPr>
                <w:rFonts w:hint="eastAsia" w:ascii="仿宋" w:hAnsi="仿宋" w:eastAsia="仿宋" w:cs="仿宋"/>
                <w:color w:val="auto"/>
                <w:sz w:val="24"/>
                <w:highlight w:val="none"/>
              </w:rPr>
            </w:pPr>
          </w:p>
        </w:tc>
        <w:tc>
          <w:tcPr>
            <w:tcW w:w="1435" w:type="dxa"/>
            <w:noWrap/>
          </w:tcPr>
          <w:p w14:paraId="286AEBE2">
            <w:pPr>
              <w:pStyle w:val="12"/>
              <w:spacing w:line="240" w:lineRule="atLeast"/>
              <w:ind w:left="1080" w:leftChars="257" w:hanging="540"/>
              <w:rPr>
                <w:rFonts w:hint="eastAsia" w:ascii="仿宋" w:hAnsi="仿宋" w:eastAsia="仿宋" w:cs="仿宋"/>
                <w:color w:val="auto"/>
                <w:sz w:val="24"/>
                <w:highlight w:val="none"/>
              </w:rPr>
            </w:pPr>
          </w:p>
        </w:tc>
        <w:tc>
          <w:tcPr>
            <w:tcW w:w="1119" w:type="dxa"/>
            <w:noWrap/>
          </w:tcPr>
          <w:p w14:paraId="0C9B4097">
            <w:pPr>
              <w:pStyle w:val="12"/>
              <w:spacing w:line="240" w:lineRule="atLeast"/>
              <w:ind w:left="1080" w:leftChars="257" w:hanging="540"/>
              <w:rPr>
                <w:rFonts w:hint="eastAsia" w:ascii="仿宋" w:hAnsi="仿宋" w:eastAsia="仿宋" w:cs="仿宋"/>
                <w:color w:val="auto"/>
                <w:sz w:val="24"/>
                <w:highlight w:val="none"/>
              </w:rPr>
            </w:pPr>
          </w:p>
        </w:tc>
      </w:tr>
      <w:tr w14:paraId="2F8C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89" w:type="dxa"/>
            <w:noWrap/>
          </w:tcPr>
          <w:p w14:paraId="5D58B383">
            <w:pPr>
              <w:pStyle w:val="12"/>
              <w:spacing w:line="240" w:lineRule="atLeast"/>
              <w:ind w:left="1080" w:leftChars="257" w:hanging="540"/>
              <w:rPr>
                <w:rFonts w:hint="eastAsia" w:ascii="仿宋" w:hAnsi="仿宋" w:eastAsia="仿宋" w:cs="仿宋"/>
                <w:color w:val="auto"/>
                <w:sz w:val="24"/>
                <w:highlight w:val="none"/>
              </w:rPr>
            </w:pPr>
          </w:p>
        </w:tc>
        <w:tc>
          <w:tcPr>
            <w:tcW w:w="1686" w:type="dxa"/>
            <w:noWrap/>
          </w:tcPr>
          <w:p w14:paraId="2358D67C">
            <w:pPr>
              <w:pStyle w:val="12"/>
              <w:spacing w:line="240" w:lineRule="atLeast"/>
              <w:ind w:left="1080" w:leftChars="257" w:hanging="540"/>
              <w:rPr>
                <w:rFonts w:hint="eastAsia" w:ascii="仿宋" w:hAnsi="仿宋" w:eastAsia="仿宋" w:cs="仿宋"/>
                <w:color w:val="auto"/>
                <w:sz w:val="24"/>
                <w:highlight w:val="none"/>
              </w:rPr>
            </w:pPr>
          </w:p>
        </w:tc>
        <w:tc>
          <w:tcPr>
            <w:tcW w:w="1809" w:type="dxa"/>
            <w:noWrap/>
          </w:tcPr>
          <w:p w14:paraId="149329B2">
            <w:pPr>
              <w:pStyle w:val="12"/>
              <w:spacing w:line="240" w:lineRule="atLeast"/>
              <w:ind w:left="1080" w:leftChars="257" w:hanging="540"/>
              <w:rPr>
                <w:rFonts w:hint="eastAsia" w:ascii="仿宋" w:hAnsi="仿宋" w:eastAsia="仿宋" w:cs="仿宋"/>
                <w:color w:val="auto"/>
                <w:sz w:val="24"/>
                <w:highlight w:val="none"/>
              </w:rPr>
            </w:pPr>
          </w:p>
        </w:tc>
        <w:tc>
          <w:tcPr>
            <w:tcW w:w="1534" w:type="dxa"/>
            <w:noWrap/>
          </w:tcPr>
          <w:p w14:paraId="463D4128">
            <w:pPr>
              <w:pStyle w:val="12"/>
              <w:spacing w:line="240" w:lineRule="atLeast"/>
              <w:ind w:left="1080" w:leftChars="257" w:hanging="540"/>
              <w:rPr>
                <w:rFonts w:hint="eastAsia" w:ascii="仿宋" w:hAnsi="仿宋" w:eastAsia="仿宋" w:cs="仿宋"/>
                <w:color w:val="auto"/>
                <w:sz w:val="24"/>
                <w:highlight w:val="none"/>
              </w:rPr>
            </w:pPr>
          </w:p>
        </w:tc>
        <w:tc>
          <w:tcPr>
            <w:tcW w:w="1435" w:type="dxa"/>
            <w:noWrap/>
          </w:tcPr>
          <w:p w14:paraId="07F7F84C">
            <w:pPr>
              <w:pStyle w:val="12"/>
              <w:spacing w:line="240" w:lineRule="atLeast"/>
              <w:ind w:left="1080" w:leftChars="257" w:hanging="540"/>
              <w:rPr>
                <w:rFonts w:hint="eastAsia" w:ascii="仿宋" w:hAnsi="仿宋" w:eastAsia="仿宋" w:cs="仿宋"/>
                <w:color w:val="auto"/>
                <w:sz w:val="24"/>
                <w:highlight w:val="none"/>
              </w:rPr>
            </w:pPr>
          </w:p>
        </w:tc>
        <w:tc>
          <w:tcPr>
            <w:tcW w:w="1119" w:type="dxa"/>
            <w:noWrap/>
          </w:tcPr>
          <w:p w14:paraId="0F8463EC">
            <w:pPr>
              <w:pStyle w:val="12"/>
              <w:spacing w:line="240" w:lineRule="atLeast"/>
              <w:ind w:left="1080" w:leftChars="257" w:hanging="540"/>
              <w:rPr>
                <w:rFonts w:hint="eastAsia" w:ascii="仿宋" w:hAnsi="仿宋" w:eastAsia="仿宋" w:cs="仿宋"/>
                <w:color w:val="auto"/>
                <w:sz w:val="24"/>
                <w:highlight w:val="none"/>
              </w:rPr>
            </w:pPr>
          </w:p>
        </w:tc>
      </w:tr>
      <w:tr w14:paraId="6653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89" w:type="dxa"/>
            <w:noWrap/>
          </w:tcPr>
          <w:p w14:paraId="2F2882DA">
            <w:pPr>
              <w:pStyle w:val="12"/>
              <w:spacing w:line="240" w:lineRule="atLeast"/>
              <w:ind w:left="1080" w:leftChars="257" w:hanging="540"/>
              <w:rPr>
                <w:rFonts w:hint="eastAsia" w:ascii="仿宋" w:hAnsi="仿宋" w:eastAsia="仿宋" w:cs="仿宋"/>
                <w:color w:val="auto"/>
                <w:sz w:val="24"/>
                <w:highlight w:val="none"/>
              </w:rPr>
            </w:pPr>
          </w:p>
        </w:tc>
        <w:tc>
          <w:tcPr>
            <w:tcW w:w="1686" w:type="dxa"/>
            <w:noWrap/>
          </w:tcPr>
          <w:p w14:paraId="62332C15">
            <w:pPr>
              <w:pStyle w:val="12"/>
              <w:spacing w:line="240" w:lineRule="atLeast"/>
              <w:ind w:left="1080" w:leftChars="257" w:hanging="540"/>
              <w:rPr>
                <w:rFonts w:hint="eastAsia" w:ascii="仿宋" w:hAnsi="仿宋" w:eastAsia="仿宋" w:cs="仿宋"/>
                <w:color w:val="auto"/>
                <w:sz w:val="24"/>
                <w:highlight w:val="none"/>
              </w:rPr>
            </w:pPr>
          </w:p>
        </w:tc>
        <w:tc>
          <w:tcPr>
            <w:tcW w:w="1809" w:type="dxa"/>
            <w:noWrap/>
          </w:tcPr>
          <w:p w14:paraId="447FA517">
            <w:pPr>
              <w:pStyle w:val="12"/>
              <w:spacing w:line="240" w:lineRule="atLeast"/>
              <w:ind w:left="1080" w:leftChars="257" w:hanging="540"/>
              <w:rPr>
                <w:rFonts w:hint="eastAsia" w:ascii="仿宋" w:hAnsi="仿宋" w:eastAsia="仿宋" w:cs="仿宋"/>
                <w:color w:val="auto"/>
                <w:sz w:val="24"/>
                <w:highlight w:val="none"/>
              </w:rPr>
            </w:pPr>
          </w:p>
        </w:tc>
        <w:tc>
          <w:tcPr>
            <w:tcW w:w="1534" w:type="dxa"/>
            <w:noWrap/>
          </w:tcPr>
          <w:p w14:paraId="28C249B1">
            <w:pPr>
              <w:pStyle w:val="12"/>
              <w:spacing w:line="240" w:lineRule="atLeast"/>
              <w:ind w:left="1080" w:leftChars="257" w:hanging="540"/>
              <w:rPr>
                <w:rFonts w:hint="eastAsia" w:ascii="仿宋" w:hAnsi="仿宋" w:eastAsia="仿宋" w:cs="仿宋"/>
                <w:color w:val="auto"/>
                <w:sz w:val="24"/>
                <w:highlight w:val="none"/>
              </w:rPr>
            </w:pPr>
          </w:p>
        </w:tc>
        <w:tc>
          <w:tcPr>
            <w:tcW w:w="1435" w:type="dxa"/>
            <w:noWrap/>
          </w:tcPr>
          <w:p w14:paraId="18F6AE34">
            <w:pPr>
              <w:pStyle w:val="12"/>
              <w:spacing w:line="240" w:lineRule="atLeast"/>
              <w:ind w:left="1080" w:leftChars="257" w:hanging="540"/>
              <w:rPr>
                <w:rFonts w:hint="eastAsia" w:ascii="仿宋" w:hAnsi="仿宋" w:eastAsia="仿宋" w:cs="仿宋"/>
                <w:color w:val="auto"/>
                <w:sz w:val="24"/>
                <w:highlight w:val="none"/>
              </w:rPr>
            </w:pPr>
          </w:p>
        </w:tc>
        <w:tc>
          <w:tcPr>
            <w:tcW w:w="1119" w:type="dxa"/>
            <w:noWrap/>
          </w:tcPr>
          <w:p w14:paraId="18374446">
            <w:pPr>
              <w:pStyle w:val="12"/>
              <w:spacing w:line="240" w:lineRule="atLeast"/>
              <w:ind w:left="1080" w:leftChars="257" w:hanging="540"/>
              <w:rPr>
                <w:rFonts w:hint="eastAsia" w:ascii="仿宋" w:hAnsi="仿宋" w:eastAsia="仿宋" w:cs="仿宋"/>
                <w:color w:val="auto"/>
                <w:sz w:val="24"/>
                <w:highlight w:val="none"/>
              </w:rPr>
            </w:pPr>
          </w:p>
        </w:tc>
      </w:tr>
    </w:tbl>
    <w:p w14:paraId="1211A29C">
      <w:pPr>
        <w:pStyle w:val="12"/>
        <w:spacing w:line="360" w:lineRule="auto"/>
        <w:ind w:firstLine="240" w:firstLineChars="100"/>
        <w:rPr>
          <w:rFonts w:hint="eastAsia" w:ascii="仿宋" w:hAnsi="仿宋" w:eastAsia="仿宋" w:cs="仿宋"/>
          <w:sz w:val="24"/>
          <w:highlight w:val="none"/>
        </w:rPr>
      </w:pPr>
      <w:r>
        <w:rPr>
          <w:rFonts w:hint="eastAsia" w:ascii="仿宋" w:hAnsi="仿宋" w:eastAsia="仿宋" w:cs="仿宋"/>
          <w:sz w:val="24"/>
          <w:highlight w:val="none"/>
        </w:rPr>
        <w:t>注:</w:t>
      </w:r>
    </w:p>
    <w:p w14:paraId="132A9DCF">
      <w:pPr>
        <w:pStyle w:val="12"/>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投标人</w:t>
      </w:r>
      <w:r>
        <w:rPr>
          <w:rFonts w:hint="eastAsia" w:ascii="仿宋" w:hAnsi="仿宋" w:eastAsia="仿宋" w:cs="仿宋"/>
          <w:sz w:val="24"/>
          <w:highlight w:val="none"/>
        </w:rPr>
        <w:t>应对照采购文件采购需求中的技术参数</w:t>
      </w:r>
      <w:r>
        <w:rPr>
          <w:rFonts w:hint="eastAsia" w:ascii="仿宋" w:hAnsi="仿宋" w:eastAsia="仿宋" w:cs="仿宋"/>
          <w:sz w:val="24"/>
          <w:highlight w:val="none"/>
          <w:lang w:val="en-US" w:eastAsia="zh-CN"/>
        </w:rPr>
        <w:t>及要求</w:t>
      </w:r>
      <w:r>
        <w:rPr>
          <w:rFonts w:hint="eastAsia" w:ascii="仿宋" w:hAnsi="仿宋" w:eastAsia="仿宋" w:cs="仿宋"/>
          <w:sz w:val="24"/>
          <w:highlight w:val="none"/>
        </w:rPr>
        <w:t>，说明所提供产品</w:t>
      </w:r>
      <w:r>
        <w:rPr>
          <w:rFonts w:hint="eastAsia" w:ascii="仿宋" w:hAnsi="仿宋" w:eastAsia="仿宋" w:cs="仿宋"/>
          <w:sz w:val="24"/>
          <w:highlight w:val="none"/>
          <w:lang w:val="en-US" w:eastAsia="zh-CN"/>
        </w:rPr>
        <w:t>或（工程）服务</w:t>
      </w:r>
      <w:r>
        <w:rPr>
          <w:rFonts w:hint="eastAsia" w:ascii="仿宋" w:hAnsi="仿宋" w:eastAsia="仿宋" w:cs="仿宋"/>
          <w:sz w:val="24"/>
          <w:highlight w:val="none"/>
        </w:rPr>
        <w:t>对采购文件的技术参数</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需求</w:t>
      </w:r>
      <w:r>
        <w:rPr>
          <w:rFonts w:hint="eastAsia" w:ascii="仿宋" w:hAnsi="仿宋" w:eastAsia="仿宋" w:cs="仿宋"/>
          <w:sz w:val="24"/>
          <w:highlight w:val="none"/>
          <w:lang w:eastAsia="zh-CN"/>
        </w:rPr>
        <w:t>）</w:t>
      </w:r>
      <w:r>
        <w:rPr>
          <w:rFonts w:hint="eastAsia" w:ascii="仿宋" w:hAnsi="仿宋" w:eastAsia="仿宋" w:cs="仿宋"/>
          <w:sz w:val="24"/>
          <w:highlight w:val="none"/>
        </w:rPr>
        <w:t>做出响应或偏离</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正偏离/负偏离/无偏离</w:t>
      </w:r>
      <w:r>
        <w:rPr>
          <w:rFonts w:hint="eastAsia" w:ascii="仿宋" w:hAnsi="仿宋" w:eastAsia="仿宋" w:cs="仿宋"/>
          <w:sz w:val="24"/>
          <w:highlight w:val="none"/>
          <w:lang w:eastAsia="zh-CN"/>
        </w:rPr>
        <w:t>）</w:t>
      </w:r>
      <w:r>
        <w:rPr>
          <w:rFonts w:hint="eastAsia" w:ascii="仿宋" w:hAnsi="仿宋" w:eastAsia="仿宋" w:cs="仿宋"/>
          <w:sz w:val="24"/>
          <w:highlight w:val="none"/>
        </w:rPr>
        <w:t>。</w:t>
      </w:r>
    </w:p>
    <w:p w14:paraId="48812114">
      <w:pPr>
        <w:pStyle w:val="12"/>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2、以上响应/偏离内容</w:t>
      </w:r>
      <w:r>
        <w:rPr>
          <w:rFonts w:hint="eastAsia" w:ascii="仿宋" w:hAnsi="仿宋" w:eastAsia="仿宋" w:cs="仿宋"/>
          <w:sz w:val="24"/>
          <w:highlight w:val="none"/>
          <w:lang w:val="en-US" w:eastAsia="zh-CN"/>
        </w:rPr>
        <w:t>投标人认为有必要提供说明或备注</w:t>
      </w:r>
      <w:r>
        <w:rPr>
          <w:rFonts w:hint="eastAsia" w:ascii="仿宋" w:hAnsi="仿宋" w:eastAsia="仿宋" w:cs="仿宋"/>
          <w:sz w:val="24"/>
          <w:highlight w:val="none"/>
        </w:rPr>
        <w:t>应在说明栏中注明该条在响应文件中相关部分(或页码)相应的依据;</w:t>
      </w:r>
    </w:p>
    <w:p w14:paraId="51C09466">
      <w:pPr>
        <w:pStyle w:val="12"/>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3、供应商所供产品（工程</w:t>
      </w:r>
      <w:r>
        <w:rPr>
          <w:rFonts w:hint="eastAsia" w:ascii="仿宋" w:hAnsi="仿宋" w:eastAsia="仿宋" w:cs="仿宋"/>
          <w:sz w:val="24"/>
          <w:highlight w:val="none"/>
          <w:lang w:val="en-US" w:eastAsia="zh-CN"/>
        </w:rPr>
        <w:t>或</w:t>
      </w:r>
      <w:r>
        <w:rPr>
          <w:rFonts w:hint="eastAsia" w:ascii="仿宋" w:hAnsi="仿宋" w:eastAsia="仿宋" w:cs="仿宋"/>
          <w:sz w:val="24"/>
          <w:highlight w:val="none"/>
        </w:rPr>
        <w:t>服务</w:t>
      </w:r>
      <w:r>
        <w:rPr>
          <w:rFonts w:hint="eastAsia" w:ascii="仿宋" w:hAnsi="仿宋" w:eastAsia="仿宋" w:cs="仿宋"/>
          <w:sz w:val="24"/>
          <w:highlight w:val="none"/>
          <w:lang w:val="en-US" w:eastAsia="zh-CN"/>
        </w:rPr>
        <w:t>需求</w:t>
      </w:r>
      <w:r>
        <w:rPr>
          <w:rFonts w:hint="eastAsia" w:ascii="仿宋" w:hAnsi="仿宋" w:eastAsia="仿宋" w:cs="仿宋"/>
          <w:sz w:val="24"/>
          <w:highlight w:val="none"/>
        </w:rPr>
        <w:t>）如与采购文件要求的技术规格及配置不一致，则需在上表说明栏中注明:</w:t>
      </w:r>
    </w:p>
    <w:p w14:paraId="1C957EBE">
      <w:pPr>
        <w:pStyle w:val="12"/>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4、如不按要求填写，产生的一切后果由供应商负责。</w:t>
      </w:r>
    </w:p>
    <w:p w14:paraId="0F099CB6">
      <w:pPr>
        <w:pStyle w:val="12"/>
        <w:spacing w:line="360" w:lineRule="auto"/>
        <w:ind w:left="1080" w:leftChars="257" w:hanging="540"/>
        <w:rPr>
          <w:rFonts w:hint="eastAsia" w:ascii="仿宋" w:hAnsi="仿宋" w:eastAsia="仿宋" w:cs="仿宋"/>
          <w:sz w:val="24"/>
          <w:highlight w:val="none"/>
        </w:rPr>
      </w:pPr>
    </w:p>
    <w:p w14:paraId="63A25879">
      <w:pPr>
        <w:pStyle w:val="12"/>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法定代表人或其委托代理人签字或签章: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p>
    <w:p w14:paraId="1079F735">
      <w:pPr>
        <w:pStyle w:val="12"/>
        <w:tabs>
          <w:tab w:val="left" w:pos="5370"/>
        </w:tabs>
        <w:spacing w:line="360" w:lineRule="auto"/>
        <w:ind w:left="1080" w:leftChars="257" w:hanging="540"/>
        <w:rPr>
          <w:rFonts w:hint="eastAsia" w:ascii="仿宋" w:hAnsi="仿宋" w:eastAsia="仿宋" w:cs="仿宋"/>
          <w:color w:val="auto"/>
          <w:sz w:val="20"/>
          <w:highlight w:val="none"/>
          <w:lang w:eastAsia="zh-CN"/>
        </w:rPr>
      </w:pPr>
      <w:r>
        <w:rPr>
          <w:rFonts w:hint="eastAsia" w:ascii="仿宋" w:hAnsi="仿宋" w:eastAsia="仿宋" w:cs="仿宋"/>
          <w:sz w:val="24"/>
          <w:highlight w:val="none"/>
        </w:rPr>
        <w:t>投标人(盖单位章):</w:t>
      </w:r>
      <w:r>
        <w:rPr>
          <w:rFonts w:hint="eastAsia" w:ascii="仿宋" w:hAnsi="仿宋" w:eastAsia="仿宋" w:cs="仿宋"/>
          <w:sz w:val="24"/>
          <w:highlight w:val="none"/>
          <w:u w:val="single"/>
        </w:rPr>
        <w:tab/>
      </w:r>
      <w:bookmarkStart w:id="750" w:name="_Toc23"/>
      <w:bookmarkStart w:id="751" w:name="_Toc1980"/>
      <w:bookmarkStart w:id="752" w:name="_Toc28374"/>
      <w:bookmarkStart w:id="753" w:name="_Toc216582818"/>
      <w:bookmarkStart w:id="754" w:name="_Toc515647821"/>
    </w:p>
    <w:p w14:paraId="063725F0">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bookmarkStart w:id="755" w:name="_Toc14202"/>
      <w:bookmarkStart w:id="756" w:name="_Toc471"/>
      <w:bookmarkStart w:id="757" w:name="_Toc17874"/>
      <w:bookmarkStart w:id="758" w:name="_Toc11176"/>
      <w:bookmarkStart w:id="759" w:name="_Toc29157"/>
      <w:bookmarkStart w:id="760" w:name="_Toc16991"/>
      <w:bookmarkStart w:id="761" w:name="_Toc9803"/>
      <w:bookmarkStart w:id="762" w:name="_Toc5952"/>
      <w:bookmarkStart w:id="763" w:name="_Toc21884"/>
      <w:bookmarkStart w:id="764" w:name="_Toc11402"/>
      <w:bookmarkStart w:id="765" w:name="_Toc19514"/>
      <w:r>
        <w:rPr>
          <w:rFonts w:hint="eastAsia" w:ascii="仿宋" w:hAnsi="仿宋" w:eastAsia="仿宋" w:cs="仿宋"/>
          <w:color w:val="auto"/>
          <w:highlight w:val="none"/>
          <w:u w:val="none"/>
          <w:lang w:val="en-US" w:eastAsia="zh-CN"/>
        </w:rPr>
        <w:t>5</w:t>
      </w:r>
      <w:r>
        <w:rPr>
          <w:rFonts w:hint="eastAsia" w:ascii="仿宋" w:hAnsi="仿宋" w:eastAsia="仿宋" w:cs="仿宋"/>
          <w:color w:val="auto"/>
          <w:highlight w:val="none"/>
          <w:u w:val="none"/>
          <w:lang w:eastAsia="zh-CN"/>
        </w:rPr>
        <w:t xml:space="preserve"> 商务条款偏离表</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14:paraId="4C5F6026">
      <w:pPr>
        <w:pStyle w:val="12"/>
        <w:spacing w:line="240" w:lineRule="atLeast"/>
        <w:rPr>
          <w:rFonts w:hint="eastAsia" w:ascii="仿宋" w:hAnsi="仿宋" w:eastAsia="仿宋" w:cs="仿宋"/>
          <w:color w:val="auto"/>
          <w:sz w:val="24"/>
          <w:highlight w:val="none"/>
          <w:lang w:eastAsia="zh-CN"/>
        </w:rPr>
      </w:pPr>
    </w:p>
    <w:p w14:paraId="4B8A000C">
      <w:pPr>
        <w:pStyle w:val="12"/>
        <w:spacing w:line="240" w:lineRule="atLeas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项目名称:                      招标编号:             包号:</w:t>
      </w:r>
    </w:p>
    <w:p w14:paraId="079BF8E7">
      <w:pPr>
        <w:pStyle w:val="12"/>
        <w:spacing w:line="240" w:lineRule="atLeast"/>
        <w:ind w:left="1080" w:leftChars="257" w:hanging="540"/>
        <w:rPr>
          <w:rFonts w:hint="eastAsia" w:ascii="仿宋" w:hAnsi="仿宋" w:eastAsia="仿宋" w:cs="仿宋"/>
          <w:color w:val="auto"/>
          <w:sz w:val="24"/>
          <w:highlight w:val="none"/>
          <w:lang w:eastAsia="zh-CN"/>
        </w:rPr>
      </w:pPr>
    </w:p>
    <w:tbl>
      <w:tblPr>
        <w:tblStyle w:val="23"/>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2520"/>
        <w:gridCol w:w="2520"/>
        <w:gridCol w:w="1805"/>
      </w:tblGrid>
      <w:tr w14:paraId="38DC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vAlign w:val="center"/>
          </w:tcPr>
          <w:p w14:paraId="1E1E7724">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520" w:type="dxa"/>
            <w:noWrap/>
            <w:vAlign w:val="center"/>
          </w:tcPr>
          <w:p w14:paraId="06AF069B">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招标文件的商务条款</w:t>
            </w:r>
          </w:p>
        </w:tc>
        <w:tc>
          <w:tcPr>
            <w:tcW w:w="2520" w:type="dxa"/>
            <w:noWrap/>
            <w:vAlign w:val="center"/>
          </w:tcPr>
          <w:p w14:paraId="471EF023">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投标文件的商务条款</w:t>
            </w:r>
          </w:p>
        </w:tc>
        <w:tc>
          <w:tcPr>
            <w:tcW w:w="1805" w:type="dxa"/>
            <w:noWrap/>
            <w:vAlign w:val="center"/>
          </w:tcPr>
          <w:p w14:paraId="71B8E73F">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14:paraId="0DF7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319DF0EF">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71955D66">
            <w:pPr>
              <w:pStyle w:val="12"/>
              <w:spacing w:line="240" w:lineRule="atLeast"/>
              <w:ind w:left="1080" w:leftChars="257" w:hanging="540"/>
              <w:jc w:val="center"/>
              <w:rPr>
                <w:rFonts w:hint="eastAsia" w:ascii="仿宋" w:hAnsi="仿宋" w:eastAsia="仿宋" w:cs="仿宋"/>
                <w:color w:val="auto"/>
                <w:sz w:val="24"/>
                <w:highlight w:val="none"/>
              </w:rPr>
            </w:pPr>
          </w:p>
        </w:tc>
        <w:tc>
          <w:tcPr>
            <w:tcW w:w="2520" w:type="dxa"/>
            <w:noWrap/>
          </w:tcPr>
          <w:p w14:paraId="2EA6EED6">
            <w:pPr>
              <w:pStyle w:val="12"/>
              <w:spacing w:line="240" w:lineRule="atLeast"/>
              <w:ind w:left="1080" w:leftChars="257" w:hanging="540"/>
              <w:jc w:val="center"/>
              <w:rPr>
                <w:rFonts w:hint="eastAsia" w:ascii="仿宋" w:hAnsi="仿宋" w:eastAsia="仿宋" w:cs="仿宋"/>
                <w:color w:val="auto"/>
                <w:sz w:val="24"/>
                <w:highlight w:val="none"/>
              </w:rPr>
            </w:pPr>
          </w:p>
        </w:tc>
        <w:tc>
          <w:tcPr>
            <w:tcW w:w="1805" w:type="dxa"/>
            <w:noWrap/>
          </w:tcPr>
          <w:p w14:paraId="045353D3">
            <w:pPr>
              <w:pStyle w:val="12"/>
              <w:spacing w:line="240" w:lineRule="atLeast"/>
              <w:ind w:left="1080" w:leftChars="257" w:hanging="540"/>
              <w:rPr>
                <w:rFonts w:hint="eastAsia" w:ascii="仿宋" w:hAnsi="仿宋" w:eastAsia="仿宋" w:cs="仿宋"/>
                <w:color w:val="auto"/>
                <w:sz w:val="24"/>
                <w:highlight w:val="none"/>
              </w:rPr>
            </w:pPr>
          </w:p>
        </w:tc>
      </w:tr>
      <w:tr w14:paraId="7F28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5AAA3CBD">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56EFCBD2">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67B9E6B7">
            <w:pPr>
              <w:pStyle w:val="12"/>
              <w:spacing w:line="240" w:lineRule="atLeast"/>
              <w:ind w:left="1080" w:leftChars="257" w:hanging="540"/>
              <w:rPr>
                <w:rFonts w:hint="eastAsia" w:ascii="仿宋" w:hAnsi="仿宋" w:eastAsia="仿宋" w:cs="仿宋"/>
                <w:color w:val="auto"/>
                <w:sz w:val="24"/>
                <w:highlight w:val="none"/>
              </w:rPr>
            </w:pPr>
          </w:p>
        </w:tc>
        <w:tc>
          <w:tcPr>
            <w:tcW w:w="1805" w:type="dxa"/>
            <w:noWrap/>
          </w:tcPr>
          <w:p w14:paraId="695CE134">
            <w:pPr>
              <w:pStyle w:val="12"/>
              <w:spacing w:line="240" w:lineRule="atLeast"/>
              <w:ind w:left="1080" w:leftChars="257" w:hanging="540"/>
              <w:rPr>
                <w:rFonts w:hint="eastAsia" w:ascii="仿宋" w:hAnsi="仿宋" w:eastAsia="仿宋" w:cs="仿宋"/>
                <w:color w:val="auto"/>
                <w:sz w:val="24"/>
                <w:highlight w:val="none"/>
              </w:rPr>
            </w:pPr>
          </w:p>
        </w:tc>
      </w:tr>
      <w:tr w14:paraId="29A2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1BAA3E15">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44423AB4">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0B35AD72">
            <w:pPr>
              <w:pStyle w:val="12"/>
              <w:spacing w:line="240" w:lineRule="atLeast"/>
              <w:ind w:left="1080" w:leftChars="257" w:hanging="540"/>
              <w:rPr>
                <w:rFonts w:hint="eastAsia" w:ascii="仿宋" w:hAnsi="仿宋" w:eastAsia="仿宋" w:cs="仿宋"/>
                <w:color w:val="auto"/>
                <w:sz w:val="24"/>
                <w:highlight w:val="none"/>
              </w:rPr>
            </w:pPr>
          </w:p>
        </w:tc>
        <w:tc>
          <w:tcPr>
            <w:tcW w:w="1805" w:type="dxa"/>
            <w:noWrap/>
          </w:tcPr>
          <w:p w14:paraId="349040A8">
            <w:pPr>
              <w:pStyle w:val="12"/>
              <w:spacing w:line="240" w:lineRule="atLeast"/>
              <w:ind w:left="1080" w:leftChars="257" w:hanging="540"/>
              <w:rPr>
                <w:rFonts w:hint="eastAsia" w:ascii="仿宋" w:hAnsi="仿宋" w:eastAsia="仿宋" w:cs="仿宋"/>
                <w:color w:val="auto"/>
                <w:sz w:val="24"/>
                <w:highlight w:val="none"/>
              </w:rPr>
            </w:pPr>
          </w:p>
        </w:tc>
      </w:tr>
      <w:tr w14:paraId="25BD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6A46ECB7">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1B539148">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77E94D6F">
            <w:pPr>
              <w:pStyle w:val="12"/>
              <w:spacing w:line="240" w:lineRule="atLeast"/>
              <w:ind w:left="1080" w:leftChars="257" w:hanging="540"/>
              <w:rPr>
                <w:rFonts w:hint="eastAsia" w:ascii="仿宋" w:hAnsi="仿宋" w:eastAsia="仿宋" w:cs="仿宋"/>
                <w:color w:val="auto"/>
                <w:sz w:val="24"/>
                <w:highlight w:val="none"/>
              </w:rPr>
            </w:pPr>
          </w:p>
        </w:tc>
        <w:tc>
          <w:tcPr>
            <w:tcW w:w="1805" w:type="dxa"/>
            <w:noWrap/>
          </w:tcPr>
          <w:p w14:paraId="7E35DA5A">
            <w:pPr>
              <w:pStyle w:val="12"/>
              <w:spacing w:line="240" w:lineRule="atLeast"/>
              <w:ind w:left="1080" w:leftChars="257" w:hanging="540"/>
              <w:rPr>
                <w:rFonts w:hint="eastAsia" w:ascii="仿宋" w:hAnsi="仿宋" w:eastAsia="仿宋" w:cs="仿宋"/>
                <w:color w:val="auto"/>
                <w:sz w:val="24"/>
                <w:highlight w:val="none"/>
              </w:rPr>
            </w:pPr>
          </w:p>
        </w:tc>
      </w:tr>
      <w:tr w14:paraId="5D22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491" w:type="dxa"/>
            <w:noWrap/>
          </w:tcPr>
          <w:p w14:paraId="0228490B">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02477316">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29972205">
            <w:pPr>
              <w:pStyle w:val="12"/>
              <w:spacing w:line="240" w:lineRule="atLeast"/>
              <w:ind w:left="1080" w:leftChars="257" w:hanging="540"/>
              <w:rPr>
                <w:rFonts w:hint="eastAsia" w:ascii="仿宋" w:hAnsi="仿宋" w:eastAsia="仿宋" w:cs="仿宋"/>
                <w:color w:val="auto"/>
                <w:sz w:val="24"/>
                <w:highlight w:val="none"/>
              </w:rPr>
            </w:pPr>
          </w:p>
        </w:tc>
        <w:tc>
          <w:tcPr>
            <w:tcW w:w="1805" w:type="dxa"/>
            <w:noWrap/>
          </w:tcPr>
          <w:p w14:paraId="76B229AD">
            <w:pPr>
              <w:pStyle w:val="12"/>
              <w:spacing w:line="240" w:lineRule="atLeast"/>
              <w:ind w:left="1080" w:leftChars="257" w:hanging="540"/>
              <w:rPr>
                <w:rFonts w:hint="eastAsia" w:ascii="仿宋" w:hAnsi="仿宋" w:eastAsia="仿宋" w:cs="仿宋"/>
                <w:color w:val="auto"/>
                <w:sz w:val="24"/>
                <w:highlight w:val="none"/>
              </w:rPr>
            </w:pPr>
          </w:p>
        </w:tc>
      </w:tr>
      <w:tr w14:paraId="2D69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423FBCCB">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38352834">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16035110">
            <w:pPr>
              <w:pStyle w:val="12"/>
              <w:spacing w:line="240" w:lineRule="atLeast"/>
              <w:ind w:left="1080" w:leftChars="257" w:hanging="540"/>
              <w:rPr>
                <w:rFonts w:hint="eastAsia" w:ascii="仿宋" w:hAnsi="仿宋" w:eastAsia="仿宋" w:cs="仿宋"/>
                <w:color w:val="auto"/>
                <w:sz w:val="24"/>
                <w:highlight w:val="none"/>
              </w:rPr>
            </w:pPr>
          </w:p>
        </w:tc>
        <w:tc>
          <w:tcPr>
            <w:tcW w:w="1805" w:type="dxa"/>
            <w:noWrap/>
          </w:tcPr>
          <w:p w14:paraId="7C5F93C3">
            <w:pPr>
              <w:pStyle w:val="12"/>
              <w:spacing w:line="240" w:lineRule="atLeast"/>
              <w:ind w:left="1080" w:leftChars="257" w:hanging="540"/>
              <w:rPr>
                <w:rFonts w:hint="eastAsia" w:ascii="仿宋" w:hAnsi="仿宋" w:eastAsia="仿宋" w:cs="仿宋"/>
                <w:color w:val="auto"/>
                <w:sz w:val="24"/>
                <w:highlight w:val="none"/>
              </w:rPr>
            </w:pPr>
          </w:p>
        </w:tc>
      </w:tr>
      <w:tr w14:paraId="6CE4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2DFB453E">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3D29E011">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2D05DCC8">
            <w:pPr>
              <w:pStyle w:val="12"/>
              <w:spacing w:line="240" w:lineRule="atLeast"/>
              <w:ind w:left="1080" w:leftChars="257" w:hanging="540"/>
              <w:rPr>
                <w:rFonts w:hint="eastAsia" w:ascii="仿宋" w:hAnsi="仿宋" w:eastAsia="仿宋" w:cs="仿宋"/>
                <w:color w:val="auto"/>
                <w:sz w:val="24"/>
                <w:highlight w:val="none"/>
              </w:rPr>
            </w:pPr>
          </w:p>
        </w:tc>
        <w:tc>
          <w:tcPr>
            <w:tcW w:w="1805" w:type="dxa"/>
            <w:noWrap/>
          </w:tcPr>
          <w:p w14:paraId="31AEABF6">
            <w:pPr>
              <w:pStyle w:val="12"/>
              <w:spacing w:line="240" w:lineRule="atLeast"/>
              <w:ind w:left="1080" w:leftChars="257" w:hanging="540"/>
              <w:rPr>
                <w:rFonts w:hint="eastAsia" w:ascii="仿宋" w:hAnsi="仿宋" w:eastAsia="仿宋" w:cs="仿宋"/>
                <w:color w:val="auto"/>
                <w:sz w:val="24"/>
                <w:highlight w:val="none"/>
              </w:rPr>
            </w:pPr>
          </w:p>
        </w:tc>
      </w:tr>
      <w:tr w14:paraId="0C56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2F29F555">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09F4629F">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5DCB355F">
            <w:pPr>
              <w:pStyle w:val="12"/>
              <w:spacing w:line="240" w:lineRule="atLeast"/>
              <w:ind w:left="1080" w:leftChars="257" w:hanging="540"/>
              <w:rPr>
                <w:rFonts w:hint="eastAsia" w:ascii="仿宋" w:hAnsi="仿宋" w:eastAsia="仿宋" w:cs="仿宋"/>
                <w:color w:val="auto"/>
                <w:sz w:val="24"/>
                <w:highlight w:val="none"/>
              </w:rPr>
            </w:pPr>
          </w:p>
        </w:tc>
        <w:tc>
          <w:tcPr>
            <w:tcW w:w="1805" w:type="dxa"/>
            <w:noWrap/>
          </w:tcPr>
          <w:p w14:paraId="1AF01414">
            <w:pPr>
              <w:pStyle w:val="12"/>
              <w:spacing w:line="240" w:lineRule="atLeast"/>
              <w:ind w:left="1080" w:leftChars="257" w:hanging="540"/>
              <w:rPr>
                <w:rFonts w:hint="eastAsia" w:ascii="仿宋" w:hAnsi="仿宋" w:eastAsia="仿宋" w:cs="仿宋"/>
                <w:color w:val="auto"/>
                <w:sz w:val="24"/>
                <w:highlight w:val="none"/>
              </w:rPr>
            </w:pPr>
          </w:p>
        </w:tc>
      </w:tr>
      <w:tr w14:paraId="0248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580802B6">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435753C0">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6E029AD0">
            <w:pPr>
              <w:pStyle w:val="12"/>
              <w:spacing w:line="240" w:lineRule="atLeast"/>
              <w:ind w:left="1080" w:leftChars="257" w:hanging="540"/>
              <w:rPr>
                <w:rFonts w:hint="eastAsia" w:ascii="仿宋" w:hAnsi="仿宋" w:eastAsia="仿宋" w:cs="仿宋"/>
                <w:color w:val="auto"/>
                <w:sz w:val="24"/>
                <w:highlight w:val="none"/>
              </w:rPr>
            </w:pPr>
          </w:p>
        </w:tc>
        <w:tc>
          <w:tcPr>
            <w:tcW w:w="1805" w:type="dxa"/>
            <w:noWrap/>
          </w:tcPr>
          <w:p w14:paraId="5B3513D8">
            <w:pPr>
              <w:pStyle w:val="12"/>
              <w:spacing w:line="240" w:lineRule="atLeast"/>
              <w:ind w:left="1080" w:leftChars="257" w:hanging="540"/>
              <w:rPr>
                <w:rFonts w:hint="eastAsia" w:ascii="仿宋" w:hAnsi="仿宋" w:eastAsia="仿宋" w:cs="仿宋"/>
                <w:color w:val="auto"/>
                <w:sz w:val="24"/>
                <w:highlight w:val="none"/>
              </w:rPr>
            </w:pPr>
          </w:p>
        </w:tc>
      </w:tr>
      <w:tr w14:paraId="1827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0B0EE75A">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269681C3">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4F480CA4">
            <w:pPr>
              <w:pStyle w:val="12"/>
              <w:spacing w:line="240" w:lineRule="atLeast"/>
              <w:ind w:left="1080" w:leftChars="257" w:hanging="540"/>
              <w:rPr>
                <w:rFonts w:hint="eastAsia" w:ascii="仿宋" w:hAnsi="仿宋" w:eastAsia="仿宋" w:cs="仿宋"/>
                <w:color w:val="auto"/>
                <w:sz w:val="24"/>
                <w:highlight w:val="none"/>
              </w:rPr>
            </w:pPr>
          </w:p>
        </w:tc>
        <w:tc>
          <w:tcPr>
            <w:tcW w:w="1805" w:type="dxa"/>
            <w:noWrap/>
          </w:tcPr>
          <w:p w14:paraId="26D709F3">
            <w:pPr>
              <w:pStyle w:val="12"/>
              <w:spacing w:line="240" w:lineRule="atLeast"/>
              <w:ind w:left="1080" w:leftChars="257" w:hanging="540"/>
              <w:rPr>
                <w:rFonts w:hint="eastAsia" w:ascii="仿宋" w:hAnsi="仿宋" w:eastAsia="仿宋" w:cs="仿宋"/>
                <w:color w:val="auto"/>
                <w:sz w:val="24"/>
                <w:highlight w:val="none"/>
              </w:rPr>
            </w:pPr>
          </w:p>
        </w:tc>
      </w:tr>
      <w:tr w14:paraId="5751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406C473B">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3E663180">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49D13628">
            <w:pPr>
              <w:pStyle w:val="12"/>
              <w:spacing w:line="240" w:lineRule="atLeast"/>
              <w:ind w:left="1080" w:leftChars="257" w:hanging="540"/>
              <w:rPr>
                <w:rFonts w:hint="eastAsia" w:ascii="仿宋" w:hAnsi="仿宋" w:eastAsia="仿宋" w:cs="仿宋"/>
                <w:color w:val="auto"/>
                <w:sz w:val="24"/>
                <w:highlight w:val="none"/>
              </w:rPr>
            </w:pPr>
          </w:p>
        </w:tc>
        <w:tc>
          <w:tcPr>
            <w:tcW w:w="1805" w:type="dxa"/>
            <w:noWrap/>
          </w:tcPr>
          <w:p w14:paraId="1B0AE851">
            <w:pPr>
              <w:pStyle w:val="12"/>
              <w:spacing w:line="240" w:lineRule="atLeast"/>
              <w:ind w:left="1080" w:leftChars="257" w:hanging="540"/>
              <w:rPr>
                <w:rFonts w:hint="eastAsia" w:ascii="仿宋" w:hAnsi="仿宋" w:eastAsia="仿宋" w:cs="仿宋"/>
                <w:color w:val="auto"/>
                <w:sz w:val="24"/>
                <w:highlight w:val="none"/>
              </w:rPr>
            </w:pPr>
          </w:p>
        </w:tc>
      </w:tr>
    </w:tbl>
    <w:p w14:paraId="43C38EA9">
      <w:pPr>
        <w:pStyle w:val="12"/>
        <w:spacing w:line="360" w:lineRule="auto"/>
        <w:ind w:left="1080" w:leftChars="257" w:hanging="540"/>
        <w:rPr>
          <w:rFonts w:hint="eastAsia" w:ascii="仿宋" w:hAnsi="仿宋" w:eastAsia="仿宋" w:cs="仿宋"/>
          <w:sz w:val="24"/>
          <w:highlight w:val="none"/>
        </w:rPr>
      </w:pPr>
      <w:bookmarkStart w:id="766" w:name="_Toc515647823"/>
      <w:bookmarkStart w:id="767" w:name="_Toc18272"/>
      <w:bookmarkStart w:id="768" w:name="_Toc28936"/>
      <w:bookmarkStart w:id="769" w:name="_Toc10725"/>
      <w:bookmarkStart w:id="770" w:name="_Toc18491"/>
      <w:bookmarkStart w:id="771" w:name="_Toc5437"/>
      <w:r>
        <w:rPr>
          <w:rFonts w:hint="eastAsia" w:ascii="仿宋" w:hAnsi="仿宋" w:eastAsia="仿宋" w:cs="仿宋"/>
          <w:sz w:val="24"/>
          <w:highlight w:val="none"/>
        </w:rPr>
        <w:t>注:</w:t>
      </w:r>
    </w:p>
    <w:p w14:paraId="49154D34">
      <w:pPr>
        <w:pStyle w:val="12"/>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1、商务条款包括</w:t>
      </w:r>
      <w:r>
        <w:rPr>
          <w:rFonts w:hint="eastAsia" w:ascii="仿宋" w:hAnsi="仿宋" w:eastAsia="仿宋" w:cs="仿宋"/>
          <w:sz w:val="24"/>
          <w:highlight w:val="none"/>
          <w:lang w:val="en-US" w:eastAsia="zh-CN"/>
        </w:rPr>
        <w:t>质保期、</w:t>
      </w:r>
      <w:r>
        <w:rPr>
          <w:rFonts w:hint="eastAsia" w:ascii="仿宋" w:hAnsi="仿宋" w:eastAsia="仿宋" w:cs="仿宋"/>
          <w:sz w:val="24"/>
          <w:highlight w:val="none"/>
        </w:rPr>
        <w:t>付款方式、</w:t>
      </w:r>
      <w:r>
        <w:rPr>
          <w:rFonts w:hint="eastAsia" w:ascii="仿宋" w:hAnsi="仿宋" w:eastAsia="仿宋" w:cs="仿宋"/>
          <w:sz w:val="24"/>
          <w:highlight w:val="none"/>
          <w:lang w:val="en-US" w:eastAsia="zh-CN"/>
        </w:rPr>
        <w:t>履约期限、履约地点</w:t>
      </w:r>
      <w:r>
        <w:rPr>
          <w:rFonts w:hint="eastAsia" w:ascii="仿宋" w:hAnsi="仿宋" w:eastAsia="仿宋" w:cs="仿宋"/>
          <w:sz w:val="24"/>
          <w:highlight w:val="none"/>
        </w:rPr>
        <w:t>等内容;</w:t>
      </w:r>
    </w:p>
    <w:p w14:paraId="3E017BC7">
      <w:pPr>
        <w:pStyle w:val="12"/>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投标人</w:t>
      </w:r>
      <w:r>
        <w:rPr>
          <w:rFonts w:hint="eastAsia" w:ascii="仿宋" w:hAnsi="仿宋" w:eastAsia="仿宋" w:cs="仿宋"/>
          <w:sz w:val="24"/>
          <w:highlight w:val="none"/>
        </w:rPr>
        <w:t>应对照采购文件要求的商务条款内容，说明已对采购文件要求的商务条款作出了响应或偏离</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正偏离/负偏离/无偏离</w:t>
      </w:r>
      <w:r>
        <w:rPr>
          <w:rFonts w:hint="eastAsia" w:ascii="仿宋" w:hAnsi="仿宋" w:eastAsia="仿宋" w:cs="仿宋"/>
          <w:sz w:val="24"/>
          <w:highlight w:val="none"/>
          <w:lang w:eastAsia="zh-CN"/>
        </w:rPr>
        <w:t>）</w:t>
      </w:r>
      <w:r>
        <w:rPr>
          <w:rFonts w:hint="eastAsia" w:ascii="仿宋" w:hAnsi="仿宋" w:eastAsia="仿宋" w:cs="仿宋"/>
          <w:sz w:val="24"/>
          <w:highlight w:val="none"/>
        </w:rPr>
        <w:t>;</w:t>
      </w:r>
    </w:p>
    <w:p w14:paraId="3B507B78">
      <w:pPr>
        <w:pStyle w:val="12"/>
        <w:spacing w:line="360" w:lineRule="auto"/>
        <w:ind w:left="1080" w:leftChars="257" w:hanging="540"/>
        <w:rPr>
          <w:rFonts w:hint="eastAsia" w:ascii="仿宋" w:hAnsi="仿宋" w:eastAsia="仿宋" w:cs="仿宋"/>
          <w:sz w:val="24"/>
          <w:highlight w:val="none"/>
          <w:lang w:eastAsia="zh-CN"/>
        </w:rPr>
      </w:pPr>
      <w:r>
        <w:rPr>
          <w:rFonts w:hint="eastAsia" w:ascii="仿宋" w:hAnsi="仿宋" w:eastAsia="仿宋" w:cs="仿宋"/>
          <w:sz w:val="24"/>
          <w:highlight w:val="none"/>
        </w:rPr>
        <w:t>3、以上响应/偏离内容投标人认为有必要提供说明或备注应在说明栏中注明该条在响应文件中相关部分(或页码)相应的依据</w:t>
      </w:r>
      <w:r>
        <w:rPr>
          <w:rFonts w:hint="eastAsia" w:ascii="仿宋" w:hAnsi="仿宋" w:eastAsia="仿宋" w:cs="仿宋"/>
          <w:sz w:val="24"/>
          <w:highlight w:val="none"/>
          <w:lang w:eastAsia="zh-CN"/>
        </w:rPr>
        <w:t>；</w:t>
      </w:r>
    </w:p>
    <w:p w14:paraId="7067E523">
      <w:pPr>
        <w:pStyle w:val="12"/>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4、供应商所供产品</w:t>
      </w:r>
      <w:r>
        <w:rPr>
          <w:rFonts w:hint="eastAsia" w:ascii="仿宋" w:hAnsi="仿宋" w:eastAsia="仿宋" w:cs="仿宋"/>
          <w:sz w:val="24"/>
          <w:highlight w:val="none"/>
          <w:lang w:val="en-US" w:eastAsia="zh-CN"/>
        </w:rPr>
        <w:t>或服务</w:t>
      </w:r>
      <w:r>
        <w:rPr>
          <w:rFonts w:hint="eastAsia" w:ascii="仿宋" w:hAnsi="仿宋" w:eastAsia="仿宋" w:cs="仿宋"/>
          <w:sz w:val="24"/>
          <w:highlight w:val="none"/>
        </w:rPr>
        <w:t>如与采购文件要求的商务条款不一致，则需在上表说明栏中注明:</w:t>
      </w:r>
    </w:p>
    <w:p w14:paraId="3B4674D4">
      <w:pPr>
        <w:pStyle w:val="12"/>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5、如不按要求填写，产生的一切后果由供应商负责。</w:t>
      </w:r>
    </w:p>
    <w:p w14:paraId="299F963B">
      <w:pPr>
        <w:pStyle w:val="12"/>
        <w:spacing w:line="360" w:lineRule="auto"/>
        <w:ind w:left="1080" w:leftChars="257" w:hanging="540"/>
        <w:rPr>
          <w:rFonts w:hint="eastAsia" w:ascii="仿宋" w:hAnsi="仿宋" w:eastAsia="仿宋" w:cs="仿宋"/>
          <w:sz w:val="24"/>
          <w:highlight w:val="none"/>
        </w:rPr>
      </w:pPr>
    </w:p>
    <w:p w14:paraId="0102C54B">
      <w:pPr>
        <w:pStyle w:val="12"/>
        <w:spacing w:line="360" w:lineRule="auto"/>
        <w:ind w:left="1080" w:leftChars="257" w:hanging="540"/>
        <w:rPr>
          <w:rFonts w:hint="eastAsia" w:ascii="仿宋" w:hAnsi="仿宋" w:eastAsia="仿宋" w:cs="仿宋"/>
          <w:sz w:val="24"/>
          <w:highlight w:val="none"/>
        </w:rPr>
      </w:pPr>
    </w:p>
    <w:p w14:paraId="56EB673D">
      <w:pPr>
        <w:pStyle w:val="12"/>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法定代表人或其委托代理人</w:t>
      </w:r>
      <w:r>
        <w:rPr>
          <w:rFonts w:hint="eastAsia" w:ascii="仿宋" w:hAnsi="仿宋" w:eastAsia="仿宋" w:cs="仿宋"/>
          <w:sz w:val="24"/>
          <w:highlight w:val="none"/>
          <w:lang w:eastAsia="zh-CN"/>
        </w:rPr>
        <w:t>（</w:t>
      </w:r>
      <w:r>
        <w:rPr>
          <w:rFonts w:hint="eastAsia" w:ascii="仿宋" w:hAnsi="仿宋" w:eastAsia="仿宋" w:cs="仿宋"/>
          <w:sz w:val="24"/>
          <w:highlight w:val="none"/>
        </w:rPr>
        <w:t>签字或签章</w:t>
      </w:r>
      <w:r>
        <w:rPr>
          <w:rFonts w:hint="eastAsia" w:ascii="仿宋" w:hAnsi="仿宋" w:eastAsia="仿宋" w:cs="仿宋"/>
          <w:sz w:val="24"/>
          <w:highlight w:val="none"/>
          <w:lang w:eastAsia="zh-CN"/>
        </w:rPr>
        <w:t>）</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p>
    <w:p w14:paraId="593A6A72">
      <w:pPr>
        <w:pStyle w:val="12"/>
        <w:tabs>
          <w:tab w:val="left" w:pos="5370"/>
        </w:tabs>
        <w:spacing w:line="360" w:lineRule="auto"/>
        <w:ind w:left="1080" w:leftChars="257" w:hanging="540"/>
        <w:rPr>
          <w:rFonts w:hint="eastAsia" w:ascii="仿宋" w:hAnsi="仿宋" w:eastAsia="仿宋" w:cs="仿宋"/>
          <w:sz w:val="24"/>
          <w:highlight w:val="none"/>
          <w:u w:val="single"/>
        </w:rPr>
      </w:pPr>
      <w:r>
        <w:rPr>
          <w:rFonts w:hint="eastAsia" w:ascii="仿宋" w:hAnsi="仿宋" w:eastAsia="仿宋" w:cs="仿宋"/>
          <w:sz w:val="24"/>
          <w:highlight w:val="none"/>
        </w:rPr>
        <w:t>投标人(盖单位章):</w:t>
      </w:r>
      <w:r>
        <w:rPr>
          <w:rFonts w:hint="eastAsia" w:ascii="仿宋" w:hAnsi="仿宋" w:eastAsia="仿宋" w:cs="仿宋"/>
          <w:sz w:val="24"/>
          <w:highlight w:val="none"/>
          <w:u w:val="single"/>
        </w:rPr>
        <w:tab/>
      </w:r>
    </w:p>
    <w:p w14:paraId="5F5BD6E1">
      <w:pPr>
        <w:rPr>
          <w:rFonts w:hint="eastAsia" w:ascii="仿宋" w:hAnsi="仿宋" w:eastAsia="仿宋" w:cs="仿宋"/>
          <w:color w:val="auto"/>
          <w:highlight w:val="none"/>
          <w:u w:val="none"/>
          <w:lang w:val="en-US" w:eastAsia="zh-CN"/>
        </w:rPr>
      </w:pPr>
    </w:p>
    <w:p w14:paraId="573EA0A8">
      <w:pPr>
        <w:rPr>
          <w:rFonts w:hint="eastAsia" w:ascii="仿宋" w:hAnsi="仿宋" w:eastAsia="仿宋" w:cs="仿宋"/>
          <w:color w:val="auto"/>
          <w:highlight w:val="none"/>
          <w:u w:val="none"/>
          <w:lang w:val="en-US" w:eastAsia="zh-CN"/>
        </w:rPr>
      </w:pPr>
    </w:p>
    <w:p w14:paraId="5F67A3C5">
      <w:pPr>
        <w:numPr>
          <w:ilvl w:val="0"/>
          <w:numId w:val="0"/>
        </w:numPr>
        <w:rPr>
          <w:rFonts w:hint="eastAsia" w:ascii="仿宋" w:hAnsi="仿宋" w:eastAsia="仿宋" w:cs="仿宋"/>
          <w:b/>
          <w:bCs w:val="0"/>
          <w:snapToGrid w:val="0"/>
          <w:color w:val="000000"/>
          <w:kern w:val="0"/>
          <w:sz w:val="28"/>
          <w:szCs w:val="28"/>
          <w:highlight w:val="none"/>
          <w:u w:val="none"/>
          <w:lang w:val="en-US" w:eastAsia="zh-CN" w:bidi="ar-SA"/>
        </w:rPr>
      </w:pPr>
      <w:r>
        <w:rPr>
          <w:rFonts w:hint="eastAsia" w:ascii="仿宋" w:hAnsi="仿宋" w:eastAsia="仿宋" w:cs="仿宋"/>
          <w:b/>
          <w:bCs w:val="0"/>
          <w:snapToGrid w:val="0"/>
          <w:color w:val="000000"/>
          <w:kern w:val="0"/>
          <w:sz w:val="28"/>
          <w:szCs w:val="28"/>
          <w:highlight w:val="none"/>
          <w:u w:val="none"/>
          <w:lang w:val="en-US" w:eastAsia="zh-CN" w:bidi="ar-SA"/>
        </w:rPr>
        <w:t>6、符合《政府采购促进中小企业发展暂行办法》、《关于政府采购支持监狱企业发展有关问题的通知》和《三部门联合发布关于促进残疾人就业政府采购政策的通知》价格扣减条件的投标人须提交）《关于调整优化节能产品、环境标志产品政府采购执行机制的通知》（财库〔2019〕9号）、《节能产品政府采购品目清单》（财库〔2019〕19号）、《环境标志产品政府采购品目清单》（财库〔2019〕18号；</w:t>
      </w:r>
    </w:p>
    <w:p w14:paraId="3FF10F61">
      <w:pPr>
        <w:pStyle w:val="4"/>
        <w:spacing w:before="0" w:after="0" w:line="288" w:lineRule="auto"/>
        <w:ind w:left="1079" w:leftChars="257" w:hanging="539"/>
        <w:jc w:val="center"/>
        <w:rPr>
          <w:rFonts w:hint="eastAsia" w:ascii="仿宋" w:hAnsi="仿宋" w:eastAsia="仿宋" w:cs="仿宋"/>
          <w:color w:val="auto"/>
          <w:highlight w:val="none"/>
          <w:u w:val="none"/>
          <w:lang w:val="en-US" w:eastAsia="zh-CN"/>
        </w:rPr>
      </w:pPr>
      <w:bookmarkStart w:id="772" w:name="_Toc17813"/>
    </w:p>
    <w:p w14:paraId="3EFD4EAB">
      <w:pPr>
        <w:pStyle w:val="4"/>
        <w:spacing w:before="0" w:after="0" w:line="288" w:lineRule="auto"/>
        <w:ind w:left="1079" w:leftChars="257" w:hanging="539"/>
        <w:jc w:val="center"/>
        <w:rPr>
          <w:rFonts w:hint="eastAsia" w:ascii="仿宋_GB2312" w:hAnsi="仿宋_GB2312" w:eastAsia="仿宋_GB2312" w:cs="仿宋_GB2312"/>
          <w:color w:val="auto"/>
          <w:highlight w:val="none"/>
          <w:u w:val="none"/>
        </w:rPr>
      </w:pPr>
      <w:bookmarkStart w:id="773" w:name="_Toc22301"/>
      <w:r>
        <w:rPr>
          <w:rFonts w:hint="eastAsia" w:ascii="仿宋" w:hAnsi="仿宋" w:eastAsia="仿宋" w:cs="仿宋"/>
          <w:color w:val="auto"/>
          <w:highlight w:val="none"/>
          <w:u w:val="none"/>
          <w:lang w:val="en-US" w:eastAsia="zh-CN"/>
        </w:rPr>
        <w:t>6-1</w:t>
      </w:r>
      <w:bookmarkEnd w:id="766"/>
      <w:bookmarkEnd w:id="767"/>
      <w:bookmarkEnd w:id="768"/>
      <w:bookmarkEnd w:id="769"/>
      <w:bookmarkEnd w:id="770"/>
      <w:bookmarkEnd w:id="772"/>
      <w:bookmarkEnd w:id="773"/>
      <w:bookmarkStart w:id="774" w:name="_Toc29288"/>
      <w:bookmarkStart w:id="775" w:name="_Toc11803"/>
      <w:bookmarkStart w:id="776" w:name="_Toc515647824"/>
      <w:bookmarkStart w:id="777" w:name="_Toc10977"/>
      <w:r>
        <w:rPr>
          <w:rFonts w:hint="eastAsia" w:ascii="仿宋_GB2312" w:hAnsi="仿宋_GB2312" w:eastAsia="仿宋_GB2312" w:cs="仿宋_GB2312"/>
          <w:color w:val="auto"/>
          <w:highlight w:val="none"/>
          <w:u w:val="none"/>
        </w:rPr>
        <w:t>中小企业声明函（货物）</w:t>
      </w:r>
      <w:bookmarkEnd w:id="774"/>
    </w:p>
    <w:p w14:paraId="2B218C81">
      <w:pPr>
        <w:shd w:val="clear" w:color="auto" w:fill="FFFFFF"/>
        <w:spacing w:before="100" w:beforeAutospacing="1" w:after="100" w:afterAutospacing="1"/>
        <w:ind w:firstLine="480"/>
        <w:jc w:val="left"/>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shd w:val="clear" w:color="auto" w:fill="FFFFFF"/>
        </w:rPr>
        <w:t>本公司（联合体）郑重声明，根据《政府采购促进中小企业发展管理办法》（财库﹝2020﹞46号）的规定，本公司（联合体）参加</w:t>
      </w:r>
      <w:r>
        <w:rPr>
          <w:rFonts w:hint="eastAsia" w:ascii="仿宋" w:hAnsi="仿宋" w:eastAsia="仿宋" w:cs="仿宋"/>
          <w:color w:val="auto"/>
          <w:kern w:val="0"/>
          <w:sz w:val="24"/>
          <w:highlight w:val="none"/>
          <w:u w:val="single"/>
          <w:shd w:val="clear" w:color="auto" w:fill="FFFFFF"/>
        </w:rPr>
        <w:t>     （单位名称）</w:t>
      </w:r>
      <w:r>
        <w:rPr>
          <w:rFonts w:hint="eastAsia" w:ascii="仿宋" w:hAnsi="仿宋" w:eastAsia="仿宋" w:cs="仿宋"/>
          <w:color w:val="auto"/>
          <w:kern w:val="0"/>
          <w:sz w:val="24"/>
          <w:highlight w:val="none"/>
          <w:shd w:val="clear" w:color="auto" w:fill="FFFFFF"/>
        </w:rPr>
        <w:t>的</w:t>
      </w:r>
      <w:r>
        <w:rPr>
          <w:rFonts w:hint="eastAsia" w:ascii="仿宋" w:hAnsi="仿宋" w:eastAsia="仿宋" w:cs="仿宋"/>
          <w:color w:val="auto"/>
          <w:kern w:val="0"/>
          <w:sz w:val="24"/>
          <w:highlight w:val="none"/>
          <w:u w:val="single"/>
          <w:shd w:val="clear" w:color="auto" w:fill="FFFFFF"/>
        </w:rPr>
        <w:t>    （项目名称）</w:t>
      </w:r>
      <w:r>
        <w:rPr>
          <w:rFonts w:hint="eastAsia" w:ascii="仿宋" w:hAnsi="仿宋" w:eastAsia="仿宋" w:cs="仿宋"/>
          <w:color w:val="auto"/>
          <w:kern w:val="0"/>
          <w:sz w:val="24"/>
          <w:highlight w:val="none"/>
          <w:shd w:val="clear" w:color="auto" w:fill="FFFFFF"/>
        </w:rPr>
        <w:t>采购活动，提供的货物全部由符合政策要求的中小企业制造。相关企业（含联合体中的中小企业、签订分包意向协议的中小企业）的具体情况如下：</w:t>
      </w:r>
    </w:p>
    <w:p w14:paraId="30312D88">
      <w:pPr>
        <w:shd w:val="clear" w:color="auto" w:fill="FFFFFF"/>
        <w:spacing w:before="100" w:beforeAutospacing="1" w:after="100" w:afterAutospacing="1"/>
        <w:ind w:firstLine="480"/>
        <w:jc w:val="left"/>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shd w:val="clear" w:color="auto" w:fill="FFFFFF"/>
        </w:rPr>
        <w:t>1.</w:t>
      </w:r>
      <w:r>
        <w:rPr>
          <w:rFonts w:hint="eastAsia" w:ascii="仿宋" w:hAnsi="仿宋" w:eastAsia="仿宋" w:cs="仿宋"/>
          <w:color w:val="auto"/>
          <w:kern w:val="0"/>
          <w:sz w:val="24"/>
          <w:highlight w:val="none"/>
          <w:u w:val="single"/>
          <w:shd w:val="clear" w:color="auto" w:fill="FFFFFF"/>
        </w:rPr>
        <w:t>     （标的名称）</w:t>
      </w:r>
      <w:r>
        <w:rPr>
          <w:rFonts w:hint="eastAsia" w:ascii="仿宋" w:hAnsi="仿宋" w:eastAsia="仿宋" w:cs="仿宋"/>
          <w:color w:val="auto"/>
          <w:kern w:val="0"/>
          <w:sz w:val="24"/>
          <w:highlight w:val="none"/>
          <w:shd w:val="clear" w:color="auto" w:fill="FFFFFF"/>
        </w:rPr>
        <w:t>，属于</w:t>
      </w:r>
      <w:r>
        <w:rPr>
          <w:rFonts w:hint="eastAsia" w:ascii="仿宋" w:hAnsi="仿宋" w:eastAsia="仿宋" w:cs="仿宋"/>
          <w:color w:val="auto"/>
          <w:kern w:val="0"/>
          <w:sz w:val="24"/>
          <w:highlight w:val="none"/>
          <w:u w:val="single"/>
          <w:shd w:val="clear" w:color="auto" w:fill="FFFFFF"/>
        </w:rPr>
        <w:t>     （采购文件中明确的所属行业）</w:t>
      </w:r>
      <w:r>
        <w:rPr>
          <w:rFonts w:hint="eastAsia" w:ascii="仿宋" w:hAnsi="仿宋" w:eastAsia="仿宋" w:cs="仿宋"/>
          <w:color w:val="auto"/>
          <w:kern w:val="0"/>
          <w:sz w:val="24"/>
          <w:highlight w:val="none"/>
          <w:shd w:val="clear" w:color="auto" w:fill="FFFFFF"/>
        </w:rPr>
        <w:t>行业；制造商为</w:t>
      </w:r>
      <w:r>
        <w:rPr>
          <w:rFonts w:hint="eastAsia" w:ascii="仿宋" w:hAnsi="仿宋" w:eastAsia="仿宋" w:cs="仿宋"/>
          <w:color w:val="auto"/>
          <w:kern w:val="0"/>
          <w:sz w:val="24"/>
          <w:highlight w:val="none"/>
          <w:u w:val="single"/>
          <w:shd w:val="clear" w:color="auto" w:fill="FFFFFF"/>
        </w:rPr>
        <w:t>       （企业名称）</w:t>
      </w:r>
      <w:r>
        <w:rPr>
          <w:rFonts w:hint="eastAsia" w:ascii="仿宋" w:hAnsi="仿宋" w:eastAsia="仿宋" w:cs="仿宋"/>
          <w:color w:val="auto"/>
          <w:kern w:val="0"/>
          <w:sz w:val="24"/>
          <w:highlight w:val="none"/>
          <w:shd w:val="clear" w:color="auto" w:fill="FFFFFF"/>
        </w:rPr>
        <w:t>，从业人员</w:t>
      </w:r>
      <w:r>
        <w:rPr>
          <w:rFonts w:hint="eastAsia" w:ascii="仿宋" w:hAnsi="仿宋" w:eastAsia="仿宋" w:cs="仿宋"/>
          <w:color w:val="auto"/>
          <w:kern w:val="0"/>
          <w:sz w:val="24"/>
          <w:highlight w:val="none"/>
          <w:u w:val="single"/>
          <w:shd w:val="clear" w:color="auto" w:fill="FFFFFF"/>
        </w:rPr>
        <w:t>    </w:t>
      </w:r>
      <w:r>
        <w:rPr>
          <w:rFonts w:hint="eastAsia" w:ascii="仿宋" w:hAnsi="仿宋" w:eastAsia="仿宋" w:cs="仿宋"/>
          <w:color w:val="auto"/>
          <w:kern w:val="0"/>
          <w:sz w:val="24"/>
          <w:highlight w:val="none"/>
          <w:shd w:val="clear" w:color="auto" w:fill="FFFFFF"/>
        </w:rPr>
        <w:t>人，营业收入为</w:t>
      </w:r>
      <w:r>
        <w:rPr>
          <w:rFonts w:hint="eastAsia" w:ascii="仿宋" w:hAnsi="仿宋" w:eastAsia="仿宋" w:cs="仿宋"/>
          <w:color w:val="auto"/>
          <w:kern w:val="0"/>
          <w:sz w:val="24"/>
          <w:highlight w:val="none"/>
          <w:u w:val="single"/>
          <w:shd w:val="clear" w:color="auto" w:fill="FFFFFF"/>
        </w:rPr>
        <w:t>    </w:t>
      </w:r>
      <w:r>
        <w:rPr>
          <w:rFonts w:hint="eastAsia" w:ascii="仿宋" w:hAnsi="仿宋" w:eastAsia="仿宋" w:cs="仿宋"/>
          <w:color w:val="auto"/>
          <w:kern w:val="0"/>
          <w:sz w:val="24"/>
          <w:highlight w:val="none"/>
          <w:shd w:val="clear" w:color="auto" w:fill="FFFFFF"/>
        </w:rPr>
        <w:t>万元，资产总额为</w:t>
      </w:r>
      <w:r>
        <w:rPr>
          <w:rFonts w:hint="eastAsia" w:ascii="仿宋" w:hAnsi="仿宋" w:eastAsia="仿宋" w:cs="仿宋"/>
          <w:color w:val="auto"/>
          <w:kern w:val="0"/>
          <w:sz w:val="24"/>
          <w:highlight w:val="none"/>
          <w:u w:val="single"/>
          <w:shd w:val="clear" w:color="auto" w:fill="FFFFFF"/>
        </w:rPr>
        <w:t>   </w:t>
      </w:r>
      <w:r>
        <w:rPr>
          <w:rFonts w:hint="eastAsia" w:ascii="仿宋" w:hAnsi="仿宋" w:eastAsia="仿宋" w:cs="仿宋"/>
          <w:color w:val="auto"/>
          <w:kern w:val="0"/>
          <w:sz w:val="24"/>
          <w:highlight w:val="none"/>
          <w:shd w:val="clear" w:color="auto" w:fill="FFFFFF"/>
        </w:rPr>
        <w:t>万元</w:t>
      </w:r>
      <w:r>
        <w:rPr>
          <w:rFonts w:hint="eastAsia" w:ascii="仿宋" w:hAnsi="仿宋" w:eastAsia="仿宋" w:cs="仿宋"/>
          <w:color w:val="auto"/>
          <w:kern w:val="0"/>
          <w:sz w:val="24"/>
          <w:highlight w:val="none"/>
          <w:shd w:val="clear" w:color="auto" w:fill="FFFFFF"/>
          <w:vertAlign w:val="superscript"/>
        </w:rPr>
        <w:t>1</w:t>
      </w:r>
      <w:r>
        <w:rPr>
          <w:rFonts w:hint="eastAsia" w:ascii="仿宋" w:hAnsi="仿宋" w:eastAsia="仿宋" w:cs="仿宋"/>
          <w:color w:val="auto"/>
          <w:kern w:val="0"/>
          <w:sz w:val="24"/>
          <w:highlight w:val="none"/>
          <w:shd w:val="clear" w:color="auto" w:fill="FFFFFF"/>
        </w:rPr>
        <w:t>，属于</w:t>
      </w:r>
      <w:r>
        <w:rPr>
          <w:rFonts w:hint="eastAsia" w:ascii="仿宋" w:hAnsi="仿宋" w:eastAsia="仿宋" w:cs="仿宋"/>
          <w:color w:val="auto"/>
          <w:kern w:val="0"/>
          <w:sz w:val="24"/>
          <w:highlight w:val="none"/>
          <w:u w:val="single"/>
          <w:shd w:val="clear" w:color="auto" w:fill="FFFFFF"/>
        </w:rPr>
        <w:t>     （中型企业、小型企业、微型企业）</w:t>
      </w:r>
      <w:r>
        <w:rPr>
          <w:rFonts w:hint="eastAsia" w:ascii="仿宋" w:hAnsi="仿宋" w:eastAsia="仿宋" w:cs="仿宋"/>
          <w:color w:val="auto"/>
          <w:kern w:val="0"/>
          <w:sz w:val="24"/>
          <w:highlight w:val="none"/>
          <w:shd w:val="clear" w:color="auto" w:fill="FFFFFF"/>
        </w:rPr>
        <w:t>；</w:t>
      </w:r>
    </w:p>
    <w:p w14:paraId="79C59135">
      <w:pPr>
        <w:shd w:val="clear" w:color="auto" w:fill="FFFFFF"/>
        <w:spacing w:before="100" w:beforeAutospacing="1" w:after="100" w:afterAutospacing="1"/>
        <w:ind w:firstLine="480"/>
        <w:jc w:val="left"/>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shd w:val="clear" w:color="auto" w:fill="FFFFFF"/>
        </w:rPr>
        <w:t>2.</w:t>
      </w:r>
      <w:r>
        <w:rPr>
          <w:rFonts w:hint="eastAsia" w:ascii="仿宋" w:hAnsi="仿宋" w:eastAsia="仿宋" w:cs="仿宋"/>
          <w:color w:val="auto"/>
          <w:kern w:val="0"/>
          <w:sz w:val="24"/>
          <w:highlight w:val="none"/>
          <w:u w:val="single"/>
          <w:shd w:val="clear" w:color="auto" w:fill="FFFFFF"/>
        </w:rPr>
        <w:t>     （标的名称）</w:t>
      </w:r>
      <w:r>
        <w:rPr>
          <w:rFonts w:hint="eastAsia" w:ascii="仿宋" w:hAnsi="仿宋" w:eastAsia="仿宋" w:cs="仿宋"/>
          <w:color w:val="auto"/>
          <w:kern w:val="0"/>
          <w:sz w:val="24"/>
          <w:highlight w:val="none"/>
          <w:shd w:val="clear" w:color="auto" w:fill="FFFFFF"/>
        </w:rPr>
        <w:t>，属于</w:t>
      </w:r>
      <w:r>
        <w:rPr>
          <w:rFonts w:hint="eastAsia" w:ascii="仿宋" w:hAnsi="仿宋" w:eastAsia="仿宋" w:cs="仿宋"/>
          <w:color w:val="auto"/>
          <w:kern w:val="0"/>
          <w:sz w:val="24"/>
          <w:highlight w:val="none"/>
          <w:u w:val="single"/>
          <w:shd w:val="clear" w:color="auto" w:fill="FFFFFF"/>
        </w:rPr>
        <w:t>     （采购文件中明确的所属行业）</w:t>
      </w:r>
      <w:r>
        <w:rPr>
          <w:rFonts w:hint="eastAsia" w:ascii="仿宋" w:hAnsi="仿宋" w:eastAsia="仿宋" w:cs="仿宋"/>
          <w:color w:val="auto"/>
          <w:kern w:val="0"/>
          <w:sz w:val="24"/>
          <w:highlight w:val="none"/>
          <w:shd w:val="clear" w:color="auto" w:fill="FFFFFF"/>
        </w:rPr>
        <w:t>行业；制造商为</w:t>
      </w:r>
      <w:r>
        <w:rPr>
          <w:rFonts w:hint="eastAsia" w:ascii="仿宋" w:hAnsi="仿宋" w:eastAsia="仿宋" w:cs="仿宋"/>
          <w:color w:val="auto"/>
          <w:kern w:val="0"/>
          <w:sz w:val="24"/>
          <w:highlight w:val="none"/>
          <w:u w:val="single"/>
          <w:shd w:val="clear" w:color="auto" w:fill="FFFFFF"/>
        </w:rPr>
        <w:t>       （企业名称）</w:t>
      </w:r>
      <w:r>
        <w:rPr>
          <w:rFonts w:hint="eastAsia" w:ascii="仿宋" w:hAnsi="仿宋" w:eastAsia="仿宋" w:cs="仿宋"/>
          <w:color w:val="auto"/>
          <w:kern w:val="0"/>
          <w:sz w:val="24"/>
          <w:highlight w:val="none"/>
          <w:shd w:val="clear" w:color="auto" w:fill="FFFFFF"/>
        </w:rPr>
        <w:t>，从业人员</w:t>
      </w:r>
      <w:r>
        <w:rPr>
          <w:rFonts w:hint="eastAsia" w:ascii="仿宋" w:hAnsi="仿宋" w:eastAsia="仿宋" w:cs="仿宋"/>
          <w:color w:val="auto"/>
          <w:kern w:val="0"/>
          <w:sz w:val="24"/>
          <w:highlight w:val="none"/>
          <w:u w:val="single"/>
          <w:shd w:val="clear" w:color="auto" w:fill="FFFFFF"/>
        </w:rPr>
        <w:t>    </w:t>
      </w:r>
      <w:r>
        <w:rPr>
          <w:rFonts w:hint="eastAsia" w:ascii="仿宋" w:hAnsi="仿宋" w:eastAsia="仿宋" w:cs="仿宋"/>
          <w:color w:val="auto"/>
          <w:kern w:val="0"/>
          <w:sz w:val="24"/>
          <w:highlight w:val="none"/>
          <w:shd w:val="clear" w:color="auto" w:fill="FFFFFF"/>
        </w:rPr>
        <w:t>人，营业收入为</w:t>
      </w:r>
      <w:r>
        <w:rPr>
          <w:rFonts w:hint="eastAsia" w:ascii="仿宋" w:hAnsi="仿宋" w:eastAsia="仿宋" w:cs="仿宋"/>
          <w:color w:val="auto"/>
          <w:kern w:val="0"/>
          <w:sz w:val="24"/>
          <w:highlight w:val="none"/>
          <w:u w:val="single"/>
          <w:shd w:val="clear" w:color="auto" w:fill="FFFFFF"/>
        </w:rPr>
        <w:t>    </w:t>
      </w:r>
      <w:r>
        <w:rPr>
          <w:rFonts w:hint="eastAsia" w:ascii="仿宋" w:hAnsi="仿宋" w:eastAsia="仿宋" w:cs="仿宋"/>
          <w:color w:val="auto"/>
          <w:kern w:val="0"/>
          <w:sz w:val="24"/>
          <w:highlight w:val="none"/>
          <w:shd w:val="clear" w:color="auto" w:fill="FFFFFF"/>
        </w:rPr>
        <w:t>万元，资产总额为</w:t>
      </w:r>
      <w:r>
        <w:rPr>
          <w:rFonts w:hint="eastAsia" w:ascii="仿宋" w:hAnsi="仿宋" w:eastAsia="仿宋" w:cs="仿宋"/>
          <w:color w:val="auto"/>
          <w:kern w:val="0"/>
          <w:sz w:val="24"/>
          <w:highlight w:val="none"/>
          <w:u w:val="single"/>
          <w:shd w:val="clear" w:color="auto" w:fill="FFFFFF"/>
        </w:rPr>
        <w:t>   </w:t>
      </w:r>
      <w:r>
        <w:rPr>
          <w:rFonts w:hint="eastAsia" w:ascii="仿宋" w:hAnsi="仿宋" w:eastAsia="仿宋" w:cs="仿宋"/>
          <w:color w:val="auto"/>
          <w:kern w:val="0"/>
          <w:sz w:val="24"/>
          <w:highlight w:val="none"/>
          <w:shd w:val="clear" w:color="auto" w:fill="FFFFFF"/>
        </w:rPr>
        <w:t>万元</w:t>
      </w:r>
      <w:r>
        <w:rPr>
          <w:rFonts w:hint="eastAsia" w:ascii="仿宋" w:hAnsi="仿宋" w:eastAsia="仿宋" w:cs="仿宋"/>
          <w:color w:val="auto"/>
          <w:kern w:val="0"/>
          <w:sz w:val="24"/>
          <w:highlight w:val="none"/>
          <w:shd w:val="clear" w:color="auto" w:fill="FFFFFF"/>
          <w:vertAlign w:val="superscript"/>
        </w:rPr>
        <w:t>1</w:t>
      </w:r>
      <w:r>
        <w:rPr>
          <w:rFonts w:hint="eastAsia" w:ascii="仿宋" w:hAnsi="仿宋" w:eastAsia="仿宋" w:cs="仿宋"/>
          <w:color w:val="auto"/>
          <w:kern w:val="0"/>
          <w:sz w:val="24"/>
          <w:highlight w:val="none"/>
          <w:shd w:val="clear" w:color="auto" w:fill="FFFFFF"/>
        </w:rPr>
        <w:t>，属于</w:t>
      </w:r>
      <w:r>
        <w:rPr>
          <w:rFonts w:hint="eastAsia" w:ascii="仿宋" w:hAnsi="仿宋" w:eastAsia="仿宋" w:cs="仿宋"/>
          <w:color w:val="auto"/>
          <w:kern w:val="0"/>
          <w:sz w:val="24"/>
          <w:highlight w:val="none"/>
          <w:u w:val="single"/>
          <w:shd w:val="clear" w:color="auto" w:fill="FFFFFF"/>
        </w:rPr>
        <w:t>     （中型企业、小型企业、微型企业）</w:t>
      </w:r>
      <w:r>
        <w:rPr>
          <w:rFonts w:hint="eastAsia" w:ascii="仿宋" w:hAnsi="仿宋" w:eastAsia="仿宋" w:cs="仿宋"/>
          <w:color w:val="auto"/>
          <w:kern w:val="0"/>
          <w:sz w:val="24"/>
          <w:highlight w:val="none"/>
          <w:shd w:val="clear" w:color="auto" w:fill="FFFFFF"/>
        </w:rPr>
        <w:t>；</w:t>
      </w:r>
    </w:p>
    <w:p w14:paraId="7EC29A43">
      <w:pPr>
        <w:shd w:val="clear" w:color="auto" w:fill="FFFFFF"/>
        <w:spacing w:before="100" w:beforeAutospacing="1" w:after="100" w:afterAutospacing="1"/>
        <w:ind w:firstLine="480"/>
        <w:jc w:val="left"/>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shd w:val="clear" w:color="auto" w:fill="FFFFFF"/>
        </w:rPr>
        <w:t>……</w:t>
      </w:r>
    </w:p>
    <w:p w14:paraId="224CAC54">
      <w:pPr>
        <w:shd w:val="clear" w:color="auto" w:fill="FFFFFF"/>
        <w:spacing w:before="100" w:beforeAutospacing="1" w:after="100" w:afterAutospacing="1"/>
        <w:ind w:firstLine="480"/>
        <w:jc w:val="left"/>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shd w:val="clear" w:color="auto" w:fill="FFFFFF"/>
        </w:rPr>
        <w:t>以上企业，不属于大企业的分支机构，不存在控股股东为大企业的情形，也不存在与大企业的负责人为同一人的情形。</w:t>
      </w:r>
    </w:p>
    <w:p w14:paraId="780FE239">
      <w:pPr>
        <w:shd w:val="clear" w:color="auto" w:fill="FFFFFF"/>
        <w:spacing w:before="100" w:beforeAutospacing="1" w:after="100" w:afterAutospacing="1"/>
        <w:ind w:firstLine="480"/>
        <w:jc w:val="left"/>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shd w:val="clear" w:color="auto" w:fill="FFFFFF"/>
        </w:rPr>
        <w:t>本企业对上述声明内容的真实性负责。如有虚假，将依法承担相应责任。</w:t>
      </w:r>
    </w:p>
    <w:p w14:paraId="10294386">
      <w:pPr>
        <w:shd w:val="clear" w:color="auto" w:fill="FFFFFF"/>
        <w:spacing w:before="100" w:beforeAutospacing="1" w:after="100" w:afterAutospacing="1"/>
        <w:ind w:firstLine="5280"/>
        <w:jc w:val="left"/>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shd w:val="clear" w:color="auto" w:fill="FFFFFF"/>
        </w:rPr>
        <w:t>企业名称（盖章）：</w:t>
      </w:r>
    </w:p>
    <w:p w14:paraId="5EC70D41">
      <w:pPr>
        <w:shd w:val="clear" w:color="auto" w:fill="FFFFFF"/>
        <w:spacing w:before="100" w:beforeAutospacing="1" w:after="100" w:afterAutospacing="1"/>
        <w:ind w:firstLine="5280"/>
        <w:jc w:val="left"/>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shd w:val="clear" w:color="auto" w:fill="FFFFFF"/>
        </w:rPr>
        <w:t>日 期：</w:t>
      </w:r>
    </w:p>
    <w:p w14:paraId="1112643A">
      <w:pPr>
        <w:shd w:val="clear" w:color="auto" w:fill="FFFFFF"/>
        <w:spacing w:before="100" w:beforeAutospacing="1" w:after="100" w:afterAutospacing="1"/>
        <w:ind w:firstLine="480"/>
        <w:jc w:val="left"/>
        <w:textAlignment w:val="auto"/>
        <w:rPr>
          <w:rFonts w:ascii="仿宋" w:hAnsi="仿宋" w:eastAsia="仿宋" w:cs="仿宋"/>
          <w:b/>
          <w:bCs/>
          <w:color w:val="auto"/>
          <w:kern w:val="0"/>
          <w:sz w:val="24"/>
          <w:highlight w:val="none"/>
          <w:shd w:val="clear" w:color="auto" w:fill="FFFFFF"/>
        </w:rPr>
      </w:pPr>
      <w:r>
        <w:rPr>
          <w:rFonts w:hint="eastAsia" w:ascii="仿宋" w:hAnsi="仿宋" w:eastAsia="仿宋" w:cs="仿宋"/>
          <w:b/>
          <w:bCs/>
          <w:color w:val="auto"/>
          <w:kern w:val="0"/>
          <w:sz w:val="24"/>
          <w:highlight w:val="none"/>
          <w:shd w:val="clear" w:color="auto" w:fill="FFFFFF"/>
        </w:rPr>
        <w:t>注：</w:t>
      </w:r>
    </w:p>
    <w:p w14:paraId="2FCEBBA7">
      <w:pPr>
        <w:shd w:val="clear" w:color="auto" w:fill="FFFFFF"/>
        <w:spacing w:before="100" w:beforeAutospacing="1" w:after="100" w:afterAutospacing="1"/>
        <w:ind w:firstLine="480"/>
        <w:jc w:val="left"/>
        <w:textAlignment w:val="auto"/>
        <w:rPr>
          <w:rFonts w:ascii="仿宋" w:hAnsi="仿宋" w:eastAsia="仿宋" w:cs="仿宋"/>
          <w:b/>
          <w:bCs/>
          <w:color w:val="auto"/>
          <w:kern w:val="0"/>
          <w:sz w:val="24"/>
          <w:highlight w:val="none"/>
          <w:shd w:val="clear" w:color="auto" w:fill="FFFFFF"/>
        </w:rPr>
      </w:pPr>
      <w:r>
        <w:rPr>
          <w:rFonts w:hint="eastAsia" w:ascii="仿宋" w:hAnsi="仿宋" w:eastAsia="仿宋" w:cs="仿宋"/>
          <w:b/>
          <w:bCs/>
          <w:color w:val="auto"/>
          <w:kern w:val="0"/>
          <w:sz w:val="24"/>
          <w:highlight w:val="none"/>
          <w:shd w:val="clear" w:color="auto" w:fill="FFFFFF"/>
        </w:rPr>
        <w:t>（1）从业人员、营业收入、资产总额填报上一年度数据，无上一年度数据的新成立企业可不填报。</w:t>
      </w:r>
    </w:p>
    <w:p w14:paraId="532C046E">
      <w:pPr>
        <w:shd w:val="clear" w:color="auto" w:fill="FFFFFF"/>
        <w:spacing w:before="100" w:beforeAutospacing="1" w:after="100" w:afterAutospacing="1"/>
        <w:ind w:firstLine="480"/>
        <w:jc w:val="left"/>
        <w:textAlignment w:val="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shd w:val="clear" w:color="auto" w:fill="FFFFFF"/>
        </w:rPr>
        <w:t>（2）潜在投标企业属于中小微企业的，请在响应文件中提供“中小企业声明函”，如果未提供或提供虚假的“中小企业声明函”，投标企业将承担由此造成的一切不利后果。注：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14:paraId="13AF79D9">
      <w:pPr>
        <w:widowControl/>
        <w:spacing w:line="330" w:lineRule="atLeast"/>
        <w:ind w:firstLine="482" w:firstLineChars="200"/>
        <w:jc w:val="left"/>
        <w:rPr>
          <w:rFonts w:hint="eastAsia" w:ascii="仿宋" w:hAnsi="仿宋" w:eastAsia="仿宋" w:cs="仿宋"/>
          <w:b/>
          <w:bCs/>
          <w:color w:val="auto"/>
          <w:kern w:val="0"/>
          <w:sz w:val="24"/>
          <w:highlight w:val="none"/>
          <w:lang w:eastAsia="zh-CN"/>
        </w:rPr>
      </w:pPr>
      <w:r>
        <w:rPr>
          <w:rFonts w:hint="eastAsia" w:ascii="仿宋" w:hAnsi="仿宋" w:eastAsia="仿宋" w:cs="仿宋"/>
          <w:b/>
          <w:bCs/>
          <w:color w:val="auto"/>
          <w:sz w:val="24"/>
          <w:highlight w:val="none"/>
          <w:shd w:val="clear" w:color="auto" w:fill="FFFFFF"/>
          <w:lang w:eastAsia="zh-CN"/>
        </w:rPr>
        <w:t>（3）</w:t>
      </w:r>
      <w:r>
        <w:rPr>
          <w:rFonts w:hint="eastAsia" w:ascii="仿宋" w:hAnsi="仿宋" w:eastAsia="仿宋" w:cs="仿宋"/>
          <w:b/>
          <w:bCs/>
          <w:color w:val="auto"/>
          <w:kern w:val="0"/>
          <w:sz w:val="24"/>
          <w:highlight w:val="none"/>
          <w:lang w:eastAsia="zh-CN"/>
        </w:rPr>
        <w:t>（本项目对应的中小企业划分标准所属行业为：</w:t>
      </w:r>
      <w:r>
        <w:rPr>
          <w:rFonts w:hint="eastAsia" w:ascii="仿宋" w:hAnsi="仿宋" w:eastAsia="仿宋" w:cs="仿宋"/>
          <w:b/>
          <w:bCs/>
          <w:color w:val="auto"/>
          <w:sz w:val="24"/>
          <w:highlight w:val="none"/>
        </w:rPr>
        <w:t>工业</w:t>
      </w:r>
      <w:r>
        <w:rPr>
          <w:rFonts w:hint="eastAsia" w:ascii="仿宋" w:hAnsi="仿宋" w:eastAsia="仿宋" w:cs="仿宋"/>
          <w:b/>
          <w:bCs/>
          <w:color w:val="auto"/>
          <w:kern w:val="0"/>
          <w:sz w:val="24"/>
          <w:highlight w:val="none"/>
          <w:lang w:eastAsia="zh-CN"/>
        </w:rPr>
        <w:t>）</w:t>
      </w:r>
      <w:bookmarkEnd w:id="775"/>
      <w:bookmarkEnd w:id="776"/>
      <w:bookmarkEnd w:id="777"/>
    </w:p>
    <w:p w14:paraId="22C5318D">
      <w:pP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附：</w:t>
      </w:r>
    </w:p>
    <w:p w14:paraId="08AEB424">
      <w:pPr>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中小微企业划型标准</w:t>
      </w:r>
    </w:p>
    <w:tbl>
      <w:tblPr>
        <w:tblStyle w:val="23"/>
        <w:tblW w:w="9378" w:type="dxa"/>
        <w:jc w:val="center"/>
        <w:tblLayout w:type="fixed"/>
        <w:tblCellMar>
          <w:top w:w="0" w:type="dxa"/>
          <w:left w:w="108" w:type="dxa"/>
          <w:bottom w:w="0" w:type="dxa"/>
          <w:right w:w="108" w:type="dxa"/>
        </w:tblCellMar>
      </w:tblPr>
      <w:tblGrid>
        <w:gridCol w:w="1570"/>
        <w:gridCol w:w="1803"/>
        <w:gridCol w:w="1323"/>
        <w:gridCol w:w="1903"/>
        <w:gridCol w:w="1692"/>
        <w:gridCol w:w="1087"/>
      </w:tblGrid>
      <w:tr w14:paraId="352450D3">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noWrap/>
            <w:vAlign w:val="center"/>
          </w:tcPr>
          <w:p w14:paraId="5AE07C49">
            <w:pPr>
              <w:contextualSpacing/>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行业名称</w:t>
            </w:r>
          </w:p>
        </w:tc>
        <w:tc>
          <w:tcPr>
            <w:tcW w:w="1803" w:type="dxa"/>
            <w:tcBorders>
              <w:top w:val="single" w:color="auto" w:sz="4" w:space="0"/>
              <w:left w:val="nil"/>
              <w:bottom w:val="single" w:color="auto" w:sz="4" w:space="0"/>
              <w:right w:val="single" w:color="auto" w:sz="4" w:space="0"/>
            </w:tcBorders>
            <w:noWrap/>
            <w:vAlign w:val="center"/>
          </w:tcPr>
          <w:p w14:paraId="4AFAEB68">
            <w:pPr>
              <w:contextualSpacing/>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指标名称</w:t>
            </w:r>
          </w:p>
        </w:tc>
        <w:tc>
          <w:tcPr>
            <w:tcW w:w="1323" w:type="dxa"/>
            <w:tcBorders>
              <w:top w:val="single" w:color="auto" w:sz="4" w:space="0"/>
              <w:left w:val="nil"/>
              <w:bottom w:val="single" w:color="auto" w:sz="4" w:space="0"/>
              <w:right w:val="single" w:color="auto" w:sz="4" w:space="0"/>
            </w:tcBorders>
            <w:noWrap/>
            <w:vAlign w:val="center"/>
          </w:tcPr>
          <w:p w14:paraId="613ADFD4">
            <w:pPr>
              <w:contextualSpacing/>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计量单位</w:t>
            </w:r>
          </w:p>
        </w:tc>
        <w:tc>
          <w:tcPr>
            <w:tcW w:w="1903" w:type="dxa"/>
            <w:tcBorders>
              <w:top w:val="single" w:color="auto" w:sz="4" w:space="0"/>
              <w:left w:val="nil"/>
              <w:bottom w:val="single" w:color="auto" w:sz="4" w:space="0"/>
              <w:right w:val="single" w:color="auto" w:sz="4" w:space="0"/>
            </w:tcBorders>
            <w:noWrap/>
            <w:vAlign w:val="center"/>
          </w:tcPr>
          <w:p w14:paraId="053AF56C">
            <w:pPr>
              <w:contextualSpacing/>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中型</w:t>
            </w:r>
          </w:p>
        </w:tc>
        <w:tc>
          <w:tcPr>
            <w:tcW w:w="1692" w:type="dxa"/>
            <w:tcBorders>
              <w:top w:val="single" w:color="auto" w:sz="4" w:space="0"/>
              <w:left w:val="nil"/>
              <w:bottom w:val="single" w:color="auto" w:sz="4" w:space="0"/>
              <w:right w:val="single" w:color="auto" w:sz="4" w:space="0"/>
            </w:tcBorders>
            <w:noWrap/>
            <w:vAlign w:val="center"/>
          </w:tcPr>
          <w:p w14:paraId="7720F05C">
            <w:pPr>
              <w:contextualSpacing/>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小型</w:t>
            </w:r>
          </w:p>
        </w:tc>
        <w:tc>
          <w:tcPr>
            <w:tcW w:w="1087" w:type="dxa"/>
            <w:tcBorders>
              <w:top w:val="single" w:color="auto" w:sz="4" w:space="0"/>
              <w:left w:val="nil"/>
              <w:bottom w:val="single" w:color="auto" w:sz="4" w:space="0"/>
              <w:right w:val="single" w:color="auto" w:sz="4" w:space="0"/>
            </w:tcBorders>
            <w:noWrap/>
            <w:vAlign w:val="center"/>
          </w:tcPr>
          <w:p w14:paraId="72AF4D19">
            <w:pPr>
              <w:contextualSpacing/>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微型</w:t>
            </w:r>
          </w:p>
        </w:tc>
      </w:tr>
      <w:tr w14:paraId="7B4223D4">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ign w:val="center"/>
          </w:tcPr>
          <w:p w14:paraId="00880B3C">
            <w:pPr>
              <w:contextualSpacing/>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农、林、牧、渔</w:t>
            </w:r>
          </w:p>
        </w:tc>
        <w:tc>
          <w:tcPr>
            <w:tcW w:w="1803" w:type="dxa"/>
            <w:tcBorders>
              <w:top w:val="nil"/>
              <w:left w:val="nil"/>
              <w:bottom w:val="single" w:color="auto" w:sz="4" w:space="0"/>
              <w:right w:val="single" w:color="auto" w:sz="4" w:space="0"/>
            </w:tcBorders>
            <w:noWrap/>
            <w:vAlign w:val="center"/>
          </w:tcPr>
          <w:p w14:paraId="5533CA3C">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营业收入（Y）</w:t>
            </w:r>
          </w:p>
        </w:tc>
        <w:tc>
          <w:tcPr>
            <w:tcW w:w="1323" w:type="dxa"/>
            <w:tcBorders>
              <w:top w:val="nil"/>
              <w:left w:val="nil"/>
              <w:bottom w:val="single" w:color="auto" w:sz="4" w:space="0"/>
              <w:right w:val="single" w:color="auto" w:sz="4" w:space="0"/>
            </w:tcBorders>
            <w:noWrap/>
            <w:vAlign w:val="center"/>
          </w:tcPr>
          <w:p w14:paraId="0F85DD2F">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5F60A695">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500≤Y＜20000</w:t>
            </w:r>
          </w:p>
        </w:tc>
        <w:tc>
          <w:tcPr>
            <w:tcW w:w="1692" w:type="dxa"/>
            <w:tcBorders>
              <w:top w:val="nil"/>
              <w:left w:val="nil"/>
              <w:bottom w:val="single" w:color="auto" w:sz="4" w:space="0"/>
              <w:right w:val="single" w:color="auto" w:sz="4" w:space="0"/>
            </w:tcBorders>
            <w:noWrap/>
            <w:vAlign w:val="center"/>
          </w:tcPr>
          <w:p w14:paraId="5DCCD816">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50≤Y＜500</w:t>
            </w:r>
          </w:p>
        </w:tc>
        <w:tc>
          <w:tcPr>
            <w:tcW w:w="1087" w:type="dxa"/>
            <w:tcBorders>
              <w:top w:val="nil"/>
              <w:left w:val="nil"/>
              <w:bottom w:val="single" w:color="auto" w:sz="4" w:space="0"/>
              <w:right w:val="single" w:color="auto" w:sz="4" w:space="0"/>
            </w:tcBorders>
            <w:noWrap/>
            <w:vAlign w:val="center"/>
          </w:tcPr>
          <w:p w14:paraId="314F4B8E">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Y＜50</w:t>
            </w:r>
          </w:p>
        </w:tc>
      </w:tr>
      <w:tr w14:paraId="5B42CA8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40419F71">
            <w:pPr>
              <w:contextualSpacing/>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工业</w:t>
            </w:r>
          </w:p>
        </w:tc>
        <w:tc>
          <w:tcPr>
            <w:tcW w:w="1803" w:type="dxa"/>
            <w:tcBorders>
              <w:top w:val="nil"/>
              <w:left w:val="nil"/>
              <w:bottom w:val="single" w:color="auto" w:sz="4" w:space="0"/>
              <w:right w:val="single" w:color="auto" w:sz="4" w:space="0"/>
            </w:tcBorders>
            <w:noWrap/>
            <w:vAlign w:val="center"/>
          </w:tcPr>
          <w:p w14:paraId="3B91167F">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从业人员（X）</w:t>
            </w:r>
          </w:p>
        </w:tc>
        <w:tc>
          <w:tcPr>
            <w:tcW w:w="1323" w:type="dxa"/>
            <w:tcBorders>
              <w:top w:val="nil"/>
              <w:left w:val="nil"/>
              <w:bottom w:val="single" w:color="auto" w:sz="4" w:space="0"/>
              <w:right w:val="single" w:color="auto" w:sz="4" w:space="0"/>
            </w:tcBorders>
            <w:noWrap/>
            <w:vAlign w:val="center"/>
          </w:tcPr>
          <w:p w14:paraId="1F09A9CE">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tc>
        <w:tc>
          <w:tcPr>
            <w:tcW w:w="1903" w:type="dxa"/>
            <w:tcBorders>
              <w:top w:val="nil"/>
              <w:left w:val="nil"/>
              <w:bottom w:val="single" w:color="auto" w:sz="4" w:space="0"/>
              <w:right w:val="single" w:color="auto" w:sz="4" w:space="0"/>
            </w:tcBorders>
            <w:noWrap/>
            <w:vAlign w:val="center"/>
          </w:tcPr>
          <w:p w14:paraId="29CB7EF0">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300≤X＜1000</w:t>
            </w:r>
          </w:p>
        </w:tc>
        <w:tc>
          <w:tcPr>
            <w:tcW w:w="1692" w:type="dxa"/>
            <w:tcBorders>
              <w:top w:val="nil"/>
              <w:left w:val="nil"/>
              <w:bottom w:val="single" w:color="auto" w:sz="4" w:space="0"/>
              <w:right w:val="single" w:color="auto" w:sz="4" w:space="0"/>
            </w:tcBorders>
            <w:noWrap/>
            <w:vAlign w:val="center"/>
          </w:tcPr>
          <w:p w14:paraId="0C60AE4D">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20≤X＜300</w:t>
            </w:r>
          </w:p>
        </w:tc>
        <w:tc>
          <w:tcPr>
            <w:tcW w:w="1087" w:type="dxa"/>
            <w:tcBorders>
              <w:top w:val="nil"/>
              <w:left w:val="nil"/>
              <w:bottom w:val="single" w:color="auto" w:sz="4" w:space="0"/>
              <w:right w:val="single" w:color="auto" w:sz="4" w:space="0"/>
            </w:tcBorders>
            <w:noWrap/>
            <w:vAlign w:val="center"/>
          </w:tcPr>
          <w:p w14:paraId="7019E3D8">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X＜20</w:t>
            </w:r>
          </w:p>
        </w:tc>
      </w:tr>
      <w:tr w14:paraId="4567977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0EA52970">
            <w:pPr>
              <w:contextualSpacing/>
              <w:jc w:val="center"/>
              <w:rPr>
                <w:rFonts w:hint="eastAsia" w:ascii="仿宋" w:hAnsi="仿宋" w:eastAsia="仿宋" w:cs="仿宋"/>
                <w:b/>
                <w:bCs/>
                <w:color w:val="auto"/>
                <w:sz w:val="24"/>
                <w:highlight w:val="none"/>
              </w:rPr>
            </w:pPr>
          </w:p>
        </w:tc>
        <w:tc>
          <w:tcPr>
            <w:tcW w:w="1803" w:type="dxa"/>
            <w:tcBorders>
              <w:top w:val="nil"/>
              <w:left w:val="nil"/>
              <w:bottom w:val="single" w:color="auto" w:sz="4" w:space="0"/>
              <w:right w:val="single" w:color="auto" w:sz="4" w:space="0"/>
            </w:tcBorders>
            <w:noWrap/>
            <w:vAlign w:val="center"/>
          </w:tcPr>
          <w:p w14:paraId="6396AA3E">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营业收入（Y）</w:t>
            </w:r>
          </w:p>
        </w:tc>
        <w:tc>
          <w:tcPr>
            <w:tcW w:w="1323" w:type="dxa"/>
            <w:tcBorders>
              <w:top w:val="nil"/>
              <w:left w:val="nil"/>
              <w:bottom w:val="single" w:color="auto" w:sz="4" w:space="0"/>
              <w:right w:val="single" w:color="auto" w:sz="4" w:space="0"/>
            </w:tcBorders>
            <w:noWrap/>
            <w:vAlign w:val="center"/>
          </w:tcPr>
          <w:p w14:paraId="6BAB0CBA">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519B1D3A">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2000≤Y＜40000</w:t>
            </w:r>
          </w:p>
        </w:tc>
        <w:tc>
          <w:tcPr>
            <w:tcW w:w="1692" w:type="dxa"/>
            <w:tcBorders>
              <w:top w:val="nil"/>
              <w:left w:val="nil"/>
              <w:bottom w:val="single" w:color="auto" w:sz="4" w:space="0"/>
              <w:right w:val="single" w:color="auto" w:sz="4" w:space="0"/>
            </w:tcBorders>
            <w:noWrap/>
            <w:vAlign w:val="center"/>
          </w:tcPr>
          <w:p w14:paraId="084F0B0D">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300≤Y＜2000</w:t>
            </w:r>
          </w:p>
        </w:tc>
        <w:tc>
          <w:tcPr>
            <w:tcW w:w="1087" w:type="dxa"/>
            <w:tcBorders>
              <w:top w:val="nil"/>
              <w:left w:val="nil"/>
              <w:bottom w:val="single" w:color="auto" w:sz="4" w:space="0"/>
              <w:right w:val="single" w:color="auto" w:sz="4" w:space="0"/>
            </w:tcBorders>
            <w:noWrap/>
            <w:vAlign w:val="center"/>
          </w:tcPr>
          <w:p w14:paraId="78489701">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Y＜300</w:t>
            </w:r>
          </w:p>
        </w:tc>
      </w:tr>
      <w:tr w14:paraId="2FF8D1E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0161E04A">
            <w:pPr>
              <w:contextualSpacing/>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建筑业</w:t>
            </w:r>
          </w:p>
        </w:tc>
        <w:tc>
          <w:tcPr>
            <w:tcW w:w="1803" w:type="dxa"/>
            <w:tcBorders>
              <w:top w:val="nil"/>
              <w:left w:val="nil"/>
              <w:bottom w:val="single" w:color="auto" w:sz="4" w:space="0"/>
              <w:right w:val="single" w:color="auto" w:sz="4" w:space="0"/>
            </w:tcBorders>
            <w:noWrap/>
            <w:vAlign w:val="center"/>
          </w:tcPr>
          <w:p w14:paraId="06FAD36A">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营业收入（Y）</w:t>
            </w:r>
          </w:p>
        </w:tc>
        <w:tc>
          <w:tcPr>
            <w:tcW w:w="1323" w:type="dxa"/>
            <w:tcBorders>
              <w:top w:val="nil"/>
              <w:left w:val="nil"/>
              <w:bottom w:val="single" w:color="auto" w:sz="4" w:space="0"/>
              <w:right w:val="single" w:color="auto" w:sz="4" w:space="0"/>
            </w:tcBorders>
            <w:noWrap/>
            <w:vAlign w:val="center"/>
          </w:tcPr>
          <w:p w14:paraId="659D4F52">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201E6D8F">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6000≤Y＜80000</w:t>
            </w:r>
          </w:p>
        </w:tc>
        <w:tc>
          <w:tcPr>
            <w:tcW w:w="1692" w:type="dxa"/>
            <w:tcBorders>
              <w:top w:val="nil"/>
              <w:left w:val="nil"/>
              <w:bottom w:val="single" w:color="auto" w:sz="4" w:space="0"/>
              <w:right w:val="single" w:color="auto" w:sz="4" w:space="0"/>
            </w:tcBorders>
            <w:noWrap/>
            <w:vAlign w:val="center"/>
          </w:tcPr>
          <w:p w14:paraId="65827F6F">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300≤Y＜6000</w:t>
            </w:r>
          </w:p>
        </w:tc>
        <w:tc>
          <w:tcPr>
            <w:tcW w:w="1087" w:type="dxa"/>
            <w:tcBorders>
              <w:top w:val="nil"/>
              <w:left w:val="nil"/>
              <w:bottom w:val="single" w:color="auto" w:sz="4" w:space="0"/>
              <w:right w:val="single" w:color="auto" w:sz="4" w:space="0"/>
            </w:tcBorders>
            <w:noWrap/>
            <w:vAlign w:val="center"/>
          </w:tcPr>
          <w:p w14:paraId="16433D82">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Y＜300</w:t>
            </w:r>
          </w:p>
        </w:tc>
      </w:tr>
      <w:tr w14:paraId="11512E6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0F258959">
            <w:pPr>
              <w:contextualSpacing/>
              <w:jc w:val="center"/>
              <w:rPr>
                <w:rFonts w:hint="eastAsia" w:ascii="仿宋" w:hAnsi="仿宋" w:eastAsia="仿宋" w:cs="仿宋"/>
                <w:b/>
                <w:bCs/>
                <w:color w:val="auto"/>
                <w:sz w:val="24"/>
                <w:highlight w:val="none"/>
              </w:rPr>
            </w:pPr>
          </w:p>
        </w:tc>
        <w:tc>
          <w:tcPr>
            <w:tcW w:w="1803" w:type="dxa"/>
            <w:tcBorders>
              <w:top w:val="nil"/>
              <w:left w:val="nil"/>
              <w:bottom w:val="single" w:color="auto" w:sz="4" w:space="0"/>
              <w:right w:val="single" w:color="auto" w:sz="4" w:space="0"/>
            </w:tcBorders>
            <w:noWrap/>
            <w:vAlign w:val="center"/>
          </w:tcPr>
          <w:p w14:paraId="3CD1F594">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资产总额（Z）</w:t>
            </w:r>
          </w:p>
        </w:tc>
        <w:tc>
          <w:tcPr>
            <w:tcW w:w="1323" w:type="dxa"/>
            <w:tcBorders>
              <w:top w:val="nil"/>
              <w:left w:val="nil"/>
              <w:bottom w:val="single" w:color="auto" w:sz="4" w:space="0"/>
              <w:right w:val="single" w:color="auto" w:sz="4" w:space="0"/>
            </w:tcBorders>
            <w:noWrap/>
            <w:vAlign w:val="center"/>
          </w:tcPr>
          <w:p w14:paraId="2FEC9F49">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3086FBB1">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5000≤Z＜80000</w:t>
            </w:r>
          </w:p>
        </w:tc>
        <w:tc>
          <w:tcPr>
            <w:tcW w:w="1692" w:type="dxa"/>
            <w:tcBorders>
              <w:top w:val="nil"/>
              <w:left w:val="nil"/>
              <w:bottom w:val="single" w:color="auto" w:sz="4" w:space="0"/>
              <w:right w:val="single" w:color="auto" w:sz="4" w:space="0"/>
            </w:tcBorders>
            <w:noWrap/>
            <w:vAlign w:val="center"/>
          </w:tcPr>
          <w:p w14:paraId="71D260D6">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300≤Z＜5000</w:t>
            </w:r>
          </w:p>
        </w:tc>
        <w:tc>
          <w:tcPr>
            <w:tcW w:w="1087" w:type="dxa"/>
            <w:tcBorders>
              <w:top w:val="nil"/>
              <w:left w:val="nil"/>
              <w:bottom w:val="single" w:color="auto" w:sz="4" w:space="0"/>
              <w:right w:val="single" w:color="auto" w:sz="4" w:space="0"/>
            </w:tcBorders>
            <w:noWrap/>
            <w:vAlign w:val="center"/>
          </w:tcPr>
          <w:p w14:paraId="3BE69EE4">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Z＜300</w:t>
            </w:r>
          </w:p>
        </w:tc>
      </w:tr>
      <w:tr w14:paraId="00ACDF1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28278BB9">
            <w:pPr>
              <w:contextualSpacing/>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批发业</w:t>
            </w:r>
          </w:p>
        </w:tc>
        <w:tc>
          <w:tcPr>
            <w:tcW w:w="1803" w:type="dxa"/>
            <w:tcBorders>
              <w:top w:val="nil"/>
              <w:left w:val="nil"/>
              <w:bottom w:val="single" w:color="auto" w:sz="4" w:space="0"/>
              <w:right w:val="single" w:color="auto" w:sz="4" w:space="0"/>
            </w:tcBorders>
            <w:noWrap/>
            <w:vAlign w:val="center"/>
          </w:tcPr>
          <w:p w14:paraId="293B78AD">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从业人员（X）</w:t>
            </w:r>
          </w:p>
        </w:tc>
        <w:tc>
          <w:tcPr>
            <w:tcW w:w="1323" w:type="dxa"/>
            <w:tcBorders>
              <w:top w:val="nil"/>
              <w:left w:val="nil"/>
              <w:bottom w:val="single" w:color="auto" w:sz="4" w:space="0"/>
              <w:right w:val="single" w:color="auto" w:sz="4" w:space="0"/>
            </w:tcBorders>
            <w:noWrap/>
            <w:vAlign w:val="center"/>
          </w:tcPr>
          <w:p w14:paraId="58A16F59">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tc>
        <w:tc>
          <w:tcPr>
            <w:tcW w:w="1903" w:type="dxa"/>
            <w:tcBorders>
              <w:top w:val="nil"/>
              <w:left w:val="nil"/>
              <w:bottom w:val="single" w:color="auto" w:sz="4" w:space="0"/>
              <w:right w:val="single" w:color="auto" w:sz="4" w:space="0"/>
            </w:tcBorders>
            <w:noWrap/>
            <w:vAlign w:val="center"/>
          </w:tcPr>
          <w:p w14:paraId="09545445">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20≤X＜200</w:t>
            </w:r>
          </w:p>
        </w:tc>
        <w:tc>
          <w:tcPr>
            <w:tcW w:w="1692" w:type="dxa"/>
            <w:tcBorders>
              <w:top w:val="nil"/>
              <w:left w:val="nil"/>
              <w:bottom w:val="single" w:color="auto" w:sz="4" w:space="0"/>
              <w:right w:val="single" w:color="auto" w:sz="4" w:space="0"/>
            </w:tcBorders>
            <w:noWrap/>
            <w:vAlign w:val="center"/>
          </w:tcPr>
          <w:p w14:paraId="1AAFD3F3">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5≤X＜20</w:t>
            </w:r>
          </w:p>
        </w:tc>
        <w:tc>
          <w:tcPr>
            <w:tcW w:w="1087" w:type="dxa"/>
            <w:tcBorders>
              <w:top w:val="nil"/>
              <w:left w:val="nil"/>
              <w:bottom w:val="single" w:color="auto" w:sz="4" w:space="0"/>
              <w:right w:val="single" w:color="auto" w:sz="4" w:space="0"/>
            </w:tcBorders>
            <w:noWrap/>
            <w:vAlign w:val="center"/>
          </w:tcPr>
          <w:p w14:paraId="2E2FD79D">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X＜5</w:t>
            </w:r>
          </w:p>
        </w:tc>
      </w:tr>
      <w:tr w14:paraId="7A53D04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33FC9A91">
            <w:pPr>
              <w:contextualSpacing/>
              <w:jc w:val="center"/>
              <w:rPr>
                <w:rFonts w:hint="eastAsia" w:ascii="仿宋" w:hAnsi="仿宋" w:eastAsia="仿宋" w:cs="仿宋"/>
                <w:b/>
                <w:bCs/>
                <w:color w:val="auto"/>
                <w:sz w:val="24"/>
                <w:highlight w:val="none"/>
              </w:rPr>
            </w:pPr>
          </w:p>
        </w:tc>
        <w:tc>
          <w:tcPr>
            <w:tcW w:w="1803" w:type="dxa"/>
            <w:tcBorders>
              <w:top w:val="nil"/>
              <w:left w:val="nil"/>
              <w:bottom w:val="single" w:color="auto" w:sz="4" w:space="0"/>
              <w:right w:val="single" w:color="auto" w:sz="4" w:space="0"/>
            </w:tcBorders>
            <w:noWrap/>
            <w:vAlign w:val="center"/>
          </w:tcPr>
          <w:p w14:paraId="090E332B">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营业收入（Y）</w:t>
            </w:r>
          </w:p>
        </w:tc>
        <w:tc>
          <w:tcPr>
            <w:tcW w:w="1323" w:type="dxa"/>
            <w:tcBorders>
              <w:top w:val="nil"/>
              <w:left w:val="nil"/>
              <w:bottom w:val="single" w:color="auto" w:sz="4" w:space="0"/>
              <w:right w:val="single" w:color="auto" w:sz="4" w:space="0"/>
            </w:tcBorders>
            <w:noWrap/>
            <w:vAlign w:val="center"/>
          </w:tcPr>
          <w:p w14:paraId="0AFDC3AE">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4AB29650">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5000≤Y＜40000</w:t>
            </w:r>
          </w:p>
        </w:tc>
        <w:tc>
          <w:tcPr>
            <w:tcW w:w="1692" w:type="dxa"/>
            <w:tcBorders>
              <w:top w:val="nil"/>
              <w:left w:val="nil"/>
              <w:bottom w:val="single" w:color="auto" w:sz="4" w:space="0"/>
              <w:right w:val="single" w:color="auto" w:sz="4" w:space="0"/>
            </w:tcBorders>
            <w:noWrap/>
            <w:vAlign w:val="center"/>
          </w:tcPr>
          <w:p w14:paraId="43A7D611">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1000≤Y＜5000</w:t>
            </w:r>
          </w:p>
        </w:tc>
        <w:tc>
          <w:tcPr>
            <w:tcW w:w="1087" w:type="dxa"/>
            <w:tcBorders>
              <w:top w:val="nil"/>
              <w:left w:val="nil"/>
              <w:bottom w:val="single" w:color="auto" w:sz="4" w:space="0"/>
              <w:right w:val="single" w:color="auto" w:sz="4" w:space="0"/>
            </w:tcBorders>
            <w:noWrap/>
            <w:vAlign w:val="center"/>
          </w:tcPr>
          <w:p w14:paraId="4AA4DBD3">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Y＜1000</w:t>
            </w:r>
          </w:p>
        </w:tc>
      </w:tr>
      <w:tr w14:paraId="2494C6D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56325EC3">
            <w:pPr>
              <w:contextualSpacing/>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零售业</w:t>
            </w:r>
          </w:p>
        </w:tc>
        <w:tc>
          <w:tcPr>
            <w:tcW w:w="1803" w:type="dxa"/>
            <w:tcBorders>
              <w:top w:val="nil"/>
              <w:left w:val="nil"/>
              <w:bottom w:val="single" w:color="auto" w:sz="4" w:space="0"/>
              <w:right w:val="single" w:color="auto" w:sz="4" w:space="0"/>
            </w:tcBorders>
            <w:noWrap/>
            <w:vAlign w:val="center"/>
          </w:tcPr>
          <w:p w14:paraId="6986D4A8">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从业人员（X）</w:t>
            </w:r>
          </w:p>
        </w:tc>
        <w:tc>
          <w:tcPr>
            <w:tcW w:w="1323" w:type="dxa"/>
            <w:tcBorders>
              <w:top w:val="nil"/>
              <w:left w:val="nil"/>
              <w:bottom w:val="single" w:color="auto" w:sz="4" w:space="0"/>
              <w:right w:val="single" w:color="auto" w:sz="4" w:space="0"/>
            </w:tcBorders>
            <w:noWrap/>
            <w:vAlign w:val="center"/>
          </w:tcPr>
          <w:p w14:paraId="36FAA6F6">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tc>
        <w:tc>
          <w:tcPr>
            <w:tcW w:w="1903" w:type="dxa"/>
            <w:tcBorders>
              <w:top w:val="nil"/>
              <w:left w:val="nil"/>
              <w:bottom w:val="single" w:color="auto" w:sz="4" w:space="0"/>
              <w:right w:val="single" w:color="auto" w:sz="4" w:space="0"/>
            </w:tcBorders>
            <w:noWrap/>
            <w:vAlign w:val="center"/>
          </w:tcPr>
          <w:p w14:paraId="4DAD5DE8">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50≤X＜300</w:t>
            </w:r>
          </w:p>
        </w:tc>
        <w:tc>
          <w:tcPr>
            <w:tcW w:w="1692" w:type="dxa"/>
            <w:tcBorders>
              <w:top w:val="nil"/>
              <w:left w:val="nil"/>
              <w:bottom w:val="single" w:color="auto" w:sz="4" w:space="0"/>
              <w:right w:val="single" w:color="auto" w:sz="4" w:space="0"/>
            </w:tcBorders>
            <w:noWrap/>
            <w:vAlign w:val="center"/>
          </w:tcPr>
          <w:p w14:paraId="1ADB8AEA">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10≤X＜50</w:t>
            </w:r>
          </w:p>
        </w:tc>
        <w:tc>
          <w:tcPr>
            <w:tcW w:w="1087" w:type="dxa"/>
            <w:tcBorders>
              <w:top w:val="nil"/>
              <w:left w:val="nil"/>
              <w:bottom w:val="single" w:color="auto" w:sz="4" w:space="0"/>
              <w:right w:val="single" w:color="auto" w:sz="4" w:space="0"/>
            </w:tcBorders>
            <w:noWrap/>
            <w:vAlign w:val="center"/>
          </w:tcPr>
          <w:p w14:paraId="7232FAB6">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X＜10</w:t>
            </w:r>
          </w:p>
        </w:tc>
      </w:tr>
      <w:tr w14:paraId="08851E6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59BD36DF">
            <w:pPr>
              <w:contextualSpacing/>
              <w:jc w:val="center"/>
              <w:rPr>
                <w:rFonts w:hint="eastAsia" w:ascii="仿宋" w:hAnsi="仿宋" w:eastAsia="仿宋" w:cs="仿宋"/>
                <w:b/>
                <w:bCs/>
                <w:color w:val="auto"/>
                <w:sz w:val="24"/>
                <w:highlight w:val="none"/>
              </w:rPr>
            </w:pPr>
          </w:p>
        </w:tc>
        <w:tc>
          <w:tcPr>
            <w:tcW w:w="1803" w:type="dxa"/>
            <w:tcBorders>
              <w:top w:val="nil"/>
              <w:left w:val="nil"/>
              <w:bottom w:val="single" w:color="auto" w:sz="4" w:space="0"/>
              <w:right w:val="single" w:color="auto" w:sz="4" w:space="0"/>
            </w:tcBorders>
            <w:noWrap/>
            <w:vAlign w:val="center"/>
          </w:tcPr>
          <w:p w14:paraId="70E8F17A">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营业收入（Y）</w:t>
            </w:r>
          </w:p>
        </w:tc>
        <w:tc>
          <w:tcPr>
            <w:tcW w:w="1323" w:type="dxa"/>
            <w:tcBorders>
              <w:top w:val="nil"/>
              <w:left w:val="nil"/>
              <w:bottom w:val="single" w:color="auto" w:sz="4" w:space="0"/>
              <w:right w:val="single" w:color="auto" w:sz="4" w:space="0"/>
            </w:tcBorders>
            <w:noWrap/>
            <w:vAlign w:val="center"/>
          </w:tcPr>
          <w:p w14:paraId="383E553A">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51B52C22">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500≤Y＜20000</w:t>
            </w:r>
          </w:p>
        </w:tc>
        <w:tc>
          <w:tcPr>
            <w:tcW w:w="1692" w:type="dxa"/>
            <w:tcBorders>
              <w:top w:val="nil"/>
              <w:left w:val="nil"/>
              <w:bottom w:val="single" w:color="auto" w:sz="4" w:space="0"/>
              <w:right w:val="single" w:color="auto" w:sz="4" w:space="0"/>
            </w:tcBorders>
            <w:noWrap/>
            <w:vAlign w:val="center"/>
          </w:tcPr>
          <w:p w14:paraId="786A756C">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100≤Y＜500</w:t>
            </w:r>
          </w:p>
        </w:tc>
        <w:tc>
          <w:tcPr>
            <w:tcW w:w="1087" w:type="dxa"/>
            <w:tcBorders>
              <w:top w:val="nil"/>
              <w:left w:val="nil"/>
              <w:bottom w:val="single" w:color="auto" w:sz="4" w:space="0"/>
              <w:right w:val="single" w:color="auto" w:sz="4" w:space="0"/>
            </w:tcBorders>
            <w:noWrap/>
            <w:vAlign w:val="center"/>
          </w:tcPr>
          <w:p w14:paraId="74BC0FF6">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Y＜100</w:t>
            </w:r>
          </w:p>
        </w:tc>
      </w:tr>
      <w:tr w14:paraId="26403D2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55716F87">
            <w:pPr>
              <w:contextualSpacing/>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交通运输业</w:t>
            </w:r>
          </w:p>
        </w:tc>
        <w:tc>
          <w:tcPr>
            <w:tcW w:w="1803" w:type="dxa"/>
            <w:tcBorders>
              <w:top w:val="nil"/>
              <w:left w:val="nil"/>
              <w:bottom w:val="single" w:color="auto" w:sz="4" w:space="0"/>
              <w:right w:val="single" w:color="auto" w:sz="4" w:space="0"/>
            </w:tcBorders>
            <w:noWrap/>
            <w:vAlign w:val="center"/>
          </w:tcPr>
          <w:p w14:paraId="7F0097ED">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从业人员（X）</w:t>
            </w:r>
          </w:p>
        </w:tc>
        <w:tc>
          <w:tcPr>
            <w:tcW w:w="1323" w:type="dxa"/>
            <w:tcBorders>
              <w:top w:val="nil"/>
              <w:left w:val="nil"/>
              <w:bottom w:val="single" w:color="auto" w:sz="4" w:space="0"/>
              <w:right w:val="single" w:color="auto" w:sz="4" w:space="0"/>
            </w:tcBorders>
            <w:noWrap/>
            <w:vAlign w:val="center"/>
          </w:tcPr>
          <w:p w14:paraId="33289B4B">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tc>
        <w:tc>
          <w:tcPr>
            <w:tcW w:w="1903" w:type="dxa"/>
            <w:tcBorders>
              <w:top w:val="nil"/>
              <w:left w:val="nil"/>
              <w:bottom w:val="single" w:color="auto" w:sz="4" w:space="0"/>
              <w:right w:val="single" w:color="auto" w:sz="4" w:space="0"/>
            </w:tcBorders>
            <w:noWrap/>
            <w:vAlign w:val="center"/>
          </w:tcPr>
          <w:p w14:paraId="06A955FA">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300≤X＜1000</w:t>
            </w:r>
          </w:p>
        </w:tc>
        <w:tc>
          <w:tcPr>
            <w:tcW w:w="1692" w:type="dxa"/>
            <w:tcBorders>
              <w:top w:val="nil"/>
              <w:left w:val="nil"/>
              <w:bottom w:val="single" w:color="auto" w:sz="4" w:space="0"/>
              <w:right w:val="single" w:color="auto" w:sz="4" w:space="0"/>
            </w:tcBorders>
            <w:noWrap/>
            <w:vAlign w:val="center"/>
          </w:tcPr>
          <w:p w14:paraId="6C615B8E">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20≤X＜300</w:t>
            </w:r>
          </w:p>
        </w:tc>
        <w:tc>
          <w:tcPr>
            <w:tcW w:w="1087" w:type="dxa"/>
            <w:tcBorders>
              <w:top w:val="nil"/>
              <w:left w:val="nil"/>
              <w:bottom w:val="single" w:color="auto" w:sz="4" w:space="0"/>
              <w:right w:val="single" w:color="auto" w:sz="4" w:space="0"/>
            </w:tcBorders>
            <w:noWrap/>
            <w:vAlign w:val="center"/>
          </w:tcPr>
          <w:p w14:paraId="68E31C88">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X＜20</w:t>
            </w:r>
          </w:p>
        </w:tc>
      </w:tr>
      <w:tr w14:paraId="2DE7212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558B2AC2">
            <w:pPr>
              <w:contextualSpacing/>
              <w:jc w:val="center"/>
              <w:rPr>
                <w:rFonts w:hint="eastAsia" w:ascii="仿宋" w:hAnsi="仿宋" w:eastAsia="仿宋" w:cs="仿宋"/>
                <w:b/>
                <w:bCs/>
                <w:color w:val="auto"/>
                <w:sz w:val="24"/>
                <w:highlight w:val="none"/>
              </w:rPr>
            </w:pPr>
          </w:p>
        </w:tc>
        <w:tc>
          <w:tcPr>
            <w:tcW w:w="1803" w:type="dxa"/>
            <w:tcBorders>
              <w:top w:val="nil"/>
              <w:left w:val="nil"/>
              <w:bottom w:val="single" w:color="auto" w:sz="4" w:space="0"/>
              <w:right w:val="single" w:color="auto" w:sz="4" w:space="0"/>
            </w:tcBorders>
            <w:noWrap/>
            <w:vAlign w:val="center"/>
          </w:tcPr>
          <w:p w14:paraId="27EDA7A7">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营业收入（Y）</w:t>
            </w:r>
          </w:p>
        </w:tc>
        <w:tc>
          <w:tcPr>
            <w:tcW w:w="1323" w:type="dxa"/>
            <w:tcBorders>
              <w:top w:val="nil"/>
              <w:left w:val="nil"/>
              <w:bottom w:val="single" w:color="auto" w:sz="4" w:space="0"/>
              <w:right w:val="single" w:color="auto" w:sz="4" w:space="0"/>
            </w:tcBorders>
            <w:noWrap/>
            <w:vAlign w:val="center"/>
          </w:tcPr>
          <w:p w14:paraId="08374990">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40A99789">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3000≤Y＜30000</w:t>
            </w:r>
          </w:p>
        </w:tc>
        <w:tc>
          <w:tcPr>
            <w:tcW w:w="1692" w:type="dxa"/>
            <w:tcBorders>
              <w:top w:val="nil"/>
              <w:left w:val="nil"/>
              <w:bottom w:val="single" w:color="auto" w:sz="4" w:space="0"/>
              <w:right w:val="single" w:color="auto" w:sz="4" w:space="0"/>
            </w:tcBorders>
            <w:noWrap/>
            <w:vAlign w:val="center"/>
          </w:tcPr>
          <w:p w14:paraId="623255D7">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200≤Y＜3000</w:t>
            </w:r>
          </w:p>
        </w:tc>
        <w:tc>
          <w:tcPr>
            <w:tcW w:w="1087" w:type="dxa"/>
            <w:tcBorders>
              <w:top w:val="nil"/>
              <w:left w:val="nil"/>
              <w:bottom w:val="single" w:color="auto" w:sz="4" w:space="0"/>
              <w:right w:val="single" w:color="auto" w:sz="4" w:space="0"/>
            </w:tcBorders>
            <w:noWrap/>
            <w:vAlign w:val="center"/>
          </w:tcPr>
          <w:p w14:paraId="046EADDF">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Y＜200</w:t>
            </w:r>
          </w:p>
        </w:tc>
      </w:tr>
      <w:tr w14:paraId="5B3FFE8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4610AD86">
            <w:pPr>
              <w:contextualSpacing/>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仓储业</w:t>
            </w:r>
          </w:p>
        </w:tc>
        <w:tc>
          <w:tcPr>
            <w:tcW w:w="1803" w:type="dxa"/>
            <w:tcBorders>
              <w:top w:val="nil"/>
              <w:left w:val="nil"/>
              <w:bottom w:val="single" w:color="auto" w:sz="4" w:space="0"/>
              <w:right w:val="single" w:color="auto" w:sz="4" w:space="0"/>
            </w:tcBorders>
            <w:noWrap/>
            <w:vAlign w:val="center"/>
          </w:tcPr>
          <w:p w14:paraId="6EF5DAD5">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从业人员（X）</w:t>
            </w:r>
          </w:p>
        </w:tc>
        <w:tc>
          <w:tcPr>
            <w:tcW w:w="1323" w:type="dxa"/>
            <w:tcBorders>
              <w:top w:val="nil"/>
              <w:left w:val="nil"/>
              <w:bottom w:val="single" w:color="auto" w:sz="4" w:space="0"/>
              <w:right w:val="single" w:color="auto" w:sz="4" w:space="0"/>
            </w:tcBorders>
            <w:noWrap/>
            <w:vAlign w:val="center"/>
          </w:tcPr>
          <w:p w14:paraId="70A9F655">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tc>
        <w:tc>
          <w:tcPr>
            <w:tcW w:w="1903" w:type="dxa"/>
            <w:tcBorders>
              <w:top w:val="nil"/>
              <w:left w:val="nil"/>
              <w:bottom w:val="single" w:color="auto" w:sz="4" w:space="0"/>
              <w:right w:val="single" w:color="auto" w:sz="4" w:space="0"/>
            </w:tcBorders>
            <w:noWrap/>
            <w:vAlign w:val="center"/>
          </w:tcPr>
          <w:p w14:paraId="33F60868">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100≤X＜200</w:t>
            </w:r>
          </w:p>
        </w:tc>
        <w:tc>
          <w:tcPr>
            <w:tcW w:w="1692" w:type="dxa"/>
            <w:tcBorders>
              <w:top w:val="nil"/>
              <w:left w:val="nil"/>
              <w:bottom w:val="single" w:color="auto" w:sz="4" w:space="0"/>
              <w:right w:val="single" w:color="auto" w:sz="4" w:space="0"/>
            </w:tcBorders>
            <w:noWrap/>
            <w:vAlign w:val="center"/>
          </w:tcPr>
          <w:p w14:paraId="03B5F375">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20≤X＜100</w:t>
            </w:r>
          </w:p>
        </w:tc>
        <w:tc>
          <w:tcPr>
            <w:tcW w:w="1087" w:type="dxa"/>
            <w:tcBorders>
              <w:top w:val="nil"/>
              <w:left w:val="nil"/>
              <w:bottom w:val="single" w:color="auto" w:sz="4" w:space="0"/>
              <w:right w:val="single" w:color="auto" w:sz="4" w:space="0"/>
            </w:tcBorders>
            <w:noWrap/>
            <w:vAlign w:val="center"/>
          </w:tcPr>
          <w:p w14:paraId="2C92B02C">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X＜20</w:t>
            </w:r>
          </w:p>
        </w:tc>
      </w:tr>
      <w:tr w14:paraId="18CAC2C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70BF7E5D">
            <w:pPr>
              <w:contextualSpacing/>
              <w:jc w:val="center"/>
              <w:rPr>
                <w:rFonts w:hint="eastAsia" w:ascii="仿宋" w:hAnsi="仿宋" w:eastAsia="仿宋" w:cs="仿宋"/>
                <w:b/>
                <w:bCs/>
                <w:color w:val="auto"/>
                <w:sz w:val="24"/>
                <w:highlight w:val="none"/>
              </w:rPr>
            </w:pPr>
          </w:p>
        </w:tc>
        <w:tc>
          <w:tcPr>
            <w:tcW w:w="1803" w:type="dxa"/>
            <w:tcBorders>
              <w:top w:val="nil"/>
              <w:left w:val="nil"/>
              <w:bottom w:val="single" w:color="auto" w:sz="4" w:space="0"/>
              <w:right w:val="single" w:color="auto" w:sz="4" w:space="0"/>
            </w:tcBorders>
            <w:noWrap/>
            <w:vAlign w:val="center"/>
          </w:tcPr>
          <w:p w14:paraId="456BC27D">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营业收入（Y）</w:t>
            </w:r>
          </w:p>
        </w:tc>
        <w:tc>
          <w:tcPr>
            <w:tcW w:w="1323" w:type="dxa"/>
            <w:tcBorders>
              <w:top w:val="nil"/>
              <w:left w:val="nil"/>
              <w:bottom w:val="single" w:color="auto" w:sz="4" w:space="0"/>
              <w:right w:val="single" w:color="auto" w:sz="4" w:space="0"/>
            </w:tcBorders>
            <w:noWrap/>
            <w:vAlign w:val="center"/>
          </w:tcPr>
          <w:p w14:paraId="4CC65160">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7E3B1786">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1000≤Y＜30000</w:t>
            </w:r>
          </w:p>
        </w:tc>
        <w:tc>
          <w:tcPr>
            <w:tcW w:w="1692" w:type="dxa"/>
            <w:tcBorders>
              <w:top w:val="nil"/>
              <w:left w:val="nil"/>
              <w:bottom w:val="single" w:color="auto" w:sz="4" w:space="0"/>
              <w:right w:val="single" w:color="auto" w:sz="4" w:space="0"/>
            </w:tcBorders>
            <w:noWrap/>
            <w:vAlign w:val="center"/>
          </w:tcPr>
          <w:p w14:paraId="4B94BCF0">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100≤Y＜1000</w:t>
            </w:r>
          </w:p>
        </w:tc>
        <w:tc>
          <w:tcPr>
            <w:tcW w:w="1087" w:type="dxa"/>
            <w:tcBorders>
              <w:top w:val="nil"/>
              <w:left w:val="nil"/>
              <w:bottom w:val="single" w:color="auto" w:sz="4" w:space="0"/>
              <w:right w:val="single" w:color="auto" w:sz="4" w:space="0"/>
            </w:tcBorders>
            <w:noWrap/>
            <w:vAlign w:val="center"/>
          </w:tcPr>
          <w:p w14:paraId="0770BCAF">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Y＜100</w:t>
            </w:r>
          </w:p>
        </w:tc>
      </w:tr>
      <w:tr w14:paraId="33E1BA4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7740D2CE">
            <w:pPr>
              <w:contextualSpacing/>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邮政业</w:t>
            </w:r>
          </w:p>
        </w:tc>
        <w:tc>
          <w:tcPr>
            <w:tcW w:w="1803" w:type="dxa"/>
            <w:tcBorders>
              <w:top w:val="nil"/>
              <w:left w:val="nil"/>
              <w:bottom w:val="single" w:color="auto" w:sz="4" w:space="0"/>
              <w:right w:val="single" w:color="auto" w:sz="4" w:space="0"/>
            </w:tcBorders>
            <w:noWrap/>
            <w:vAlign w:val="center"/>
          </w:tcPr>
          <w:p w14:paraId="238605CE">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从业人员（X）</w:t>
            </w:r>
          </w:p>
        </w:tc>
        <w:tc>
          <w:tcPr>
            <w:tcW w:w="1323" w:type="dxa"/>
            <w:tcBorders>
              <w:top w:val="nil"/>
              <w:left w:val="nil"/>
              <w:bottom w:val="single" w:color="auto" w:sz="4" w:space="0"/>
              <w:right w:val="single" w:color="auto" w:sz="4" w:space="0"/>
            </w:tcBorders>
            <w:noWrap/>
            <w:vAlign w:val="center"/>
          </w:tcPr>
          <w:p w14:paraId="35341A9F">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tc>
        <w:tc>
          <w:tcPr>
            <w:tcW w:w="1903" w:type="dxa"/>
            <w:tcBorders>
              <w:top w:val="nil"/>
              <w:left w:val="nil"/>
              <w:bottom w:val="single" w:color="auto" w:sz="4" w:space="0"/>
              <w:right w:val="single" w:color="auto" w:sz="4" w:space="0"/>
            </w:tcBorders>
            <w:noWrap/>
            <w:vAlign w:val="center"/>
          </w:tcPr>
          <w:p w14:paraId="4EE72E4C">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300≤X＜1000</w:t>
            </w:r>
          </w:p>
        </w:tc>
        <w:tc>
          <w:tcPr>
            <w:tcW w:w="1692" w:type="dxa"/>
            <w:tcBorders>
              <w:top w:val="nil"/>
              <w:left w:val="nil"/>
              <w:bottom w:val="single" w:color="auto" w:sz="4" w:space="0"/>
              <w:right w:val="single" w:color="auto" w:sz="4" w:space="0"/>
            </w:tcBorders>
            <w:noWrap/>
            <w:vAlign w:val="center"/>
          </w:tcPr>
          <w:p w14:paraId="1B514FA0">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20≤X＜300</w:t>
            </w:r>
          </w:p>
        </w:tc>
        <w:tc>
          <w:tcPr>
            <w:tcW w:w="1087" w:type="dxa"/>
            <w:tcBorders>
              <w:top w:val="nil"/>
              <w:left w:val="nil"/>
              <w:bottom w:val="single" w:color="auto" w:sz="4" w:space="0"/>
              <w:right w:val="single" w:color="auto" w:sz="4" w:space="0"/>
            </w:tcBorders>
            <w:noWrap/>
            <w:vAlign w:val="center"/>
          </w:tcPr>
          <w:p w14:paraId="4C7E5D85">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X＜20</w:t>
            </w:r>
          </w:p>
        </w:tc>
      </w:tr>
      <w:tr w14:paraId="2EAADCD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0D4C6EEA">
            <w:pPr>
              <w:contextualSpacing/>
              <w:jc w:val="center"/>
              <w:rPr>
                <w:rFonts w:hint="eastAsia" w:ascii="仿宋" w:hAnsi="仿宋" w:eastAsia="仿宋" w:cs="仿宋"/>
                <w:b/>
                <w:bCs/>
                <w:color w:val="auto"/>
                <w:sz w:val="24"/>
                <w:highlight w:val="none"/>
              </w:rPr>
            </w:pPr>
          </w:p>
        </w:tc>
        <w:tc>
          <w:tcPr>
            <w:tcW w:w="1803" w:type="dxa"/>
            <w:tcBorders>
              <w:top w:val="nil"/>
              <w:left w:val="nil"/>
              <w:bottom w:val="single" w:color="auto" w:sz="4" w:space="0"/>
              <w:right w:val="single" w:color="auto" w:sz="4" w:space="0"/>
            </w:tcBorders>
            <w:noWrap/>
            <w:vAlign w:val="center"/>
          </w:tcPr>
          <w:p w14:paraId="2A7E14DA">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营业收入（Y）</w:t>
            </w:r>
          </w:p>
        </w:tc>
        <w:tc>
          <w:tcPr>
            <w:tcW w:w="1323" w:type="dxa"/>
            <w:tcBorders>
              <w:top w:val="nil"/>
              <w:left w:val="nil"/>
              <w:bottom w:val="single" w:color="auto" w:sz="4" w:space="0"/>
              <w:right w:val="single" w:color="auto" w:sz="4" w:space="0"/>
            </w:tcBorders>
            <w:noWrap/>
            <w:vAlign w:val="center"/>
          </w:tcPr>
          <w:p w14:paraId="0532E8A2">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74FAA4B7">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2000≤Y＜30000</w:t>
            </w:r>
          </w:p>
        </w:tc>
        <w:tc>
          <w:tcPr>
            <w:tcW w:w="1692" w:type="dxa"/>
            <w:tcBorders>
              <w:top w:val="nil"/>
              <w:left w:val="nil"/>
              <w:bottom w:val="single" w:color="auto" w:sz="4" w:space="0"/>
              <w:right w:val="single" w:color="auto" w:sz="4" w:space="0"/>
            </w:tcBorders>
            <w:noWrap/>
            <w:vAlign w:val="center"/>
          </w:tcPr>
          <w:p w14:paraId="3E9EC88D">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100≤Y＜2000</w:t>
            </w:r>
          </w:p>
        </w:tc>
        <w:tc>
          <w:tcPr>
            <w:tcW w:w="1087" w:type="dxa"/>
            <w:tcBorders>
              <w:top w:val="nil"/>
              <w:left w:val="nil"/>
              <w:bottom w:val="single" w:color="auto" w:sz="4" w:space="0"/>
              <w:right w:val="single" w:color="auto" w:sz="4" w:space="0"/>
            </w:tcBorders>
            <w:noWrap/>
            <w:vAlign w:val="center"/>
          </w:tcPr>
          <w:p w14:paraId="10E14BE7">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Y＜100</w:t>
            </w:r>
          </w:p>
        </w:tc>
      </w:tr>
      <w:tr w14:paraId="69DF55B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35FD28C7">
            <w:pPr>
              <w:contextualSpacing/>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住宿业</w:t>
            </w:r>
          </w:p>
        </w:tc>
        <w:tc>
          <w:tcPr>
            <w:tcW w:w="1803" w:type="dxa"/>
            <w:tcBorders>
              <w:top w:val="nil"/>
              <w:left w:val="nil"/>
              <w:bottom w:val="single" w:color="auto" w:sz="4" w:space="0"/>
              <w:right w:val="single" w:color="auto" w:sz="4" w:space="0"/>
            </w:tcBorders>
            <w:noWrap/>
            <w:vAlign w:val="center"/>
          </w:tcPr>
          <w:p w14:paraId="6216D3CC">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从业人员（X）</w:t>
            </w:r>
          </w:p>
        </w:tc>
        <w:tc>
          <w:tcPr>
            <w:tcW w:w="1323" w:type="dxa"/>
            <w:tcBorders>
              <w:top w:val="nil"/>
              <w:left w:val="nil"/>
              <w:bottom w:val="single" w:color="auto" w:sz="4" w:space="0"/>
              <w:right w:val="single" w:color="auto" w:sz="4" w:space="0"/>
            </w:tcBorders>
            <w:noWrap/>
            <w:vAlign w:val="center"/>
          </w:tcPr>
          <w:p w14:paraId="17C67DE0">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tc>
        <w:tc>
          <w:tcPr>
            <w:tcW w:w="1903" w:type="dxa"/>
            <w:tcBorders>
              <w:top w:val="nil"/>
              <w:left w:val="nil"/>
              <w:bottom w:val="single" w:color="auto" w:sz="4" w:space="0"/>
              <w:right w:val="single" w:color="auto" w:sz="4" w:space="0"/>
            </w:tcBorders>
            <w:noWrap/>
            <w:vAlign w:val="center"/>
          </w:tcPr>
          <w:p w14:paraId="235A3C69">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100≤X＜300</w:t>
            </w:r>
          </w:p>
        </w:tc>
        <w:tc>
          <w:tcPr>
            <w:tcW w:w="1692" w:type="dxa"/>
            <w:tcBorders>
              <w:top w:val="nil"/>
              <w:left w:val="nil"/>
              <w:bottom w:val="single" w:color="auto" w:sz="4" w:space="0"/>
              <w:right w:val="single" w:color="auto" w:sz="4" w:space="0"/>
            </w:tcBorders>
            <w:noWrap/>
            <w:vAlign w:val="center"/>
          </w:tcPr>
          <w:p w14:paraId="32A00E53">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10≤X＜100</w:t>
            </w:r>
          </w:p>
        </w:tc>
        <w:tc>
          <w:tcPr>
            <w:tcW w:w="1087" w:type="dxa"/>
            <w:tcBorders>
              <w:top w:val="nil"/>
              <w:left w:val="nil"/>
              <w:bottom w:val="single" w:color="auto" w:sz="4" w:space="0"/>
              <w:right w:val="single" w:color="auto" w:sz="4" w:space="0"/>
            </w:tcBorders>
            <w:noWrap/>
            <w:vAlign w:val="center"/>
          </w:tcPr>
          <w:p w14:paraId="45607FCA">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X＜10</w:t>
            </w:r>
          </w:p>
        </w:tc>
      </w:tr>
      <w:tr w14:paraId="44967D3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6CC74B84">
            <w:pPr>
              <w:contextualSpacing/>
              <w:jc w:val="center"/>
              <w:rPr>
                <w:rFonts w:hint="eastAsia" w:ascii="仿宋" w:hAnsi="仿宋" w:eastAsia="仿宋" w:cs="仿宋"/>
                <w:b/>
                <w:bCs/>
                <w:color w:val="auto"/>
                <w:sz w:val="24"/>
                <w:highlight w:val="none"/>
              </w:rPr>
            </w:pPr>
          </w:p>
        </w:tc>
        <w:tc>
          <w:tcPr>
            <w:tcW w:w="1803" w:type="dxa"/>
            <w:tcBorders>
              <w:top w:val="nil"/>
              <w:left w:val="nil"/>
              <w:bottom w:val="single" w:color="auto" w:sz="4" w:space="0"/>
              <w:right w:val="single" w:color="auto" w:sz="4" w:space="0"/>
            </w:tcBorders>
            <w:noWrap/>
            <w:vAlign w:val="center"/>
          </w:tcPr>
          <w:p w14:paraId="19A41EA1">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营业收入（Y）</w:t>
            </w:r>
          </w:p>
        </w:tc>
        <w:tc>
          <w:tcPr>
            <w:tcW w:w="1323" w:type="dxa"/>
            <w:tcBorders>
              <w:top w:val="nil"/>
              <w:left w:val="nil"/>
              <w:bottom w:val="single" w:color="auto" w:sz="4" w:space="0"/>
              <w:right w:val="single" w:color="auto" w:sz="4" w:space="0"/>
            </w:tcBorders>
            <w:noWrap/>
            <w:vAlign w:val="center"/>
          </w:tcPr>
          <w:p w14:paraId="188B2918">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2FD43079">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2000≤Y＜10000</w:t>
            </w:r>
          </w:p>
        </w:tc>
        <w:tc>
          <w:tcPr>
            <w:tcW w:w="1692" w:type="dxa"/>
            <w:tcBorders>
              <w:top w:val="nil"/>
              <w:left w:val="nil"/>
              <w:bottom w:val="single" w:color="auto" w:sz="4" w:space="0"/>
              <w:right w:val="single" w:color="auto" w:sz="4" w:space="0"/>
            </w:tcBorders>
            <w:noWrap/>
            <w:vAlign w:val="center"/>
          </w:tcPr>
          <w:p w14:paraId="0027CF11">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100≤Y＜2000</w:t>
            </w:r>
          </w:p>
        </w:tc>
        <w:tc>
          <w:tcPr>
            <w:tcW w:w="1087" w:type="dxa"/>
            <w:tcBorders>
              <w:top w:val="nil"/>
              <w:left w:val="nil"/>
              <w:bottom w:val="single" w:color="auto" w:sz="4" w:space="0"/>
              <w:right w:val="single" w:color="auto" w:sz="4" w:space="0"/>
            </w:tcBorders>
            <w:noWrap/>
            <w:vAlign w:val="center"/>
          </w:tcPr>
          <w:p w14:paraId="1F87F690">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Y＜100</w:t>
            </w:r>
          </w:p>
        </w:tc>
      </w:tr>
      <w:tr w14:paraId="4DFE591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024EEE18">
            <w:pPr>
              <w:contextualSpacing/>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餐饮业</w:t>
            </w:r>
          </w:p>
        </w:tc>
        <w:tc>
          <w:tcPr>
            <w:tcW w:w="1803" w:type="dxa"/>
            <w:tcBorders>
              <w:top w:val="nil"/>
              <w:left w:val="nil"/>
              <w:bottom w:val="single" w:color="auto" w:sz="4" w:space="0"/>
              <w:right w:val="single" w:color="auto" w:sz="4" w:space="0"/>
            </w:tcBorders>
            <w:noWrap/>
            <w:vAlign w:val="center"/>
          </w:tcPr>
          <w:p w14:paraId="622A784C">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从业人员（X）</w:t>
            </w:r>
          </w:p>
        </w:tc>
        <w:tc>
          <w:tcPr>
            <w:tcW w:w="1323" w:type="dxa"/>
            <w:tcBorders>
              <w:top w:val="nil"/>
              <w:left w:val="nil"/>
              <w:bottom w:val="single" w:color="auto" w:sz="4" w:space="0"/>
              <w:right w:val="single" w:color="auto" w:sz="4" w:space="0"/>
            </w:tcBorders>
            <w:noWrap/>
            <w:vAlign w:val="center"/>
          </w:tcPr>
          <w:p w14:paraId="1BC71AEB">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tc>
        <w:tc>
          <w:tcPr>
            <w:tcW w:w="1903" w:type="dxa"/>
            <w:tcBorders>
              <w:top w:val="nil"/>
              <w:left w:val="nil"/>
              <w:bottom w:val="single" w:color="auto" w:sz="4" w:space="0"/>
              <w:right w:val="single" w:color="auto" w:sz="4" w:space="0"/>
            </w:tcBorders>
            <w:noWrap/>
            <w:vAlign w:val="center"/>
          </w:tcPr>
          <w:p w14:paraId="2BE0D72E">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100≤X＜300</w:t>
            </w:r>
          </w:p>
        </w:tc>
        <w:tc>
          <w:tcPr>
            <w:tcW w:w="1692" w:type="dxa"/>
            <w:tcBorders>
              <w:top w:val="nil"/>
              <w:left w:val="nil"/>
              <w:bottom w:val="single" w:color="auto" w:sz="4" w:space="0"/>
              <w:right w:val="single" w:color="auto" w:sz="4" w:space="0"/>
            </w:tcBorders>
            <w:noWrap/>
            <w:vAlign w:val="center"/>
          </w:tcPr>
          <w:p w14:paraId="332025BC">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10≤X＜100</w:t>
            </w:r>
          </w:p>
        </w:tc>
        <w:tc>
          <w:tcPr>
            <w:tcW w:w="1087" w:type="dxa"/>
            <w:tcBorders>
              <w:top w:val="nil"/>
              <w:left w:val="nil"/>
              <w:bottom w:val="single" w:color="auto" w:sz="4" w:space="0"/>
              <w:right w:val="single" w:color="auto" w:sz="4" w:space="0"/>
            </w:tcBorders>
            <w:noWrap/>
            <w:vAlign w:val="center"/>
          </w:tcPr>
          <w:p w14:paraId="50946C40">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X＜10</w:t>
            </w:r>
          </w:p>
        </w:tc>
      </w:tr>
      <w:tr w14:paraId="0A18027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045FD3BC">
            <w:pPr>
              <w:contextualSpacing/>
              <w:jc w:val="center"/>
              <w:rPr>
                <w:rFonts w:hint="eastAsia" w:ascii="仿宋" w:hAnsi="仿宋" w:eastAsia="仿宋" w:cs="仿宋"/>
                <w:b/>
                <w:bCs/>
                <w:color w:val="auto"/>
                <w:sz w:val="24"/>
                <w:highlight w:val="none"/>
              </w:rPr>
            </w:pPr>
          </w:p>
        </w:tc>
        <w:tc>
          <w:tcPr>
            <w:tcW w:w="1803" w:type="dxa"/>
            <w:tcBorders>
              <w:top w:val="nil"/>
              <w:left w:val="nil"/>
              <w:bottom w:val="single" w:color="auto" w:sz="4" w:space="0"/>
              <w:right w:val="single" w:color="auto" w:sz="4" w:space="0"/>
            </w:tcBorders>
            <w:noWrap/>
            <w:vAlign w:val="center"/>
          </w:tcPr>
          <w:p w14:paraId="32BC6565">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营业收入（Y）</w:t>
            </w:r>
          </w:p>
        </w:tc>
        <w:tc>
          <w:tcPr>
            <w:tcW w:w="1323" w:type="dxa"/>
            <w:tcBorders>
              <w:top w:val="nil"/>
              <w:left w:val="nil"/>
              <w:bottom w:val="single" w:color="auto" w:sz="4" w:space="0"/>
              <w:right w:val="single" w:color="auto" w:sz="4" w:space="0"/>
            </w:tcBorders>
            <w:noWrap/>
            <w:vAlign w:val="center"/>
          </w:tcPr>
          <w:p w14:paraId="58D5C5E0">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5D963D4C">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2000≤Y＜10000</w:t>
            </w:r>
          </w:p>
        </w:tc>
        <w:tc>
          <w:tcPr>
            <w:tcW w:w="1692" w:type="dxa"/>
            <w:tcBorders>
              <w:top w:val="nil"/>
              <w:left w:val="nil"/>
              <w:bottom w:val="single" w:color="auto" w:sz="4" w:space="0"/>
              <w:right w:val="single" w:color="auto" w:sz="4" w:space="0"/>
            </w:tcBorders>
            <w:noWrap/>
            <w:vAlign w:val="center"/>
          </w:tcPr>
          <w:p w14:paraId="08611EFF">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100≤Y＜2000</w:t>
            </w:r>
          </w:p>
        </w:tc>
        <w:tc>
          <w:tcPr>
            <w:tcW w:w="1087" w:type="dxa"/>
            <w:tcBorders>
              <w:top w:val="nil"/>
              <w:left w:val="nil"/>
              <w:bottom w:val="single" w:color="auto" w:sz="4" w:space="0"/>
              <w:right w:val="single" w:color="auto" w:sz="4" w:space="0"/>
            </w:tcBorders>
            <w:noWrap/>
            <w:vAlign w:val="center"/>
          </w:tcPr>
          <w:p w14:paraId="0DBC09DA">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Y＜100</w:t>
            </w:r>
          </w:p>
        </w:tc>
      </w:tr>
      <w:tr w14:paraId="10D3F1F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1CE679B1">
            <w:pPr>
              <w:contextualSpacing/>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信息传输业</w:t>
            </w:r>
          </w:p>
        </w:tc>
        <w:tc>
          <w:tcPr>
            <w:tcW w:w="1803" w:type="dxa"/>
            <w:tcBorders>
              <w:top w:val="nil"/>
              <w:left w:val="nil"/>
              <w:bottom w:val="single" w:color="auto" w:sz="4" w:space="0"/>
              <w:right w:val="single" w:color="auto" w:sz="4" w:space="0"/>
            </w:tcBorders>
            <w:noWrap/>
            <w:vAlign w:val="center"/>
          </w:tcPr>
          <w:p w14:paraId="233634A7">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从业人员（X）</w:t>
            </w:r>
          </w:p>
        </w:tc>
        <w:tc>
          <w:tcPr>
            <w:tcW w:w="1323" w:type="dxa"/>
            <w:tcBorders>
              <w:top w:val="nil"/>
              <w:left w:val="nil"/>
              <w:bottom w:val="single" w:color="auto" w:sz="4" w:space="0"/>
              <w:right w:val="single" w:color="auto" w:sz="4" w:space="0"/>
            </w:tcBorders>
            <w:noWrap/>
            <w:vAlign w:val="center"/>
          </w:tcPr>
          <w:p w14:paraId="07EA5469">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tc>
        <w:tc>
          <w:tcPr>
            <w:tcW w:w="1903" w:type="dxa"/>
            <w:tcBorders>
              <w:top w:val="nil"/>
              <w:left w:val="nil"/>
              <w:bottom w:val="single" w:color="auto" w:sz="4" w:space="0"/>
              <w:right w:val="single" w:color="auto" w:sz="4" w:space="0"/>
            </w:tcBorders>
            <w:noWrap/>
            <w:vAlign w:val="center"/>
          </w:tcPr>
          <w:p w14:paraId="178681FF">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100≤X＜2000</w:t>
            </w:r>
          </w:p>
        </w:tc>
        <w:tc>
          <w:tcPr>
            <w:tcW w:w="1692" w:type="dxa"/>
            <w:tcBorders>
              <w:top w:val="nil"/>
              <w:left w:val="nil"/>
              <w:bottom w:val="single" w:color="auto" w:sz="4" w:space="0"/>
              <w:right w:val="single" w:color="auto" w:sz="4" w:space="0"/>
            </w:tcBorders>
            <w:noWrap/>
            <w:vAlign w:val="center"/>
          </w:tcPr>
          <w:p w14:paraId="084B1F85">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10≤X＜100</w:t>
            </w:r>
          </w:p>
        </w:tc>
        <w:tc>
          <w:tcPr>
            <w:tcW w:w="1087" w:type="dxa"/>
            <w:tcBorders>
              <w:top w:val="nil"/>
              <w:left w:val="nil"/>
              <w:bottom w:val="single" w:color="auto" w:sz="4" w:space="0"/>
              <w:right w:val="single" w:color="auto" w:sz="4" w:space="0"/>
            </w:tcBorders>
            <w:noWrap/>
            <w:vAlign w:val="center"/>
          </w:tcPr>
          <w:p w14:paraId="6AD13888">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X＜10</w:t>
            </w:r>
          </w:p>
        </w:tc>
      </w:tr>
      <w:tr w14:paraId="4B26DEE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7ABF5FA8">
            <w:pPr>
              <w:contextualSpacing/>
              <w:jc w:val="center"/>
              <w:rPr>
                <w:rFonts w:hint="eastAsia" w:ascii="仿宋" w:hAnsi="仿宋" w:eastAsia="仿宋" w:cs="仿宋"/>
                <w:b/>
                <w:bCs/>
                <w:color w:val="auto"/>
                <w:sz w:val="24"/>
                <w:highlight w:val="none"/>
              </w:rPr>
            </w:pPr>
          </w:p>
        </w:tc>
        <w:tc>
          <w:tcPr>
            <w:tcW w:w="1803" w:type="dxa"/>
            <w:tcBorders>
              <w:top w:val="nil"/>
              <w:left w:val="nil"/>
              <w:bottom w:val="single" w:color="auto" w:sz="4" w:space="0"/>
              <w:right w:val="single" w:color="auto" w:sz="4" w:space="0"/>
            </w:tcBorders>
            <w:noWrap/>
            <w:vAlign w:val="center"/>
          </w:tcPr>
          <w:p w14:paraId="57CD9D0F">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营业收入（Y）</w:t>
            </w:r>
          </w:p>
        </w:tc>
        <w:tc>
          <w:tcPr>
            <w:tcW w:w="1323" w:type="dxa"/>
            <w:tcBorders>
              <w:top w:val="nil"/>
              <w:left w:val="nil"/>
              <w:bottom w:val="single" w:color="auto" w:sz="4" w:space="0"/>
              <w:right w:val="single" w:color="auto" w:sz="4" w:space="0"/>
            </w:tcBorders>
            <w:noWrap/>
            <w:vAlign w:val="center"/>
          </w:tcPr>
          <w:p w14:paraId="5538EDB9">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19EF5A4F">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1000≤Y＜100000</w:t>
            </w:r>
          </w:p>
        </w:tc>
        <w:tc>
          <w:tcPr>
            <w:tcW w:w="1692" w:type="dxa"/>
            <w:tcBorders>
              <w:top w:val="nil"/>
              <w:left w:val="nil"/>
              <w:bottom w:val="single" w:color="auto" w:sz="4" w:space="0"/>
              <w:right w:val="single" w:color="auto" w:sz="4" w:space="0"/>
            </w:tcBorders>
            <w:noWrap/>
            <w:vAlign w:val="center"/>
          </w:tcPr>
          <w:p w14:paraId="24B02CDD">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100≤Y＜1000</w:t>
            </w:r>
          </w:p>
        </w:tc>
        <w:tc>
          <w:tcPr>
            <w:tcW w:w="1087" w:type="dxa"/>
            <w:tcBorders>
              <w:top w:val="nil"/>
              <w:left w:val="nil"/>
              <w:bottom w:val="single" w:color="auto" w:sz="4" w:space="0"/>
              <w:right w:val="single" w:color="auto" w:sz="4" w:space="0"/>
            </w:tcBorders>
            <w:noWrap/>
            <w:vAlign w:val="center"/>
          </w:tcPr>
          <w:p w14:paraId="462958B6">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Y＜100</w:t>
            </w:r>
          </w:p>
        </w:tc>
      </w:tr>
      <w:tr w14:paraId="3FBA429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61CEBB07">
            <w:pPr>
              <w:contextualSpacing/>
              <w:jc w:val="center"/>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软件和信息技术服务业</w:t>
            </w:r>
          </w:p>
        </w:tc>
        <w:tc>
          <w:tcPr>
            <w:tcW w:w="1803" w:type="dxa"/>
            <w:tcBorders>
              <w:top w:val="nil"/>
              <w:left w:val="nil"/>
              <w:bottom w:val="single" w:color="auto" w:sz="4" w:space="0"/>
              <w:right w:val="single" w:color="auto" w:sz="4" w:space="0"/>
            </w:tcBorders>
            <w:noWrap/>
            <w:vAlign w:val="center"/>
          </w:tcPr>
          <w:p w14:paraId="331B3D54">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从业人员（X）</w:t>
            </w:r>
          </w:p>
        </w:tc>
        <w:tc>
          <w:tcPr>
            <w:tcW w:w="1323" w:type="dxa"/>
            <w:tcBorders>
              <w:top w:val="nil"/>
              <w:left w:val="nil"/>
              <w:bottom w:val="single" w:color="auto" w:sz="4" w:space="0"/>
              <w:right w:val="single" w:color="auto" w:sz="4" w:space="0"/>
            </w:tcBorders>
            <w:noWrap/>
            <w:vAlign w:val="center"/>
          </w:tcPr>
          <w:p w14:paraId="75110B90">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tc>
        <w:tc>
          <w:tcPr>
            <w:tcW w:w="1903" w:type="dxa"/>
            <w:tcBorders>
              <w:top w:val="nil"/>
              <w:left w:val="nil"/>
              <w:bottom w:val="single" w:color="auto" w:sz="4" w:space="0"/>
              <w:right w:val="single" w:color="auto" w:sz="4" w:space="0"/>
            </w:tcBorders>
            <w:noWrap/>
            <w:vAlign w:val="center"/>
          </w:tcPr>
          <w:p w14:paraId="736D1B61">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100≤X＜300</w:t>
            </w:r>
          </w:p>
        </w:tc>
        <w:tc>
          <w:tcPr>
            <w:tcW w:w="1692" w:type="dxa"/>
            <w:tcBorders>
              <w:top w:val="nil"/>
              <w:left w:val="nil"/>
              <w:bottom w:val="single" w:color="auto" w:sz="4" w:space="0"/>
              <w:right w:val="single" w:color="auto" w:sz="4" w:space="0"/>
            </w:tcBorders>
            <w:noWrap/>
            <w:vAlign w:val="center"/>
          </w:tcPr>
          <w:p w14:paraId="4FD2C062">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10≤X＜100</w:t>
            </w:r>
          </w:p>
        </w:tc>
        <w:tc>
          <w:tcPr>
            <w:tcW w:w="1087" w:type="dxa"/>
            <w:tcBorders>
              <w:top w:val="nil"/>
              <w:left w:val="nil"/>
              <w:bottom w:val="single" w:color="auto" w:sz="4" w:space="0"/>
              <w:right w:val="single" w:color="auto" w:sz="4" w:space="0"/>
            </w:tcBorders>
            <w:noWrap/>
            <w:vAlign w:val="center"/>
          </w:tcPr>
          <w:p w14:paraId="5B089240">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X＜10</w:t>
            </w:r>
          </w:p>
        </w:tc>
      </w:tr>
      <w:tr w14:paraId="539620E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43E3D46E">
            <w:pPr>
              <w:contextualSpacing/>
              <w:jc w:val="center"/>
              <w:rPr>
                <w:rFonts w:hint="eastAsia" w:ascii="仿宋" w:hAnsi="仿宋" w:eastAsia="仿宋" w:cs="仿宋"/>
                <w:b/>
                <w:bCs/>
                <w:color w:val="auto"/>
                <w:sz w:val="24"/>
                <w:highlight w:val="none"/>
              </w:rPr>
            </w:pPr>
          </w:p>
        </w:tc>
        <w:tc>
          <w:tcPr>
            <w:tcW w:w="1803" w:type="dxa"/>
            <w:tcBorders>
              <w:top w:val="nil"/>
              <w:left w:val="nil"/>
              <w:bottom w:val="single" w:color="auto" w:sz="4" w:space="0"/>
              <w:right w:val="single" w:color="auto" w:sz="4" w:space="0"/>
            </w:tcBorders>
            <w:noWrap/>
            <w:vAlign w:val="center"/>
          </w:tcPr>
          <w:p w14:paraId="1E103C86">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营业收入（Y）</w:t>
            </w:r>
          </w:p>
        </w:tc>
        <w:tc>
          <w:tcPr>
            <w:tcW w:w="1323" w:type="dxa"/>
            <w:tcBorders>
              <w:top w:val="nil"/>
              <w:left w:val="nil"/>
              <w:bottom w:val="single" w:color="auto" w:sz="4" w:space="0"/>
              <w:right w:val="single" w:color="auto" w:sz="4" w:space="0"/>
            </w:tcBorders>
            <w:noWrap/>
            <w:vAlign w:val="center"/>
          </w:tcPr>
          <w:p w14:paraId="6AE267D4">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5DF9C1DD">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1000≤Y＜10000</w:t>
            </w:r>
          </w:p>
        </w:tc>
        <w:tc>
          <w:tcPr>
            <w:tcW w:w="1692" w:type="dxa"/>
            <w:tcBorders>
              <w:top w:val="nil"/>
              <w:left w:val="nil"/>
              <w:bottom w:val="single" w:color="auto" w:sz="4" w:space="0"/>
              <w:right w:val="single" w:color="auto" w:sz="4" w:space="0"/>
            </w:tcBorders>
            <w:noWrap/>
            <w:vAlign w:val="center"/>
          </w:tcPr>
          <w:p w14:paraId="16022530">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50≤Y＜1000</w:t>
            </w:r>
          </w:p>
        </w:tc>
        <w:tc>
          <w:tcPr>
            <w:tcW w:w="1087" w:type="dxa"/>
            <w:tcBorders>
              <w:top w:val="nil"/>
              <w:left w:val="nil"/>
              <w:bottom w:val="single" w:color="auto" w:sz="4" w:space="0"/>
              <w:right w:val="single" w:color="auto" w:sz="4" w:space="0"/>
            </w:tcBorders>
            <w:noWrap/>
            <w:vAlign w:val="center"/>
          </w:tcPr>
          <w:p w14:paraId="5455B576">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Y＜50</w:t>
            </w:r>
          </w:p>
        </w:tc>
      </w:tr>
      <w:tr w14:paraId="0EC41A3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06CEF220">
            <w:pPr>
              <w:contextualSpacing/>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房地产开发经营</w:t>
            </w:r>
          </w:p>
        </w:tc>
        <w:tc>
          <w:tcPr>
            <w:tcW w:w="1803" w:type="dxa"/>
            <w:tcBorders>
              <w:top w:val="nil"/>
              <w:left w:val="nil"/>
              <w:bottom w:val="single" w:color="auto" w:sz="4" w:space="0"/>
              <w:right w:val="single" w:color="auto" w:sz="4" w:space="0"/>
            </w:tcBorders>
            <w:noWrap/>
            <w:vAlign w:val="center"/>
          </w:tcPr>
          <w:p w14:paraId="287ACE11">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营业收入（Y）</w:t>
            </w:r>
          </w:p>
        </w:tc>
        <w:tc>
          <w:tcPr>
            <w:tcW w:w="1323" w:type="dxa"/>
            <w:tcBorders>
              <w:top w:val="nil"/>
              <w:left w:val="nil"/>
              <w:bottom w:val="single" w:color="auto" w:sz="4" w:space="0"/>
              <w:right w:val="single" w:color="auto" w:sz="4" w:space="0"/>
            </w:tcBorders>
            <w:noWrap/>
            <w:vAlign w:val="center"/>
          </w:tcPr>
          <w:p w14:paraId="3EBA3983">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45012D13">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1000≤Y＜200000</w:t>
            </w:r>
          </w:p>
        </w:tc>
        <w:tc>
          <w:tcPr>
            <w:tcW w:w="1692" w:type="dxa"/>
            <w:tcBorders>
              <w:top w:val="nil"/>
              <w:left w:val="nil"/>
              <w:bottom w:val="single" w:color="auto" w:sz="4" w:space="0"/>
              <w:right w:val="single" w:color="auto" w:sz="4" w:space="0"/>
            </w:tcBorders>
            <w:noWrap/>
            <w:vAlign w:val="center"/>
          </w:tcPr>
          <w:p w14:paraId="7BFD61F1">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100≤X＜1000</w:t>
            </w:r>
          </w:p>
        </w:tc>
        <w:tc>
          <w:tcPr>
            <w:tcW w:w="1087" w:type="dxa"/>
            <w:tcBorders>
              <w:top w:val="nil"/>
              <w:left w:val="nil"/>
              <w:bottom w:val="single" w:color="auto" w:sz="4" w:space="0"/>
              <w:right w:val="single" w:color="auto" w:sz="4" w:space="0"/>
            </w:tcBorders>
            <w:noWrap/>
            <w:vAlign w:val="center"/>
          </w:tcPr>
          <w:p w14:paraId="68990B35">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X＜100</w:t>
            </w:r>
          </w:p>
        </w:tc>
      </w:tr>
      <w:tr w14:paraId="22B0571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07CA9DDF">
            <w:pPr>
              <w:contextualSpacing/>
              <w:jc w:val="center"/>
              <w:rPr>
                <w:rFonts w:hint="eastAsia" w:ascii="仿宋" w:hAnsi="仿宋" w:eastAsia="仿宋" w:cs="仿宋"/>
                <w:b/>
                <w:bCs/>
                <w:color w:val="auto"/>
                <w:sz w:val="24"/>
                <w:highlight w:val="none"/>
              </w:rPr>
            </w:pPr>
          </w:p>
        </w:tc>
        <w:tc>
          <w:tcPr>
            <w:tcW w:w="1803" w:type="dxa"/>
            <w:tcBorders>
              <w:top w:val="nil"/>
              <w:left w:val="nil"/>
              <w:bottom w:val="single" w:color="auto" w:sz="4" w:space="0"/>
              <w:right w:val="single" w:color="auto" w:sz="4" w:space="0"/>
            </w:tcBorders>
            <w:noWrap/>
            <w:vAlign w:val="center"/>
          </w:tcPr>
          <w:p w14:paraId="07CE6157">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资产总额（Z）</w:t>
            </w:r>
          </w:p>
        </w:tc>
        <w:tc>
          <w:tcPr>
            <w:tcW w:w="1323" w:type="dxa"/>
            <w:tcBorders>
              <w:top w:val="nil"/>
              <w:left w:val="nil"/>
              <w:bottom w:val="single" w:color="auto" w:sz="4" w:space="0"/>
              <w:right w:val="single" w:color="auto" w:sz="4" w:space="0"/>
            </w:tcBorders>
            <w:noWrap/>
            <w:vAlign w:val="center"/>
          </w:tcPr>
          <w:p w14:paraId="059C094A">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7FBBAE53">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5000≤Z＜10000</w:t>
            </w:r>
          </w:p>
        </w:tc>
        <w:tc>
          <w:tcPr>
            <w:tcW w:w="1692" w:type="dxa"/>
            <w:tcBorders>
              <w:top w:val="nil"/>
              <w:left w:val="nil"/>
              <w:bottom w:val="single" w:color="auto" w:sz="4" w:space="0"/>
              <w:right w:val="single" w:color="auto" w:sz="4" w:space="0"/>
            </w:tcBorders>
            <w:noWrap/>
            <w:vAlign w:val="center"/>
          </w:tcPr>
          <w:p w14:paraId="79725822">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2000≤Y＜5000</w:t>
            </w:r>
          </w:p>
        </w:tc>
        <w:tc>
          <w:tcPr>
            <w:tcW w:w="1087" w:type="dxa"/>
            <w:tcBorders>
              <w:top w:val="nil"/>
              <w:left w:val="nil"/>
              <w:bottom w:val="single" w:color="auto" w:sz="4" w:space="0"/>
              <w:right w:val="single" w:color="auto" w:sz="4" w:space="0"/>
            </w:tcBorders>
            <w:noWrap/>
            <w:vAlign w:val="center"/>
          </w:tcPr>
          <w:p w14:paraId="16302241">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Y＜2000</w:t>
            </w:r>
          </w:p>
        </w:tc>
      </w:tr>
      <w:tr w14:paraId="415CC1B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6875CB48">
            <w:pPr>
              <w:contextualSpacing/>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物业管理</w:t>
            </w:r>
          </w:p>
        </w:tc>
        <w:tc>
          <w:tcPr>
            <w:tcW w:w="1803" w:type="dxa"/>
            <w:tcBorders>
              <w:top w:val="nil"/>
              <w:left w:val="nil"/>
              <w:bottom w:val="single" w:color="auto" w:sz="4" w:space="0"/>
              <w:right w:val="single" w:color="auto" w:sz="4" w:space="0"/>
            </w:tcBorders>
            <w:noWrap/>
            <w:vAlign w:val="center"/>
          </w:tcPr>
          <w:p w14:paraId="139F4FD5">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从业人员（X）</w:t>
            </w:r>
          </w:p>
        </w:tc>
        <w:tc>
          <w:tcPr>
            <w:tcW w:w="1323" w:type="dxa"/>
            <w:tcBorders>
              <w:top w:val="nil"/>
              <w:left w:val="nil"/>
              <w:bottom w:val="single" w:color="auto" w:sz="4" w:space="0"/>
              <w:right w:val="single" w:color="auto" w:sz="4" w:space="0"/>
            </w:tcBorders>
            <w:noWrap/>
            <w:vAlign w:val="center"/>
          </w:tcPr>
          <w:p w14:paraId="2264FC57">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tc>
        <w:tc>
          <w:tcPr>
            <w:tcW w:w="1903" w:type="dxa"/>
            <w:tcBorders>
              <w:top w:val="nil"/>
              <w:left w:val="nil"/>
              <w:bottom w:val="single" w:color="auto" w:sz="4" w:space="0"/>
              <w:right w:val="single" w:color="auto" w:sz="4" w:space="0"/>
            </w:tcBorders>
            <w:noWrap/>
            <w:vAlign w:val="center"/>
          </w:tcPr>
          <w:p w14:paraId="3B44BF89">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300≤X＜1000</w:t>
            </w:r>
          </w:p>
        </w:tc>
        <w:tc>
          <w:tcPr>
            <w:tcW w:w="1692" w:type="dxa"/>
            <w:tcBorders>
              <w:top w:val="nil"/>
              <w:left w:val="nil"/>
              <w:bottom w:val="single" w:color="auto" w:sz="4" w:space="0"/>
              <w:right w:val="single" w:color="auto" w:sz="4" w:space="0"/>
            </w:tcBorders>
            <w:noWrap/>
            <w:vAlign w:val="center"/>
          </w:tcPr>
          <w:p w14:paraId="2EA9BD91">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100≤X＜300</w:t>
            </w:r>
          </w:p>
        </w:tc>
        <w:tc>
          <w:tcPr>
            <w:tcW w:w="1087" w:type="dxa"/>
            <w:tcBorders>
              <w:top w:val="nil"/>
              <w:left w:val="nil"/>
              <w:bottom w:val="single" w:color="auto" w:sz="4" w:space="0"/>
              <w:right w:val="single" w:color="auto" w:sz="4" w:space="0"/>
            </w:tcBorders>
            <w:noWrap/>
            <w:vAlign w:val="center"/>
          </w:tcPr>
          <w:p w14:paraId="41DC6852">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X＜100</w:t>
            </w:r>
          </w:p>
        </w:tc>
      </w:tr>
      <w:tr w14:paraId="43F71E9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7C585997">
            <w:pPr>
              <w:contextualSpacing/>
              <w:jc w:val="center"/>
              <w:rPr>
                <w:rFonts w:hint="eastAsia" w:ascii="仿宋" w:hAnsi="仿宋" w:eastAsia="仿宋" w:cs="仿宋"/>
                <w:b/>
                <w:bCs/>
                <w:color w:val="auto"/>
                <w:sz w:val="24"/>
                <w:highlight w:val="none"/>
              </w:rPr>
            </w:pPr>
          </w:p>
        </w:tc>
        <w:tc>
          <w:tcPr>
            <w:tcW w:w="1803" w:type="dxa"/>
            <w:tcBorders>
              <w:top w:val="nil"/>
              <w:left w:val="nil"/>
              <w:bottom w:val="single" w:color="auto" w:sz="4" w:space="0"/>
              <w:right w:val="single" w:color="auto" w:sz="4" w:space="0"/>
            </w:tcBorders>
            <w:noWrap/>
            <w:vAlign w:val="center"/>
          </w:tcPr>
          <w:p w14:paraId="08EE57CD">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营业收入（Y）</w:t>
            </w:r>
          </w:p>
        </w:tc>
        <w:tc>
          <w:tcPr>
            <w:tcW w:w="1323" w:type="dxa"/>
            <w:tcBorders>
              <w:top w:val="nil"/>
              <w:left w:val="nil"/>
              <w:bottom w:val="single" w:color="auto" w:sz="4" w:space="0"/>
              <w:right w:val="single" w:color="auto" w:sz="4" w:space="0"/>
            </w:tcBorders>
            <w:noWrap/>
            <w:vAlign w:val="center"/>
          </w:tcPr>
          <w:p w14:paraId="2B65C121">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5812EED9">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1000≤Y＜5000</w:t>
            </w:r>
          </w:p>
        </w:tc>
        <w:tc>
          <w:tcPr>
            <w:tcW w:w="1692" w:type="dxa"/>
            <w:tcBorders>
              <w:top w:val="nil"/>
              <w:left w:val="nil"/>
              <w:bottom w:val="single" w:color="auto" w:sz="4" w:space="0"/>
              <w:right w:val="single" w:color="auto" w:sz="4" w:space="0"/>
            </w:tcBorders>
            <w:noWrap/>
            <w:vAlign w:val="center"/>
          </w:tcPr>
          <w:p w14:paraId="316C6F3E">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500≤Y＜1000</w:t>
            </w:r>
          </w:p>
        </w:tc>
        <w:tc>
          <w:tcPr>
            <w:tcW w:w="1087" w:type="dxa"/>
            <w:tcBorders>
              <w:top w:val="nil"/>
              <w:left w:val="nil"/>
              <w:bottom w:val="single" w:color="auto" w:sz="4" w:space="0"/>
              <w:right w:val="single" w:color="auto" w:sz="4" w:space="0"/>
            </w:tcBorders>
            <w:noWrap/>
            <w:vAlign w:val="center"/>
          </w:tcPr>
          <w:p w14:paraId="4F25C863">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Y＜500</w:t>
            </w:r>
          </w:p>
        </w:tc>
      </w:tr>
      <w:tr w14:paraId="6E4D19BF">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34A35106">
            <w:pPr>
              <w:contextualSpacing/>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租赁和商务服务业</w:t>
            </w:r>
          </w:p>
        </w:tc>
        <w:tc>
          <w:tcPr>
            <w:tcW w:w="1803" w:type="dxa"/>
            <w:tcBorders>
              <w:top w:val="nil"/>
              <w:left w:val="nil"/>
              <w:bottom w:val="single" w:color="auto" w:sz="4" w:space="0"/>
              <w:right w:val="single" w:color="auto" w:sz="4" w:space="0"/>
            </w:tcBorders>
            <w:noWrap/>
            <w:vAlign w:val="center"/>
          </w:tcPr>
          <w:p w14:paraId="5563D9BC">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从业人员（X）</w:t>
            </w:r>
          </w:p>
        </w:tc>
        <w:tc>
          <w:tcPr>
            <w:tcW w:w="1323" w:type="dxa"/>
            <w:tcBorders>
              <w:top w:val="nil"/>
              <w:left w:val="nil"/>
              <w:bottom w:val="single" w:color="auto" w:sz="4" w:space="0"/>
              <w:right w:val="single" w:color="auto" w:sz="4" w:space="0"/>
            </w:tcBorders>
            <w:noWrap/>
            <w:vAlign w:val="center"/>
          </w:tcPr>
          <w:p w14:paraId="7B003731">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tc>
        <w:tc>
          <w:tcPr>
            <w:tcW w:w="1903" w:type="dxa"/>
            <w:tcBorders>
              <w:top w:val="nil"/>
              <w:left w:val="nil"/>
              <w:bottom w:val="single" w:color="auto" w:sz="4" w:space="0"/>
              <w:right w:val="single" w:color="auto" w:sz="4" w:space="0"/>
            </w:tcBorders>
            <w:noWrap/>
            <w:vAlign w:val="center"/>
          </w:tcPr>
          <w:p w14:paraId="536CA47D">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100≤X＜300</w:t>
            </w:r>
          </w:p>
        </w:tc>
        <w:tc>
          <w:tcPr>
            <w:tcW w:w="1692" w:type="dxa"/>
            <w:tcBorders>
              <w:top w:val="nil"/>
              <w:left w:val="nil"/>
              <w:bottom w:val="single" w:color="auto" w:sz="4" w:space="0"/>
              <w:right w:val="single" w:color="auto" w:sz="4" w:space="0"/>
            </w:tcBorders>
            <w:noWrap/>
            <w:vAlign w:val="center"/>
          </w:tcPr>
          <w:p w14:paraId="27098810">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10≤X＜100</w:t>
            </w:r>
          </w:p>
        </w:tc>
        <w:tc>
          <w:tcPr>
            <w:tcW w:w="1087" w:type="dxa"/>
            <w:tcBorders>
              <w:top w:val="nil"/>
              <w:left w:val="nil"/>
              <w:bottom w:val="single" w:color="auto" w:sz="4" w:space="0"/>
              <w:right w:val="single" w:color="auto" w:sz="4" w:space="0"/>
            </w:tcBorders>
            <w:noWrap/>
            <w:vAlign w:val="center"/>
          </w:tcPr>
          <w:p w14:paraId="47AF6017">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X＜10</w:t>
            </w:r>
          </w:p>
        </w:tc>
      </w:tr>
      <w:tr w14:paraId="1912198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1C78634E">
            <w:pPr>
              <w:contextualSpacing/>
              <w:jc w:val="center"/>
              <w:rPr>
                <w:rFonts w:hint="eastAsia" w:ascii="仿宋" w:hAnsi="仿宋" w:eastAsia="仿宋" w:cs="仿宋"/>
                <w:b/>
                <w:bCs/>
                <w:color w:val="auto"/>
                <w:sz w:val="24"/>
                <w:highlight w:val="none"/>
              </w:rPr>
            </w:pPr>
          </w:p>
        </w:tc>
        <w:tc>
          <w:tcPr>
            <w:tcW w:w="1803" w:type="dxa"/>
            <w:tcBorders>
              <w:top w:val="nil"/>
              <w:left w:val="nil"/>
              <w:bottom w:val="single" w:color="auto" w:sz="4" w:space="0"/>
              <w:right w:val="single" w:color="auto" w:sz="4" w:space="0"/>
            </w:tcBorders>
            <w:noWrap/>
            <w:vAlign w:val="center"/>
          </w:tcPr>
          <w:p w14:paraId="1C336FA2">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资产总额（Z）</w:t>
            </w:r>
          </w:p>
        </w:tc>
        <w:tc>
          <w:tcPr>
            <w:tcW w:w="1323" w:type="dxa"/>
            <w:tcBorders>
              <w:top w:val="nil"/>
              <w:left w:val="nil"/>
              <w:bottom w:val="single" w:color="auto" w:sz="4" w:space="0"/>
              <w:right w:val="single" w:color="auto" w:sz="4" w:space="0"/>
            </w:tcBorders>
            <w:noWrap/>
            <w:vAlign w:val="center"/>
          </w:tcPr>
          <w:p w14:paraId="6DC71FA6">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62655D8F">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8000≤Z＜120000</w:t>
            </w:r>
          </w:p>
        </w:tc>
        <w:tc>
          <w:tcPr>
            <w:tcW w:w="1692" w:type="dxa"/>
            <w:tcBorders>
              <w:top w:val="nil"/>
              <w:left w:val="nil"/>
              <w:bottom w:val="single" w:color="auto" w:sz="4" w:space="0"/>
              <w:right w:val="single" w:color="auto" w:sz="4" w:space="0"/>
            </w:tcBorders>
            <w:noWrap/>
            <w:vAlign w:val="center"/>
          </w:tcPr>
          <w:p w14:paraId="5B45CFC5">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100≤Z＜8000</w:t>
            </w:r>
          </w:p>
        </w:tc>
        <w:tc>
          <w:tcPr>
            <w:tcW w:w="1087" w:type="dxa"/>
            <w:tcBorders>
              <w:top w:val="nil"/>
              <w:left w:val="nil"/>
              <w:bottom w:val="single" w:color="auto" w:sz="4" w:space="0"/>
              <w:right w:val="single" w:color="auto" w:sz="4" w:space="0"/>
            </w:tcBorders>
            <w:noWrap/>
            <w:vAlign w:val="center"/>
          </w:tcPr>
          <w:p w14:paraId="0B5DBD4D">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Y＜100</w:t>
            </w:r>
          </w:p>
        </w:tc>
      </w:tr>
      <w:tr w14:paraId="12760F03">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ign w:val="center"/>
          </w:tcPr>
          <w:p w14:paraId="54335698">
            <w:pPr>
              <w:contextualSpacing/>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其他未列明行业</w:t>
            </w:r>
          </w:p>
        </w:tc>
        <w:tc>
          <w:tcPr>
            <w:tcW w:w="1803" w:type="dxa"/>
            <w:tcBorders>
              <w:top w:val="nil"/>
              <w:left w:val="nil"/>
              <w:bottom w:val="single" w:color="auto" w:sz="4" w:space="0"/>
              <w:right w:val="single" w:color="auto" w:sz="4" w:space="0"/>
            </w:tcBorders>
            <w:noWrap/>
            <w:vAlign w:val="center"/>
          </w:tcPr>
          <w:p w14:paraId="78953901">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从业人员（X）</w:t>
            </w:r>
          </w:p>
        </w:tc>
        <w:tc>
          <w:tcPr>
            <w:tcW w:w="1323" w:type="dxa"/>
            <w:tcBorders>
              <w:top w:val="nil"/>
              <w:left w:val="nil"/>
              <w:bottom w:val="single" w:color="auto" w:sz="4" w:space="0"/>
              <w:right w:val="single" w:color="auto" w:sz="4" w:space="0"/>
            </w:tcBorders>
            <w:noWrap/>
            <w:vAlign w:val="center"/>
          </w:tcPr>
          <w:p w14:paraId="435DAFBC">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tc>
        <w:tc>
          <w:tcPr>
            <w:tcW w:w="1903" w:type="dxa"/>
            <w:tcBorders>
              <w:top w:val="nil"/>
              <w:left w:val="nil"/>
              <w:bottom w:val="single" w:color="auto" w:sz="4" w:space="0"/>
              <w:right w:val="single" w:color="auto" w:sz="4" w:space="0"/>
            </w:tcBorders>
            <w:noWrap/>
            <w:vAlign w:val="center"/>
          </w:tcPr>
          <w:p w14:paraId="29A54DB8">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100≤X＜300</w:t>
            </w:r>
          </w:p>
        </w:tc>
        <w:tc>
          <w:tcPr>
            <w:tcW w:w="1692" w:type="dxa"/>
            <w:tcBorders>
              <w:top w:val="nil"/>
              <w:left w:val="nil"/>
              <w:bottom w:val="single" w:color="auto" w:sz="4" w:space="0"/>
              <w:right w:val="single" w:color="auto" w:sz="4" w:space="0"/>
            </w:tcBorders>
            <w:noWrap/>
            <w:vAlign w:val="center"/>
          </w:tcPr>
          <w:p w14:paraId="5F679780">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10≤X＜100</w:t>
            </w:r>
          </w:p>
        </w:tc>
        <w:tc>
          <w:tcPr>
            <w:tcW w:w="1087" w:type="dxa"/>
            <w:tcBorders>
              <w:top w:val="nil"/>
              <w:left w:val="nil"/>
              <w:bottom w:val="single" w:color="auto" w:sz="4" w:space="0"/>
              <w:right w:val="single" w:color="auto" w:sz="4" w:space="0"/>
            </w:tcBorders>
            <w:noWrap/>
            <w:vAlign w:val="center"/>
          </w:tcPr>
          <w:p w14:paraId="2884AA52">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X＜10</w:t>
            </w:r>
          </w:p>
        </w:tc>
      </w:tr>
    </w:tbl>
    <w:p w14:paraId="6382BC45">
      <w:pPr>
        <w:spacing w:line="460" w:lineRule="exact"/>
        <w:ind w:firstLine="482" w:firstLineChars="200"/>
        <w:textAlignment w:val="auto"/>
        <w:rPr>
          <w:rFonts w:hint="eastAsia" w:ascii="仿宋" w:hAnsi="仿宋" w:eastAsia="仿宋" w:cs="仿宋"/>
          <w:color w:val="auto"/>
          <w:sz w:val="24"/>
          <w:highlight w:val="none"/>
          <w:shd w:val="clear" w:color="auto" w:fill="FFFFFF"/>
          <w:lang w:eastAsia="zh-CN"/>
        </w:rPr>
      </w:pPr>
      <w:r>
        <w:rPr>
          <w:rFonts w:hint="eastAsia" w:ascii="仿宋" w:hAnsi="仿宋" w:eastAsia="仿宋" w:cs="仿宋"/>
          <w:b/>
          <w:bCs/>
          <w:color w:val="auto"/>
          <w:sz w:val="24"/>
          <w:highlight w:val="none"/>
          <w:shd w:val="clear" w:color="auto" w:fill="FFFFFF"/>
          <w:lang w:eastAsia="zh-CN"/>
        </w:rPr>
        <w:t>说明：</w:t>
      </w:r>
      <w:r>
        <w:rPr>
          <w:rFonts w:hint="eastAsia" w:ascii="仿宋" w:hAnsi="仿宋" w:eastAsia="仿宋" w:cs="仿宋"/>
          <w:color w:val="auto"/>
          <w:sz w:val="24"/>
          <w:highlight w:val="none"/>
          <w:shd w:val="clear" w:color="auto" w:fill="FFFFFF"/>
          <w:lang w:eastAsia="zh-CN"/>
        </w:rPr>
        <w:t>上述标准参照《关于印发中小企业划型标准规定的通知》（工信部联企业[2011]300号），大型、中型和小型企业须同时满足所列指标的下限，否则下划一档；微型企业只须满足所列指标中的一项即可。</w:t>
      </w:r>
    </w:p>
    <w:p w14:paraId="20AF2DD5">
      <w:pPr>
        <w:spacing w:line="460" w:lineRule="exact"/>
        <w:ind w:firstLine="480" w:firstLineChars="200"/>
        <w:textAlignment w:val="auto"/>
        <w:rPr>
          <w:rFonts w:hint="eastAsia" w:ascii="仿宋" w:hAnsi="仿宋" w:eastAsia="仿宋" w:cs="仿宋"/>
          <w:color w:val="auto"/>
          <w:sz w:val="24"/>
          <w:highlight w:val="none"/>
          <w:shd w:val="clear" w:color="auto" w:fill="FFFFFF"/>
          <w:lang w:eastAsia="zh-CN"/>
        </w:rPr>
      </w:pPr>
      <w:r>
        <w:rPr>
          <w:rFonts w:hint="eastAsia" w:ascii="仿宋" w:hAnsi="仿宋" w:eastAsia="仿宋" w:cs="仿宋"/>
          <w:color w:val="auto"/>
          <w:sz w:val="24"/>
          <w:highlight w:val="none"/>
          <w:shd w:val="clear" w:color="auto" w:fill="FFFFFF"/>
          <w:lang w:eastAsia="zh-CN"/>
        </w:rPr>
        <w:t>本招标文件所称中小企业，是指在中华人民共和国境内依法设立，依据国务院批准的</w:t>
      </w:r>
    </w:p>
    <w:p w14:paraId="3DC70433">
      <w:pPr>
        <w:spacing w:line="460" w:lineRule="exact"/>
        <w:ind w:firstLine="480" w:firstLineChars="200"/>
        <w:textAlignment w:val="auto"/>
        <w:rPr>
          <w:rFonts w:hint="eastAsia" w:ascii="仿宋" w:hAnsi="仿宋" w:eastAsia="仿宋" w:cs="仿宋"/>
          <w:color w:val="auto"/>
          <w:sz w:val="24"/>
          <w:highlight w:val="none"/>
          <w:shd w:val="clear" w:color="auto" w:fill="FFFFFF"/>
          <w:lang w:eastAsia="zh-CN"/>
        </w:rPr>
      </w:pPr>
      <w:r>
        <w:rPr>
          <w:rFonts w:hint="eastAsia" w:ascii="仿宋" w:hAnsi="仿宋" w:eastAsia="仿宋" w:cs="仿宋"/>
          <w:color w:val="auto"/>
          <w:sz w:val="24"/>
          <w:highlight w:val="none"/>
          <w:shd w:val="clear" w:color="auto" w:fill="FFFFFF"/>
          <w:lang w:eastAsia="zh-CN"/>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10B9C815">
      <w:pPr>
        <w:spacing w:line="460" w:lineRule="exact"/>
        <w:ind w:firstLine="480" w:firstLineChars="200"/>
        <w:textAlignment w:val="auto"/>
        <w:rPr>
          <w:rFonts w:hint="eastAsia" w:ascii="仿宋" w:hAnsi="仿宋" w:eastAsia="仿宋" w:cs="仿宋"/>
          <w:color w:val="auto"/>
          <w:sz w:val="24"/>
          <w:highlight w:val="none"/>
          <w:shd w:val="clear" w:color="auto" w:fill="FFFFFF"/>
          <w:lang w:eastAsia="zh-CN"/>
        </w:rPr>
      </w:pPr>
      <w:r>
        <w:rPr>
          <w:rFonts w:hint="eastAsia" w:ascii="仿宋" w:hAnsi="仿宋" w:eastAsia="仿宋" w:cs="仿宋"/>
          <w:color w:val="auto"/>
          <w:sz w:val="24"/>
          <w:highlight w:val="none"/>
          <w:shd w:val="clear" w:color="auto" w:fill="FFFFFF"/>
          <w:lang w:eastAsia="zh-CN"/>
        </w:rPr>
        <w:t>（1）在货物采购项目中，货物由中小企业制造，即货物由中小企业生产且使用该中小企业商号或者注册商标，不对其中涉及的工程承建商和服务的承接商作出要求；</w:t>
      </w:r>
    </w:p>
    <w:p w14:paraId="56510689">
      <w:pPr>
        <w:spacing w:line="460" w:lineRule="exact"/>
        <w:ind w:firstLine="480" w:firstLineChars="200"/>
        <w:textAlignment w:val="auto"/>
        <w:rPr>
          <w:rFonts w:hint="eastAsia" w:ascii="仿宋" w:hAnsi="仿宋" w:eastAsia="仿宋" w:cs="仿宋"/>
          <w:color w:val="auto"/>
          <w:sz w:val="24"/>
          <w:highlight w:val="none"/>
          <w:shd w:val="clear" w:color="auto" w:fill="FFFFFF"/>
          <w:lang w:eastAsia="zh-CN"/>
        </w:rPr>
      </w:pPr>
      <w:r>
        <w:rPr>
          <w:rFonts w:hint="eastAsia" w:ascii="仿宋" w:hAnsi="仿宋" w:eastAsia="仿宋" w:cs="仿宋"/>
          <w:color w:val="auto"/>
          <w:sz w:val="24"/>
          <w:highlight w:val="none"/>
          <w:shd w:val="clear" w:color="auto" w:fill="FFFFFF"/>
          <w:lang w:eastAsia="zh-CN"/>
        </w:rPr>
        <w:t>（2）在工程采购项目中，工程由中小企业承建，即工程施工单位为中小企业，不对其中涉及的货物的制造商和服务的承接商作出要求；</w:t>
      </w:r>
    </w:p>
    <w:p w14:paraId="6D457365">
      <w:pPr>
        <w:spacing w:line="460" w:lineRule="exact"/>
        <w:ind w:firstLine="480" w:firstLineChars="200"/>
        <w:textAlignment w:val="auto"/>
        <w:rPr>
          <w:rFonts w:hint="eastAsia" w:ascii="仿宋" w:hAnsi="仿宋" w:eastAsia="仿宋" w:cs="仿宋"/>
          <w:color w:val="auto"/>
          <w:sz w:val="24"/>
          <w:highlight w:val="none"/>
          <w:shd w:val="clear" w:color="auto" w:fill="FFFFFF"/>
          <w:lang w:eastAsia="zh-CN"/>
        </w:rPr>
      </w:pPr>
      <w:r>
        <w:rPr>
          <w:rFonts w:hint="eastAsia" w:ascii="仿宋" w:hAnsi="仿宋" w:eastAsia="仿宋" w:cs="仿宋"/>
          <w:color w:val="auto"/>
          <w:sz w:val="24"/>
          <w:highlight w:val="none"/>
          <w:shd w:val="clear" w:color="auto" w:fill="FFFFFF"/>
          <w:lang w:eastAsia="zh-CN"/>
        </w:rPr>
        <w:t>（3）在服务采购项目中，服务由中小企业承接，即提供服务的人员为中小企业依照《中华人民共和国劳动合同法》订立劳动合同的从业人员，不对其中涉及的货物的制造商和工程承建商作出要求。</w:t>
      </w:r>
    </w:p>
    <w:p w14:paraId="35DBF7C0">
      <w:pPr>
        <w:spacing w:line="460" w:lineRule="exact"/>
        <w:ind w:firstLine="480" w:firstLineChars="200"/>
        <w:textAlignment w:val="auto"/>
        <w:rPr>
          <w:rFonts w:hint="eastAsia" w:ascii="仿宋" w:hAnsi="仿宋" w:eastAsia="仿宋" w:cs="仿宋"/>
          <w:color w:val="auto"/>
          <w:sz w:val="24"/>
          <w:highlight w:val="none"/>
          <w:shd w:val="clear" w:color="auto" w:fill="FFFFFF"/>
          <w:lang w:eastAsia="zh-CN"/>
        </w:rPr>
      </w:pPr>
      <w:r>
        <w:rPr>
          <w:rFonts w:hint="eastAsia" w:ascii="仿宋" w:hAnsi="仿宋" w:eastAsia="仿宋" w:cs="仿宋"/>
          <w:color w:val="auto"/>
          <w:sz w:val="24"/>
          <w:highlight w:val="none"/>
          <w:shd w:val="clear" w:color="auto" w:fill="FFFFFF"/>
          <w:lang w:eastAsia="zh-CN"/>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0FFAEB78">
      <w:pPr>
        <w:spacing w:line="460" w:lineRule="exact"/>
        <w:ind w:firstLine="480" w:firstLineChars="200"/>
        <w:textAlignment w:val="auto"/>
        <w:rPr>
          <w:rFonts w:hint="eastAsia" w:ascii="仿宋" w:hAnsi="仿宋" w:eastAsia="仿宋" w:cs="仿宋"/>
          <w:color w:val="auto"/>
          <w:sz w:val="24"/>
          <w:highlight w:val="none"/>
          <w:shd w:val="clear" w:color="auto" w:fill="FFFFFF"/>
          <w:lang w:eastAsia="zh-CN"/>
        </w:rPr>
      </w:pPr>
      <w:r>
        <w:rPr>
          <w:rFonts w:hint="eastAsia" w:ascii="仿宋" w:hAnsi="仿宋" w:eastAsia="仿宋" w:cs="仿宋"/>
          <w:color w:val="auto"/>
          <w:sz w:val="24"/>
          <w:highlight w:val="none"/>
          <w:shd w:val="clear" w:color="auto" w:fill="FFFFFF"/>
          <w:lang w:eastAsia="zh-CN"/>
        </w:rPr>
        <w:t>依据本招标文件规定享受扶持政策获得政府采购合同的，小微企业不得将合同分包给大中型企业，中型企业不得将合同分包给大型企业。</w:t>
      </w:r>
    </w:p>
    <w:p w14:paraId="7D89A396">
      <w:pPr>
        <w:rPr>
          <w:rFonts w:hint="eastAsia" w:ascii="仿宋" w:hAnsi="仿宋" w:eastAsia="仿宋" w:cs="仿宋"/>
          <w:color w:val="auto"/>
          <w:highlight w:val="none"/>
          <w:lang w:eastAsia="zh-CN"/>
        </w:rPr>
      </w:pPr>
    </w:p>
    <w:p w14:paraId="6335E266">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425FFC77">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bookmarkStart w:id="778" w:name="_Toc18658"/>
      <w:bookmarkStart w:id="779" w:name="_Toc23003"/>
      <w:r>
        <w:rPr>
          <w:rFonts w:hint="eastAsia" w:ascii="仿宋" w:hAnsi="仿宋" w:eastAsia="仿宋" w:cs="仿宋"/>
          <w:color w:val="auto"/>
          <w:highlight w:val="none"/>
          <w:u w:val="none"/>
          <w:lang w:val="en-US" w:eastAsia="zh-CN"/>
        </w:rPr>
        <w:t>6</w:t>
      </w:r>
      <w:r>
        <w:rPr>
          <w:rFonts w:hint="eastAsia" w:ascii="仿宋" w:hAnsi="仿宋" w:eastAsia="仿宋" w:cs="仿宋"/>
          <w:color w:val="auto"/>
          <w:highlight w:val="none"/>
          <w:u w:val="none"/>
          <w:lang w:eastAsia="zh-CN"/>
        </w:rPr>
        <w:t>-2 残疾人福利性单位声明函（若无，可不填）</w:t>
      </w:r>
      <w:bookmarkEnd w:id="778"/>
      <w:bookmarkEnd w:id="779"/>
    </w:p>
    <w:p w14:paraId="481560D4">
      <w:pPr>
        <w:snapToGrid w:val="0"/>
        <w:spacing w:line="400" w:lineRule="exact"/>
        <w:ind w:firstLine="480" w:firstLineChars="200"/>
        <w:textAlignment w:val="baseline"/>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eastAsia="zh-CN"/>
        </w:rPr>
        <w:t>本投标人郑重声明，根据《财政部民政部中国残疾人联合会关于促进残疾人就业政府采购政策的通知》（财库〔2017〕141 号）的规定，本投标人参加（采购人名称）的（项目名称）采购活动，提供的货物全部由符合政策要求的残疾人福利性单位制造。相关残疾人福利性单位的具体情况如下：</w:t>
      </w:r>
    </w:p>
    <w:p w14:paraId="2F249EC8">
      <w:pPr>
        <w:snapToGrid w:val="0"/>
        <w:spacing w:line="400" w:lineRule="exact"/>
        <w:ind w:firstLine="480" w:firstLineChars="200"/>
        <w:textAlignment w:val="baseline"/>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eastAsia="zh-CN"/>
        </w:rPr>
        <w:t>1. （标的名称），制造商为（单位名称），属于残疾人福利性单位；</w:t>
      </w:r>
    </w:p>
    <w:p w14:paraId="2DEF251F">
      <w:pPr>
        <w:snapToGrid w:val="0"/>
        <w:spacing w:line="400" w:lineRule="exact"/>
        <w:ind w:firstLine="480" w:firstLineChars="200"/>
        <w:textAlignment w:val="baseline"/>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eastAsia="zh-CN"/>
        </w:rPr>
        <w:t>2. （标的名称），制造商为（单位名称），属于残疾人福利性单位。</w:t>
      </w:r>
    </w:p>
    <w:p w14:paraId="0A764472">
      <w:pPr>
        <w:snapToGrid w:val="0"/>
        <w:spacing w:line="400" w:lineRule="exact"/>
        <w:ind w:firstLine="480" w:firstLineChars="200"/>
        <w:textAlignment w:val="baseline"/>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eastAsia="zh-CN"/>
        </w:rPr>
        <w:t xml:space="preserve">…… </w:t>
      </w:r>
    </w:p>
    <w:p w14:paraId="7CC994E3">
      <w:pPr>
        <w:snapToGrid w:val="0"/>
        <w:spacing w:line="400" w:lineRule="exact"/>
        <w:ind w:firstLine="480" w:firstLineChars="200"/>
        <w:textAlignment w:val="baseline"/>
        <w:rPr>
          <w:rFonts w:hint="eastAsia" w:ascii="仿宋" w:hAnsi="仿宋" w:eastAsia="仿宋" w:cs="仿宋"/>
          <w:kern w:val="0"/>
          <w:sz w:val="24"/>
          <w:highlight w:val="none"/>
          <w:lang w:eastAsia="zh-CN"/>
        </w:rPr>
      </w:pPr>
      <w:bookmarkStart w:id="780" w:name="_Hlk73562331"/>
      <w:r>
        <w:rPr>
          <w:rFonts w:hint="eastAsia" w:ascii="仿宋" w:hAnsi="仿宋" w:eastAsia="仿宋" w:cs="仿宋"/>
          <w:kern w:val="0"/>
          <w:sz w:val="24"/>
          <w:highlight w:val="none"/>
          <w:lang w:eastAsia="zh-CN"/>
        </w:rPr>
        <w:t>本投标人已知悉《财政部民政部中国残疾人联合会关于促进残疾人就业政府采购政策的通知》（财库〔2017〕141 号）的规定，承诺提供的声明函内容是真实的，如提供声明函内容不实，则依法追究相关法律责任。</w:t>
      </w:r>
      <w:bookmarkEnd w:id="780"/>
    </w:p>
    <w:p w14:paraId="3900747F">
      <w:pPr>
        <w:snapToGrid w:val="0"/>
        <w:spacing w:line="400" w:lineRule="exact"/>
        <w:ind w:firstLine="480" w:firstLineChars="200"/>
        <w:textAlignment w:val="baseline"/>
        <w:rPr>
          <w:rFonts w:hint="eastAsia" w:ascii="仿宋" w:hAnsi="仿宋" w:eastAsia="仿宋" w:cs="仿宋"/>
          <w:kern w:val="0"/>
          <w:sz w:val="24"/>
          <w:highlight w:val="none"/>
          <w:lang w:eastAsia="zh-CN"/>
        </w:rPr>
      </w:pPr>
    </w:p>
    <w:p w14:paraId="1ABED925">
      <w:pPr>
        <w:snapToGrid w:val="0"/>
        <w:spacing w:line="400" w:lineRule="exact"/>
        <w:ind w:left="1080" w:leftChars="257" w:hanging="54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投标人（单位盖章）：________</w:t>
      </w:r>
    </w:p>
    <w:p w14:paraId="285D7634">
      <w:pPr>
        <w:snapToGrid w:val="0"/>
        <w:spacing w:line="400" w:lineRule="exact"/>
        <w:ind w:left="1080" w:leftChars="257" w:hanging="54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日  期：_______</w:t>
      </w:r>
    </w:p>
    <w:p w14:paraId="7FDAEFC6">
      <w:pPr>
        <w:rPr>
          <w:rFonts w:hint="eastAsia" w:ascii="仿宋" w:hAnsi="仿宋" w:eastAsia="仿宋" w:cs="仿宋"/>
          <w:color w:val="auto"/>
          <w:highlight w:val="none"/>
          <w:lang w:eastAsia="zh-CN"/>
        </w:rPr>
      </w:pPr>
    </w:p>
    <w:p w14:paraId="5E3DC9B1">
      <w:pPr>
        <w:rPr>
          <w:rFonts w:hint="eastAsia" w:ascii="仿宋" w:hAnsi="仿宋" w:eastAsia="仿宋" w:cs="仿宋"/>
          <w:color w:val="auto"/>
          <w:highlight w:val="none"/>
          <w:lang w:eastAsia="zh-CN"/>
        </w:rPr>
      </w:pPr>
    </w:p>
    <w:p w14:paraId="6D0CCCC9">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bookmarkStart w:id="781" w:name="_Toc2813"/>
      <w:bookmarkStart w:id="782" w:name="_Toc17181"/>
      <w:bookmarkStart w:id="783" w:name="_Toc19006"/>
      <w:bookmarkStart w:id="784" w:name="_Toc7440"/>
      <w:bookmarkStart w:id="785" w:name="_Toc28310"/>
      <w:bookmarkStart w:id="786" w:name="_Toc13378"/>
      <w:bookmarkStart w:id="787" w:name="_Toc16783"/>
      <w:bookmarkStart w:id="788" w:name="_Toc8498"/>
      <w:bookmarkStart w:id="789" w:name="_Toc9078"/>
      <w:bookmarkStart w:id="790" w:name="_Toc19677"/>
      <w:bookmarkStart w:id="791" w:name="_Toc11271"/>
      <w:bookmarkStart w:id="792" w:name="_Toc17247"/>
      <w:bookmarkStart w:id="793" w:name="_Toc25838"/>
      <w:r>
        <w:rPr>
          <w:rFonts w:hint="eastAsia" w:ascii="仿宋" w:hAnsi="仿宋" w:eastAsia="仿宋" w:cs="仿宋"/>
          <w:color w:val="auto"/>
          <w:highlight w:val="none"/>
          <w:u w:val="none"/>
          <w:lang w:val="en-US" w:eastAsia="zh-CN"/>
        </w:rPr>
        <w:t>6</w:t>
      </w:r>
      <w:r>
        <w:rPr>
          <w:rFonts w:hint="eastAsia" w:ascii="仿宋" w:hAnsi="仿宋" w:eastAsia="仿宋" w:cs="仿宋"/>
          <w:color w:val="auto"/>
          <w:highlight w:val="none"/>
          <w:u w:val="none"/>
          <w:lang w:eastAsia="zh-CN"/>
        </w:rPr>
        <w:t>-3</w:t>
      </w:r>
      <w:bookmarkEnd w:id="781"/>
      <w:bookmarkEnd w:id="782"/>
      <w:bookmarkEnd w:id="783"/>
      <w:bookmarkEnd w:id="784"/>
      <w:bookmarkEnd w:id="785"/>
      <w:bookmarkEnd w:id="786"/>
      <w:bookmarkEnd w:id="787"/>
      <w:r>
        <w:rPr>
          <w:rFonts w:hint="eastAsia" w:ascii="仿宋" w:hAnsi="仿宋" w:eastAsia="仿宋" w:cs="仿宋"/>
          <w:color w:val="auto"/>
          <w:highlight w:val="none"/>
          <w:u w:val="none"/>
          <w:lang w:val="en-US" w:eastAsia="zh-CN"/>
        </w:rPr>
        <w:t xml:space="preserve"> </w:t>
      </w:r>
      <w:r>
        <w:rPr>
          <w:rFonts w:hint="eastAsia" w:ascii="仿宋" w:hAnsi="仿宋" w:eastAsia="仿宋" w:cs="仿宋"/>
          <w:color w:val="auto"/>
          <w:highlight w:val="none"/>
          <w:u w:val="none"/>
          <w:lang w:eastAsia="zh-CN"/>
        </w:rPr>
        <w:t>监狱企业</w:t>
      </w:r>
      <w:bookmarkEnd w:id="788"/>
      <w:r>
        <w:rPr>
          <w:rFonts w:hint="eastAsia" w:ascii="仿宋" w:hAnsi="仿宋" w:eastAsia="仿宋" w:cs="仿宋"/>
          <w:color w:val="auto"/>
          <w:highlight w:val="none"/>
          <w:u w:val="none"/>
          <w:lang w:eastAsia="zh-CN"/>
        </w:rPr>
        <w:t>声明函</w:t>
      </w:r>
      <w:bookmarkEnd w:id="789"/>
      <w:bookmarkEnd w:id="790"/>
      <w:bookmarkEnd w:id="791"/>
      <w:r>
        <w:rPr>
          <w:rFonts w:hint="eastAsia" w:ascii="仿宋" w:hAnsi="仿宋" w:eastAsia="仿宋" w:cs="仿宋"/>
          <w:color w:val="auto"/>
          <w:highlight w:val="none"/>
          <w:u w:val="none"/>
          <w:lang w:eastAsia="zh-CN"/>
        </w:rPr>
        <w:t>（若无，可不填）</w:t>
      </w:r>
      <w:bookmarkEnd w:id="792"/>
      <w:bookmarkEnd w:id="793"/>
    </w:p>
    <w:p w14:paraId="1BD93840">
      <w:pPr>
        <w:snapToGrid w:val="0"/>
        <w:spacing w:line="400" w:lineRule="exact"/>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 号）的规定，本公司（联合体）参加</w:t>
      </w:r>
      <w:r>
        <w:rPr>
          <w:rFonts w:hint="eastAsia" w:ascii="仿宋" w:hAnsi="仿宋" w:eastAsia="仿宋" w:cs="仿宋"/>
          <w:kern w:val="0"/>
          <w:sz w:val="24"/>
          <w:highlight w:val="none"/>
          <w:u w:val="single"/>
        </w:rPr>
        <w:t xml:space="preserve"> （单位名称）</w:t>
      </w:r>
      <w:r>
        <w:rPr>
          <w:rFonts w:hint="eastAsia" w:ascii="仿宋" w:hAnsi="仿宋" w:eastAsia="仿宋" w:cs="仿宋"/>
          <w:kern w:val="0"/>
          <w:sz w:val="24"/>
          <w:highlight w:val="none"/>
        </w:rPr>
        <w:t xml:space="preserve"> 的 </w:t>
      </w:r>
      <w:r>
        <w:rPr>
          <w:rFonts w:hint="eastAsia" w:ascii="仿宋" w:hAnsi="仿宋" w:eastAsia="仿宋" w:cs="仿宋"/>
          <w:kern w:val="0"/>
          <w:sz w:val="24"/>
          <w:highlight w:val="none"/>
          <w:u w:val="single"/>
        </w:rPr>
        <w:t>（项目名称）</w:t>
      </w:r>
      <w:r>
        <w:rPr>
          <w:rFonts w:hint="eastAsia" w:ascii="仿宋" w:hAnsi="仿宋" w:eastAsia="仿宋" w:cs="仿宋"/>
          <w:kern w:val="0"/>
          <w:sz w:val="24"/>
          <w:highlight w:val="none"/>
        </w:rPr>
        <w:t xml:space="preserve"> 采购活动，货物全部为符合政策要求的中小企业（或者：服务全部由符合政策要求的中小企业承接）。相关企业（含联合体中的中小企业、签订分包意向协议的中小企业）的具体情况如下：</w:t>
      </w:r>
    </w:p>
    <w:p w14:paraId="58DB86AC">
      <w:pPr>
        <w:snapToGrid w:val="0"/>
        <w:spacing w:line="40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u w:val="single"/>
        </w:rPr>
        <w:t>（标的名称）</w:t>
      </w:r>
      <w:r>
        <w:rPr>
          <w:rFonts w:hint="eastAsia" w:ascii="仿宋" w:hAnsi="仿宋" w:eastAsia="仿宋" w:cs="仿宋"/>
          <w:sz w:val="24"/>
          <w:highlight w:val="none"/>
        </w:rPr>
        <w:t>，承接单位为</w:t>
      </w:r>
      <w:r>
        <w:rPr>
          <w:rFonts w:hint="eastAsia" w:ascii="仿宋" w:hAnsi="仿宋" w:eastAsia="仿宋" w:cs="仿宋"/>
          <w:sz w:val="24"/>
          <w:highlight w:val="none"/>
          <w:u w:val="single"/>
        </w:rPr>
        <w:t>（企业名称）</w:t>
      </w:r>
      <w:r>
        <w:rPr>
          <w:rFonts w:hint="eastAsia" w:ascii="仿宋" w:hAnsi="仿宋" w:eastAsia="仿宋" w:cs="仿宋"/>
          <w:sz w:val="24"/>
          <w:highlight w:val="none"/>
        </w:rPr>
        <w:t>，属于</w:t>
      </w:r>
      <w:r>
        <w:rPr>
          <w:rFonts w:hint="eastAsia" w:ascii="仿宋" w:hAnsi="仿宋" w:eastAsia="仿宋" w:cs="仿宋"/>
          <w:sz w:val="24"/>
          <w:highlight w:val="none"/>
          <w:u w:val="single"/>
        </w:rPr>
        <w:t>监狱企业</w:t>
      </w:r>
      <w:r>
        <w:rPr>
          <w:rFonts w:hint="eastAsia" w:ascii="仿宋" w:hAnsi="仿宋" w:eastAsia="仿宋" w:cs="仿宋"/>
          <w:sz w:val="24"/>
          <w:highlight w:val="none"/>
        </w:rPr>
        <w:t>；</w:t>
      </w:r>
    </w:p>
    <w:p w14:paraId="6A56A724">
      <w:pPr>
        <w:spacing w:after="60" w:afterLines="25"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u w:val="single"/>
        </w:rPr>
        <w:t>（标的名称）</w:t>
      </w:r>
      <w:r>
        <w:rPr>
          <w:rFonts w:hint="eastAsia" w:ascii="仿宋" w:hAnsi="仿宋" w:eastAsia="仿宋" w:cs="仿宋"/>
          <w:sz w:val="24"/>
          <w:highlight w:val="none"/>
        </w:rPr>
        <w:t>，承接单位为</w:t>
      </w:r>
      <w:r>
        <w:rPr>
          <w:rFonts w:hint="eastAsia" w:ascii="仿宋" w:hAnsi="仿宋" w:eastAsia="仿宋" w:cs="仿宋"/>
          <w:sz w:val="24"/>
          <w:highlight w:val="none"/>
          <w:u w:val="single"/>
        </w:rPr>
        <w:t>（企业名称）</w:t>
      </w:r>
      <w:r>
        <w:rPr>
          <w:rFonts w:hint="eastAsia" w:ascii="仿宋" w:hAnsi="仿宋" w:eastAsia="仿宋" w:cs="仿宋"/>
          <w:sz w:val="24"/>
          <w:highlight w:val="none"/>
        </w:rPr>
        <w:t>，属于</w:t>
      </w:r>
      <w:r>
        <w:rPr>
          <w:rFonts w:hint="eastAsia" w:ascii="仿宋" w:hAnsi="仿宋" w:eastAsia="仿宋" w:cs="仿宋"/>
          <w:sz w:val="24"/>
          <w:highlight w:val="none"/>
          <w:u w:val="single"/>
        </w:rPr>
        <w:t>监狱企业</w:t>
      </w:r>
      <w:r>
        <w:rPr>
          <w:rFonts w:hint="eastAsia" w:ascii="仿宋" w:hAnsi="仿宋" w:eastAsia="仿宋" w:cs="仿宋"/>
          <w:sz w:val="24"/>
          <w:highlight w:val="none"/>
        </w:rPr>
        <w:t>。</w:t>
      </w:r>
    </w:p>
    <w:p w14:paraId="30BAEBC2">
      <w:pPr>
        <w:spacing w:after="60" w:afterLines="25" w:line="400" w:lineRule="exact"/>
        <w:ind w:firstLine="480" w:firstLineChars="200"/>
        <w:rPr>
          <w:rFonts w:hint="eastAsia" w:ascii="仿宋" w:hAnsi="仿宋" w:eastAsia="仿宋" w:cs="仿宋"/>
          <w:kern w:val="0"/>
          <w:sz w:val="24"/>
          <w:highlight w:val="none"/>
        </w:rPr>
      </w:pPr>
      <w:r>
        <w:rPr>
          <w:rFonts w:hint="eastAsia" w:ascii="仿宋" w:hAnsi="仿宋" w:eastAsia="仿宋" w:cs="仿宋"/>
          <w:sz w:val="24"/>
          <w:highlight w:val="none"/>
        </w:rPr>
        <w:t xml:space="preserve">…… </w:t>
      </w:r>
    </w:p>
    <w:p w14:paraId="591019CD">
      <w:pPr>
        <w:snapToGrid w:val="0"/>
        <w:spacing w:line="400" w:lineRule="exact"/>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本单位对上述声明的真实性负责。如有虚假，依法承担相应责任。</w:t>
      </w:r>
    </w:p>
    <w:p w14:paraId="4645DC6D">
      <w:pPr>
        <w:snapToGrid w:val="0"/>
        <w:spacing w:line="400" w:lineRule="exact"/>
        <w:textAlignment w:val="baseline"/>
        <w:rPr>
          <w:rFonts w:hint="eastAsia" w:ascii="仿宋" w:hAnsi="仿宋" w:eastAsia="仿宋" w:cs="仿宋"/>
          <w:kern w:val="0"/>
          <w:sz w:val="24"/>
          <w:highlight w:val="none"/>
        </w:rPr>
      </w:pPr>
    </w:p>
    <w:p w14:paraId="07E6765C">
      <w:pPr>
        <w:snapToGrid w:val="0"/>
        <w:spacing w:line="400" w:lineRule="exact"/>
        <w:ind w:left="1080" w:leftChars="257" w:hanging="540"/>
        <w:textAlignment w:val="baseline"/>
        <w:rPr>
          <w:rFonts w:hint="eastAsia" w:ascii="仿宋" w:hAnsi="仿宋" w:eastAsia="仿宋" w:cs="仿宋"/>
          <w:kern w:val="0"/>
          <w:sz w:val="24"/>
          <w:highlight w:val="none"/>
        </w:rPr>
      </w:pPr>
      <w:r>
        <w:rPr>
          <w:rFonts w:hint="eastAsia" w:ascii="仿宋" w:hAnsi="仿宋" w:eastAsia="仿宋" w:cs="仿宋"/>
          <w:sz w:val="24"/>
          <w:highlight w:val="none"/>
        </w:rPr>
        <w:t>附：省级以上监狱管理局、戒毒管理局（含新疆生产建设兵团）出具的监狱企业证明文件。</w:t>
      </w:r>
    </w:p>
    <w:p w14:paraId="0213D008">
      <w:pPr>
        <w:snapToGrid w:val="0"/>
        <w:spacing w:line="400" w:lineRule="exact"/>
        <w:ind w:left="1080" w:leftChars="257" w:hanging="540"/>
        <w:textAlignment w:val="baseline"/>
        <w:rPr>
          <w:rFonts w:hint="eastAsia" w:ascii="仿宋" w:hAnsi="仿宋" w:eastAsia="仿宋" w:cs="仿宋"/>
          <w:kern w:val="0"/>
          <w:sz w:val="24"/>
          <w:highlight w:val="none"/>
        </w:rPr>
      </w:pPr>
    </w:p>
    <w:p w14:paraId="41548CE6">
      <w:pPr>
        <w:snapToGrid w:val="0"/>
        <w:spacing w:line="400" w:lineRule="exact"/>
        <w:ind w:left="1080" w:leftChars="257" w:hanging="54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投标人（单位盖章）：________</w:t>
      </w:r>
    </w:p>
    <w:p w14:paraId="66954B98">
      <w:pPr>
        <w:snapToGrid w:val="0"/>
        <w:spacing w:line="400" w:lineRule="exact"/>
        <w:ind w:left="1080" w:leftChars="257" w:hanging="54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日  期：_______</w:t>
      </w:r>
    </w:p>
    <w:p w14:paraId="17471691">
      <w:pPr>
        <w:snapToGrid w:val="0"/>
        <w:spacing w:line="400" w:lineRule="exact"/>
        <w:ind w:left="1080" w:leftChars="257" w:hanging="540"/>
        <w:textAlignment w:val="baseline"/>
        <w:rPr>
          <w:rFonts w:hint="eastAsia" w:ascii="仿宋" w:hAnsi="仿宋" w:eastAsia="仿宋" w:cs="仿宋"/>
          <w:kern w:val="0"/>
          <w:sz w:val="24"/>
          <w:highlight w:val="none"/>
          <w:lang w:eastAsia="zh-CN"/>
        </w:rPr>
      </w:pPr>
    </w:p>
    <w:p w14:paraId="655CC79D">
      <w:pPr>
        <w:pStyle w:val="4"/>
        <w:spacing w:before="0" w:after="0" w:line="288" w:lineRule="auto"/>
        <w:jc w:val="both"/>
        <w:rPr>
          <w:rFonts w:hint="eastAsia" w:ascii="仿宋" w:hAnsi="仿宋" w:eastAsia="仿宋" w:cs="仿宋"/>
          <w:color w:val="auto"/>
          <w:highlight w:val="none"/>
          <w:u w:val="none"/>
          <w:lang w:val="en-US" w:eastAsia="zh-CN"/>
        </w:rPr>
      </w:pPr>
      <w:bookmarkStart w:id="794" w:name="_Toc22178"/>
    </w:p>
    <w:p w14:paraId="746D5253">
      <w:pPr>
        <w:pStyle w:val="4"/>
        <w:spacing w:before="0" w:after="0" w:line="288" w:lineRule="auto"/>
        <w:jc w:val="center"/>
        <w:rPr>
          <w:rFonts w:hint="eastAsia" w:ascii="仿宋" w:hAnsi="仿宋" w:eastAsia="仿宋" w:cs="仿宋"/>
          <w:color w:val="auto"/>
          <w:highlight w:val="none"/>
          <w:u w:val="none"/>
          <w:lang w:val="en-US" w:eastAsia="zh-CN"/>
        </w:rPr>
      </w:pPr>
      <w:bookmarkStart w:id="795" w:name="_Toc24012"/>
      <w:bookmarkStart w:id="796" w:name="_Toc4963"/>
      <w:r>
        <w:rPr>
          <w:rFonts w:hint="eastAsia" w:ascii="仿宋" w:hAnsi="仿宋" w:eastAsia="仿宋" w:cs="仿宋"/>
          <w:color w:val="auto"/>
          <w:highlight w:val="none"/>
          <w:u w:val="none"/>
          <w:lang w:val="en-US" w:eastAsia="zh-CN"/>
        </w:rPr>
        <w:t>6-4 节能、环境标志产品（若本项目采购内容中无以下清单货物，可不填）</w:t>
      </w:r>
      <w:bookmarkEnd w:id="795"/>
      <w:bookmarkEnd w:id="796"/>
    </w:p>
    <w:p w14:paraId="02303B4B">
      <w:pPr>
        <w:rPr>
          <w:rFonts w:hint="eastAsia" w:ascii="仿宋" w:hAnsi="仿宋" w:eastAsia="仿宋" w:cs="仿宋"/>
          <w:highlight w:val="none"/>
          <w:lang w:val="en-US" w:eastAsia="zh-CN"/>
        </w:rPr>
      </w:pPr>
    </w:p>
    <w:p w14:paraId="7382DF64">
      <w:pPr>
        <w:pStyle w:val="51"/>
        <w:spacing w:line="360" w:lineRule="auto"/>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投标人在投标时请参考以下2个文件填写下表：</w:t>
      </w:r>
    </w:p>
    <w:p w14:paraId="41DEC966">
      <w:pPr>
        <w:pStyle w:val="51"/>
        <w:numPr>
          <w:ilvl w:val="0"/>
          <w:numId w:val="0"/>
        </w:numPr>
        <w:spacing w:line="360" w:lineRule="auto"/>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1.《</w:t>
      </w:r>
      <w:r>
        <w:rPr>
          <w:rFonts w:hint="eastAsia" w:ascii="仿宋" w:hAnsi="仿宋" w:eastAsia="仿宋" w:cs="仿宋"/>
          <w:b/>
          <w:bCs/>
          <w:color w:val="auto"/>
          <w:kern w:val="0"/>
          <w:sz w:val="24"/>
          <w:highlight w:val="none"/>
        </w:rPr>
        <w:t>关于印发环境标志产品政府采购品目清单的通知</w:t>
      </w:r>
      <w:r>
        <w:rPr>
          <w:rFonts w:hint="eastAsia" w:ascii="仿宋" w:hAnsi="仿宋" w:eastAsia="仿宋" w:cs="仿宋"/>
          <w:b/>
          <w:bCs/>
          <w:color w:val="auto"/>
          <w:kern w:val="0"/>
          <w:sz w:val="24"/>
          <w:highlight w:val="none"/>
          <w:lang w:val="en-US" w:eastAsia="zh-CN"/>
        </w:rPr>
        <w:t>》（</w:t>
      </w:r>
      <w:r>
        <w:rPr>
          <w:rFonts w:hint="eastAsia" w:ascii="仿宋" w:hAnsi="仿宋" w:eastAsia="仿宋" w:cs="仿宋"/>
          <w:b/>
          <w:bCs/>
          <w:color w:val="auto"/>
          <w:kern w:val="0"/>
          <w:sz w:val="24"/>
          <w:highlight w:val="none"/>
        </w:rPr>
        <w:t>财库〔2019〕18号</w:t>
      </w:r>
      <w:r>
        <w:rPr>
          <w:rFonts w:hint="eastAsia" w:ascii="仿宋" w:hAnsi="仿宋" w:eastAsia="仿宋" w:cs="仿宋"/>
          <w:b/>
          <w:bCs/>
          <w:color w:val="auto"/>
          <w:kern w:val="0"/>
          <w:sz w:val="24"/>
          <w:highlight w:val="none"/>
          <w:lang w:val="en-US" w:eastAsia="zh-CN"/>
        </w:rPr>
        <w:t>）</w:t>
      </w:r>
      <w:r>
        <w:rPr>
          <w:rFonts w:hint="eastAsia" w:ascii="仿宋" w:hAnsi="仿宋" w:eastAsia="仿宋" w:cs="仿宋"/>
          <w:b/>
          <w:bCs/>
          <w:color w:val="auto"/>
          <w:kern w:val="0"/>
          <w:sz w:val="24"/>
          <w:highlight w:val="none"/>
        </w:rPr>
        <w:t>附件：环境标志产品政府采购品目清单</w:t>
      </w:r>
    </w:p>
    <w:p w14:paraId="01EC8110">
      <w:pPr>
        <w:pStyle w:val="51"/>
        <w:numPr>
          <w:ilvl w:val="0"/>
          <w:numId w:val="0"/>
        </w:numPr>
        <w:spacing w:line="360" w:lineRule="auto"/>
        <w:ind w:firstLine="482" w:firstLineChars="200"/>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2.《关于印发节能产品政府采购品目清单的通知》（财库〔2019〕19号）附件：节能产品政府采购品目清单</w:t>
      </w:r>
    </w:p>
    <w:tbl>
      <w:tblPr>
        <w:tblStyle w:val="24"/>
        <w:tblW w:w="8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2376"/>
        <w:gridCol w:w="1640"/>
        <w:gridCol w:w="3369"/>
        <w:gridCol w:w="927"/>
      </w:tblGrid>
      <w:tr w14:paraId="498A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14:paraId="450BE3E2">
            <w:pPr>
              <w:pStyle w:val="52"/>
              <w:keepNext w:val="0"/>
              <w:keepLines w:val="0"/>
              <w:widowControl w:val="0"/>
              <w:suppressLineNumbers w:val="0"/>
              <w:spacing w:beforeAutospacing="0" w:afterAutospacing="0"/>
              <w:ind w:left="0" w:right="0"/>
              <w:jc w:val="center"/>
              <w:rPr>
                <w:rFonts w:hint="eastAsia" w:ascii="仿宋" w:hAnsi="仿宋" w:eastAsia="仿宋" w:cs="仿宋"/>
                <w:b/>
                <w:bCs w:val="0"/>
                <w:color w:val="auto"/>
                <w:highlight w:val="none"/>
                <w:vertAlign w:val="baseline"/>
                <w:lang w:val="en-US" w:eastAsia="zh-CN"/>
              </w:rPr>
            </w:pPr>
            <w:r>
              <w:rPr>
                <w:rFonts w:hint="eastAsia" w:ascii="仿宋" w:hAnsi="仿宋" w:eastAsia="仿宋" w:cs="仿宋"/>
                <w:b/>
                <w:bCs w:val="0"/>
                <w:color w:val="auto"/>
                <w:highlight w:val="none"/>
                <w:vertAlign w:val="baseline"/>
                <w:lang w:val="en-US" w:eastAsia="zh-CN"/>
              </w:rPr>
              <w:t>序号</w:t>
            </w:r>
          </w:p>
        </w:tc>
        <w:tc>
          <w:tcPr>
            <w:tcW w:w="2376" w:type="dxa"/>
            <w:noWrap w:val="0"/>
            <w:vAlign w:val="center"/>
          </w:tcPr>
          <w:p w14:paraId="3900F5D4">
            <w:pPr>
              <w:pStyle w:val="52"/>
              <w:keepNext w:val="0"/>
              <w:keepLines w:val="0"/>
              <w:widowControl w:val="0"/>
              <w:suppressLineNumbers w:val="0"/>
              <w:spacing w:beforeAutospacing="0" w:afterAutospacing="0"/>
              <w:ind w:left="0" w:right="0"/>
              <w:jc w:val="center"/>
              <w:rPr>
                <w:rFonts w:hint="eastAsia" w:ascii="仿宋" w:hAnsi="仿宋" w:eastAsia="仿宋" w:cs="仿宋"/>
                <w:b/>
                <w:bCs w:val="0"/>
                <w:color w:val="auto"/>
                <w:highlight w:val="none"/>
                <w:vertAlign w:val="baseline"/>
              </w:rPr>
            </w:pPr>
            <w:r>
              <w:rPr>
                <w:rFonts w:hint="eastAsia" w:ascii="仿宋" w:hAnsi="仿宋" w:eastAsia="仿宋" w:cs="仿宋"/>
                <w:b/>
                <w:bCs w:val="0"/>
                <w:color w:val="auto"/>
                <w:highlight w:val="none"/>
                <w:vertAlign w:val="baseline"/>
              </w:rPr>
              <w:t>产品名称(标的名称)</w:t>
            </w:r>
          </w:p>
        </w:tc>
        <w:tc>
          <w:tcPr>
            <w:tcW w:w="1640" w:type="dxa"/>
            <w:noWrap w:val="0"/>
            <w:vAlign w:val="center"/>
          </w:tcPr>
          <w:p w14:paraId="15F82A72">
            <w:pPr>
              <w:pStyle w:val="52"/>
              <w:keepNext w:val="0"/>
              <w:keepLines w:val="0"/>
              <w:widowControl w:val="0"/>
              <w:suppressLineNumbers w:val="0"/>
              <w:spacing w:beforeAutospacing="0" w:afterAutospacing="0"/>
              <w:ind w:left="0" w:right="0"/>
              <w:jc w:val="center"/>
              <w:rPr>
                <w:rFonts w:hint="eastAsia" w:ascii="仿宋" w:hAnsi="仿宋" w:eastAsia="仿宋" w:cs="仿宋"/>
                <w:b/>
                <w:bCs w:val="0"/>
                <w:color w:val="auto"/>
                <w:highlight w:val="none"/>
                <w:vertAlign w:val="baseline"/>
                <w:lang w:val="en-US" w:eastAsia="zh-CN"/>
              </w:rPr>
            </w:pPr>
            <w:r>
              <w:rPr>
                <w:rFonts w:hint="eastAsia" w:ascii="仿宋" w:hAnsi="仿宋" w:eastAsia="仿宋" w:cs="仿宋"/>
                <w:b/>
                <w:bCs w:val="0"/>
                <w:color w:val="auto"/>
                <w:highlight w:val="none"/>
                <w:vertAlign w:val="baseline"/>
                <w:lang w:val="en-US" w:eastAsia="zh-CN"/>
              </w:rPr>
              <w:t>节能认证证书编号</w:t>
            </w:r>
          </w:p>
        </w:tc>
        <w:tc>
          <w:tcPr>
            <w:tcW w:w="3369" w:type="dxa"/>
            <w:noWrap w:val="0"/>
            <w:vAlign w:val="center"/>
          </w:tcPr>
          <w:p w14:paraId="52BF6C1D">
            <w:pPr>
              <w:pStyle w:val="52"/>
              <w:keepNext w:val="0"/>
              <w:keepLines w:val="0"/>
              <w:widowControl w:val="0"/>
              <w:suppressLineNumbers w:val="0"/>
              <w:spacing w:beforeAutospacing="0" w:afterAutospacing="0"/>
              <w:ind w:left="0" w:right="0"/>
              <w:jc w:val="center"/>
              <w:rPr>
                <w:rFonts w:hint="eastAsia" w:ascii="仿宋" w:hAnsi="仿宋" w:eastAsia="仿宋" w:cs="仿宋"/>
                <w:b/>
                <w:bCs w:val="0"/>
                <w:color w:val="auto"/>
                <w:highlight w:val="none"/>
                <w:vertAlign w:val="baseline"/>
                <w:lang w:val="en-US" w:eastAsia="zh-CN"/>
              </w:rPr>
            </w:pPr>
            <w:r>
              <w:rPr>
                <w:rFonts w:hint="eastAsia" w:ascii="仿宋" w:hAnsi="仿宋" w:eastAsia="仿宋" w:cs="仿宋"/>
                <w:b/>
                <w:bCs w:val="0"/>
                <w:color w:val="auto"/>
                <w:sz w:val="22"/>
                <w:szCs w:val="18"/>
                <w:highlight w:val="none"/>
                <w:vertAlign w:val="baseline"/>
              </w:rPr>
              <w:t>提供所投产品有效的节能产品认证证书(复印件加盖供应商公章)</w:t>
            </w:r>
            <w:r>
              <w:rPr>
                <w:rFonts w:hint="eastAsia" w:ascii="仿宋" w:hAnsi="仿宋" w:eastAsia="仿宋" w:cs="仿宋"/>
                <w:b/>
                <w:bCs w:val="0"/>
                <w:color w:val="auto"/>
                <w:sz w:val="22"/>
                <w:szCs w:val="18"/>
                <w:highlight w:val="none"/>
                <w:vertAlign w:val="baseline"/>
                <w:lang w:val="en-US" w:eastAsia="zh-CN"/>
              </w:rPr>
              <w:t>可附本页后</w:t>
            </w:r>
          </w:p>
        </w:tc>
        <w:tc>
          <w:tcPr>
            <w:tcW w:w="927" w:type="dxa"/>
            <w:noWrap w:val="0"/>
            <w:vAlign w:val="center"/>
          </w:tcPr>
          <w:p w14:paraId="77042F3E">
            <w:pPr>
              <w:pStyle w:val="52"/>
              <w:keepNext w:val="0"/>
              <w:keepLines w:val="0"/>
              <w:widowControl w:val="0"/>
              <w:suppressLineNumbers w:val="0"/>
              <w:spacing w:beforeAutospacing="0" w:afterAutospacing="0"/>
              <w:ind w:left="0" w:right="0"/>
              <w:jc w:val="center"/>
              <w:rPr>
                <w:rFonts w:hint="eastAsia" w:ascii="仿宋" w:hAnsi="仿宋" w:eastAsia="仿宋" w:cs="仿宋"/>
                <w:b/>
                <w:bCs w:val="0"/>
                <w:color w:val="auto"/>
                <w:highlight w:val="none"/>
                <w:vertAlign w:val="baseline"/>
                <w:lang w:val="en-US" w:eastAsia="zh-CN"/>
              </w:rPr>
            </w:pPr>
            <w:r>
              <w:rPr>
                <w:rFonts w:hint="eastAsia" w:ascii="仿宋" w:hAnsi="仿宋" w:eastAsia="仿宋" w:cs="仿宋"/>
                <w:b/>
                <w:bCs w:val="0"/>
                <w:color w:val="auto"/>
                <w:highlight w:val="none"/>
                <w:vertAlign w:val="baseline"/>
                <w:lang w:val="en-US" w:eastAsia="zh-CN"/>
              </w:rPr>
              <w:t>备注</w:t>
            </w:r>
          </w:p>
        </w:tc>
      </w:tr>
      <w:tr w14:paraId="2383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031B378B">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w:t>
            </w:r>
          </w:p>
        </w:tc>
        <w:tc>
          <w:tcPr>
            <w:tcW w:w="2376" w:type="dxa"/>
            <w:noWrap w:val="0"/>
            <w:vAlign w:val="top"/>
          </w:tcPr>
          <w:p w14:paraId="6FC69CBE">
            <w:pPr>
              <w:pStyle w:val="52"/>
              <w:keepNext w:val="0"/>
              <w:keepLines w:val="0"/>
              <w:widowControl w:val="0"/>
              <w:suppressLineNumbers w:val="0"/>
              <w:spacing w:beforeAutospacing="0" w:afterAutospacing="0"/>
              <w:ind w:left="0" w:right="0"/>
              <w:rPr>
                <w:rFonts w:hint="eastAsia" w:ascii="仿宋" w:hAnsi="仿宋" w:eastAsia="仿宋" w:cs="仿宋"/>
                <w:b w:val="0"/>
                <w:bCs w:val="0"/>
                <w:color w:val="auto"/>
                <w:sz w:val="19"/>
                <w:szCs w:val="19"/>
                <w:highlight w:val="none"/>
                <w:lang w:val="en-US" w:eastAsia="zh-CN"/>
              </w:rPr>
            </w:pPr>
            <w:r>
              <w:rPr>
                <w:rFonts w:hint="eastAsia" w:ascii="仿宋" w:hAnsi="仿宋" w:eastAsia="仿宋" w:cs="仿宋"/>
                <w:b w:val="0"/>
                <w:bCs w:val="0"/>
                <w:color w:val="auto"/>
                <w:sz w:val="19"/>
                <w:szCs w:val="19"/>
                <w:highlight w:val="none"/>
              </w:rPr>
              <w:t>A020101 计算机设备</w:t>
            </w:r>
            <w:r>
              <w:rPr>
                <w:rFonts w:hint="eastAsia" w:ascii="仿宋" w:hAnsi="仿宋" w:eastAsia="仿宋" w:cs="仿宋"/>
                <w:b w:val="0"/>
                <w:bCs w:val="0"/>
                <w:color w:val="auto"/>
                <w:sz w:val="19"/>
                <w:szCs w:val="19"/>
                <w:highlight w:val="none"/>
                <w:lang w:val="en-US" w:eastAsia="zh-CN"/>
              </w:rPr>
              <w:t>（</w:t>
            </w: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lang w:val="en-US" w:eastAsia="zh-CN"/>
              </w:rPr>
              <w:t>台式计算机/</w:t>
            </w: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lang w:val="en-US" w:eastAsia="zh-CN"/>
              </w:rPr>
              <w:t>便携式计算机/</w:t>
            </w: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lang w:val="en-US" w:eastAsia="zh-CN"/>
              </w:rPr>
              <w:t>平板式计算机）</w:t>
            </w:r>
          </w:p>
        </w:tc>
        <w:tc>
          <w:tcPr>
            <w:tcW w:w="1640" w:type="dxa"/>
            <w:noWrap w:val="0"/>
            <w:vAlign w:val="top"/>
          </w:tcPr>
          <w:p w14:paraId="4AB2A090">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3369" w:type="dxa"/>
            <w:noWrap w:val="0"/>
            <w:vAlign w:val="top"/>
          </w:tcPr>
          <w:p w14:paraId="2B700105">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val="en-US" w:eastAsia="zh-CN"/>
              </w:rPr>
            </w:pPr>
          </w:p>
        </w:tc>
        <w:tc>
          <w:tcPr>
            <w:tcW w:w="927" w:type="dxa"/>
            <w:noWrap w:val="0"/>
            <w:vAlign w:val="top"/>
          </w:tcPr>
          <w:p w14:paraId="116D8169">
            <w:pPr>
              <w:pStyle w:val="52"/>
              <w:keepNext w:val="0"/>
              <w:keepLines w:val="0"/>
              <w:widowControl w:val="0"/>
              <w:suppressLineNumbers w:val="0"/>
              <w:spacing w:beforeAutospacing="0" w:afterAutospacing="0"/>
              <w:ind w:left="0" w:right="0"/>
              <w:rPr>
                <w:rFonts w:hint="eastAsia" w:ascii="仿宋" w:hAnsi="仿宋" w:eastAsia="仿宋" w:cs="仿宋"/>
                <w:color w:val="auto"/>
                <w:sz w:val="21"/>
                <w:szCs w:val="16"/>
                <w:highlight w:val="none"/>
                <w:vertAlign w:val="baseline"/>
                <w:lang w:val="en-US" w:eastAsia="zh-CN"/>
              </w:rPr>
            </w:pPr>
          </w:p>
        </w:tc>
      </w:tr>
      <w:tr w14:paraId="1736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6C1AE50B">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w:t>
            </w:r>
          </w:p>
        </w:tc>
        <w:tc>
          <w:tcPr>
            <w:tcW w:w="2376" w:type="dxa"/>
            <w:noWrap w:val="0"/>
            <w:vAlign w:val="top"/>
          </w:tcPr>
          <w:p w14:paraId="6320656C">
            <w:pPr>
              <w:pStyle w:val="52"/>
              <w:keepNext w:val="0"/>
              <w:keepLines w:val="0"/>
              <w:widowControl w:val="0"/>
              <w:suppressLineNumbers w:val="0"/>
              <w:spacing w:beforeAutospacing="0" w:afterAutospacing="0"/>
              <w:ind w:left="0" w:right="0"/>
              <w:rPr>
                <w:rFonts w:hint="eastAsia" w:ascii="仿宋" w:hAnsi="仿宋" w:eastAsia="仿宋" w:cs="仿宋"/>
                <w:b w:val="0"/>
                <w:bCs w:val="0"/>
                <w:color w:val="auto"/>
                <w:sz w:val="19"/>
                <w:szCs w:val="19"/>
                <w:highlight w:val="none"/>
                <w:lang w:val="en-US" w:eastAsia="zh-CN"/>
              </w:rPr>
            </w:pPr>
            <w:r>
              <w:rPr>
                <w:rFonts w:hint="eastAsia" w:ascii="仿宋" w:hAnsi="仿宋" w:eastAsia="仿宋" w:cs="仿宋"/>
                <w:b w:val="0"/>
                <w:bCs w:val="0"/>
                <w:color w:val="auto"/>
                <w:sz w:val="19"/>
                <w:szCs w:val="19"/>
                <w:highlight w:val="none"/>
              </w:rPr>
              <w:t>A02010601 打印设备</w:t>
            </w: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lang w:val="en-US" w:eastAsia="zh-CN"/>
              </w:rPr>
              <w:t>激光打印机/</w:t>
            </w: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lang w:val="en-US" w:eastAsia="zh-CN"/>
              </w:rPr>
              <w:t>针式打印机）</w:t>
            </w:r>
          </w:p>
        </w:tc>
        <w:tc>
          <w:tcPr>
            <w:tcW w:w="1640" w:type="dxa"/>
            <w:noWrap w:val="0"/>
            <w:vAlign w:val="top"/>
          </w:tcPr>
          <w:p w14:paraId="4E52FDF6">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eastAsia="zh-CN"/>
              </w:rPr>
            </w:pPr>
          </w:p>
        </w:tc>
        <w:tc>
          <w:tcPr>
            <w:tcW w:w="3369" w:type="dxa"/>
            <w:noWrap w:val="0"/>
            <w:vAlign w:val="top"/>
          </w:tcPr>
          <w:p w14:paraId="08C0C5E7">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927" w:type="dxa"/>
            <w:noWrap w:val="0"/>
            <w:vAlign w:val="top"/>
          </w:tcPr>
          <w:p w14:paraId="418E45A9">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r>
      <w:tr w14:paraId="000F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107F314E">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3</w:t>
            </w:r>
          </w:p>
        </w:tc>
        <w:tc>
          <w:tcPr>
            <w:tcW w:w="2376" w:type="dxa"/>
            <w:noWrap w:val="0"/>
            <w:vAlign w:val="top"/>
          </w:tcPr>
          <w:p w14:paraId="4D3013F7">
            <w:pPr>
              <w:pStyle w:val="52"/>
              <w:keepNext w:val="0"/>
              <w:keepLines w:val="0"/>
              <w:widowControl w:val="0"/>
              <w:suppressLineNumbers w:val="0"/>
              <w:spacing w:beforeAutospacing="0" w:afterAutospacing="0"/>
              <w:ind w:left="0" w:right="0"/>
              <w:rPr>
                <w:rFonts w:hint="eastAsia" w:ascii="仿宋" w:hAnsi="仿宋" w:eastAsia="仿宋" w:cs="仿宋"/>
                <w:b w:val="0"/>
                <w:bCs w:val="0"/>
                <w:color w:val="auto"/>
                <w:sz w:val="19"/>
                <w:szCs w:val="19"/>
                <w:highlight w:val="none"/>
              </w:rPr>
            </w:pP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rPr>
              <w:t>A0201060401 液晶 显示器</w:t>
            </w:r>
          </w:p>
        </w:tc>
        <w:tc>
          <w:tcPr>
            <w:tcW w:w="1640" w:type="dxa"/>
            <w:noWrap w:val="0"/>
            <w:vAlign w:val="top"/>
          </w:tcPr>
          <w:p w14:paraId="176AFF6F">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3369" w:type="dxa"/>
            <w:noWrap w:val="0"/>
            <w:vAlign w:val="top"/>
          </w:tcPr>
          <w:p w14:paraId="4A260A9E">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val="en-US" w:eastAsia="zh-CN"/>
              </w:rPr>
            </w:pPr>
          </w:p>
        </w:tc>
        <w:tc>
          <w:tcPr>
            <w:tcW w:w="927" w:type="dxa"/>
            <w:noWrap w:val="0"/>
            <w:vAlign w:val="top"/>
          </w:tcPr>
          <w:p w14:paraId="316615B4">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val="en-US" w:eastAsia="zh-CN"/>
              </w:rPr>
            </w:pPr>
          </w:p>
        </w:tc>
      </w:tr>
      <w:tr w14:paraId="0462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3BF1B310">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4</w:t>
            </w:r>
          </w:p>
        </w:tc>
        <w:tc>
          <w:tcPr>
            <w:tcW w:w="2376" w:type="dxa"/>
            <w:noWrap w:val="0"/>
            <w:vAlign w:val="top"/>
          </w:tcPr>
          <w:p w14:paraId="0691B625">
            <w:pPr>
              <w:pStyle w:val="52"/>
              <w:keepNext w:val="0"/>
              <w:keepLines w:val="0"/>
              <w:widowControl w:val="0"/>
              <w:suppressLineNumbers w:val="0"/>
              <w:spacing w:beforeAutospacing="0" w:afterAutospacing="0"/>
              <w:ind w:left="0" w:right="0"/>
              <w:rPr>
                <w:rFonts w:hint="eastAsia" w:ascii="仿宋" w:hAnsi="仿宋" w:eastAsia="仿宋" w:cs="仿宋"/>
                <w:b w:val="0"/>
                <w:bCs w:val="0"/>
                <w:color w:val="auto"/>
                <w:sz w:val="19"/>
                <w:szCs w:val="19"/>
                <w:highlight w:val="none"/>
                <w:lang w:eastAsia="zh-CN"/>
              </w:rPr>
            </w:pPr>
            <w:r>
              <w:rPr>
                <w:rFonts w:hint="eastAsia" w:ascii="仿宋" w:hAnsi="仿宋" w:eastAsia="仿宋" w:cs="仿宋"/>
                <w:b w:val="0"/>
                <w:bCs w:val="0"/>
                <w:color w:val="auto"/>
                <w:sz w:val="19"/>
                <w:szCs w:val="19"/>
                <w:highlight w:val="none"/>
              </w:rPr>
              <w:t>A020523 制冷 空调设备</w:t>
            </w: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rPr>
              <w:t>制冷压缩机</w:t>
            </w: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rPr>
              <w:t>空调机组</w:t>
            </w: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rPr>
              <w:t>专用制 冷、空调设备</w:t>
            </w:r>
          </w:p>
        </w:tc>
        <w:tc>
          <w:tcPr>
            <w:tcW w:w="1640" w:type="dxa"/>
            <w:noWrap w:val="0"/>
            <w:vAlign w:val="top"/>
          </w:tcPr>
          <w:p w14:paraId="582F2A62">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3369" w:type="dxa"/>
            <w:noWrap w:val="0"/>
            <w:vAlign w:val="top"/>
          </w:tcPr>
          <w:p w14:paraId="3AE352DC">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927" w:type="dxa"/>
            <w:noWrap w:val="0"/>
            <w:vAlign w:val="top"/>
          </w:tcPr>
          <w:p w14:paraId="74125FF5">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r>
      <w:tr w14:paraId="7928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6C83C2E2">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5</w:t>
            </w:r>
          </w:p>
        </w:tc>
        <w:tc>
          <w:tcPr>
            <w:tcW w:w="2376" w:type="dxa"/>
            <w:noWrap w:val="0"/>
            <w:vAlign w:val="top"/>
          </w:tcPr>
          <w:p w14:paraId="26300563">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rPr>
              <w:t>A020609 镇流器</w:t>
            </w:r>
          </w:p>
        </w:tc>
        <w:tc>
          <w:tcPr>
            <w:tcW w:w="1640" w:type="dxa"/>
            <w:noWrap w:val="0"/>
            <w:vAlign w:val="top"/>
          </w:tcPr>
          <w:p w14:paraId="7A53C8CE">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3369" w:type="dxa"/>
            <w:noWrap w:val="0"/>
            <w:vAlign w:val="top"/>
          </w:tcPr>
          <w:p w14:paraId="0AD2FCE7">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927" w:type="dxa"/>
            <w:noWrap w:val="0"/>
            <w:vAlign w:val="top"/>
          </w:tcPr>
          <w:p w14:paraId="503AD8FD">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r>
      <w:tr w14:paraId="4E60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21E715EE">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6</w:t>
            </w:r>
          </w:p>
        </w:tc>
        <w:tc>
          <w:tcPr>
            <w:tcW w:w="2376" w:type="dxa"/>
            <w:noWrap w:val="0"/>
            <w:vAlign w:val="top"/>
          </w:tcPr>
          <w:p w14:paraId="51A0109C">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rPr>
              <w:t>A0206180203 空调机</w:t>
            </w:r>
          </w:p>
        </w:tc>
        <w:tc>
          <w:tcPr>
            <w:tcW w:w="1640" w:type="dxa"/>
            <w:noWrap w:val="0"/>
            <w:vAlign w:val="top"/>
          </w:tcPr>
          <w:p w14:paraId="1F25ECD8">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3369" w:type="dxa"/>
            <w:noWrap w:val="0"/>
            <w:vAlign w:val="top"/>
          </w:tcPr>
          <w:p w14:paraId="5550187C">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927" w:type="dxa"/>
            <w:noWrap w:val="0"/>
            <w:vAlign w:val="top"/>
          </w:tcPr>
          <w:p w14:paraId="62900AFF">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r>
      <w:tr w14:paraId="6896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51418AB4">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7</w:t>
            </w:r>
          </w:p>
        </w:tc>
        <w:tc>
          <w:tcPr>
            <w:tcW w:w="2376" w:type="dxa"/>
            <w:noWrap w:val="0"/>
            <w:vAlign w:val="top"/>
          </w:tcPr>
          <w:p w14:paraId="59EE9853">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eastAsia="zh-CN"/>
              </w:rPr>
            </w:pPr>
            <w:r>
              <w:rPr>
                <w:rFonts w:hint="eastAsia" w:ascii="仿宋" w:hAnsi="仿宋" w:eastAsia="仿宋" w:cs="仿宋"/>
                <w:b w:val="0"/>
                <w:bCs w:val="0"/>
                <w:color w:val="auto"/>
                <w:sz w:val="19"/>
                <w:szCs w:val="19"/>
                <w:highlight w:val="none"/>
              </w:rPr>
              <w:t>A02061808 热水器</w:t>
            </w: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rPr>
              <w:t>电热水器</w:t>
            </w:r>
            <w:r>
              <w:rPr>
                <w:rFonts w:hint="eastAsia" w:ascii="仿宋" w:hAnsi="仿宋" w:eastAsia="仿宋" w:cs="仿宋"/>
                <w:b w:val="0"/>
                <w:bCs w:val="0"/>
                <w:color w:val="auto"/>
                <w:sz w:val="19"/>
                <w:szCs w:val="19"/>
                <w:highlight w:val="none"/>
                <w:lang w:eastAsia="zh-CN"/>
              </w:rPr>
              <w:t>）</w:t>
            </w:r>
          </w:p>
        </w:tc>
        <w:tc>
          <w:tcPr>
            <w:tcW w:w="1640" w:type="dxa"/>
            <w:noWrap w:val="0"/>
            <w:vAlign w:val="top"/>
          </w:tcPr>
          <w:p w14:paraId="1EA8CFF5">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3369" w:type="dxa"/>
            <w:noWrap w:val="0"/>
            <w:vAlign w:val="top"/>
          </w:tcPr>
          <w:p w14:paraId="609FFA64">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927" w:type="dxa"/>
            <w:noWrap w:val="0"/>
            <w:vAlign w:val="top"/>
          </w:tcPr>
          <w:p w14:paraId="20D5386D">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r>
      <w:tr w14:paraId="36D8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68194A02">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8</w:t>
            </w:r>
          </w:p>
        </w:tc>
        <w:tc>
          <w:tcPr>
            <w:tcW w:w="2376" w:type="dxa"/>
            <w:noWrap w:val="0"/>
            <w:vAlign w:val="top"/>
          </w:tcPr>
          <w:p w14:paraId="1312562B">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eastAsia="zh-CN"/>
              </w:rPr>
            </w:pPr>
            <w:r>
              <w:rPr>
                <w:rFonts w:hint="eastAsia" w:ascii="仿宋" w:hAnsi="仿宋" w:eastAsia="仿宋" w:cs="仿宋"/>
                <w:b w:val="0"/>
                <w:bCs w:val="0"/>
                <w:color w:val="auto"/>
                <w:sz w:val="19"/>
                <w:szCs w:val="19"/>
                <w:highlight w:val="none"/>
              </w:rPr>
              <w:t xml:space="preserve">A020619 照明设备 </w:t>
            </w: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rPr>
              <w:t>普通照明用双端 荧光灯</w:t>
            </w:r>
            <w:r>
              <w:rPr>
                <w:rFonts w:hint="eastAsia" w:ascii="仿宋" w:hAnsi="仿宋" w:eastAsia="仿宋" w:cs="仿宋"/>
                <w:b w:val="0"/>
                <w:bCs w:val="0"/>
                <w:color w:val="auto"/>
                <w:sz w:val="19"/>
                <w:szCs w:val="19"/>
                <w:highlight w:val="none"/>
                <w:lang w:eastAsia="zh-CN"/>
              </w:rPr>
              <w:t>）</w:t>
            </w:r>
          </w:p>
        </w:tc>
        <w:tc>
          <w:tcPr>
            <w:tcW w:w="1640" w:type="dxa"/>
            <w:noWrap w:val="0"/>
            <w:vAlign w:val="top"/>
          </w:tcPr>
          <w:p w14:paraId="6B488A99">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3369" w:type="dxa"/>
            <w:noWrap w:val="0"/>
            <w:vAlign w:val="top"/>
          </w:tcPr>
          <w:p w14:paraId="716B323D">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927" w:type="dxa"/>
            <w:noWrap w:val="0"/>
            <w:vAlign w:val="top"/>
          </w:tcPr>
          <w:p w14:paraId="7FCD162D">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r>
      <w:tr w14:paraId="4810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45C6F170">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9</w:t>
            </w:r>
          </w:p>
        </w:tc>
        <w:tc>
          <w:tcPr>
            <w:tcW w:w="2376" w:type="dxa"/>
            <w:noWrap w:val="0"/>
            <w:vAlign w:val="top"/>
          </w:tcPr>
          <w:p w14:paraId="313F91AB">
            <w:pPr>
              <w:pStyle w:val="52"/>
              <w:keepNext w:val="0"/>
              <w:keepLines w:val="0"/>
              <w:widowControl w:val="0"/>
              <w:suppressLineNumbers w:val="0"/>
              <w:spacing w:beforeAutospacing="0" w:afterAutospacing="0"/>
              <w:ind w:left="0" w:right="0"/>
              <w:rPr>
                <w:rFonts w:hint="eastAsia" w:ascii="仿宋" w:hAnsi="仿宋" w:eastAsia="仿宋" w:cs="仿宋"/>
                <w:b w:val="0"/>
                <w:bCs w:val="0"/>
                <w:color w:val="auto"/>
                <w:sz w:val="19"/>
                <w:szCs w:val="19"/>
                <w:highlight w:val="none"/>
              </w:rPr>
            </w:pP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rPr>
              <w:t>A020910 电视设备</w:t>
            </w:r>
          </w:p>
        </w:tc>
        <w:tc>
          <w:tcPr>
            <w:tcW w:w="1640" w:type="dxa"/>
            <w:noWrap w:val="0"/>
            <w:vAlign w:val="top"/>
          </w:tcPr>
          <w:p w14:paraId="58985B78">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3369" w:type="dxa"/>
            <w:noWrap w:val="0"/>
            <w:vAlign w:val="top"/>
          </w:tcPr>
          <w:p w14:paraId="1D39C64E">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927" w:type="dxa"/>
            <w:noWrap w:val="0"/>
            <w:vAlign w:val="top"/>
          </w:tcPr>
          <w:p w14:paraId="171CEFE3">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r>
      <w:tr w14:paraId="5BE9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13A4FF29">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10</w:t>
            </w:r>
          </w:p>
        </w:tc>
        <w:tc>
          <w:tcPr>
            <w:tcW w:w="2376" w:type="dxa"/>
            <w:noWrap w:val="0"/>
            <w:vAlign w:val="top"/>
          </w:tcPr>
          <w:p w14:paraId="71FFAE7E">
            <w:pPr>
              <w:pStyle w:val="52"/>
              <w:keepNext w:val="0"/>
              <w:keepLines w:val="0"/>
              <w:widowControl w:val="0"/>
              <w:suppressLineNumbers w:val="0"/>
              <w:spacing w:beforeAutospacing="0" w:afterAutospacing="0"/>
              <w:ind w:left="0" w:right="0"/>
              <w:rPr>
                <w:rFonts w:hint="eastAsia" w:ascii="仿宋" w:hAnsi="仿宋" w:eastAsia="仿宋" w:cs="仿宋"/>
                <w:b w:val="0"/>
                <w:bCs w:val="0"/>
                <w:color w:val="auto"/>
                <w:sz w:val="19"/>
                <w:szCs w:val="19"/>
                <w:highlight w:val="none"/>
              </w:rPr>
            </w:pP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rPr>
              <w:t>A020911 视频设备</w:t>
            </w:r>
          </w:p>
        </w:tc>
        <w:tc>
          <w:tcPr>
            <w:tcW w:w="1640" w:type="dxa"/>
            <w:noWrap w:val="0"/>
            <w:vAlign w:val="top"/>
          </w:tcPr>
          <w:p w14:paraId="3EA81012">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3369" w:type="dxa"/>
            <w:noWrap w:val="0"/>
            <w:vAlign w:val="top"/>
          </w:tcPr>
          <w:p w14:paraId="55608A9F">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927" w:type="dxa"/>
            <w:noWrap w:val="0"/>
            <w:vAlign w:val="top"/>
          </w:tcPr>
          <w:p w14:paraId="0C3B8A2A">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r>
      <w:tr w14:paraId="43A27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136EFB7A">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11</w:t>
            </w:r>
          </w:p>
        </w:tc>
        <w:tc>
          <w:tcPr>
            <w:tcW w:w="2376" w:type="dxa"/>
            <w:noWrap w:val="0"/>
            <w:vAlign w:val="top"/>
          </w:tcPr>
          <w:p w14:paraId="2A5A347C">
            <w:pPr>
              <w:pStyle w:val="52"/>
              <w:keepNext w:val="0"/>
              <w:keepLines w:val="0"/>
              <w:widowControl w:val="0"/>
              <w:suppressLineNumbers w:val="0"/>
              <w:spacing w:beforeAutospacing="0" w:afterAutospacing="0"/>
              <w:ind w:left="0" w:right="0"/>
              <w:rPr>
                <w:rFonts w:hint="eastAsia" w:ascii="仿宋" w:hAnsi="仿宋" w:eastAsia="仿宋" w:cs="仿宋"/>
                <w:b w:val="0"/>
                <w:bCs w:val="0"/>
                <w:color w:val="auto"/>
                <w:sz w:val="19"/>
                <w:szCs w:val="19"/>
                <w:highlight w:val="none"/>
              </w:rPr>
            </w:pP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rPr>
              <w:t>A060805 便器</w:t>
            </w:r>
          </w:p>
        </w:tc>
        <w:tc>
          <w:tcPr>
            <w:tcW w:w="1640" w:type="dxa"/>
            <w:noWrap w:val="0"/>
            <w:vAlign w:val="top"/>
          </w:tcPr>
          <w:p w14:paraId="79E97220">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3369" w:type="dxa"/>
            <w:noWrap w:val="0"/>
            <w:vAlign w:val="top"/>
          </w:tcPr>
          <w:p w14:paraId="7A91B918">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927" w:type="dxa"/>
            <w:noWrap w:val="0"/>
            <w:vAlign w:val="top"/>
          </w:tcPr>
          <w:p w14:paraId="21A7C213">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r>
      <w:tr w14:paraId="1FEC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37107552">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12</w:t>
            </w:r>
          </w:p>
        </w:tc>
        <w:tc>
          <w:tcPr>
            <w:tcW w:w="2376" w:type="dxa"/>
            <w:noWrap w:val="0"/>
            <w:vAlign w:val="top"/>
          </w:tcPr>
          <w:p w14:paraId="1ED22BB9">
            <w:pPr>
              <w:pStyle w:val="52"/>
              <w:keepNext w:val="0"/>
              <w:keepLines w:val="0"/>
              <w:widowControl w:val="0"/>
              <w:suppressLineNumbers w:val="0"/>
              <w:spacing w:beforeAutospacing="0" w:afterAutospacing="0"/>
              <w:ind w:left="0" w:right="0"/>
              <w:rPr>
                <w:rFonts w:hint="eastAsia" w:ascii="仿宋" w:hAnsi="仿宋" w:eastAsia="仿宋" w:cs="仿宋"/>
                <w:b w:val="0"/>
                <w:bCs w:val="0"/>
                <w:color w:val="auto"/>
                <w:sz w:val="19"/>
                <w:szCs w:val="19"/>
                <w:highlight w:val="none"/>
              </w:rPr>
            </w:pP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rPr>
              <w:t>A060806 水嘴</w:t>
            </w:r>
          </w:p>
        </w:tc>
        <w:tc>
          <w:tcPr>
            <w:tcW w:w="1640" w:type="dxa"/>
            <w:noWrap w:val="0"/>
            <w:vAlign w:val="top"/>
          </w:tcPr>
          <w:p w14:paraId="7FA2BE2E">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3369" w:type="dxa"/>
            <w:noWrap w:val="0"/>
            <w:vAlign w:val="top"/>
          </w:tcPr>
          <w:p w14:paraId="473050FA">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927" w:type="dxa"/>
            <w:noWrap w:val="0"/>
            <w:vAlign w:val="top"/>
          </w:tcPr>
          <w:p w14:paraId="55D71003">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r>
    </w:tbl>
    <w:p w14:paraId="21D77F1D">
      <w:pPr>
        <w:rPr>
          <w:rFonts w:hint="eastAsia" w:ascii="仿宋" w:hAnsi="仿宋" w:eastAsia="仿宋" w:cs="仿宋"/>
          <w:b/>
          <w:bCs/>
          <w:color w:val="auto"/>
          <w:kern w:val="0"/>
          <w:sz w:val="24"/>
          <w:highlight w:val="none"/>
        </w:rPr>
      </w:pPr>
    </w:p>
    <w:p w14:paraId="56C19E65">
      <w:pPr>
        <w:snapToGrid w:val="0"/>
        <w:spacing w:line="400" w:lineRule="exact"/>
        <w:ind w:firstLine="482" w:firstLineChars="200"/>
        <w:textAlignment w:val="baseline"/>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备注：“</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”标注的为政府强制采购产品。以上带“</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”符号的为实质性要求，不满足的将作为无效投标处理（或者无效响应处理</w:t>
      </w:r>
      <w:r>
        <w:rPr>
          <w:rFonts w:hint="eastAsia" w:ascii="仿宋" w:hAnsi="仿宋" w:eastAsia="仿宋" w:cs="仿宋"/>
          <w:color w:val="auto"/>
          <w:sz w:val="24"/>
          <w:highlight w:val="none"/>
        </w:rPr>
        <w:t>）。</w:t>
      </w:r>
    </w:p>
    <w:p w14:paraId="5C85D1A5">
      <w:pPr>
        <w:snapToGrid w:val="0"/>
        <w:spacing w:line="400" w:lineRule="exact"/>
        <w:ind w:firstLine="480" w:firstLineChars="200"/>
        <w:textAlignment w:val="baseline"/>
        <w:rPr>
          <w:rFonts w:hint="eastAsia" w:ascii="仿宋" w:hAnsi="仿宋" w:eastAsia="仿宋" w:cs="仿宋"/>
          <w:color w:val="auto"/>
          <w:sz w:val="24"/>
          <w:highlight w:val="none"/>
        </w:rPr>
      </w:pPr>
    </w:p>
    <w:p w14:paraId="1A9AA368">
      <w:pPr>
        <w:snapToGrid w:val="0"/>
        <w:spacing w:line="400" w:lineRule="exact"/>
        <w:ind w:firstLine="480" w:firstLineChars="200"/>
        <w:textAlignment w:val="baseline"/>
        <w:rPr>
          <w:rFonts w:hint="eastAsia" w:ascii="仿宋" w:hAnsi="仿宋" w:eastAsia="仿宋" w:cs="仿宋"/>
          <w:color w:val="auto"/>
          <w:sz w:val="24"/>
          <w:highlight w:val="none"/>
        </w:rPr>
      </w:pPr>
    </w:p>
    <w:p w14:paraId="35810FC0">
      <w:pPr>
        <w:snapToGrid w:val="0"/>
        <w:spacing w:line="400" w:lineRule="exact"/>
        <w:ind w:firstLine="480" w:firstLineChars="200"/>
        <w:textAlignment w:val="baseline"/>
        <w:rPr>
          <w:rFonts w:hint="eastAsia" w:ascii="仿宋" w:hAnsi="仿宋" w:eastAsia="仿宋" w:cs="仿宋"/>
          <w:color w:val="auto"/>
          <w:sz w:val="24"/>
          <w:highlight w:val="none"/>
        </w:rPr>
      </w:pPr>
    </w:p>
    <w:p w14:paraId="5A7F2139">
      <w:pPr>
        <w:snapToGrid w:val="0"/>
        <w:spacing w:line="400" w:lineRule="exact"/>
        <w:ind w:firstLine="480" w:firstLineChars="200"/>
        <w:textAlignment w:val="baseline"/>
        <w:rPr>
          <w:rFonts w:hint="eastAsia" w:ascii="仿宋" w:hAnsi="仿宋" w:eastAsia="仿宋" w:cs="仿宋"/>
          <w:color w:val="auto"/>
          <w:sz w:val="24"/>
          <w:highlight w:val="none"/>
        </w:rPr>
      </w:pPr>
    </w:p>
    <w:p w14:paraId="259ACA8F">
      <w:pPr>
        <w:rPr>
          <w:rFonts w:hint="eastAsia" w:ascii="仿宋" w:hAnsi="仿宋" w:eastAsia="仿宋" w:cs="仿宋"/>
          <w:color w:val="auto"/>
          <w:highlight w:val="none"/>
          <w:lang w:eastAsia="zh-CN"/>
        </w:rPr>
      </w:pPr>
    </w:p>
    <w:p w14:paraId="3E16D446">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bookmarkStart w:id="797" w:name="_Toc17677"/>
      <w:bookmarkStart w:id="798" w:name="_Toc25322"/>
      <w:r>
        <w:rPr>
          <w:rFonts w:hint="eastAsia" w:ascii="仿宋" w:hAnsi="仿宋" w:eastAsia="仿宋" w:cs="仿宋"/>
          <w:color w:val="auto"/>
          <w:highlight w:val="none"/>
          <w:u w:val="none"/>
          <w:lang w:val="en-US" w:eastAsia="zh-CN"/>
        </w:rPr>
        <w:t>7</w:t>
      </w:r>
      <w:r>
        <w:rPr>
          <w:rFonts w:hint="eastAsia" w:ascii="仿宋" w:hAnsi="仿宋" w:eastAsia="仿宋" w:cs="仿宋"/>
          <w:color w:val="auto"/>
          <w:highlight w:val="none"/>
          <w:u w:val="none"/>
          <w:lang w:eastAsia="zh-CN"/>
        </w:rPr>
        <w:t xml:space="preserve"> 投标文件还应包括第五章、综合评分表的所有技术文件</w:t>
      </w:r>
      <w:bookmarkEnd w:id="771"/>
      <w:bookmarkEnd w:id="794"/>
      <w:bookmarkEnd w:id="797"/>
      <w:bookmarkEnd w:id="798"/>
    </w:p>
    <w:p w14:paraId="69697A0F">
      <w:pPr>
        <w:rPr>
          <w:rFonts w:hint="eastAsia" w:ascii="仿宋" w:hAnsi="仿宋" w:eastAsia="仿宋" w:cs="仿宋"/>
          <w:color w:val="auto"/>
          <w:highlight w:val="none"/>
          <w:lang w:eastAsia="zh-CN"/>
        </w:rPr>
      </w:pPr>
      <w:bookmarkStart w:id="799" w:name="_Toc28099"/>
      <w:bookmarkStart w:id="800" w:name="_Toc515647827"/>
      <w:bookmarkStart w:id="801" w:name="_Toc10002"/>
      <w:bookmarkStart w:id="802" w:name="_Toc30795"/>
    </w:p>
    <w:p w14:paraId="7ACB6C46">
      <w:pPr>
        <w:pStyle w:val="22"/>
        <w:ind w:firstLine="0" w:firstLineChars="0"/>
        <w:rPr>
          <w:rFonts w:hint="eastAsia" w:ascii="仿宋" w:hAnsi="仿宋" w:eastAsia="仿宋" w:cs="仿宋"/>
          <w:color w:val="auto"/>
          <w:highlight w:val="none"/>
          <w:lang w:eastAsia="zh-CN"/>
        </w:rPr>
      </w:pPr>
    </w:p>
    <w:p w14:paraId="7B389E58">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bookmarkStart w:id="803" w:name="_Toc24363"/>
      <w:bookmarkStart w:id="804" w:name="_Toc15187"/>
      <w:bookmarkStart w:id="805" w:name="_Toc6272"/>
      <w:bookmarkStart w:id="806" w:name="_Toc26500"/>
      <w:bookmarkStart w:id="807" w:name="_Toc31636"/>
      <w:bookmarkStart w:id="808" w:name="_Toc12381"/>
      <w:bookmarkStart w:id="809" w:name="_Toc31074"/>
      <w:bookmarkStart w:id="810" w:name="_Toc14100"/>
      <w:bookmarkStart w:id="811" w:name="_Toc8592"/>
      <w:bookmarkStart w:id="812" w:name="_Toc6646"/>
      <w:bookmarkStart w:id="813" w:name="_Toc7250"/>
      <w:r>
        <w:rPr>
          <w:rFonts w:hint="eastAsia" w:ascii="仿宋" w:hAnsi="仿宋" w:eastAsia="仿宋" w:cs="仿宋"/>
          <w:color w:val="auto"/>
          <w:highlight w:val="none"/>
          <w:u w:val="none"/>
          <w:lang w:val="en-US" w:eastAsia="zh-CN"/>
        </w:rPr>
        <w:t>8</w:t>
      </w:r>
      <w:r>
        <w:rPr>
          <w:rFonts w:hint="eastAsia" w:ascii="仿宋" w:hAnsi="仿宋" w:eastAsia="仿宋" w:cs="仿宋"/>
          <w:color w:val="auto"/>
          <w:highlight w:val="none"/>
          <w:u w:val="none"/>
          <w:lang w:eastAsia="zh-CN"/>
        </w:rPr>
        <w:t xml:space="preserve"> 投标人关联单位的说明</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526C385C">
      <w:pPr>
        <w:pStyle w:val="5"/>
        <w:jc w:val="center"/>
        <w:rPr>
          <w:rFonts w:hint="eastAsia" w:ascii="仿宋" w:hAnsi="仿宋" w:eastAsia="仿宋" w:cs="仿宋"/>
          <w:color w:val="auto"/>
          <w:highlight w:val="none"/>
          <w:lang w:eastAsia="zh-CN"/>
        </w:rPr>
      </w:pPr>
    </w:p>
    <w:p w14:paraId="524E0FFE">
      <w:pPr>
        <w:pStyle w:val="5"/>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说明：投标人应当如实披露与本单位存在下列关联关系的单位名称：</w:t>
      </w:r>
    </w:p>
    <w:p w14:paraId="27EAD0D7">
      <w:pPr>
        <w:pStyle w:val="5"/>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（1）与投标人单位负责人为同一人的其他单位；</w:t>
      </w:r>
    </w:p>
    <w:p w14:paraId="42C171C2">
      <w:pPr>
        <w:pStyle w:val="5"/>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（2）与投标人存在直接控股、管理关系的其他单位。</w:t>
      </w:r>
    </w:p>
    <w:p w14:paraId="7A0797AB">
      <w:pPr>
        <w:pStyle w:val="8"/>
        <w:tabs>
          <w:tab w:val="left" w:pos="567"/>
        </w:tabs>
        <w:rPr>
          <w:rFonts w:hint="eastAsia" w:ascii="仿宋" w:hAnsi="仿宋" w:eastAsia="仿宋" w:cs="仿宋"/>
          <w:color w:val="auto"/>
          <w:highlight w:val="none"/>
          <w:lang w:eastAsia="zh-CN"/>
        </w:rPr>
      </w:pPr>
    </w:p>
    <w:p w14:paraId="2943F2BC">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bookmarkStart w:id="814" w:name="_Toc28623"/>
      <w:bookmarkStart w:id="815" w:name="_Toc13576"/>
      <w:bookmarkStart w:id="816" w:name="_Toc5125"/>
      <w:bookmarkStart w:id="817" w:name="_Toc16143"/>
      <w:r>
        <w:rPr>
          <w:rFonts w:hint="eastAsia" w:ascii="仿宋" w:hAnsi="仿宋" w:eastAsia="仿宋" w:cs="仿宋"/>
          <w:color w:val="auto"/>
          <w:highlight w:val="none"/>
          <w:u w:val="none"/>
          <w:lang w:val="en-US" w:eastAsia="zh-CN"/>
        </w:rPr>
        <w:t>9</w:t>
      </w:r>
      <w:r>
        <w:rPr>
          <w:rFonts w:hint="eastAsia" w:ascii="仿宋" w:hAnsi="仿宋" w:eastAsia="仿宋" w:cs="仿宋"/>
          <w:color w:val="auto"/>
          <w:highlight w:val="none"/>
          <w:u w:val="none"/>
          <w:lang w:eastAsia="zh-CN"/>
        </w:rPr>
        <w:t xml:space="preserve"> 其他有利于投标人的文件或证明材料</w:t>
      </w:r>
      <w:bookmarkEnd w:id="814"/>
      <w:bookmarkEnd w:id="815"/>
      <w:bookmarkEnd w:id="816"/>
      <w:bookmarkEnd w:id="817"/>
    </w:p>
    <w:p w14:paraId="64A63D40">
      <w:pPr>
        <w:pStyle w:val="17"/>
        <w:ind w:left="480" w:hanging="480" w:hangingChars="200"/>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lang w:eastAsia="zh-CN"/>
        </w:rPr>
        <w:t>注：参照“第六章评分方法和标准”，提供有力于投标人的其他证明文件或供货及实施方案、服务方案</w:t>
      </w:r>
      <w:bookmarkStart w:id="818" w:name="_Toc9043"/>
      <w:bookmarkStart w:id="819" w:name="_Toc9667"/>
      <w:bookmarkStart w:id="820" w:name="_Toc22391"/>
      <w:bookmarkStart w:id="821" w:name="_Toc283"/>
      <w:bookmarkStart w:id="822" w:name="_Toc15737"/>
      <w:bookmarkStart w:id="823" w:name="_Toc26225"/>
      <w:bookmarkStart w:id="824" w:name="_Toc31553"/>
    </w:p>
    <w:p w14:paraId="5C1B90A4">
      <w:pPr>
        <w:rPr>
          <w:rFonts w:hint="eastAsia" w:ascii="仿宋" w:hAnsi="仿宋" w:eastAsia="仿宋" w:cs="仿宋"/>
          <w:color w:val="auto"/>
          <w:highlight w:val="none"/>
          <w:lang w:eastAsia="zh-CN"/>
        </w:rPr>
      </w:pPr>
    </w:p>
    <w:p w14:paraId="3CF11648">
      <w:pPr>
        <w:rPr>
          <w:rFonts w:hint="eastAsia" w:ascii="仿宋" w:hAnsi="仿宋" w:eastAsia="仿宋" w:cs="仿宋"/>
          <w:color w:val="auto"/>
          <w:highlight w:val="none"/>
          <w:lang w:eastAsia="zh-CN"/>
        </w:rPr>
      </w:pPr>
    </w:p>
    <w:p w14:paraId="26FA7294">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bookmarkStart w:id="825" w:name="_Toc29526"/>
      <w:bookmarkStart w:id="826" w:name="_Toc21278"/>
      <w:bookmarkStart w:id="827" w:name="_Toc31446"/>
      <w:r>
        <w:rPr>
          <w:rFonts w:hint="eastAsia" w:ascii="仿宋" w:hAnsi="仿宋" w:eastAsia="仿宋" w:cs="仿宋"/>
          <w:color w:val="auto"/>
          <w:highlight w:val="none"/>
          <w:u w:val="none"/>
          <w:lang w:val="en-US" w:eastAsia="zh-CN"/>
        </w:rPr>
        <w:t>10</w:t>
      </w:r>
      <w:r>
        <w:rPr>
          <w:rFonts w:hint="eastAsia" w:ascii="仿宋" w:hAnsi="仿宋" w:eastAsia="仿宋" w:cs="仿宋"/>
          <w:color w:val="auto"/>
          <w:highlight w:val="none"/>
          <w:u w:val="none"/>
          <w:lang w:eastAsia="zh-CN"/>
        </w:rPr>
        <w:t xml:space="preserve"> 对本项目投标文件（响应文件）中资料真实性的承诺</w:t>
      </w:r>
      <w:bookmarkEnd w:id="818"/>
      <w:bookmarkEnd w:id="819"/>
      <w:bookmarkEnd w:id="820"/>
      <w:bookmarkEnd w:id="821"/>
      <w:bookmarkEnd w:id="822"/>
      <w:bookmarkEnd w:id="823"/>
      <w:bookmarkEnd w:id="824"/>
      <w:bookmarkEnd w:id="825"/>
      <w:bookmarkEnd w:id="826"/>
      <w:bookmarkEnd w:id="827"/>
    </w:p>
    <w:p w14:paraId="6FD87199">
      <w:pPr>
        <w:rPr>
          <w:rFonts w:hint="eastAsia" w:ascii="仿宋" w:hAnsi="仿宋" w:eastAsia="仿宋" w:cs="仿宋"/>
          <w:b/>
          <w:color w:val="auto"/>
          <w:sz w:val="28"/>
          <w:szCs w:val="28"/>
          <w:highlight w:val="none"/>
          <w:lang w:eastAsia="zh-CN"/>
        </w:rPr>
      </w:pPr>
    </w:p>
    <w:p w14:paraId="1ABE4879">
      <w:pPr>
        <w:spacing w:line="360" w:lineRule="auto"/>
        <w:jc w:val="left"/>
        <w:rPr>
          <w:rFonts w:hint="eastAsia" w:ascii="仿宋" w:hAnsi="仿宋" w:eastAsia="仿宋" w:cs="仿宋"/>
          <w:kern w:val="0"/>
          <w:sz w:val="24"/>
          <w:szCs w:val="20"/>
          <w:highlight w:val="none"/>
          <w:u w:val="single"/>
        </w:rPr>
      </w:pPr>
      <w:r>
        <w:rPr>
          <w:rFonts w:hint="eastAsia" w:ascii="仿宋" w:hAnsi="仿宋" w:eastAsia="仿宋" w:cs="仿宋"/>
          <w:b w:val="0"/>
          <w:bCs w:val="0"/>
          <w:kern w:val="0"/>
          <w:sz w:val="24"/>
          <w:szCs w:val="20"/>
          <w:highlight w:val="none"/>
          <w:u w:val="single"/>
        </w:rPr>
        <w:t xml:space="preserve">            （</w:t>
      </w:r>
      <w:r>
        <w:rPr>
          <w:rFonts w:hint="eastAsia" w:ascii="仿宋" w:hAnsi="仿宋" w:eastAsia="仿宋" w:cs="仿宋"/>
          <w:kern w:val="0"/>
          <w:sz w:val="24"/>
          <w:szCs w:val="20"/>
          <w:highlight w:val="none"/>
        </w:rPr>
        <w:t>项目名称）评标委员会：</w:t>
      </w:r>
    </w:p>
    <w:p w14:paraId="6FB88424">
      <w:pPr>
        <w:spacing w:line="360" w:lineRule="auto"/>
        <w:ind w:firstLine="480" w:firstLineChars="200"/>
        <w:jc w:val="left"/>
        <w:rPr>
          <w:rFonts w:hint="eastAsia" w:ascii="仿宋" w:hAnsi="仿宋" w:eastAsia="仿宋" w:cs="仿宋"/>
          <w:kern w:val="0"/>
          <w:sz w:val="24"/>
          <w:szCs w:val="20"/>
          <w:highlight w:val="none"/>
        </w:rPr>
      </w:pPr>
      <w:r>
        <w:rPr>
          <w:rFonts w:hint="eastAsia" w:ascii="仿宋" w:hAnsi="仿宋" w:eastAsia="仿宋" w:cs="仿宋"/>
          <w:kern w:val="0"/>
          <w:sz w:val="24"/>
          <w:szCs w:val="20"/>
          <w:highlight w:val="none"/>
        </w:rPr>
        <w:t>根据《中华人民共和国政府采购法》、《中华人民共和国政府采购法实施条例》等有关法律、法规的规定和</w:t>
      </w:r>
      <w:r>
        <w:rPr>
          <w:rFonts w:hint="eastAsia" w:ascii="仿宋" w:hAnsi="仿宋" w:eastAsia="仿宋" w:cs="仿宋"/>
          <w:kern w:val="0"/>
          <w:sz w:val="24"/>
          <w:szCs w:val="20"/>
          <w:highlight w:val="none"/>
          <w:u w:val="single"/>
        </w:rPr>
        <w:t xml:space="preserve">            （</w:t>
      </w:r>
      <w:r>
        <w:rPr>
          <w:rFonts w:hint="eastAsia" w:ascii="仿宋" w:hAnsi="仿宋" w:eastAsia="仿宋" w:cs="仿宋"/>
          <w:kern w:val="0"/>
          <w:sz w:val="24"/>
          <w:szCs w:val="20"/>
          <w:highlight w:val="none"/>
        </w:rPr>
        <w:t>项目名称）招标文件的要求，我公司在参加</w:t>
      </w:r>
      <w:r>
        <w:rPr>
          <w:rFonts w:hint="eastAsia" w:ascii="仿宋" w:hAnsi="仿宋" w:eastAsia="仿宋" w:cs="仿宋"/>
          <w:kern w:val="0"/>
          <w:sz w:val="24"/>
          <w:szCs w:val="20"/>
          <w:highlight w:val="none"/>
          <w:u w:val="single"/>
        </w:rPr>
        <w:t xml:space="preserve">            （</w:t>
      </w:r>
      <w:r>
        <w:rPr>
          <w:rFonts w:hint="eastAsia" w:ascii="仿宋" w:hAnsi="仿宋" w:eastAsia="仿宋" w:cs="仿宋"/>
          <w:kern w:val="0"/>
          <w:sz w:val="24"/>
          <w:szCs w:val="20"/>
          <w:highlight w:val="none"/>
        </w:rPr>
        <w:t>项目名称）响应文件（响应文件）中所提供资料真实性作如下承诺：</w:t>
      </w:r>
    </w:p>
    <w:p w14:paraId="57D22493">
      <w:pPr>
        <w:spacing w:line="360" w:lineRule="auto"/>
        <w:ind w:firstLine="480" w:firstLineChars="200"/>
        <w:jc w:val="left"/>
        <w:rPr>
          <w:rFonts w:hint="eastAsia" w:ascii="仿宋" w:hAnsi="仿宋" w:eastAsia="仿宋" w:cs="仿宋"/>
          <w:kern w:val="0"/>
          <w:sz w:val="24"/>
          <w:szCs w:val="20"/>
          <w:highlight w:val="none"/>
        </w:rPr>
      </w:pPr>
      <w:r>
        <w:rPr>
          <w:rFonts w:hint="eastAsia" w:ascii="仿宋" w:hAnsi="仿宋" w:eastAsia="仿宋" w:cs="仿宋"/>
          <w:kern w:val="0"/>
          <w:sz w:val="24"/>
          <w:szCs w:val="20"/>
          <w:highlight w:val="none"/>
        </w:rPr>
        <w:t xml:space="preserve">我公司将严格按招标文件要求，在编制本响应文件（响应文件）时，对响应文件中所提供的资料全部真实和正确，并对提供的所有资料（资格、其他材料等）的真实性负责！ </w:t>
      </w:r>
    </w:p>
    <w:p w14:paraId="78A0A3FD">
      <w:pPr>
        <w:spacing w:line="360" w:lineRule="auto"/>
        <w:ind w:firstLine="480" w:firstLineChars="200"/>
        <w:jc w:val="left"/>
        <w:rPr>
          <w:rFonts w:hint="eastAsia" w:ascii="仿宋" w:hAnsi="仿宋" w:eastAsia="仿宋" w:cs="仿宋"/>
          <w:kern w:val="0"/>
          <w:sz w:val="24"/>
          <w:szCs w:val="20"/>
          <w:highlight w:val="none"/>
        </w:rPr>
      </w:pPr>
      <w:r>
        <w:rPr>
          <w:rFonts w:hint="eastAsia" w:ascii="仿宋" w:hAnsi="仿宋" w:eastAsia="仿宋" w:cs="仿宋"/>
          <w:kern w:val="0"/>
          <w:sz w:val="24"/>
          <w:szCs w:val="20"/>
          <w:highlight w:val="none"/>
        </w:rPr>
        <w:t>对提供的全部资料中有存在不真实（伪造或租借等虚假资料）情形，将无条件接受任何处罚，自行承担由此引起的一切责任！</w:t>
      </w:r>
    </w:p>
    <w:p w14:paraId="17448A8A">
      <w:pPr>
        <w:spacing w:line="360" w:lineRule="auto"/>
        <w:ind w:firstLine="480" w:firstLineChars="200"/>
        <w:rPr>
          <w:rFonts w:hint="eastAsia" w:ascii="仿宋" w:hAnsi="仿宋" w:eastAsia="仿宋" w:cs="仿宋"/>
          <w:kern w:val="0"/>
          <w:sz w:val="24"/>
          <w:szCs w:val="20"/>
          <w:highlight w:val="none"/>
        </w:rPr>
      </w:pPr>
      <w:r>
        <w:rPr>
          <w:rFonts w:hint="eastAsia" w:ascii="仿宋" w:hAnsi="仿宋" w:eastAsia="仿宋" w:cs="仿宋"/>
          <w:kern w:val="0"/>
          <w:sz w:val="24"/>
          <w:szCs w:val="20"/>
          <w:highlight w:val="none"/>
        </w:rPr>
        <w:t>特此承诺</w:t>
      </w:r>
    </w:p>
    <w:p w14:paraId="1F8CD8DE">
      <w:pPr>
        <w:spacing w:line="360" w:lineRule="auto"/>
        <w:ind w:left="1080" w:leftChars="257" w:hanging="540"/>
        <w:jc w:val="center"/>
        <w:rPr>
          <w:rFonts w:hint="eastAsia" w:ascii="仿宋" w:hAnsi="仿宋" w:eastAsia="仿宋" w:cs="仿宋"/>
          <w:b/>
          <w:bCs/>
          <w:kern w:val="0"/>
          <w:sz w:val="24"/>
          <w:szCs w:val="20"/>
          <w:highlight w:val="none"/>
        </w:rPr>
      </w:pPr>
    </w:p>
    <w:p w14:paraId="54D42C54">
      <w:pPr>
        <w:widowControl/>
        <w:spacing w:line="560" w:lineRule="exact"/>
        <w:ind w:firstLine="480" w:firstLineChars="20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供应商（盖单位章）：</w:t>
      </w:r>
    </w:p>
    <w:p w14:paraId="6B76824F">
      <w:pPr>
        <w:widowControl/>
        <w:spacing w:line="560" w:lineRule="exact"/>
        <w:ind w:firstLine="480" w:firstLineChars="20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法定代表人或委托代理人（签字或签章）</w:t>
      </w:r>
      <w:r>
        <w:rPr>
          <w:rFonts w:hint="eastAsia" w:ascii="仿宋" w:hAnsi="仿宋" w:eastAsia="仿宋" w:cs="仿宋"/>
          <w:kern w:val="0"/>
          <w:sz w:val="24"/>
          <w:highlight w:val="none"/>
          <w:u w:val="single"/>
        </w:rPr>
        <w:t xml:space="preserve">：        </w:t>
      </w:r>
    </w:p>
    <w:p w14:paraId="595D2BBC">
      <w:pPr>
        <w:widowControl/>
        <w:spacing w:line="560" w:lineRule="exact"/>
        <w:ind w:firstLine="480" w:firstLineChars="20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日期：年 月 日</w:t>
      </w:r>
    </w:p>
    <w:p w14:paraId="23723930">
      <w:pPr>
        <w:spacing w:line="360" w:lineRule="auto"/>
        <w:ind w:left="4200" w:firstLine="420"/>
        <w:rPr>
          <w:rFonts w:hint="eastAsia" w:ascii="仿宋" w:hAnsi="仿宋" w:eastAsia="仿宋" w:cs="仿宋"/>
          <w:color w:val="auto"/>
          <w:sz w:val="24"/>
          <w:highlight w:val="none"/>
          <w:lang w:eastAsia="zh-CN"/>
        </w:rPr>
      </w:pPr>
    </w:p>
    <w:p w14:paraId="2C9E7FA6">
      <w:pPr>
        <w:rPr>
          <w:rFonts w:hint="eastAsia" w:asciiTheme="minorEastAsia" w:hAnsiTheme="minorEastAsia" w:eastAsiaTheme="minorEastAsia" w:cstheme="minorEastAsia"/>
          <w:b/>
          <w:color w:val="auto"/>
          <w:sz w:val="52"/>
          <w:szCs w:val="52"/>
          <w:highlight w:val="none"/>
          <w:lang w:eastAsia="zh-CN"/>
        </w:rPr>
      </w:pPr>
    </w:p>
    <w:p w14:paraId="10DC506E">
      <w:pPr>
        <w:spacing w:line="240" w:lineRule="atLeast"/>
        <w:jc w:val="both"/>
        <w:rPr>
          <w:rFonts w:hint="eastAsia" w:asciiTheme="minorEastAsia" w:hAnsiTheme="minorEastAsia" w:eastAsiaTheme="minorEastAsia" w:cstheme="minorEastAsia"/>
          <w:b/>
          <w:color w:val="auto"/>
          <w:sz w:val="52"/>
          <w:szCs w:val="52"/>
          <w:highlight w:val="none"/>
          <w:lang w:eastAsia="zh-CN"/>
        </w:rPr>
      </w:pPr>
    </w:p>
    <w:p w14:paraId="49CE8D29">
      <w:pPr>
        <w:spacing w:line="240" w:lineRule="atLeast"/>
        <w:ind w:left="1080" w:leftChars="257" w:hanging="540"/>
        <w:jc w:val="center"/>
        <w:rPr>
          <w:rFonts w:hint="eastAsia" w:asciiTheme="minorEastAsia" w:hAnsiTheme="minorEastAsia" w:eastAsiaTheme="minorEastAsia" w:cstheme="minorEastAsia"/>
          <w:b/>
          <w:color w:val="auto"/>
          <w:sz w:val="52"/>
          <w:szCs w:val="52"/>
          <w:highlight w:val="none"/>
          <w:lang w:eastAsia="zh-CN"/>
        </w:rPr>
      </w:pPr>
      <w:r>
        <w:rPr>
          <w:rFonts w:hint="eastAsia" w:asciiTheme="minorEastAsia" w:hAnsiTheme="minorEastAsia" w:eastAsiaTheme="minorEastAsia" w:cstheme="minorEastAsia"/>
          <w:b/>
          <w:color w:val="auto"/>
          <w:sz w:val="52"/>
          <w:szCs w:val="52"/>
          <w:highlight w:val="none"/>
          <w:lang w:eastAsia="zh-CN"/>
        </w:rPr>
        <w:t>货物类</w:t>
      </w:r>
    </w:p>
    <w:p w14:paraId="1FDF4F99">
      <w:pPr>
        <w:pStyle w:val="17"/>
        <w:rPr>
          <w:rFonts w:hint="eastAsia" w:asciiTheme="minorEastAsia" w:hAnsiTheme="minorEastAsia" w:eastAsiaTheme="minorEastAsia" w:cstheme="minorEastAsia"/>
          <w:b/>
          <w:color w:val="auto"/>
          <w:sz w:val="52"/>
          <w:szCs w:val="52"/>
          <w:highlight w:val="none"/>
          <w:lang w:eastAsia="zh-CN"/>
        </w:rPr>
      </w:pPr>
    </w:p>
    <w:p w14:paraId="00C13277">
      <w:pPr>
        <w:pStyle w:val="8"/>
        <w:tabs>
          <w:tab w:val="left" w:pos="567"/>
        </w:tabs>
        <w:rPr>
          <w:rFonts w:hint="eastAsia" w:asciiTheme="minorEastAsia" w:hAnsiTheme="minorEastAsia" w:eastAsiaTheme="minorEastAsia" w:cstheme="minorEastAsia"/>
          <w:color w:val="auto"/>
          <w:highlight w:val="none"/>
          <w:lang w:eastAsia="zh-CN"/>
        </w:rPr>
      </w:pPr>
    </w:p>
    <w:p w14:paraId="22CE0041">
      <w:pPr>
        <w:pStyle w:val="8"/>
        <w:tabs>
          <w:tab w:val="left" w:pos="567"/>
        </w:tabs>
        <w:rPr>
          <w:rFonts w:hint="eastAsia" w:asciiTheme="minorEastAsia" w:hAnsiTheme="minorEastAsia" w:eastAsiaTheme="minorEastAsia" w:cstheme="minorEastAsia"/>
          <w:color w:val="auto"/>
          <w:highlight w:val="none"/>
          <w:lang w:eastAsia="zh-CN"/>
        </w:rPr>
      </w:pPr>
    </w:p>
    <w:p w14:paraId="76E647E9">
      <w:pPr>
        <w:rPr>
          <w:rFonts w:hint="eastAsia" w:asciiTheme="minorEastAsia" w:hAnsiTheme="minorEastAsia" w:eastAsiaTheme="minorEastAsia" w:cstheme="minorEastAsia"/>
          <w:color w:val="auto"/>
          <w:highlight w:val="none"/>
          <w:lang w:eastAsia="zh-CN"/>
        </w:rPr>
      </w:pPr>
    </w:p>
    <w:p w14:paraId="7B18E37F">
      <w:pPr>
        <w:spacing w:line="240" w:lineRule="atLeast"/>
        <w:jc w:val="both"/>
        <w:rPr>
          <w:rFonts w:hint="eastAsia" w:asciiTheme="minorEastAsia" w:hAnsiTheme="minorEastAsia" w:eastAsiaTheme="minorEastAsia" w:cstheme="minorEastAsia"/>
          <w:b/>
          <w:color w:val="auto"/>
          <w:sz w:val="52"/>
          <w:szCs w:val="52"/>
          <w:highlight w:val="none"/>
          <w:lang w:eastAsia="zh-CN"/>
        </w:rPr>
      </w:pPr>
    </w:p>
    <w:p w14:paraId="0ECC5CBC">
      <w:pPr>
        <w:spacing w:line="240" w:lineRule="atLeast"/>
        <w:ind w:left="1080" w:leftChars="257" w:hanging="540"/>
        <w:jc w:val="center"/>
        <w:rPr>
          <w:rFonts w:hint="eastAsia" w:asciiTheme="minorEastAsia" w:hAnsiTheme="minorEastAsia" w:eastAsiaTheme="minorEastAsia" w:cstheme="minorEastAsia"/>
          <w:b/>
          <w:color w:val="auto"/>
          <w:sz w:val="52"/>
          <w:szCs w:val="52"/>
          <w:highlight w:val="none"/>
          <w:lang w:eastAsia="zh-CN"/>
        </w:rPr>
      </w:pPr>
      <w:r>
        <w:rPr>
          <w:rFonts w:hint="eastAsia" w:asciiTheme="minorEastAsia" w:hAnsiTheme="minorEastAsia" w:eastAsiaTheme="minorEastAsia" w:cstheme="minorEastAsia"/>
          <w:b/>
          <w:color w:val="auto"/>
          <w:sz w:val="52"/>
          <w:szCs w:val="52"/>
          <w:highlight w:val="none"/>
          <w:lang w:eastAsia="zh-CN"/>
        </w:rPr>
        <w:t>政府采购公开招标文件</w:t>
      </w:r>
    </w:p>
    <w:p w14:paraId="7180D9B7">
      <w:pPr>
        <w:spacing w:line="240" w:lineRule="atLeast"/>
        <w:ind w:left="1080" w:leftChars="257" w:hanging="540"/>
        <w:rPr>
          <w:rFonts w:hint="eastAsia" w:asciiTheme="minorEastAsia" w:hAnsiTheme="minorEastAsia" w:eastAsiaTheme="minorEastAsia" w:cstheme="minorEastAsia"/>
          <w:b/>
          <w:color w:val="auto"/>
          <w:sz w:val="28"/>
          <w:highlight w:val="none"/>
          <w:lang w:eastAsia="zh-CN"/>
        </w:rPr>
      </w:pPr>
    </w:p>
    <w:p w14:paraId="16C59829">
      <w:pPr>
        <w:pStyle w:val="17"/>
        <w:rPr>
          <w:rFonts w:hint="eastAsia" w:asciiTheme="minorEastAsia" w:hAnsiTheme="minorEastAsia" w:eastAsiaTheme="minorEastAsia" w:cstheme="minorEastAsia"/>
          <w:color w:val="auto"/>
          <w:highlight w:val="none"/>
          <w:lang w:eastAsia="zh-CN"/>
        </w:rPr>
      </w:pPr>
    </w:p>
    <w:p w14:paraId="57113F4E">
      <w:pPr>
        <w:pStyle w:val="8"/>
        <w:tabs>
          <w:tab w:val="left" w:pos="567"/>
        </w:tabs>
        <w:rPr>
          <w:rFonts w:hint="eastAsia" w:asciiTheme="minorEastAsia" w:hAnsiTheme="minorEastAsia" w:eastAsiaTheme="minorEastAsia" w:cstheme="minorEastAsia"/>
          <w:color w:val="auto"/>
          <w:highlight w:val="none"/>
          <w:lang w:eastAsia="zh-CN"/>
        </w:rPr>
      </w:pPr>
    </w:p>
    <w:p w14:paraId="5DAA2CFB">
      <w:pPr>
        <w:rPr>
          <w:rFonts w:hint="eastAsia" w:asciiTheme="minorEastAsia" w:hAnsiTheme="minorEastAsia" w:eastAsiaTheme="minorEastAsia" w:cstheme="minorEastAsia"/>
          <w:color w:val="auto"/>
          <w:highlight w:val="none"/>
          <w:lang w:eastAsia="zh-CN"/>
        </w:rPr>
      </w:pPr>
    </w:p>
    <w:p w14:paraId="7B0553AA">
      <w:pPr>
        <w:rPr>
          <w:rFonts w:hint="eastAsia" w:asciiTheme="minorEastAsia" w:hAnsiTheme="minorEastAsia" w:eastAsiaTheme="minorEastAsia" w:cstheme="minorEastAsia"/>
          <w:color w:val="auto"/>
          <w:highlight w:val="none"/>
          <w:lang w:eastAsia="zh-CN"/>
        </w:rPr>
      </w:pPr>
    </w:p>
    <w:p w14:paraId="3678D20A">
      <w:pPr>
        <w:spacing w:line="240" w:lineRule="atLeast"/>
        <w:jc w:val="both"/>
        <w:rPr>
          <w:rFonts w:hint="eastAsia" w:asciiTheme="minorEastAsia" w:hAnsiTheme="minorEastAsia" w:eastAsiaTheme="minorEastAsia" w:cstheme="minorEastAsia"/>
          <w:b/>
          <w:color w:val="auto"/>
          <w:sz w:val="48"/>
          <w:szCs w:val="48"/>
          <w:highlight w:val="none"/>
          <w:lang w:eastAsia="zh-CN"/>
        </w:rPr>
      </w:pPr>
    </w:p>
    <w:p w14:paraId="6806F7FE">
      <w:pPr>
        <w:spacing w:line="240" w:lineRule="atLeast"/>
        <w:ind w:left="1080" w:leftChars="257" w:hanging="540"/>
        <w:jc w:val="center"/>
        <w:rPr>
          <w:rFonts w:hint="eastAsia" w:asciiTheme="minorEastAsia" w:hAnsiTheme="minorEastAsia" w:eastAsiaTheme="minorEastAsia" w:cstheme="minorEastAsia"/>
          <w:b/>
          <w:color w:val="auto"/>
          <w:sz w:val="48"/>
          <w:szCs w:val="48"/>
          <w:highlight w:val="none"/>
          <w:lang w:eastAsia="zh-CN"/>
        </w:rPr>
      </w:pPr>
      <w:r>
        <w:rPr>
          <w:rFonts w:hint="eastAsia" w:asciiTheme="minorEastAsia" w:hAnsiTheme="minorEastAsia" w:eastAsiaTheme="minorEastAsia" w:cstheme="minorEastAsia"/>
          <w:b/>
          <w:color w:val="auto"/>
          <w:sz w:val="48"/>
          <w:szCs w:val="48"/>
          <w:highlight w:val="none"/>
          <w:lang w:eastAsia="zh-CN"/>
        </w:rPr>
        <w:t>第二册</w:t>
      </w:r>
    </w:p>
    <w:p w14:paraId="794139FD">
      <w:pPr>
        <w:rPr>
          <w:rFonts w:hint="eastAsia" w:asciiTheme="minorEastAsia" w:hAnsiTheme="minorEastAsia" w:eastAsiaTheme="minorEastAsia" w:cstheme="minorEastAsia"/>
          <w:color w:val="auto"/>
          <w:sz w:val="44"/>
          <w:szCs w:val="44"/>
          <w:highlight w:val="none"/>
          <w:lang w:eastAsia="zh-CN"/>
        </w:rPr>
      </w:pPr>
      <w:r>
        <w:rPr>
          <w:rFonts w:hint="eastAsia" w:asciiTheme="minorEastAsia" w:hAnsiTheme="minorEastAsia" w:eastAsiaTheme="minorEastAsia" w:cstheme="minorEastAsia"/>
          <w:color w:val="auto"/>
          <w:sz w:val="44"/>
          <w:szCs w:val="44"/>
          <w:highlight w:val="none"/>
          <w:lang w:eastAsia="zh-CN"/>
        </w:rPr>
        <w:br w:type="page"/>
      </w:r>
    </w:p>
    <w:p w14:paraId="6272ED43">
      <w:pPr>
        <w:pStyle w:val="2"/>
        <w:tabs>
          <w:tab w:val="left" w:pos="0"/>
        </w:tabs>
        <w:kinsoku/>
        <w:spacing w:before="0" w:after="0" w:line="360" w:lineRule="auto"/>
        <w:rPr>
          <w:rFonts w:hint="eastAsia" w:ascii="仿宋" w:hAnsi="仿宋" w:eastAsia="仿宋" w:cs="仿宋"/>
          <w:color w:val="auto"/>
          <w:sz w:val="44"/>
          <w:szCs w:val="44"/>
          <w:highlight w:val="none"/>
          <w:lang w:eastAsia="zh-CN"/>
        </w:rPr>
      </w:pPr>
      <w:bookmarkStart w:id="828" w:name="_Toc13081"/>
      <w:r>
        <w:rPr>
          <w:rFonts w:hint="eastAsia" w:ascii="仿宋" w:hAnsi="仿宋" w:eastAsia="仿宋" w:cs="仿宋"/>
          <w:color w:val="auto"/>
          <w:sz w:val="44"/>
          <w:szCs w:val="44"/>
          <w:highlight w:val="none"/>
          <w:lang w:eastAsia="zh-CN"/>
        </w:rPr>
        <w:t>第三章  投标邀请</w:t>
      </w:r>
      <w:bookmarkEnd w:id="828"/>
    </w:p>
    <w:p w14:paraId="453A5DB3">
      <w:pPr>
        <w:kinsoku/>
        <w:autoSpaceDE/>
        <w:autoSpaceDN/>
        <w:adjustRightInd/>
        <w:spacing w:line="396" w:lineRule="exact"/>
        <w:jc w:val="center"/>
        <w:rPr>
          <w:rStyle w:val="28"/>
          <w:rFonts w:hint="eastAsia" w:ascii="仿宋" w:hAnsi="仿宋" w:eastAsia="仿宋" w:cs="仿宋"/>
          <w:b/>
          <w:bCs/>
          <w:color w:val="auto"/>
          <w:sz w:val="28"/>
          <w:szCs w:val="28"/>
          <w:highlight w:val="none"/>
          <w:lang w:eastAsia="zh-CN"/>
        </w:rPr>
      </w:pPr>
      <w:r>
        <w:rPr>
          <w:rStyle w:val="28"/>
          <w:rFonts w:hint="eastAsia" w:ascii="仿宋" w:hAnsi="仿宋" w:eastAsia="仿宋" w:cs="仿宋"/>
          <w:b/>
          <w:bCs/>
          <w:color w:val="auto"/>
          <w:sz w:val="28"/>
          <w:szCs w:val="28"/>
          <w:highlight w:val="none"/>
          <w:lang w:eastAsia="zh-CN"/>
        </w:rPr>
        <w:t>【县级】伽师县2026年健康心理服务中心建设项目公开招标公告</w:t>
      </w:r>
    </w:p>
    <w:p w14:paraId="152A8BF1">
      <w:pPr>
        <w:pBdr>
          <w:top w:val="single" w:color="000000" w:sz="4" w:space="1"/>
          <w:left w:val="single" w:color="000000" w:sz="4" w:space="4"/>
          <w:bottom w:val="single" w:color="000000" w:sz="4" w:space="1"/>
          <w:right w:val="single" w:color="000000" w:sz="4" w:space="4"/>
        </w:pBdr>
        <w:kinsoku/>
        <w:autoSpaceDE/>
        <w:autoSpaceDN/>
        <w:adjustRightInd/>
        <w:spacing w:line="396" w:lineRule="exact"/>
        <w:ind w:firstLine="560" w:firstLineChars="200"/>
        <w:rPr>
          <w:rStyle w:val="28"/>
          <w:rFonts w:hint="eastAsia" w:ascii="仿宋" w:hAnsi="仿宋" w:eastAsia="仿宋" w:cs="仿宋"/>
          <w:color w:val="auto"/>
          <w:sz w:val="28"/>
          <w:szCs w:val="28"/>
          <w:highlight w:val="none"/>
          <w:lang w:eastAsia="zh-CN"/>
        </w:rPr>
      </w:pPr>
      <w:r>
        <w:rPr>
          <w:rStyle w:val="28"/>
          <w:rFonts w:hint="eastAsia" w:ascii="仿宋" w:hAnsi="仿宋" w:eastAsia="仿宋" w:cs="仿宋"/>
          <w:color w:val="auto"/>
          <w:sz w:val="28"/>
          <w:szCs w:val="28"/>
          <w:highlight w:val="none"/>
          <w:lang w:eastAsia="zh-CN"/>
        </w:rPr>
        <w:t>项目概况</w:t>
      </w:r>
    </w:p>
    <w:p w14:paraId="2F0CD26C">
      <w:pPr>
        <w:pBdr>
          <w:top w:val="single" w:color="000000" w:sz="4" w:space="1"/>
          <w:left w:val="single" w:color="000000" w:sz="4" w:space="4"/>
          <w:bottom w:val="single" w:color="000000" w:sz="4" w:space="1"/>
          <w:right w:val="single" w:color="000000" w:sz="4" w:space="4"/>
        </w:pBdr>
        <w:kinsoku/>
        <w:autoSpaceDE/>
        <w:autoSpaceDN/>
        <w:adjustRightInd/>
        <w:spacing w:line="396" w:lineRule="exact"/>
        <w:ind w:firstLine="560" w:firstLineChars="200"/>
        <w:rPr>
          <w:rStyle w:val="28"/>
          <w:rFonts w:hint="eastAsia" w:ascii="仿宋" w:hAnsi="仿宋" w:eastAsia="仿宋" w:cs="仿宋"/>
          <w:color w:val="000000" w:themeColor="text1"/>
          <w:sz w:val="24"/>
          <w:highlight w:val="none"/>
          <w:lang w:eastAsia="zh-CN"/>
          <w14:textFill>
            <w14:solidFill>
              <w14:schemeClr w14:val="tx1"/>
            </w14:solidFill>
          </w14:textFill>
        </w:rPr>
      </w:pPr>
      <w:r>
        <w:rPr>
          <w:rStyle w:val="28"/>
          <w:rFonts w:hint="eastAsia" w:ascii="仿宋" w:hAnsi="仿宋" w:eastAsia="仿宋" w:cs="仿宋"/>
          <w:color w:val="auto"/>
          <w:sz w:val="28"/>
          <w:szCs w:val="28"/>
          <w:highlight w:val="none"/>
          <w:u w:val="single"/>
          <w:lang w:eastAsia="zh-CN"/>
        </w:rPr>
        <w:t>伽师县2026年健康心理服务中心建设项目</w:t>
      </w:r>
      <w:r>
        <w:rPr>
          <w:rStyle w:val="28"/>
          <w:rFonts w:hint="eastAsia" w:ascii="仿宋" w:hAnsi="仿宋" w:eastAsia="仿宋" w:cs="仿宋"/>
          <w:color w:val="auto"/>
          <w:sz w:val="28"/>
          <w:szCs w:val="28"/>
          <w:highlight w:val="none"/>
          <w:lang w:eastAsia="zh-CN"/>
        </w:rPr>
        <w:t>的潜在投标人应在</w:t>
      </w:r>
      <w:r>
        <w:rPr>
          <w:rStyle w:val="27"/>
          <w:rFonts w:hint="eastAsia" w:ascii="仿宋" w:hAnsi="仿宋" w:eastAsia="仿宋" w:cs="仿宋"/>
          <w:color w:val="auto"/>
          <w:sz w:val="24"/>
          <w:highlight w:val="none"/>
          <w:u w:color="0000FF"/>
          <w:lang w:eastAsia="zh-CN"/>
        </w:rPr>
        <w:t>http://www.ccgp-xinjiang.gov.cn</w:t>
      </w:r>
      <w:r>
        <w:rPr>
          <w:rStyle w:val="28"/>
          <w:rFonts w:hint="eastAsia" w:ascii="仿宋" w:hAnsi="仿宋" w:eastAsia="仿宋" w:cs="仿宋"/>
          <w:color w:val="auto"/>
          <w:sz w:val="28"/>
          <w:szCs w:val="28"/>
          <w:highlight w:val="none"/>
          <w:lang w:eastAsia="zh-CN"/>
        </w:rPr>
        <w:t>获取招标文件，</w:t>
      </w:r>
      <w:r>
        <w:rPr>
          <w:rFonts w:hint="eastAsia" w:ascii="仿宋" w:hAnsi="仿宋" w:eastAsia="仿宋" w:cs="仿宋"/>
          <w:color w:val="auto"/>
          <w:sz w:val="28"/>
          <w:szCs w:val="28"/>
          <w:highlight w:val="none"/>
          <w:lang w:eastAsia="zh-CN"/>
        </w:rPr>
        <w:t>并于</w:t>
      </w:r>
      <w:r>
        <w:rPr>
          <w:rFonts w:hint="eastAsia" w:ascii="仿宋" w:hAnsi="仿宋" w:eastAsia="仿宋" w:cs="仿宋"/>
          <w:bCs/>
          <w:color w:val="auto"/>
          <w:sz w:val="28"/>
          <w:szCs w:val="28"/>
          <w:highlight w:val="none"/>
          <w:u w:val="single"/>
          <w:lang w:eastAsia="zh-CN"/>
        </w:rPr>
        <w:t>202</w:t>
      </w:r>
      <w:r>
        <w:rPr>
          <w:rFonts w:hint="eastAsia" w:ascii="仿宋" w:hAnsi="仿宋" w:eastAsia="仿宋" w:cs="仿宋"/>
          <w:bCs/>
          <w:color w:val="auto"/>
          <w:sz w:val="28"/>
          <w:szCs w:val="28"/>
          <w:highlight w:val="none"/>
          <w:u w:val="single"/>
          <w:lang w:val="en-US" w:eastAsia="zh-CN"/>
        </w:rPr>
        <w:t>6</w:t>
      </w:r>
      <w:r>
        <w:rPr>
          <w:rFonts w:hint="eastAsia" w:ascii="仿宋" w:hAnsi="仿宋" w:eastAsia="仿宋" w:cs="仿宋"/>
          <w:bCs/>
          <w:color w:val="auto"/>
          <w:sz w:val="28"/>
          <w:szCs w:val="28"/>
          <w:highlight w:val="none"/>
          <w:u w:val="single"/>
          <w:lang w:eastAsia="zh-CN"/>
        </w:rPr>
        <w:t>年</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5</w:t>
      </w:r>
      <w:r>
        <w:rPr>
          <w:rFonts w:hint="eastAsia" w:ascii="仿宋" w:hAnsi="仿宋" w:eastAsia="仿宋" w:cs="仿宋"/>
          <w:bCs/>
          <w:color w:val="000000" w:themeColor="text1"/>
          <w:sz w:val="28"/>
          <w:szCs w:val="28"/>
          <w:highlight w:val="none"/>
          <w:u w:val="single"/>
          <w:lang w:eastAsia="zh-CN"/>
          <w14:textFill>
            <w14:solidFill>
              <w14:schemeClr w14:val="tx1"/>
            </w14:solidFill>
          </w14:textFill>
        </w:rPr>
        <w:t>月</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19</w:t>
      </w:r>
      <w:r>
        <w:rPr>
          <w:rFonts w:hint="eastAsia" w:ascii="仿宋" w:hAnsi="仿宋" w:eastAsia="仿宋" w:cs="仿宋"/>
          <w:bCs/>
          <w:color w:val="000000" w:themeColor="text1"/>
          <w:sz w:val="28"/>
          <w:szCs w:val="28"/>
          <w:highlight w:val="none"/>
          <w:u w:val="single"/>
          <w:lang w:eastAsia="zh-CN"/>
          <w14:textFill>
            <w14:solidFill>
              <w14:schemeClr w14:val="tx1"/>
            </w14:solidFill>
          </w14:textFill>
        </w:rPr>
        <w:t>日 11点00分（</w:t>
      </w:r>
      <w:r>
        <w:rPr>
          <w:rFonts w:hint="eastAsia" w:ascii="仿宋" w:hAnsi="仿宋" w:eastAsia="仿宋" w:cs="仿宋"/>
          <w:bCs/>
          <w:color w:val="000000" w:themeColor="text1"/>
          <w:sz w:val="28"/>
          <w:szCs w:val="28"/>
          <w:highlight w:val="none"/>
          <w:lang w:eastAsia="zh-CN"/>
          <w14:textFill>
            <w14:solidFill>
              <w14:schemeClr w14:val="tx1"/>
            </w14:solidFill>
          </w14:textFill>
        </w:rPr>
        <w:t>北京时间）前递交投标文件</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5E44F853">
      <w:pPr>
        <w:pStyle w:val="30"/>
        <w:numPr>
          <w:ilvl w:val="0"/>
          <w:numId w:val="6"/>
        </w:numPr>
        <w:kinsoku/>
        <w:autoSpaceDE/>
        <w:autoSpaceDN/>
        <w:adjustRightInd/>
        <w:spacing w:before="0" w:line="396" w:lineRule="exact"/>
        <w:jc w:val="both"/>
        <w:rPr>
          <w:rStyle w:val="28"/>
          <w:rFonts w:hint="eastAsia" w:ascii="仿宋" w:hAnsi="仿宋" w:eastAsia="仿宋" w:cs="仿宋"/>
          <w:color w:val="auto"/>
          <w:kern w:val="2"/>
          <w:sz w:val="24"/>
          <w:szCs w:val="21"/>
          <w:highlight w:val="none"/>
        </w:rPr>
      </w:pPr>
      <w:r>
        <w:rPr>
          <w:rStyle w:val="28"/>
          <w:rFonts w:hint="eastAsia" w:ascii="仿宋" w:hAnsi="仿宋" w:eastAsia="仿宋" w:cs="仿宋"/>
          <w:color w:val="auto"/>
          <w:kern w:val="2"/>
          <w:sz w:val="24"/>
          <w:szCs w:val="21"/>
          <w:highlight w:val="none"/>
        </w:rPr>
        <w:t>项目基本情况</w:t>
      </w:r>
    </w:p>
    <w:p w14:paraId="76F74C8E">
      <w:pPr>
        <w:numPr>
          <w:ilvl w:val="0"/>
          <w:numId w:val="7"/>
        </w:numPr>
        <w:kinsoku/>
        <w:autoSpaceDE/>
        <w:autoSpaceDN/>
        <w:adjustRightInd/>
        <w:spacing w:line="396" w:lineRule="exact"/>
        <w:rPr>
          <w:rFonts w:hint="eastAsia" w:ascii="仿宋" w:hAnsi="仿宋" w:eastAsia="仿宋" w:cs="仿宋"/>
          <w:color w:val="auto"/>
          <w:kern w:val="2"/>
          <w:sz w:val="24"/>
          <w:highlight w:val="none"/>
          <w:lang w:eastAsia="zh-CN"/>
        </w:rPr>
      </w:pPr>
      <w:r>
        <w:rPr>
          <w:rStyle w:val="28"/>
          <w:rFonts w:hint="eastAsia" w:ascii="仿宋" w:hAnsi="仿宋" w:eastAsia="仿宋" w:cs="仿宋"/>
          <w:color w:val="auto"/>
          <w:sz w:val="24"/>
          <w:highlight w:val="none"/>
          <w:lang w:eastAsia="zh-CN"/>
        </w:rPr>
        <w:t>项目编号：KSJSX(GK)202</w:t>
      </w:r>
      <w:r>
        <w:rPr>
          <w:rStyle w:val="28"/>
          <w:rFonts w:hint="eastAsia" w:ascii="仿宋" w:hAnsi="仿宋" w:eastAsia="仿宋" w:cs="仿宋"/>
          <w:color w:val="auto"/>
          <w:sz w:val="24"/>
          <w:highlight w:val="none"/>
          <w:lang w:val="en-US" w:eastAsia="zh-CN"/>
        </w:rPr>
        <w:t>6</w:t>
      </w:r>
      <w:r>
        <w:rPr>
          <w:rStyle w:val="28"/>
          <w:rFonts w:hint="eastAsia" w:ascii="仿宋" w:hAnsi="仿宋" w:eastAsia="仿宋" w:cs="仿宋"/>
          <w:color w:val="auto"/>
          <w:sz w:val="24"/>
          <w:highlight w:val="none"/>
          <w:lang w:eastAsia="zh-CN"/>
        </w:rPr>
        <w:t>-</w:t>
      </w:r>
      <w:r>
        <w:rPr>
          <w:rStyle w:val="28"/>
          <w:rFonts w:hint="eastAsia" w:ascii="仿宋" w:hAnsi="仿宋" w:eastAsia="仿宋" w:cs="仿宋"/>
          <w:color w:val="auto"/>
          <w:sz w:val="24"/>
          <w:highlight w:val="none"/>
          <w:lang w:val="en-US" w:eastAsia="zh-CN"/>
        </w:rPr>
        <w:t>10</w:t>
      </w:r>
    </w:p>
    <w:p w14:paraId="645B4BC0">
      <w:pPr>
        <w:numPr>
          <w:ilvl w:val="0"/>
          <w:numId w:val="7"/>
        </w:numPr>
        <w:kinsoku/>
        <w:autoSpaceDE/>
        <w:autoSpaceDN/>
        <w:adjustRightInd/>
        <w:spacing w:line="396" w:lineRule="exact"/>
        <w:rPr>
          <w:rFonts w:hint="eastAsia" w:ascii="仿宋" w:hAnsi="仿宋" w:eastAsia="仿宋" w:cs="仿宋"/>
          <w:color w:val="auto"/>
          <w:kern w:val="2"/>
          <w:sz w:val="24"/>
          <w:highlight w:val="none"/>
          <w:lang w:eastAsia="zh-CN"/>
        </w:rPr>
      </w:pPr>
      <w:r>
        <w:rPr>
          <w:rStyle w:val="28"/>
          <w:rFonts w:hint="eastAsia" w:ascii="仿宋" w:hAnsi="仿宋" w:eastAsia="仿宋" w:cs="仿宋"/>
          <w:color w:val="auto"/>
          <w:sz w:val="24"/>
          <w:highlight w:val="none"/>
          <w:lang w:eastAsia="zh-CN"/>
        </w:rPr>
        <w:t>项目名称：</w:t>
      </w:r>
      <w:r>
        <w:rPr>
          <w:rStyle w:val="28"/>
          <w:rFonts w:hint="eastAsia" w:ascii="仿宋" w:hAnsi="仿宋" w:eastAsia="仿宋" w:cs="仿宋"/>
          <w:color w:val="auto"/>
          <w:sz w:val="28"/>
          <w:szCs w:val="28"/>
          <w:highlight w:val="none"/>
          <w:lang w:eastAsia="zh-CN"/>
        </w:rPr>
        <w:t>伽师县202</w:t>
      </w:r>
      <w:r>
        <w:rPr>
          <w:rStyle w:val="28"/>
          <w:rFonts w:hint="eastAsia" w:ascii="仿宋" w:hAnsi="仿宋" w:eastAsia="仿宋" w:cs="仿宋"/>
          <w:color w:val="auto"/>
          <w:sz w:val="28"/>
          <w:szCs w:val="28"/>
          <w:highlight w:val="none"/>
          <w:lang w:val="en-US" w:eastAsia="zh-CN"/>
        </w:rPr>
        <w:t>6</w:t>
      </w:r>
      <w:r>
        <w:rPr>
          <w:rStyle w:val="28"/>
          <w:rFonts w:hint="eastAsia" w:ascii="仿宋" w:hAnsi="仿宋" w:eastAsia="仿宋" w:cs="仿宋"/>
          <w:color w:val="auto"/>
          <w:sz w:val="28"/>
          <w:szCs w:val="28"/>
          <w:highlight w:val="none"/>
          <w:lang w:eastAsia="zh-CN"/>
        </w:rPr>
        <w:t>年健康心理服务中心建设项目</w:t>
      </w:r>
    </w:p>
    <w:p w14:paraId="5C058DD6">
      <w:pPr>
        <w:numPr>
          <w:ilvl w:val="0"/>
          <w:numId w:val="7"/>
        </w:numPr>
        <w:kinsoku/>
        <w:autoSpaceDE/>
        <w:autoSpaceDN/>
        <w:adjustRightInd/>
        <w:spacing w:line="396" w:lineRule="exact"/>
        <w:rPr>
          <w:rStyle w:val="28"/>
          <w:rFonts w:hint="eastAsia" w:ascii="仿宋" w:hAnsi="仿宋" w:eastAsia="仿宋" w:cs="仿宋"/>
          <w:color w:val="auto"/>
          <w:sz w:val="28"/>
          <w:szCs w:val="28"/>
          <w:highlight w:val="none"/>
          <w:lang w:eastAsia="zh-CN"/>
        </w:rPr>
      </w:pPr>
      <w:r>
        <w:rPr>
          <w:rStyle w:val="28"/>
          <w:rFonts w:hint="eastAsia" w:ascii="仿宋" w:hAnsi="仿宋" w:eastAsia="仿宋" w:cs="仿宋"/>
          <w:color w:val="auto"/>
          <w:sz w:val="28"/>
          <w:szCs w:val="28"/>
          <w:highlight w:val="none"/>
          <w:lang w:eastAsia="zh-CN"/>
        </w:rPr>
        <w:t>预算金额：</w:t>
      </w:r>
      <w:bookmarkStart w:id="829" w:name="OLE_LINK2"/>
      <w:r>
        <w:rPr>
          <w:rStyle w:val="28"/>
          <w:rFonts w:hint="eastAsia" w:ascii="仿宋" w:hAnsi="仿宋" w:eastAsia="仿宋" w:cs="仿宋"/>
          <w:color w:val="auto"/>
          <w:sz w:val="28"/>
          <w:szCs w:val="28"/>
          <w:highlight w:val="none"/>
          <w:lang w:val="en-US" w:eastAsia="zh-CN"/>
        </w:rPr>
        <w:t>2228527.2</w:t>
      </w:r>
      <w:r>
        <w:rPr>
          <w:rStyle w:val="28"/>
          <w:rFonts w:hint="eastAsia" w:ascii="仿宋" w:hAnsi="仿宋" w:eastAsia="仿宋" w:cs="仿宋"/>
          <w:color w:val="auto"/>
          <w:sz w:val="28"/>
          <w:szCs w:val="28"/>
          <w:highlight w:val="none"/>
          <w:lang w:eastAsia="zh-CN"/>
        </w:rPr>
        <w:t>元；最高限价：</w:t>
      </w:r>
      <w:r>
        <w:rPr>
          <w:rStyle w:val="28"/>
          <w:rFonts w:hint="eastAsia" w:ascii="仿宋" w:hAnsi="仿宋" w:eastAsia="仿宋" w:cs="仿宋"/>
          <w:color w:val="auto"/>
          <w:sz w:val="28"/>
          <w:szCs w:val="28"/>
          <w:highlight w:val="none"/>
          <w:lang w:val="en-US" w:eastAsia="zh-CN"/>
        </w:rPr>
        <w:t>2228527.2</w:t>
      </w:r>
      <w:r>
        <w:rPr>
          <w:rStyle w:val="28"/>
          <w:rFonts w:hint="eastAsia" w:ascii="仿宋" w:hAnsi="仿宋" w:eastAsia="仿宋" w:cs="仿宋"/>
          <w:color w:val="auto"/>
          <w:sz w:val="28"/>
          <w:szCs w:val="28"/>
          <w:highlight w:val="none"/>
          <w:lang w:eastAsia="zh-CN"/>
        </w:rPr>
        <w:t>元。</w:t>
      </w:r>
      <w:bookmarkEnd w:id="829"/>
    </w:p>
    <w:p w14:paraId="1E32AB8E">
      <w:pPr>
        <w:kinsoku/>
        <w:autoSpaceDE/>
        <w:autoSpaceDN/>
        <w:adjustRightInd/>
        <w:spacing w:line="396" w:lineRule="exact"/>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4.资金来源：</w:t>
      </w:r>
      <w:r>
        <w:rPr>
          <w:rStyle w:val="28"/>
          <w:rFonts w:hint="eastAsia" w:ascii="仿宋" w:hAnsi="仿宋" w:eastAsia="仿宋" w:cs="仿宋"/>
          <w:color w:val="auto"/>
          <w:sz w:val="24"/>
          <w:highlight w:val="none"/>
          <w:lang w:val="en-US" w:eastAsia="zh-CN"/>
        </w:rPr>
        <w:t>专项</w:t>
      </w:r>
      <w:r>
        <w:rPr>
          <w:rStyle w:val="28"/>
          <w:rFonts w:hint="eastAsia" w:ascii="仿宋" w:hAnsi="仿宋" w:eastAsia="仿宋" w:cs="仿宋"/>
          <w:color w:val="auto"/>
          <w:sz w:val="24"/>
          <w:highlight w:val="none"/>
          <w:lang w:eastAsia="zh-CN"/>
        </w:rPr>
        <w:t>资金</w:t>
      </w:r>
    </w:p>
    <w:p w14:paraId="26182F1E">
      <w:pPr>
        <w:kinsoku/>
        <w:autoSpaceDE/>
        <w:autoSpaceDN/>
        <w:adjustRightInd/>
        <w:spacing w:line="396" w:lineRule="exact"/>
        <w:rPr>
          <w:rFonts w:hint="eastAsia" w:ascii="仿宋" w:hAnsi="仿宋" w:eastAsia="仿宋" w:cs="仿宋"/>
          <w:b/>
          <w:bCs/>
          <w:color w:val="FF0000"/>
          <w:sz w:val="23"/>
          <w:szCs w:val="23"/>
          <w:highlight w:val="none"/>
          <w:lang w:eastAsia="zh-CN"/>
        </w:rPr>
      </w:pPr>
      <w:r>
        <w:rPr>
          <w:rStyle w:val="28"/>
          <w:rFonts w:hint="eastAsia" w:ascii="仿宋" w:hAnsi="仿宋" w:eastAsia="仿宋" w:cs="仿宋"/>
          <w:color w:val="auto"/>
          <w:sz w:val="24"/>
          <w:highlight w:val="none"/>
          <w:lang w:eastAsia="zh-CN"/>
        </w:rPr>
        <w:t>5.采购需求：</w:t>
      </w:r>
      <w:r>
        <w:rPr>
          <w:rStyle w:val="28"/>
          <w:rFonts w:hint="eastAsia" w:ascii="仿宋" w:hAnsi="仿宋" w:eastAsia="仿宋" w:cs="仿宋"/>
          <w:b/>
          <w:bCs/>
          <w:color w:val="auto"/>
          <w:sz w:val="24"/>
          <w:highlight w:val="none"/>
          <w:lang w:eastAsia="zh-CN"/>
        </w:rPr>
        <w:t>（详细设备、数量、具体参数及</w:t>
      </w:r>
      <w:r>
        <w:rPr>
          <w:rStyle w:val="28"/>
          <w:rFonts w:hint="eastAsia" w:ascii="仿宋" w:hAnsi="仿宋" w:eastAsia="仿宋" w:cs="仿宋"/>
          <w:b/>
          <w:bCs/>
          <w:color w:val="auto"/>
          <w:sz w:val="24"/>
          <w:highlight w:val="none"/>
          <w:lang w:val="en-US" w:eastAsia="zh-CN"/>
        </w:rPr>
        <w:t>图纸</w:t>
      </w:r>
      <w:r>
        <w:rPr>
          <w:rStyle w:val="28"/>
          <w:rFonts w:hint="eastAsia" w:ascii="仿宋" w:hAnsi="仿宋" w:eastAsia="仿宋" w:cs="仿宋"/>
          <w:b/>
          <w:bCs/>
          <w:color w:val="auto"/>
          <w:sz w:val="24"/>
          <w:highlight w:val="none"/>
          <w:lang w:eastAsia="zh-CN"/>
        </w:rPr>
        <w:t>要求见招标文件）；</w:t>
      </w:r>
    </w:p>
    <w:p w14:paraId="033920EF">
      <w:pPr>
        <w:kinsoku/>
        <w:autoSpaceDE/>
        <w:autoSpaceDN/>
        <w:adjustRightInd/>
        <w:spacing w:line="396" w:lineRule="exact"/>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6.合同履行期限：根据采购人需求，以签订合同为准。</w:t>
      </w:r>
    </w:p>
    <w:p w14:paraId="6B11FB39">
      <w:pPr>
        <w:kinsoku/>
        <w:autoSpaceDE/>
        <w:autoSpaceDN/>
        <w:adjustRightInd/>
        <w:spacing w:line="396" w:lineRule="exact"/>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本项目不接受联合体投标。</w:t>
      </w:r>
    </w:p>
    <w:p w14:paraId="609549DC">
      <w:pPr>
        <w:kinsoku/>
        <w:autoSpaceDE/>
        <w:autoSpaceDN/>
        <w:adjustRightInd/>
        <w:spacing w:line="396" w:lineRule="exact"/>
        <w:rPr>
          <w:rStyle w:val="28"/>
          <w:rFonts w:hint="eastAsia" w:ascii="仿宋" w:hAnsi="仿宋" w:eastAsia="仿宋" w:cs="仿宋"/>
          <w:b/>
          <w:bCs/>
          <w:color w:val="auto"/>
          <w:sz w:val="24"/>
          <w:highlight w:val="none"/>
          <w:lang w:eastAsia="zh-CN"/>
        </w:rPr>
      </w:pPr>
      <w:r>
        <w:rPr>
          <w:rStyle w:val="28"/>
          <w:rFonts w:hint="eastAsia" w:ascii="仿宋" w:hAnsi="仿宋" w:eastAsia="仿宋" w:cs="仿宋"/>
          <w:b/>
          <w:bCs/>
          <w:color w:val="auto"/>
          <w:sz w:val="24"/>
          <w:highlight w:val="none"/>
          <w:lang w:eastAsia="zh-CN"/>
        </w:rPr>
        <w:t>二、申请人的资格要求：</w:t>
      </w:r>
    </w:p>
    <w:p w14:paraId="2346E441">
      <w:pPr>
        <w:pStyle w:val="53"/>
        <w:kinsoku/>
        <w:autoSpaceDE/>
        <w:autoSpaceDN/>
        <w:adjustRightInd/>
        <w:snapToGrid/>
        <w:spacing w:line="360" w:lineRule="exact"/>
        <w:textAlignment w:val="auto"/>
        <w:rPr>
          <w:rFonts w:hint="eastAsia" w:ascii="仿宋" w:hAnsi="仿宋" w:eastAsia="仿宋" w:cs="仿宋"/>
          <w:snapToGrid/>
          <w:color w:val="000000"/>
          <w:szCs w:val="24"/>
          <w:highlight w:val="none"/>
          <w:lang w:eastAsia="zh-CN"/>
        </w:rPr>
      </w:pPr>
      <w:r>
        <w:rPr>
          <w:rFonts w:hint="eastAsia" w:ascii="仿宋" w:hAnsi="仿宋" w:eastAsia="仿宋" w:cs="仿宋"/>
          <w:snapToGrid/>
          <w:color w:val="000000"/>
          <w:szCs w:val="24"/>
          <w:highlight w:val="none"/>
          <w:lang w:eastAsia="zh-CN"/>
        </w:rPr>
        <w:t>1.满足《中华人民共和国政府采购法》第二十二条要求：</w:t>
      </w:r>
    </w:p>
    <w:p w14:paraId="27EBB921">
      <w:pPr>
        <w:pStyle w:val="53"/>
        <w:kinsoku/>
        <w:autoSpaceDE/>
        <w:autoSpaceDN/>
        <w:adjustRightInd/>
        <w:snapToGrid/>
        <w:spacing w:line="360" w:lineRule="exact"/>
        <w:textAlignment w:val="auto"/>
        <w:rPr>
          <w:rFonts w:hint="eastAsia" w:ascii="仿宋" w:hAnsi="仿宋" w:eastAsia="仿宋" w:cs="仿宋"/>
          <w:snapToGrid/>
          <w:color w:val="000000"/>
          <w:szCs w:val="24"/>
          <w:highlight w:val="none"/>
          <w:lang w:eastAsia="zh-CN"/>
        </w:rPr>
      </w:pPr>
      <w:r>
        <w:rPr>
          <w:rFonts w:hint="eastAsia" w:ascii="仿宋" w:hAnsi="仿宋" w:eastAsia="仿宋" w:cs="仿宋"/>
          <w:snapToGrid/>
          <w:color w:val="000000"/>
          <w:szCs w:val="24"/>
          <w:highlight w:val="none"/>
          <w:lang w:eastAsia="zh-CN"/>
        </w:rPr>
        <w:t>（1）具有独立承担民事责任的能力；</w:t>
      </w:r>
    </w:p>
    <w:p w14:paraId="10848462">
      <w:pPr>
        <w:pStyle w:val="53"/>
        <w:kinsoku/>
        <w:autoSpaceDE/>
        <w:autoSpaceDN/>
        <w:adjustRightInd/>
        <w:snapToGrid/>
        <w:spacing w:line="360" w:lineRule="exact"/>
        <w:textAlignment w:val="auto"/>
        <w:rPr>
          <w:rFonts w:hint="eastAsia" w:ascii="仿宋" w:hAnsi="仿宋" w:eastAsia="仿宋" w:cs="仿宋"/>
          <w:snapToGrid/>
          <w:color w:val="000000"/>
          <w:szCs w:val="24"/>
          <w:highlight w:val="none"/>
          <w:lang w:eastAsia="zh-CN"/>
        </w:rPr>
      </w:pPr>
      <w:r>
        <w:rPr>
          <w:rFonts w:hint="eastAsia" w:ascii="仿宋" w:hAnsi="仿宋" w:eastAsia="仿宋" w:cs="仿宋"/>
          <w:snapToGrid/>
          <w:color w:val="000000"/>
          <w:szCs w:val="24"/>
          <w:highlight w:val="none"/>
          <w:lang w:eastAsia="zh-CN"/>
        </w:rPr>
        <w:t>（2）具有健全的财务会计制度；</w:t>
      </w:r>
    </w:p>
    <w:p w14:paraId="6ACD5AAC">
      <w:pPr>
        <w:pStyle w:val="53"/>
        <w:kinsoku/>
        <w:autoSpaceDE/>
        <w:autoSpaceDN/>
        <w:adjustRightInd/>
        <w:snapToGrid/>
        <w:spacing w:line="360" w:lineRule="exact"/>
        <w:textAlignment w:val="auto"/>
        <w:rPr>
          <w:rFonts w:hint="eastAsia" w:ascii="仿宋" w:hAnsi="仿宋" w:eastAsia="仿宋" w:cs="仿宋"/>
          <w:snapToGrid/>
          <w:color w:val="000000"/>
          <w:szCs w:val="24"/>
          <w:highlight w:val="none"/>
          <w:lang w:eastAsia="zh-CN"/>
        </w:rPr>
      </w:pPr>
      <w:r>
        <w:rPr>
          <w:rFonts w:hint="eastAsia" w:ascii="仿宋" w:hAnsi="仿宋" w:eastAsia="仿宋" w:cs="仿宋"/>
          <w:snapToGrid/>
          <w:color w:val="000000"/>
          <w:szCs w:val="24"/>
          <w:highlight w:val="none"/>
          <w:lang w:eastAsia="zh-CN"/>
        </w:rPr>
        <w:t>（3）具有履行合同所必需的设备和专业技术能力；</w:t>
      </w:r>
    </w:p>
    <w:p w14:paraId="0B754352">
      <w:pPr>
        <w:pStyle w:val="53"/>
        <w:kinsoku/>
        <w:autoSpaceDE/>
        <w:autoSpaceDN/>
        <w:adjustRightInd/>
        <w:snapToGrid/>
        <w:spacing w:line="360" w:lineRule="exact"/>
        <w:textAlignment w:val="auto"/>
        <w:rPr>
          <w:rFonts w:hint="eastAsia" w:ascii="仿宋" w:hAnsi="仿宋" w:eastAsia="仿宋" w:cs="仿宋"/>
          <w:snapToGrid/>
          <w:color w:val="000000"/>
          <w:szCs w:val="24"/>
          <w:highlight w:val="none"/>
          <w:lang w:eastAsia="zh-CN"/>
        </w:rPr>
      </w:pPr>
      <w:r>
        <w:rPr>
          <w:rFonts w:hint="eastAsia" w:ascii="仿宋" w:hAnsi="仿宋" w:eastAsia="仿宋" w:cs="仿宋"/>
          <w:snapToGrid/>
          <w:color w:val="000000"/>
          <w:szCs w:val="24"/>
          <w:highlight w:val="none"/>
          <w:lang w:eastAsia="zh-CN"/>
        </w:rPr>
        <w:t>（4）有依法缴纳税收和社会保障资金的良好记录；</w:t>
      </w:r>
    </w:p>
    <w:p w14:paraId="10271C04">
      <w:pPr>
        <w:pStyle w:val="53"/>
        <w:kinsoku/>
        <w:autoSpaceDE/>
        <w:autoSpaceDN/>
        <w:adjustRightInd/>
        <w:snapToGrid/>
        <w:spacing w:line="360" w:lineRule="exact"/>
        <w:textAlignment w:val="auto"/>
        <w:rPr>
          <w:rFonts w:hint="eastAsia" w:ascii="仿宋" w:hAnsi="仿宋" w:eastAsia="仿宋" w:cs="仿宋"/>
          <w:snapToGrid/>
          <w:color w:val="000000"/>
          <w:szCs w:val="24"/>
          <w:highlight w:val="none"/>
          <w:lang w:eastAsia="zh-CN"/>
        </w:rPr>
      </w:pPr>
      <w:r>
        <w:rPr>
          <w:rFonts w:hint="eastAsia" w:ascii="仿宋" w:hAnsi="仿宋" w:eastAsia="仿宋" w:cs="仿宋"/>
          <w:snapToGrid/>
          <w:color w:val="000000"/>
          <w:szCs w:val="24"/>
          <w:highlight w:val="none"/>
          <w:lang w:eastAsia="zh-CN"/>
        </w:rPr>
        <w:t>（5）参加政府采购活动前三年内，在经营活动中没有重大违法记录；</w:t>
      </w:r>
    </w:p>
    <w:p w14:paraId="232BDA13">
      <w:pPr>
        <w:pStyle w:val="53"/>
        <w:kinsoku/>
        <w:autoSpaceDE/>
        <w:autoSpaceDN/>
        <w:adjustRightInd/>
        <w:snapToGrid/>
        <w:spacing w:line="360" w:lineRule="exact"/>
        <w:textAlignment w:val="auto"/>
        <w:rPr>
          <w:rFonts w:hint="eastAsia" w:ascii="仿宋" w:hAnsi="仿宋" w:eastAsia="仿宋" w:cs="仿宋"/>
          <w:snapToGrid/>
          <w:color w:val="000000"/>
          <w:szCs w:val="24"/>
          <w:highlight w:val="none"/>
          <w:lang w:eastAsia="zh-CN"/>
        </w:rPr>
      </w:pPr>
      <w:r>
        <w:rPr>
          <w:rFonts w:hint="eastAsia" w:ascii="仿宋" w:hAnsi="仿宋" w:eastAsia="仿宋" w:cs="仿宋"/>
          <w:snapToGrid/>
          <w:color w:val="000000"/>
          <w:szCs w:val="24"/>
          <w:highlight w:val="none"/>
          <w:lang w:eastAsia="zh-CN"/>
        </w:rPr>
        <w:t>（6）法律、行政法规规定的其他条件。</w:t>
      </w:r>
    </w:p>
    <w:p w14:paraId="44391CC7">
      <w:pPr>
        <w:widowControl w:val="0"/>
        <w:kinsoku/>
        <w:autoSpaceDE/>
        <w:autoSpaceDN/>
        <w:adjustRightInd/>
        <w:spacing w:line="396"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14:paraId="03DCE916">
      <w:pPr>
        <w:kinsoku/>
        <w:autoSpaceDE/>
        <w:autoSpaceDN/>
        <w:adjustRightInd/>
        <w:spacing w:line="396" w:lineRule="exact"/>
        <w:rPr>
          <w:rStyle w:val="28"/>
          <w:rFonts w:hint="eastAsia" w:ascii="仿宋" w:hAnsi="仿宋" w:eastAsia="仿宋" w:cs="仿宋"/>
          <w:b/>
          <w:bCs/>
          <w:color w:val="000000" w:themeColor="text1"/>
          <w:sz w:val="24"/>
          <w:highlight w:val="none"/>
          <w:lang w:eastAsia="zh-CN"/>
          <w14:textFill>
            <w14:solidFill>
              <w14:schemeClr w14:val="tx1"/>
            </w14:solidFill>
          </w14:textFill>
        </w:rPr>
      </w:pPr>
      <w:r>
        <w:rPr>
          <w:rStyle w:val="28"/>
          <w:rFonts w:hint="eastAsia" w:ascii="仿宋" w:hAnsi="仿宋" w:eastAsia="仿宋" w:cs="仿宋"/>
          <w:b/>
          <w:bCs/>
          <w:color w:val="auto"/>
          <w:sz w:val="24"/>
          <w:highlight w:val="none"/>
          <w:lang w:eastAsia="zh-CN"/>
        </w:rPr>
        <w:t>三、</w:t>
      </w:r>
      <w:r>
        <w:rPr>
          <w:rStyle w:val="28"/>
          <w:rFonts w:hint="eastAsia" w:ascii="仿宋" w:hAnsi="仿宋" w:eastAsia="仿宋" w:cs="仿宋"/>
          <w:b/>
          <w:bCs/>
          <w:color w:val="000000" w:themeColor="text1"/>
          <w:sz w:val="24"/>
          <w:highlight w:val="none"/>
          <w:lang w:eastAsia="zh-CN"/>
          <w14:textFill>
            <w14:solidFill>
              <w14:schemeClr w14:val="tx1"/>
            </w14:solidFill>
          </w14:textFill>
        </w:rPr>
        <w:t>获取招标文件</w:t>
      </w:r>
    </w:p>
    <w:p w14:paraId="3B2FF66D">
      <w:pPr>
        <w:kinsoku/>
        <w:autoSpaceDE/>
        <w:autoSpaceDN/>
        <w:adjustRightInd/>
        <w:spacing w:line="396" w:lineRule="exac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获取时间</w:t>
      </w:r>
      <w:r>
        <w:rPr>
          <w:rFonts w:hint="eastAsia" w:ascii="仿宋" w:hAnsi="仿宋" w:eastAsia="仿宋" w:cs="仿宋"/>
          <w:color w:val="000000" w:themeColor="text1"/>
          <w:sz w:val="24"/>
          <w:highlight w:val="yellow"/>
          <w:lang w:eastAsia="zh-CN"/>
          <w14:textFill>
            <w14:solidFill>
              <w14:schemeClr w14:val="tx1"/>
            </w14:solidFill>
          </w14:textFill>
        </w:rPr>
        <w:t>：202</w:t>
      </w:r>
      <w:r>
        <w:rPr>
          <w:rFonts w:hint="eastAsia" w:ascii="仿宋" w:hAnsi="仿宋" w:eastAsia="仿宋" w:cs="仿宋"/>
          <w:color w:val="000000" w:themeColor="text1"/>
          <w:sz w:val="24"/>
          <w:highlight w:val="yellow"/>
          <w:lang w:val="en-US" w:eastAsia="zh-CN"/>
          <w14:textFill>
            <w14:solidFill>
              <w14:schemeClr w14:val="tx1"/>
            </w14:solidFill>
          </w14:textFill>
        </w:rPr>
        <w:t>6</w:t>
      </w:r>
      <w:r>
        <w:rPr>
          <w:rFonts w:hint="eastAsia" w:ascii="仿宋" w:hAnsi="仿宋" w:eastAsia="仿宋" w:cs="仿宋"/>
          <w:color w:val="000000" w:themeColor="text1"/>
          <w:sz w:val="24"/>
          <w:highlight w:val="yellow"/>
          <w:lang w:eastAsia="zh-CN"/>
          <w14:textFill>
            <w14:solidFill>
              <w14:schemeClr w14:val="tx1"/>
            </w14:solidFill>
          </w14:textFill>
        </w:rPr>
        <w:t>年</w:t>
      </w:r>
      <w:r>
        <w:rPr>
          <w:rFonts w:hint="eastAsia" w:ascii="仿宋" w:hAnsi="仿宋" w:eastAsia="仿宋" w:cs="仿宋"/>
          <w:color w:val="000000" w:themeColor="text1"/>
          <w:sz w:val="24"/>
          <w:highlight w:val="yellow"/>
          <w:lang w:val="en-US" w:eastAsia="zh-CN"/>
          <w14:textFill>
            <w14:solidFill>
              <w14:schemeClr w14:val="tx1"/>
            </w14:solidFill>
          </w14:textFill>
        </w:rPr>
        <w:t>4</w:t>
      </w:r>
      <w:r>
        <w:rPr>
          <w:rFonts w:hint="eastAsia" w:ascii="仿宋" w:hAnsi="仿宋" w:eastAsia="仿宋" w:cs="仿宋"/>
          <w:color w:val="000000" w:themeColor="text1"/>
          <w:sz w:val="24"/>
          <w:highlight w:val="yellow"/>
          <w:lang w:eastAsia="zh-CN"/>
          <w14:textFill>
            <w14:solidFill>
              <w14:schemeClr w14:val="tx1"/>
            </w14:solidFill>
          </w14:textFill>
        </w:rPr>
        <w:t>月</w:t>
      </w:r>
      <w:r>
        <w:rPr>
          <w:rFonts w:hint="eastAsia" w:ascii="仿宋" w:hAnsi="仿宋" w:eastAsia="仿宋" w:cs="仿宋"/>
          <w:color w:val="000000" w:themeColor="text1"/>
          <w:sz w:val="24"/>
          <w:highlight w:val="yellow"/>
          <w:lang w:val="en-US" w:eastAsia="zh-CN"/>
          <w14:textFill>
            <w14:solidFill>
              <w14:schemeClr w14:val="tx1"/>
            </w14:solidFill>
          </w14:textFill>
        </w:rPr>
        <w:t>27</w:t>
      </w:r>
      <w:r>
        <w:rPr>
          <w:rFonts w:hint="eastAsia" w:ascii="仿宋" w:hAnsi="仿宋" w:eastAsia="仿宋" w:cs="仿宋"/>
          <w:color w:val="000000" w:themeColor="text1"/>
          <w:sz w:val="24"/>
          <w:highlight w:val="yellow"/>
          <w:lang w:eastAsia="zh-CN"/>
          <w14:textFill>
            <w14:solidFill>
              <w14:schemeClr w14:val="tx1"/>
            </w14:solidFill>
          </w14:textFill>
        </w:rPr>
        <w:t>日至202</w:t>
      </w:r>
      <w:r>
        <w:rPr>
          <w:rFonts w:hint="eastAsia" w:ascii="仿宋" w:hAnsi="仿宋" w:eastAsia="仿宋" w:cs="仿宋"/>
          <w:color w:val="000000" w:themeColor="text1"/>
          <w:sz w:val="24"/>
          <w:highlight w:val="yellow"/>
          <w:lang w:val="en-US" w:eastAsia="zh-CN"/>
          <w14:textFill>
            <w14:solidFill>
              <w14:schemeClr w14:val="tx1"/>
            </w14:solidFill>
          </w14:textFill>
        </w:rPr>
        <w:t>6</w:t>
      </w:r>
      <w:r>
        <w:rPr>
          <w:rFonts w:hint="eastAsia" w:ascii="仿宋" w:hAnsi="仿宋" w:eastAsia="仿宋" w:cs="仿宋"/>
          <w:color w:val="000000" w:themeColor="text1"/>
          <w:sz w:val="24"/>
          <w:highlight w:val="yellow"/>
          <w:lang w:eastAsia="zh-CN"/>
          <w14:textFill>
            <w14:solidFill>
              <w14:schemeClr w14:val="tx1"/>
            </w14:solidFill>
          </w14:textFill>
        </w:rPr>
        <w:t>年</w:t>
      </w:r>
      <w:r>
        <w:rPr>
          <w:rFonts w:hint="eastAsia" w:ascii="仿宋" w:hAnsi="仿宋" w:eastAsia="仿宋" w:cs="仿宋"/>
          <w:color w:val="000000" w:themeColor="text1"/>
          <w:sz w:val="24"/>
          <w:highlight w:val="yellow"/>
          <w:lang w:val="en-US" w:eastAsia="zh-CN"/>
          <w14:textFill>
            <w14:solidFill>
              <w14:schemeClr w14:val="tx1"/>
            </w14:solidFill>
          </w14:textFill>
        </w:rPr>
        <w:t>5</w:t>
      </w:r>
      <w:r>
        <w:rPr>
          <w:rFonts w:hint="eastAsia" w:ascii="仿宋" w:hAnsi="仿宋" w:eastAsia="仿宋" w:cs="仿宋"/>
          <w:color w:val="000000" w:themeColor="text1"/>
          <w:sz w:val="24"/>
          <w:highlight w:val="yellow"/>
          <w:lang w:eastAsia="zh-CN"/>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07</w:t>
      </w:r>
      <w:r>
        <w:rPr>
          <w:rFonts w:hint="eastAsia" w:ascii="仿宋" w:hAnsi="仿宋" w:eastAsia="仿宋" w:cs="仿宋"/>
          <w:color w:val="000000" w:themeColor="text1"/>
          <w:sz w:val="24"/>
          <w:highlight w:val="none"/>
          <w:lang w:eastAsia="zh-CN"/>
          <w14:textFill>
            <w14:solidFill>
              <w14:schemeClr w14:val="tx1"/>
            </w14:solidFill>
          </w14:textFill>
        </w:rPr>
        <w:t>日，每天上午 00:00 至 14:00，下午 14:00 至23:59（北京时间，法定节假日除外）。</w:t>
      </w:r>
    </w:p>
    <w:p w14:paraId="1E550F76">
      <w:pPr>
        <w:kinsoku/>
        <w:autoSpaceDE/>
        <w:autoSpaceDN/>
        <w:adjustRightInd/>
        <w:spacing w:line="396" w:lineRule="exact"/>
        <w:rPr>
          <w:rFonts w:hint="eastAsia" w:ascii="仿宋" w:hAnsi="仿宋" w:eastAsia="仿宋" w:cs="仿宋"/>
          <w:color w:val="auto"/>
          <w:highlight w:val="none"/>
          <w:lang w:eastAsia="zh-CN"/>
        </w:rPr>
      </w:pPr>
      <w:r>
        <w:rPr>
          <w:rFonts w:hint="eastAsia" w:ascii="仿宋" w:hAnsi="仿宋" w:eastAsia="仿宋" w:cs="仿宋"/>
          <w:color w:val="auto"/>
          <w:sz w:val="24"/>
          <w:highlight w:val="none"/>
          <w:lang w:eastAsia="zh-CN"/>
        </w:rPr>
        <w:t>获取地点：新疆政府采购网</w:t>
      </w:r>
    </w:p>
    <w:p w14:paraId="0DA071D8">
      <w:pPr>
        <w:widowControl w:val="0"/>
        <w:kinsoku/>
        <w:autoSpaceDE/>
        <w:autoSpaceDN/>
        <w:adjustRightInd/>
        <w:spacing w:line="396"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获取方式：供应商登陆政采云平台 http://www.zcygov.cn/，在线获取招标文件 </w:t>
      </w:r>
    </w:p>
    <w:p w14:paraId="63FA3364">
      <w:pPr>
        <w:widowControl w:val="0"/>
        <w:kinsoku/>
        <w:autoSpaceDE/>
        <w:autoSpaceDN/>
        <w:adjustRightInd/>
        <w:spacing w:line="396"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（登录政府采购云平台→ 项目采购 → 获取招标文件，通过后可下载招标文件， </w:t>
      </w:r>
    </w:p>
    <w:p w14:paraId="20848E49">
      <w:pPr>
        <w:widowControl w:val="0"/>
        <w:kinsoku/>
        <w:autoSpaceDE/>
        <w:autoSpaceDN/>
        <w:adjustRightInd/>
        <w:spacing w:line="396"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如有操作性问题，可与政采云在线客服进行咨询，咨询电话：</w:t>
      </w:r>
      <w:r>
        <w:rPr>
          <w:rFonts w:hint="eastAsia" w:ascii="仿宋" w:hAnsi="仿宋" w:eastAsia="仿宋" w:cs="仿宋"/>
          <w:color w:val="auto"/>
          <w:highlight w:val="none"/>
          <w:shd w:val="clear" w:color="auto" w:fill="FFFFFF"/>
          <w:lang w:eastAsia="zh-CN"/>
        </w:rPr>
        <w:t>95763</w:t>
      </w:r>
      <w:r>
        <w:rPr>
          <w:rFonts w:hint="eastAsia" w:ascii="仿宋" w:hAnsi="仿宋" w:eastAsia="仿宋" w:cs="仿宋"/>
          <w:color w:val="auto"/>
          <w:sz w:val="24"/>
          <w:highlight w:val="none"/>
          <w:lang w:eastAsia="zh-CN"/>
        </w:rPr>
        <w:t>）</w:t>
      </w:r>
    </w:p>
    <w:p w14:paraId="79DCD736">
      <w:pPr>
        <w:kinsoku/>
        <w:autoSpaceDE/>
        <w:autoSpaceDN/>
        <w:adjustRightInd/>
        <w:spacing w:line="396"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售价：0元</w:t>
      </w:r>
    </w:p>
    <w:p w14:paraId="5A1D3968">
      <w:pPr>
        <w:kinsoku/>
        <w:autoSpaceDE/>
        <w:autoSpaceDN/>
        <w:adjustRightInd/>
        <w:spacing w:line="396" w:lineRule="exact"/>
        <w:rPr>
          <w:rStyle w:val="28"/>
          <w:rFonts w:hint="eastAsia" w:ascii="仿宋" w:hAnsi="仿宋" w:eastAsia="仿宋" w:cs="仿宋"/>
          <w:b/>
          <w:bCs/>
          <w:color w:val="auto"/>
          <w:sz w:val="30"/>
          <w:szCs w:val="30"/>
          <w:highlight w:val="none"/>
          <w:lang w:eastAsia="zh-CN"/>
        </w:rPr>
      </w:pPr>
      <w:r>
        <w:rPr>
          <w:rStyle w:val="28"/>
          <w:rFonts w:hint="eastAsia" w:ascii="仿宋" w:hAnsi="仿宋" w:eastAsia="仿宋" w:cs="仿宋"/>
          <w:b/>
          <w:bCs/>
          <w:color w:val="auto"/>
          <w:sz w:val="24"/>
          <w:highlight w:val="none"/>
          <w:lang w:eastAsia="zh-CN"/>
        </w:rPr>
        <w:t>四、提交投标文件截止时间、开标时间和地点</w:t>
      </w:r>
    </w:p>
    <w:p w14:paraId="61973D59">
      <w:pPr>
        <w:widowControl w:val="0"/>
        <w:kinsoku/>
        <w:autoSpaceDE/>
        <w:autoSpaceDN/>
        <w:adjustRightInd/>
        <w:spacing w:line="396"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提交投标文件截止时间：</w:t>
      </w:r>
      <w:r>
        <w:rPr>
          <w:rFonts w:hint="eastAsia" w:ascii="仿宋" w:hAnsi="仿宋" w:eastAsia="仿宋" w:cs="仿宋"/>
          <w:color w:val="000000" w:themeColor="text1"/>
          <w:sz w:val="24"/>
          <w:highlight w:val="none"/>
          <w:lang w:eastAsia="zh-CN"/>
          <w14:textFill>
            <w14:solidFill>
              <w14:schemeClr w14:val="tx1"/>
            </w14:solidFill>
          </w14:textFill>
        </w:rPr>
        <w:t>202</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lang w:eastAsia="zh-CN"/>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lang w:eastAsia="zh-CN"/>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19</w:t>
      </w:r>
      <w:r>
        <w:rPr>
          <w:rFonts w:hint="eastAsia" w:ascii="仿宋" w:hAnsi="仿宋" w:eastAsia="仿宋" w:cs="仿宋"/>
          <w:color w:val="000000" w:themeColor="text1"/>
          <w:sz w:val="24"/>
          <w:highlight w:val="none"/>
          <w:lang w:eastAsia="zh-CN"/>
          <w14:textFill>
            <w14:solidFill>
              <w14:schemeClr w14:val="tx1"/>
            </w14:solidFill>
          </w14:textFill>
        </w:rPr>
        <w:t>日 11时00分（北京时间）</w:t>
      </w:r>
      <w:r>
        <w:rPr>
          <w:rFonts w:hint="eastAsia" w:ascii="仿宋" w:hAnsi="仿宋" w:eastAsia="仿宋" w:cs="仿宋"/>
          <w:color w:val="000000" w:themeColor="text1"/>
          <w:sz w:val="24"/>
          <w:highlight w:val="none"/>
          <w14:textFill>
            <w14:solidFill>
              <w14:schemeClr w14:val="tx1"/>
            </w14:solidFill>
          </w14:textFill>
        </w:rPr>
        <w:t> </w:t>
      </w:r>
    </w:p>
    <w:p w14:paraId="673F55BC">
      <w:pPr>
        <w:widowControl w:val="0"/>
        <w:kinsoku/>
        <w:autoSpaceDE/>
        <w:autoSpaceDN/>
        <w:adjustRightInd/>
        <w:spacing w:line="396"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投标地点：政采云平台（https://login.zcygov.cn/user-login/#/login）</w:t>
      </w:r>
      <w:r>
        <w:rPr>
          <w:rFonts w:hint="eastAsia" w:ascii="仿宋" w:hAnsi="仿宋" w:eastAsia="仿宋" w:cs="仿宋"/>
          <w:color w:val="auto"/>
          <w:sz w:val="24"/>
          <w:highlight w:val="none"/>
          <w:lang w:val="en-US" w:eastAsia="zh-CN"/>
        </w:rPr>
        <w:t>在线提交</w:t>
      </w:r>
      <w:r>
        <w:rPr>
          <w:rFonts w:hint="eastAsia" w:ascii="仿宋" w:hAnsi="仿宋" w:eastAsia="仿宋" w:cs="仿宋"/>
          <w:color w:val="auto"/>
          <w:sz w:val="24"/>
          <w:highlight w:val="none"/>
        </w:rPr>
        <w:t xml:space="preserve"> </w:t>
      </w:r>
    </w:p>
    <w:p w14:paraId="1D62DAEF">
      <w:pPr>
        <w:widowControl w:val="0"/>
        <w:kinsoku/>
        <w:autoSpaceDE/>
        <w:autoSpaceDN/>
        <w:adjustRightInd/>
        <w:spacing w:line="396"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开标时间：202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19</w:t>
      </w:r>
      <w:r>
        <w:rPr>
          <w:rFonts w:hint="eastAsia" w:ascii="仿宋" w:hAnsi="仿宋" w:eastAsia="仿宋" w:cs="仿宋"/>
          <w:color w:val="auto"/>
          <w:sz w:val="24"/>
          <w:highlight w:val="none"/>
          <w:lang w:eastAsia="zh-CN"/>
        </w:rPr>
        <w:t xml:space="preserve">日 11：00（北京时间） </w:t>
      </w:r>
    </w:p>
    <w:p w14:paraId="77646D64">
      <w:pPr>
        <w:widowControl w:val="0"/>
        <w:kinsoku/>
        <w:autoSpaceDE/>
        <w:autoSpaceDN/>
        <w:adjustRightInd/>
        <w:spacing w:line="396" w:lineRule="exac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开标地点：政采云平台（https://login.zcygov.cn/user-login/#/login）</w:t>
      </w:r>
      <w:r>
        <w:rPr>
          <w:rFonts w:hint="eastAsia" w:ascii="仿宋" w:hAnsi="仿宋" w:eastAsia="仿宋" w:cs="仿宋"/>
          <w:color w:val="auto"/>
          <w:sz w:val="24"/>
          <w:highlight w:val="none"/>
          <w:lang w:val="en-US" w:eastAsia="zh-CN"/>
        </w:rPr>
        <w:t>不见面开标</w:t>
      </w:r>
    </w:p>
    <w:p w14:paraId="3A451E19">
      <w:pPr>
        <w:kinsoku/>
        <w:autoSpaceDE/>
        <w:autoSpaceDN/>
        <w:adjustRightInd/>
        <w:spacing w:line="396" w:lineRule="exact"/>
        <w:rPr>
          <w:rStyle w:val="28"/>
          <w:rFonts w:hint="eastAsia" w:ascii="仿宋" w:hAnsi="仿宋" w:eastAsia="仿宋" w:cs="仿宋"/>
          <w:b/>
          <w:bCs/>
          <w:color w:val="auto"/>
          <w:sz w:val="24"/>
          <w:highlight w:val="none"/>
          <w:lang w:eastAsia="zh-CN"/>
        </w:rPr>
      </w:pPr>
      <w:r>
        <w:rPr>
          <w:rStyle w:val="28"/>
          <w:rFonts w:hint="eastAsia" w:ascii="仿宋" w:hAnsi="仿宋" w:eastAsia="仿宋" w:cs="仿宋"/>
          <w:b/>
          <w:bCs/>
          <w:color w:val="auto"/>
          <w:sz w:val="24"/>
          <w:highlight w:val="none"/>
          <w:lang w:eastAsia="zh-CN"/>
        </w:rPr>
        <w:t>五、公告期限</w:t>
      </w:r>
    </w:p>
    <w:p w14:paraId="281AEDF2">
      <w:pPr>
        <w:kinsoku/>
        <w:autoSpaceDE/>
        <w:autoSpaceDN/>
        <w:adjustRightInd/>
        <w:spacing w:line="396" w:lineRule="exact"/>
        <w:rPr>
          <w:rFonts w:hint="eastAsia" w:ascii="仿宋" w:hAnsi="仿宋" w:eastAsia="仿宋" w:cs="仿宋"/>
          <w:color w:val="auto"/>
          <w:highlight w:val="none"/>
          <w:lang w:eastAsia="zh-CN"/>
        </w:rPr>
      </w:pPr>
      <w:r>
        <w:rPr>
          <w:rStyle w:val="28"/>
          <w:rFonts w:hint="eastAsia" w:ascii="仿宋" w:hAnsi="仿宋" w:eastAsia="仿宋" w:cs="仿宋"/>
          <w:color w:val="auto"/>
          <w:sz w:val="24"/>
          <w:highlight w:val="none"/>
          <w:lang w:eastAsia="zh-CN"/>
        </w:rPr>
        <w:t>自本公告发布之日起5个工作日。</w:t>
      </w:r>
    </w:p>
    <w:p w14:paraId="45579BB2">
      <w:pPr>
        <w:numPr>
          <w:ilvl w:val="0"/>
          <w:numId w:val="8"/>
        </w:numPr>
        <w:kinsoku/>
        <w:autoSpaceDE/>
        <w:autoSpaceDN/>
        <w:adjustRightInd/>
        <w:spacing w:line="396" w:lineRule="exact"/>
        <w:rPr>
          <w:rStyle w:val="28"/>
          <w:rFonts w:hint="eastAsia" w:ascii="仿宋" w:hAnsi="仿宋" w:eastAsia="仿宋" w:cs="仿宋"/>
          <w:color w:val="auto"/>
          <w:sz w:val="24"/>
          <w:highlight w:val="none"/>
        </w:rPr>
      </w:pPr>
      <w:r>
        <w:rPr>
          <w:rStyle w:val="28"/>
          <w:rFonts w:hint="eastAsia" w:ascii="仿宋" w:hAnsi="仿宋" w:eastAsia="仿宋" w:cs="仿宋"/>
          <w:b/>
          <w:bCs/>
          <w:color w:val="auto"/>
          <w:sz w:val="24"/>
          <w:highlight w:val="none"/>
        </w:rPr>
        <w:t>其他补充事宜</w:t>
      </w:r>
      <w:r>
        <w:rPr>
          <w:rStyle w:val="28"/>
          <w:rFonts w:hint="eastAsia" w:ascii="仿宋" w:hAnsi="仿宋" w:eastAsia="仿宋" w:cs="仿宋"/>
          <w:color w:val="auto"/>
          <w:sz w:val="24"/>
          <w:highlight w:val="none"/>
        </w:rPr>
        <w:t>：</w:t>
      </w:r>
    </w:p>
    <w:p w14:paraId="0E75260C">
      <w:pPr>
        <w:kinsoku/>
        <w:autoSpaceDE/>
        <w:autoSpaceDN/>
        <w:adjustRightInd/>
        <w:spacing w:line="396" w:lineRule="exact"/>
        <w:ind w:firstLine="480" w:firstLineChars="200"/>
        <w:rPr>
          <w:rStyle w:val="28"/>
          <w:rFonts w:hint="eastAsia" w:ascii="仿宋" w:hAnsi="仿宋" w:eastAsia="仿宋" w:cs="仿宋"/>
          <w:color w:val="auto"/>
          <w:sz w:val="24"/>
          <w:highlight w:val="none"/>
        </w:rPr>
      </w:pPr>
      <w:r>
        <w:rPr>
          <w:rStyle w:val="28"/>
          <w:rFonts w:hint="eastAsia" w:ascii="仿宋" w:hAnsi="仿宋" w:eastAsia="仿宋" w:cs="仿宋"/>
          <w:color w:val="auto"/>
          <w:sz w:val="24"/>
          <w:highlight w:val="none"/>
          <w:lang w:eastAsia="zh-CN"/>
        </w:rPr>
        <w:t>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r>
        <w:rPr>
          <w:rStyle w:val="28"/>
          <w:rFonts w:hint="eastAsia" w:ascii="仿宋" w:hAnsi="仿宋" w:eastAsia="仿宋" w:cs="仿宋"/>
          <w:color w:val="auto"/>
          <w:sz w:val="24"/>
          <w:highlight w:val="none"/>
        </w:rPr>
        <w:t>具体开标时间以招标文件为准。</w:t>
      </w:r>
    </w:p>
    <w:p w14:paraId="0B1FC254">
      <w:pPr>
        <w:numPr>
          <w:ilvl w:val="0"/>
          <w:numId w:val="8"/>
        </w:numPr>
        <w:kinsoku/>
        <w:autoSpaceDE/>
        <w:autoSpaceDN/>
        <w:adjustRightInd/>
        <w:spacing w:line="396" w:lineRule="exact"/>
        <w:rPr>
          <w:rStyle w:val="28"/>
          <w:rFonts w:hint="eastAsia" w:ascii="仿宋" w:hAnsi="仿宋" w:eastAsia="仿宋" w:cs="仿宋"/>
          <w:color w:val="auto"/>
          <w:highlight w:val="none"/>
          <w:lang w:eastAsia="zh-CN"/>
        </w:rPr>
      </w:pPr>
      <w:r>
        <w:rPr>
          <w:rStyle w:val="28"/>
          <w:rFonts w:hint="eastAsia" w:ascii="仿宋" w:hAnsi="仿宋" w:eastAsia="仿宋" w:cs="仿宋"/>
          <w:b/>
          <w:bCs/>
          <w:color w:val="auto"/>
          <w:sz w:val="24"/>
          <w:highlight w:val="none"/>
          <w:lang w:eastAsia="zh-CN"/>
        </w:rPr>
        <w:t>对本次招标提出询问，请按以下方式联系。</w:t>
      </w:r>
    </w:p>
    <w:p w14:paraId="246E1D54">
      <w:pPr>
        <w:kinsoku/>
        <w:autoSpaceDE/>
        <w:autoSpaceDN/>
        <w:adjustRightInd/>
        <w:spacing w:line="396" w:lineRule="exact"/>
        <w:rPr>
          <w:rStyle w:val="28"/>
          <w:rFonts w:hint="eastAsia" w:ascii="仿宋" w:hAnsi="仿宋" w:eastAsia="仿宋" w:cs="仿宋"/>
          <w:b/>
          <w:bCs/>
          <w:color w:val="auto"/>
          <w:sz w:val="24"/>
          <w:highlight w:val="none"/>
          <w:lang w:eastAsia="zh-CN"/>
        </w:rPr>
      </w:pPr>
      <w:r>
        <w:rPr>
          <w:rStyle w:val="28"/>
          <w:rFonts w:hint="eastAsia" w:ascii="仿宋" w:hAnsi="仿宋" w:eastAsia="仿宋" w:cs="仿宋"/>
          <w:b/>
          <w:bCs/>
          <w:color w:val="auto"/>
          <w:sz w:val="24"/>
          <w:highlight w:val="none"/>
          <w:lang w:eastAsia="zh-CN"/>
        </w:rPr>
        <w:t>1.采购人信息</w:t>
      </w:r>
    </w:p>
    <w:p w14:paraId="3794472C">
      <w:pPr>
        <w:widowControl w:val="0"/>
        <w:kinsoku/>
        <w:autoSpaceDE/>
        <w:autoSpaceDN/>
        <w:adjustRightInd/>
        <w:snapToGrid/>
        <w:spacing w:line="396"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名 称：  伽师县卫生健康委员会　　　　　</w:t>
      </w:r>
    </w:p>
    <w:p w14:paraId="527F29F7">
      <w:pPr>
        <w:widowControl w:val="0"/>
        <w:kinsoku/>
        <w:autoSpaceDE/>
        <w:autoSpaceDN/>
        <w:adjustRightInd/>
        <w:snapToGrid/>
        <w:spacing w:line="396" w:lineRule="exac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地址：伽师县迎宾路15号</w:t>
      </w:r>
    </w:p>
    <w:p w14:paraId="11BC918C">
      <w:pPr>
        <w:widowControl w:val="0"/>
        <w:kinsoku/>
        <w:autoSpaceDE/>
        <w:autoSpaceDN/>
        <w:adjustRightInd/>
        <w:snapToGrid/>
        <w:spacing w:line="396"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联系人：</w:t>
      </w:r>
      <w:r>
        <w:rPr>
          <w:rFonts w:hint="eastAsia" w:ascii="仿宋" w:hAnsi="仿宋" w:eastAsia="仿宋" w:cs="仿宋"/>
          <w:color w:val="auto"/>
          <w:sz w:val="24"/>
          <w:highlight w:val="none"/>
          <w:lang w:val="en-US" w:eastAsia="zh-CN"/>
        </w:rPr>
        <w:t>艾合麦提·呀森</w:t>
      </w:r>
      <w:r>
        <w:rPr>
          <w:rFonts w:hint="eastAsia" w:ascii="仿宋" w:hAnsi="仿宋" w:eastAsia="仿宋" w:cs="仿宋"/>
          <w:color w:val="auto"/>
          <w:sz w:val="24"/>
          <w:highlight w:val="none"/>
          <w:lang w:eastAsia="zh-CN"/>
        </w:rPr>
        <w:t>　　　　　　　　</w:t>
      </w:r>
    </w:p>
    <w:p w14:paraId="5EEE5CDC">
      <w:pPr>
        <w:kinsoku/>
        <w:autoSpaceDE/>
        <w:autoSpaceDN/>
        <w:adjustRightInd/>
        <w:spacing w:line="396" w:lineRule="exact"/>
        <w:rPr>
          <w:rStyle w:val="28"/>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联系方式：</w:t>
      </w:r>
      <w:r>
        <w:rPr>
          <w:rFonts w:hint="eastAsia" w:ascii="仿宋" w:hAnsi="仿宋" w:eastAsia="仿宋" w:cs="仿宋"/>
          <w:color w:val="auto"/>
          <w:sz w:val="24"/>
          <w:highlight w:val="none"/>
          <w:lang w:val="en-US" w:eastAsia="zh-CN"/>
        </w:rPr>
        <w:t>13899155697</w:t>
      </w:r>
    </w:p>
    <w:p w14:paraId="4CDAFC21">
      <w:pPr>
        <w:widowControl w:val="0"/>
        <w:kinsoku/>
        <w:autoSpaceDE/>
        <w:autoSpaceDN/>
        <w:adjustRightInd/>
        <w:spacing w:line="396" w:lineRule="exact"/>
        <w:textAlignment w:val="auto"/>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2.采购代理机构信息</w:t>
      </w:r>
    </w:p>
    <w:p w14:paraId="4A428786">
      <w:pPr>
        <w:widowControl w:val="0"/>
        <w:kinsoku/>
        <w:autoSpaceDE/>
        <w:autoSpaceDN/>
        <w:adjustRightInd/>
        <w:spacing w:line="396"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名 称：伽师县政府采购中心　</w:t>
      </w:r>
    </w:p>
    <w:p w14:paraId="5F1905FA">
      <w:pPr>
        <w:widowControl w:val="0"/>
        <w:kinsoku/>
        <w:autoSpaceDE/>
        <w:autoSpaceDN/>
        <w:adjustRightInd/>
        <w:spacing w:line="396"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地　址：伽师县行政审批局四楼（伽师县花园路3号）　</w:t>
      </w:r>
    </w:p>
    <w:p w14:paraId="1914BB59">
      <w:pPr>
        <w:widowControl w:val="0"/>
        <w:kinsoku/>
        <w:autoSpaceDE/>
        <w:autoSpaceDN/>
        <w:adjustRightInd/>
        <w:spacing w:line="396"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项目联系人：</w:t>
      </w:r>
      <w:r>
        <w:rPr>
          <w:rFonts w:hint="eastAsia" w:ascii="仿宋" w:hAnsi="仿宋" w:eastAsia="仿宋" w:cs="仿宋"/>
          <w:color w:val="auto"/>
          <w:sz w:val="24"/>
          <w:highlight w:val="none"/>
          <w:lang w:val="en-US" w:eastAsia="zh-CN"/>
        </w:rPr>
        <w:t>贺欢欢</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玉素甫</w:t>
      </w:r>
    </w:p>
    <w:p w14:paraId="2307BC63">
      <w:pPr>
        <w:widowControl w:val="0"/>
        <w:kinsoku/>
        <w:autoSpaceDE/>
        <w:autoSpaceDN/>
        <w:adjustRightInd/>
        <w:spacing w:line="396"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联系方式：0998-5713206　</w:t>
      </w:r>
    </w:p>
    <w:p w14:paraId="703FA033">
      <w:pPr>
        <w:widowControl w:val="0"/>
        <w:kinsoku/>
        <w:autoSpaceDE/>
        <w:autoSpaceDN/>
        <w:adjustRightInd/>
        <w:spacing w:line="396"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3.同级政府采购监督管理部门名称:伽师县政府采购办</w:t>
      </w:r>
    </w:p>
    <w:p w14:paraId="2605E3B6">
      <w:pPr>
        <w:widowControl w:val="0"/>
        <w:kinsoku/>
        <w:autoSpaceDE/>
        <w:autoSpaceDN/>
        <w:adjustRightInd/>
        <w:spacing w:line="396"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联系人：阿依努尔</w:t>
      </w:r>
    </w:p>
    <w:p w14:paraId="12939E5B">
      <w:pPr>
        <w:rPr>
          <w:rFonts w:hint="eastAsia" w:ascii="仿宋" w:hAnsi="仿宋" w:eastAsia="仿宋" w:cs="仿宋"/>
          <w:color w:val="auto"/>
          <w:highlight w:val="none"/>
          <w:lang w:eastAsia="zh-CN"/>
        </w:rPr>
      </w:pPr>
      <w:r>
        <w:rPr>
          <w:rFonts w:hint="eastAsia" w:ascii="仿宋" w:hAnsi="仿宋" w:eastAsia="仿宋" w:cs="仿宋"/>
          <w:b w:val="0"/>
          <w:color w:val="auto"/>
          <w:kern w:val="2"/>
          <w:sz w:val="24"/>
          <w:szCs w:val="21"/>
          <w:highlight w:val="none"/>
          <w:lang w:eastAsia="zh-CN"/>
        </w:rPr>
        <w:t>监督投诉电</w:t>
      </w:r>
      <w:r>
        <w:rPr>
          <w:rFonts w:hint="eastAsia" w:ascii="仿宋" w:hAnsi="仿宋" w:eastAsia="仿宋" w:cs="仿宋"/>
          <w:b w:val="0"/>
          <w:snapToGrid w:val="0"/>
          <w:color w:val="auto"/>
          <w:kern w:val="0"/>
          <w:sz w:val="24"/>
          <w:szCs w:val="21"/>
          <w:highlight w:val="none"/>
          <w:lang w:val="en-US" w:eastAsia="zh-CN" w:bidi="ar-SA"/>
        </w:rPr>
        <w:t>话：0998-5713204</w:t>
      </w:r>
      <w:r>
        <w:rPr>
          <w:rFonts w:hint="eastAsia" w:ascii="仿宋" w:hAnsi="仿宋" w:eastAsia="仿宋" w:cs="仿宋"/>
          <w:color w:val="auto"/>
          <w:kern w:val="2"/>
          <w:sz w:val="24"/>
          <w:highlight w:val="none"/>
          <w:lang w:eastAsia="zh-CN"/>
        </w:rPr>
        <w:br w:type="page"/>
      </w:r>
    </w:p>
    <w:p w14:paraId="47E533F8">
      <w:pPr>
        <w:pStyle w:val="2"/>
        <w:tabs>
          <w:tab w:val="left" w:pos="0"/>
        </w:tabs>
        <w:spacing w:before="0" w:after="0" w:line="240" w:lineRule="atLeast"/>
        <w:rPr>
          <w:rFonts w:hint="eastAsia" w:ascii="仿宋" w:hAnsi="仿宋" w:eastAsia="仿宋" w:cs="仿宋"/>
          <w:color w:val="auto"/>
          <w:sz w:val="44"/>
          <w:szCs w:val="44"/>
          <w:highlight w:val="none"/>
          <w:lang w:eastAsia="zh-CN"/>
        </w:rPr>
      </w:pPr>
      <w:bookmarkStart w:id="830" w:name="_Toc22648"/>
      <w:r>
        <w:rPr>
          <w:rFonts w:hint="eastAsia" w:ascii="仿宋" w:hAnsi="仿宋" w:eastAsia="仿宋" w:cs="仿宋"/>
          <w:color w:val="auto"/>
          <w:sz w:val="44"/>
          <w:szCs w:val="44"/>
          <w:highlight w:val="none"/>
          <w:lang w:eastAsia="zh-CN"/>
        </w:rPr>
        <w:t>第四章  投标人须知资料表</w:t>
      </w:r>
      <w:bookmarkEnd w:id="830"/>
    </w:p>
    <w:p w14:paraId="1686644B">
      <w:pPr>
        <w:spacing w:line="240" w:lineRule="atLeast"/>
        <w:ind w:left="1080" w:leftChars="257" w:hanging="540"/>
        <w:rPr>
          <w:rStyle w:val="28"/>
          <w:rFonts w:hint="eastAsia" w:ascii="仿宋" w:hAnsi="仿宋" w:eastAsia="仿宋" w:cs="仿宋"/>
          <w:color w:val="auto"/>
          <w:sz w:val="36"/>
          <w:szCs w:val="36"/>
          <w:highlight w:val="none"/>
          <w:lang w:eastAsia="zh-CN"/>
        </w:rPr>
      </w:pPr>
    </w:p>
    <w:p w14:paraId="2AC75375">
      <w:pPr>
        <w:spacing w:line="240" w:lineRule="atLeast"/>
        <w:ind w:firstLine="600" w:firstLineChars="25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本表是本招标项目的具体资料，是对投标人须知的具体补充和修改，如有矛盾，应以本资料表为准。</w:t>
      </w:r>
    </w:p>
    <w:tbl>
      <w:tblPr>
        <w:tblStyle w:val="23"/>
        <w:tblW w:w="9220" w:type="dxa"/>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26"/>
        <w:gridCol w:w="8294"/>
      </w:tblGrid>
      <w:tr w14:paraId="0F465D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10" w:hRule="atLeast"/>
        </w:trPr>
        <w:tc>
          <w:tcPr>
            <w:tcW w:w="926" w:type="dxa"/>
            <w:tcBorders>
              <w:top w:val="single" w:color="000000" w:sz="12" w:space="0"/>
              <w:left w:val="single" w:color="000000" w:sz="12" w:space="0"/>
              <w:bottom w:val="single" w:color="000000" w:sz="6" w:space="0"/>
              <w:right w:val="single" w:color="000000" w:sz="6" w:space="0"/>
            </w:tcBorders>
            <w:vAlign w:val="center"/>
          </w:tcPr>
          <w:p w14:paraId="6C74379F">
            <w:pPr>
              <w:spacing w:line="240" w:lineRule="atLeast"/>
              <w:jc w:val="center"/>
              <w:rPr>
                <w:rStyle w:val="28"/>
                <w:rFonts w:hint="eastAsia" w:ascii="仿宋" w:hAnsi="仿宋" w:eastAsia="仿宋" w:cs="仿宋"/>
                <w:color w:val="auto"/>
                <w:sz w:val="24"/>
                <w:highlight w:val="none"/>
              </w:rPr>
            </w:pPr>
            <w:r>
              <w:rPr>
                <w:rStyle w:val="28"/>
                <w:rFonts w:hint="eastAsia" w:ascii="仿宋" w:hAnsi="仿宋" w:eastAsia="仿宋" w:cs="仿宋"/>
                <w:color w:val="auto"/>
                <w:sz w:val="24"/>
                <w:highlight w:val="none"/>
              </w:rPr>
              <w:t>条款号</w:t>
            </w:r>
          </w:p>
        </w:tc>
        <w:tc>
          <w:tcPr>
            <w:tcW w:w="8294" w:type="dxa"/>
            <w:tcBorders>
              <w:top w:val="single" w:color="000000" w:sz="12" w:space="0"/>
              <w:left w:val="single" w:color="000000" w:sz="6" w:space="0"/>
              <w:bottom w:val="single" w:color="000000" w:sz="6" w:space="0"/>
              <w:right w:val="single" w:color="000000" w:sz="12" w:space="0"/>
            </w:tcBorders>
            <w:vAlign w:val="center"/>
          </w:tcPr>
          <w:p w14:paraId="31FAE1F2">
            <w:pPr>
              <w:spacing w:line="240" w:lineRule="atLeast"/>
              <w:ind w:left="1080" w:leftChars="257" w:hanging="540"/>
              <w:jc w:val="center"/>
              <w:rPr>
                <w:rStyle w:val="28"/>
                <w:rFonts w:hint="eastAsia" w:ascii="仿宋" w:hAnsi="仿宋" w:eastAsia="仿宋" w:cs="仿宋"/>
                <w:b/>
                <w:color w:val="auto"/>
                <w:sz w:val="24"/>
                <w:highlight w:val="none"/>
              </w:rPr>
            </w:pPr>
            <w:r>
              <w:rPr>
                <w:rStyle w:val="28"/>
                <w:rFonts w:hint="eastAsia" w:ascii="仿宋" w:hAnsi="仿宋" w:eastAsia="仿宋" w:cs="仿宋"/>
                <w:b/>
                <w:color w:val="auto"/>
                <w:sz w:val="24"/>
                <w:highlight w:val="none"/>
              </w:rPr>
              <w:t>内      容</w:t>
            </w:r>
          </w:p>
        </w:tc>
      </w:tr>
      <w:tr w14:paraId="772B055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78482C80">
            <w:pPr>
              <w:spacing w:line="240" w:lineRule="atLeast"/>
              <w:jc w:val="center"/>
              <w:rPr>
                <w:rStyle w:val="28"/>
                <w:rFonts w:hint="eastAsia" w:ascii="仿宋" w:hAnsi="仿宋" w:eastAsia="仿宋" w:cs="仿宋"/>
                <w:color w:val="auto"/>
                <w:sz w:val="24"/>
                <w:highlight w:val="none"/>
              </w:rPr>
            </w:pPr>
            <w:r>
              <w:rPr>
                <w:rStyle w:val="28"/>
                <w:rFonts w:hint="eastAsia" w:ascii="仿宋" w:hAnsi="仿宋" w:eastAsia="仿宋" w:cs="仿宋"/>
                <w:color w:val="auto"/>
                <w:sz w:val="24"/>
                <w:highlight w:val="none"/>
              </w:rPr>
              <w:t>1.1</w:t>
            </w:r>
          </w:p>
        </w:tc>
        <w:tc>
          <w:tcPr>
            <w:tcW w:w="8294" w:type="dxa"/>
            <w:tcBorders>
              <w:top w:val="single" w:color="000000" w:sz="6" w:space="0"/>
              <w:left w:val="single" w:color="000000" w:sz="6" w:space="0"/>
              <w:bottom w:val="single" w:color="000000" w:sz="6" w:space="0"/>
              <w:right w:val="single" w:color="000000" w:sz="12" w:space="0"/>
            </w:tcBorders>
            <w:vAlign w:val="center"/>
          </w:tcPr>
          <w:p w14:paraId="0F72FC29">
            <w:pPr>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采购人：  伽师县卫生健康委员会</w:t>
            </w:r>
          </w:p>
          <w:p w14:paraId="04A83C79">
            <w:pPr>
              <w:rPr>
                <w:rStyle w:val="28"/>
                <w:rFonts w:hint="default" w:ascii="仿宋" w:hAnsi="仿宋" w:eastAsia="仿宋" w:cs="仿宋"/>
                <w:color w:val="auto"/>
                <w:sz w:val="24"/>
                <w:highlight w:val="none"/>
                <w:lang w:val="en-US" w:eastAsia="zh-CN"/>
              </w:rPr>
            </w:pPr>
            <w:r>
              <w:rPr>
                <w:rStyle w:val="28"/>
                <w:rFonts w:hint="eastAsia" w:ascii="仿宋" w:hAnsi="仿宋" w:eastAsia="仿宋" w:cs="仿宋"/>
                <w:color w:val="auto"/>
                <w:sz w:val="24"/>
                <w:highlight w:val="none"/>
                <w:lang w:eastAsia="zh-CN"/>
              </w:rPr>
              <w:t>联系人：</w:t>
            </w:r>
            <w:r>
              <w:rPr>
                <w:rStyle w:val="28"/>
                <w:rFonts w:hint="eastAsia" w:ascii="仿宋" w:hAnsi="仿宋" w:eastAsia="仿宋" w:cs="仿宋"/>
                <w:color w:val="auto"/>
                <w:sz w:val="24"/>
                <w:highlight w:val="none"/>
                <w:lang w:val="en-US" w:eastAsia="zh-CN"/>
              </w:rPr>
              <w:t>艾合麦提·呀森</w:t>
            </w:r>
            <w:r>
              <w:rPr>
                <w:rStyle w:val="28"/>
                <w:rFonts w:hint="eastAsia" w:ascii="仿宋" w:hAnsi="仿宋" w:eastAsia="仿宋" w:cs="仿宋"/>
                <w:color w:val="auto"/>
                <w:sz w:val="24"/>
                <w:highlight w:val="none"/>
                <w:lang w:eastAsia="zh-CN"/>
              </w:rPr>
              <w:t xml:space="preserve">     联系电话：</w:t>
            </w:r>
            <w:r>
              <w:rPr>
                <w:rStyle w:val="28"/>
                <w:rFonts w:hint="eastAsia" w:ascii="仿宋" w:hAnsi="仿宋" w:eastAsia="仿宋" w:cs="仿宋"/>
                <w:color w:val="auto"/>
                <w:sz w:val="24"/>
                <w:highlight w:val="none"/>
                <w:lang w:val="en-US" w:eastAsia="zh-CN"/>
              </w:rPr>
              <w:t>13899155697</w:t>
            </w:r>
          </w:p>
        </w:tc>
      </w:tr>
      <w:tr w14:paraId="2C03A3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5124ADDA">
            <w:pPr>
              <w:spacing w:line="240" w:lineRule="atLeast"/>
              <w:jc w:val="center"/>
              <w:rPr>
                <w:rStyle w:val="28"/>
                <w:rFonts w:hint="eastAsia" w:ascii="仿宋" w:hAnsi="仿宋" w:eastAsia="仿宋" w:cs="仿宋"/>
                <w:color w:val="auto"/>
                <w:sz w:val="24"/>
                <w:highlight w:val="none"/>
              </w:rPr>
            </w:pPr>
            <w:r>
              <w:rPr>
                <w:rStyle w:val="28"/>
                <w:rFonts w:hint="eastAsia" w:ascii="仿宋" w:hAnsi="仿宋" w:eastAsia="仿宋" w:cs="仿宋"/>
                <w:color w:val="auto"/>
                <w:sz w:val="24"/>
                <w:highlight w:val="none"/>
              </w:rPr>
              <w:t>1.2</w:t>
            </w:r>
          </w:p>
        </w:tc>
        <w:tc>
          <w:tcPr>
            <w:tcW w:w="8294" w:type="dxa"/>
            <w:tcBorders>
              <w:top w:val="single" w:color="000000" w:sz="6" w:space="0"/>
              <w:left w:val="single" w:color="000000" w:sz="6" w:space="0"/>
              <w:bottom w:val="single" w:color="000000" w:sz="6" w:space="0"/>
              <w:right w:val="single" w:color="000000" w:sz="12" w:space="0"/>
            </w:tcBorders>
            <w:vAlign w:val="center"/>
          </w:tcPr>
          <w:p w14:paraId="02A6ED4E">
            <w:pPr>
              <w:spacing w:line="240" w:lineRule="atLeast"/>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u w:val="single"/>
                <w:lang w:eastAsia="zh-CN"/>
              </w:rPr>
              <w:t>伽师县政府采购中心</w:t>
            </w:r>
          </w:p>
          <w:p w14:paraId="0DFDD817">
            <w:pPr>
              <w:spacing w:line="240" w:lineRule="atLeast"/>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lang w:eastAsia="zh-CN"/>
              </w:rPr>
              <w:t>地址：</w:t>
            </w:r>
            <w:r>
              <w:rPr>
                <w:rFonts w:hint="eastAsia" w:ascii="仿宋" w:hAnsi="仿宋" w:eastAsia="仿宋" w:cs="仿宋"/>
                <w:color w:val="auto"/>
                <w:sz w:val="24"/>
                <w:highlight w:val="none"/>
                <w:u w:val="single"/>
                <w:lang w:eastAsia="zh-CN"/>
              </w:rPr>
              <w:t>伽师县行政审批局四楼（伽师县花园路3号）</w:t>
            </w:r>
          </w:p>
          <w:p w14:paraId="4086CDB7">
            <w:pPr>
              <w:widowControl w:val="0"/>
              <w:kinsoku/>
              <w:autoSpaceDE/>
              <w:autoSpaceDN/>
              <w:adjustRightInd/>
              <w:spacing w:line="396" w:lineRule="exact"/>
              <w:textAlignment w:val="auto"/>
              <w:rPr>
                <w:rStyle w:val="28"/>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联系人：</w:t>
            </w:r>
            <w:r>
              <w:rPr>
                <w:rFonts w:hint="eastAsia" w:ascii="仿宋" w:hAnsi="仿宋" w:eastAsia="仿宋" w:cs="仿宋"/>
                <w:color w:val="auto"/>
                <w:sz w:val="24"/>
                <w:highlight w:val="none"/>
                <w:lang w:val="en-US" w:eastAsia="zh-CN"/>
              </w:rPr>
              <w:t>贺欢欢</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玉素甫</w:t>
            </w:r>
            <w:r>
              <w:rPr>
                <w:rFonts w:hint="eastAsia" w:ascii="仿宋" w:hAnsi="仿宋" w:eastAsia="仿宋" w:cs="仿宋"/>
                <w:color w:val="auto"/>
                <w:sz w:val="24"/>
                <w:highlight w:val="none"/>
                <w:lang w:eastAsia="zh-CN"/>
              </w:rPr>
              <w:t xml:space="preserve">         电  话：0998-5713206</w:t>
            </w:r>
          </w:p>
        </w:tc>
      </w:tr>
      <w:tr w14:paraId="1A14A50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71106C30">
            <w:pPr>
              <w:spacing w:line="240" w:lineRule="atLeast"/>
              <w:jc w:val="center"/>
              <w:rPr>
                <w:rStyle w:val="28"/>
                <w:rFonts w:hint="eastAsia" w:ascii="仿宋" w:hAnsi="仿宋" w:eastAsia="仿宋" w:cs="仿宋"/>
                <w:color w:val="auto"/>
                <w:sz w:val="24"/>
                <w:highlight w:val="none"/>
              </w:rPr>
            </w:pPr>
            <w:r>
              <w:rPr>
                <w:rStyle w:val="28"/>
                <w:rFonts w:hint="eastAsia" w:ascii="仿宋" w:hAnsi="仿宋" w:eastAsia="仿宋" w:cs="仿宋"/>
                <w:color w:val="auto"/>
                <w:sz w:val="24"/>
                <w:highlight w:val="none"/>
              </w:rPr>
              <w:t>1.3.1</w:t>
            </w:r>
          </w:p>
        </w:tc>
        <w:tc>
          <w:tcPr>
            <w:tcW w:w="8294" w:type="dxa"/>
            <w:tcBorders>
              <w:top w:val="single" w:color="000000" w:sz="6" w:space="0"/>
              <w:left w:val="single" w:color="000000" w:sz="6" w:space="0"/>
              <w:bottom w:val="single" w:color="000000" w:sz="6" w:space="0"/>
              <w:right w:val="single" w:color="000000" w:sz="12" w:space="0"/>
            </w:tcBorders>
            <w:vAlign w:val="center"/>
          </w:tcPr>
          <w:p w14:paraId="4DE7D3A6">
            <w:pPr>
              <w:spacing w:line="240" w:lineRule="atLeas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合格投标人开标时需提供的资格证明文件：</w:t>
            </w:r>
          </w:p>
          <w:p w14:paraId="14DD81E2">
            <w:pPr>
              <w:pStyle w:val="17"/>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1.提供有效的营业执照；</w:t>
            </w:r>
          </w:p>
          <w:p w14:paraId="53B68D71">
            <w:pPr>
              <w:pStyle w:val="17"/>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2.法定代表人证明或法定代表人授权委托书签字（章）并加盖公章；</w:t>
            </w:r>
          </w:p>
          <w:p w14:paraId="50640DD7">
            <w:pPr>
              <w:pStyle w:val="17"/>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sz w:val="24"/>
                <w:highlight w:val="none"/>
                <w:lang w:eastAsia="zh-CN"/>
              </w:rPr>
              <w:t>3.</w:t>
            </w:r>
            <w:r>
              <w:rPr>
                <w:rFonts w:hint="eastAsia" w:ascii="仿宋" w:hAnsi="仿宋" w:eastAsia="仿宋" w:cs="仿宋"/>
                <w:bCs/>
                <w:iCs/>
                <w:sz w:val="24"/>
                <w:szCs w:val="24"/>
                <w:highlight w:val="none"/>
              </w:rPr>
              <w:t>投标企业依法缴纳近</w:t>
            </w:r>
            <w:r>
              <w:rPr>
                <w:rFonts w:hint="eastAsia" w:ascii="仿宋" w:hAnsi="仿宋" w:eastAsia="仿宋" w:cs="仿宋"/>
                <w:bCs/>
                <w:iCs/>
                <w:sz w:val="24"/>
                <w:szCs w:val="24"/>
                <w:highlight w:val="none"/>
                <w:lang w:val="en-US" w:eastAsia="zh-CN"/>
              </w:rPr>
              <w:t>3</w:t>
            </w:r>
            <w:r>
              <w:rPr>
                <w:rFonts w:hint="eastAsia" w:ascii="仿宋" w:hAnsi="仿宋" w:eastAsia="仿宋" w:cs="仿宋"/>
                <w:bCs/>
                <w:iCs/>
                <w:sz w:val="24"/>
                <w:szCs w:val="24"/>
                <w:highlight w:val="none"/>
              </w:rPr>
              <w:t>个月任意一个月社会保险的凭据</w:t>
            </w:r>
            <w:r>
              <w:rPr>
                <w:rFonts w:hint="eastAsia" w:ascii="仿宋" w:hAnsi="仿宋" w:eastAsia="仿宋" w:cs="仿宋"/>
                <w:color w:val="auto"/>
                <w:kern w:val="2"/>
                <w:sz w:val="24"/>
                <w:szCs w:val="24"/>
                <w:highlight w:val="none"/>
                <w:lang w:eastAsia="zh-CN"/>
              </w:rPr>
              <w:t>；</w:t>
            </w:r>
          </w:p>
          <w:p w14:paraId="3E98B744">
            <w:pPr>
              <w:pStyle w:val="7"/>
              <w:ind w:left="0" w:leftChars="0"/>
              <w:rPr>
                <w:rFonts w:hint="eastAsia" w:ascii="仿宋" w:hAnsi="仿宋" w:eastAsia="仿宋" w:cs="仿宋"/>
                <w:color w:val="auto"/>
                <w:sz w:val="24"/>
                <w:highlight w:val="none"/>
                <w:lang w:eastAsia="zh-CN"/>
              </w:rPr>
            </w:pPr>
            <w:r>
              <w:rPr>
                <w:rFonts w:hint="eastAsia" w:ascii="仿宋" w:hAnsi="仿宋" w:eastAsia="仿宋" w:cs="仿宋"/>
                <w:color w:val="auto"/>
                <w:kern w:val="2"/>
                <w:sz w:val="24"/>
                <w:highlight w:val="none"/>
                <w:lang w:eastAsia="zh-CN"/>
              </w:rPr>
              <w:t>4.</w:t>
            </w:r>
            <w:r>
              <w:rPr>
                <w:rFonts w:hint="eastAsia" w:ascii="仿宋" w:hAnsi="仿宋" w:eastAsia="仿宋" w:cs="仿宋"/>
                <w:bCs/>
                <w:iCs/>
                <w:sz w:val="24"/>
                <w:szCs w:val="24"/>
                <w:highlight w:val="none"/>
              </w:rPr>
              <w:t>投标企业提供税务部门出具的近</w:t>
            </w:r>
            <w:r>
              <w:rPr>
                <w:rFonts w:hint="eastAsia" w:ascii="仿宋" w:hAnsi="仿宋" w:eastAsia="仿宋" w:cs="仿宋"/>
                <w:bCs/>
                <w:iCs/>
                <w:sz w:val="24"/>
                <w:szCs w:val="24"/>
                <w:highlight w:val="none"/>
                <w:lang w:val="en-US" w:eastAsia="zh-CN"/>
              </w:rPr>
              <w:t>3</w:t>
            </w:r>
            <w:r>
              <w:rPr>
                <w:rFonts w:hint="eastAsia" w:ascii="仿宋" w:hAnsi="仿宋" w:eastAsia="仿宋" w:cs="仿宋"/>
                <w:bCs/>
                <w:iCs/>
                <w:sz w:val="24"/>
                <w:szCs w:val="24"/>
                <w:highlight w:val="none"/>
              </w:rPr>
              <w:t>个月任意一个月的完税证明</w:t>
            </w:r>
            <w:r>
              <w:rPr>
                <w:rFonts w:hint="eastAsia" w:ascii="仿宋" w:hAnsi="仿宋" w:eastAsia="仿宋" w:cs="仿宋"/>
                <w:color w:val="auto"/>
                <w:sz w:val="24"/>
                <w:highlight w:val="none"/>
                <w:lang w:eastAsia="zh-CN"/>
              </w:rPr>
              <w:t>；</w:t>
            </w:r>
          </w:p>
          <w:p w14:paraId="23E37EF5">
            <w:pPr>
              <w:pStyle w:val="17"/>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sz w:val="24"/>
                <w:highlight w:val="none"/>
                <w:lang w:eastAsia="zh-CN"/>
              </w:rPr>
              <w:t>5.</w:t>
            </w:r>
            <w:r>
              <w:rPr>
                <w:rFonts w:hint="eastAsia" w:ascii="仿宋" w:hAnsi="仿宋" w:eastAsia="仿宋" w:cs="仿宋"/>
                <w:bCs/>
                <w:iCs/>
                <w:sz w:val="24"/>
                <w:szCs w:val="24"/>
                <w:highlight w:val="none"/>
              </w:rPr>
              <w:t>近两年任意一年完整的财务审计报告（</w:t>
            </w:r>
            <w:r>
              <w:rPr>
                <w:rFonts w:hint="eastAsia" w:ascii="仿宋" w:hAnsi="仿宋" w:eastAsia="仿宋" w:cs="仿宋"/>
                <w:bCs/>
                <w:iCs/>
                <w:sz w:val="24"/>
                <w:szCs w:val="24"/>
                <w:highlight w:val="none"/>
                <w:lang w:val="en-US" w:eastAsia="zh-CN"/>
              </w:rPr>
              <w:t>会计事务所2024年或2025年任意一年度财务审计报告，注册成立未满一年的</w:t>
            </w:r>
            <w:r>
              <w:rPr>
                <w:rFonts w:hint="eastAsia" w:ascii="仿宋" w:hAnsi="仿宋" w:eastAsia="仿宋" w:cs="仿宋"/>
                <w:bCs/>
                <w:iCs/>
                <w:sz w:val="24"/>
                <w:szCs w:val="24"/>
                <w:highlight w:val="none"/>
              </w:rPr>
              <w:t>新公司提供</w:t>
            </w:r>
            <w:r>
              <w:rPr>
                <w:rFonts w:hint="eastAsia" w:ascii="仿宋" w:hAnsi="仿宋" w:eastAsia="仿宋" w:cs="仿宋"/>
                <w:bCs/>
                <w:iCs/>
                <w:sz w:val="24"/>
                <w:szCs w:val="24"/>
                <w:highlight w:val="none"/>
                <w:lang w:val="en-US" w:eastAsia="zh-CN"/>
              </w:rPr>
              <w:t>近</w:t>
            </w:r>
            <w:r>
              <w:rPr>
                <w:rFonts w:hint="eastAsia" w:ascii="仿宋" w:hAnsi="仿宋" w:eastAsia="仿宋" w:cs="仿宋"/>
                <w:bCs/>
                <w:iCs/>
                <w:sz w:val="24"/>
                <w:szCs w:val="24"/>
                <w:highlight w:val="none"/>
              </w:rPr>
              <w:t>三个月内任意一个月</w:t>
            </w:r>
            <w:r>
              <w:rPr>
                <w:rFonts w:hint="eastAsia" w:ascii="仿宋" w:hAnsi="仿宋" w:eastAsia="仿宋" w:cs="仿宋"/>
                <w:bCs/>
                <w:iCs/>
                <w:sz w:val="24"/>
                <w:szCs w:val="24"/>
                <w:highlight w:val="none"/>
                <w:lang w:val="en-US" w:eastAsia="zh-CN"/>
              </w:rPr>
              <w:t>的</w:t>
            </w:r>
            <w:r>
              <w:rPr>
                <w:rFonts w:hint="eastAsia" w:ascii="仿宋" w:hAnsi="仿宋" w:eastAsia="仿宋" w:cs="仿宋"/>
                <w:bCs/>
                <w:iCs/>
                <w:sz w:val="24"/>
                <w:szCs w:val="24"/>
                <w:highlight w:val="none"/>
              </w:rPr>
              <w:t>银行资信证明）</w:t>
            </w:r>
            <w:r>
              <w:rPr>
                <w:rFonts w:hint="eastAsia" w:ascii="仿宋" w:hAnsi="仿宋" w:eastAsia="仿宋" w:cs="仿宋"/>
                <w:color w:val="auto"/>
                <w:kern w:val="2"/>
                <w:sz w:val="24"/>
                <w:szCs w:val="24"/>
                <w:highlight w:val="none"/>
                <w:lang w:eastAsia="zh-CN"/>
              </w:rPr>
              <w:t>；</w:t>
            </w:r>
          </w:p>
          <w:p w14:paraId="5B27FA80">
            <w:pPr>
              <w:pStyle w:val="17"/>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6.投标</w:t>
            </w:r>
            <w:r>
              <w:rPr>
                <w:rFonts w:hint="eastAsia" w:ascii="仿宋" w:hAnsi="仿宋" w:eastAsia="仿宋" w:cs="仿宋"/>
                <w:color w:val="auto"/>
                <w:sz w:val="24"/>
                <w:highlight w:val="none"/>
                <w:lang w:val="en-US" w:eastAsia="zh-CN"/>
              </w:rPr>
              <w:t>企业</w:t>
            </w:r>
            <w:r>
              <w:rPr>
                <w:rFonts w:hint="eastAsia" w:ascii="仿宋" w:hAnsi="仿宋" w:eastAsia="仿宋" w:cs="仿宋"/>
                <w:color w:val="auto"/>
                <w:sz w:val="24"/>
                <w:highlight w:val="none"/>
                <w:lang w:eastAsia="zh-CN"/>
              </w:rPr>
              <w:t>按招标文件要求缴纳投标保证金的缴款凭证或金融机构、担保机构出具的保函；</w:t>
            </w:r>
          </w:p>
          <w:p w14:paraId="6E3F2771">
            <w:pPr>
              <w:pStyle w:val="17"/>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7.</w:t>
            </w:r>
            <w:r>
              <w:rPr>
                <w:rFonts w:hint="eastAsia" w:ascii="仿宋" w:hAnsi="仿宋" w:eastAsia="仿宋" w:cs="仿宋"/>
                <w:bCs/>
                <w:iCs/>
                <w:sz w:val="24"/>
                <w:szCs w:val="24"/>
                <w:highlight w:val="none"/>
              </w:rPr>
              <w:t>参与政府采购活动供应商在前3年内未被“信用中国”网站（www.creditchina.gov.cn）、“中国政府采购网”(www.ccgp.gov.cn)列入失信被执行人、</w:t>
            </w:r>
            <w:r>
              <w:rPr>
                <w:rFonts w:hint="eastAsia" w:ascii="仿宋" w:hAnsi="仿宋" w:eastAsia="仿宋" w:cs="仿宋"/>
                <w:bCs/>
                <w:iCs/>
                <w:sz w:val="24"/>
                <w:szCs w:val="24"/>
                <w:highlight w:val="none"/>
                <w:lang w:eastAsia="zh-CN"/>
              </w:rPr>
              <w:t>重大税收违法失信主体</w:t>
            </w:r>
            <w:r>
              <w:rPr>
                <w:rFonts w:hint="eastAsia" w:ascii="仿宋" w:hAnsi="仿宋" w:eastAsia="仿宋" w:cs="仿宋"/>
                <w:bCs/>
                <w:iCs/>
                <w:sz w:val="24"/>
                <w:szCs w:val="24"/>
                <w:highlight w:val="none"/>
              </w:rPr>
              <w:t>、政府采购严重失信行为记录名单（提供网页截图）；（以招标代理或招标人查询为准）</w:t>
            </w:r>
          </w:p>
          <w:p w14:paraId="4EB7BB71">
            <w:pPr>
              <w:pStyle w:val="17"/>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投标单位（供应商）其法人参加本次采购活动前三年内，在经营活动中没有重大违法记录的声明</w:t>
            </w:r>
            <w:r>
              <w:rPr>
                <w:rFonts w:hint="eastAsia" w:ascii="仿宋" w:hAnsi="仿宋" w:eastAsia="仿宋" w:cs="仿宋"/>
                <w:sz w:val="24"/>
                <w:highlight w:val="none"/>
                <w:lang w:val="en-US" w:eastAsia="zh-CN"/>
              </w:rPr>
              <w:t>（包括但不限于不良记录，政府采购相关的行政处罚，税务处罚，失信人名单等）</w:t>
            </w:r>
            <w:r>
              <w:rPr>
                <w:rFonts w:hint="eastAsia" w:ascii="仿宋" w:hAnsi="仿宋" w:eastAsia="仿宋" w:cs="仿宋"/>
                <w:color w:val="auto"/>
                <w:sz w:val="24"/>
                <w:highlight w:val="none"/>
                <w:lang w:eastAsia="zh-CN"/>
              </w:rPr>
              <w:t>及对本次项目《反商业贿赂承诺书》；</w:t>
            </w:r>
          </w:p>
          <w:p w14:paraId="099C7141">
            <w:pPr>
              <w:pStyle w:val="17"/>
              <w:rPr>
                <w:rFonts w:hint="eastAsia" w:ascii="仿宋" w:hAnsi="仿宋" w:eastAsia="仿宋" w:cs="仿宋"/>
                <w:snapToGrid w:val="0"/>
                <w:color w:val="auto"/>
                <w:sz w:val="24"/>
                <w:szCs w:val="21"/>
                <w:highlight w:val="none"/>
                <w:lang w:val="en-US" w:eastAsia="en-US" w:bidi="ar-SA"/>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eastAsia="zh-CN"/>
              </w:rPr>
              <w:t>.本项目不接受联合体投标。</w:t>
            </w:r>
          </w:p>
          <w:p w14:paraId="2C577444">
            <w:pPr>
              <w:spacing w:before="142" w:line="243" w:lineRule="auto"/>
              <w:ind w:left="2"/>
              <w:jc w:val="both"/>
              <w:rPr>
                <w:rFonts w:hint="eastAsia" w:ascii="仿宋" w:hAnsi="仿宋" w:eastAsia="仿宋" w:cs="仿宋"/>
                <w:color w:val="auto"/>
                <w:highlight w:val="none"/>
              </w:rPr>
            </w:pPr>
            <w:r>
              <w:rPr>
                <w:rFonts w:hint="eastAsia" w:ascii="仿宋" w:hAnsi="仿宋" w:eastAsia="仿宋" w:cs="仿宋"/>
                <w:b/>
                <w:bCs/>
                <w:spacing w:val="11"/>
                <w:sz w:val="23"/>
                <w:szCs w:val="23"/>
                <w:highlight w:val="none"/>
                <w:lang w:eastAsia="zh-CN"/>
              </w:rPr>
              <w:t>注：1、“提供税务部门出具的完税证明”：①若供应商某月税收为零申报，须提供当月加盖税务局公章的无欠税证明或“国家税务总局电子税务局12366.chinatax.gov.cn/bsfw/onlinetaxation/main）”的申报结果查询截图 ②完税证明中“税种”非养老保险、医疗保险、失业保险、工伤保险和生育保险。</w:t>
            </w:r>
            <w:r>
              <w:rPr>
                <w:rFonts w:hint="eastAsia" w:ascii="仿宋" w:hAnsi="仿宋" w:eastAsia="仿宋" w:cs="仿宋"/>
                <w:b/>
                <w:bCs/>
                <w:spacing w:val="11"/>
                <w:sz w:val="23"/>
                <w:szCs w:val="23"/>
                <w:highlight w:val="none"/>
              </w:rPr>
              <w:t>请各供应商注意！</w:t>
            </w:r>
          </w:p>
        </w:tc>
      </w:tr>
      <w:tr w14:paraId="2042F4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41FF9D65">
            <w:pPr>
              <w:spacing w:line="240" w:lineRule="atLeast"/>
              <w:jc w:val="center"/>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rPr>
              <w:t>1.3.2</w:t>
            </w:r>
          </w:p>
        </w:tc>
        <w:tc>
          <w:tcPr>
            <w:tcW w:w="8294" w:type="dxa"/>
            <w:tcBorders>
              <w:top w:val="single" w:color="000000" w:sz="6" w:space="0"/>
              <w:left w:val="single" w:color="000000" w:sz="6" w:space="0"/>
              <w:bottom w:val="single" w:color="000000" w:sz="6" w:space="0"/>
              <w:right w:val="single" w:color="000000" w:sz="12" w:space="0"/>
            </w:tcBorders>
            <w:vAlign w:val="center"/>
          </w:tcPr>
          <w:p w14:paraId="095B1846">
            <w:pPr>
              <w:spacing w:line="240" w:lineRule="atLeast"/>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是否允许采购进口产品：</w:t>
            </w:r>
            <w:r>
              <w:rPr>
                <w:rStyle w:val="28"/>
                <w:rFonts w:hint="eastAsia" w:ascii="仿宋" w:hAnsi="仿宋" w:eastAsia="仿宋" w:cs="仿宋"/>
                <w:color w:val="auto"/>
                <w:sz w:val="24"/>
                <w:highlight w:val="none"/>
                <w:u w:val="single"/>
                <w:lang w:val="en-US" w:eastAsia="zh-CN"/>
              </w:rPr>
              <w:t>否</w:t>
            </w:r>
          </w:p>
        </w:tc>
      </w:tr>
      <w:tr w14:paraId="0B652B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1"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54142DD3">
            <w:pPr>
              <w:spacing w:line="240" w:lineRule="atLeast"/>
              <w:jc w:val="center"/>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rPr>
              <w:t>1.3.3</w:t>
            </w:r>
          </w:p>
        </w:tc>
        <w:tc>
          <w:tcPr>
            <w:tcW w:w="8294" w:type="dxa"/>
            <w:tcBorders>
              <w:top w:val="single" w:color="000000" w:sz="6" w:space="0"/>
              <w:left w:val="single" w:color="000000" w:sz="6" w:space="0"/>
              <w:bottom w:val="single" w:color="000000" w:sz="6" w:space="0"/>
              <w:right w:val="single" w:color="000000" w:sz="12" w:space="0"/>
            </w:tcBorders>
            <w:vAlign w:val="center"/>
          </w:tcPr>
          <w:p w14:paraId="43FF8238">
            <w:pPr>
              <w:spacing w:line="240" w:lineRule="atLeast"/>
              <w:rPr>
                <w:rStyle w:val="28"/>
                <w:rFonts w:hint="default" w:ascii="仿宋" w:hAnsi="仿宋" w:eastAsia="仿宋" w:cs="仿宋"/>
                <w:color w:val="auto"/>
                <w:sz w:val="24"/>
                <w:highlight w:val="none"/>
                <w:lang w:val="en-US" w:eastAsia="zh-CN"/>
              </w:rPr>
            </w:pPr>
            <w:r>
              <w:rPr>
                <w:rStyle w:val="28"/>
                <w:rFonts w:hint="eastAsia" w:ascii="仿宋" w:hAnsi="仿宋" w:eastAsia="仿宋" w:cs="仿宋"/>
                <w:color w:val="auto"/>
                <w:sz w:val="24"/>
                <w:highlight w:val="none"/>
                <w:lang w:eastAsia="zh-CN"/>
              </w:rPr>
              <w:t>是否为专门面向中小企业采购：</w:t>
            </w:r>
            <w:r>
              <w:rPr>
                <w:rStyle w:val="28"/>
                <w:rFonts w:hint="eastAsia" w:ascii="仿宋" w:hAnsi="仿宋" w:eastAsia="仿宋" w:cs="仿宋"/>
                <w:color w:val="auto"/>
                <w:sz w:val="24"/>
                <w:highlight w:val="none"/>
                <w:u w:val="single"/>
                <w:lang w:val="en-US" w:eastAsia="zh-CN"/>
              </w:rPr>
              <w:t>否</w:t>
            </w:r>
          </w:p>
        </w:tc>
      </w:tr>
      <w:tr w14:paraId="5D10D7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78450019">
            <w:pPr>
              <w:spacing w:line="240" w:lineRule="atLeast"/>
              <w:jc w:val="center"/>
              <w:rPr>
                <w:rStyle w:val="28"/>
                <w:rFonts w:hint="eastAsia" w:ascii="仿宋" w:hAnsi="仿宋" w:eastAsia="仿宋" w:cs="仿宋"/>
                <w:color w:val="auto"/>
                <w:sz w:val="24"/>
                <w:highlight w:val="none"/>
              </w:rPr>
            </w:pPr>
            <w:r>
              <w:rPr>
                <w:rStyle w:val="28"/>
                <w:rFonts w:hint="eastAsia" w:ascii="仿宋" w:hAnsi="仿宋" w:eastAsia="仿宋" w:cs="仿宋"/>
                <w:color w:val="auto"/>
                <w:sz w:val="24"/>
                <w:highlight w:val="none"/>
                <w:lang w:eastAsia="zh-CN"/>
              </w:rPr>
              <w:t>·</w:t>
            </w:r>
            <w:r>
              <w:rPr>
                <w:rStyle w:val="28"/>
                <w:rFonts w:hint="eastAsia" w:ascii="仿宋" w:hAnsi="仿宋" w:eastAsia="仿宋" w:cs="仿宋"/>
                <w:color w:val="auto"/>
                <w:sz w:val="24"/>
                <w:highlight w:val="none"/>
              </w:rPr>
              <w:t>1.4.1</w:t>
            </w:r>
          </w:p>
        </w:tc>
        <w:tc>
          <w:tcPr>
            <w:tcW w:w="8294" w:type="dxa"/>
            <w:tcBorders>
              <w:top w:val="single" w:color="000000" w:sz="6" w:space="0"/>
              <w:left w:val="single" w:color="000000" w:sz="6" w:space="0"/>
              <w:bottom w:val="single" w:color="000000" w:sz="6" w:space="0"/>
              <w:right w:val="single" w:color="000000" w:sz="12" w:space="0"/>
            </w:tcBorders>
            <w:vAlign w:val="center"/>
          </w:tcPr>
          <w:p w14:paraId="73E44CE1">
            <w:pPr>
              <w:spacing w:line="240" w:lineRule="atLeast"/>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是否允许联合体投标：</w:t>
            </w:r>
            <w:r>
              <w:rPr>
                <w:rStyle w:val="28"/>
                <w:rFonts w:hint="eastAsia" w:ascii="仿宋" w:hAnsi="仿宋" w:eastAsia="仿宋" w:cs="仿宋"/>
                <w:color w:val="auto"/>
                <w:sz w:val="24"/>
                <w:highlight w:val="none"/>
                <w:u w:val="single"/>
                <w:lang w:eastAsia="zh-CN"/>
              </w:rPr>
              <w:t>否</w:t>
            </w:r>
          </w:p>
        </w:tc>
      </w:tr>
      <w:tr w14:paraId="59C4B2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337614E3">
            <w:pPr>
              <w:spacing w:line="240" w:lineRule="atLeast"/>
              <w:jc w:val="center"/>
              <w:rPr>
                <w:rStyle w:val="28"/>
                <w:rFonts w:hint="eastAsia" w:ascii="仿宋" w:hAnsi="仿宋" w:eastAsia="仿宋" w:cs="仿宋"/>
                <w:color w:val="auto"/>
                <w:sz w:val="24"/>
                <w:highlight w:val="none"/>
              </w:rPr>
            </w:pPr>
            <w:r>
              <w:rPr>
                <w:rStyle w:val="28"/>
                <w:rFonts w:hint="eastAsia" w:ascii="仿宋" w:hAnsi="仿宋" w:eastAsia="仿宋" w:cs="仿宋"/>
                <w:color w:val="auto"/>
                <w:sz w:val="24"/>
                <w:highlight w:val="none"/>
              </w:rPr>
              <w:t>1.4.2</w:t>
            </w:r>
          </w:p>
        </w:tc>
        <w:tc>
          <w:tcPr>
            <w:tcW w:w="8294" w:type="dxa"/>
            <w:tcBorders>
              <w:top w:val="single" w:color="000000" w:sz="6" w:space="0"/>
              <w:left w:val="single" w:color="000000" w:sz="6" w:space="0"/>
              <w:bottom w:val="single" w:color="000000" w:sz="6" w:space="0"/>
              <w:right w:val="single" w:color="000000" w:sz="12" w:space="0"/>
            </w:tcBorders>
            <w:vAlign w:val="center"/>
          </w:tcPr>
          <w:p w14:paraId="0442B870">
            <w:pPr>
              <w:spacing w:line="240" w:lineRule="atLeast"/>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联合体的其他资格要求：无</w:t>
            </w:r>
          </w:p>
        </w:tc>
      </w:tr>
      <w:tr w14:paraId="4244A3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071C8177">
            <w:pPr>
              <w:spacing w:line="240" w:lineRule="atLeast"/>
              <w:jc w:val="center"/>
              <w:rPr>
                <w:rStyle w:val="28"/>
                <w:rFonts w:hint="eastAsia" w:ascii="仿宋" w:hAnsi="仿宋" w:eastAsia="仿宋" w:cs="仿宋"/>
                <w:color w:val="auto"/>
                <w:sz w:val="24"/>
                <w:highlight w:val="none"/>
              </w:rPr>
            </w:pPr>
            <w:r>
              <w:rPr>
                <w:rStyle w:val="28"/>
                <w:rFonts w:hint="eastAsia" w:ascii="仿宋" w:hAnsi="仿宋" w:eastAsia="仿宋" w:cs="仿宋"/>
                <w:color w:val="auto"/>
                <w:sz w:val="24"/>
                <w:highlight w:val="none"/>
              </w:rPr>
              <w:t>2.1</w:t>
            </w:r>
          </w:p>
        </w:tc>
        <w:tc>
          <w:tcPr>
            <w:tcW w:w="8294" w:type="dxa"/>
            <w:tcBorders>
              <w:top w:val="single" w:color="000000" w:sz="6" w:space="0"/>
              <w:left w:val="single" w:color="000000" w:sz="6" w:space="0"/>
              <w:bottom w:val="single" w:color="000000" w:sz="6" w:space="0"/>
              <w:right w:val="single" w:color="000000" w:sz="12" w:space="0"/>
            </w:tcBorders>
            <w:vAlign w:val="center"/>
          </w:tcPr>
          <w:p w14:paraId="4784F0DC">
            <w:pPr>
              <w:spacing w:line="240" w:lineRule="atLeast"/>
              <w:rPr>
                <w:rStyle w:val="28"/>
                <w:rFonts w:hint="eastAsia" w:ascii="仿宋" w:hAnsi="仿宋" w:eastAsia="仿宋" w:cs="仿宋"/>
                <w:b/>
                <w:bCs/>
                <w:color w:val="auto"/>
                <w:sz w:val="24"/>
                <w:highlight w:val="none"/>
                <w:lang w:val="zh-CN" w:eastAsia="zh-CN"/>
              </w:rPr>
            </w:pPr>
            <w:r>
              <w:rPr>
                <w:rStyle w:val="28"/>
                <w:rFonts w:hint="eastAsia" w:ascii="仿宋" w:hAnsi="仿宋" w:eastAsia="仿宋" w:cs="仿宋"/>
                <w:b/>
                <w:bCs/>
                <w:color w:val="auto"/>
                <w:sz w:val="24"/>
                <w:highlight w:val="none"/>
                <w:lang w:val="zh-CN" w:eastAsia="zh-CN"/>
              </w:rPr>
              <w:t>采购预算：</w:t>
            </w:r>
            <w:r>
              <w:rPr>
                <w:rStyle w:val="28"/>
                <w:rFonts w:hint="eastAsia" w:ascii="仿宋" w:hAnsi="仿宋" w:eastAsia="仿宋" w:cs="仿宋"/>
                <w:color w:val="auto"/>
                <w:sz w:val="24"/>
                <w:highlight w:val="none"/>
                <w:lang w:val="en-US" w:eastAsia="zh-CN"/>
              </w:rPr>
              <w:t>2228527.2</w:t>
            </w:r>
            <w:r>
              <w:rPr>
                <w:rFonts w:hint="eastAsia" w:ascii="仿宋" w:hAnsi="仿宋" w:eastAsia="仿宋" w:cs="仿宋"/>
                <w:color w:val="auto"/>
                <w:kern w:val="2"/>
                <w:sz w:val="24"/>
                <w:highlight w:val="none"/>
                <w:lang w:eastAsia="zh-CN"/>
              </w:rPr>
              <w:t>元；最高限价：</w:t>
            </w:r>
            <w:r>
              <w:rPr>
                <w:rStyle w:val="28"/>
                <w:rFonts w:hint="eastAsia" w:ascii="仿宋" w:hAnsi="仿宋" w:eastAsia="仿宋" w:cs="仿宋"/>
                <w:color w:val="auto"/>
                <w:sz w:val="24"/>
                <w:highlight w:val="none"/>
                <w:lang w:val="en-US" w:eastAsia="zh-CN"/>
              </w:rPr>
              <w:t>2228527.2</w:t>
            </w:r>
            <w:r>
              <w:rPr>
                <w:rFonts w:hint="eastAsia" w:ascii="仿宋" w:hAnsi="仿宋" w:eastAsia="仿宋" w:cs="仿宋"/>
                <w:color w:val="auto"/>
                <w:kern w:val="2"/>
                <w:sz w:val="24"/>
                <w:highlight w:val="none"/>
                <w:lang w:eastAsia="zh-CN"/>
              </w:rPr>
              <w:t>元。</w:t>
            </w:r>
          </w:p>
          <w:p w14:paraId="010759E7">
            <w:pPr>
              <w:spacing w:line="240" w:lineRule="atLeast"/>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val="zh-CN" w:eastAsia="zh-CN"/>
              </w:rPr>
              <w:t>（超过最高限价的投标无效）；</w:t>
            </w:r>
          </w:p>
        </w:tc>
      </w:tr>
      <w:tr w14:paraId="707EBC1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5F5F5D25">
            <w:pPr>
              <w:spacing w:line="240" w:lineRule="atLeast"/>
              <w:jc w:val="center"/>
              <w:rPr>
                <w:rStyle w:val="28"/>
                <w:rFonts w:hint="eastAsia" w:ascii="仿宋" w:hAnsi="仿宋" w:eastAsia="仿宋" w:cs="仿宋"/>
                <w:color w:val="auto"/>
                <w:sz w:val="24"/>
                <w:highlight w:val="none"/>
                <w:lang w:val="zh-CN"/>
              </w:rPr>
            </w:pPr>
            <w:r>
              <w:rPr>
                <w:rStyle w:val="28"/>
                <w:rFonts w:hint="eastAsia" w:ascii="仿宋" w:hAnsi="仿宋" w:eastAsia="仿宋" w:cs="仿宋"/>
                <w:color w:val="auto"/>
                <w:sz w:val="24"/>
                <w:highlight w:val="none"/>
                <w:lang w:val="zh-CN"/>
              </w:rPr>
              <w:t>2.2</w:t>
            </w:r>
          </w:p>
        </w:tc>
        <w:tc>
          <w:tcPr>
            <w:tcW w:w="8294" w:type="dxa"/>
            <w:tcBorders>
              <w:top w:val="single" w:color="000000" w:sz="6" w:space="0"/>
              <w:left w:val="single" w:color="000000" w:sz="6" w:space="0"/>
              <w:bottom w:val="single" w:color="000000" w:sz="6" w:space="0"/>
              <w:right w:val="single" w:color="000000" w:sz="12" w:space="0"/>
            </w:tcBorders>
            <w:vAlign w:val="center"/>
          </w:tcPr>
          <w:p w14:paraId="027918C3">
            <w:pPr>
              <w:spacing w:line="240" w:lineRule="atLeast"/>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val="zh-CN" w:eastAsia="zh-CN"/>
              </w:rPr>
              <w:t>注：本项目不分标段</w:t>
            </w:r>
            <w:r>
              <w:rPr>
                <w:rFonts w:hint="eastAsia" w:ascii="仿宋" w:hAnsi="仿宋" w:eastAsia="仿宋" w:cs="仿宋"/>
                <w:bCs/>
                <w:color w:val="auto"/>
                <w:sz w:val="24"/>
                <w:szCs w:val="24"/>
                <w:highlight w:val="none"/>
                <w:lang w:eastAsia="zh-CN"/>
              </w:rPr>
              <w:t>。</w:t>
            </w:r>
          </w:p>
        </w:tc>
      </w:tr>
      <w:tr w14:paraId="0C2EFB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29"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06C0535C">
            <w:pPr>
              <w:spacing w:line="240" w:lineRule="atLeast"/>
              <w:jc w:val="center"/>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rPr>
              <w:t>12.1</w:t>
            </w:r>
          </w:p>
        </w:tc>
        <w:tc>
          <w:tcPr>
            <w:tcW w:w="8294" w:type="dxa"/>
            <w:tcBorders>
              <w:top w:val="single" w:color="000000" w:sz="6" w:space="0"/>
              <w:left w:val="single" w:color="000000" w:sz="6" w:space="0"/>
              <w:bottom w:val="single" w:color="000000" w:sz="6" w:space="0"/>
              <w:right w:val="single" w:color="000000" w:sz="12" w:space="0"/>
            </w:tcBorders>
            <w:vAlign w:val="center"/>
          </w:tcPr>
          <w:tbl>
            <w:tblPr>
              <w:tblStyle w:val="37"/>
              <w:tblW w:w="859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93"/>
            </w:tblGrid>
            <w:tr w14:paraId="0C338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1" w:hRule="atLeast"/>
              </w:trPr>
              <w:tc>
                <w:tcPr>
                  <w:tcW w:w="8593" w:type="dxa"/>
                  <w:tcBorders>
                    <w:right w:val="single" w:color="000000" w:sz="10" w:space="0"/>
                  </w:tcBorders>
                </w:tcPr>
                <w:p w14:paraId="12A7D8F0">
                  <w:pPr>
                    <w:spacing w:before="43" w:line="408" w:lineRule="exact"/>
                    <w:ind w:left="6"/>
                    <w:rPr>
                      <w:rFonts w:hint="eastAsia" w:ascii="仿宋" w:hAnsi="仿宋" w:eastAsia="仿宋" w:cs="仿宋"/>
                      <w:color w:val="auto"/>
                      <w:kern w:val="2"/>
                      <w:sz w:val="24"/>
                      <w:szCs w:val="24"/>
                      <w:highlight w:val="none"/>
                      <w:lang w:eastAsia="zh-CN"/>
                    </w:rPr>
                  </w:pPr>
                  <w:r>
                    <w:rPr>
                      <w:rFonts w:hint="eastAsia" w:ascii="仿宋" w:hAnsi="仿宋" w:eastAsia="仿宋" w:cs="仿宋"/>
                      <w:spacing w:val="3"/>
                      <w:position w:val="4"/>
                      <w:sz w:val="23"/>
                      <w:szCs w:val="23"/>
                      <w:highlight w:val="none"/>
                      <w:lang w:eastAsia="zh-CN"/>
                    </w:rPr>
                    <w:t>投标保证金形式：</w:t>
                  </w:r>
                  <w:r>
                    <w:rPr>
                      <w:rFonts w:hint="eastAsia" w:ascii="仿宋" w:hAnsi="仿宋" w:eastAsia="仿宋" w:cs="仿宋"/>
                      <w:color w:val="auto"/>
                      <w:kern w:val="2"/>
                      <w:sz w:val="24"/>
                      <w:szCs w:val="24"/>
                      <w:highlight w:val="none"/>
                      <w:lang w:eastAsia="zh-CN"/>
                    </w:rPr>
                    <w:t>☑电汇☑支票☑本票☑保函☑等非现金形式提交</w:t>
                  </w:r>
                </w:p>
                <w:p w14:paraId="1FB5761A">
                  <w:pPr>
                    <w:spacing w:before="43" w:line="408" w:lineRule="exact"/>
                    <w:ind w:left="6"/>
                    <w:rPr>
                      <w:rFonts w:hint="default"/>
                      <w:highlight w:val="none"/>
                      <w:lang w:val="en-US" w:eastAsia="zh-CN"/>
                    </w:rPr>
                  </w:pPr>
                  <w:r>
                    <w:rPr>
                      <w:rFonts w:hint="eastAsia" w:ascii="仿宋" w:hAnsi="仿宋" w:eastAsia="仿宋" w:cs="仿宋"/>
                      <w:spacing w:val="2"/>
                      <w:position w:val="4"/>
                      <w:sz w:val="23"/>
                      <w:szCs w:val="23"/>
                      <w:highlight w:val="none"/>
                      <w:lang w:eastAsia="zh-CN"/>
                    </w:rPr>
                    <w:t>投标保证金数额：</w:t>
                  </w:r>
                  <w:r>
                    <w:rPr>
                      <w:rFonts w:hint="eastAsia" w:ascii="仿宋" w:hAnsi="仿宋" w:eastAsia="仿宋" w:cs="仿宋"/>
                      <w:spacing w:val="2"/>
                      <w:position w:val="4"/>
                      <w:sz w:val="23"/>
                      <w:szCs w:val="23"/>
                      <w:highlight w:val="none"/>
                      <w:lang w:val="en-US" w:eastAsia="zh-CN"/>
                    </w:rPr>
                    <w:t>20</w:t>
                  </w:r>
                  <w:r>
                    <w:rPr>
                      <w:rFonts w:hint="eastAsia" w:ascii="仿宋" w:hAnsi="仿宋" w:eastAsia="仿宋" w:cs="仿宋"/>
                      <w:spacing w:val="2"/>
                      <w:position w:val="4"/>
                      <w:sz w:val="23"/>
                      <w:szCs w:val="23"/>
                      <w:highlight w:val="none"/>
                      <w:lang w:eastAsia="zh-CN"/>
                    </w:rPr>
                    <w:t>000元（</w:t>
                  </w:r>
                  <w:r>
                    <w:rPr>
                      <w:rFonts w:hint="eastAsia" w:ascii="仿宋" w:hAnsi="仿宋" w:eastAsia="仿宋" w:cs="仿宋"/>
                      <w:spacing w:val="2"/>
                      <w:position w:val="4"/>
                      <w:sz w:val="23"/>
                      <w:szCs w:val="23"/>
                      <w:highlight w:val="none"/>
                      <w:lang w:val="en-US" w:eastAsia="zh-CN"/>
                    </w:rPr>
                    <w:t>贰万元整</w:t>
                  </w:r>
                  <w:r>
                    <w:rPr>
                      <w:rFonts w:hint="eastAsia" w:ascii="仿宋" w:hAnsi="仿宋" w:eastAsia="仿宋" w:cs="仿宋"/>
                      <w:spacing w:val="2"/>
                      <w:position w:val="4"/>
                      <w:sz w:val="23"/>
                      <w:szCs w:val="23"/>
                      <w:highlight w:val="none"/>
                      <w:lang w:eastAsia="zh-CN"/>
                    </w:rPr>
                    <w:t>）；</w:t>
                  </w:r>
                </w:p>
                <w:p w14:paraId="3A5CE8DC">
                  <w:pPr>
                    <w:spacing w:before="34" w:line="244" w:lineRule="auto"/>
                    <w:ind w:left="9" w:right="61" w:firstLine="5"/>
                    <w:jc w:val="both"/>
                    <w:rPr>
                      <w:rFonts w:hint="eastAsia" w:ascii="仿宋" w:hAnsi="仿宋" w:eastAsia="仿宋" w:cs="仿宋"/>
                      <w:spacing w:val="2"/>
                      <w:position w:val="4"/>
                      <w:sz w:val="23"/>
                      <w:szCs w:val="23"/>
                      <w:highlight w:val="none"/>
                      <w:lang w:eastAsia="zh-CN"/>
                    </w:rPr>
                  </w:pPr>
                  <w:r>
                    <w:rPr>
                      <w:rFonts w:hint="eastAsia" w:ascii="仿宋" w:hAnsi="仿宋" w:eastAsia="仿宋" w:cs="仿宋"/>
                      <w:spacing w:val="2"/>
                      <w:position w:val="4"/>
                      <w:sz w:val="23"/>
                      <w:szCs w:val="23"/>
                      <w:highlight w:val="none"/>
                      <w:lang w:eastAsia="zh-CN"/>
                    </w:rPr>
                    <w:t>投标保证金缴纳账户：伽师县卫生健康委员会</w:t>
                  </w:r>
                </w:p>
                <w:p w14:paraId="6AF1CFF7">
                  <w:pPr>
                    <w:spacing w:before="34" w:line="244" w:lineRule="auto"/>
                    <w:ind w:left="9" w:right="61" w:firstLine="5"/>
                    <w:jc w:val="both"/>
                    <w:rPr>
                      <w:rFonts w:hint="eastAsia" w:ascii="仿宋" w:hAnsi="仿宋" w:eastAsia="仿宋" w:cs="仿宋"/>
                      <w:spacing w:val="2"/>
                      <w:position w:val="4"/>
                      <w:sz w:val="23"/>
                      <w:szCs w:val="23"/>
                      <w:highlight w:val="none"/>
                      <w:lang w:eastAsia="zh-CN"/>
                    </w:rPr>
                  </w:pPr>
                  <w:r>
                    <w:rPr>
                      <w:rFonts w:hint="eastAsia" w:ascii="仿宋" w:hAnsi="仿宋" w:eastAsia="仿宋" w:cs="仿宋"/>
                      <w:spacing w:val="2"/>
                      <w:position w:val="4"/>
                      <w:sz w:val="23"/>
                      <w:szCs w:val="23"/>
                      <w:highlight w:val="none"/>
                      <w:lang w:eastAsia="zh-CN"/>
                    </w:rPr>
                    <w:t>银行账号：865010012010102912781　</w:t>
                  </w:r>
                </w:p>
                <w:p w14:paraId="4DA09582">
                  <w:pPr>
                    <w:spacing w:before="34" w:line="244" w:lineRule="auto"/>
                    <w:ind w:left="9" w:right="61" w:firstLine="5"/>
                    <w:jc w:val="both"/>
                    <w:rPr>
                      <w:rFonts w:hint="default" w:ascii="仿宋" w:hAnsi="仿宋" w:eastAsia="仿宋" w:cs="仿宋"/>
                      <w:spacing w:val="2"/>
                      <w:position w:val="4"/>
                      <w:sz w:val="23"/>
                      <w:szCs w:val="23"/>
                      <w:highlight w:val="none"/>
                      <w:lang w:val="en-US" w:eastAsia="zh-CN"/>
                    </w:rPr>
                  </w:pPr>
                  <w:r>
                    <w:rPr>
                      <w:rFonts w:hint="eastAsia" w:ascii="仿宋" w:hAnsi="仿宋" w:eastAsia="仿宋" w:cs="仿宋"/>
                      <w:spacing w:val="2"/>
                      <w:position w:val="4"/>
                      <w:sz w:val="23"/>
                      <w:szCs w:val="23"/>
                      <w:highlight w:val="none"/>
                      <w:lang w:eastAsia="zh-CN"/>
                    </w:rPr>
                    <w:t>开 户 行：</w:t>
                  </w:r>
                  <w:r>
                    <w:rPr>
                      <w:rFonts w:hint="eastAsia" w:ascii="仿宋" w:hAnsi="仿宋" w:eastAsia="仿宋" w:cs="仿宋"/>
                      <w:color w:val="auto"/>
                      <w:sz w:val="24"/>
                      <w:highlight w:val="none"/>
                      <w:lang w:eastAsia="zh-CN"/>
                    </w:rPr>
                    <w:t>伽师县农村信用合作联社</w:t>
                  </w:r>
                </w:p>
                <w:p w14:paraId="571D9875">
                  <w:pPr>
                    <w:spacing w:before="34" w:line="244" w:lineRule="auto"/>
                    <w:ind w:left="9" w:right="61" w:firstLine="5"/>
                    <w:jc w:val="both"/>
                    <w:rPr>
                      <w:rFonts w:hint="eastAsia" w:ascii="仿宋" w:hAnsi="仿宋" w:eastAsia="仿宋" w:cs="仿宋"/>
                      <w:sz w:val="23"/>
                      <w:szCs w:val="23"/>
                      <w:highlight w:val="none"/>
                      <w:lang w:eastAsia="zh-CN"/>
                    </w:rPr>
                  </w:pPr>
                  <w:r>
                    <w:rPr>
                      <w:rFonts w:hint="eastAsia" w:ascii="仿宋" w:hAnsi="仿宋" w:eastAsia="仿宋" w:cs="仿宋"/>
                      <w:b/>
                      <w:bCs/>
                      <w:spacing w:val="2"/>
                      <w:position w:val="4"/>
                      <w:sz w:val="23"/>
                      <w:szCs w:val="23"/>
                      <w:highlight w:val="none"/>
                      <w:lang w:eastAsia="zh-CN"/>
                    </w:rPr>
                    <w:t>注：退还投标保证金时需提供开户信息及开户行行号，请主动联系提供相</w:t>
                  </w:r>
                  <w:r>
                    <w:rPr>
                      <w:rFonts w:hint="eastAsia" w:ascii="仿宋" w:hAnsi="仿宋" w:eastAsia="仿宋" w:cs="仿宋"/>
                      <w:spacing w:val="2"/>
                      <w:position w:val="4"/>
                      <w:sz w:val="23"/>
                      <w:szCs w:val="23"/>
                      <w:highlight w:val="none"/>
                      <w:lang w:eastAsia="zh-CN"/>
                    </w:rPr>
                    <w:t>关资料。</w:t>
                  </w:r>
                  <w:r>
                    <w:rPr>
                      <w:rFonts w:hint="eastAsia" w:ascii="仿宋" w:hAnsi="仿宋" w:eastAsia="仿宋" w:cs="仿宋"/>
                      <w:b/>
                      <w:bCs/>
                      <w:spacing w:val="6"/>
                      <w:sz w:val="23"/>
                      <w:szCs w:val="23"/>
                      <w:highlight w:val="none"/>
                      <w:lang w:eastAsia="zh-CN"/>
                    </w:rPr>
                    <w:t>（根据中华人民共和国财政部令第</w:t>
                  </w:r>
                  <w:r>
                    <w:rPr>
                      <w:rFonts w:hint="eastAsia" w:ascii="仿宋" w:hAnsi="仿宋" w:eastAsia="仿宋" w:cs="仿宋"/>
                      <w:spacing w:val="-36"/>
                      <w:sz w:val="23"/>
                      <w:szCs w:val="23"/>
                      <w:highlight w:val="none"/>
                      <w:lang w:eastAsia="zh-CN"/>
                    </w:rPr>
                    <w:t xml:space="preserve"> </w:t>
                  </w:r>
                  <w:r>
                    <w:rPr>
                      <w:rFonts w:hint="eastAsia" w:ascii="仿宋" w:hAnsi="仿宋" w:eastAsia="仿宋" w:cs="仿宋"/>
                      <w:b/>
                      <w:bCs/>
                      <w:spacing w:val="6"/>
                      <w:sz w:val="23"/>
                      <w:szCs w:val="23"/>
                      <w:highlight w:val="none"/>
                      <w:lang w:eastAsia="zh-CN"/>
                    </w:rPr>
                    <w:t>87</w:t>
                  </w:r>
                  <w:r>
                    <w:rPr>
                      <w:rFonts w:hint="eastAsia" w:ascii="仿宋" w:hAnsi="仿宋" w:eastAsia="仿宋" w:cs="仿宋"/>
                      <w:spacing w:val="-31"/>
                      <w:sz w:val="23"/>
                      <w:szCs w:val="23"/>
                      <w:highlight w:val="none"/>
                      <w:lang w:eastAsia="zh-CN"/>
                    </w:rPr>
                    <w:t xml:space="preserve"> </w:t>
                  </w:r>
                  <w:r>
                    <w:rPr>
                      <w:rFonts w:hint="eastAsia" w:ascii="仿宋" w:hAnsi="仿宋" w:eastAsia="仿宋" w:cs="仿宋"/>
                      <w:b/>
                      <w:bCs/>
                      <w:spacing w:val="6"/>
                      <w:sz w:val="23"/>
                      <w:szCs w:val="23"/>
                      <w:highlight w:val="none"/>
                      <w:lang w:eastAsia="zh-CN"/>
                    </w:rPr>
                    <w:t>号《政府采购货物和服务招标投</w:t>
                  </w:r>
                  <w:r>
                    <w:rPr>
                      <w:rFonts w:hint="eastAsia" w:ascii="仿宋" w:hAnsi="仿宋" w:eastAsia="仿宋" w:cs="仿宋"/>
                      <w:sz w:val="23"/>
                      <w:szCs w:val="23"/>
                      <w:highlight w:val="none"/>
                      <w:lang w:eastAsia="zh-CN"/>
                    </w:rPr>
                    <w:t xml:space="preserve">  </w:t>
                  </w:r>
                  <w:r>
                    <w:rPr>
                      <w:rFonts w:hint="eastAsia" w:ascii="仿宋" w:hAnsi="仿宋" w:eastAsia="仿宋" w:cs="仿宋"/>
                      <w:b/>
                      <w:bCs/>
                      <w:spacing w:val="5"/>
                      <w:sz w:val="23"/>
                      <w:szCs w:val="23"/>
                      <w:highlight w:val="none"/>
                      <w:lang w:eastAsia="zh-CN"/>
                    </w:rPr>
                    <w:t>标管理办法》第</w:t>
                  </w:r>
                  <w:r>
                    <w:rPr>
                      <w:rFonts w:hint="eastAsia" w:ascii="仿宋" w:hAnsi="仿宋" w:eastAsia="仿宋" w:cs="仿宋"/>
                      <w:spacing w:val="-34"/>
                      <w:sz w:val="23"/>
                      <w:szCs w:val="23"/>
                      <w:highlight w:val="none"/>
                      <w:lang w:eastAsia="zh-CN"/>
                    </w:rPr>
                    <w:t xml:space="preserve"> </w:t>
                  </w:r>
                  <w:r>
                    <w:rPr>
                      <w:rFonts w:hint="eastAsia" w:ascii="仿宋" w:hAnsi="仿宋" w:eastAsia="仿宋" w:cs="仿宋"/>
                      <w:b/>
                      <w:bCs/>
                      <w:spacing w:val="5"/>
                      <w:sz w:val="23"/>
                      <w:szCs w:val="23"/>
                      <w:highlight w:val="none"/>
                      <w:lang w:eastAsia="zh-CN"/>
                    </w:rPr>
                    <w:t>38</w:t>
                  </w:r>
                  <w:r>
                    <w:rPr>
                      <w:rFonts w:hint="eastAsia" w:ascii="仿宋" w:hAnsi="仿宋" w:eastAsia="仿宋" w:cs="仿宋"/>
                      <w:spacing w:val="-34"/>
                      <w:sz w:val="23"/>
                      <w:szCs w:val="23"/>
                      <w:highlight w:val="none"/>
                      <w:lang w:eastAsia="zh-CN"/>
                    </w:rPr>
                    <w:t xml:space="preserve"> </w:t>
                  </w:r>
                  <w:r>
                    <w:rPr>
                      <w:rFonts w:hint="eastAsia" w:ascii="仿宋" w:hAnsi="仿宋" w:eastAsia="仿宋" w:cs="仿宋"/>
                      <w:b/>
                      <w:bCs/>
                      <w:spacing w:val="5"/>
                      <w:sz w:val="23"/>
                      <w:szCs w:val="23"/>
                      <w:highlight w:val="none"/>
                      <w:lang w:eastAsia="zh-CN"/>
                    </w:rPr>
                    <w:t>条：投标保证金应当自中标通知书发出之日起</w:t>
                  </w:r>
                  <w:r>
                    <w:rPr>
                      <w:rFonts w:hint="eastAsia" w:ascii="仿宋" w:hAnsi="仿宋" w:eastAsia="仿宋" w:cs="仿宋"/>
                      <w:spacing w:val="-39"/>
                      <w:sz w:val="23"/>
                      <w:szCs w:val="23"/>
                      <w:highlight w:val="none"/>
                      <w:lang w:eastAsia="zh-CN"/>
                    </w:rPr>
                    <w:t xml:space="preserve"> </w:t>
                  </w:r>
                  <w:r>
                    <w:rPr>
                      <w:rFonts w:hint="eastAsia" w:ascii="仿宋" w:hAnsi="仿宋" w:eastAsia="仿宋" w:cs="仿宋"/>
                      <w:b/>
                      <w:bCs/>
                      <w:spacing w:val="5"/>
                      <w:sz w:val="23"/>
                      <w:szCs w:val="23"/>
                      <w:highlight w:val="none"/>
                      <w:lang w:eastAsia="zh-CN"/>
                    </w:rPr>
                    <w:t>5</w:t>
                  </w:r>
                  <w:r>
                    <w:rPr>
                      <w:rFonts w:hint="eastAsia" w:ascii="仿宋" w:hAnsi="仿宋" w:eastAsia="仿宋" w:cs="仿宋"/>
                      <w:spacing w:val="-38"/>
                      <w:sz w:val="23"/>
                      <w:szCs w:val="23"/>
                      <w:highlight w:val="none"/>
                      <w:lang w:eastAsia="zh-CN"/>
                    </w:rPr>
                    <w:t xml:space="preserve"> </w:t>
                  </w:r>
                  <w:r>
                    <w:rPr>
                      <w:rFonts w:hint="eastAsia" w:ascii="仿宋" w:hAnsi="仿宋" w:eastAsia="仿宋" w:cs="仿宋"/>
                      <w:b/>
                      <w:bCs/>
                      <w:spacing w:val="5"/>
                      <w:sz w:val="23"/>
                      <w:szCs w:val="23"/>
                      <w:highlight w:val="none"/>
                      <w:lang w:eastAsia="zh-CN"/>
                    </w:rPr>
                    <w:t>个</w:t>
                  </w:r>
                  <w:r>
                    <w:rPr>
                      <w:rFonts w:hint="eastAsia" w:ascii="仿宋" w:hAnsi="仿宋" w:eastAsia="仿宋" w:cs="仿宋"/>
                      <w:b/>
                      <w:bCs/>
                      <w:spacing w:val="7"/>
                      <w:sz w:val="23"/>
                      <w:szCs w:val="23"/>
                      <w:highlight w:val="none"/>
                      <w:lang w:eastAsia="zh-CN"/>
                    </w:rPr>
                    <w:t>工作日内退还未中标人的投标保证金，采购人自采购合同签订之日起</w:t>
                  </w:r>
                  <w:r>
                    <w:rPr>
                      <w:rFonts w:hint="eastAsia" w:ascii="仿宋" w:hAnsi="仿宋" w:eastAsia="仿宋" w:cs="仿宋"/>
                      <w:spacing w:val="-32"/>
                      <w:sz w:val="23"/>
                      <w:szCs w:val="23"/>
                      <w:highlight w:val="none"/>
                      <w:lang w:eastAsia="zh-CN"/>
                    </w:rPr>
                    <w:t xml:space="preserve"> </w:t>
                  </w:r>
                  <w:r>
                    <w:rPr>
                      <w:rFonts w:hint="eastAsia" w:ascii="仿宋" w:hAnsi="仿宋" w:eastAsia="仿宋" w:cs="仿宋"/>
                      <w:b/>
                      <w:bCs/>
                      <w:spacing w:val="7"/>
                      <w:sz w:val="23"/>
                      <w:szCs w:val="23"/>
                      <w:highlight w:val="none"/>
                      <w:lang w:eastAsia="zh-CN"/>
                    </w:rPr>
                    <w:t>5</w:t>
                  </w:r>
                  <w:r>
                    <w:rPr>
                      <w:rFonts w:hint="eastAsia" w:ascii="仿宋" w:hAnsi="仿宋" w:eastAsia="仿宋" w:cs="仿宋"/>
                      <w:sz w:val="23"/>
                      <w:szCs w:val="23"/>
                      <w:highlight w:val="none"/>
                      <w:lang w:eastAsia="zh-CN"/>
                    </w:rPr>
                    <w:t xml:space="preserve"> </w:t>
                  </w:r>
                  <w:r>
                    <w:rPr>
                      <w:rFonts w:hint="eastAsia" w:ascii="仿宋" w:hAnsi="仿宋" w:eastAsia="仿宋" w:cs="仿宋"/>
                      <w:b/>
                      <w:bCs/>
                      <w:spacing w:val="6"/>
                      <w:sz w:val="23"/>
                      <w:szCs w:val="23"/>
                      <w:highlight w:val="none"/>
                      <w:lang w:eastAsia="zh-CN"/>
                    </w:rPr>
                    <w:t>个工作日内退还中标人的投标保证金。）</w:t>
                  </w:r>
                </w:p>
                <w:p w14:paraId="20B0DD9B">
                  <w:pPr>
                    <w:spacing w:before="29" w:line="215" w:lineRule="auto"/>
                    <w:ind w:left="6"/>
                    <w:rPr>
                      <w:rFonts w:hint="eastAsia" w:ascii="仿宋" w:hAnsi="仿宋" w:eastAsia="仿宋" w:cs="仿宋"/>
                      <w:sz w:val="23"/>
                      <w:szCs w:val="23"/>
                      <w:highlight w:val="none"/>
                      <w:lang w:eastAsia="zh-CN"/>
                    </w:rPr>
                  </w:pPr>
                  <w:r>
                    <w:rPr>
                      <w:rFonts w:hint="eastAsia" w:ascii="仿宋" w:hAnsi="仿宋" w:eastAsia="仿宋" w:cs="仿宋"/>
                      <w:b/>
                      <w:bCs/>
                      <w:spacing w:val="7"/>
                      <w:sz w:val="23"/>
                      <w:szCs w:val="23"/>
                      <w:highlight w:val="none"/>
                      <w:lang w:eastAsia="zh-CN"/>
                    </w:rPr>
                    <w:t>投标人未按招标文件规定缴纳投标保证金的</w:t>
                  </w:r>
                  <w:r>
                    <w:rPr>
                      <w:rFonts w:hint="eastAsia" w:ascii="仿宋" w:hAnsi="仿宋" w:eastAsia="仿宋" w:cs="仿宋"/>
                      <w:b/>
                      <w:bCs/>
                      <w:spacing w:val="6"/>
                      <w:sz w:val="23"/>
                      <w:szCs w:val="23"/>
                      <w:highlight w:val="none"/>
                      <w:lang w:eastAsia="zh-CN"/>
                    </w:rPr>
                    <w:t>,投标文件将被拒绝评审。</w:t>
                  </w:r>
                </w:p>
              </w:tc>
            </w:tr>
          </w:tbl>
          <w:p w14:paraId="480CEA22">
            <w:pPr>
              <w:pStyle w:val="17"/>
              <w:rPr>
                <w:rFonts w:hint="eastAsia" w:ascii="仿宋" w:hAnsi="仿宋" w:eastAsia="仿宋" w:cs="仿宋"/>
                <w:color w:val="auto"/>
                <w:highlight w:val="none"/>
                <w:lang w:eastAsia="zh-CN"/>
              </w:rPr>
            </w:pPr>
          </w:p>
        </w:tc>
      </w:tr>
      <w:tr w14:paraId="5D88BA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60607E5A">
            <w:pPr>
              <w:spacing w:line="240" w:lineRule="atLeast"/>
              <w:jc w:val="center"/>
              <w:rPr>
                <w:rStyle w:val="28"/>
                <w:rFonts w:hint="eastAsia" w:ascii="仿宋" w:hAnsi="仿宋" w:eastAsia="仿宋" w:cs="仿宋"/>
                <w:color w:val="auto"/>
                <w:sz w:val="24"/>
                <w:highlight w:val="none"/>
              </w:rPr>
            </w:pPr>
            <w:r>
              <w:rPr>
                <w:rStyle w:val="28"/>
                <w:rFonts w:hint="eastAsia" w:ascii="仿宋" w:hAnsi="仿宋" w:eastAsia="仿宋" w:cs="仿宋"/>
                <w:color w:val="auto"/>
                <w:sz w:val="24"/>
                <w:highlight w:val="none"/>
              </w:rPr>
              <w:t>13.1</w:t>
            </w:r>
          </w:p>
        </w:tc>
        <w:tc>
          <w:tcPr>
            <w:tcW w:w="8294" w:type="dxa"/>
            <w:tcBorders>
              <w:top w:val="single" w:color="000000" w:sz="6" w:space="0"/>
              <w:left w:val="single" w:color="000000" w:sz="6" w:space="0"/>
              <w:bottom w:val="single" w:color="000000" w:sz="6" w:space="0"/>
              <w:right w:val="single" w:color="000000" w:sz="12" w:space="0"/>
            </w:tcBorders>
            <w:vAlign w:val="center"/>
          </w:tcPr>
          <w:p w14:paraId="0B39FE62">
            <w:pPr>
              <w:spacing w:line="240" w:lineRule="atLeast"/>
              <w:rPr>
                <w:rStyle w:val="28"/>
                <w:rFonts w:hint="eastAsia" w:ascii="仿宋" w:hAnsi="仿宋" w:eastAsia="仿宋" w:cs="仿宋"/>
                <w:color w:val="auto"/>
                <w:sz w:val="24"/>
                <w:highlight w:val="none"/>
                <w:u w:val="single" w:color="000000"/>
              </w:rPr>
            </w:pPr>
            <w:r>
              <w:rPr>
                <w:rStyle w:val="28"/>
                <w:rFonts w:hint="eastAsia" w:ascii="仿宋" w:hAnsi="仿宋" w:eastAsia="仿宋" w:cs="仿宋"/>
                <w:color w:val="auto"/>
                <w:sz w:val="24"/>
                <w:highlight w:val="none"/>
              </w:rPr>
              <w:t>投标有效期：</w:t>
            </w:r>
            <w:r>
              <w:rPr>
                <w:rStyle w:val="28"/>
                <w:rFonts w:hint="eastAsia" w:ascii="仿宋" w:hAnsi="仿宋" w:eastAsia="仿宋" w:cs="仿宋"/>
                <w:color w:val="auto"/>
                <w:sz w:val="24"/>
                <w:highlight w:val="none"/>
                <w:u w:val="single" w:color="000000"/>
              </w:rPr>
              <w:t>90</w:t>
            </w:r>
            <w:r>
              <w:rPr>
                <w:rStyle w:val="28"/>
                <w:rFonts w:hint="eastAsia" w:ascii="仿宋" w:hAnsi="仿宋" w:eastAsia="仿宋" w:cs="仿宋"/>
                <w:color w:val="auto"/>
                <w:sz w:val="24"/>
                <w:highlight w:val="none"/>
              </w:rPr>
              <w:t>日历日</w:t>
            </w:r>
          </w:p>
        </w:tc>
      </w:tr>
      <w:tr w14:paraId="47E39D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26"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00C33E86">
            <w:pPr>
              <w:jc w:val="center"/>
              <w:rPr>
                <w:rStyle w:val="28"/>
                <w:rFonts w:hint="eastAsia" w:ascii="仿宋" w:hAnsi="仿宋" w:eastAsia="仿宋" w:cs="仿宋"/>
                <w:color w:val="auto"/>
                <w:sz w:val="24"/>
                <w:highlight w:val="none"/>
              </w:rPr>
            </w:pPr>
            <w:r>
              <w:rPr>
                <w:rStyle w:val="28"/>
                <w:rFonts w:hint="eastAsia" w:ascii="仿宋" w:hAnsi="仿宋" w:eastAsia="仿宋" w:cs="仿宋"/>
                <w:color w:val="auto"/>
                <w:sz w:val="24"/>
                <w:highlight w:val="none"/>
              </w:rPr>
              <w:t>14.1</w:t>
            </w:r>
          </w:p>
        </w:tc>
        <w:tc>
          <w:tcPr>
            <w:tcW w:w="8294" w:type="dxa"/>
            <w:tcBorders>
              <w:top w:val="single" w:color="000000" w:sz="6" w:space="0"/>
              <w:left w:val="single" w:color="000000" w:sz="6" w:space="0"/>
              <w:bottom w:val="single" w:color="000000" w:sz="6" w:space="0"/>
              <w:right w:val="single" w:color="000000" w:sz="12" w:space="0"/>
            </w:tcBorders>
            <w:vAlign w:val="center"/>
          </w:tcPr>
          <w:p w14:paraId="584370D1">
            <w:pPr>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bidi="ar"/>
              </w:rPr>
              <w:t xml:space="preserve">1.本项目为电子招投标，供应商需要使用 CA 加密设备，凡参加本项目必须可自主通过新疆CA申领渠道“新疆政务通”申请政采云平台可使用的 CA 设备，如原有兵团或公共资源使用的 CA，可与新疆 CA 联系，申请增加电子证书即可，无需重复申领。 </w:t>
            </w:r>
          </w:p>
          <w:p w14:paraId="1A391302">
            <w:pPr>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bidi="ar"/>
              </w:rPr>
              <w:t xml:space="preserve">2.本项目实行网上投标，采用电子投标文件(供应商须使用 CA 加密设备通过政采云电子投标客户端制作投标文件)。若供应商参与投标，自行承担投标一切费用。 </w:t>
            </w:r>
          </w:p>
          <w:p w14:paraId="4A50CA42">
            <w:pPr>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bidi="ar"/>
              </w:rPr>
              <w:t xml:space="preserve">3.各供应商应在开标前应确保成为新疆政府采购网正式注册入库供应商，并完成 CA 数字证书申领。因未注册入库、未办理 CA 数字证书等原因造成无法投标或投标失败等后果由供应商自行承担。 </w:t>
            </w:r>
          </w:p>
          <w:p w14:paraId="1BCA5754">
            <w:pPr>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bidi="ar"/>
              </w:rPr>
              <w:t xml:space="preserve">4.供应商将政采云电子交易客户端下载、安装完成后，可通过账号密码或 CA 登录客户端进行投标文件制作。在使用政采云投标客户端时，建议使用WIN7及以上操作系统。 客户 端请至新疆政府采购网（http://www.ccgp-xinjiang.gov.cn/）下载专区查看，如有问题可拨打政采云客户服务热线 95763 进行咨询。 </w:t>
            </w:r>
          </w:p>
          <w:p w14:paraId="10952095">
            <w:pPr>
              <w:rPr>
                <w:rFonts w:hint="eastAsia" w:ascii="仿宋" w:hAnsi="仿宋" w:eastAsia="仿宋" w:cs="仿宋"/>
                <w:color w:val="auto"/>
                <w:sz w:val="24"/>
                <w:szCs w:val="24"/>
                <w:highlight w:val="none"/>
                <w:lang w:eastAsia="zh-CN" w:bidi="ar"/>
              </w:rPr>
            </w:pPr>
            <w:r>
              <w:rPr>
                <w:rFonts w:hint="eastAsia" w:ascii="仿宋" w:hAnsi="仿宋" w:eastAsia="仿宋" w:cs="仿宋"/>
                <w:color w:val="auto"/>
                <w:sz w:val="24"/>
                <w:szCs w:val="24"/>
                <w:highlight w:val="none"/>
                <w:lang w:eastAsia="zh-CN" w:bidi="ar"/>
              </w:rPr>
              <w:t>5.供应商在开标时须使用制作加密电子投标文件所使用的 CA 锁及电脑，电脑须提前配置好浏览器（建议使用谷歌浏览器），以便开标时解锁。为了保证开评标顺利进行，政采云线上开标功能完全实现，供应商开标所使用的电脑设备须具有视频及语音功能。</w:t>
            </w:r>
          </w:p>
          <w:p w14:paraId="045AA95F">
            <w:pPr>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bidi="ar"/>
              </w:rPr>
              <w:t xml:space="preserve">6.投标保证金缴纳及确认时间：凡拟参加本次招标项目的供应商，必须在开标前将投标保证金汇入指定账户。投标保证金汇款凭证上用途栏应注明:招标项目名称+标项号+投标保证金。否则，届时其投标将被拒绝。 </w:t>
            </w:r>
          </w:p>
          <w:p w14:paraId="31D2A326">
            <w:pPr>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bidi="ar"/>
              </w:rPr>
              <w:t xml:space="preserve">7. 供应商对不见面开评标系统的技术操作咨询，可通过https://edu.zcygov.cn/luban/xinjiang-e-biding 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 </w:t>
            </w:r>
          </w:p>
          <w:p w14:paraId="2ED6DBBD">
            <w:pPr>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bidi="ar"/>
              </w:rPr>
              <w:t xml:space="preserve">8.各供应商须在投标截止时间前完成在系统上递交电子投标文件。 </w:t>
            </w:r>
          </w:p>
          <w:p w14:paraId="290438AC">
            <w:pPr>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bidi="ar"/>
              </w:rPr>
              <w:t xml:space="preserve">供应商的电子投标文件是经过 CA 证书加密后上传提交的，任何单位或个人均无法在投标截止时间(即开标时间)之前查看或篡改，不存在泄密风险。（严格按照政采云电子投标流程制作并上传电子投标文件） </w:t>
            </w:r>
          </w:p>
          <w:p w14:paraId="716FB9B5">
            <w:pPr>
              <w:rPr>
                <w:rStyle w:val="28"/>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eastAsia="zh-CN" w:bidi="ar"/>
              </w:rPr>
              <w:t>9.解密时长为 30 分钟。</w:t>
            </w:r>
          </w:p>
        </w:tc>
      </w:tr>
      <w:tr w14:paraId="5691E4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3B7B9541">
            <w:pPr>
              <w:spacing w:line="240" w:lineRule="atLeast"/>
              <w:jc w:val="center"/>
              <w:rPr>
                <w:rStyle w:val="28"/>
                <w:rFonts w:hint="eastAsia" w:ascii="仿宋" w:hAnsi="仿宋" w:eastAsia="仿宋" w:cs="仿宋"/>
                <w:color w:val="auto"/>
                <w:sz w:val="24"/>
                <w:highlight w:val="none"/>
              </w:rPr>
            </w:pPr>
            <w:r>
              <w:rPr>
                <w:rStyle w:val="28"/>
                <w:rFonts w:hint="eastAsia" w:ascii="仿宋" w:hAnsi="仿宋" w:eastAsia="仿宋" w:cs="仿宋"/>
                <w:color w:val="auto"/>
                <w:sz w:val="24"/>
                <w:highlight w:val="none"/>
              </w:rPr>
              <w:t>16.1</w:t>
            </w:r>
          </w:p>
        </w:tc>
        <w:tc>
          <w:tcPr>
            <w:tcW w:w="8294" w:type="dxa"/>
            <w:tcBorders>
              <w:top w:val="single" w:color="000000" w:sz="6" w:space="0"/>
              <w:left w:val="single" w:color="000000" w:sz="6" w:space="0"/>
              <w:bottom w:val="single" w:color="000000" w:sz="6" w:space="0"/>
              <w:right w:val="single" w:color="000000" w:sz="12" w:space="0"/>
            </w:tcBorders>
            <w:vAlign w:val="center"/>
          </w:tcPr>
          <w:p w14:paraId="7D732C0A">
            <w:pPr>
              <w:spacing w:line="240" w:lineRule="atLeast"/>
              <w:rPr>
                <w:rStyle w:val="28"/>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投标截止时间：202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19</w:t>
            </w:r>
            <w:r>
              <w:rPr>
                <w:rFonts w:hint="eastAsia" w:ascii="仿宋" w:hAnsi="仿宋" w:eastAsia="仿宋" w:cs="仿宋"/>
                <w:color w:val="auto"/>
                <w:sz w:val="24"/>
                <w:highlight w:val="none"/>
                <w:lang w:eastAsia="zh-CN"/>
              </w:rPr>
              <w:t>日11：00（北京时间）</w:t>
            </w:r>
          </w:p>
        </w:tc>
      </w:tr>
      <w:tr w14:paraId="5D9BC05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3DBA4B6C">
            <w:pPr>
              <w:spacing w:line="240" w:lineRule="atLeast"/>
              <w:jc w:val="center"/>
              <w:rPr>
                <w:rStyle w:val="28"/>
                <w:rFonts w:hint="eastAsia" w:ascii="仿宋" w:hAnsi="仿宋" w:eastAsia="仿宋" w:cs="仿宋"/>
                <w:color w:val="auto"/>
                <w:sz w:val="24"/>
                <w:highlight w:val="none"/>
              </w:rPr>
            </w:pPr>
            <w:r>
              <w:rPr>
                <w:rStyle w:val="28"/>
                <w:rFonts w:hint="eastAsia" w:ascii="仿宋" w:hAnsi="仿宋" w:eastAsia="仿宋" w:cs="仿宋"/>
                <w:color w:val="auto"/>
                <w:sz w:val="24"/>
                <w:highlight w:val="none"/>
              </w:rPr>
              <w:t>18.1</w:t>
            </w:r>
          </w:p>
        </w:tc>
        <w:tc>
          <w:tcPr>
            <w:tcW w:w="8294" w:type="dxa"/>
            <w:tcBorders>
              <w:top w:val="single" w:color="000000" w:sz="6" w:space="0"/>
              <w:left w:val="single" w:color="000000" w:sz="6" w:space="0"/>
              <w:bottom w:val="single" w:color="000000" w:sz="6" w:space="0"/>
              <w:right w:val="single" w:color="000000" w:sz="12" w:space="0"/>
            </w:tcBorders>
            <w:vAlign w:val="center"/>
          </w:tcPr>
          <w:p w14:paraId="7D83D88F">
            <w:pPr>
              <w:spacing w:line="240" w:lineRule="atLeas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开标时间：202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19</w:t>
            </w:r>
            <w:r>
              <w:rPr>
                <w:rFonts w:hint="eastAsia" w:ascii="仿宋" w:hAnsi="仿宋" w:eastAsia="仿宋" w:cs="仿宋"/>
                <w:color w:val="auto"/>
                <w:sz w:val="24"/>
                <w:highlight w:val="none"/>
                <w:lang w:eastAsia="zh-CN"/>
              </w:rPr>
              <w:t>日1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：00（北京时间）</w:t>
            </w:r>
          </w:p>
          <w:p w14:paraId="63732DCA">
            <w:pPr>
              <w:rPr>
                <w:rStyle w:val="28"/>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开标地点：（https://login.zcygov.cn/user-login/#/login）</w:t>
            </w:r>
          </w:p>
        </w:tc>
      </w:tr>
      <w:tr w14:paraId="1ACEA5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380C4613">
            <w:pPr>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20.1</w:t>
            </w:r>
          </w:p>
        </w:tc>
        <w:tc>
          <w:tcPr>
            <w:tcW w:w="8294" w:type="dxa"/>
            <w:tcBorders>
              <w:top w:val="single" w:color="000000" w:sz="6" w:space="0"/>
              <w:left w:val="single" w:color="000000" w:sz="6" w:space="0"/>
              <w:bottom w:val="single" w:color="000000" w:sz="6" w:space="0"/>
              <w:right w:val="single" w:color="000000" w:sz="12" w:space="0"/>
            </w:tcBorders>
            <w:vAlign w:val="center"/>
          </w:tcPr>
          <w:p w14:paraId="6C68A01E">
            <w:pPr>
              <w:rPr>
                <w:rFonts w:hint="default" w:ascii="仿宋" w:hAnsi="仿宋" w:eastAsia="仿宋" w:cs="仿宋"/>
                <w:color w:val="auto"/>
                <w:highlight w:val="none"/>
                <w:lang w:val="en-US" w:eastAsia="zh-CN"/>
              </w:rPr>
            </w:pPr>
            <w:r>
              <w:rPr>
                <w:rStyle w:val="28"/>
                <w:rFonts w:hint="eastAsia" w:ascii="仿宋" w:hAnsi="仿宋" w:eastAsia="仿宋" w:cs="仿宋"/>
                <w:color w:val="auto"/>
                <w:sz w:val="24"/>
                <w:highlight w:val="red"/>
                <w:lang w:eastAsia="zh-CN"/>
              </w:rPr>
              <w:t>核心产品：</w:t>
            </w:r>
            <w:r>
              <w:rPr>
                <w:rFonts w:hint="eastAsia" w:ascii="仿宋" w:hAnsi="仿宋" w:eastAsia="仿宋" w:cs="仿宋"/>
                <w:color w:val="auto"/>
                <w:sz w:val="24"/>
                <w:highlight w:val="red"/>
                <w:lang w:val="en-US" w:eastAsia="zh-CN"/>
              </w:rPr>
              <w:t>AI房树人心理分析系统</w:t>
            </w:r>
          </w:p>
        </w:tc>
      </w:tr>
      <w:tr w14:paraId="33C500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40006601">
            <w:pPr>
              <w:spacing w:line="240" w:lineRule="atLeast"/>
              <w:jc w:val="center"/>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rPr>
              <w:t>23.2</w:t>
            </w:r>
          </w:p>
        </w:tc>
        <w:tc>
          <w:tcPr>
            <w:tcW w:w="8294" w:type="dxa"/>
            <w:tcBorders>
              <w:top w:val="single" w:color="000000" w:sz="6" w:space="0"/>
              <w:left w:val="single" w:color="000000" w:sz="6" w:space="0"/>
              <w:bottom w:val="single" w:color="000000" w:sz="6" w:space="0"/>
              <w:right w:val="single" w:color="000000" w:sz="12" w:space="0"/>
            </w:tcBorders>
            <w:vAlign w:val="center"/>
          </w:tcPr>
          <w:p w14:paraId="063C7A87">
            <w:pPr>
              <w:spacing w:line="240" w:lineRule="atLeast"/>
              <w:rPr>
                <w:rStyle w:val="28"/>
                <w:rFonts w:hint="eastAsia" w:ascii="仿宋" w:hAnsi="仿宋" w:eastAsia="仿宋" w:cs="仿宋"/>
                <w:i/>
                <w:color w:val="auto"/>
                <w:sz w:val="24"/>
                <w:highlight w:val="none"/>
                <w:lang w:eastAsia="zh-CN"/>
              </w:rPr>
            </w:pPr>
            <w:r>
              <w:rPr>
                <w:rStyle w:val="28"/>
                <w:rFonts w:hint="eastAsia" w:ascii="仿宋" w:hAnsi="仿宋" w:eastAsia="仿宋" w:cs="仿宋"/>
                <w:color w:val="auto"/>
                <w:sz w:val="24"/>
                <w:highlight w:val="none"/>
                <w:lang w:eastAsia="zh-CN"/>
              </w:rPr>
              <w:t>本项目评标方法：</w:t>
            </w:r>
            <w:r>
              <w:rPr>
                <w:rStyle w:val="28"/>
                <w:rFonts w:hint="eastAsia" w:ascii="仿宋" w:hAnsi="仿宋" w:eastAsia="仿宋" w:cs="仿宋"/>
                <w:color w:val="auto"/>
                <w:sz w:val="24"/>
                <w:highlight w:val="none"/>
                <w:u w:val="single"/>
                <w:lang w:eastAsia="zh-CN"/>
              </w:rPr>
              <w:t>适用综合评分法</w:t>
            </w:r>
          </w:p>
        </w:tc>
      </w:tr>
      <w:tr w14:paraId="0A2D12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0D26EC9B">
            <w:pPr>
              <w:spacing w:line="240" w:lineRule="atLeast"/>
              <w:jc w:val="center"/>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rPr>
              <w:t>27</w:t>
            </w:r>
          </w:p>
        </w:tc>
        <w:tc>
          <w:tcPr>
            <w:tcW w:w="8294" w:type="dxa"/>
            <w:tcBorders>
              <w:top w:val="single" w:color="000000" w:sz="6" w:space="0"/>
              <w:left w:val="single" w:color="000000" w:sz="6" w:space="0"/>
              <w:bottom w:val="single" w:color="000000" w:sz="6" w:space="0"/>
              <w:right w:val="single" w:color="000000" w:sz="12" w:space="0"/>
            </w:tcBorders>
            <w:vAlign w:val="center"/>
          </w:tcPr>
          <w:p w14:paraId="7B1C7855">
            <w:pPr>
              <w:spacing w:line="240" w:lineRule="atLeast"/>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招标人委托评标委员会直接确定推荐中标候选供应商的数量：</w:t>
            </w:r>
            <w:r>
              <w:rPr>
                <w:rStyle w:val="28"/>
                <w:rFonts w:hint="eastAsia" w:ascii="仿宋" w:hAnsi="仿宋" w:eastAsia="仿宋" w:cs="仿宋"/>
                <w:color w:val="auto"/>
                <w:sz w:val="24"/>
                <w:highlight w:val="none"/>
                <w:u w:val="single" w:color="000000"/>
                <w:lang w:eastAsia="zh-CN"/>
              </w:rPr>
              <w:t>3家</w:t>
            </w:r>
          </w:p>
        </w:tc>
      </w:tr>
      <w:tr w14:paraId="13AA27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0A3F84C4">
            <w:pPr>
              <w:spacing w:line="240" w:lineRule="atLeast"/>
              <w:jc w:val="center"/>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rPr>
              <w:t>31.1</w:t>
            </w:r>
          </w:p>
        </w:tc>
        <w:tc>
          <w:tcPr>
            <w:tcW w:w="8294" w:type="dxa"/>
            <w:tcBorders>
              <w:top w:val="single" w:color="000000" w:sz="6" w:space="0"/>
              <w:left w:val="single" w:color="000000" w:sz="6" w:space="0"/>
              <w:bottom w:val="single" w:color="000000" w:sz="6" w:space="0"/>
              <w:right w:val="single" w:color="000000" w:sz="12" w:space="0"/>
            </w:tcBorders>
            <w:vAlign w:val="center"/>
          </w:tcPr>
          <w:p w14:paraId="7233267E">
            <w:pPr>
              <w:spacing w:line="240" w:lineRule="atLeast"/>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履约保证金金额：</w:t>
            </w:r>
            <w:r>
              <w:rPr>
                <w:rFonts w:hint="eastAsia" w:ascii="仿宋" w:hAnsi="仿宋" w:eastAsia="仿宋" w:cs="仿宋"/>
                <w:color w:val="auto"/>
                <w:sz w:val="24"/>
                <w:highlight w:val="none"/>
                <w:lang w:eastAsia="zh-CN"/>
              </w:rPr>
              <w:t>不超过合同总价金额的10%</w:t>
            </w:r>
          </w:p>
          <w:p w14:paraId="114207AD">
            <w:pPr>
              <w:spacing w:before="43" w:line="408" w:lineRule="exact"/>
              <w:ind w:left="6"/>
              <w:rPr>
                <w:rFonts w:hint="eastAsia" w:ascii="仿宋" w:hAnsi="仿宋" w:eastAsia="仿宋" w:cs="仿宋"/>
                <w:color w:val="auto"/>
                <w:kern w:val="2"/>
                <w:sz w:val="24"/>
                <w:szCs w:val="24"/>
                <w:highlight w:val="none"/>
                <w:lang w:eastAsia="zh-CN"/>
              </w:rPr>
            </w:pPr>
            <w:r>
              <w:rPr>
                <w:rStyle w:val="28"/>
                <w:rFonts w:hint="eastAsia" w:ascii="仿宋" w:hAnsi="仿宋" w:eastAsia="仿宋" w:cs="仿宋"/>
                <w:color w:val="auto"/>
                <w:sz w:val="24"/>
                <w:highlight w:val="none"/>
                <w:lang w:eastAsia="zh-CN"/>
              </w:rPr>
              <w:t>履约保证金形式：</w:t>
            </w:r>
            <w:r>
              <w:rPr>
                <w:rFonts w:hint="eastAsia" w:ascii="仿宋" w:hAnsi="仿宋" w:eastAsia="仿宋" w:cs="仿宋"/>
                <w:color w:val="auto"/>
                <w:kern w:val="2"/>
                <w:sz w:val="24"/>
                <w:szCs w:val="24"/>
                <w:highlight w:val="none"/>
                <w:lang w:eastAsia="zh-CN"/>
              </w:rPr>
              <w:t>☑电汇☑支票☑本票☑保函☑等非现金形式提交</w:t>
            </w:r>
          </w:p>
          <w:p w14:paraId="001187C3">
            <w:pPr>
              <w:spacing w:line="240" w:lineRule="atLeast"/>
              <w:rPr>
                <w:rStyle w:val="28"/>
                <w:rFonts w:hint="eastAsia" w:ascii="仿宋" w:hAnsi="仿宋" w:eastAsia="仿宋" w:cs="仿宋"/>
                <w:color w:val="auto"/>
                <w:sz w:val="24"/>
                <w:highlight w:val="none"/>
                <w:u w:val="single"/>
                <w:lang w:eastAsia="zh-CN"/>
              </w:rPr>
            </w:pPr>
          </w:p>
          <w:p w14:paraId="67070C9D">
            <w:pPr>
              <w:spacing w:line="240" w:lineRule="atLeast"/>
              <w:rPr>
                <w:rStyle w:val="28"/>
                <w:rFonts w:hint="eastAsia" w:ascii="仿宋" w:hAnsi="仿宋" w:eastAsia="仿宋" w:cs="仿宋"/>
                <w:color w:val="auto"/>
                <w:sz w:val="24"/>
                <w:highlight w:val="none"/>
                <w:u w:val="single"/>
                <w:lang w:eastAsia="zh-CN"/>
              </w:rPr>
            </w:pPr>
            <w:r>
              <w:rPr>
                <w:rStyle w:val="28"/>
                <w:rFonts w:hint="eastAsia" w:ascii="仿宋" w:hAnsi="仿宋" w:eastAsia="仿宋" w:cs="仿宋"/>
                <w:color w:val="auto"/>
                <w:sz w:val="24"/>
                <w:highlight w:val="none"/>
                <w:lang w:eastAsia="zh-CN"/>
              </w:rPr>
              <w:t>提交履约保证金的时间：</w:t>
            </w:r>
            <w:r>
              <w:rPr>
                <w:rStyle w:val="28"/>
                <w:rFonts w:hint="eastAsia" w:ascii="仿宋" w:hAnsi="仿宋" w:eastAsia="仿宋" w:cs="仿宋"/>
                <w:color w:val="auto"/>
                <w:sz w:val="24"/>
                <w:highlight w:val="none"/>
                <w:u w:val="single"/>
                <w:lang w:val="zh-CN" w:eastAsia="zh-CN"/>
              </w:rPr>
              <w:t>中标、成交通知书发放后，政府采购合同签订前</w:t>
            </w:r>
            <w:r>
              <w:rPr>
                <w:rStyle w:val="28"/>
                <w:rFonts w:hint="eastAsia" w:ascii="仿宋" w:hAnsi="仿宋" w:eastAsia="仿宋" w:cs="仿宋"/>
                <w:color w:val="auto"/>
                <w:sz w:val="24"/>
                <w:highlight w:val="none"/>
                <w:lang w:val="zh-CN" w:eastAsia="zh-CN"/>
              </w:rPr>
              <w:t>。</w:t>
            </w:r>
          </w:p>
        </w:tc>
      </w:tr>
      <w:tr w14:paraId="54A9A8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4B6F9B10">
            <w:pPr>
              <w:spacing w:line="240" w:lineRule="atLeast"/>
              <w:jc w:val="center"/>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rPr>
              <w:t>32</w:t>
            </w:r>
          </w:p>
        </w:tc>
        <w:tc>
          <w:tcPr>
            <w:tcW w:w="8294" w:type="dxa"/>
            <w:tcBorders>
              <w:top w:val="single" w:color="000000" w:sz="6" w:space="0"/>
              <w:left w:val="single" w:color="000000" w:sz="6" w:space="0"/>
              <w:bottom w:val="single" w:color="000000" w:sz="6" w:space="0"/>
              <w:right w:val="single" w:color="000000" w:sz="12" w:space="0"/>
            </w:tcBorders>
            <w:vAlign w:val="center"/>
          </w:tcPr>
          <w:p w14:paraId="477D557C">
            <w:pPr>
              <w:spacing w:line="240" w:lineRule="atLeast"/>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中标服务费：</w:t>
            </w:r>
            <w:r>
              <w:rPr>
                <w:rStyle w:val="28"/>
                <w:rFonts w:hint="eastAsia" w:ascii="仿宋" w:hAnsi="仿宋" w:eastAsia="仿宋" w:cs="仿宋"/>
                <w:color w:val="auto"/>
                <w:sz w:val="24"/>
                <w:highlight w:val="none"/>
                <w:u w:val="single"/>
                <w:lang w:eastAsia="zh-CN"/>
              </w:rPr>
              <w:t>本项目不收取中标服务费</w:t>
            </w:r>
          </w:p>
        </w:tc>
      </w:tr>
      <w:tr w14:paraId="5FF5E7E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1D702425">
            <w:pPr>
              <w:spacing w:line="240" w:lineRule="atLeast"/>
              <w:jc w:val="center"/>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rPr>
              <w:t>33.1</w:t>
            </w:r>
          </w:p>
        </w:tc>
        <w:tc>
          <w:tcPr>
            <w:tcW w:w="8294" w:type="dxa"/>
            <w:tcBorders>
              <w:top w:val="single" w:color="000000" w:sz="6" w:space="0"/>
              <w:left w:val="single" w:color="000000" w:sz="6" w:space="0"/>
              <w:bottom w:val="single" w:color="000000" w:sz="6" w:space="0"/>
              <w:right w:val="single" w:color="000000" w:sz="12" w:space="0"/>
            </w:tcBorders>
            <w:vAlign w:val="center"/>
          </w:tcPr>
          <w:p w14:paraId="46CE859B">
            <w:pPr>
              <w:spacing w:line="240" w:lineRule="atLeast"/>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本项目是否属于信用担保试点范围：</w:t>
            </w:r>
            <w:r>
              <w:rPr>
                <w:rStyle w:val="28"/>
                <w:rFonts w:hint="eastAsia" w:ascii="仿宋" w:hAnsi="仿宋" w:eastAsia="仿宋" w:cs="仿宋"/>
                <w:color w:val="auto"/>
                <w:sz w:val="24"/>
                <w:highlight w:val="none"/>
                <w:u w:val="single"/>
                <w:lang w:eastAsia="zh-CN"/>
              </w:rPr>
              <w:t>否</w:t>
            </w:r>
          </w:p>
        </w:tc>
      </w:tr>
      <w:tr w14:paraId="552806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2680BCF0">
            <w:pPr>
              <w:spacing w:line="240" w:lineRule="atLeast"/>
              <w:jc w:val="center"/>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rPr>
              <w:t>33.2</w:t>
            </w:r>
          </w:p>
        </w:tc>
        <w:tc>
          <w:tcPr>
            <w:tcW w:w="8294" w:type="dxa"/>
            <w:tcBorders>
              <w:top w:val="single" w:color="000000" w:sz="6" w:space="0"/>
              <w:left w:val="single" w:color="000000" w:sz="6" w:space="0"/>
              <w:bottom w:val="single" w:color="000000" w:sz="6" w:space="0"/>
              <w:right w:val="single" w:color="000000" w:sz="12" w:space="0"/>
            </w:tcBorders>
            <w:vAlign w:val="center"/>
          </w:tcPr>
          <w:p w14:paraId="2D4B68F6">
            <w:pPr>
              <w:spacing w:line="240" w:lineRule="atLeast"/>
              <w:rPr>
                <w:rStyle w:val="28"/>
                <w:rFonts w:hint="eastAsia" w:ascii="仿宋" w:hAnsi="仿宋" w:eastAsia="仿宋" w:cs="仿宋"/>
                <w:color w:val="auto"/>
                <w:sz w:val="24"/>
                <w:highlight w:val="none"/>
                <w:u w:val="single"/>
                <w:lang w:eastAsia="zh-CN"/>
              </w:rPr>
            </w:pPr>
            <w:r>
              <w:rPr>
                <w:rStyle w:val="28"/>
                <w:rFonts w:hint="eastAsia" w:ascii="仿宋" w:hAnsi="仿宋" w:eastAsia="仿宋" w:cs="仿宋"/>
                <w:color w:val="auto"/>
                <w:sz w:val="24"/>
                <w:highlight w:val="none"/>
                <w:lang w:eastAsia="zh-CN"/>
              </w:rPr>
              <w:t>政府采购专业担保机构：</w:t>
            </w:r>
            <w:r>
              <w:rPr>
                <w:rStyle w:val="28"/>
                <w:rFonts w:hint="eastAsia" w:ascii="仿宋" w:hAnsi="仿宋" w:eastAsia="仿宋" w:cs="仿宋"/>
                <w:color w:val="auto"/>
                <w:sz w:val="24"/>
                <w:highlight w:val="none"/>
                <w:u w:val="single"/>
                <w:lang w:eastAsia="zh-CN"/>
              </w:rPr>
              <w:t>无</w:t>
            </w:r>
          </w:p>
          <w:p w14:paraId="07557BD8">
            <w:pPr>
              <w:spacing w:line="240" w:lineRule="atLeast"/>
              <w:ind w:left="-48" w:leftChars="-23" w:firstLine="48" w:firstLineChars="2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本项目采购人本级和上级财政部门政府采购有关规定增加的担保机构：</w:t>
            </w:r>
            <w:r>
              <w:rPr>
                <w:rStyle w:val="28"/>
                <w:rFonts w:hint="eastAsia" w:ascii="仿宋" w:hAnsi="仿宋" w:eastAsia="仿宋" w:cs="仿宋"/>
                <w:color w:val="auto"/>
                <w:sz w:val="24"/>
                <w:highlight w:val="none"/>
                <w:u w:val="single"/>
                <w:lang w:eastAsia="zh-CN"/>
              </w:rPr>
              <w:t>无</w:t>
            </w:r>
          </w:p>
        </w:tc>
      </w:tr>
      <w:tr w14:paraId="604391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1071417D">
            <w:pPr>
              <w:spacing w:line="240" w:lineRule="atLeast"/>
              <w:jc w:val="center"/>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rPr>
              <w:t>34.3</w:t>
            </w:r>
          </w:p>
        </w:tc>
        <w:tc>
          <w:tcPr>
            <w:tcW w:w="8294" w:type="dxa"/>
            <w:tcBorders>
              <w:top w:val="single" w:color="000000" w:sz="6" w:space="0"/>
              <w:left w:val="single" w:color="000000" w:sz="6" w:space="0"/>
              <w:bottom w:val="single" w:color="000000" w:sz="6" w:space="0"/>
              <w:right w:val="single" w:color="000000" w:sz="12" w:space="0"/>
            </w:tcBorders>
            <w:vAlign w:val="center"/>
          </w:tcPr>
          <w:p w14:paraId="5F2434CA">
            <w:pPr>
              <w:spacing w:line="240" w:lineRule="atLeast"/>
              <w:ind w:left="710" w:leftChars="-23" w:hanging="758"/>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反腐倡廉监督电话/邮箱：</w:t>
            </w:r>
            <w:r>
              <w:rPr>
                <w:rStyle w:val="28"/>
                <w:rFonts w:hint="eastAsia" w:ascii="仿宋" w:hAnsi="仿宋" w:eastAsia="仿宋" w:cs="仿宋"/>
                <w:color w:val="auto"/>
                <w:sz w:val="24"/>
                <w:highlight w:val="none"/>
                <w:u w:val="single" w:color="000000"/>
                <w:lang w:eastAsia="zh-CN"/>
              </w:rPr>
              <w:t>0998-6722230</w:t>
            </w:r>
          </w:p>
        </w:tc>
      </w:tr>
      <w:tr w14:paraId="43A8AE6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94" w:hRule="atLeast"/>
        </w:trPr>
        <w:tc>
          <w:tcPr>
            <w:tcW w:w="926" w:type="dxa"/>
            <w:tcBorders>
              <w:top w:val="single" w:color="000000" w:sz="6" w:space="0"/>
              <w:left w:val="single" w:color="000000" w:sz="12" w:space="0"/>
              <w:bottom w:val="single" w:color="000000" w:sz="12" w:space="0"/>
              <w:right w:val="single" w:color="000000" w:sz="6" w:space="0"/>
            </w:tcBorders>
            <w:vAlign w:val="center"/>
          </w:tcPr>
          <w:p w14:paraId="402344B9">
            <w:pPr>
              <w:spacing w:line="240" w:lineRule="atLeast"/>
              <w:jc w:val="center"/>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rPr>
              <w:t>36.3</w:t>
            </w:r>
          </w:p>
        </w:tc>
        <w:tc>
          <w:tcPr>
            <w:tcW w:w="8294" w:type="dxa"/>
            <w:tcBorders>
              <w:top w:val="single" w:color="000000" w:sz="6" w:space="0"/>
              <w:left w:val="single" w:color="000000" w:sz="6" w:space="0"/>
              <w:bottom w:val="single" w:color="000000" w:sz="12" w:space="0"/>
              <w:right w:val="single" w:color="000000" w:sz="12" w:space="0"/>
            </w:tcBorders>
            <w:vAlign w:val="center"/>
          </w:tcPr>
          <w:p w14:paraId="3550E5A8">
            <w:pPr>
              <w:spacing w:line="240" w:lineRule="atLeast"/>
              <w:ind w:left="710" w:leftChars="-23" w:hanging="758" w:hangingChars="316"/>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lang w:eastAsia="zh-CN"/>
              </w:rPr>
              <w:t>接收部门：</w:t>
            </w:r>
            <w:r>
              <w:rPr>
                <w:rFonts w:hint="eastAsia" w:ascii="仿宋" w:hAnsi="仿宋" w:eastAsia="仿宋" w:cs="仿宋"/>
                <w:color w:val="auto"/>
                <w:sz w:val="24"/>
                <w:highlight w:val="none"/>
                <w:u w:val="single"/>
                <w:lang w:eastAsia="zh-CN"/>
              </w:rPr>
              <w:t>伽师县政府采购管理办公室</w:t>
            </w:r>
          </w:p>
          <w:p w14:paraId="7759286A">
            <w:pPr>
              <w:spacing w:line="240" w:lineRule="atLeast"/>
              <w:ind w:left="710" w:leftChars="-23" w:hanging="758" w:hangingChars="316"/>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eastAsia="zh-CN"/>
              </w:rPr>
              <w:t>联系电话：</w:t>
            </w:r>
            <w:r>
              <w:rPr>
                <w:rFonts w:hint="eastAsia" w:ascii="仿宋" w:hAnsi="仿宋" w:eastAsia="仿宋" w:cs="仿宋"/>
                <w:color w:val="auto"/>
                <w:sz w:val="24"/>
                <w:highlight w:val="none"/>
                <w:u w:val="single"/>
                <w:lang w:eastAsia="zh-CN"/>
              </w:rPr>
              <w:t>0998-571320</w:t>
            </w:r>
            <w:r>
              <w:rPr>
                <w:rFonts w:hint="eastAsia" w:ascii="仿宋" w:hAnsi="仿宋" w:eastAsia="仿宋" w:cs="仿宋"/>
                <w:color w:val="auto"/>
                <w:sz w:val="24"/>
                <w:highlight w:val="none"/>
                <w:u w:val="single"/>
                <w:lang w:val="en-US" w:eastAsia="zh-CN"/>
              </w:rPr>
              <w:t>4</w:t>
            </w:r>
          </w:p>
          <w:p w14:paraId="0AB2EC60">
            <w:pPr>
              <w:spacing w:line="240" w:lineRule="atLeast"/>
              <w:ind w:left="710" w:leftChars="-23" w:hanging="758"/>
              <w:rPr>
                <w:rStyle w:val="28"/>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通讯地址：</w:t>
            </w:r>
            <w:r>
              <w:rPr>
                <w:rFonts w:hint="eastAsia" w:ascii="仿宋" w:hAnsi="仿宋" w:eastAsia="仿宋" w:cs="仿宋"/>
                <w:color w:val="auto"/>
                <w:sz w:val="24"/>
                <w:highlight w:val="none"/>
                <w:u w:val="single"/>
                <w:lang w:eastAsia="zh-CN"/>
              </w:rPr>
              <w:t xml:space="preserve">伽师县行政审批局四楼 </w:t>
            </w:r>
          </w:p>
        </w:tc>
      </w:tr>
    </w:tbl>
    <w:p w14:paraId="2CC990FA">
      <w:pPr>
        <w:spacing w:line="240" w:lineRule="atLeast"/>
        <w:ind w:left="1080" w:leftChars="257" w:hanging="540"/>
        <w:rPr>
          <w:rStyle w:val="28"/>
          <w:rFonts w:hint="eastAsia" w:ascii="仿宋" w:hAnsi="仿宋" w:eastAsia="仿宋" w:cs="仿宋"/>
          <w:color w:val="auto"/>
          <w:sz w:val="24"/>
          <w:highlight w:val="none"/>
          <w:lang w:eastAsia="zh-CN"/>
        </w:rPr>
        <w:sectPr>
          <w:headerReference r:id="rId9" w:type="default"/>
          <w:footerReference r:id="rId11" w:type="default"/>
          <w:headerReference r:id="rId10" w:type="even"/>
          <w:footerReference r:id="rId12" w:type="even"/>
          <w:pgSz w:w="11906" w:h="16838"/>
          <w:pgMar w:top="1440" w:right="1797" w:bottom="1440" w:left="1797" w:header="851" w:footer="992" w:gutter="0"/>
          <w:cols w:space="425" w:num="1"/>
          <w:docGrid w:linePitch="312" w:charSpace="0"/>
        </w:sectPr>
      </w:pPr>
    </w:p>
    <w:p w14:paraId="78393ACF">
      <w:pPr>
        <w:pStyle w:val="2"/>
        <w:tabs>
          <w:tab w:val="left" w:pos="0"/>
        </w:tabs>
        <w:spacing w:before="0" w:after="0" w:line="240" w:lineRule="atLeast"/>
        <w:rPr>
          <w:rStyle w:val="28"/>
          <w:rFonts w:hint="eastAsia" w:ascii="仿宋" w:hAnsi="仿宋" w:eastAsia="仿宋" w:cs="仿宋"/>
          <w:bCs/>
          <w:color w:val="auto"/>
          <w:sz w:val="30"/>
          <w:szCs w:val="30"/>
          <w:highlight w:val="none"/>
          <w:lang w:eastAsia="zh-CN"/>
        </w:rPr>
      </w:pPr>
      <w:bookmarkStart w:id="831" w:name="_Toc31830"/>
      <w:r>
        <w:rPr>
          <w:rFonts w:hint="eastAsia" w:ascii="仿宋" w:hAnsi="仿宋" w:eastAsia="仿宋" w:cs="仿宋"/>
          <w:color w:val="auto"/>
          <w:sz w:val="44"/>
          <w:szCs w:val="44"/>
          <w:highlight w:val="none"/>
          <w:lang w:eastAsia="zh-CN"/>
        </w:rPr>
        <w:t>第五章  货物需求一览表及技术规格</w:t>
      </w:r>
      <w:bookmarkEnd w:id="831"/>
    </w:p>
    <w:p w14:paraId="132503D8">
      <w:pPr>
        <w:keepNext w:val="0"/>
        <w:keepLines w:val="0"/>
        <w:pageBreakBefore w:val="0"/>
        <w:widowControl/>
        <w:kinsoku/>
        <w:wordWrap/>
        <w:overflowPunct/>
        <w:topLinePunct w:val="0"/>
        <w:autoSpaceDE/>
        <w:autoSpaceDN/>
        <w:bidi w:val="0"/>
        <w:adjustRightInd/>
        <w:snapToGrid w:val="0"/>
        <w:spacing w:line="520" w:lineRule="exact"/>
        <w:textAlignment w:val="baseline"/>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项目名称：伽师县2026年健康心理服务中心建设项目</w:t>
      </w:r>
    </w:p>
    <w:p w14:paraId="6E784F60">
      <w:pPr>
        <w:keepNext w:val="0"/>
        <w:keepLines w:val="0"/>
        <w:pageBreakBefore w:val="0"/>
        <w:widowControl/>
        <w:kinsoku/>
        <w:wordWrap/>
        <w:overflowPunct/>
        <w:topLinePunct w:val="0"/>
        <w:autoSpaceDE/>
        <w:autoSpaceDN/>
        <w:bidi w:val="0"/>
        <w:adjustRightInd/>
        <w:snapToGrid w:val="0"/>
        <w:spacing w:line="520" w:lineRule="exact"/>
        <w:textAlignment w:val="baseline"/>
        <w:rPr>
          <w:rFonts w:hint="default" w:ascii="仿宋" w:hAnsi="仿宋" w:eastAsia="仿宋" w:cs="仿宋"/>
          <w:color w:val="auto"/>
          <w:highlight w:val="none"/>
          <w:lang w:val="en-US" w:eastAsia="zh-CN"/>
        </w:rPr>
      </w:pPr>
      <w:r>
        <w:rPr>
          <w:rStyle w:val="28"/>
          <w:rFonts w:hint="eastAsia" w:ascii="仿宋" w:hAnsi="仿宋" w:eastAsia="仿宋" w:cs="仿宋"/>
          <w:color w:val="auto"/>
          <w:sz w:val="24"/>
          <w:highlight w:val="none"/>
          <w:lang w:eastAsia="zh-CN"/>
        </w:rPr>
        <w:t>项目编号：KSJSX(GK)202</w:t>
      </w:r>
      <w:r>
        <w:rPr>
          <w:rStyle w:val="28"/>
          <w:rFonts w:hint="eastAsia" w:ascii="仿宋" w:hAnsi="仿宋" w:eastAsia="仿宋" w:cs="仿宋"/>
          <w:color w:val="auto"/>
          <w:sz w:val="24"/>
          <w:highlight w:val="none"/>
          <w:lang w:val="en-US" w:eastAsia="zh-CN"/>
        </w:rPr>
        <w:t>6</w:t>
      </w:r>
      <w:r>
        <w:rPr>
          <w:rStyle w:val="28"/>
          <w:rFonts w:hint="eastAsia" w:ascii="仿宋" w:hAnsi="仿宋" w:eastAsia="仿宋" w:cs="仿宋"/>
          <w:color w:val="auto"/>
          <w:sz w:val="24"/>
          <w:highlight w:val="none"/>
          <w:lang w:eastAsia="zh-CN"/>
        </w:rPr>
        <w:t>-</w:t>
      </w:r>
      <w:r>
        <w:rPr>
          <w:rStyle w:val="28"/>
          <w:rFonts w:hint="eastAsia" w:ascii="仿宋" w:hAnsi="仿宋" w:eastAsia="仿宋" w:cs="仿宋"/>
          <w:color w:val="auto"/>
          <w:sz w:val="24"/>
          <w:highlight w:val="none"/>
          <w:lang w:val="en-US" w:eastAsia="zh-CN"/>
        </w:rPr>
        <w:t>10</w:t>
      </w:r>
    </w:p>
    <w:p w14:paraId="027314BA">
      <w:pPr>
        <w:keepNext w:val="0"/>
        <w:keepLines w:val="0"/>
        <w:pageBreakBefore w:val="0"/>
        <w:widowControl/>
        <w:wordWrap/>
        <w:overflowPunct/>
        <w:topLinePunct w:val="0"/>
        <w:bidi w:val="0"/>
        <w:snapToGrid w:val="0"/>
        <w:spacing w:line="520" w:lineRule="exact"/>
        <w:textAlignment w:val="baseline"/>
        <w:rPr>
          <w:rFonts w:hint="eastAsia" w:ascii="仿宋" w:hAnsi="仿宋" w:eastAsia="仿宋" w:cs="宋体"/>
          <w:sz w:val="28"/>
          <w:szCs w:val="36"/>
          <w:highlight w:val="none"/>
        </w:rPr>
      </w:pPr>
      <w:bookmarkStart w:id="832" w:name="_Toc10035"/>
      <w:bookmarkStart w:id="833" w:name="_Toc140751559"/>
      <w:r>
        <w:rPr>
          <w:rFonts w:hint="eastAsia" w:ascii="仿宋_GB2312" w:hAnsi="仿宋_GB2312" w:eastAsia="仿宋_GB2312" w:cs="仿宋_GB2312"/>
          <w:b/>
          <w:sz w:val="30"/>
          <w:szCs w:val="30"/>
          <w:highlight w:val="none"/>
        </w:rPr>
        <w:t>一、投标企业资格要求：</w:t>
      </w:r>
      <w:r>
        <w:rPr>
          <w:rFonts w:hint="eastAsia" w:ascii="仿宋" w:hAnsi="仿宋" w:eastAsia="仿宋" w:cs="宋体"/>
          <w:sz w:val="28"/>
          <w:szCs w:val="36"/>
          <w:highlight w:val="none"/>
        </w:rPr>
        <w:t>按照须知表内要求。</w:t>
      </w:r>
    </w:p>
    <w:p w14:paraId="302141B5">
      <w:pPr>
        <w:keepNext w:val="0"/>
        <w:keepLines w:val="0"/>
        <w:pageBreakBefore w:val="0"/>
        <w:widowControl/>
        <w:wordWrap/>
        <w:overflowPunct/>
        <w:topLinePunct w:val="0"/>
        <w:bidi w:val="0"/>
        <w:snapToGrid w:val="0"/>
        <w:spacing w:line="520" w:lineRule="exact"/>
        <w:ind w:right="31" w:rightChars="15"/>
        <w:textAlignment w:val="baseline"/>
        <w:rPr>
          <w:rFonts w:hint="eastAsia" w:ascii="仿宋_GB2312" w:hAnsi="仿宋_GB2312" w:eastAsia="仿宋_GB2312" w:cs="仿宋_GB2312"/>
          <w:b/>
          <w:color w:val="FF0000"/>
          <w:sz w:val="30"/>
          <w:szCs w:val="30"/>
          <w:highlight w:val="none"/>
          <w:lang w:eastAsia="zh-CN"/>
        </w:rPr>
      </w:pPr>
      <w:r>
        <w:rPr>
          <w:rFonts w:hint="eastAsia" w:ascii="仿宋_GB2312" w:hAnsi="仿宋_GB2312" w:eastAsia="仿宋_GB2312" w:cs="仿宋_GB2312"/>
          <w:b/>
          <w:sz w:val="30"/>
          <w:szCs w:val="30"/>
          <w:highlight w:val="none"/>
        </w:rPr>
        <w:t>二、</w:t>
      </w:r>
      <w:r>
        <w:rPr>
          <w:rFonts w:hint="eastAsia" w:ascii="仿宋_GB2312" w:hAnsi="仿宋_GB2312" w:eastAsia="仿宋_GB2312" w:cs="仿宋_GB2312"/>
          <w:b/>
          <w:color w:val="auto"/>
          <w:sz w:val="30"/>
          <w:szCs w:val="30"/>
          <w:highlight w:val="none"/>
        </w:rPr>
        <w:t>投标产品要求</w:t>
      </w:r>
      <w:r>
        <w:rPr>
          <w:rFonts w:hint="eastAsia" w:ascii="仿宋_GB2312" w:hAnsi="仿宋_GB2312" w:eastAsia="仿宋_GB2312" w:cs="仿宋_GB2312"/>
          <w:b/>
          <w:color w:val="000000" w:themeColor="text1"/>
          <w:sz w:val="30"/>
          <w:szCs w:val="30"/>
          <w:highlight w:val="none"/>
          <w14:textFill>
            <w14:solidFill>
              <w14:schemeClr w14:val="tx1"/>
            </w14:solidFill>
          </w14:textFill>
        </w:rPr>
        <w:t>：</w:t>
      </w:r>
      <w:r>
        <w:rPr>
          <w:rFonts w:hint="eastAsia" w:ascii="仿宋_GB2312" w:hAnsi="仿宋_GB2312" w:eastAsia="仿宋_GB2312" w:cs="仿宋_GB2312"/>
          <w:b/>
          <w:color w:val="000000" w:themeColor="text1"/>
          <w:sz w:val="30"/>
          <w:szCs w:val="30"/>
          <w:highlight w:val="none"/>
          <w:lang w:eastAsia="zh-CN"/>
          <w14:textFill>
            <w14:solidFill>
              <w14:schemeClr w14:val="tx1"/>
            </w14:solidFill>
          </w14:textFill>
        </w:rPr>
        <w:t>所有投标设备严格遵守《新疆维吾尔自治区本级行政事业单位通用办公设备家具配置标准》（新管发[</w:t>
      </w:r>
      <w:r>
        <w:rPr>
          <w:rFonts w:hint="eastAsia" w:ascii="仿宋_GB2312" w:hAnsi="仿宋_GB2312" w:eastAsia="仿宋_GB2312" w:cs="仿宋_GB2312"/>
          <w:b/>
          <w:color w:val="000000" w:themeColor="text1"/>
          <w:sz w:val="30"/>
          <w:szCs w:val="30"/>
          <w:highlight w:val="none"/>
          <w:lang w:val="en-US" w:eastAsia="zh-CN"/>
          <w14:textFill>
            <w14:solidFill>
              <w14:schemeClr w14:val="tx1"/>
            </w14:solidFill>
          </w14:textFill>
        </w:rPr>
        <w:t>2023</w:t>
      </w:r>
      <w:r>
        <w:rPr>
          <w:rFonts w:hint="eastAsia" w:ascii="仿宋_GB2312" w:hAnsi="仿宋_GB2312" w:eastAsia="仿宋_GB2312" w:cs="仿宋_GB2312"/>
          <w:b/>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b/>
          <w:color w:val="000000" w:themeColor="text1"/>
          <w:sz w:val="30"/>
          <w:szCs w:val="30"/>
          <w:highlight w:val="none"/>
          <w:lang w:val="en-US" w:eastAsia="zh-CN"/>
          <w14:textFill>
            <w14:solidFill>
              <w14:schemeClr w14:val="tx1"/>
            </w14:solidFill>
          </w14:textFill>
        </w:rPr>
        <w:t xml:space="preserve"> 61号</w:t>
      </w:r>
      <w:r>
        <w:rPr>
          <w:rFonts w:hint="eastAsia" w:ascii="仿宋_GB2312" w:hAnsi="仿宋_GB2312" w:eastAsia="仿宋_GB2312" w:cs="仿宋_GB2312"/>
          <w:b/>
          <w:color w:val="000000" w:themeColor="text1"/>
          <w:sz w:val="30"/>
          <w:szCs w:val="30"/>
          <w:highlight w:val="none"/>
          <w:lang w:eastAsia="zh-CN"/>
          <w14:textFill>
            <w14:solidFill>
              <w14:schemeClr w14:val="tx1"/>
            </w14:solidFill>
          </w14:textFill>
        </w:rPr>
        <w:t>）文件的通知要求。</w:t>
      </w:r>
    </w:p>
    <w:bookmarkEnd w:id="832"/>
    <w:p w14:paraId="2A0CC40E">
      <w:pPr>
        <w:jc w:val="left"/>
        <w:rPr>
          <w:rFonts w:hint="eastAsia" w:ascii="方正仿宋_GB18030" w:hAnsi="方正仿宋_GB18030" w:eastAsia="方正仿宋_GB18030" w:cs="方正仿宋_GB18030"/>
          <w:sz w:val="28"/>
          <w:szCs w:val="28"/>
          <w:highlight w:val="none"/>
          <w:lang w:val="en-US" w:eastAsia="zh-CN"/>
        </w:rPr>
      </w:pPr>
      <w:bookmarkStart w:id="834" w:name="_Toc20225"/>
      <w:r>
        <w:rPr>
          <w:rFonts w:hint="eastAsia" w:ascii="方正仿宋_GB18030" w:hAnsi="方正仿宋_GB18030" w:eastAsia="方正仿宋_GB18030" w:cs="方正仿宋_GB18030"/>
          <w:sz w:val="28"/>
          <w:szCs w:val="28"/>
          <w:highlight w:val="none"/>
          <w:lang w:val="en-US" w:eastAsia="zh-CN"/>
        </w:rPr>
        <w:t>伽师县2026年健康心理服务中心建设项目</w:t>
      </w:r>
    </w:p>
    <w:tbl>
      <w:tblPr>
        <w:tblStyle w:val="23"/>
        <w:tblW w:w="10089" w:type="dxa"/>
        <w:tblInd w:w="-5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0"/>
        <w:gridCol w:w="1420"/>
        <w:gridCol w:w="4863"/>
        <w:gridCol w:w="903"/>
        <w:gridCol w:w="971"/>
        <w:gridCol w:w="1052"/>
      </w:tblGrid>
      <w:tr w14:paraId="562C0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3882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0D7E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86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5024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90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F585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97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628D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052" w:type="dxa"/>
            <w:vMerge w:val="restart"/>
            <w:tcBorders>
              <w:top w:val="single" w:color="000000" w:sz="8" w:space="0"/>
              <w:left w:val="single" w:color="000000" w:sz="4" w:space="0"/>
              <w:bottom w:val="single" w:color="000000" w:sz="4" w:space="0"/>
              <w:right w:val="single" w:color="000000" w:sz="8" w:space="0"/>
            </w:tcBorders>
            <w:shd w:val="clear" w:color="FFFFFF" w:fill="FFFFFF"/>
            <w:vAlign w:val="center"/>
          </w:tcPr>
          <w:p w14:paraId="1466B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0BDE4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EADED2F">
            <w:pPr>
              <w:jc w:val="center"/>
              <w:rPr>
                <w:rFonts w:hint="eastAsia" w:ascii="宋体" w:hAnsi="宋体" w:eastAsia="宋体" w:cs="宋体"/>
                <w:i w:val="0"/>
                <w:iCs w:val="0"/>
                <w:color w:val="000000"/>
                <w:sz w:val="18"/>
                <w:szCs w:val="18"/>
                <w:u w:val="none"/>
              </w:rPr>
            </w:pPr>
          </w:p>
        </w:tc>
        <w:tc>
          <w:tcPr>
            <w:tcW w:w="14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A7BA3CF">
            <w:pPr>
              <w:jc w:val="center"/>
              <w:rPr>
                <w:rFonts w:hint="eastAsia" w:ascii="宋体" w:hAnsi="宋体" w:eastAsia="宋体" w:cs="宋体"/>
                <w:i w:val="0"/>
                <w:iCs w:val="0"/>
                <w:color w:val="000000"/>
                <w:sz w:val="18"/>
                <w:szCs w:val="18"/>
                <w:u w:val="none"/>
              </w:rPr>
            </w:pPr>
          </w:p>
        </w:tc>
        <w:tc>
          <w:tcPr>
            <w:tcW w:w="486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F5D0878">
            <w:pPr>
              <w:jc w:val="center"/>
              <w:rPr>
                <w:rFonts w:hint="eastAsia" w:ascii="宋体" w:hAnsi="宋体" w:eastAsia="宋体" w:cs="宋体"/>
                <w:i w:val="0"/>
                <w:iCs w:val="0"/>
                <w:color w:val="000000"/>
                <w:sz w:val="18"/>
                <w:szCs w:val="18"/>
                <w:u w:val="none"/>
              </w:rPr>
            </w:pPr>
          </w:p>
        </w:tc>
        <w:tc>
          <w:tcPr>
            <w:tcW w:w="90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49C1538">
            <w:pPr>
              <w:jc w:val="center"/>
              <w:rPr>
                <w:rFonts w:hint="eastAsia" w:ascii="宋体" w:hAnsi="宋体" w:eastAsia="宋体" w:cs="宋体"/>
                <w:i w:val="0"/>
                <w:iCs w:val="0"/>
                <w:color w:val="000000"/>
                <w:sz w:val="18"/>
                <w:szCs w:val="18"/>
                <w:u w:val="none"/>
              </w:rPr>
            </w:pPr>
          </w:p>
        </w:tc>
        <w:tc>
          <w:tcPr>
            <w:tcW w:w="97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6720B61">
            <w:pPr>
              <w:jc w:val="center"/>
              <w:rPr>
                <w:rFonts w:hint="eastAsia" w:ascii="宋体" w:hAnsi="宋体" w:eastAsia="宋体" w:cs="宋体"/>
                <w:i w:val="0"/>
                <w:iCs w:val="0"/>
                <w:color w:val="000000"/>
                <w:sz w:val="18"/>
                <w:szCs w:val="18"/>
                <w:u w:val="none"/>
              </w:rPr>
            </w:pPr>
          </w:p>
        </w:tc>
        <w:tc>
          <w:tcPr>
            <w:tcW w:w="1052" w:type="dxa"/>
            <w:vMerge w:val="continue"/>
            <w:tcBorders>
              <w:top w:val="single" w:color="000000" w:sz="8" w:space="0"/>
              <w:left w:val="single" w:color="000000" w:sz="4" w:space="0"/>
              <w:bottom w:val="single" w:color="000000" w:sz="4" w:space="0"/>
              <w:right w:val="single" w:color="000000" w:sz="8" w:space="0"/>
            </w:tcBorders>
            <w:shd w:val="clear" w:color="FFFFFF" w:fill="FFFFFF"/>
            <w:vAlign w:val="center"/>
          </w:tcPr>
          <w:p w14:paraId="6F6B1505">
            <w:pPr>
              <w:jc w:val="center"/>
              <w:rPr>
                <w:rFonts w:hint="eastAsia" w:ascii="宋体" w:hAnsi="宋体" w:eastAsia="宋体" w:cs="宋体"/>
                <w:i w:val="0"/>
                <w:iCs w:val="0"/>
                <w:color w:val="000000"/>
                <w:sz w:val="18"/>
                <w:szCs w:val="18"/>
                <w:u w:val="none"/>
              </w:rPr>
            </w:pPr>
          </w:p>
        </w:tc>
      </w:tr>
      <w:tr w14:paraId="054E6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26C3017">
            <w:pPr>
              <w:jc w:val="center"/>
              <w:rPr>
                <w:rFonts w:hint="eastAsia" w:ascii="宋体" w:hAnsi="宋体" w:eastAsia="宋体" w:cs="宋体"/>
                <w:i w:val="0"/>
                <w:iCs w:val="0"/>
                <w:color w:val="000000"/>
                <w:sz w:val="18"/>
                <w:szCs w:val="18"/>
                <w:u w:val="none"/>
              </w:rPr>
            </w:pPr>
          </w:p>
        </w:tc>
        <w:tc>
          <w:tcPr>
            <w:tcW w:w="14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60C9B1D">
            <w:pPr>
              <w:jc w:val="center"/>
              <w:rPr>
                <w:rFonts w:hint="eastAsia" w:ascii="宋体" w:hAnsi="宋体" w:eastAsia="宋体" w:cs="宋体"/>
                <w:i w:val="0"/>
                <w:iCs w:val="0"/>
                <w:color w:val="000000"/>
                <w:sz w:val="18"/>
                <w:szCs w:val="18"/>
                <w:u w:val="none"/>
              </w:rPr>
            </w:pPr>
          </w:p>
        </w:tc>
        <w:tc>
          <w:tcPr>
            <w:tcW w:w="486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189A5B7">
            <w:pPr>
              <w:jc w:val="center"/>
              <w:rPr>
                <w:rFonts w:hint="eastAsia" w:ascii="宋体" w:hAnsi="宋体" w:eastAsia="宋体" w:cs="宋体"/>
                <w:i w:val="0"/>
                <w:iCs w:val="0"/>
                <w:color w:val="000000"/>
                <w:sz w:val="18"/>
                <w:szCs w:val="18"/>
                <w:u w:val="none"/>
              </w:rPr>
            </w:pPr>
          </w:p>
        </w:tc>
        <w:tc>
          <w:tcPr>
            <w:tcW w:w="90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9CC4AC3">
            <w:pPr>
              <w:jc w:val="center"/>
              <w:rPr>
                <w:rFonts w:hint="eastAsia" w:ascii="宋体" w:hAnsi="宋体" w:eastAsia="宋体" w:cs="宋体"/>
                <w:i w:val="0"/>
                <w:iCs w:val="0"/>
                <w:color w:val="000000"/>
                <w:sz w:val="18"/>
                <w:szCs w:val="18"/>
                <w:u w:val="none"/>
              </w:rPr>
            </w:pPr>
          </w:p>
        </w:tc>
        <w:tc>
          <w:tcPr>
            <w:tcW w:w="97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301A316">
            <w:pPr>
              <w:jc w:val="center"/>
              <w:rPr>
                <w:rFonts w:hint="eastAsia" w:ascii="宋体" w:hAnsi="宋体" w:eastAsia="宋体" w:cs="宋体"/>
                <w:i w:val="0"/>
                <w:iCs w:val="0"/>
                <w:color w:val="000000"/>
                <w:sz w:val="18"/>
                <w:szCs w:val="18"/>
                <w:u w:val="none"/>
              </w:rPr>
            </w:pPr>
          </w:p>
        </w:tc>
        <w:tc>
          <w:tcPr>
            <w:tcW w:w="1052" w:type="dxa"/>
            <w:vMerge w:val="continue"/>
            <w:tcBorders>
              <w:top w:val="single" w:color="000000" w:sz="8" w:space="0"/>
              <w:left w:val="single" w:color="000000" w:sz="4" w:space="0"/>
              <w:bottom w:val="single" w:color="000000" w:sz="4" w:space="0"/>
              <w:right w:val="single" w:color="000000" w:sz="8" w:space="0"/>
            </w:tcBorders>
            <w:shd w:val="clear" w:color="FFFFFF" w:fill="FFFFFF"/>
            <w:vAlign w:val="center"/>
          </w:tcPr>
          <w:p w14:paraId="3C3AE268">
            <w:pPr>
              <w:jc w:val="center"/>
              <w:rPr>
                <w:rFonts w:hint="eastAsia" w:ascii="宋体" w:hAnsi="宋体" w:eastAsia="宋体" w:cs="宋体"/>
                <w:i w:val="0"/>
                <w:iCs w:val="0"/>
                <w:color w:val="000000"/>
                <w:sz w:val="18"/>
                <w:szCs w:val="18"/>
                <w:u w:val="none"/>
              </w:rPr>
            </w:pPr>
          </w:p>
        </w:tc>
      </w:tr>
      <w:tr w14:paraId="3B8E8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D29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E56C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48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EE81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1.显示类型  LED显示屏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2.型号：100H5F Pro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3.屏幕尺寸：  100英寸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4.屏幕分辨率 超高清4K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5.护眼功能   低蓝光护眼认证有：“无闪屏护眼认证”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6.响应时间   2ms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7.屏幕比例   16:9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8.色域标准   CDI-P3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9.亮度       400-600尼特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10.色域值     95%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11.核心参数系统 Coocaa (Android)运行内存/RAM4GB存储内存 64GB背光方式 直下式/DLEDCPU架构 四核A73WIFl频段 2.4G&amp;5G智能语音助手其他创维小维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12.音频参数          发声单元个数      3音响功率          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13.外观设计    屏占比   97%边框材质 金属底座材质 金属安装孔距          800*400mm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14.端口参数 HDMI2.0接口数  无HDMI2.1接口数3个</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43A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10AD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97E216">
            <w:pPr>
              <w:jc w:val="right"/>
              <w:rPr>
                <w:rFonts w:hint="eastAsia" w:ascii="宋体" w:hAnsi="宋体" w:eastAsia="宋体" w:cs="宋体"/>
                <w:i w:val="0"/>
                <w:iCs w:val="0"/>
                <w:color w:val="000000"/>
                <w:sz w:val="18"/>
                <w:szCs w:val="18"/>
                <w:u w:val="none"/>
              </w:rPr>
            </w:pPr>
          </w:p>
        </w:tc>
      </w:tr>
      <w:tr w14:paraId="47EAF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880" w:type="dxa"/>
            <w:tcBorders>
              <w:top w:val="single" w:color="000000" w:sz="4" w:space="0"/>
              <w:left w:val="single" w:color="000000" w:sz="8" w:space="0"/>
              <w:right w:val="single" w:color="000000" w:sz="4" w:space="0"/>
            </w:tcBorders>
            <w:shd w:val="clear" w:color="FFFFFF" w:fill="FFFFFF"/>
            <w:vAlign w:val="center"/>
          </w:tcPr>
          <w:p w14:paraId="2587E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20" w:type="dxa"/>
            <w:tcBorders>
              <w:top w:val="single" w:color="000000" w:sz="4" w:space="0"/>
              <w:left w:val="single" w:color="000000" w:sz="4" w:space="0"/>
              <w:right w:val="single" w:color="000000" w:sz="4" w:space="0"/>
            </w:tcBorders>
            <w:shd w:val="clear" w:color="FFFFFF" w:fill="FFFFFF"/>
            <w:vAlign w:val="center"/>
          </w:tcPr>
          <w:p w14:paraId="0007CD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壁挂式空调</w:t>
            </w:r>
          </w:p>
        </w:tc>
        <w:tc>
          <w:tcPr>
            <w:tcW w:w="4863" w:type="dxa"/>
            <w:tcBorders>
              <w:top w:val="single" w:color="000000" w:sz="4" w:space="0"/>
              <w:left w:val="single" w:color="000000" w:sz="4" w:space="0"/>
              <w:right w:val="single" w:color="000000" w:sz="4" w:space="0"/>
            </w:tcBorders>
            <w:shd w:val="clear" w:color="FFFFFF" w:fill="FFFFFF"/>
            <w:vAlign w:val="center"/>
          </w:tcPr>
          <w:p w14:paraId="06A854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1.外观颜色   白色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2.控制方式   遥控器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3.能力名称   制冷量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4.能力数值   3510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5.能力单位   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6.能效等级   一级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7.电源频率   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8.变频/定频  变频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9.体积（m3） 0.18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10.包装体积（m3）0.30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11.包装清单遥控器*1件、7号电池* 2节、连接管*1套、包扎带*1卷、密封胶泥*200克、排水管*1根03墙孔挡板*1件、安装板*1件、自攻螺钉*5颗、塑料胀管*5个、排水接头*1个、使用安装说明书* 1本、连接管防拆帽*2个、保温管*2个、室内机*1台？室外机*1台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12.包装尺寸（mm）长845*宽204*高304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13.包装体积（m3）0.094535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14.机身尺寸（mm）长845*宽204*高304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15.机身体积（m3）0.052404 </w:t>
            </w:r>
          </w:p>
          <w:p w14:paraId="6AB186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038609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16.净重（Kg）9.5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17.毛重（Kg）12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18.机身尺寸（mm）长765*宽303*高555</w:t>
            </w:r>
          </w:p>
        </w:tc>
        <w:tc>
          <w:tcPr>
            <w:tcW w:w="903" w:type="dxa"/>
            <w:tcBorders>
              <w:top w:val="single" w:color="000000" w:sz="4" w:space="0"/>
              <w:left w:val="single" w:color="000000" w:sz="4" w:space="0"/>
              <w:right w:val="single" w:color="000000" w:sz="4" w:space="0"/>
            </w:tcBorders>
            <w:shd w:val="clear" w:color="FFFFFF" w:fill="FFFFFF"/>
            <w:vAlign w:val="center"/>
          </w:tcPr>
          <w:p w14:paraId="7146F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71" w:type="dxa"/>
            <w:tcBorders>
              <w:top w:val="single" w:color="000000" w:sz="4" w:space="0"/>
              <w:left w:val="single" w:color="000000" w:sz="4" w:space="0"/>
              <w:right w:val="single" w:color="000000" w:sz="4" w:space="0"/>
            </w:tcBorders>
            <w:shd w:val="clear" w:color="FFFFFF" w:fill="FFFFFF"/>
            <w:vAlign w:val="center"/>
          </w:tcPr>
          <w:p w14:paraId="157695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DBEE6E">
            <w:pPr>
              <w:jc w:val="right"/>
              <w:rPr>
                <w:rFonts w:hint="eastAsia" w:ascii="宋体" w:hAnsi="宋体" w:eastAsia="宋体" w:cs="宋体"/>
                <w:i w:val="0"/>
                <w:iCs w:val="0"/>
                <w:color w:val="000000"/>
                <w:sz w:val="18"/>
                <w:szCs w:val="18"/>
                <w:u w:val="none"/>
              </w:rPr>
            </w:pPr>
          </w:p>
        </w:tc>
      </w:tr>
      <w:tr w14:paraId="657F9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762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75EC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立式空调</w:t>
            </w:r>
          </w:p>
        </w:tc>
        <w:tc>
          <w:tcPr>
            <w:tcW w:w="48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7027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1.外观颜色   白色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2.控制方式   遥控器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3.能力名称   制冷量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4.能力数值   7220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5.能力单位   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6.能效等级   一级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7.电源频率   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8.变频/定频  变频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9.体积（m3） 0.55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10.包装体积（m3）0.88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11.包装清单遥控器*1件、7号电池* 2节、连接管*1套、包扎带*1卷、密封胶泥*200克、排水管*1根03墙孔挡板*1件、安装板*1件、自攻螺钉*5颗、塑料胀管*5个、排水接头*1个、使用安装说明书* 1本、连接管防拆帽*2个、保温管*2个、室内机*1台？室外机*1台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12.内机规格信息包装尺寸（mm）长461*宽413*高1818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13.包装体积（m3）0.55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14.机身尺寸（mm）长461*宽413*高1818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机身体积（m3）0.35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16.净重（Kg）31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17.毛重（Kg）42</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73D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2065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578BD2">
            <w:pPr>
              <w:jc w:val="right"/>
              <w:rPr>
                <w:rFonts w:hint="eastAsia" w:ascii="宋体" w:hAnsi="宋体" w:eastAsia="宋体" w:cs="宋体"/>
                <w:i w:val="0"/>
                <w:iCs w:val="0"/>
                <w:color w:val="000000"/>
                <w:sz w:val="18"/>
                <w:szCs w:val="18"/>
                <w:u w:val="none"/>
              </w:rPr>
            </w:pPr>
          </w:p>
        </w:tc>
      </w:tr>
      <w:tr w14:paraId="48F2B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9"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D78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42D4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监控摄像机</w:t>
            </w:r>
          </w:p>
        </w:tc>
        <w:tc>
          <w:tcPr>
            <w:tcW w:w="48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9CDA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1.200万 1/2.7" CMOS 红外半球型网络摄像机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2.支持Smart侦测：10项事件检测，1项异常检测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3.最低照度: 彩色：0.002 Lux @（F1.2，AGC ON），黑白：0 Lux with IR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4.宽动态: 120 dB</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2CE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2C30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8BD7AE7">
            <w:pPr>
              <w:jc w:val="right"/>
              <w:rPr>
                <w:rFonts w:hint="eastAsia" w:ascii="宋体" w:hAnsi="宋体" w:eastAsia="宋体" w:cs="宋体"/>
                <w:i w:val="0"/>
                <w:iCs w:val="0"/>
                <w:color w:val="000000"/>
                <w:sz w:val="18"/>
                <w:szCs w:val="18"/>
                <w:u w:val="none"/>
              </w:rPr>
            </w:pPr>
          </w:p>
        </w:tc>
      </w:tr>
      <w:tr w14:paraId="558F8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AB5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566E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监控设备</w:t>
            </w:r>
          </w:p>
        </w:tc>
        <w:tc>
          <w:tcPr>
            <w:tcW w:w="48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0454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1.16路2盘位双网口，8000监控盘，4000监控盘，8+2综合线，小耳朵监控电源，5口交换机，5类水晶头</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565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A389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73CA2D">
            <w:pPr>
              <w:jc w:val="right"/>
              <w:rPr>
                <w:rFonts w:hint="eastAsia" w:ascii="宋体" w:hAnsi="宋体" w:eastAsia="宋体" w:cs="宋体"/>
                <w:i w:val="0"/>
                <w:iCs w:val="0"/>
                <w:color w:val="000000"/>
                <w:sz w:val="18"/>
                <w:szCs w:val="18"/>
                <w:u w:val="none"/>
              </w:rPr>
            </w:pPr>
          </w:p>
        </w:tc>
      </w:tr>
      <w:tr w14:paraId="4EA43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135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EF94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48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4550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1.27寸显示器</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67C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B139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2896C0">
            <w:pPr>
              <w:jc w:val="right"/>
              <w:rPr>
                <w:rFonts w:hint="eastAsia" w:ascii="宋体" w:hAnsi="宋体" w:eastAsia="宋体" w:cs="宋体"/>
                <w:i w:val="0"/>
                <w:iCs w:val="0"/>
                <w:color w:val="000000"/>
                <w:sz w:val="18"/>
                <w:szCs w:val="18"/>
                <w:u w:val="none"/>
              </w:rPr>
            </w:pPr>
          </w:p>
        </w:tc>
      </w:tr>
      <w:tr w14:paraId="04517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04B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0094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48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D44C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1.台式办公电脑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2.固态/无光驱/集显  I5-13420H/16G/512/WIFI/WIN11/7.4L/23.8寸</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940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EA85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AC889ED">
            <w:pPr>
              <w:jc w:val="right"/>
              <w:rPr>
                <w:rFonts w:hint="eastAsia" w:ascii="宋体" w:hAnsi="宋体" w:eastAsia="宋体" w:cs="宋体"/>
                <w:i w:val="0"/>
                <w:iCs w:val="0"/>
                <w:color w:val="000000"/>
                <w:sz w:val="18"/>
                <w:szCs w:val="18"/>
                <w:u w:val="none"/>
              </w:rPr>
            </w:pPr>
          </w:p>
        </w:tc>
      </w:tr>
      <w:tr w14:paraId="34100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80" w:type="dxa"/>
            <w:vMerge w:val="restart"/>
            <w:tcBorders>
              <w:top w:val="single" w:color="000000" w:sz="4" w:space="0"/>
              <w:left w:val="single" w:color="000000" w:sz="8" w:space="0"/>
              <w:right w:val="single" w:color="000000" w:sz="4" w:space="0"/>
            </w:tcBorders>
            <w:shd w:val="clear" w:color="FFFFFF" w:fill="FFFFFF"/>
            <w:vAlign w:val="center"/>
          </w:tcPr>
          <w:p w14:paraId="3A038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20" w:type="dxa"/>
            <w:vMerge w:val="restart"/>
            <w:tcBorders>
              <w:top w:val="single" w:color="000000" w:sz="4" w:space="0"/>
              <w:left w:val="single" w:color="000000" w:sz="4" w:space="0"/>
              <w:right w:val="single" w:color="000000" w:sz="4" w:space="0"/>
            </w:tcBorders>
            <w:shd w:val="clear" w:color="FFFFFF" w:fill="FFFFFF"/>
            <w:vAlign w:val="center"/>
          </w:tcPr>
          <w:p w14:paraId="39286D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微笑打卡系统</w:t>
            </w:r>
          </w:p>
        </w:tc>
        <w:tc>
          <w:tcPr>
            <w:tcW w:w="4863" w:type="dxa"/>
            <w:vMerge w:val="restart"/>
            <w:tcBorders>
              <w:top w:val="single" w:color="000000" w:sz="4" w:space="0"/>
              <w:left w:val="single" w:color="000000" w:sz="4" w:space="0"/>
              <w:right w:val="single" w:color="000000" w:sz="4" w:space="0"/>
            </w:tcBorders>
            <w:shd w:val="clear" w:color="FFFFFF" w:fill="FFFFFF"/>
            <w:vAlign w:val="center"/>
          </w:tcPr>
          <w:p w14:paraId="4C9950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一、功能要求</w:t>
            </w:r>
          </w:p>
          <w:p w14:paraId="38F631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1、基于积极心理学、镜像神经元理论，通过微笑加强正向心理暗示，引导用户无意识模仿微笑，不仅能短期改善氛围，更可系统性提升组织韧性，提升个人的自我效能感。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2、要求支持打卡端、展示端双屏展示，支持打卡端打卡后自动上传至展示端展示。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3、打卡端支持照片轮播功能，支持点赞及查看各照片微笑指数。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4、开始打卡：要求支持用户打卡拍照，提供文字及语音鼓励引导。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5、要求打卡拍照完成后自动生成微笑指数，支持用户选择重新拍照、保存上传。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6、微笑指数为0时，无法上传照片，提醒用户重新拍照。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7、支持选择保存上传后自动生成照片编号，展示相似笑容，并在展示端突出显示本次打卡照片。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8、打卡记录：要求支持用户查看过往微笑打卡记录，提供如打卡时间、微笑指数、获赞数量等数据排序，支持进行点赞支持操作。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微笑科普：要求提供如“积极心境大揭秘”、“微笑只是一种保护色”、“情绪驾驭术”等不少于16篇图文类文章，提供如“揭开情绪面纱”、“当我们谈到焦虑”等不少于16篇微笑视听，提供如“超能力面试”、“便衣”等不少于15个会心一笑音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10、要求展示端支持展示不少于4种3D动效，如球形矩阵（照片以球体旋转形式呈现）、矩形（照片墙布局）、放射形扩散（照片冲中心向外扩散展开）、多轴旋转（照片沿多轴线缠绕展示）等。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11、支持选择显示打卡范围，自定义展示周期，如“24小时内”、“3天内”、“7天内”等。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12、要求提供记录清理，支持查看系统保存的最早记录日期，支持清理特定日期之前全部打卡记。                                                                      </w:t>
            </w:r>
          </w:p>
          <w:p w14:paraId="17F2CC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1、要求包含微笑打卡系统1套（预置安装）；打卡端1台。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三、硬件配置要求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1、打卡端外观尺寸：700mm*550mm*1774.2mm（±5mm）。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2、打卡端屏幕尺寸：32英寸。                                                                                                                                           3、显示终端75寸</w:t>
            </w:r>
          </w:p>
        </w:tc>
        <w:tc>
          <w:tcPr>
            <w:tcW w:w="903" w:type="dxa"/>
            <w:tcBorders>
              <w:top w:val="single" w:color="000000" w:sz="4" w:space="0"/>
              <w:left w:val="single" w:color="000000" w:sz="4" w:space="0"/>
              <w:right w:val="single" w:color="000000" w:sz="4" w:space="0"/>
            </w:tcBorders>
            <w:shd w:val="clear" w:color="FFFFFF" w:fill="FFFFFF"/>
            <w:vAlign w:val="center"/>
          </w:tcPr>
          <w:p w14:paraId="4EAB2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right w:val="single" w:color="000000" w:sz="4" w:space="0"/>
            </w:tcBorders>
            <w:shd w:val="clear" w:color="FFFFFF" w:fill="FFFFFF"/>
            <w:vAlign w:val="center"/>
          </w:tcPr>
          <w:p w14:paraId="2AE058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6D2622C">
            <w:pPr>
              <w:jc w:val="right"/>
              <w:rPr>
                <w:rFonts w:hint="eastAsia" w:ascii="宋体" w:hAnsi="宋体" w:eastAsia="宋体" w:cs="宋体"/>
                <w:i w:val="0"/>
                <w:iCs w:val="0"/>
                <w:color w:val="000000"/>
                <w:sz w:val="18"/>
                <w:szCs w:val="18"/>
                <w:u w:val="none"/>
              </w:rPr>
            </w:pPr>
          </w:p>
        </w:tc>
      </w:tr>
      <w:tr w14:paraId="0D5A4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80" w:type="dxa"/>
            <w:vMerge w:val="restart"/>
            <w:tcBorders>
              <w:top w:val="single" w:color="000000" w:sz="4" w:space="0"/>
              <w:left w:val="single" w:color="000000" w:sz="8" w:space="0"/>
              <w:right w:val="single" w:color="000000" w:sz="4" w:space="0"/>
            </w:tcBorders>
            <w:shd w:val="clear" w:color="FFFFFF" w:fill="FFFFFF"/>
            <w:vAlign w:val="center"/>
          </w:tcPr>
          <w:p w14:paraId="06B97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20" w:type="dxa"/>
            <w:vMerge w:val="restart"/>
            <w:tcBorders>
              <w:top w:val="single" w:color="000000" w:sz="4" w:space="0"/>
              <w:left w:val="single" w:color="000000" w:sz="4" w:space="0"/>
              <w:right w:val="single" w:color="000000" w:sz="4" w:space="0"/>
            </w:tcBorders>
            <w:shd w:val="clear" w:color="FFFFFF" w:fill="FFFFFF"/>
            <w:vAlign w:val="center"/>
          </w:tcPr>
          <w:p w14:paraId="6543A8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心理健康信息化管理平台</w:t>
            </w:r>
          </w:p>
        </w:tc>
        <w:tc>
          <w:tcPr>
            <w:tcW w:w="4863" w:type="dxa"/>
            <w:vMerge w:val="restart"/>
            <w:tcBorders>
              <w:top w:val="single" w:color="000000" w:sz="4" w:space="0"/>
              <w:left w:val="single" w:color="000000" w:sz="4" w:space="0"/>
              <w:right w:val="single" w:color="000000" w:sz="4" w:space="0"/>
            </w:tcBorders>
            <w:shd w:val="clear" w:color="FFFFFF" w:fill="FFFFFF"/>
            <w:vAlign w:val="center"/>
          </w:tcPr>
          <w:p w14:paraId="5ADDD5B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平台基于社会心理服务体系需求设计，须采用B/S架构设计，可运行于互联网和局域网，用户通过浏览器即可访问系统，架构上具有多层级机构管理功能，满足如市、县（区）、乡（镇/街道）、村（社区）四级体系架构，可添加、配置多级子平台，实现多级权限分配；功能上须具有心理服务、心理调适、心理科普、工作协同、大数据可视化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平台可按照不同所辖行政区域进行大数据统计，包含用户信息、区域信息、AI智能心理机器人、产品服务人次、心理咨询服务人次、心理评估服务人次、危机干预服务人次、五级预警人数、儿童/青少年抑郁情况调查统计、心理热线拨打人次、在线咨询情况、心理自助使用人次、心理状态调查等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3、平台须具有智能物联技术，可将智能心理设备接入系统，能监测设备运行状态、查看训练记录，实现智能管理。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4、公众用户端须包含在线测评、倾诉空间、在线预约、音乐调节、在线课程、心理文章、心理阅读、心理训练、在线咨询、心理宣传、心情随笔、心理活动、心理热线等功</w:t>
            </w:r>
          </w:p>
          <w:p w14:paraId="4DDC58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5、要求系统须具有在线测评功能，支持题目自动跳转下一题，且提供心理健康、情绪、学习、人格、智力、社交、生活、职业测评等多类型的专业测评量表。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6、要求系统须具有倾诉空间功能，须具有测评、训练、放松、科普4个主题服务，根据用户发送信息，定位其心理困扰，提供合适的解决方案。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7、要求系统须具有在线预约功能，用户可根据预约日历自主选择心理咨询师，填写《心理咨询预约单》，选择合适的时段申请预约，支持预约信息取消操作。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要求系统须具有心理自助功能，要求至少包含音乐调节、在线课程、心理文章、心理阅读、心理训练等5项内容，其中音乐调节模块要求至少包括心理能量、精力再生音乐、古风音乐、减压音乐、催眠音乐、α波音乐、自然音乐等7种音乐类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要求系统须具有心理训练功能，须具有视觉追踪、注意广度、逻辑思维、注意力、选择性注意、空间认知、记忆力、问题解决、认知灵活性等9个类型训练，提供如小鱼喂食、心理旋转、水杯猜球、记忆矩阵、算数挑战、舒尔特方格、落叶追寻、图文匹配、记忆连连看、点点骰子、财务专家、图形拼贴等至少12款心理认知训练游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10、要求系统须具有在线咨询功能，用户可自主选择、查看咨询师信息，系统支持在线交流、咨询留言，可随时查看咨询师回复信息并追加留言。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11、要求系统须具有心理宣传功能，至少包括疾病科普、心理咨询技能、心理认知能力、心理健康素养、心理学小故事等5大模块，不少于20篇内容。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12、要求系统须具有心情随笔功能，可自主选择心情符号代表当前</w:t>
            </w:r>
          </w:p>
          <w:p w14:paraId="246F66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情绪状态并记录心情内容，要求符号等级不少于5级。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13、要求系统须具有心理活动功能，用户可查看系统发布的活动报名信息、详细介绍信息，选择相应活动报名参与。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14、要求系统须具有心理热线功能，用户可查看管理员发布的心理热线列表、查询地区心理咨询热线信息。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15、要求系统须具有智能方案功能，要求系统支持智能评估用户状态并提供训练方案内容，指导用户线下训练。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平台管理端须支持角色权限管理，根据人员角色不同分开管理，其中咨询师至少具备测评任务管理、在线咨询管理、预约管理、心理咨询管理、危机干预管理、心理评估管理等功能；管理员须具备测评任务管理、工作协同管理、机构权限管理、资源管理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要求系统须具有测评任务管理功能，支持测评计划发布，可自主选择参评量表、参评人员范围、生效时间等，支持测评计划启用/关闭操作，可编辑知情同意书，查看测评记录、用户档案、人员参评率，测评结束后系统支持团体报告生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18、要求系统须具有在线咨询管理功能，可开启、关闭、编辑咨询师个人信息，关闭后用户端将无法查看咨询师信息。咨询师可查看、回复咨询信息，也可查看历史记录，在线咨询记录支持导出。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19、要求系统须具有预约管理功能，咨询师可自主设置咨询排班表，包括但不限于咨询地点、时间段等信息，且系统具备添加及按模板添加两种添加方式，咨询师可在管理端查看预约记录。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20、要求系统须具有心理咨询管理功能，须具有咨询附件管理功能，支持将以往咨询的记录、就诊及服药记录上传至咨询记录附件中，可</w:t>
            </w:r>
          </w:p>
        </w:tc>
        <w:tc>
          <w:tcPr>
            <w:tcW w:w="903" w:type="dxa"/>
            <w:vMerge w:val="restart"/>
            <w:tcBorders>
              <w:top w:val="single" w:color="000000" w:sz="4" w:space="0"/>
              <w:left w:val="single" w:color="000000" w:sz="4" w:space="0"/>
              <w:right w:val="single" w:color="000000" w:sz="4" w:space="0"/>
            </w:tcBorders>
            <w:shd w:val="clear" w:color="FFFFFF" w:fill="FFFFFF"/>
            <w:vAlign w:val="center"/>
          </w:tcPr>
          <w:p w14:paraId="76E86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vMerge w:val="restart"/>
            <w:tcBorders>
              <w:top w:val="single" w:color="000000" w:sz="4" w:space="0"/>
              <w:left w:val="single" w:color="000000" w:sz="4" w:space="0"/>
              <w:right w:val="single" w:color="000000" w:sz="4" w:space="0"/>
            </w:tcBorders>
            <w:shd w:val="clear" w:color="FFFFFF" w:fill="FFFFFF"/>
            <w:vAlign w:val="center"/>
          </w:tcPr>
          <w:p w14:paraId="4D9ADA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1846B9">
            <w:pPr>
              <w:jc w:val="right"/>
              <w:rPr>
                <w:rFonts w:hint="eastAsia" w:ascii="宋体" w:hAnsi="宋体" w:eastAsia="宋体" w:cs="宋体"/>
                <w:i w:val="0"/>
                <w:iCs w:val="0"/>
                <w:color w:val="000000"/>
                <w:sz w:val="18"/>
                <w:szCs w:val="18"/>
                <w:u w:val="none"/>
              </w:rPr>
            </w:pPr>
          </w:p>
        </w:tc>
      </w:tr>
      <w:tr w14:paraId="36383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6" w:hRule="atLeast"/>
        </w:trPr>
        <w:tc>
          <w:tcPr>
            <w:tcW w:w="880" w:type="dxa"/>
            <w:vMerge w:val="continue"/>
            <w:tcBorders>
              <w:left w:val="single" w:color="000000" w:sz="8" w:space="0"/>
              <w:right w:val="single" w:color="000000" w:sz="4" w:space="0"/>
            </w:tcBorders>
            <w:shd w:val="clear" w:color="FFFFFF" w:fill="FFFFFF"/>
            <w:vAlign w:val="center"/>
          </w:tcPr>
          <w:p w14:paraId="1960B80F">
            <w:pPr>
              <w:jc w:val="center"/>
              <w:rPr>
                <w:rFonts w:hint="eastAsia" w:ascii="宋体" w:hAnsi="宋体" w:eastAsia="宋体" w:cs="宋体"/>
                <w:i w:val="0"/>
                <w:iCs w:val="0"/>
                <w:color w:val="000000"/>
                <w:sz w:val="18"/>
                <w:szCs w:val="18"/>
                <w:u w:val="none"/>
              </w:rPr>
            </w:pPr>
          </w:p>
        </w:tc>
        <w:tc>
          <w:tcPr>
            <w:tcW w:w="1420" w:type="dxa"/>
            <w:vMerge w:val="continue"/>
            <w:tcBorders>
              <w:left w:val="single" w:color="000000" w:sz="4" w:space="0"/>
              <w:right w:val="single" w:color="000000" w:sz="4" w:space="0"/>
            </w:tcBorders>
            <w:shd w:val="clear" w:color="FFFFFF" w:fill="FFFFFF"/>
            <w:vAlign w:val="center"/>
          </w:tcPr>
          <w:p w14:paraId="7D66CCDE">
            <w:pPr>
              <w:jc w:val="left"/>
              <w:rPr>
                <w:rFonts w:hint="eastAsia" w:ascii="宋体" w:hAnsi="宋体" w:eastAsia="宋体" w:cs="宋体"/>
                <w:i w:val="0"/>
                <w:iCs w:val="0"/>
                <w:color w:val="000000"/>
                <w:sz w:val="18"/>
                <w:szCs w:val="18"/>
                <w:u w:val="none"/>
              </w:rPr>
            </w:pPr>
          </w:p>
        </w:tc>
        <w:tc>
          <w:tcPr>
            <w:tcW w:w="4863" w:type="dxa"/>
            <w:vMerge w:val="continue"/>
            <w:tcBorders>
              <w:left w:val="single" w:color="000000" w:sz="4" w:space="0"/>
              <w:right w:val="single" w:color="000000" w:sz="4" w:space="0"/>
            </w:tcBorders>
            <w:shd w:val="clear" w:color="FFFFFF" w:fill="FFFFFF"/>
            <w:vAlign w:val="center"/>
          </w:tcPr>
          <w:p w14:paraId="4C4307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03" w:type="dxa"/>
            <w:vMerge w:val="continue"/>
            <w:tcBorders>
              <w:left w:val="single" w:color="000000" w:sz="4" w:space="0"/>
              <w:right w:val="single" w:color="000000" w:sz="4" w:space="0"/>
            </w:tcBorders>
            <w:shd w:val="clear" w:color="FFFFFF" w:fill="FFFFFF"/>
            <w:vAlign w:val="center"/>
          </w:tcPr>
          <w:p w14:paraId="53922767">
            <w:pPr>
              <w:jc w:val="center"/>
              <w:rPr>
                <w:rFonts w:hint="eastAsia" w:ascii="宋体" w:hAnsi="宋体" w:eastAsia="宋体" w:cs="宋体"/>
                <w:i w:val="0"/>
                <w:iCs w:val="0"/>
                <w:color w:val="000000"/>
                <w:sz w:val="18"/>
                <w:szCs w:val="18"/>
                <w:u w:val="none"/>
              </w:rPr>
            </w:pPr>
          </w:p>
        </w:tc>
        <w:tc>
          <w:tcPr>
            <w:tcW w:w="971" w:type="dxa"/>
            <w:vMerge w:val="continue"/>
            <w:tcBorders>
              <w:left w:val="single" w:color="000000" w:sz="4" w:space="0"/>
              <w:right w:val="single" w:color="000000" w:sz="4" w:space="0"/>
            </w:tcBorders>
            <w:shd w:val="clear" w:color="FFFFFF" w:fill="FFFFFF"/>
            <w:vAlign w:val="center"/>
          </w:tcPr>
          <w:p w14:paraId="34F88EBF">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A9ECFAD">
            <w:pPr>
              <w:jc w:val="right"/>
              <w:rPr>
                <w:rFonts w:hint="eastAsia" w:ascii="宋体" w:hAnsi="宋体" w:eastAsia="宋体" w:cs="宋体"/>
                <w:i w:val="0"/>
                <w:iCs w:val="0"/>
                <w:color w:val="000000"/>
                <w:sz w:val="18"/>
                <w:szCs w:val="18"/>
                <w:u w:val="none"/>
              </w:rPr>
            </w:pPr>
          </w:p>
        </w:tc>
      </w:tr>
      <w:tr w14:paraId="16243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9" w:hRule="atLeast"/>
        </w:trPr>
        <w:tc>
          <w:tcPr>
            <w:tcW w:w="880" w:type="dxa"/>
            <w:vMerge w:val="continue"/>
            <w:tcBorders>
              <w:left w:val="single" w:color="000000" w:sz="8" w:space="0"/>
              <w:right w:val="single" w:color="000000" w:sz="4" w:space="0"/>
            </w:tcBorders>
            <w:shd w:val="clear" w:color="FFFFFF" w:fill="FFFFFF"/>
            <w:vAlign w:val="center"/>
          </w:tcPr>
          <w:p w14:paraId="603F8B72">
            <w:pPr>
              <w:jc w:val="center"/>
              <w:rPr>
                <w:rFonts w:hint="eastAsia" w:ascii="宋体" w:hAnsi="宋体" w:eastAsia="宋体" w:cs="宋体"/>
                <w:i w:val="0"/>
                <w:iCs w:val="0"/>
                <w:color w:val="000000"/>
                <w:sz w:val="18"/>
                <w:szCs w:val="18"/>
                <w:u w:val="none"/>
              </w:rPr>
            </w:pPr>
          </w:p>
        </w:tc>
        <w:tc>
          <w:tcPr>
            <w:tcW w:w="1420" w:type="dxa"/>
            <w:vMerge w:val="continue"/>
            <w:tcBorders>
              <w:left w:val="single" w:color="000000" w:sz="4" w:space="0"/>
              <w:right w:val="single" w:color="000000" w:sz="4" w:space="0"/>
            </w:tcBorders>
            <w:shd w:val="clear" w:color="FFFFFF" w:fill="FFFFFF"/>
            <w:vAlign w:val="center"/>
          </w:tcPr>
          <w:p w14:paraId="5133BDC8">
            <w:pPr>
              <w:jc w:val="left"/>
              <w:rPr>
                <w:rFonts w:hint="eastAsia" w:ascii="宋体" w:hAnsi="宋体" w:eastAsia="宋体" w:cs="宋体"/>
                <w:i w:val="0"/>
                <w:iCs w:val="0"/>
                <w:color w:val="000000"/>
                <w:sz w:val="18"/>
                <w:szCs w:val="18"/>
                <w:u w:val="none"/>
              </w:rPr>
            </w:pPr>
          </w:p>
        </w:tc>
        <w:tc>
          <w:tcPr>
            <w:tcW w:w="4863" w:type="dxa"/>
            <w:tcBorders>
              <w:top w:val="single" w:color="000000" w:sz="4" w:space="0"/>
              <w:left w:val="single" w:color="000000" w:sz="4" w:space="0"/>
              <w:right w:val="single" w:color="000000" w:sz="4" w:space="0"/>
            </w:tcBorders>
            <w:shd w:val="clear" w:color="FFFFFF" w:fill="FFFFFF"/>
            <w:vAlign w:val="center"/>
          </w:tcPr>
          <w:p w14:paraId="2B860E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针对个案出具处理意见。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21要求系统须具有危机干预管理功能，从自杀、自伤、攻击性3方面进行评估，支持首要危机问题类型选择，可选择危机处理方案，详细记录人员情况，且记录可导出。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22、要求系统须具有重点障碍诊断功能，可自主选择抑郁症、焦虑障碍、失眠、老年痴呆等症状，阳性人员名单可导出。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23、要求系统须支持自主添加音乐、心理文章、在线课程、心理阅读、心理宣传等内容，上传资源文件和内容。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24、要求系统须具有心理活动管理功能，支持在线活动信息发布，可设置报名时间、活动内容，查询报名人员名单。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25、要求系统须具有心理热线管理功能，支持添加热线信息，用户可通过“热线名称”查询，管理员可查看、编辑、删除心理热线。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26、要求系统须具有工作协同管理功能，具有信息上报和下达功能，便于各子平台管理员对于心理工作上报下达，为收集相关心理服务数据提供信息化支撑。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27、要求系统须具有用户管理功能，可设置如市级管理员、县（区）管理员、乡（镇/街道）管理员、村（社区）管理员、单位（部门）管理员、心理咨询师等角色，且每个角色具备不同的功能和权限。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28、要求系统须具有智能终端管理功能，管理员可查看接入的终端设备状态，绑定、解绑设备，查询、下载用户在智能终端上训练的报告。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29、要求系统须具有微信设置管理功能，管理员可根据需要将微信登录链接发布至公众号，同时可将二维码上传至系统用于微信绑定登录。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1、要求产品包含《心理健康信息化管理平台》系统1套。</w:t>
            </w:r>
          </w:p>
        </w:tc>
        <w:tc>
          <w:tcPr>
            <w:tcW w:w="903" w:type="dxa"/>
            <w:vMerge w:val="continue"/>
            <w:tcBorders>
              <w:left w:val="single" w:color="000000" w:sz="4" w:space="0"/>
              <w:right w:val="single" w:color="000000" w:sz="4" w:space="0"/>
            </w:tcBorders>
            <w:shd w:val="clear" w:color="FFFFFF" w:fill="FFFFFF"/>
            <w:vAlign w:val="center"/>
          </w:tcPr>
          <w:p w14:paraId="38F5ABE4">
            <w:pPr>
              <w:jc w:val="center"/>
              <w:rPr>
                <w:rFonts w:hint="eastAsia" w:ascii="宋体" w:hAnsi="宋体" w:eastAsia="宋体" w:cs="宋体"/>
                <w:i w:val="0"/>
                <w:iCs w:val="0"/>
                <w:color w:val="000000"/>
                <w:sz w:val="18"/>
                <w:szCs w:val="18"/>
                <w:u w:val="none"/>
              </w:rPr>
            </w:pPr>
          </w:p>
        </w:tc>
        <w:tc>
          <w:tcPr>
            <w:tcW w:w="971" w:type="dxa"/>
            <w:vMerge w:val="continue"/>
            <w:tcBorders>
              <w:left w:val="single" w:color="000000" w:sz="4" w:space="0"/>
              <w:right w:val="single" w:color="000000" w:sz="4" w:space="0"/>
            </w:tcBorders>
            <w:shd w:val="clear" w:color="FFFFFF" w:fill="FFFFFF"/>
            <w:vAlign w:val="center"/>
          </w:tcPr>
          <w:p w14:paraId="645C4075">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24FFD9">
            <w:pPr>
              <w:jc w:val="right"/>
              <w:rPr>
                <w:rFonts w:hint="eastAsia" w:ascii="宋体" w:hAnsi="宋体" w:eastAsia="宋体" w:cs="宋体"/>
                <w:i w:val="0"/>
                <w:iCs w:val="0"/>
                <w:color w:val="000000"/>
                <w:sz w:val="18"/>
                <w:szCs w:val="18"/>
                <w:u w:val="none"/>
              </w:rPr>
            </w:pPr>
          </w:p>
        </w:tc>
      </w:tr>
      <w:tr w14:paraId="1B1CA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1"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182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DE03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沙盘</w:t>
            </w:r>
          </w:p>
        </w:tc>
        <w:tc>
          <w:tcPr>
            <w:tcW w:w="48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995D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1、个体沙箱1个：规格长度72cm*宽度57cm*高度7cm，材质为橡木板材，内侧蓝色。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2、团体沙箱1个：规格长度114cm*宽度72cm*高度10cm，材质为橡木板材，内侧蓝色。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3、沙具1500件：提供如人物类、死亡类、文体类、食物类、家居类、交通类、军事类、建筑类、动物类、植物类、自然物类、名胜古迹类、颜色形状类、符号类、钱币类等不少于15类主题沙具。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4、沙具摆放架3个：高度约160cm*宽度约80cm*深度约30cm；橡木板材，9层设计。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5、细沙45KG：天然细沙、颗粒光滑、大小均匀、手感好。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6、要求提供至少30课时的沙盘培训微课一套，课程以双人访谈QA一对一解答的方式，分主题讲解沙盘游戏咨询的理论背景、实操技术，能让初学者迅速入门。</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C38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9F61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6850155">
            <w:pPr>
              <w:jc w:val="right"/>
              <w:rPr>
                <w:rFonts w:hint="eastAsia" w:ascii="宋体" w:hAnsi="宋体" w:eastAsia="宋体" w:cs="宋体"/>
                <w:i w:val="0"/>
                <w:iCs w:val="0"/>
                <w:color w:val="000000"/>
                <w:sz w:val="18"/>
                <w:szCs w:val="18"/>
                <w:u w:val="none"/>
              </w:rPr>
            </w:pPr>
          </w:p>
        </w:tc>
      </w:tr>
      <w:tr w14:paraId="4F66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6" w:hRule="atLeast"/>
        </w:trPr>
        <w:tc>
          <w:tcPr>
            <w:tcW w:w="880" w:type="dxa"/>
            <w:vMerge w:val="restart"/>
            <w:tcBorders>
              <w:top w:val="single" w:color="000000" w:sz="4" w:space="0"/>
              <w:left w:val="single" w:color="000000" w:sz="8" w:space="0"/>
              <w:right w:val="single" w:color="000000" w:sz="4" w:space="0"/>
            </w:tcBorders>
            <w:shd w:val="clear" w:color="FFFFFF" w:fill="FFFFFF"/>
            <w:vAlign w:val="center"/>
          </w:tcPr>
          <w:p w14:paraId="5AE82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20" w:type="dxa"/>
            <w:vMerge w:val="restart"/>
            <w:tcBorders>
              <w:top w:val="single" w:color="000000" w:sz="4" w:space="0"/>
              <w:left w:val="single" w:color="000000" w:sz="4" w:space="0"/>
              <w:right w:val="single" w:color="000000" w:sz="4" w:space="0"/>
            </w:tcBorders>
            <w:shd w:val="clear" w:color="FFFFFF" w:fill="FFFFFF"/>
            <w:vAlign w:val="center"/>
          </w:tcPr>
          <w:p w14:paraId="74B3F1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HRV身心反馈训练系统★</w:t>
            </w:r>
          </w:p>
        </w:tc>
        <w:tc>
          <w:tcPr>
            <w:tcW w:w="4863" w:type="dxa"/>
            <w:vMerge w:val="restart"/>
            <w:tcBorders>
              <w:top w:val="single" w:color="000000" w:sz="4" w:space="0"/>
              <w:left w:val="single" w:color="000000" w:sz="4" w:space="0"/>
              <w:right w:val="single" w:color="000000" w:sz="4" w:space="0"/>
            </w:tcBorders>
            <w:shd w:val="clear" w:color="FFFFFF" w:fill="FFFFFF"/>
            <w:vAlign w:val="center"/>
          </w:tcPr>
          <w:p w14:paraId="40DB64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系统核心：本系统深度融合心率变异性生物反馈科技，集成HRV身心监测及减压放松训练两大功能，包括如HRV参数监测、心理评估、反馈训练、音乐放松、场景放松、训练指导、眼动训练、应激训练等不少于8个功能模块，旨在全方位辅助用户进行压力释放与心理调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2、内置呼吸助手视觉提示窗，动态展示呼、吸效果，支持灵活调整呼吸速度；脉搏波形动态显示窗，实时监测心率、血氧指标，增强用户体验的直观性与互动性。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3、通过实时监测心率、血氧等数据，覆盖如脉搏波形、时域分析、频域分析、协调指数、压力指数等关键指标。协调指数与压力指数采用百分制评估。点击参数或图表可</w:t>
            </w:r>
          </w:p>
          <w:p w14:paraId="438B4F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查看其详细介绍信息。支持监测结束后生成报告，报告支持导出。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提供心率变异程度的曲线图、散点图（代表心率变异性的结果图之一）、HRT直方图（横轴为心率，竖轴为个数）、心率的平均值、心率的标准差、NN间期平均值、相邻RR间期差值的均方根、相邻RR间期的标准差等≥11项时域分析指标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提供功率谱图（利用快速傅里叶转换法，将心率变异性波形图转换为功率谱密度图）、标准化HF（HF-norm）、交感及副交感张力的平衡（LF/HF）、总功率（TP）、高频功率（HF）、低频功率（LF）等≥8项频域分析指标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6、集成不少于14种专业心理评估量表，如自我压力测试、显性焦虑量表等，每个量表提供详细介绍说明，支持选择自动跳转至下一题，测评后即时生成报告。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7、心理评估报告提供测评结果、辅导建议、测评总结等详细内容，记录测试耗时及测试日期。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提供如“意念识字”、“竞技赛跑”、“百花齐放”等≥12款反馈训练项目，支持难度分级（简单、普通、困难），训练界面实时反馈心率、血氧及协调度，训练场景随生理指标数值及训练进度而变化，提升训练趣味性与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9、提供如“自然音乐”、“精力再生”、“心理能量”等≥8个主题的音乐库，支持进入管理模式自定义音乐分类与文件，打造个性化放松空间。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10、收录如“广袤沙漠”、“日光海岸”、“恬静草原”等≥14款高清放松场景及音乐，营造身临其境的放松体验。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11、涵盖肌肉放松训练、冥想放松训练、自我疗愈、呼吸放松训练、拥抱潜意识、森林冥想、净化身心、感谢自己、摆脱不安、悲伤辅导、超越思维、非评判练习、改</w:t>
            </w:r>
          </w:p>
          <w:p w14:paraId="23D201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善沟通、改善焦虑、积极心态等≥15种科学训练指导方向，引导用户正确进行心理调适。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12、提供应激训练，提供≥14种场景及音乐，支持全屏沉浸式体验。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13、集成基于EMDR（眼动脱敏再处理）的8阶段眼动训练方案，提供不少于6条提示，支持眼球追踪小球速度、颜色、尺寸的个性化调整，满足不同训练需求。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14、要求提供详细训练报告，包括训练类型、记录时间、训练时长、训练项目、健康说明、辅导建议、知识拓展等，提供压力指数及协调指数0-100五级计分（极差、差、正常、良好、优）及理想分值、具体分值。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15、训练档案管理：全面记录训练类型、记录日期及训练档案等，支持针对训练类型进行筛选，报告整合HRV记录数据。管理员可便捷查询与管理训练档案，支持报告导出功能。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16、支持进行指夹传感器配置、反馈训练相关配置、蓝牙椅控配置，提供训练难度值（简单、普通、困难）自定义配置。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17、支持将训练报告推送至已有云平台，通过物联网技术与心理云平台实现互联互通，提供云端身份验证、数据保存、数据管理等功能。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18、智能座椅调控：融合智能匹配与手动匹配双重模式，内置复位座舱、紧急操作等功能，确保紧急情况下的即时制动，保障用户的训练安全。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19、智能按摩：为实现最佳的放松效果，系统针对每一环节自动生成与之匹配的按摩方式。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20、手动按摩：提供如悬浮位、固定位、坐姿位三种姿态选择，结合主题、自由、气囊三种按摩模式，支持选择头罩遮挡、打开、固定，支持光疗、热敷功能自由开关，有效缓解身体疲劳，减轻心理压力。</w:t>
            </w:r>
          </w:p>
          <w:p w14:paraId="67EAEF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提供如“酸痛缓和”、“舒畅心情”、“筋骨舒展”等≥6个主题按摩；提供揉捏、叩击、拍打、揉捏叩击、指压等≥5种自由按摩形式，支持针对按摩位置、速度、幅度进行自定义调节；提供全身、脚腿部、腰坐部、手肩部等≥4种气压按摩模式。                                    加“★”功能为核心使用功能，须提供系统功能截图进行佐证，实际供货须与截图保持一致，否则不得分。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1、要求包含HRV身心反馈训练系统1套（预置安装）；减压舱1台；指夹式生物反馈采集仪1套；训练端1台。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三、硬件配置要求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1、要求训练端尺寸：278mm×174mm×10mm。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2、要求训练端屏幕尺寸：11.97英寸。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3、要求减压舱竖立尺寸1460mm*830mm*1300mm（±50mm），全倒尺寸1750mm*830mm*920mm（±50mm）。</w:t>
            </w:r>
          </w:p>
        </w:tc>
        <w:tc>
          <w:tcPr>
            <w:tcW w:w="903" w:type="dxa"/>
            <w:tcBorders>
              <w:top w:val="single" w:color="000000" w:sz="4" w:space="0"/>
              <w:left w:val="single" w:color="000000" w:sz="4" w:space="0"/>
              <w:right w:val="single" w:color="000000" w:sz="4" w:space="0"/>
            </w:tcBorders>
            <w:shd w:val="clear" w:color="FFFFFF" w:fill="FFFFFF"/>
            <w:vAlign w:val="center"/>
          </w:tcPr>
          <w:p w14:paraId="4C3CB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right w:val="single" w:color="000000" w:sz="4" w:space="0"/>
            </w:tcBorders>
            <w:shd w:val="clear" w:color="FFFFFF" w:fill="FFFFFF"/>
            <w:vAlign w:val="center"/>
          </w:tcPr>
          <w:p w14:paraId="6B84B7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52" w:type="dxa"/>
            <w:vMerge w:val="restart"/>
            <w:tcBorders>
              <w:top w:val="single" w:color="000000" w:sz="4" w:space="0"/>
              <w:left w:val="single" w:color="000000" w:sz="4" w:space="0"/>
              <w:right w:val="single" w:color="000000" w:sz="8" w:space="0"/>
            </w:tcBorders>
            <w:shd w:val="clear" w:color="FFFFFF" w:fill="FFFFFF"/>
            <w:vAlign w:val="center"/>
          </w:tcPr>
          <w:p w14:paraId="7BCEE7A2">
            <w:pPr>
              <w:jc w:val="right"/>
              <w:rPr>
                <w:rFonts w:hint="eastAsia" w:ascii="宋体" w:hAnsi="宋体" w:eastAsia="宋体" w:cs="宋体"/>
                <w:i w:val="0"/>
                <w:iCs w:val="0"/>
                <w:color w:val="000000"/>
                <w:sz w:val="18"/>
                <w:szCs w:val="18"/>
                <w:u w:val="none"/>
              </w:rPr>
            </w:pPr>
          </w:p>
        </w:tc>
      </w:tr>
      <w:tr w14:paraId="2FA8B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2" w:hRule="atLeast"/>
        </w:trPr>
        <w:tc>
          <w:tcPr>
            <w:tcW w:w="880" w:type="dxa"/>
            <w:vMerge w:val="continue"/>
            <w:tcBorders>
              <w:left w:val="single" w:color="000000" w:sz="8" w:space="0"/>
              <w:bottom w:val="single" w:color="000000" w:sz="4" w:space="0"/>
              <w:right w:val="single" w:color="000000" w:sz="4" w:space="0"/>
            </w:tcBorders>
            <w:shd w:val="clear" w:color="FFFFFF" w:fill="FFFFFF"/>
            <w:vAlign w:val="center"/>
          </w:tcPr>
          <w:p w14:paraId="5CA42FD9">
            <w:pPr>
              <w:jc w:val="center"/>
              <w:rPr>
                <w:rFonts w:hint="eastAsia" w:ascii="宋体" w:hAnsi="宋体" w:eastAsia="宋体" w:cs="宋体"/>
                <w:i w:val="0"/>
                <w:iCs w:val="0"/>
                <w:color w:val="000000"/>
                <w:sz w:val="18"/>
                <w:szCs w:val="18"/>
                <w:u w:val="none"/>
              </w:rPr>
            </w:pPr>
          </w:p>
        </w:tc>
        <w:tc>
          <w:tcPr>
            <w:tcW w:w="1420" w:type="dxa"/>
            <w:vMerge w:val="continue"/>
            <w:tcBorders>
              <w:left w:val="single" w:color="000000" w:sz="4" w:space="0"/>
              <w:bottom w:val="single" w:color="000000" w:sz="4" w:space="0"/>
              <w:right w:val="single" w:color="000000" w:sz="4" w:space="0"/>
            </w:tcBorders>
            <w:shd w:val="clear" w:color="FFFFFF" w:fill="FFFFFF"/>
            <w:vAlign w:val="center"/>
          </w:tcPr>
          <w:p w14:paraId="70C17EB5">
            <w:pPr>
              <w:jc w:val="left"/>
              <w:rPr>
                <w:rFonts w:hint="eastAsia" w:ascii="宋体" w:hAnsi="宋体" w:eastAsia="宋体" w:cs="宋体"/>
                <w:i w:val="0"/>
                <w:iCs w:val="0"/>
                <w:color w:val="000000"/>
                <w:sz w:val="18"/>
                <w:szCs w:val="18"/>
                <w:u w:val="none"/>
              </w:rPr>
            </w:pPr>
          </w:p>
        </w:tc>
        <w:tc>
          <w:tcPr>
            <w:tcW w:w="4863" w:type="dxa"/>
            <w:vMerge w:val="continue"/>
            <w:tcBorders>
              <w:left w:val="single" w:color="000000" w:sz="4" w:space="0"/>
              <w:bottom w:val="single" w:color="000000" w:sz="4" w:space="0"/>
              <w:right w:val="single" w:color="000000" w:sz="4" w:space="0"/>
            </w:tcBorders>
            <w:shd w:val="clear" w:color="FFFFFF" w:fill="FFFFFF"/>
            <w:vAlign w:val="center"/>
          </w:tcPr>
          <w:p w14:paraId="4FDB7A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BB3BBB">
            <w:pPr>
              <w:jc w:val="center"/>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AB5BE8">
            <w:pPr>
              <w:jc w:val="right"/>
              <w:rPr>
                <w:rFonts w:hint="eastAsia" w:ascii="宋体" w:hAnsi="宋体" w:eastAsia="宋体" w:cs="宋体"/>
                <w:i w:val="0"/>
                <w:iCs w:val="0"/>
                <w:color w:val="000000"/>
                <w:sz w:val="18"/>
                <w:szCs w:val="18"/>
                <w:u w:val="none"/>
              </w:rPr>
            </w:pPr>
          </w:p>
        </w:tc>
        <w:tc>
          <w:tcPr>
            <w:tcW w:w="1052" w:type="dxa"/>
            <w:vMerge w:val="continue"/>
            <w:tcBorders>
              <w:left w:val="single" w:color="000000" w:sz="4" w:space="0"/>
              <w:bottom w:val="single" w:color="000000" w:sz="4" w:space="0"/>
              <w:right w:val="single" w:color="000000" w:sz="8" w:space="0"/>
            </w:tcBorders>
            <w:shd w:val="clear" w:color="FFFFFF" w:fill="FFFFFF"/>
            <w:vAlign w:val="center"/>
          </w:tcPr>
          <w:p w14:paraId="14BC166F">
            <w:pPr>
              <w:jc w:val="right"/>
              <w:rPr>
                <w:rFonts w:hint="eastAsia" w:ascii="宋体" w:hAnsi="宋体" w:eastAsia="宋体" w:cs="宋体"/>
                <w:i w:val="0"/>
                <w:iCs w:val="0"/>
                <w:color w:val="000000"/>
                <w:sz w:val="18"/>
                <w:szCs w:val="18"/>
                <w:u w:val="none"/>
              </w:rPr>
            </w:pPr>
          </w:p>
        </w:tc>
      </w:tr>
      <w:tr w14:paraId="092CB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7" w:hRule="atLeast"/>
        </w:trPr>
        <w:tc>
          <w:tcPr>
            <w:tcW w:w="880" w:type="dxa"/>
            <w:vMerge w:val="restart"/>
            <w:tcBorders>
              <w:top w:val="single" w:color="000000" w:sz="4" w:space="0"/>
              <w:left w:val="single" w:color="000000" w:sz="8" w:space="0"/>
              <w:right w:val="single" w:color="000000" w:sz="4" w:space="0"/>
            </w:tcBorders>
            <w:shd w:val="clear" w:color="FFFFFF" w:fill="FFFFFF"/>
            <w:vAlign w:val="center"/>
          </w:tcPr>
          <w:p w14:paraId="31394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20" w:type="dxa"/>
            <w:vMerge w:val="restart"/>
            <w:tcBorders>
              <w:top w:val="single" w:color="000000" w:sz="4" w:space="0"/>
              <w:left w:val="single" w:color="000000" w:sz="4" w:space="0"/>
              <w:right w:val="single" w:color="000000" w:sz="4" w:space="0"/>
            </w:tcBorders>
            <w:shd w:val="clear" w:color="FFFFFF" w:fill="FFFFFF"/>
            <w:vAlign w:val="center"/>
          </w:tcPr>
          <w:p w14:paraId="532C5A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心理能量加油站★</w:t>
            </w:r>
          </w:p>
        </w:tc>
        <w:tc>
          <w:tcPr>
            <w:tcW w:w="4863" w:type="dxa"/>
            <w:tcBorders>
              <w:top w:val="single" w:color="000000" w:sz="4" w:space="0"/>
              <w:left w:val="single" w:color="000000" w:sz="4" w:space="0"/>
              <w:right w:val="single" w:color="000000" w:sz="4" w:space="0"/>
            </w:tcBorders>
            <w:shd w:val="clear" w:color="FFFFFF" w:fill="FFFFFF"/>
            <w:vAlign w:val="center"/>
          </w:tcPr>
          <w:p w14:paraId="7960D0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系统基于游戏化学习、行为主义等理论，结合盲盒元素研发，内置如即刻挑战、同心共绘、心理充能等3大功能模块，用户可通过参与一系列心理挑战，获得抽取盲盒的机会，以趣味互动的方式提升心理素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2、首页支持展示盲盒六款盲盒内容物照片，并特殊标注隐藏款。提供使用说明，以弹幕形式展示盲盒奖励获取名单。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3、提供如“守护边界”、“心灵探析”、“不合理信念终结者”等≥15款即刻挑战项目，提供≥3条挑战规则，≥3个挑战难度。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4、支持随机抽选即刻挑战项目，挑战成功即可获得盲盒。提供两次重新抽选的机会。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5、支持用户挑战成功后选择继续闯关或抽取盲盒，若选择继续闯</w:t>
            </w:r>
          </w:p>
          <w:p w14:paraId="06F506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关，后续挑战失败，盲盒抽取机会清零。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6、提供如挑战规则、挑战目的、挑战操作演示等即刻挑战项目内容。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7、提供如绿意盎然等同心共绘主题，每个主题提供不少于25个画块，支持用户自由选择画块进行涂色，提供≥200种颜色选择，可调节画笔大小、橡皮大小，支持撤销操作。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8、提供如“依恋类型与亲密关系”、“心理学研究中的伦理规范”等大于等于25种小视听科普视频。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9、提供答案之书功能，支持根据引导语操作获取“我的答案”卡牌。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10、提供心理学那点事功能，包含如心理科普、心理学家的故事、生活中的心理学、有趣的心理学实验等不少于4个主题，提供≥96篇文章。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11、提供如“感恩日记”、“时间管理矩阵”、“个人SWOT分析表”等≥6款心理学小工具，支持用户扫描二维码下载工具内容。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12、提供小彩蛋盲盒掉落，支持在使用心理充能模块过程中随机触发心理知识挑战，获取抽取盲盒机会。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13、提供后台管理中心，支持选择如总计盲盒掉落、即刻挑战盲盒掉落、小彩蛋盲盒掉落、即刻挑战参与量等≥4种统计对象进行本周盲盒机数据统计。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14、支持选择日期，查看本日、本周、本月掉落盲盒的数量。支持修改各通道盲盒数量进行盲盒增补，可显示盲盒总数。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15、提供盲盒掉落记录，包含如时间、项目名称、用户名称、掉落详情、盲盒掉落数量等≥5类记录，支持下选择日期查询记录。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16、提供盲盒增补记录，包含如时间、通道、增补前盲盒总数、增</w:t>
            </w:r>
          </w:p>
          <w:p w14:paraId="249D15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补后盲盒数、变化量、操作后盲盒总数等≥6类记录，支持下选择日期查询记录。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17、支持查看管理员操作记录、盲盒机异常记录等历史记录，对管理员操作进行留痕。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18、支持对即刻挑战进行配置，包含如次数限制、每日次数上限等。支持对小彩蛋进行配置，包含如开启盲盒获取功能、每天最多获取盲盒数量等。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19、支持更改首页盲盒展示照片，提供盲盒缺货提醒功能，支持开启历史记录定期清理功能。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20、提供待机功能，可设置待机开始时长，开启待机后，支持检测长时间未进行操作的情况，返回待机界面，待机情况展示动态画面。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21、支持智能检测盲盒掉落情况，可提示系统状态异常，提供如时间、货道、状态码、检查参考项等内容。             加“★”功能为核心使用功能，须提供系统功能截图进行佐证，实际供货须与截图保持一致，否则不得分。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1、要求包含心理能量加油站系统1套（预置安装）；盲盒包装500个；礼品200个；控制台1套。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三、硬件配置要求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1、要求外观尺寸：1700mm*850mm*890mm（±50mm）。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2、要求盲盒尺寸：80mm*80mm*85mm（±5mm）。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3、要求屏幕尺寸：32英寸。</w:t>
            </w:r>
          </w:p>
        </w:tc>
        <w:tc>
          <w:tcPr>
            <w:tcW w:w="903" w:type="dxa"/>
            <w:vMerge w:val="restart"/>
            <w:tcBorders>
              <w:top w:val="single" w:color="000000" w:sz="4" w:space="0"/>
              <w:left w:val="single" w:color="000000" w:sz="4" w:space="0"/>
              <w:right w:val="single" w:color="000000" w:sz="4" w:space="0"/>
            </w:tcBorders>
            <w:shd w:val="clear" w:color="FFFFFF" w:fill="FFFFFF"/>
            <w:vAlign w:val="center"/>
          </w:tcPr>
          <w:p w14:paraId="04E68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vMerge w:val="restart"/>
            <w:tcBorders>
              <w:top w:val="single" w:color="000000" w:sz="4" w:space="0"/>
              <w:left w:val="single" w:color="000000" w:sz="4" w:space="0"/>
              <w:right w:val="single" w:color="000000" w:sz="4" w:space="0"/>
            </w:tcBorders>
            <w:shd w:val="clear" w:color="FFFFFF" w:fill="FFFFFF"/>
            <w:vAlign w:val="center"/>
          </w:tcPr>
          <w:p w14:paraId="574CF0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52" w:type="dxa"/>
            <w:vMerge w:val="restart"/>
            <w:tcBorders>
              <w:top w:val="single" w:color="000000" w:sz="4" w:space="0"/>
              <w:left w:val="single" w:color="000000" w:sz="4" w:space="0"/>
              <w:bottom w:val="single" w:color="000000" w:sz="4" w:space="0"/>
              <w:right w:val="single" w:color="000000" w:sz="8" w:space="0"/>
            </w:tcBorders>
            <w:shd w:val="clear" w:color="FFFFFF" w:fill="FFFFFF"/>
            <w:vAlign w:val="center"/>
          </w:tcPr>
          <w:p w14:paraId="559B287E">
            <w:pPr>
              <w:jc w:val="right"/>
              <w:rPr>
                <w:rFonts w:hint="eastAsia" w:ascii="宋体" w:hAnsi="宋体" w:eastAsia="宋体" w:cs="宋体"/>
                <w:i w:val="0"/>
                <w:iCs w:val="0"/>
                <w:color w:val="000000"/>
                <w:sz w:val="18"/>
                <w:szCs w:val="18"/>
                <w:u w:val="none"/>
              </w:rPr>
            </w:pPr>
          </w:p>
        </w:tc>
      </w:tr>
      <w:tr w14:paraId="4430E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5" w:hRule="atLeast"/>
        </w:trPr>
        <w:tc>
          <w:tcPr>
            <w:tcW w:w="880" w:type="dxa"/>
            <w:vMerge w:val="restart"/>
            <w:tcBorders>
              <w:top w:val="single" w:color="000000" w:sz="4" w:space="0"/>
              <w:left w:val="single" w:color="000000" w:sz="8" w:space="0"/>
              <w:right w:val="single" w:color="000000" w:sz="4" w:space="0"/>
            </w:tcBorders>
            <w:shd w:val="clear" w:color="FFFFFF" w:fill="FFFFFF"/>
            <w:vAlign w:val="center"/>
          </w:tcPr>
          <w:p w14:paraId="389AB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20" w:type="dxa"/>
            <w:vMerge w:val="restart"/>
            <w:tcBorders>
              <w:top w:val="single" w:color="000000" w:sz="4" w:space="0"/>
              <w:left w:val="single" w:color="000000" w:sz="4" w:space="0"/>
              <w:right w:val="single" w:color="000000" w:sz="4" w:space="0"/>
            </w:tcBorders>
            <w:shd w:val="clear" w:color="FFFFFF" w:fill="FFFFFF"/>
            <w:vAlign w:val="center"/>
          </w:tcPr>
          <w:p w14:paraId="024137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全周期生涯探索体验系统★</w:t>
            </w:r>
          </w:p>
        </w:tc>
        <w:tc>
          <w:tcPr>
            <w:tcW w:w="48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6B35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1、系统基于职业生涯教育理论体系架构，通过专业、全面的生涯探索互动以及丰富的生涯知识库，形成集理论性、系统性、普及性和趣味性等于一体的生涯自助平台，帮助用户进行职业生涯的探索和规划。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2、要求系统须具备注册账号、游客模式两种登录形式，账号登录可使用自我分析、环境分析、生涯行动、生涯趣库、生涯档案等功能，游客模式提供如“自我分析”、“</w:t>
            </w:r>
          </w:p>
        </w:tc>
        <w:tc>
          <w:tcPr>
            <w:tcW w:w="903" w:type="dxa"/>
            <w:vMerge w:val="restart"/>
            <w:tcBorders>
              <w:top w:val="single" w:color="000000" w:sz="4" w:space="0"/>
              <w:left w:val="single" w:color="000000" w:sz="4" w:space="0"/>
              <w:right w:val="single" w:color="000000" w:sz="4" w:space="0"/>
            </w:tcBorders>
            <w:shd w:val="clear" w:color="FFFFFF" w:fill="FFFFFF"/>
            <w:vAlign w:val="center"/>
          </w:tcPr>
          <w:p w14:paraId="38E0F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vMerge w:val="restart"/>
            <w:tcBorders>
              <w:top w:val="single" w:color="000000" w:sz="4" w:space="0"/>
              <w:left w:val="single" w:color="000000" w:sz="4" w:space="0"/>
              <w:right w:val="single" w:color="000000" w:sz="4" w:space="0"/>
            </w:tcBorders>
            <w:shd w:val="clear" w:color="FFFFFF" w:fill="FFFFFF"/>
            <w:vAlign w:val="center"/>
          </w:tcPr>
          <w:p w14:paraId="51E459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2" w:type="dxa"/>
            <w:vMerge w:val="restart"/>
            <w:tcBorders>
              <w:top w:val="single" w:color="000000" w:sz="4" w:space="0"/>
              <w:left w:val="single" w:color="000000" w:sz="4" w:space="0"/>
              <w:right w:val="single" w:color="000000" w:sz="8" w:space="0"/>
            </w:tcBorders>
            <w:shd w:val="clear" w:color="FFFFFF" w:fill="FFFFFF"/>
            <w:vAlign w:val="center"/>
          </w:tcPr>
          <w:p w14:paraId="130E974B">
            <w:pPr>
              <w:jc w:val="right"/>
              <w:rPr>
                <w:rFonts w:hint="eastAsia" w:ascii="宋体" w:hAnsi="宋体" w:eastAsia="宋体" w:cs="宋体"/>
                <w:i w:val="0"/>
                <w:iCs w:val="0"/>
                <w:color w:val="000000"/>
                <w:sz w:val="18"/>
                <w:szCs w:val="18"/>
                <w:u w:val="none"/>
              </w:rPr>
            </w:pPr>
          </w:p>
        </w:tc>
      </w:tr>
      <w:tr w14:paraId="3B42B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9" w:hRule="atLeast"/>
        </w:trPr>
        <w:tc>
          <w:tcPr>
            <w:tcW w:w="880" w:type="dxa"/>
            <w:vMerge w:val="continue"/>
            <w:tcBorders>
              <w:left w:val="single" w:color="000000" w:sz="8" w:space="0"/>
              <w:right w:val="single" w:color="000000" w:sz="4" w:space="0"/>
            </w:tcBorders>
            <w:shd w:val="clear" w:color="FFFFFF" w:fill="FFFFFF"/>
            <w:vAlign w:val="center"/>
          </w:tcPr>
          <w:p w14:paraId="66388454">
            <w:pPr>
              <w:jc w:val="center"/>
              <w:rPr>
                <w:rFonts w:hint="eastAsia" w:ascii="宋体" w:hAnsi="宋体" w:eastAsia="宋体" w:cs="宋体"/>
                <w:i w:val="0"/>
                <w:iCs w:val="0"/>
                <w:color w:val="000000"/>
                <w:sz w:val="18"/>
                <w:szCs w:val="18"/>
                <w:u w:val="none"/>
              </w:rPr>
            </w:pPr>
          </w:p>
        </w:tc>
        <w:tc>
          <w:tcPr>
            <w:tcW w:w="1420" w:type="dxa"/>
            <w:vMerge w:val="continue"/>
            <w:tcBorders>
              <w:left w:val="single" w:color="000000" w:sz="4" w:space="0"/>
              <w:right w:val="single" w:color="000000" w:sz="4" w:space="0"/>
            </w:tcBorders>
            <w:shd w:val="clear" w:color="FFFFFF" w:fill="FFFFFF"/>
            <w:vAlign w:val="center"/>
          </w:tcPr>
          <w:p w14:paraId="1FA2F4BE">
            <w:pPr>
              <w:jc w:val="left"/>
              <w:rPr>
                <w:rFonts w:hint="eastAsia" w:ascii="宋体" w:hAnsi="宋体" w:eastAsia="宋体" w:cs="宋体"/>
                <w:i w:val="0"/>
                <w:iCs w:val="0"/>
                <w:color w:val="000000"/>
                <w:sz w:val="18"/>
                <w:szCs w:val="18"/>
                <w:u w:val="none"/>
              </w:rPr>
            </w:pPr>
          </w:p>
        </w:tc>
        <w:tc>
          <w:tcPr>
            <w:tcW w:w="48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9CB98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职业情景体验”等不少于2项内容。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3、自我分析：要求提供如“性格探索”、“优势探索”、“学习技能”、“自我控制”、“价值观分析”、“智力评估”等不少于6个维度，根据分析结果可生成自我画像。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4、环境分析：要求提供如“高校信息库”、“升学途径”、“专业信息库”等不少于4类主题，提供不少于60篇文章。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5、生涯行动：要求提供如“我适合的职业”、“我想从事的职业”、“职业情景体验”、“制定我的目标”等4步骤模块，支持采用整体流程化的方式完成项目。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6、生涯趣库：要求提供如“生涯知识”、“生涯趣答”、“生涯图库”等二级栏目，提供如“职业生涯规划的重要性”、“生涯发展的五个阶段”、“职业发展地图”等不少于120篇内容。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7、生涯档案：要求记录自我分析、生涯行动等训练内容，支持自主查看或删除。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8、要求系统具有待机宣传功能，可播放宣传视频及文字。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9、要求系统可通过管理员账号登录后台，实现用户管理及前端设置功能。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9.1系统设置：可设置待机宣传配置、首页背景音乐设置、前端停留保护设置等。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9.2用户及档案管理：要求支持添加、编辑、删除前端用户信息，查看全部用户档案信息。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9.3环境分析管理：要求支持自定义添加环境分析二级栏目功能及文章详情。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9.4生涯趣库管理：要求支持自定义添加生涯知识内容和生涯图库内容。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10、支持将训练报告推送至已有云平台，通过物联网技术与心理云平台实现互联互通，提供云端身份验证、数据保存、数据管理等功能。                                    加“★”功能为核心使用功能，须提供系统功能截图进行佐证，实际供货须与截图保持一致，否则不得分。  </w:t>
            </w:r>
          </w:p>
          <w:p w14:paraId="06AF5A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1、要求包含全周期生涯探索体验系统1套（预置安装）、控制台1套。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三、硬件配置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1、要求外观尺寸：1800mm*676mm*80（±5mm）。底座尺寸：423mm*679mm（±5mm）。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2、要求屏幕尺寸：43英寸。</w:t>
            </w:r>
          </w:p>
        </w:tc>
        <w:tc>
          <w:tcPr>
            <w:tcW w:w="903" w:type="dxa"/>
            <w:vMerge w:val="continue"/>
            <w:tcBorders>
              <w:left w:val="single" w:color="000000" w:sz="4" w:space="0"/>
              <w:right w:val="single" w:color="000000" w:sz="4" w:space="0"/>
            </w:tcBorders>
            <w:shd w:val="clear" w:color="FFFFFF" w:fill="FFFFFF"/>
            <w:vAlign w:val="center"/>
          </w:tcPr>
          <w:p w14:paraId="711D8389">
            <w:pPr>
              <w:jc w:val="center"/>
              <w:rPr>
                <w:rFonts w:hint="eastAsia" w:ascii="宋体" w:hAnsi="宋体" w:eastAsia="宋体" w:cs="宋体"/>
                <w:i w:val="0"/>
                <w:iCs w:val="0"/>
                <w:color w:val="000000"/>
                <w:sz w:val="18"/>
                <w:szCs w:val="18"/>
                <w:u w:val="none"/>
              </w:rPr>
            </w:pPr>
          </w:p>
        </w:tc>
        <w:tc>
          <w:tcPr>
            <w:tcW w:w="971" w:type="dxa"/>
            <w:vMerge w:val="continue"/>
            <w:tcBorders>
              <w:left w:val="single" w:color="000000" w:sz="4" w:space="0"/>
              <w:right w:val="single" w:color="000000" w:sz="4" w:space="0"/>
            </w:tcBorders>
            <w:shd w:val="clear" w:color="FFFFFF" w:fill="FFFFFF"/>
            <w:vAlign w:val="center"/>
          </w:tcPr>
          <w:p w14:paraId="596D3697">
            <w:pPr>
              <w:jc w:val="right"/>
              <w:rPr>
                <w:rFonts w:hint="eastAsia" w:ascii="宋体" w:hAnsi="宋体" w:eastAsia="宋体" w:cs="宋体"/>
                <w:i w:val="0"/>
                <w:iCs w:val="0"/>
                <w:color w:val="000000"/>
                <w:sz w:val="18"/>
                <w:szCs w:val="18"/>
                <w:u w:val="none"/>
              </w:rPr>
            </w:pPr>
          </w:p>
        </w:tc>
        <w:tc>
          <w:tcPr>
            <w:tcW w:w="1052" w:type="dxa"/>
            <w:vMerge w:val="continue"/>
            <w:tcBorders>
              <w:left w:val="single" w:color="000000" w:sz="4" w:space="0"/>
              <w:right w:val="single" w:color="000000" w:sz="8" w:space="0"/>
            </w:tcBorders>
            <w:shd w:val="clear" w:color="FFFFFF" w:fill="FFFFFF"/>
            <w:vAlign w:val="center"/>
          </w:tcPr>
          <w:p w14:paraId="37624D74">
            <w:pPr>
              <w:jc w:val="right"/>
              <w:rPr>
                <w:rFonts w:hint="eastAsia" w:ascii="宋体" w:hAnsi="宋体" w:eastAsia="宋体" w:cs="宋体"/>
                <w:i w:val="0"/>
                <w:iCs w:val="0"/>
                <w:color w:val="000000"/>
                <w:sz w:val="18"/>
                <w:szCs w:val="18"/>
                <w:u w:val="none"/>
              </w:rPr>
            </w:pPr>
          </w:p>
        </w:tc>
      </w:tr>
      <w:tr w14:paraId="0626D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9" w:hRule="atLeast"/>
        </w:trPr>
        <w:tc>
          <w:tcPr>
            <w:tcW w:w="880" w:type="dxa"/>
            <w:tcBorders>
              <w:top w:val="single" w:color="000000" w:sz="4" w:space="0"/>
              <w:left w:val="single" w:color="000000" w:sz="8" w:space="0"/>
              <w:right w:val="single" w:color="000000" w:sz="4" w:space="0"/>
            </w:tcBorders>
            <w:shd w:val="clear" w:color="FFFFFF" w:fill="FFFFFF"/>
            <w:vAlign w:val="center"/>
          </w:tcPr>
          <w:p w14:paraId="0DD44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20" w:type="dxa"/>
            <w:tcBorders>
              <w:top w:val="single" w:color="000000" w:sz="4" w:space="0"/>
              <w:left w:val="single" w:color="000000" w:sz="4" w:space="0"/>
              <w:right w:val="single" w:color="000000" w:sz="4" w:space="0"/>
            </w:tcBorders>
            <w:shd w:val="clear" w:color="FFFFFF" w:fill="FFFFFF"/>
            <w:vAlign w:val="center"/>
          </w:tcPr>
          <w:p w14:paraId="51FA9E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情绪识别训练提升系统★</w:t>
            </w:r>
          </w:p>
        </w:tc>
        <w:tc>
          <w:tcPr>
            <w:tcW w:w="4863" w:type="dxa"/>
            <w:tcBorders>
              <w:top w:val="single" w:color="000000" w:sz="4" w:space="0"/>
              <w:left w:val="single" w:color="000000" w:sz="4" w:space="0"/>
              <w:right w:val="single" w:color="000000" w:sz="4" w:space="0"/>
            </w:tcBorders>
            <w:shd w:val="clear" w:color="FFFFFF" w:fill="FFFFFF"/>
            <w:vAlign w:val="center"/>
          </w:tcPr>
          <w:p w14:paraId="1531D10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1、本系统基于情绪心理学相关理论、自助成长的理念，结合面部情绪识别技术，要求系统具有情绪识别小屋、积极训练中心、趣味体验场、个人小屋、档案信箱、心情日记等功能。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2、支持用户注册并绑定人脸信息后，后续可通过识别面部信息刷脸登录。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3、支持通过每日一签记录如悲伤、惊讶、快乐、平静、愤怒等≥5种心情，提供如学习、朋友、生活、工作、健康等≥12种主题选项，支持输入经历和感受等心情日记。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4、提供本周/月情绪状况，包含积极情绪、消极情绪百分比等，支持选择日期范围、情绪状态等查询记录。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5、提供倒计时为30秒的快速情绪识别，识别中提示积极词语引导，帮助用户洞察内心，了解自我情绪。支持通过扫描二维码下载报告，或导出报告到本机。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提供如积极/消极占比统计图、7种情绪占比统计图、情绪变化趋势图等≥3种快速情绪识别报告数据图表分析；提供7种情绪占比排名前三的情绪代表图，包含不同情绪占比、出现频率等数据；提供不同动态卡通动物形象作为情绪代表，如快乐小鸟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7、提供面部情绪识别、图形情绪感知、自我评估三个阶段多维情绪检测，支持通过扫描二维码下载报告，或导出报告到本机。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8、提供情绪积极指数、情绪稳定性指数、情绪弹性指数等多维情绪</w:t>
            </w:r>
          </w:p>
          <w:p w14:paraId="24EC532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检测报告，包含不同维度得分、理想分值（百分制）等，提供如面部情绪识别数据结果、情绪图片诱导实验数据结果、面部情绪变化数据结果、情绪稳定性问卷数据结果、情绪弹性问卷数据结果等≥5组数据结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9、提供情绪总体印象，包含积极-消极、稳定-不稳定等维度四种组合结果，支持根据多维情绪检测结果智能推荐内容。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10、提供如“绘制生命树”、“情绪问答”等≥7款心理体验项目。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10.1提供基于人本主义心理学原理研发的“绘制生命树”体验游戏，帮助用户梳理生命中重要的时刻和事件，寻找其在潜意识中最珍视的人和事，确定未来前进的方向。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10.2提供“情绪问答”体验游戏，通过问答可了解情绪的意义，体会情绪的价值，了解身体的反应。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11、提供如“情绪是什么”“如何避免情绪化？”等≥30篇心理文章。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12、提供如“原来真的可以气出胃病”“拒绝情绪化进食”等≥30节心理课程。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13、提供如“奔跑的方块”、“印章糖”、“小羊回家”等≥20款趣味体验场游戏。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14、提供档案信箱，支持通过选择报告日期查询报告，支持对快速情绪识别、多维情绪检测报告进行查看、删除等操作。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15、提供基本信息、面部信息、成长等级等个人小屋内容，包含如初级、中级、高级、专家、大师等五级成长等级，支持更换、解除面部信息。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16、支持用户通过如登录岛屿、快速情绪识别等不少于6项的任务操作，领取一定贝壳及成长值。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17、支持用户使用贝壳值解锁一定内容，如积极训练中心的部分心理课程或心灵之舞的部分音乐。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18、提供如“和谐轻音”、“森林清晨”、“治愈心灵”等≥32款音频。</w:t>
            </w:r>
          </w:p>
          <w:p w14:paraId="1678B6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19、支持管理员帐号进行用户管理，可添加用户，并对已存在的帐号进行查看、编辑、删除等操作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20、支持将训练报告推送至已有云平台，通过物联网技术与心理云平台实现互联互通，提供云端身份验证、数据保存、数据管理等功能。                                         加“★”功能为核心使用功能，须提供系统功能截图进行佐证，实际供货须与截图保持一致，否则不得分。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1、要求包含情绪识别训练提升系统1套（预置安装）；控制台1套。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三、硬件配置要求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1、要求外观尺寸：1718mm*748.5mm*266mm（±5mm），底座尺寸：550mm*748.5mm（±5mm）。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2、要求屏幕尺寸：32英寸。</w:t>
            </w:r>
          </w:p>
        </w:tc>
        <w:tc>
          <w:tcPr>
            <w:tcW w:w="903" w:type="dxa"/>
            <w:tcBorders>
              <w:top w:val="single" w:color="000000" w:sz="4" w:space="0"/>
              <w:left w:val="single" w:color="000000" w:sz="4" w:space="0"/>
              <w:right w:val="single" w:color="000000" w:sz="4" w:space="0"/>
            </w:tcBorders>
            <w:shd w:val="clear" w:color="FFFFFF" w:fill="FFFFFF"/>
            <w:vAlign w:val="center"/>
          </w:tcPr>
          <w:p w14:paraId="7FCA8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right w:val="single" w:color="000000" w:sz="4" w:space="0"/>
            </w:tcBorders>
            <w:shd w:val="clear" w:color="FFFFFF" w:fill="FFFFFF"/>
            <w:vAlign w:val="center"/>
          </w:tcPr>
          <w:p w14:paraId="0A4F24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34FB4D">
            <w:pPr>
              <w:jc w:val="right"/>
              <w:rPr>
                <w:rFonts w:hint="eastAsia" w:ascii="宋体" w:hAnsi="宋体" w:eastAsia="宋体" w:cs="宋体"/>
                <w:i w:val="0"/>
                <w:iCs w:val="0"/>
                <w:color w:val="000000"/>
                <w:sz w:val="18"/>
                <w:szCs w:val="18"/>
                <w:u w:val="none"/>
              </w:rPr>
            </w:pPr>
          </w:p>
        </w:tc>
      </w:tr>
      <w:tr w14:paraId="39810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8" w:hRule="atLeast"/>
        </w:trPr>
        <w:tc>
          <w:tcPr>
            <w:tcW w:w="880" w:type="dxa"/>
            <w:tcBorders>
              <w:top w:val="single" w:color="000000" w:sz="4" w:space="0"/>
              <w:left w:val="single" w:color="000000" w:sz="8" w:space="0"/>
              <w:right w:val="single" w:color="000000" w:sz="4" w:space="0"/>
            </w:tcBorders>
            <w:shd w:val="clear" w:color="FFFFFF" w:fill="FFFFFF"/>
            <w:vAlign w:val="center"/>
          </w:tcPr>
          <w:p w14:paraId="28CB3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20" w:type="dxa"/>
            <w:tcBorders>
              <w:top w:val="single" w:color="000000" w:sz="4" w:space="0"/>
              <w:left w:val="single" w:color="000000" w:sz="4" w:space="0"/>
              <w:right w:val="single" w:color="000000" w:sz="4" w:space="0"/>
            </w:tcBorders>
            <w:shd w:val="clear" w:color="FFFFFF" w:fill="FFFFFF"/>
            <w:vAlign w:val="center"/>
          </w:tcPr>
          <w:p w14:paraId="6A2D15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心理自助系统★</w:t>
            </w:r>
          </w:p>
        </w:tc>
        <w:tc>
          <w:tcPr>
            <w:tcW w:w="4863" w:type="dxa"/>
            <w:tcBorders>
              <w:top w:val="single" w:color="000000" w:sz="4" w:space="0"/>
              <w:left w:val="single" w:color="000000" w:sz="4" w:space="0"/>
              <w:right w:val="single" w:color="000000" w:sz="4" w:space="0"/>
            </w:tcBorders>
            <w:shd w:val="clear" w:color="FFFFFF" w:fill="FFFFFF"/>
            <w:vAlign w:val="center"/>
          </w:tcPr>
          <w:p w14:paraId="5ECCC62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系统基于自助、助人、互助的心理健康理念开发，具备如心理科普、自助方案、心理悦读、健康医典、能力训练、心理视频、放松减压、心理图库、心理测评、心理树洞、中心介绍、心理互动、咨询辅导、迎宾宣传等≥14个功能模块，助力心理科普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2、支持心理自助、迎宾宣传双系统一键切换，既可以提供多种心理科普资料，又能够起到迎宾宣传的作用。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3、提供如迎宾、启迪、智库、实践等≥4类迎宾宣传栏目。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4、由前台和管理后台两部分组成，支持在系统接入局域网情况下，可远程进入管理后台。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5、支持进行首页背景图、二级页背景图、详细页背景图、系统LOGO、系统名称、前端功能区域切换间隔等≥7种系统设置。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6、前台导航页面支持多屏分页显示栏目，支持通过管理后台设置栏目。</w:t>
            </w:r>
          </w:p>
          <w:p w14:paraId="559A96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7、管理后台支持将文章、视频等内容设置“是否推荐到前端导航页”功能，设置为推荐到前端导航页的内容，将在前台导航分屏页面中进行显示。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8、管理后台可查看栏目名称、栏目级别、栏目内容类型、状态等内容，支持添加、修改、删除一级或二级栏目。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9、管理后台内置文章、音频、视频等模板类型，可修改名称、作者、描述等内容，支持上传文件。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10、提供如心理学家、心理学名词、心理学分类等≥6类心理科普栏目，包含如“感觉”、“罗森塔尔实验”等≥98篇文章。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11、提供如学习工作、人际交往、压力应对等≥10类自助方案栏目，包含如“关于拖延症”、“公开演讲发言紧张怎么办”等不少于160篇文章。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12、提供如励志美文、心理故事、名言名句、心灵鸡汤等≥4类心理悦读栏目，包含如“坚持的力量”、“逆境出人才”等≥60篇文章。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13、提供如“抑郁症”、“焦虑症”等≥18篇健康医典主题文章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14、提供如“舒尔特方格”、“心理旋转”等≥14个能力训练。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15、提供舒尔特方格训练，基于沃尔特·舒尔特提出的舒尔特方格研发，通过在5×5的表格中快速按1-25的顺序依次标记位置，进行专注力训练。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16、提供心理旋转训练，基于心理学中著名的心理旋转实验研发，通过训练快速分辨出字母R是正还是反，进行想象力训练。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17、提供如放松训练、情绪管理、心理课堂等≥5类心理视频栏目，包含如“呼吸放松训练”、“如何管理自己的情绪”等≥76节视频。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18、提供如减压音乐、催眠音乐等≥3类放松减压栏目，包含≥30首音乐。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19、提供如似动图片、双关图形等</w:t>
            </w:r>
          </w:p>
        </w:tc>
        <w:tc>
          <w:tcPr>
            <w:tcW w:w="903" w:type="dxa"/>
            <w:tcBorders>
              <w:top w:val="single" w:color="000000" w:sz="4" w:space="0"/>
              <w:left w:val="single" w:color="000000" w:sz="4" w:space="0"/>
              <w:right w:val="single" w:color="000000" w:sz="4" w:space="0"/>
            </w:tcBorders>
            <w:shd w:val="clear" w:color="FFFFFF" w:fill="FFFFFF"/>
            <w:vAlign w:val="center"/>
          </w:tcPr>
          <w:p w14:paraId="60B34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right w:val="single" w:color="000000" w:sz="4" w:space="0"/>
            </w:tcBorders>
            <w:shd w:val="clear" w:color="FFFFFF" w:fill="FFFFFF"/>
            <w:vAlign w:val="center"/>
          </w:tcPr>
          <w:p w14:paraId="4C351F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8FFDE2">
            <w:pPr>
              <w:jc w:val="right"/>
              <w:rPr>
                <w:rFonts w:hint="eastAsia" w:ascii="宋体" w:hAnsi="宋体" w:eastAsia="宋体" w:cs="宋体"/>
                <w:i w:val="0"/>
                <w:iCs w:val="0"/>
                <w:color w:val="000000"/>
                <w:sz w:val="18"/>
                <w:szCs w:val="18"/>
                <w:u w:val="none"/>
              </w:rPr>
            </w:pPr>
          </w:p>
        </w:tc>
      </w:tr>
      <w:tr w14:paraId="51E6A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7ADFAD">
            <w:pPr>
              <w:jc w:val="center"/>
              <w:rPr>
                <w:rFonts w:hint="eastAsia" w:ascii="宋体" w:hAnsi="宋体" w:eastAsia="宋体" w:cs="宋体"/>
                <w:i w:val="0"/>
                <w:iCs w:val="0"/>
                <w:color w:val="000000"/>
                <w:sz w:val="18"/>
                <w:szCs w:val="18"/>
                <w:u w:val="none"/>
              </w:rPr>
            </w:pPr>
          </w:p>
        </w:tc>
        <w:tc>
          <w:tcPr>
            <w:tcW w:w="14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C1E30A">
            <w:pPr>
              <w:jc w:val="left"/>
              <w:rPr>
                <w:rFonts w:hint="eastAsia" w:ascii="宋体" w:hAnsi="宋体" w:eastAsia="宋体" w:cs="宋体"/>
                <w:i w:val="0"/>
                <w:iCs w:val="0"/>
                <w:color w:val="000000"/>
                <w:sz w:val="18"/>
                <w:szCs w:val="18"/>
                <w:u w:val="none"/>
              </w:rPr>
            </w:pPr>
          </w:p>
        </w:tc>
        <w:tc>
          <w:tcPr>
            <w:tcW w:w="48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2178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≥9类心理图库栏目，包含≥127张图片资源。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提供如90项症状清单（SCL-90）、抑郁自评量表（SDS）、焦虑自评量表（SAS）等≥14个量表，包含心理测评知情同意书、指导语等内容，支持填写如名称、年龄、联系电话等个人信息，测评后生成测评报告，支持在管理后台查询测评结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21、心理测评报告包含如测评信息、因子得分、因子图表、测评结果、辅导建议等≥5类内容，支持在管理后台查询历史测评报告。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22、支持用户添加留言，支持自定义头像、昵称、表情，支持留言在管理后台审核通过后，在前台心理树洞栏目显示。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23、提供咨询辅导功能，支持用户填写并提交姓名、编号、手机、邮箱、希望咨询的问题等内容。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24、提供新闻速递栏目，提供≥14篇心理互动文章。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25、提供如咨询师介绍、工作文档等≥2类中心介绍栏目。                                                                                                                 加“★”功能为核心使用功能，须提供系统功能截图进行佐证，实际供货须与截图保持一致，否则不得分。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1、要求包含心理自助系统1套（预置安装）；控制台1套。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三、硬件配置要求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1、要求外观尺寸：1259mm*550mm（±50mm）,底座500mm*700mm(±50mm)。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2、要求屏幕尺寸：43英寸。</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C2787E">
            <w:pPr>
              <w:jc w:val="center"/>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288A87">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5632864">
            <w:pPr>
              <w:jc w:val="right"/>
              <w:rPr>
                <w:rFonts w:hint="eastAsia" w:ascii="宋体" w:hAnsi="宋体" w:eastAsia="宋体" w:cs="宋体"/>
                <w:i w:val="0"/>
                <w:iCs w:val="0"/>
                <w:color w:val="000000"/>
                <w:sz w:val="18"/>
                <w:szCs w:val="18"/>
                <w:u w:val="none"/>
              </w:rPr>
            </w:pPr>
          </w:p>
        </w:tc>
      </w:tr>
      <w:tr w14:paraId="436B1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80" w:type="dxa"/>
            <w:vMerge w:val="restart"/>
            <w:tcBorders>
              <w:top w:val="single" w:color="000000" w:sz="4" w:space="0"/>
              <w:left w:val="single" w:color="000000" w:sz="8" w:space="0"/>
              <w:right w:val="single" w:color="000000" w:sz="4" w:space="0"/>
            </w:tcBorders>
            <w:shd w:val="clear" w:color="FFFFFF" w:fill="FFFFFF"/>
            <w:vAlign w:val="center"/>
          </w:tcPr>
          <w:p w14:paraId="5BCB8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20" w:type="dxa"/>
            <w:vMerge w:val="restart"/>
            <w:tcBorders>
              <w:top w:val="single" w:color="000000" w:sz="4" w:space="0"/>
              <w:left w:val="single" w:color="000000" w:sz="4" w:space="0"/>
              <w:right w:val="single" w:color="000000" w:sz="4" w:space="0"/>
            </w:tcBorders>
            <w:shd w:val="clear" w:color="FFFFFF" w:fill="FFFFFF"/>
            <w:vAlign w:val="center"/>
          </w:tcPr>
          <w:p w14:paraId="22BA90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AI心理对话舱系★</w:t>
            </w:r>
          </w:p>
        </w:tc>
        <w:tc>
          <w:tcPr>
            <w:tcW w:w="4863" w:type="dxa"/>
            <w:tcBorders>
              <w:top w:val="single" w:color="000000" w:sz="4" w:space="0"/>
              <w:left w:val="single" w:color="000000" w:sz="4" w:space="0"/>
              <w:right w:val="single" w:color="000000" w:sz="4" w:space="0"/>
            </w:tcBorders>
            <w:shd w:val="clear" w:color="FFFFFF" w:fill="FFFFFF"/>
            <w:vAlign w:val="center"/>
          </w:tcPr>
          <w:p w14:paraId="10A6EBF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一、功能描述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1、本系统基于“AI+”技术及积极心理学理论设计，实现多角色语音聊天陪伴、层级对话预警，旨在以人机互动的高粘性交互方式，帮助用户更好地理解自己的情绪，探索内心困扰并提供解决策略。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2、提供首次登录时引导介绍，由2D数字形象引导介绍智慧对话角、</w:t>
            </w:r>
          </w:p>
          <w:p w14:paraId="30AD94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心语测量仪、悦心发现阁等至少3个功能模块。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3、支持在首页停留时，2D数字形象提供简短互动陪伴。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提供如陪伴精灵、爸爸、妈妈、朋友等≥4种AI角色，不同角色以2D数字形象展示，包含如聆听、思考、对话等≥3种动作形象，支持与用户进行语音对话。如果长时间没有语音互动，2D数字形象会提示如“这里比较安静，能听见我的声音吗”，并在一段时间后自动退出语音对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5、语音对话时提供不少于两条提示词，如“最近总是很焦虑，怎么办？”，支持对当前对话进行暂停、清空等操作。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6、支持在进行语音对话前，提示采集面部照片进行情绪识别，对话结束后由AI生成情绪画像。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7、内置如“焦虑自评量表”、“抑郁自评量表”等≥14个评估量表，支持通过语音对话由AI推荐适合的量表，测评后生成测评记录。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8、支持由AI根据用户当前情况推荐悦心内容，提供如课程推荐、文章精选、游戏天地、音乐中心等不少于4个主题模块。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9、提供心理知识、生涯教育、减压训练等至少3个主题课程推荐，包含如“拒绝情绪化进食”、“最近焦虑了、你别害怕！”、“如何培养职业兴趣”等≥114节课程。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10、提供心理科普、情绪管理、个人成长等至少3个主题文章精选，提供如“神经衰弱”、“情绪是什么？”、“如何面对成长中的痛苦”等≥57篇文章。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11、提供如“图形拼贴”、“财务专家”、“理清线条”等≥于12款游戏训练。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12、提供如催眠音乐、放松音乐、精力恢复等至少3类主题音乐，提供≥76首音乐。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13、支持用户查看对话记录，提供如对话总时长、总交流轮次、主</w:t>
            </w:r>
          </w:p>
        </w:tc>
        <w:tc>
          <w:tcPr>
            <w:tcW w:w="903" w:type="dxa"/>
            <w:vMerge w:val="restart"/>
            <w:tcBorders>
              <w:top w:val="single" w:color="000000" w:sz="4" w:space="0"/>
              <w:left w:val="single" w:color="000000" w:sz="4" w:space="0"/>
              <w:right w:val="single" w:color="000000" w:sz="4" w:space="0"/>
            </w:tcBorders>
            <w:shd w:val="clear" w:color="FFFFFF" w:fill="FFFFFF"/>
            <w:vAlign w:val="center"/>
          </w:tcPr>
          <w:p w14:paraId="13D69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right w:val="single" w:color="000000" w:sz="4" w:space="0"/>
            </w:tcBorders>
            <w:shd w:val="clear" w:color="FFFFFF" w:fill="FFFFFF"/>
            <w:vAlign w:val="center"/>
          </w:tcPr>
          <w:p w14:paraId="498A85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6DD100F">
            <w:pPr>
              <w:jc w:val="right"/>
              <w:rPr>
                <w:rFonts w:hint="eastAsia" w:ascii="宋体" w:hAnsi="宋体" w:eastAsia="宋体" w:cs="宋体"/>
                <w:i w:val="0"/>
                <w:iCs w:val="0"/>
                <w:color w:val="000000"/>
                <w:sz w:val="18"/>
                <w:szCs w:val="18"/>
                <w:u w:val="none"/>
              </w:rPr>
            </w:pPr>
          </w:p>
        </w:tc>
      </w:tr>
      <w:tr w14:paraId="74C18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7" w:hRule="atLeast"/>
        </w:trPr>
        <w:tc>
          <w:tcPr>
            <w:tcW w:w="880" w:type="dxa"/>
            <w:vMerge w:val="continue"/>
            <w:tcBorders>
              <w:left w:val="single" w:color="000000" w:sz="8" w:space="0"/>
              <w:right w:val="single" w:color="000000" w:sz="4" w:space="0"/>
            </w:tcBorders>
            <w:shd w:val="clear" w:color="FFFFFF" w:fill="FFFFFF"/>
            <w:vAlign w:val="center"/>
          </w:tcPr>
          <w:p w14:paraId="570D7F0C">
            <w:pPr>
              <w:jc w:val="center"/>
              <w:rPr>
                <w:rFonts w:hint="eastAsia" w:ascii="宋体" w:hAnsi="宋体" w:eastAsia="宋体" w:cs="宋体"/>
                <w:i w:val="0"/>
                <w:iCs w:val="0"/>
                <w:color w:val="000000"/>
                <w:sz w:val="18"/>
                <w:szCs w:val="18"/>
                <w:u w:val="none"/>
              </w:rPr>
            </w:pPr>
          </w:p>
        </w:tc>
        <w:tc>
          <w:tcPr>
            <w:tcW w:w="1420" w:type="dxa"/>
            <w:vMerge w:val="continue"/>
            <w:tcBorders>
              <w:left w:val="single" w:color="000000" w:sz="4" w:space="0"/>
              <w:right w:val="single" w:color="000000" w:sz="4" w:space="0"/>
            </w:tcBorders>
            <w:shd w:val="clear" w:color="FFFFFF" w:fill="FFFFFF"/>
            <w:vAlign w:val="center"/>
          </w:tcPr>
          <w:p w14:paraId="1C9B478E">
            <w:pPr>
              <w:jc w:val="left"/>
              <w:rPr>
                <w:rFonts w:hint="eastAsia" w:ascii="宋体" w:hAnsi="宋体" w:eastAsia="宋体" w:cs="宋体"/>
                <w:i w:val="0"/>
                <w:iCs w:val="0"/>
                <w:color w:val="000000"/>
                <w:sz w:val="18"/>
                <w:szCs w:val="18"/>
                <w:u w:val="none"/>
              </w:rPr>
            </w:pPr>
          </w:p>
        </w:tc>
        <w:tc>
          <w:tcPr>
            <w:tcW w:w="4863" w:type="dxa"/>
            <w:vMerge w:val="restart"/>
            <w:tcBorders>
              <w:top w:val="single" w:color="000000" w:sz="4" w:space="0"/>
              <w:left w:val="single" w:color="000000" w:sz="4" w:space="0"/>
              <w:right w:val="single" w:color="000000" w:sz="4" w:space="0"/>
            </w:tcBorders>
            <w:shd w:val="clear" w:color="FFFFFF" w:fill="FFFFFF"/>
            <w:vAlign w:val="center"/>
          </w:tcPr>
          <w:p w14:paraId="6921BA6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要情绪类型、情绪波动指数、情绪分布等≥4种数据，生成如情绪高光时刻、个性化情绪洞察、情绪小贴士等文字内容。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14、根据用户对话内容，生成AI对话预警，提供低、中、高三级风险等级，并用不同颜色提示。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15、支持根据等级、状态、组织机构等进行查询AI对话预警人员，支持导出人员名单。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16、支持查看用户预警详情，区分未读预警、已读预警便于管理者分类查看，支持选择多位预警用户标记为已读。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17、支持根据用户的预警信息生成AI建议，包含如问题情况总结、辅导建议、短期目标、长期目标等内容，支持查看对话记录。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18、支持通过不同颜色区分三级预警及未见风险用户画像，提供用户登录系统、风险预警、心理评测、AI对话等相关数据及更新时间。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19、提供用户综合情况统计，包含如心理动态档案折线图、心理素质水平分析、系统使用人次统计柱状图、心理知识学习情况统计饼图等≥4类数据，支持生成动态男/女用户画像及核心描述词。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20、提供用户管理功能，支持单个添加、批量导入、批量删除用户信息。支持对用户信息进行查看、删除。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21、提供大数据可视化中心，包含系统使用人次统计、AI预警情况统计、常见心理问题分布、本月系统新增、总登录系统人次等至少8类数据，支持全屏显示。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22、支持用户手机号注册、登录，支持选择是否开启面部情绪识别。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23、提供AI对话预警消息提示，可设置提醒等级及频率，支持微信公众号绑定后设置通知提醒。                                                                           加“★”功能为核心使用功能，须提供系统功能截图进行佐证，实际供货须与截图保持一致，否则不得分。</w:t>
            </w:r>
          </w:p>
          <w:p w14:paraId="3EF3028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1、要求包含AI心理对话舱系统1套（预置安装）；对话舱1台；控制台1套；升降椅1把。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三、硬件配置要求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1、要求外观尺寸：1200mm*1000mm*2350mm（±50mm）。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2、要求屏幕尺寸：27英寸。</w:t>
            </w:r>
          </w:p>
          <w:p w14:paraId="3782F9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一、功能描述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1、本系统基于心理学与艺术疗法原理，融合曼陀罗绘画心理投射理论，结合 AI 绘画与性格测验元素研发，内置曼陀罗性格倾向测验、成长任务、主题绘画、趣味测验、绘画展厅、AI小助手、档案管理、用户管理等功能模块。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2、系统具有曼陀罗性格倾向测验，包含图案选择、曼陀罗绘制、性格分析3部分。完成绘画后系统通过AI算法分析绘画内容，生成个性化的性格分析报告。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3、性格分析报告包含性格类型图、优势特征、劣势特征、突破性任务、作品展示、颜色分析、特征分析、辅导建议等≥8项内容。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系统具有“成长任务”模块，包含保护篇、分化篇、凝聚篇、整合篇、指引篇、超越篇、回顾篇6个阶段任务。后续阶段需完成前序任务方可解锁，引导用户分阶段参与绘画，逐步提升心理能量。完成成长任务后，呈现分析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5、成长任务提供完整的训练流程，包含绘画示意、图案绘制、AI语音交互引导、报告分析4个部分，按照“讲解→绘画→引导回顾→分析”的流程进行训练。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系统提供详细的成长任务报告分析，包含个人基础信息、绘画时长、报告生成时间、心理能量等级说明、作品展示、颜色分析等。心理能量值划分5个分等级（极低、较低、中等、较高、极高），以不同颜色进行呈现，并指示出用户所处</w:t>
            </w:r>
          </w:p>
          <w:p w14:paraId="6FD903A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能量位置。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7、完成6个阶段成长任务后，系统呈现成长回顾功能。可依次查看6个阶段绘制的作品，AI综合6个阶段任务完成情况，生成综合报告。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综合报告包含整体心理能量变化、颜色与心理状态的关联、用户成长总结、建议与展望等4部分内容。心理能量变化综合6个阶段成长任务，从初期阶段、中期阶段、后期阶段三部分进行比较分析，并生成6阶段成长任务心理能量值曲线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系统具有主题曼陀罗模块，内置如自我曼陀罗、情绪曼陀罗、生命曼陀罗、静心曼陀罗、清理曼陀罗、喜悦曼陀罗、抑郁疗愈曼陀罗、焦虑平复曼陀罗等不少于8个经典心理主题。每个主题均配有视频讲解、步骤介绍。完成绘画后，系统出具分析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10、系统具有趣味测验模块，内置如测测你的焦虑程度、测测你的色彩感知等不少于16个绘画测验游戏，完成后自动生成测验结果。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系统具有绘画展厅模块，包含绘画中的心理学、心理画展2部分内容。绘画中的心理学提供如曼陀罗的神话溯源与宗教隐喻、当东方智慧遇上曼陀罗绘画等不少于16篇文章。心理画展以图文的形式科普心理绘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12、系统具有AI小助手功能，支持用户与AI进行语音交互，可了解系统介绍、曼陀罗绘画起源、每日画签等内容。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13、每日画签功能支持用户选择了解今日财运、学业、事业、爱情、财富、健康等方面内容，并根据抽取画签结果进行进一步AI深度了解。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14、系统具有档案管理功能，包括成长任务档案、主题绘画档案。成长任务档案全面记录任务生成时间、任务完成进度、进度更新时间等。支持根据任务生成时间进行筛</w:t>
            </w:r>
          </w:p>
          <w:p w14:paraId="4B0BDC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选。报告根据成长任务完成情况，整合综合报告、性格倾向测验、保护篇、分化篇、凝聚篇、整合篇、指引篇、超越篇等内容。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15、要求系统管理端须具有用户管理功能，支持编辑、添加、删除用户。                                        加“★”功能为核心使用功能，须提供系统功能截图进行佐证，实际供货须与截图保持一致，否则不得分。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1、要求包含AI心理绘画投射系统1套（预置安装）；控制台1套；绘画笔1支。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三、硬件配置要求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1、要求外观尺寸：749.5mm*423mm*1105mm（±50mm）。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2、要求屏幕尺寸：32寸。</w:t>
            </w:r>
          </w:p>
        </w:tc>
        <w:tc>
          <w:tcPr>
            <w:tcW w:w="903" w:type="dxa"/>
            <w:vMerge w:val="continue"/>
            <w:tcBorders>
              <w:left w:val="single" w:color="000000" w:sz="4" w:space="0"/>
              <w:right w:val="single" w:color="000000" w:sz="4" w:space="0"/>
            </w:tcBorders>
            <w:shd w:val="clear" w:color="FFFFFF" w:fill="FFFFFF"/>
            <w:vAlign w:val="center"/>
          </w:tcPr>
          <w:p w14:paraId="3E968DE0">
            <w:pPr>
              <w:jc w:val="center"/>
              <w:rPr>
                <w:rFonts w:hint="eastAsia" w:ascii="宋体" w:hAnsi="宋体" w:eastAsia="宋体" w:cs="宋体"/>
                <w:i w:val="0"/>
                <w:iCs w:val="0"/>
                <w:color w:val="000000"/>
                <w:sz w:val="18"/>
                <w:szCs w:val="18"/>
                <w:u w:val="none"/>
              </w:rPr>
            </w:pPr>
          </w:p>
        </w:tc>
        <w:tc>
          <w:tcPr>
            <w:tcW w:w="971" w:type="dxa"/>
            <w:vMerge w:val="restart"/>
            <w:tcBorders>
              <w:top w:val="single" w:color="000000" w:sz="4" w:space="0"/>
              <w:left w:val="single" w:color="000000" w:sz="4" w:space="0"/>
              <w:right w:val="single" w:color="000000" w:sz="4" w:space="0"/>
            </w:tcBorders>
            <w:shd w:val="clear" w:color="FFFFFF" w:fill="FFFFFF"/>
            <w:vAlign w:val="center"/>
          </w:tcPr>
          <w:p w14:paraId="46981A14">
            <w:pPr>
              <w:jc w:val="right"/>
              <w:rPr>
                <w:rFonts w:hint="eastAsia" w:ascii="宋体" w:hAnsi="宋体" w:eastAsia="宋体" w:cs="宋体"/>
                <w:i w:val="0"/>
                <w:iCs w:val="0"/>
                <w:color w:val="000000"/>
                <w:sz w:val="18"/>
                <w:szCs w:val="18"/>
                <w:u w:val="none"/>
              </w:rPr>
            </w:pPr>
          </w:p>
        </w:tc>
        <w:tc>
          <w:tcPr>
            <w:tcW w:w="1052" w:type="dxa"/>
            <w:vMerge w:val="restart"/>
            <w:tcBorders>
              <w:top w:val="single" w:color="000000" w:sz="4" w:space="0"/>
              <w:left w:val="single" w:color="000000" w:sz="4" w:space="0"/>
              <w:bottom w:val="single" w:color="000000" w:sz="4" w:space="0"/>
              <w:right w:val="single" w:color="000000" w:sz="8" w:space="0"/>
            </w:tcBorders>
            <w:shd w:val="clear" w:color="FFFFFF" w:fill="FFFFFF"/>
            <w:vAlign w:val="center"/>
          </w:tcPr>
          <w:p w14:paraId="16F91ACF">
            <w:pPr>
              <w:jc w:val="right"/>
              <w:rPr>
                <w:rFonts w:hint="eastAsia" w:ascii="宋体" w:hAnsi="宋体" w:eastAsia="宋体" w:cs="宋体"/>
                <w:i w:val="0"/>
                <w:iCs w:val="0"/>
                <w:color w:val="000000"/>
                <w:sz w:val="18"/>
                <w:szCs w:val="18"/>
                <w:u w:val="none"/>
              </w:rPr>
            </w:pPr>
          </w:p>
        </w:tc>
      </w:tr>
      <w:tr w14:paraId="3F57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4" w:hRule="atLeast"/>
        </w:trPr>
        <w:tc>
          <w:tcPr>
            <w:tcW w:w="880" w:type="dxa"/>
            <w:tcBorders>
              <w:top w:val="single" w:color="000000" w:sz="4" w:space="0"/>
              <w:left w:val="single" w:color="000000" w:sz="8" w:space="0"/>
              <w:right w:val="single" w:color="000000" w:sz="4" w:space="0"/>
            </w:tcBorders>
            <w:shd w:val="clear" w:color="FFFFFF" w:fill="FFFFFF"/>
            <w:vAlign w:val="center"/>
          </w:tcPr>
          <w:p w14:paraId="4E5C4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20" w:type="dxa"/>
            <w:tcBorders>
              <w:top w:val="single" w:color="000000" w:sz="4" w:space="0"/>
              <w:left w:val="single" w:color="000000" w:sz="4" w:space="0"/>
              <w:right w:val="single" w:color="000000" w:sz="4" w:space="0"/>
            </w:tcBorders>
            <w:shd w:val="clear" w:color="FFFFFF" w:fill="FFFFFF"/>
            <w:vAlign w:val="center"/>
          </w:tcPr>
          <w:p w14:paraId="7721EA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AI心理绘画投射系统★</w:t>
            </w:r>
          </w:p>
        </w:tc>
        <w:tc>
          <w:tcPr>
            <w:tcW w:w="4863" w:type="dxa"/>
            <w:vMerge w:val="continue"/>
            <w:tcBorders>
              <w:left w:val="single" w:color="000000" w:sz="4" w:space="0"/>
              <w:bottom w:val="single" w:color="000000" w:sz="4" w:space="0"/>
              <w:right w:val="single" w:color="000000" w:sz="4" w:space="0"/>
            </w:tcBorders>
            <w:shd w:val="clear" w:color="FFFFFF" w:fill="FFFFFF"/>
            <w:vAlign w:val="center"/>
          </w:tcPr>
          <w:p w14:paraId="3A40E5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right w:val="single" w:color="000000" w:sz="4" w:space="0"/>
            </w:tcBorders>
            <w:shd w:val="clear" w:color="FFFFFF" w:fill="FFFFFF"/>
            <w:vAlign w:val="center"/>
          </w:tcPr>
          <w:p w14:paraId="08EFE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right w:val="single" w:color="000000" w:sz="4" w:space="0"/>
            </w:tcBorders>
            <w:shd w:val="clear" w:color="FFFFFF" w:fill="FFFFFF"/>
            <w:vAlign w:val="center"/>
          </w:tcPr>
          <w:p w14:paraId="36FD40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2" w:type="dxa"/>
            <w:tcBorders>
              <w:top w:val="single" w:color="000000" w:sz="4" w:space="0"/>
              <w:left w:val="single" w:color="000000" w:sz="4" w:space="0"/>
              <w:right w:val="single" w:color="000000" w:sz="8" w:space="0"/>
            </w:tcBorders>
            <w:shd w:val="clear" w:color="FFFFFF" w:fill="FFFFFF"/>
            <w:vAlign w:val="center"/>
          </w:tcPr>
          <w:p w14:paraId="05738139">
            <w:pPr>
              <w:jc w:val="right"/>
              <w:rPr>
                <w:rFonts w:hint="eastAsia" w:ascii="宋体" w:hAnsi="宋体" w:eastAsia="宋体" w:cs="宋体"/>
                <w:i w:val="0"/>
                <w:iCs w:val="0"/>
                <w:color w:val="000000"/>
                <w:sz w:val="18"/>
                <w:szCs w:val="18"/>
                <w:u w:val="none"/>
              </w:rPr>
            </w:pPr>
          </w:p>
        </w:tc>
      </w:tr>
      <w:tr w14:paraId="3A7C6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7" w:hRule="atLeast"/>
        </w:trPr>
        <w:tc>
          <w:tcPr>
            <w:tcW w:w="880" w:type="dxa"/>
            <w:tcBorders>
              <w:top w:val="single" w:color="000000" w:sz="4" w:space="0"/>
              <w:left w:val="single" w:color="000000" w:sz="8" w:space="0"/>
              <w:right w:val="single" w:color="000000" w:sz="4" w:space="0"/>
            </w:tcBorders>
            <w:shd w:val="clear" w:color="FFFFFF" w:fill="FFFFFF"/>
            <w:vAlign w:val="center"/>
          </w:tcPr>
          <w:p w14:paraId="720CE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20" w:type="dxa"/>
            <w:tcBorders>
              <w:top w:val="single" w:color="000000" w:sz="4" w:space="0"/>
              <w:left w:val="single" w:color="000000" w:sz="4" w:space="0"/>
              <w:right w:val="single" w:color="000000" w:sz="4" w:space="0"/>
            </w:tcBorders>
            <w:shd w:val="clear" w:color="FFFFFF" w:fill="FFFFFF"/>
            <w:vAlign w:val="center"/>
          </w:tcPr>
          <w:p w14:paraId="2BEAF0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AI房树人心理分析系统★</w:t>
            </w:r>
          </w:p>
        </w:tc>
        <w:tc>
          <w:tcPr>
            <w:tcW w:w="4863" w:type="dxa"/>
            <w:tcBorders>
              <w:top w:val="single" w:color="000000" w:sz="4" w:space="0"/>
              <w:left w:val="single" w:color="000000" w:sz="4" w:space="0"/>
              <w:right w:val="single" w:color="000000" w:sz="4" w:space="0"/>
            </w:tcBorders>
            <w:shd w:val="clear" w:color="FFFFFF" w:fill="FFFFFF"/>
            <w:vAlign w:val="center"/>
          </w:tcPr>
          <w:p w14:paraId="7B9FA37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一、功能描述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系统基于心理学与艺术疗法原理，融合房树人心理绘画测验及心理投射理论，结合AI图像识别与处理技术研发，实现房树人图像的AI自动识别与心理含义解读，提供艺术化的心理表达与情绪调节功能，构建了完整的用户档案、预警管理与内容支持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2、支持用户进行账号密码注册登录，同时具有游客模式，支持游客模式进行房树人分析功能体验，按照“绘画→AI分析中→报告详情”步骤进行体验。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3、系统涵盖用户端与管理端。用户端内置AI多维画像、房树人分析、AI再创作、情绪卡片、档案记录等功能模块；管理端内置房树人分析、知识库、用户管理、档案管理等功能模块。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4、用户端房树人分析功能模块包含绘画指导、图案绘制、绘画分析、分析报告4个部分，按照“绘画→AI分析中→报告详情”步骤进行体验。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5、用户端房树人分析报告包含房树人画作、用户状态、性格特点、</w:t>
            </w:r>
          </w:p>
          <w:p w14:paraId="4483E3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评估详解等≥4项内容，报告支持扫描二维码下载。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系统具有AI多维画像功能模块，支持用户完成房树人分析后，根据有效分析结果在系统首页呈现多维度评分，包含如“自我形象”、“人际关系”、“安全感”、“家庭认知”、“成长体验”至少5个维度，支持以雷达图形式呈现各维度得分，支持点击各维度呈现该维度解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系统具有AI再创作功能模块，包含“情绪变身图”、“梦境世界生成器”、“你画我讲”3个艺术创作体验互动，提供互动指导，按照“用户创作→AI分析中→AI的奇妙创作”步骤进行体验，支持扫描二维码下载AI作品图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8、“情绪变身图”支持用户自由绘制后，AI基于绘画内容进行二次创作，生成新绘画图片及文字，支持扫描二维码下载AI作品图片。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9、“梦境世界生成器”支持用户从词海任选三个词语，AI根据词语进行绘画创作并生成一首诗，支持扫描二维码下载AI作品图片。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10、“你画我讲”支持用户自由绘制后，AI根据用户绘制内容进行故事创作，支持扫描二维码下载AI作品图片。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系统具有情绪卡片功能模块，提供情绪打卡、卡片集功能。情绪打卡包括如快乐、平静、惊讶等5种不同情绪；卡片集包括如“日常心情集”、“彩虹能量集”、“深潜探索集”、“梦境回声集”、“心理碎片集”等至少5种卡片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用户端档案管理包含房树人分析、AI再创作一—情绪变身图、AI再创作二—梦境世界生成器、AI再创作三—你画我讲等共至少4种档案类型。档案记录根据时间降序排列，支持显示报告状态。支持开启“自动刷新”报告记录功能，支持查看、删除档案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13、管理端具有房树人分析功能</w:t>
            </w:r>
          </w:p>
          <w:p w14:paraId="007E87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模块，支持管理员选择已有用户、新建用户进行房树人分析，支持选择电脑文件、拖动文件至上传区域、手机扫描二维码等3种方式上传图片，遵循“上传分析内容→AI分析→报告详情”流程。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14、管理端房树人分析报告包含基础信息、普通版报告、专业版报告、访谈提纲。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15、普通版报告包含基础信息、房树人画作、用户状态、性格特点、评估详解等内容。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16、专业报告包含基础信息、房树人画作、健康评估、AI多维画像、详细分析等≥5项内容，健康评估包含心理健康等级、心理健康说明；详细分析支持从整体印象、房树人各元素分析、综合分析等≥3个方面呈现。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系统支持根据用户绘制的房树人作品，生成心理健康等级预警，提供“1级·正常”、“2级·轻度关注”、“3级·中度异常”、“4级·显著风险”四级预警，并用不同颜色提示，支持根据用户的预警等级生成心理健康说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18、访谈提纲包含基础信息、访谈提纲说明、具体内容等≥3项内容。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管理端具有知识库功能模块，包含知识讲解、案例分享2个分类。知识讲解提供如“房树人的施测特点”、“HTP使用者伦理责任清单”、“房树人测验的核心功能”等≥10篇文章；案例分享提供如“在母爱牢笼中成长的男孩”、“边缘型人格障碍青年的心灵碎片与创伤烙印”、“14岁焦虑女孩的躯体化信号”等≥14个案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20、管理端具有用户管理功能模块，支持分类筛选用户档案，支持单个添加、单个删除、批量导入、批量删除用户信息，支持对用户信息进行查看及编辑。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21、管理端具有档案管理功能模块，支持查看用户端、管理端生成的各项报告。支持分类筛选、查</w:t>
            </w:r>
          </w:p>
          <w:p w14:paraId="0B8DBD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看、删除报告，支持显示报告状态，区分房树人分析、AI再创作一—情绪变身图、AI再创作二—梦境世界生成器、AI再创作三—你画我讲共4种档案类型。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22、支持导出全部报告，或单独导出专业版报告、普通版报告、访谈提纲。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23、支持根据房树人分析预警等级筛选查找报告。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1、要求包含AI房树人心理分析系统1套（预置安装）；控制台1套；绘画笔1支。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三、硬件配置要求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1、要求外观尺寸：749.5mm*423mm*1105mm（±50mm）。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2、要求屏幕尺寸：32寸。</w:t>
            </w:r>
          </w:p>
        </w:tc>
        <w:tc>
          <w:tcPr>
            <w:tcW w:w="903" w:type="dxa"/>
            <w:tcBorders>
              <w:top w:val="single" w:color="000000" w:sz="4" w:space="0"/>
              <w:left w:val="single" w:color="000000" w:sz="4" w:space="0"/>
              <w:right w:val="single" w:color="000000" w:sz="4" w:space="0"/>
            </w:tcBorders>
            <w:shd w:val="clear" w:color="FFFFFF" w:fill="FFFFFF"/>
            <w:vAlign w:val="center"/>
          </w:tcPr>
          <w:p w14:paraId="47936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right w:val="single" w:color="000000" w:sz="4" w:space="0"/>
            </w:tcBorders>
            <w:shd w:val="clear" w:color="FFFFFF" w:fill="FFFFFF"/>
            <w:vAlign w:val="center"/>
          </w:tcPr>
          <w:p w14:paraId="7553E2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4BAB52C">
            <w:pPr>
              <w:jc w:val="righ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核心产品</w:t>
            </w:r>
          </w:p>
        </w:tc>
      </w:tr>
      <w:tr w14:paraId="46A5D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80" w:type="dxa"/>
            <w:vMerge w:val="restart"/>
            <w:tcBorders>
              <w:top w:val="single" w:color="000000" w:sz="4" w:space="0"/>
              <w:left w:val="single" w:color="000000" w:sz="8" w:space="0"/>
              <w:right w:val="single" w:color="000000" w:sz="4" w:space="0"/>
            </w:tcBorders>
            <w:shd w:val="clear" w:color="FFFFFF" w:fill="FFFFFF"/>
            <w:vAlign w:val="center"/>
          </w:tcPr>
          <w:p w14:paraId="78E06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20" w:type="dxa"/>
            <w:vMerge w:val="restart"/>
            <w:tcBorders>
              <w:top w:val="single" w:color="000000" w:sz="4" w:space="0"/>
              <w:left w:val="single" w:color="000000" w:sz="4" w:space="0"/>
              <w:right w:val="single" w:color="000000" w:sz="4" w:space="0"/>
            </w:tcBorders>
            <w:shd w:val="clear" w:color="FFFFFF" w:fill="FFFFFF"/>
            <w:vAlign w:val="center"/>
          </w:tcPr>
          <w:p w14:paraId="4B85A9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智能击打呐喊宣泄系统</w:t>
            </w:r>
          </w:p>
        </w:tc>
        <w:tc>
          <w:tcPr>
            <w:tcW w:w="4863" w:type="dxa"/>
            <w:vMerge w:val="restart"/>
            <w:tcBorders>
              <w:top w:val="single" w:color="000000" w:sz="4" w:space="0"/>
              <w:left w:val="single" w:color="000000" w:sz="4" w:space="0"/>
              <w:right w:val="single" w:color="000000" w:sz="4" w:space="0"/>
            </w:tcBorders>
            <w:shd w:val="clear" w:color="FFFFFF" w:fill="FFFFFF"/>
            <w:vAlign w:val="center"/>
          </w:tcPr>
          <w:p w14:paraId="2D2473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1、本系统基于积极心理学及合理宣泄理念，内置多种主题训练方案及互动游戏，采集击打力度、呐喊分贝与时长等数据，以趣味游戏化方式引导用户完成情绪宣泄训练，提升宣泄效果与体验感。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2、支持一键操作转换击打/呐喊模式，提供如不同文字、首页动画、颜色等区分不同模式。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3、集成不少于8种专业心理评估量表，如自我压力测试、焦虑自评量表等，每个量表提供详细介绍说明，支持选择自动跳转至下一题，测评后即时生成报告。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4、心理评估报告提供测试结果、辅导建议、测评总结等详细内容，记录测试耗时及测试日期。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5、提供如“学习工作”、“环境适应”、“人际交往”等≥10类训练主题。具有男声、女声两种互动指导语音库，支持两种语音库模式</w:t>
            </w:r>
          </w:p>
          <w:p w14:paraId="575D68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自由切换。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6、支持主题训练进行暂停、再听一遍引导语，提供实时训练数据、训练耗时等，训练结束后生成报告并支持导出。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7、提供如“心花怒放”、“力量测试”、“拳击大赛”等≥12款击打游戏训练，包含如目标、任务、难度、规则、得分等说明。支持击打值范围1-100，根据击打值设定为三个难度（简单、普通、困难）。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8、提供如“震碎玻璃杯”、“玫瑰花开”、“宣泄气球”等≥12款呐喊游戏训练，包含如目标、任务、难度、规则、得分等说明。支持呐喊值范围1-100，根据呐喊值设定为三个难度（简单、普通、困难）。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9、提供如“自然音乐”、“精力再生”、“心理能量”等≥8个主题的音乐库，支持进入管理模式自定义音乐类型与列表，打造个性化放松空间。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涵盖肌肉放松训练、冥想放松训练、自我疗愈、呼吸放松训练、拥抱潜意识、森林冥想、净化身心、感谢自己、摆脱不安、悲伤辅导、超越思维、调节愤怒、非评判练习、改善沟通、改善焦虑、积极心态等≥16种科学训练指导方向，引导用户正确进行心理调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11、支持管理员帐号登录后提供用户管理、训练档案管理等功能，可查看所有训练者的训练档案。训练用户登录后可查看自己的训练档案。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12、支持记录训练类型、记录日期及训练档案等，可针对训练类型进行筛选，支持报告导出功能。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击打模式训练档案具备如训练得分、击打次数统计图、击打强度区间图、击打强度曲线图等内容，提供如平均力度、最大力度、最小力度、击打次数、标准差、差异系数等≥6项训练数据，包含训练前期、训练中期、训练后期击打力度数据（取平均值）。</w:t>
            </w:r>
          </w:p>
          <w:p w14:paraId="1592C6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呐喊模式训练档案具备如训练得分、呐喊次数统计图、呐喊强度区间图、呐喊强度曲线图等内容，提供如平均值、最高值、最低值、标准差、差异系数等≥5项训练数据，包含训练前期、训练中期、训练后期呐喊强度数据（取平均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15、支持进行击打配置，设置击打反馈模式、击打输入端口、击打力度范围等配置，支持进行训练难度配置。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16、支持进行呐喊配置，设置音频输入设备、音频输入音量、呐喊检测阈值等配置，支持进行训练难度配置。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17、支持将训练报告推送至已有云平台，通过物联网技术与心理云平台实现互联互通，提供云端身份验证、数据保存、数据管理等功能。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1、要求包含智能击打呐喊宣泄系统1套（预置安装）；控制台1套；移动式击打靶1个；无线加速度传感器1套。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三、硬件配置要求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1、要求控制台尺寸：1573mm*992mm(±50mm) ,底座750mm*550mm(±50mm)。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2、要求屏幕尺寸：43英寸。</w:t>
            </w:r>
          </w:p>
        </w:tc>
        <w:tc>
          <w:tcPr>
            <w:tcW w:w="903" w:type="dxa"/>
            <w:tcBorders>
              <w:top w:val="single" w:color="000000" w:sz="4" w:space="0"/>
              <w:left w:val="single" w:color="000000" w:sz="4" w:space="0"/>
              <w:right w:val="single" w:color="000000" w:sz="4" w:space="0"/>
            </w:tcBorders>
            <w:shd w:val="clear" w:color="FFFFFF" w:fill="FFFFFF"/>
            <w:vAlign w:val="center"/>
          </w:tcPr>
          <w:p w14:paraId="41A2B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right w:val="single" w:color="000000" w:sz="4" w:space="0"/>
            </w:tcBorders>
            <w:shd w:val="clear" w:color="FFFFFF" w:fill="FFFFFF"/>
            <w:vAlign w:val="center"/>
          </w:tcPr>
          <w:p w14:paraId="145D55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5D0C8CE">
            <w:pPr>
              <w:jc w:val="right"/>
              <w:rPr>
                <w:rFonts w:hint="eastAsia" w:ascii="宋体" w:hAnsi="宋体" w:eastAsia="宋体" w:cs="宋体"/>
                <w:i w:val="0"/>
                <w:iCs w:val="0"/>
                <w:color w:val="000000"/>
                <w:sz w:val="18"/>
                <w:szCs w:val="18"/>
                <w:u w:val="none"/>
              </w:rPr>
            </w:pPr>
          </w:p>
        </w:tc>
      </w:tr>
      <w:tr w14:paraId="3981E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6" w:hRule="atLeast"/>
        </w:trPr>
        <w:tc>
          <w:tcPr>
            <w:tcW w:w="880" w:type="dxa"/>
            <w:tcBorders>
              <w:top w:val="single" w:color="000000" w:sz="4" w:space="0"/>
              <w:left w:val="single" w:color="000000" w:sz="8" w:space="0"/>
              <w:right w:val="single" w:color="000000" w:sz="4" w:space="0"/>
            </w:tcBorders>
            <w:shd w:val="clear" w:color="FFFFFF" w:fill="FFFFFF"/>
            <w:vAlign w:val="center"/>
          </w:tcPr>
          <w:p w14:paraId="70E43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20" w:type="dxa"/>
            <w:tcBorders>
              <w:top w:val="single" w:color="000000" w:sz="4" w:space="0"/>
              <w:left w:val="single" w:color="000000" w:sz="4" w:space="0"/>
              <w:right w:val="single" w:color="000000" w:sz="4" w:space="0"/>
            </w:tcBorders>
            <w:shd w:val="clear" w:color="FFFFFF" w:fill="FFFFFF"/>
            <w:vAlign w:val="center"/>
          </w:tcPr>
          <w:p w14:paraId="3078FB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VR动感单车身心调适系统</w:t>
            </w:r>
          </w:p>
        </w:tc>
        <w:tc>
          <w:tcPr>
            <w:tcW w:w="48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39A6A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系统采用VR技术，为训练者构建高沉浸度的虚拟现实心理训练，通过与虚拟场景身临其境的交互，结合动感单车运动调适方法，实时监测采集训练者的生物反馈数据，配合场景、游戏、音乐等形式来对训练者进行减压训练，系统须由训练端和管理端两部分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2、用户可在训练端自由注册信息，注册成功后即可进行训练，要求训练端至少具备训练指导、智能训练、自助训练、互动训练、档案中心等功能，可以充分满足用户各</w:t>
            </w:r>
          </w:p>
          <w:p w14:paraId="323B6F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项训练需求，帮助用户科学宣泄心理压力。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3、首页提供当前脉搏、轴向、速度、服务器连接状态等信息。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4、提供设备使用、运动安全、身心调节等多种训练指导，包含如设备使用提示、VR头盔使用说明、动感单车使用说明、热身准备、运动姿态、骑行呼吸、穿着要求、训练后放松调节、训练禁忌等内容。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5、提供≥12道智能评估选择题，涵盖如“我觉得不快乐”、“哪一场景可以让你身心放松”等题目，答题结束后自动显示评估结果，评估结果包含如指导语、训练场景、训练时长、训练音乐等内容。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6、提供历次的智能训练、自助训练记录，包含如记录时间、训练场景、训练时间、训练音乐等内容，支持在训练记录页面再次进入训练。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提供如“森林骑行”、“雪地骑行”、“沙滩骑行”等≥11款自助训练虚拟场景，其中≥5款场景支持通过转动轴向调整骑行角度进行自由探索，≥5款场景支持固定路线骑行探索。提供如“动感系列”、“古典系列”、“轻柔系列”等系列≥22首训练音乐，支持自定义训练时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8、支持在同一局域网中，多台VR动感单车身心调适系统设备可扩展为多人团体训练，即团体训练模式下可支持多个训练端同时在同一个训练游戏中进行团体互动训练。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9、内置≥6款单人训练，以互动训练游戏的形式展现，提供如简单、普通、困难等三级难度选择。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10、内置≥2款团体训练游戏，支持创建房间，查看玩家列表、准备状态、当前人数等信息，支持自由设置游戏长度。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11、内置脉搏参数采集传感器，芯片采集设备预置单车车把中，支持采集用户脉搏参数。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12、支持训练过程中，可实时监</w:t>
            </w:r>
          </w:p>
          <w:p w14:paraId="2FE5FC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测训练者脉搏生物反馈指标，并在训练场景中显示脉搏（次/分钟）、速度（千米/小时）、距离（米）等。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13、支持查看、导出、删除本地训练档案，档案内容涵盖个人信息、训练信息、训练结果等，提供如区间饼图、脉搏时间曲线图、速度区间图表等内容。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14、内置角度方向和运动速度传感器，支持检测训练者的骑行速度和方向角度。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15、提供VR模式和PC模式两种训练模式，VR模式下支持训练者佩戴VR头显进行心理训练，训练过程中，训练画面可实现头显、屏幕同步显示。PC模式下支持通过观看屏幕进行心理训练。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16、支持将训练报告推送至已有云平台，通过物联网技术与心理云平台实现互联互通，提供云端身份验证、数据保存、数据管理等功能。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1、要求包含VR动感单车身心调适系统1套（预置安装）；动感单车1部；VR头显1个；控制台1套。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三、硬件配置要求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1、要求外观尺寸：2083mm*770mm*2210mm（±50mm）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2、要求头显尺寸： 192mm*281mm*124mm（±10mm）。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3、要求屏幕尺寸：43英寸。</w:t>
            </w:r>
          </w:p>
        </w:tc>
        <w:tc>
          <w:tcPr>
            <w:tcW w:w="903" w:type="dxa"/>
            <w:tcBorders>
              <w:top w:val="single" w:color="000000" w:sz="4" w:space="0"/>
              <w:left w:val="single" w:color="000000" w:sz="4" w:space="0"/>
              <w:right w:val="single" w:color="000000" w:sz="4" w:space="0"/>
            </w:tcBorders>
            <w:shd w:val="clear" w:color="FFFFFF" w:fill="FFFFFF"/>
            <w:vAlign w:val="center"/>
          </w:tcPr>
          <w:p w14:paraId="43EF4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right w:val="single" w:color="000000" w:sz="4" w:space="0"/>
            </w:tcBorders>
            <w:shd w:val="clear" w:color="FFFFFF" w:fill="FFFFFF"/>
            <w:vAlign w:val="center"/>
          </w:tcPr>
          <w:p w14:paraId="4387C3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52" w:type="dxa"/>
            <w:tcBorders>
              <w:top w:val="single" w:color="000000" w:sz="4" w:space="0"/>
              <w:left w:val="single" w:color="000000" w:sz="4" w:space="0"/>
              <w:right w:val="single" w:color="000000" w:sz="8" w:space="0"/>
            </w:tcBorders>
            <w:shd w:val="clear" w:color="FFFFFF" w:fill="FFFFFF"/>
            <w:vAlign w:val="center"/>
          </w:tcPr>
          <w:p w14:paraId="190CBEEE">
            <w:pPr>
              <w:jc w:val="right"/>
              <w:rPr>
                <w:rFonts w:hint="eastAsia" w:ascii="宋体" w:hAnsi="宋体" w:eastAsia="宋体" w:cs="宋体"/>
                <w:i w:val="0"/>
                <w:iCs w:val="0"/>
                <w:color w:val="000000"/>
                <w:sz w:val="18"/>
                <w:szCs w:val="18"/>
                <w:u w:val="none"/>
              </w:rPr>
            </w:pPr>
          </w:p>
        </w:tc>
      </w:tr>
      <w:tr w14:paraId="3176E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0" w:type="dxa"/>
            <w:tcBorders>
              <w:top w:val="single" w:color="000000" w:sz="4" w:space="0"/>
              <w:left w:val="single" w:color="000000" w:sz="8" w:space="0"/>
              <w:right w:val="single" w:color="000000" w:sz="4" w:space="0"/>
            </w:tcBorders>
            <w:shd w:val="clear" w:color="FFFFFF" w:fill="FFFFFF"/>
            <w:vAlign w:val="center"/>
          </w:tcPr>
          <w:p w14:paraId="2EFCF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20" w:type="dxa"/>
            <w:tcBorders>
              <w:top w:val="single" w:color="000000" w:sz="4" w:space="0"/>
              <w:left w:val="single" w:color="000000" w:sz="4" w:space="0"/>
              <w:right w:val="single" w:color="000000" w:sz="4" w:space="0"/>
            </w:tcBorders>
            <w:shd w:val="clear" w:color="FFFFFF" w:fill="FFFFFF"/>
            <w:vAlign w:val="center"/>
          </w:tcPr>
          <w:p w14:paraId="7C89AB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基础宣泄器材</w:t>
            </w:r>
          </w:p>
        </w:tc>
        <w:tc>
          <w:tcPr>
            <w:tcW w:w="4863" w:type="dxa"/>
            <w:tcBorders>
              <w:top w:val="single" w:color="000000" w:sz="4" w:space="0"/>
              <w:left w:val="single" w:color="000000" w:sz="4" w:space="0"/>
              <w:right w:val="single" w:color="000000" w:sz="4" w:space="0"/>
            </w:tcBorders>
            <w:shd w:val="clear" w:color="FFFFFF" w:fill="FFFFFF"/>
            <w:vAlign w:val="center"/>
          </w:tcPr>
          <w:p w14:paraId="027D54D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1、宣泄人1个：不倒设计，结实耐用，击打舒适。圆形底座，可注水或沙，底部安装吸盘，稳固、安全。外观尺寸为650mm*300mm*1360mm（±50mm）。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2、宣泄沙袋1个：不倒设计，结实耐用，击打舒适。圆形底座，可注水或沙，底部安装吸盘，稳固、安全。外观尺寸为300mm*300mm*1360mm（±50mm）。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3、拳击手套1副：手感柔软，佩戴</w:t>
            </w:r>
          </w:p>
          <w:p w14:paraId="2ED063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方便，击打舒适。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4、加强型宣泄棒2只：充气式设计。</w:t>
            </w:r>
          </w:p>
        </w:tc>
        <w:tc>
          <w:tcPr>
            <w:tcW w:w="903" w:type="dxa"/>
            <w:tcBorders>
              <w:top w:val="single" w:color="000000" w:sz="4" w:space="0"/>
              <w:left w:val="single" w:color="000000" w:sz="4" w:space="0"/>
              <w:right w:val="single" w:color="000000" w:sz="4" w:space="0"/>
            </w:tcBorders>
            <w:shd w:val="clear" w:color="FFFFFF" w:fill="FFFFFF"/>
            <w:vAlign w:val="center"/>
          </w:tcPr>
          <w:p w14:paraId="50034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right w:val="single" w:color="000000" w:sz="4" w:space="0"/>
            </w:tcBorders>
            <w:shd w:val="clear" w:color="FFFFFF" w:fill="FFFFFF"/>
            <w:vAlign w:val="center"/>
          </w:tcPr>
          <w:p w14:paraId="66BE87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E1B1894">
            <w:pPr>
              <w:jc w:val="right"/>
              <w:rPr>
                <w:rFonts w:hint="eastAsia" w:ascii="宋体" w:hAnsi="宋体" w:eastAsia="宋体" w:cs="宋体"/>
                <w:i w:val="0"/>
                <w:iCs w:val="0"/>
                <w:color w:val="000000"/>
                <w:sz w:val="18"/>
                <w:szCs w:val="18"/>
                <w:u w:val="none"/>
              </w:rPr>
            </w:pPr>
          </w:p>
        </w:tc>
      </w:tr>
      <w:tr w14:paraId="1042C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3" w:hRule="atLeast"/>
        </w:trPr>
        <w:tc>
          <w:tcPr>
            <w:tcW w:w="880" w:type="dxa"/>
            <w:tcBorders>
              <w:top w:val="single" w:color="000000" w:sz="4" w:space="0"/>
              <w:left w:val="single" w:color="000000" w:sz="8" w:space="0"/>
              <w:right w:val="single" w:color="000000" w:sz="4" w:space="0"/>
            </w:tcBorders>
            <w:shd w:val="clear" w:color="FFFFFF" w:fill="FFFFFF"/>
            <w:vAlign w:val="center"/>
          </w:tcPr>
          <w:p w14:paraId="42780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20" w:type="dxa"/>
            <w:tcBorders>
              <w:top w:val="single" w:color="000000" w:sz="4" w:space="0"/>
              <w:left w:val="single" w:color="000000" w:sz="4" w:space="0"/>
              <w:right w:val="single" w:color="000000" w:sz="4" w:space="0"/>
            </w:tcBorders>
            <w:shd w:val="clear" w:color="FFFFFF" w:fill="FFFFFF"/>
            <w:vAlign w:val="center"/>
          </w:tcPr>
          <w:p w14:paraId="60535E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VR心理脱敏训练系统★</w:t>
            </w:r>
          </w:p>
        </w:tc>
        <w:tc>
          <w:tcPr>
            <w:tcW w:w="4863" w:type="dxa"/>
            <w:tcBorders>
              <w:top w:val="single" w:color="000000" w:sz="4" w:space="0"/>
              <w:left w:val="single" w:color="000000" w:sz="4" w:space="0"/>
              <w:right w:val="single" w:color="000000" w:sz="4" w:space="0"/>
            </w:tcBorders>
            <w:shd w:val="clear" w:color="FFFFFF" w:fill="FFFFFF"/>
            <w:vAlign w:val="center"/>
          </w:tcPr>
          <w:p w14:paraId="71845DF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系统基于虚拟现实技术，以系统脱敏理论为核心指导，构建沉浸式VR仿真情境，为训练者提供系统脱敏、放松训练等多维度心理干预训练。通过逐步暴露与放松训练，帮助用户缓解焦虑情绪、增强心理适应能力，提升心理素质与抗压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2、支持选择显示、隐藏生物指标，包含心率数据。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3、支持训练端、管理端双屏输出，提供如特定物种、幽闭恐惧、高空恐惧、考试焦虑、社交恐惧等≥5种系统脱敏训练主题。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4、支持针对如蜘蛛、蟑螂、蚂蚁、蝎子、狗、蛇等不少于6种特定物种进行训练，提供相关动态虚拟场景及场景描述。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5、提供蛇恐惧训练，支持对任务目标、生成数量等进行选择，提供≥10种类型的蛇选项，支持用户使用操纵手柄进行身临其境体验。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6、提供蜘蛛恐惧训练，提供≥8种蜘蛛类型选项、≥5种生成位置选项，支持选择生成数量。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7、提供电梯幽闭恐惧训练场景，支持对电梯到达楼层（如1-100层）、电梯运行状态（如进入电梯、离开电梯、开始运行、停止运行等）等进行级别控制，提供故障模拟、初始化电梯状态等操作。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8、提供地铁幽闭恐惧训练场景，支持对站台距离（如1-10站）、≥4种列车状态（如远离地铁、靠近地铁、进入地铁、地铁运行等）等进行级别控制，提供紧急停止操作。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9、支持进行高空训练，提供≥4种楼层高度、≥2种踏板类型，≥2种任务类型等进行级别控制，提供障碍物干扰，支持管理端显示当前游戏状态。支持开启/关闭真实摔落，并具有相关安全提示。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10、提供玻璃栈道高空恐惧训</w:t>
            </w:r>
          </w:p>
          <w:p w14:paraId="31BAF5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练，支持对玻璃栈道的玻璃透明度、鸟群干扰、天气（如暴雨、晴天等）等进行级别控制。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11、支持在虚拟考试环境中进行考试焦虑训练，提供如考试前、考试中、考试后等≥3种考试环节模拟，支持选择考试铃声提醒。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12、支持在虚拟面试环境中进行训练，支持增加/减少面试官数量，提供如玩手机、鼓掌、否定等≥3种人物事件选择，支持选择是否统一动作。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13、支持在虚拟演讲环境中进行训练，支持进行观众调整，显示当前观众数量，提供如玩手机、鼓掌、否定等≥3种人物事件选择，支持选择是否统一动作。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14、支持在虚拟社团招新环境中进行社交恐惧训练，提供如发放传单、推介社团等≥2种任务选择，支持显示任务状态。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提供如海岛、森林等≥4种放松训练场景，支持选择肌肉放松、冥想放松、呼吸放松、感谢自己、进化身心、躯体放松、森林遨游、身体扫描、拥抱潜意识、自我疗愈等≥10种训练指导，支持选择环境音乐。支持在场景放松训练中进行如更改环境（如白天或夜晚）、场景交互、更改配乐、更改指导语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生成训练档案，提供如训练时间、训练用时、训练信息、HRV参数等信息，HRV参数涵盖心率如心率、协调度、放松度、压力指数、M-HRT、SD-HRT、M-NN、SD-NN、P-NN-50、RMS-SD、M-SD、SD-SD、TP、VLF、LF、HF、LF/HF-norm、LF/HF等≥19条数据指标，支持导出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17、集成不少于10种专业心理评估量表，如90项症状清单、工作压力自测问卷等，每个量表提供详细介绍说明，提供PC、VR两种形式进行测评，支持生成测评报告，且测评报告包含如个人信息、测评信息、</w:t>
            </w:r>
          </w:p>
          <w:p w14:paraId="00B584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测评结果、辅导建议、测评总结等内容。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18、支持将训练报告推送至已有云平台，通过物联网技术与心理云平台实现互联互通，提供云端身份验证、数据保存、数据管理等功能。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1、要求包含VR心理脱敏训练系统1套（预置安装）；VR头显1个； VR操作手柄2个；操作台1台。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三、硬件配置要求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1、要求操作台尺寸：1992.8mm*1127.2mm*2218.1mm（±50mm）。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2、要求操作屏幕尺寸：19英寸。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3、要求显示屏幕尺寸：32英寸。</w:t>
            </w:r>
          </w:p>
        </w:tc>
        <w:tc>
          <w:tcPr>
            <w:tcW w:w="903" w:type="dxa"/>
            <w:tcBorders>
              <w:top w:val="single" w:color="000000" w:sz="4" w:space="0"/>
              <w:left w:val="single" w:color="000000" w:sz="4" w:space="0"/>
              <w:right w:val="single" w:color="000000" w:sz="4" w:space="0"/>
            </w:tcBorders>
            <w:shd w:val="clear" w:color="FFFFFF" w:fill="FFFFFF"/>
            <w:vAlign w:val="center"/>
          </w:tcPr>
          <w:p w14:paraId="02303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right w:val="single" w:color="000000" w:sz="4" w:space="0"/>
            </w:tcBorders>
            <w:shd w:val="clear" w:color="FFFFFF" w:fill="FFFFFF"/>
            <w:vAlign w:val="center"/>
          </w:tcPr>
          <w:p w14:paraId="0D90DA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9FB62BB">
            <w:pPr>
              <w:jc w:val="right"/>
              <w:rPr>
                <w:rFonts w:hint="eastAsia" w:ascii="宋体" w:hAnsi="宋体" w:eastAsia="宋体" w:cs="宋体"/>
                <w:i w:val="0"/>
                <w:iCs w:val="0"/>
                <w:color w:val="000000"/>
                <w:sz w:val="18"/>
                <w:szCs w:val="18"/>
                <w:u w:val="none"/>
              </w:rPr>
            </w:pPr>
          </w:p>
        </w:tc>
      </w:tr>
      <w:tr w14:paraId="75299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9" w:hRule="atLeast"/>
        </w:trPr>
        <w:tc>
          <w:tcPr>
            <w:tcW w:w="880" w:type="dxa"/>
            <w:tcBorders>
              <w:top w:val="single" w:color="000000" w:sz="4" w:space="0"/>
              <w:left w:val="single" w:color="000000" w:sz="8" w:space="0"/>
              <w:right w:val="single" w:color="000000" w:sz="4" w:space="0"/>
            </w:tcBorders>
            <w:shd w:val="clear" w:color="FFFFFF" w:fill="FFFFFF"/>
            <w:vAlign w:val="center"/>
          </w:tcPr>
          <w:p w14:paraId="4ED78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20" w:type="dxa"/>
            <w:tcBorders>
              <w:top w:val="single" w:color="000000" w:sz="4" w:space="0"/>
              <w:left w:val="single" w:color="000000" w:sz="4" w:space="0"/>
              <w:right w:val="single" w:color="000000" w:sz="4" w:space="0"/>
            </w:tcBorders>
            <w:shd w:val="clear" w:color="FFFFFF" w:fill="FFFFFF"/>
            <w:vAlign w:val="center"/>
          </w:tcPr>
          <w:p w14:paraId="099CCE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虚拟现实心理训练系统</w:t>
            </w:r>
          </w:p>
        </w:tc>
        <w:tc>
          <w:tcPr>
            <w:tcW w:w="4863" w:type="dxa"/>
            <w:tcBorders>
              <w:top w:val="single" w:color="000000" w:sz="4" w:space="0"/>
              <w:left w:val="single" w:color="000000" w:sz="4" w:space="0"/>
              <w:right w:val="single" w:color="000000" w:sz="4" w:space="0"/>
            </w:tcBorders>
            <w:shd w:val="clear" w:color="FFFFFF" w:fill="FFFFFF"/>
            <w:vAlign w:val="center"/>
          </w:tcPr>
          <w:p w14:paraId="51AF8EC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系统采用U3D虚拟现实技术开发，要求包含应激训练、场景放松、心理训练、训练指导、音乐放松、心理视频、心理评估、HRV参数监测、眼动训练等≥9个功能模块，通过沉浸式虚拟环境，为用户提供多维度心理训练与放松，有效提升心理适应能力与情绪调节水平，广泛适用于心理放松、压力管理及综合素质提升等场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2、内置呼吸助手视觉提示窗，动态展示呼、吸效果，支持灵活调整呼吸速度；脉搏波形动态显示窗，实时监测心率、血氧指标，增强用户体验的直观性与互动性。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通过实时监测心率、血氧等数据，覆盖如脉搏波形、HRV频域、协调度、放松度、压力指数等关键指标。协调度、放松度、压力指数采用百分制评估。点击参数或图表可查看其详细介绍信息。支持监测结束后生成报告，报告支持导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4、提供心率变异程度的曲线图、散点图（代表心率变异性的结果图之一）、HRT直方图（横轴为心率，竖轴为个数）、功率谱图（利用快）</w:t>
            </w:r>
          </w:p>
          <w:p w14:paraId="1CB7E0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速傅里叶转换法，将心率变异性波形图转换为功率谱密度图）、心率的平均值、心率的标准差、NN间期平均值、相邻RR间期差值的均方根、相邻RR间期的标准差等≥12项指标数据。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5、提供标准化HF（HF-norm）、交感及副交感张力的平衡（LF/HF）、总功率（TP）、高频功率（HF）、低频功率（LF）等≥7项HRV频域指标数据。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6、支持用户完成HRV参数检测后，生成报告，并根据用户得分情况推荐相应训练项目。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7、集成不少于14种专业心理评估量表，如自我压力测试、显性焦虑量表等，每个量表提供详细介绍说明，支持选择自动跳转至下一题，测评后即时生成报告，并根据用户心理评估结果，推荐相应训练项目。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8、支持通过训练舱自带操作手柄与虚拟现实训练场景进行交互操作，支持用户通过佩戴虚拟现实头显查看脉搏、血氧等生理指标。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提供如精力唤醒、记忆重构、压力管理等≥17款心理训练主题，涵盖如“过山车”、“大摆锤”、“记忆排雷”等游戏项目。提供如应用简介、操作指导等文字介绍。支持开始运行后，控制台管理端自动弹出虚拟现实头显中的场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10、提供如“深海体验”、“美丽沙滩”、“静美草原”等不少于10款场景放松项目。支持用户转动虚拟现实头显可看到720度虚拟场景。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11、涵盖冥想放松、呼吸放松、感谢自己、拥抱潜意识、森林遨游、自爱提升、身体扫描、躯体放松等≥8种科学训练指导方向，结合动态虚拟场景展现，引导用户正确进行心理调适。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12、支持用户自由选择音乐进行放松，支持使用操作手柄控制如开始/暂停、切换角度、显示/隐藏生</w:t>
            </w:r>
          </w:p>
          <w:p w14:paraId="7C339D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理状态等操作。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13、提供如“认识自我”、“接纳自我”、“心理学研究什么”等≥49个心理视频，支持通过虚拟头显进行焦点控制，通过操作手柄进行播放/暂停、重置视角等操作。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14、支持应激训练，提供≥14种动态虚拟场景及音乐，支持通过手柄对当下的恐惧等级进行评分。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15、集成基于EMDR（眼动脱敏再处理）的8步骤眼动训练方案，提供不少于6条提示，支持在沉浸式虚拟场景中进行训练，支持进行眼动小球摆动速度调节、颜色更换、大小调节等。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16、训练档案管理：全面记录训练类型、记录日期及训练档案等，支持针对训练类型进行筛选，报告整合HRV记录数据。管理员可便捷查询与管理训练档案，支持报告导出功能。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17、支持进行动作平台配置，提供动作时间、最大行程等配置调节，用户可根据场地大小、训练强度调节训练舱。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18、支持将训练报告推送至已有云平台，通过物联网技术与心理云平台实现互联互通，提供云端身份验证、数据保存、数据管理等功能。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1、要求包含虚拟现实心理训练系统1套（预置安装）；VR头显1个；指夹式生物反馈采集仪1个；训练舱1套；控制台1套。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三、硬件配置要求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1、要求训练舱尺寸：800mm*900mm*1800mm(±50mm)。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2、要求屏幕尺寸：23.8英寸。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3、要求头显尺寸：约281mm*192mm*124.5mm(±50mm)。</w:t>
            </w:r>
          </w:p>
        </w:tc>
        <w:tc>
          <w:tcPr>
            <w:tcW w:w="903" w:type="dxa"/>
            <w:tcBorders>
              <w:top w:val="single" w:color="000000" w:sz="4" w:space="0"/>
              <w:left w:val="single" w:color="000000" w:sz="4" w:space="0"/>
              <w:right w:val="single" w:color="000000" w:sz="4" w:space="0"/>
            </w:tcBorders>
            <w:shd w:val="clear" w:color="FFFFFF" w:fill="FFFFFF"/>
            <w:vAlign w:val="center"/>
          </w:tcPr>
          <w:p w14:paraId="0E598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right w:val="single" w:color="000000" w:sz="4" w:space="0"/>
            </w:tcBorders>
            <w:shd w:val="clear" w:color="FFFFFF" w:fill="FFFFFF"/>
            <w:vAlign w:val="center"/>
          </w:tcPr>
          <w:p w14:paraId="4EF8FF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471133">
            <w:pPr>
              <w:jc w:val="right"/>
              <w:rPr>
                <w:rFonts w:hint="eastAsia" w:ascii="宋体" w:hAnsi="宋体" w:eastAsia="宋体" w:cs="宋体"/>
                <w:i w:val="0"/>
                <w:iCs w:val="0"/>
                <w:color w:val="000000"/>
                <w:sz w:val="18"/>
                <w:szCs w:val="18"/>
                <w:u w:val="none"/>
              </w:rPr>
            </w:pPr>
          </w:p>
        </w:tc>
      </w:tr>
      <w:tr w14:paraId="7DEFB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405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B6FB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多功能办公桌</w:t>
            </w:r>
          </w:p>
        </w:tc>
        <w:tc>
          <w:tcPr>
            <w:tcW w:w="48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E3D8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材质：实木复合颗粒板，规格400cm*140cm*76cm/ 原木色</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2D6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8E87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BE88E08">
            <w:pPr>
              <w:jc w:val="right"/>
              <w:rPr>
                <w:rFonts w:hint="eastAsia" w:ascii="宋体" w:hAnsi="宋体" w:eastAsia="宋体" w:cs="宋体"/>
                <w:i w:val="0"/>
                <w:iCs w:val="0"/>
                <w:color w:val="000000"/>
                <w:sz w:val="18"/>
                <w:szCs w:val="18"/>
                <w:u w:val="none"/>
              </w:rPr>
            </w:pPr>
          </w:p>
        </w:tc>
      </w:tr>
      <w:tr w14:paraId="7B2D2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94F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B98C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多功能办公椅</w:t>
            </w:r>
          </w:p>
        </w:tc>
        <w:tc>
          <w:tcPr>
            <w:tcW w:w="48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B6AF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1.多功能办公椅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2.材质：棉绒网面，高密度海绵，加厚钢管电镀脚</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D5C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0557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4A50D2">
            <w:pPr>
              <w:jc w:val="right"/>
              <w:rPr>
                <w:rFonts w:hint="eastAsia" w:ascii="宋体" w:hAnsi="宋体" w:eastAsia="宋体" w:cs="宋体"/>
                <w:i w:val="0"/>
                <w:iCs w:val="0"/>
                <w:color w:val="000000"/>
                <w:sz w:val="18"/>
                <w:szCs w:val="18"/>
                <w:u w:val="none"/>
              </w:rPr>
            </w:pPr>
          </w:p>
        </w:tc>
      </w:tr>
      <w:tr w14:paraId="111FD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22C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4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7A72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二合一洽谈桌</w:t>
            </w:r>
          </w:p>
        </w:tc>
        <w:tc>
          <w:tcPr>
            <w:tcW w:w="48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1D34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1.桌体：实木复合颗粒板，规格80cm*75cm/ 原木色；（1件）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2.座椅：布艺坐靠，高密度海绵，科技皮，碳钢烤漆腿；（2件）</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257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E55D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53A919E">
            <w:pPr>
              <w:jc w:val="right"/>
              <w:rPr>
                <w:rFonts w:hint="eastAsia" w:ascii="宋体" w:hAnsi="宋体" w:eastAsia="宋体" w:cs="宋体"/>
                <w:i w:val="0"/>
                <w:iCs w:val="0"/>
                <w:color w:val="000000"/>
                <w:sz w:val="18"/>
                <w:szCs w:val="18"/>
                <w:u w:val="none"/>
              </w:rPr>
            </w:pPr>
          </w:p>
        </w:tc>
      </w:tr>
      <w:tr w14:paraId="66AA4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4B6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4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2619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定制版组合式沙发</w:t>
            </w:r>
          </w:p>
        </w:tc>
        <w:tc>
          <w:tcPr>
            <w:tcW w:w="48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3111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1.实木复合多人沙发座椅，原木色，布艺坐靠，高密度海绵；哑光岩板木纹钢腿桌体</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792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C174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6AF21DF">
            <w:pPr>
              <w:jc w:val="right"/>
              <w:rPr>
                <w:rFonts w:hint="eastAsia" w:ascii="宋体" w:hAnsi="宋体" w:eastAsia="宋体" w:cs="宋体"/>
                <w:i w:val="0"/>
                <w:iCs w:val="0"/>
                <w:color w:val="000000"/>
                <w:sz w:val="18"/>
                <w:szCs w:val="18"/>
                <w:u w:val="none"/>
              </w:rPr>
            </w:pPr>
          </w:p>
        </w:tc>
      </w:tr>
      <w:tr w14:paraId="3FE9F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9D1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4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1263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多功能全自动智能饮水机</w:t>
            </w:r>
          </w:p>
        </w:tc>
        <w:tc>
          <w:tcPr>
            <w:tcW w:w="48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56B5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1.电压：220V；功率：1225W，尺寸320*320*1040  重量：9.5KG</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507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CBA6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CF999E">
            <w:pPr>
              <w:jc w:val="right"/>
              <w:rPr>
                <w:rFonts w:hint="eastAsia" w:ascii="宋体" w:hAnsi="宋体" w:eastAsia="宋体" w:cs="宋体"/>
                <w:i w:val="0"/>
                <w:iCs w:val="0"/>
                <w:color w:val="000000"/>
                <w:sz w:val="18"/>
                <w:szCs w:val="18"/>
                <w:u w:val="none"/>
              </w:rPr>
            </w:pPr>
          </w:p>
        </w:tc>
      </w:tr>
    </w:tbl>
    <w:p w14:paraId="410F90F4">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bCs/>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bCs/>
          <w:i w:val="0"/>
          <w:iCs w:val="0"/>
          <w:color w:val="000000" w:themeColor="text1"/>
          <w:kern w:val="0"/>
          <w:sz w:val="28"/>
          <w:szCs w:val="28"/>
          <w:highlight w:val="none"/>
          <w:u w:val="none"/>
          <w:lang w:val="en-US" w:eastAsia="zh-CN" w:bidi="ar"/>
          <w14:textFill>
            <w14:solidFill>
              <w14:schemeClr w14:val="tx1"/>
            </w14:solidFill>
          </w14:textFill>
        </w:rPr>
        <w:t>人员培训与运维：</w:t>
      </w:r>
    </w:p>
    <w:tbl>
      <w:tblPr>
        <w:tblStyle w:val="23"/>
        <w:tblW w:w="10247" w:type="dxa"/>
        <w:tblInd w:w="-6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0"/>
        <w:gridCol w:w="1297"/>
        <w:gridCol w:w="5910"/>
        <w:gridCol w:w="930"/>
        <w:gridCol w:w="1080"/>
      </w:tblGrid>
      <w:tr w14:paraId="15AE0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103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38E91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9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47CE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59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3D01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9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FA1C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53A8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r>
      <w:tr w14:paraId="35E32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103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719A610">
            <w:pPr>
              <w:jc w:val="center"/>
              <w:rPr>
                <w:rFonts w:hint="eastAsia" w:ascii="宋体" w:hAnsi="宋体" w:eastAsia="宋体" w:cs="宋体"/>
                <w:i w:val="0"/>
                <w:iCs w:val="0"/>
                <w:color w:val="000000"/>
                <w:sz w:val="18"/>
                <w:szCs w:val="18"/>
                <w:u w:val="none"/>
              </w:rPr>
            </w:pPr>
          </w:p>
        </w:tc>
        <w:tc>
          <w:tcPr>
            <w:tcW w:w="129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F480937">
            <w:pPr>
              <w:jc w:val="center"/>
              <w:rPr>
                <w:rFonts w:hint="eastAsia" w:ascii="宋体" w:hAnsi="宋体" w:eastAsia="宋体" w:cs="宋体"/>
                <w:i w:val="0"/>
                <w:iCs w:val="0"/>
                <w:color w:val="000000"/>
                <w:sz w:val="18"/>
                <w:szCs w:val="18"/>
                <w:u w:val="none"/>
              </w:rPr>
            </w:pPr>
          </w:p>
        </w:tc>
        <w:tc>
          <w:tcPr>
            <w:tcW w:w="59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37550D0">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CFAF3A4">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FF94009">
            <w:pPr>
              <w:jc w:val="center"/>
              <w:rPr>
                <w:rFonts w:hint="eastAsia" w:ascii="宋体" w:hAnsi="宋体" w:eastAsia="宋体" w:cs="宋体"/>
                <w:i w:val="0"/>
                <w:iCs w:val="0"/>
                <w:color w:val="000000"/>
                <w:sz w:val="18"/>
                <w:szCs w:val="18"/>
                <w:u w:val="none"/>
              </w:rPr>
            </w:pPr>
          </w:p>
        </w:tc>
      </w:tr>
      <w:tr w14:paraId="20617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103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2C167F2">
            <w:pPr>
              <w:jc w:val="center"/>
              <w:rPr>
                <w:rFonts w:hint="eastAsia" w:ascii="宋体" w:hAnsi="宋体" w:eastAsia="宋体" w:cs="宋体"/>
                <w:i w:val="0"/>
                <w:iCs w:val="0"/>
                <w:color w:val="000000"/>
                <w:sz w:val="18"/>
                <w:szCs w:val="18"/>
                <w:u w:val="none"/>
              </w:rPr>
            </w:pPr>
          </w:p>
        </w:tc>
        <w:tc>
          <w:tcPr>
            <w:tcW w:w="129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5459E4D">
            <w:pPr>
              <w:jc w:val="center"/>
              <w:rPr>
                <w:rFonts w:hint="eastAsia" w:ascii="宋体" w:hAnsi="宋体" w:eastAsia="宋体" w:cs="宋体"/>
                <w:i w:val="0"/>
                <w:iCs w:val="0"/>
                <w:color w:val="000000"/>
                <w:sz w:val="18"/>
                <w:szCs w:val="18"/>
                <w:u w:val="none"/>
              </w:rPr>
            </w:pPr>
          </w:p>
        </w:tc>
        <w:tc>
          <w:tcPr>
            <w:tcW w:w="59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1F97763">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90D165E">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AE97A4C">
            <w:pPr>
              <w:jc w:val="center"/>
              <w:rPr>
                <w:rFonts w:hint="eastAsia" w:ascii="宋体" w:hAnsi="宋体" w:eastAsia="宋体" w:cs="宋体"/>
                <w:i w:val="0"/>
                <w:iCs w:val="0"/>
                <w:color w:val="000000"/>
                <w:sz w:val="18"/>
                <w:szCs w:val="18"/>
                <w:u w:val="none"/>
              </w:rPr>
            </w:pPr>
          </w:p>
        </w:tc>
      </w:tr>
      <w:tr w14:paraId="3353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0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58425B">
            <w:pPr>
              <w:jc w:val="left"/>
              <w:rPr>
                <w:rFonts w:hint="eastAsia" w:ascii="宋体" w:hAnsi="宋体" w:eastAsia="宋体" w:cs="宋体"/>
                <w:i w:val="0"/>
                <w:iCs w:val="0"/>
                <w:color w:val="000000"/>
                <w:sz w:val="18"/>
                <w:szCs w:val="18"/>
                <w:u w:val="none"/>
              </w:rPr>
            </w:pPr>
          </w:p>
        </w:tc>
        <w:tc>
          <w:tcPr>
            <w:tcW w:w="72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BA6B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4E60FB">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04D782">
            <w:pPr>
              <w:jc w:val="left"/>
              <w:rPr>
                <w:rFonts w:hint="eastAsia" w:ascii="宋体" w:hAnsi="宋体" w:eastAsia="宋体" w:cs="宋体"/>
                <w:i w:val="0"/>
                <w:iCs w:val="0"/>
                <w:color w:val="000000"/>
                <w:sz w:val="18"/>
                <w:szCs w:val="18"/>
                <w:u w:val="none"/>
              </w:rPr>
            </w:pPr>
          </w:p>
        </w:tc>
      </w:tr>
      <w:tr w14:paraId="60E5F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0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12B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FEB9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人员要求</w:t>
            </w:r>
          </w:p>
        </w:tc>
        <w:tc>
          <w:tcPr>
            <w:tcW w:w="59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948C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按照“心理治疗师1名、心理咨询师1名”的岗位配置，长期入驻不少于6个月，负责专业培训、日常运营。</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7A0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26C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BA86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8" w:hRule="atLeast"/>
        </w:trPr>
        <w:tc>
          <w:tcPr>
            <w:tcW w:w="10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C16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155A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专业培训★</w:t>
            </w:r>
          </w:p>
        </w:tc>
        <w:tc>
          <w:tcPr>
            <w:tcW w:w="59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5EFA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人专项资质培训：教材、课程根据中国心理学会相关要求安排（中国心理学会/中国心理卫生协会证书申请费、学员参训保障费用），严格按照“中国心理学会或中国心理卫生协会颁发证书”的要求，覆盖资质获取全流程成本，确保培训合规有效。</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754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EEB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494C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6D4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D917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日常运维</w:t>
            </w:r>
          </w:p>
        </w:tc>
        <w:tc>
          <w:tcPr>
            <w:tcW w:w="59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D49A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1.打印纸、笔等办公耗材，专线宽带、线上服务平台维护、数据安全服务，满足运维底线要求，办公品及网络费按最低保障标准核定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2.流动服务交通补助:偏远乡镇上门服务的燃油费、短途车辆租赁，适配边疆县域地域辽阔、多民族聚居特点，解决偏远服务点覆盖不足问题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3.突发备用金，用于突发公共事件（极端天气、临时群体心理干预）的物资采购、应急保障，边疆县域基础设施薄弱、极端情况频发，扩容备用金强化对设备故障、应急心理服务等突发状况的应对能力。</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8E6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165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14:paraId="387C5394">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bCs/>
          <w:i w:val="0"/>
          <w:iCs w:val="0"/>
          <w:color w:val="000000" w:themeColor="text1"/>
          <w:kern w:val="0"/>
          <w:sz w:val="28"/>
          <w:szCs w:val="28"/>
          <w:highlight w:val="none"/>
          <w:u w:val="none"/>
          <w:lang w:val="en-US" w:eastAsia="zh-CN" w:bidi="ar"/>
          <w14:textFill>
            <w14:solidFill>
              <w14:schemeClr w14:val="tx1"/>
            </w14:solidFill>
          </w14:textFill>
        </w:rPr>
      </w:pPr>
    </w:p>
    <w:p w14:paraId="382D09FB">
      <w:pPr>
        <w:pageBreakBefore w:val="0"/>
        <w:widowControl w:val="0"/>
        <w:numPr>
          <w:ilvl w:val="0"/>
          <w:numId w:val="0"/>
        </w:numPr>
        <w:wordWrap/>
        <w:overflowPunct/>
        <w:topLinePunct w:val="0"/>
        <w:autoSpaceDE w:val="0"/>
        <w:autoSpaceDN w:val="0"/>
        <w:bidi w:val="0"/>
        <w:adjustRightInd w:val="0"/>
        <w:spacing w:line="500" w:lineRule="exact"/>
        <w:ind w:leftChars="0"/>
        <w:jc w:val="center"/>
        <w:rPr>
          <w:rFonts w:hint="eastAsia" w:ascii="方正仿宋_GB18030" w:hAnsi="方正仿宋_GB18030" w:eastAsia="方正仿宋_GB18030" w:cs="方正仿宋_GB18030"/>
          <w:b/>
          <w:bCs/>
          <w:i w:val="0"/>
          <w:iCs w:val="0"/>
          <w:color w:val="000000"/>
          <w:kern w:val="0"/>
          <w:sz w:val="28"/>
          <w:szCs w:val="28"/>
          <w:highlight w:val="none"/>
          <w:u w:val="none"/>
          <w:lang w:val="en-US" w:eastAsia="zh-CN" w:bidi="ar"/>
        </w:rPr>
      </w:pPr>
      <w:r>
        <w:rPr>
          <w:rFonts w:hint="eastAsia" w:ascii="方正仿宋_GB18030" w:hAnsi="方正仿宋_GB18030" w:eastAsia="方正仿宋_GB18030" w:cs="方正仿宋_GB18030"/>
          <w:b/>
          <w:bCs/>
          <w:i w:val="0"/>
          <w:iCs w:val="0"/>
          <w:color w:val="000000"/>
          <w:kern w:val="0"/>
          <w:sz w:val="28"/>
          <w:szCs w:val="28"/>
          <w:highlight w:val="none"/>
          <w:u w:val="none"/>
          <w:lang w:val="en-US" w:eastAsia="zh-CN" w:bidi="ar"/>
        </w:rPr>
        <w:t>三、商 务 要 求</w:t>
      </w:r>
    </w:p>
    <w:p w14:paraId="61E2A68D">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bCs/>
          <w:i w:val="0"/>
          <w:iCs w:val="0"/>
          <w:color w:val="000000" w:themeColor="text1"/>
          <w:kern w:val="0"/>
          <w:sz w:val="28"/>
          <w:szCs w:val="28"/>
          <w:highlight w:val="none"/>
          <w:u w:val="none"/>
          <w:lang w:val="en-US" w:eastAsia="zh-CN" w:bidi="ar"/>
          <w14:textFill>
            <w14:solidFill>
              <w14:schemeClr w14:val="tx1"/>
            </w14:solidFill>
          </w14:textFill>
        </w:rPr>
        <w:t>报价要求：</w:t>
      </w: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投标报价应是完成招标内容所需产品的全部费用，包括但不限于产品的报价及所发生的：包括货物价格、包装、运输、仓储、保管、装卸（卸货至甲方指定地点）、安装、人工费、搬运费、 利润、相关税费及市场价格风险等在内全部费用。</w:t>
      </w:r>
    </w:p>
    <w:p w14:paraId="19A5ACD1">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（一）项目交货期与质保期：</w:t>
      </w:r>
    </w:p>
    <w:p w14:paraId="523AB218">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1、供货期：签订合同</w:t>
      </w:r>
      <w:r>
        <w:rPr>
          <w:rFonts w:hint="eastAsia" w:ascii="方正仿宋_GB18030" w:hAnsi="方正仿宋_GB18030" w:eastAsia="方正仿宋_GB18030" w:cs="方正仿宋_GB18030"/>
          <w:b w:val="0"/>
          <w:bCs w:val="0"/>
          <w:i w:val="0"/>
          <w:iCs w:val="0"/>
          <w:color w:val="auto"/>
          <w:kern w:val="0"/>
          <w:sz w:val="28"/>
          <w:szCs w:val="28"/>
          <w:highlight w:val="none"/>
          <w:u w:val="none"/>
          <w:lang w:val="en-US" w:eastAsia="zh-CN" w:bidi="ar"/>
        </w:rPr>
        <w:t>后供货安装调试完毕30天内</w:t>
      </w: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（具体以双方签订合同为准）。</w:t>
      </w:r>
    </w:p>
    <w:p w14:paraId="387208F9">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2、质保期：3年（包含维修配件及更换配件费运）。</w:t>
      </w:r>
    </w:p>
    <w:p w14:paraId="6EA495C0">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3、生产要求：设备到货安装时算起，设备生产日期在半年内。</w:t>
      </w:r>
    </w:p>
    <w:p w14:paraId="5065FE93">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（二）付款方式及交货地点</w:t>
      </w:r>
    </w:p>
    <w:p w14:paraId="6D1B9071">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default"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1、付款方式：中标人签订合同后，采购人支付合同总价款的30%；安装、调试、培训完毕后，运行正常且验收合格后，采购人向成交供应商支付合同款总额的60%(具体付款方式以签订合同为准)，剩余合同款总额的10%专业人员培训考核后，根据培训合格率结算。</w:t>
      </w:r>
    </w:p>
    <w:p w14:paraId="3ED4C98E">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2、交货地点：采购人指定位置，最终按甲方指定地点验收、交货。</w:t>
      </w:r>
    </w:p>
    <w:p w14:paraId="6D10F9E7">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bCs/>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bCs/>
          <w:i w:val="0"/>
          <w:iCs w:val="0"/>
          <w:color w:val="000000" w:themeColor="text1"/>
          <w:kern w:val="0"/>
          <w:sz w:val="28"/>
          <w:szCs w:val="28"/>
          <w:highlight w:val="none"/>
          <w:u w:val="none"/>
          <w:lang w:val="en-US" w:eastAsia="zh-CN" w:bidi="ar"/>
          <w14:textFill>
            <w14:solidFill>
              <w14:schemeClr w14:val="tx1"/>
            </w14:solidFill>
          </w14:textFill>
        </w:rPr>
        <w:t>（三）售后服务</w:t>
      </w:r>
    </w:p>
    <w:p w14:paraId="636A9C4D">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1.供应商须到采购人提供的现场安装、调试设备，进行操作试验，直至运行正常，为采购人提供技术服务、技术支持及咨询服务。按照项目采购需求中要求进行维修响应。在保修期内不定期进行状态检测。</w:t>
      </w:r>
    </w:p>
    <w:p w14:paraId="77348245">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2.在质保期内，派遣维修或技术人员巡访设备进行维护保养工作，每年巡防保养不少于4次。</w:t>
      </w:r>
    </w:p>
    <w:p w14:paraId="19D608FA">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3.供应商安装调试完成后与采购人共同验收。</w:t>
      </w:r>
    </w:p>
    <w:p w14:paraId="379A32B0">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4.售后服务承诺：供应商应对质保期内及其以后的服务做出承诺，并具有切实可行的措施,不能及时兑现服务承诺内容而影响使用方使 用，供应商应当给予补偿（合同约定）。</w:t>
      </w:r>
    </w:p>
    <w:p w14:paraId="75225E38">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5.如有未尽事宜或收到服务需求不合要求情况，可双方协商决定，但决定权在购买方，购买方有权利退回所购买产品。</w:t>
      </w:r>
    </w:p>
    <w:p w14:paraId="02CA229A">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bCs/>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bCs/>
          <w:i w:val="0"/>
          <w:iCs w:val="0"/>
          <w:color w:val="000000" w:themeColor="text1"/>
          <w:kern w:val="0"/>
          <w:sz w:val="28"/>
          <w:szCs w:val="28"/>
          <w:highlight w:val="none"/>
          <w:u w:val="none"/>
          <w:lang w:val="en-US" w:eastAsia="zh-CN" w:bidi="ar"/>
          <w14:textFill>
            <w14:solidFill>
              <w14:schemeClr w14:val="tx1"/>
            </w14:solidFill>
          </w14:textFill>
        </w:rPr>
        <w:t>（四）实施方案及培训</w:t>
      </w:r>
    </w:p>
    <w:p w14:paraId="7961DF92">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1.仪器的安装、调试：由厂家专职工程师负责，到现场安装、调试直至正常使用状态。</w:t>
      </w:r>
    </w:p>
    <w:p w14:paraId="4D7E04DC">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2、供应商应提供以下内容：</w:t>
      </w:r>
    </w:p>
    <w:p w14:paraId="55999FD9">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（1）项目详细工作内容，说明项目的工作范围、具体内容和技术要 求等，这一部分内容能量化的指标尽可能量化；</w:t>
      </w:r>
    </w:p>
    <w:p w14:paraId="709E4740">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（2）项目实施所采取的方法手段；</w:t>
      </w:r>
    </w:p>
    <w:p w14:paraId="45282F83">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（3）预期效果，说明项目完成时所达到的效果；说明承担单位、协 作单位和各自分工的主要内容。</w:t>
      </w:r>
    </w:p>
    <w:p w14:paraId="4BF7FE88">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default"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3、专业培训人员不少于</w:t>
      </w:r>
      <w:r>
        <w:rPr>
          <w:rFonts w:hint="default" w:ascii="Times New Roman" w:hAnsi="Times New Roman" w:eastAsia="方正仿宋_GB18030"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180</w:t>
      </w: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人，分4批次开展，课程包括基础课程及附加课程，总课时不少于40学时，教材、课程根据中国心理学会相关要求安排。</w:t>
      </w:r>
    </w:p>
    <w:p w14:paraId="7D0FE19A">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4、设备的维护</w:t>
      </w:r>
    </w:p>
    <w:p w14:paraId="568F2EFA">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（1）设备管理方案；</w:t>
      </w:r>
    </w:p>
    <w:p w14:paraId="2191958E">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（2）设备维护及保养方案。</w:t>
      </w:r>
    </w:p>
    <w:p w14:paraId="4DF5C5CF">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进度的安排：项目工作进度安排，详细说明各阶段工作安排的时间和 项目工作完成的时间，尽力让项目实施的时间进度与方案所计划的时 间吻合；</w:t>
      </w:r>
    </w:p>
    <w:p w14:paraId="5E8D62F4">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供货方案：供货的流程、安装流程应在方案中写明。（注：可提供流</w:t>
      </w:r>
    </w:p>
    <w:p w14:paraId="47C9210F">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程图。）</w:t>
      </w:r>
    </w:p>
    <w:p w14:paraId="61BC89D8">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应急预案：为保障设备的运行正常，加强对突发事件、紧急事件的控 制，须提供应商制定本项目的突发事件处置预案，写明面对突发事件 的应急处理方法，包含：人员伤亡事故、发生火灾、突然停电等。建 立完善的预防机制，指定专人负责，对潜在危险可能出现的紧急情况，</w:t>
      </w:r>
    </w:p>
    <w:p w14:paraId="35F931DF">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制定相应的处理办法。 实施方案及培训方案：</w:t>
      </w:r>
    </w:p>
    <w:p w14:paraId="30CB98B0">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（1）供应商应保证供货设备在项目实施过程中的实施方案、设备质 量、 供货安装、项目安全措施、应急处理、进度安排等五方面进行 拓展，供应商能够在设备运中保障设备的功能不被破坏，在发货前保 证对货物的质量、规格、性能、数量和重量等进行准确而全面的检验， 并出具一份产品检验合格证书。在项目供货安装时进行核对，如若发 生设备不能正常运行，供应商必须在突发应急时给予响应并在最快时 间内处理，保障设备正常运行。</w:t>
      </w:r>
    </w:p>
    <w:p w14:paraId="0708D7CB">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（2）须提供所投设备的相关技术培训，指涉及产品基本原理、安装、 调试、操作使用和保养维修等有关内容的学习。提供相对应的培训方案，培训人员的差旅费、食宿费、培训教材等费用，应计入投标报价， 随时排除所有设备故障进行明确的计划阐述，并对所有设备保修期过 后维保进行阐述。</w:t>
      </w:r>
    </w:p>
    <w:p w14:paraId="757958C4">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bCs/>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bCs/>
          <w:i w:val="0"/>
          <w:iCs w:val="0"/>
          <w:color w:val="000000" w:themeColor="text1"/>
          <w:kern w:val="0"/>
          <w:sz w:val="28"/>
          <w:szCs w:val="28"/>
          <w:highlight w:val="none"/>
          <w:u w:val="none"/>
          <w:lang w:val="en-US" w:eastAsia="zh-CN" w:bidi="ar"/>
          <w14:textFill>
            <w14:solidFill>
              <w14:schemeClr w14:val="tx1"/>
            </w14:solidFill>
          </w14:textFill>
        </w:rPr>
        <w:t>(五)  验收</w:t>
      </w:r>
    </w:p>
    <w:p w14:paraId="550740CC">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default"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验收主体：  伽师县卫生健康委员会</w:t>
      </w:r>
    </w:p>
    <w:p w14:paraId="3BC13D01">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验收时间：供货完毕后</w:t>
      </w:r>
    </w:p>
    <w:p w14:paraId="6F3C0239">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验收程序：货物包装应符合国家标准，以保证货物在运输过程中不受 损伤。货物在运输或邮寄途中发生毁损或丢失，由乙方负责。在运输途中、交货前、卸货中发生人身伤害或货物受损的，由乙方负责承担。 货物到达后，甲乙双方均须在场确认包装完好后，安装后由甲方验货，并对货物进行清点验收，共同签字确认。如验收不合格，一切损失由乙方自行承担。</w:t>
      </w:r>
    </w:p>
    <w:p w14:paraId="117380F2">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验收内容：采购清单内设备、装备数量进行验收。</w:t>
      </w:r>
    </w:p>
    <w:p w14:paraId="42052C50">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验收标准：依据相关法律法规严格按照采购合同开展履约验收。采购 人或者采购代理机构应当成立验收小组，按照采购合同的约定对供应 商履约情况进行验收。验收时，应当按照采购合同的约定对每一项技 术、服务、安全标准的履约情况进行确认。验收结束后，应当出具验 收书，列明各项标准的验收情况及项目总体评价，由验收双方共同签 署。履约验收的各项资料应当存档备查。</w:t>
      </w:r>
    </w:p>
    <w:p w14:paraId="30687840">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（六）其他要求</w:t>
      </w:r>
    </w:p>
    <w:p w14:paraId="3120BE80">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1、为保证产品质量，投标文件内须提供产品彩页或使用说明书或原厂公开发表的证明文件或由国家权威质量检测机构或第三方机构出具的符合参数要求的完整的检测检验报告作为技术证明文件。</w:t>
      </w:r>
    </w:p>
    <w:p w14:paraId="7107E0D1">
      <w:pPr>
        <w:pStyle w:val="2"/>
        <w:tabs>
          <w:tab w:val="left" w:pos="0"/>
        </w:tabs>
        <w:spacing w:before="0" w:after="0" w:line="240" w:lineRule="atLeast"/>
        <w:jc w:val="both"/>
        <w:rPr>
          <w:rFonts w:hint="default" w:ascii="仿宋" w:hAnsi="仿宋" w:eastAsia="仿宋" w:cs="仿宋"/>
          <w:color w:val="auto"/>
          <w:sz w:val="44"/>
          <w:szCs w:val="44"/>
          <w:highlight w:val="none"/>
          <w:lang w:val="en-US" w:eastAsia="zh-CN"/>
        </w:rPr>
      </w:pPr>
    </w:p>
    <w:p w14:paraId="478D82F2">
      <w:pPr>
        <w:pStyle w:val="2"/>
        <w:tabs>
          <w:tab w:val="left" w:pos="0"/>
        </w:tabs>
        <w:spacing w:before="0" w:after="0" w:line="240" w:lineRule="atLeast"/>
        <w:ind w:firstLine="1325" w:firstLineChars="300"/>
        <w:jc w:val="both"/>
        <w:rPr>
          <w:rFonts w:hint="eastAsia" w:ascii="仿宋" w:hAnsi="仿宋" w:eastAsia="仿宋" w:cs="仿宋"/>
          <w:color w:val="auto"/>
          <w:highlight w:val="none"/>
          <w:lang w:eastAsia="zh-CN"/>
        </w:rPr>
      </w:pPr>
      <w:r>
        <w:rPr>
          <w:rFonts w:hint="eastAsia" w:ascii="仿宋" w:hAnsi="仿宋" w:eastAsia="仿宋" w:cs="仿宋"/>
          <w:color w:val="auto"/>
          <w:sz w:val="44"/>
          <w:szCs w:val="44"/>
          <w:highlight w:val="none"/>
          <w:lang w:eastAsia="zh-CN"/>
        </w:rPr>
        <w:t xml:space="preserve">第六章  </w:t>
      </w:r>
      <w:bookmarkStart w:id="835" w:name="_Toc7971"/>
      <w:bookmarkStart w:id="836" w:name="_Toc507399907"/>
      <w:bookmarkStart w:id="837" w:name="_Toc515647832"/>
      <w:bookmarkStart w:id="838" w:name="_Toc32647"/>
      <w:bookmarkStart w:id="839" w:name="_Toc23331"/>
      <w:r>
        <w:rPr>
          <w:rFonts w:hint="eastAsia" w:ascii="仿宋" w:hAnsi="仿宋" w:eastAsia="仿宋" w:cs="仿宋"/>
          <w:color w:val="auto"/>
          <w:sz w:val="44"/>
          <w:szCs w:val="44"/>
          <w:highlight w:val="none"/>
          <w:lang w:eastAsia="zh-CN"/>
        </w:rPr>
        <w:t>评标方法和标准</w:t>
      </w:r>
      <w:bookmarkEnd w:id="833"/>
      <w:bookmarkEnd w:id="834"/>
      <w:bookmarkEnd w:id="835"/>
      <w:bookmarkEnd w:id="836"/>
      <w:bookmarkEnd w:id="837"/>
      <w:bookmarkEnd w:id="838"/>
      <w:bookmarkEnd w:id="839"/>
    </w:p>
    <w:p w14:paraId="26F64A92">
      <w:pPr>
        <w:pStyle w:val="8"/>
        <w:tabs>
          <w:tab w:val="left" w:pos="567"/>
        </w:tabs>
        <w:spacing w:line="360" w:lineRule="auto"/>
        <w:ind w:left="-181" w:leftChars="-86" w:firstLine="660" w:firstLineChars="275"/>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1. 总则</w:t>
      </w:r>
    </w:p>
    <w:p w14:paraId="458AB66B">
      <w:pPr>
        <w:pStyle w:val="8"/>
        <w:tabs>
          <w:tab w:val="left" w:pos="567"/>
        </w:tabs>
        <w:spacing w:line="360" w:lineRule="auto"/>
        <w:ind w:left="-181" w:leftChars="-86" w:firstLine="660" w:firstLineChars="275"/>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1.1 根据《中华人民共和国政府采购法》、《中华人民共和国政府采购法实施条例》、《政府采购货物和服务招标投标管理办法（财政部第87号令）》等法律制度，结合采购项目特点制定本评标办法。</w:t>
      </w:r>
    </w:p>
    <w:p w14:paraId="1B2D6409">
      <w:pPr>
        <w:pStyle w:val="8"/>
        <w:tabs>
          <w:tab w:val="left" w:pos="567"/>
        </w:tabs>
        <w:spacing w:line="360" w:lineRule="auto"/>
        <w:ind w:left="-181" w:leftChars="-86" w:firstLine="660" w:firstLineChars="275"/>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1.2 评标工作由采购代理机构负责组织，具体评标事务由采购代理机构依法组建的评标委员会负责。评标委员会由采购人代表和有关技术、经济、法律等方面的专家组成。</w:t>
      </w:r>
    </w:p>
    <w:p w14:paraId="195959DE">
      <w:pPr>
        <w:pStyle w:val="8"/>
        <w:tabs>
          <w:tab w:val="left" w:pos="567"/>
        </w:tabs>
        <w:spacing w:line="360" w:lineRule="auto"/>
        <w:ind w:left="-181" w:leftChars="-86" w:firstLine="660" w:firstLineChars="275"/>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1.3 评标工作应遵循公平、公正、科学及择优的原则，并以相同的评标程序和标准对待所有的投标人。</w:t>
      </w:r>
    </w:p>
    <w:p w14:paraId="008A9720">
      <w:pPr>
        <w:pStyle w:val="8"/>
        <w:tabs>
          <w:tab w:val="left" w:pos="567"/>
        </w:tabs>
        <w:spacing w:line="360" w:lineRule="auto"/>
        <w:ind w:left="-181" w:leftChars="-86" w:firstLine="660" w:firstLineChars="275"/>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1.4 评标委员会按照招标文件规定的评标方法和标准进行评标，并独立履行下列职责：</w:t>
      </w:r>
    </w:p>
    <w:p w14:paraId="4AEFD98D">
      <w:pPr>
        <w:pStyle w:val="8"/>
        <w:tabs>
          <w:tab w:val="left" w:pos="567"/>
        </w:tabs>
        <w:spacing w:line="360" w:lineRule="auto"/>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（一）审查、评价投标文件是否符合招标文件的商务、技术等实质性要求；</w:t>
      </w:r>
    </w:p>
    <w:p w14:paraId="4F5D8E3A">
      <w:pPr>
        <w:pStyle w:val="8"/>
        <w:tabs>
          <w:tab w:val="left" w:pos="567"/>
        </w:tabs>
        <w:spacing w:line="360" w:lineRule="auto"/>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（二）要求投标人对投标文件有关事项作出澄清或者说明；</w:t>
      </w:r>
    </w:p>
    <w:p w14:paraId="29FB59DA">
      <w:pPr>
        <w:pStyle w:val="8"/>
        <w:tabs>
          <w:tab w:val="left" w:pos="567"/>
        </w:tabs>
        <w:spacing w:line="360" w:lineRule="auto"/>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（三）对投标文件进行比较和评价；</w:t>
      </w:r>
    </w:p>
    <w:p w14:paraId="76C7B7E6">
      <w:pPr>
        <w:pStyle w:val="8"/>
        <w:tabs>
          <w:tab w:val="left" w:pos="567"/>
        </w:tabs>
        <w:spacing w:line="360" w:lineRule="auto"/>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（四）确定中标候选人名单，以及根据采购人委托直接确定中标人；</w:t>
      </w:r>
    </w:p>
    <w:p w14:paraId="11D8F13B">
      <w:pPr>
        <w:pStyle w:val="8"/>
        <w:tabs>
          <w:tab w:val="left" w:pos="567"/>
        </w:tabs>
        <w:spacing w:line="360" w:lineRule="auto"/>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（五）向采购人、采购代理机构或者有关部门报告评标中发现的违法行为。</w:t>
      </w:r>
    </w:p>
    <w:p w14:paraId="071D5C6D">
      <w:pPr>
        <w:pStyle w:val="8"/>
        <w:tabs>
          <w:tab w:val="left" w:pos="567"/>
        </w:tabs>
        <w:spacing w:line="360" w:lineRule="auto"/>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（六）法律、法规和规章规定的其他职责。</w:t>
      </w:r>
    </w:p>
    <w:p w14:paraId="04AD07E0">
      <w:pPr>
        <w:pStyle w:val="8"/>
        <w:tabs>
          <w:tab w:val="left" w:pos="567"/>
        </w:tabs>
        <w:spacing w:line="360" w:lineRule="auto"/>
        <w:ind w:left="-181" w:leftChars="-86" w:firstLine="660" w:firstLineChars="275"/>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1.5 评标过程独立、保密。投标人非法干预评标过程的行为将导致其投标文件作为无效处理。</w:t>
      </w:r>
    </w:p>
    <w:p w14:paraId="7A861D28">
      <w:pPr>
        <w:pStyle w:val="8"/>
        <w:tabs>
          <w:tab w:val="left" w:pos="567"/>
        </w:tabs>
        <w:spacing w:line="360" w:lineRule="auto"/>
        <w:ind w:left="-181" w:leftChars="-86" w:firstLine="660" w:firstLineChars="275"/>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1.6评标委员会评价投标文件的响应性，对于投标人而言，除评标委员会要求其澄清、说明或者更正而提供的资料外，仅依据投标文件本身的内容，不寻求其他外部证据。</w:t>
      </w:r>
    </w:p>
    <w:p w14:paraId="0E083F7E">
      <w:pPr>
        <w:pStyle w:val="8"/>
        <w:tabs>
          <w:tab w:val="left" w:pos="567"/>
        </w:tabs>
        <w:spacing w:line="360" w:lineRule="auto"/>
        <w:ind w:firstLine="240" w:firstLineChars="100"/>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 xml:space="preserve"> 1.7采购人或者采购代理机构负责组织评标工作，并履行下列职责：</w:t>
      </w:r>
    </w:p>
    <w:p w14:paraId="1AAAFFBC">
      <w:pPr>
        <w:pStyle w:val="8"/>
        <w:tabs>
          <w:tab w:val="left" w:pos="567"/>
        </w:tabs>
        <w:spacing w:line="360" w:lineRule="auto"/>
        <w:ind w:firstLine="240" w:firstLineChars="100"/>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（一）核对评审专家身份和采购人代表信息，对评审专家在政府采购活动中的职责履行情况予以记录，并及时将有关违法违规行为向财政部门报告；</w:t>
      </w:r>
    </w:p>
    <w:p w14:paraId="12B9A322">
      <w:pPr>
        <w:pStyle w:val="8"/>
        <w:tabs>
          <w:tab w:val="left" w:pos="567"/>
        </w:tabs>
        <w:spacing w:line="360" w:lineRule="auto"/>
        <w:ind w:firstLine="240" w:firstLineChars="100"/>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（二）宣布评标纪律；</w:t>
      </w:r>
    </w:p>
    <w:p w14:paraId="4ECBCA16">
      <w:pPr>
        <w:pStyle w:val="8"/>
        <w:tabs>
          <w:tab w:val="left" w:pos="567"/>
        </w:tabs>
        <w:spacing w:line="360" w:lineRule="auto"/>
        <w:ind w:firstLine="240" w:firstLineChars="100"/>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（三）公布投标人名单，告知评审专家应当回避的情形；</w:t>
      </w:r>
    </w:p>
    <w:p w14:paraId="76841522">
      <w:pPr>
        <w:pStyle w:val="8"/>
        <w:tabs>
          <w:tab w:val="left" w:pos="567"/>
        </w:tabs>
        <w:spacing w:line="360" w:lineRule="auto"/>
        <w:ind w:firstLine="240" w:firstLineChars="100"/>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（四）组织评标委员会推选评标组长，采购人代表不得担任组长；</w:t>
      </w:r>
    </w:p>
    <w:p w14:paraId="337DEBC7">
      <w:pPr>
        <w:pStyle w:val="8"/>
        <w:tabs>
          <w:tab w:val="left" w:pos="567"/>
        </w:tabs>
        <w:spacing w:line="360" w:lineRule="auto"/>
        <w:ind w:firstLine="240" w:firstLineChars="100"/>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（五）在评标期间采取必要的通讯管理措施，保证评标活动不受外界干扰；</w:t>
      </w:r>
    </w:p>
    <w:p w14:paraId="0EEDBCF5">
      <w:pPr>
        <w:pStyle w:val="8"/>
        <w:tabs>
          <w:tab w:val="left" w:pos="567"/>
        </w:tabs>
        <w:spacing w:line="360" w:lineRule="auto"/>
        <w:ind w:firstLine="240" w:firstLineChars="100"/>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（六）根据评标委员会的要求介绍政府采购相关政策法规、招标文件；</w:t>
      </w:r>
    </w:p>
    <w:p w14:paraId="6D9AC0E5">
      <w:pPr>
        <w:pStyle w:val="8"/>
        <w:tabs>
          <w:tab w:val="left" w:pos="567"/>
        </w:tabs>
        <w:spacing w:line="360" w:lineRule="auto"/>
        <w:ind w:firstLine="240" w:firstLineChars="100"/>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（七）维护评标秩序，监督评标委员会依照招标文件规定的评标程序、方法和标准进行独立评审，及时制止和纠正采购人代表、评审专家的倾向性言论或者违法违规行为；</w:t>
      </w:r>
    </w:p>
    <w:p w14:paraId="612BD3CB">
      <w:pPr>
        <w:pStyle w:val="8"/>
        <w:tabs>
          <w:tab w:val="left" w:pos="567"/>
        </w:tabs>
        <w:spacing w:line="360" w:lineRule="auto"/>
        <w:ind w:firstLine="240" w:firstLineChars="100"/>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（八）核对评标结果，有财政部87号令第六十四条规定情形的，要求评标委员会复核或者书面说明理由，评标委员会拒绝的，应予记录并向本级财政部门报告；</w:t>
      </w:r>
    </w:p>
    <w:p w14:paraId="0127D2C3">
      <w:pPr>
        <w:pStyle w:val="8"/>
        <w:tabs>
          <w:tab w:val="left" w:pos="567"/>
        </w:tabs>
        <w:spacing w:line="360" w:lineRule="auto"/>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　（九）处理与评标有关的其他事项。</w:t>
      </w:r>
    </w:p>
    <w:p w14:paraId="29D2F52E">
      <w:pPr>
        <w:pStyle w:val="8"/>
        <w:tabs>
          <w:tab w:val="left" w:pos="567"/>
        </w:tabs>
        <w:spacing w:line="360" w:lineRule="auto"/>
        <w:ind w:left="-181" w:leftChars="-86" w:firstLine="660" w:firstLineChars="275"/>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采购人可以在评标前说明项目背景和采购需求，说明内容不得含有歧视性、倾向性意见，不得超出招标文件所述范围。说明应当提交书面材料，并随采购文件一并存档。</w:t>
      </w:r>
    </w:p>
    <w:p w14:paraId="6C89240A">
      <w:pPr>
        <w:pStyle w:val="8"/>
        <w:tabs>
          <w:tab w:val="left" w:pos="567"/>
        </w:tabs>
        <w:spacing w:line="360" w:lineRule="auto"/>
        <w:ind w:left="-181" w:leftChars="-86" w:firstLine="660" w:firstLineChars="275"/>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2、评标方法</w:t>
      </w:r>
    </w:p>
    <w:p w14:paraId="6F8443F6">
      <w:pPr>
        <w:pStyle w:val="8"/>
        <w:tabs>
          <w:tab w:val="left" w:pos="567"/>
        </w:tabs>
        <w:spacing w:line="360" w:lineRule="auto"/>
        <w:ind w:left="-181" w:leftChars="-86" w:firstLine="660" w:firstLineChars="275"/>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本项目评标方法为：综合评分法。</w:t>
      </w:r>
    </w:p>
    <w:p w14:paraId="0DA3CFFE">
      <w:pPr>
        <w:pStyle w:val="8"/>
        <w:tabs>
          <w:tab w:val="left" w:pos="567"/>
        </w:tabs>
        <w:spacing w:line="360" w:lineRule="auto"/>
        <w:ind w:firstLine="480" w:firstLineChars="200"/>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3、评标程序</w:t>
      </w:r>
    </w:p>
    <w:p w14:paraId="38E64639">
      <w:pPr>
        <w:pStyle w:val="8"/>
        <w:tabs>
          <w:tab w:val="left" w:pos="567"/>
        </w:tabs>
        <w:spacing w:line="360" w:lineRule="auto"/>
        <w:ind w:left="-181" w:leftChars="-86" w:firstLine="660" w:firstLineChars="275"/>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3.1 熟悉和理解招标文件和停止评标。</w:t>
      </w:r>
    </w:p>
    <w:p w14:paraId="3F06A58C">
      <w:pPr>
        <w:pStyle w:val="8"/>
        <w:tabs>
          <w:tab w:val="left" w:pos="567"/>
        </w:tabs>
        <w:spacing w:line="360" w:lineRule="auto"/>
        <w:ind w:left="-181" w:leftChars="-86" w:firstLine="660" w:firstLineChars="275"/>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3.1.1 评标委员会正式评标前，应当对招标文件进行熟悉和理解，内容主要包括招标文件中采购项目技术、服务和商务要求、评标方法和标准以及可能涉及签订政府采购合同的内容等。</w:t>
      </w:r>
    </w:p>
    <w:p w14:paraId="41E452F1">
      <w:pPr>
        <w:pStyle w:val="8"/>
        <w:tabs>
          <w:tab w:val="left" w:pos="567"/>
        </w:tabs>
        <w:spacing w:line="360" w:lineRule="auto"/>
        <w:ind w:left="-199" w:leftChars="-95" w:firstLine="199" w:firstLineChars="83"/>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 xml:space="preserve">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AD29947">
      <w:pPr>
        <w:spacing w:line="360" w:lineRule="auto"/>
        <w:rPr>
          <w:rFonts w:hint="eastAsia" w:ascii="仿宋" w:hAnsi="仿宋" w:eastAsia="仿宋" w:cs="仿宋"/>
          <w:color w:val="auto"/>
          <w:highlight w:val="none"/>
        </w:rPr>
      </w:pPr>
      <w:r>
        <w:rPr>
          <w:rStyle w:val="28"/>
          <w:rFonts w:hint="eastAsia" w:ascii="仿宋" w:hAnsi="仿宋" w:eastAsia="仿宋" w:cs="仿宋"/>
          <w:iCs/>
          <w:color w:val="auto"/>
          <w:sz w:val="24"/>
          <w:szCs w:val="24"/>
          <w:highlight w:val="none"/>
          <w:lang w:eastAsia="zh-CN"/>
        </w:rPr>
        <w:t>4.1</w:t>
      </w:r>
      <w:r>
        <w:rPr>
          <w:rFonts w:hint="eastAsia" w:ascii="仿宋" w:hAnsi="仿宋" w:eastAsia="仿宋" w:cs="仿宋"/>
          <w:iCs/>
          <w:color w:val="auto"/>
          <w:sz w:val="24"/>
          <w:szCs w:val="24"/>
          <w:highlight w:val="none"/>
          <w:lang w:eastAsia="zh-CN"/>
        </w:rPr>
        <w:t>根据《关于落实好政府采购支持中小企业发展的通知》（新财购〔2022〕22号）、《关于进一步加大政府采购支持中小企业力度的通知》（财库(2022〕19号）、《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w:t>
      </w:r>
      <w:r>
        <w:rPr>
          <w:rFonts w:hint="eastAsia" w:ascii="仿宋" w:hAnsi="仿宋" w:eastAsia="仿宋" w:cs="仿宋"/>
          <w:color w:val="auto"/>
          <w:sz w:val="24"/>
          <w:szCs w:val="24"/>
          <w:highlight w:val="none"/>
          <w:lang w:eastAsia="zh-CN"/>
        </w:rPr>
        <w:t>或省级以上监狱管理局、戒毒管理局（含新疆生产建设兵团）出具的属于监狱企业的证明文件的投标人，其投标报价扣除10%后参与评审。</w:t>
      </w:r>
      <w:r>
        <w:rPr>
          <w:rFonts w:hint="eastAsia" w:ascii="仿宋" w:hAnsi="仿宋" w:eastAsia="仿宋" w:cs="仿宋"/>
          <w:color w:val="auto"/>
          <w:sz w:val="24"/>
          <w:szCs w:val="24"/>
          <w:highlight w:val="none"/>
        </w:rPr>
        <w:t>具体办法详见招标文件第6章。</w:t>
      </w:r>
    </w:p>
    <w:p w14:paraId="4F9F3B98">
      <w:pPr>
        <w:rPr>
          <w:rFonts w:hint="eastAsia" w:ascii="仿宋" w:hAnsi="仿宋" w:eastAsia="仿宋" w:cs="仿宋"/>
          <w:color w:val="auto"/>
          <w:highlight w:val="none"/>
        </w:rPr>
      </w:pPr>
      <w:r>
        <w:rPr>
          <w:rFonts w:hint="eastAsia" w:ascii="仿宋" w:hAnsi="仿宋" w:eastAsia="仿宋" w:cs="仿宋"/>
          <w:b/>
          <w:bCs/>
          <w:iCs/>
          <w:color w:val="auto"/>
          <w:highlight w:val="none"/>
        </w:rPr>
        <w:t>5.1资格性检查</w:t>
      </w:r>
    </w:p>
    <w:tbl>
      <w:tblPr>
        <w:tblStyle w:val="23"/>
        <w:tblpPr w:leftFromText="180" w:rightFromText="180" w:vertAnchor="text" w:horzAnchor="page" w:tblpXSpec="center" w:tblpY="373"/>
        <w:tblOverlap w:val="never"/>
        <w:tblW w:w="9859" w:type="dxa"/>
        <w:jc w:val="center"/>
        <w:tblLayout w:type="fixed"/>
        <w:tblCellMar>
          <w:top w:w="0" w:type="dxa"/>
          <w:left w:w="108" w:type="dxa"/>
          <w:bottom w:w="0" w:type="dxa"/>
          <w:right w:w="108" w:type="dxa"/>
        </w:tblCellMar>
      </w:tblPr>
      <w:tblGrid>
        <w:gridCol w:w="640"/>
        <w:gridCol w:w="6975"/>
        <w:gridCol w:w="582"/>
        <w:gridCol w:w="570"/>
        <w:gridCol w:w="560"/>
        <w:gridCol w:w="532"/>
      </w:tblGrid>
      <w:tr w14:paraId="0542FB64">
        <w:tblPrEx>
          <w:tblCellMar>
            <w:top w:w="0" w:type="dxa"/>
            <w:left w:w="108" w:type="dxa"/>
            <w:bottom w:w="0" w:type="dxa"/>
            <w:right w:w="108" w:type="dxa"/>
          </w:tblCellMar>
        </w:tblPrEx>
        <w:trPr>
          <w:trHeight w:val="410" w:hRule="atLeast"/>
          <w:jc w:val="center"/>
        </w:trPr>
        <w:tc>
          <w:tcPr>
            <w:tcW w:w="640" w:type="dxa"/>
            <w:vMerge w:val="restart"/>
            <w:tcBorders>
              <w:top w:val="single" w:color="000000" w:sz="4" w:space="0"/>
              <w:left w:val="single" w:color="000000" w:sz="4" w:space="0"/>
              <w:bottom w:val="single" w:color="000000" w:sz="4" w:space="0"/>
              <w:right w:val="single" w:color="000000" w:sz="4" w:space="0"/>
            </w:tcBorders>
            <w:shd w:val="clear" w:color="000000" w:fill="E2EFDA"/>
            <w:vAlign w:val="center"/>
          </w:tcPr>
          <w:p w14:paraId="123DAA88">
            <w:pPr>
              <w:keepNext w:val="0"/>
              <w:keepLines w:val="0"/>
              <w:widowControl/>
              <w:suppressLineNumbers w:val="0"/>
              <w:spacing w:before="0" w:beforeAutospacing="0" w:after="0" w:afterAutospacing="0" w:line="360" w:lineRule="auto"/>
              <w:ind w:left="0" w:right="0"/>
              <w:jc w:val="center"/>
              <w:rPr>
                <w:rFonts w:hint="default" w:ascii="仿宋" w:hAnsi="仿宋" w:eastAsia="仿宋"/>
                <w:b/>
                <w:bCs/>
                <w:color w:val="000000"/>
                <w:kern w:val="0"/>
                <w:szCs w:val="21"/>
                <w:highlight w:val="none"/>
              </w:rPr>
            </w:pPr>
            <w:r>
              <w:rPr>
                <w:rFonts w:hint="eastAsia" w:ascii="仿宋" w:hAnsi="仿宋" w:eastAsia="仿宋"/>
                <w:b/>
                <w:bCs/>
                <w:color w:val="000000"/>
                <w:kern w:val="0"/>
                <w:szCs w:val="21"/>
                <w:highlight w:val="none"/>
              </w:rPr>
              <w:t>序号</w:t>
            </w:r>
          </w:p>
        </w:tc>
        <w:tc>
          <w:tcPr>
            <w:tcW w:w="6975" w:type="dxa"/>
            <w:vMerge w:val="restart"/>
            <w:tcBorders>
              <w:top w:val="single" w:color="000000" w:sz="4" w:space="0"/>
              <w:left w:val="single" w:color="000000" w:sz="4" w:space="0"/>
              <w:bottom w:val="single" w:color="000000" w:sz="4" w:space="0"/>
              <w:right w:val="single" w:color="000000" w:sz="4" w:space="0"/>
            </w:tcBorders>
            <w:shd w:val="clear" w:color="000000" w:fill="E2EFDA"/>
            <w:vAlign w:val="center"/>
          </w:tcPr>
          <w:p w14:paraId="57BDAC0E">
            <w:pPr>
              <w:keepNext w:val="0"/>
              <w:keepLines w:val="0"/>
              <w:widowControl/>
              <w:suppressLineNumbers w:val="0"/>
              <w:spacing w:before="0" w:beforeAutospacing="0" w:after="0" w:afterAutospacing="0" w:line="360" w:lineRule="auto"/>
              <w:ind w:left="0" w:right="0"/>
              <w:jc w:val="center"/>
              <w:rPr>
                <w:rFonts w:hint="default" w:ascii="仿宋" w:hAnsi="仿宋" w:eastAsia="仿宋"/>
                <w:b/>
                <w:bCs/>
                <w:color w:val="000000"/>
                <w:kern w:val="0"/>
                <w:szCs w:val="21"/>
                <w:highlight w:val="none"/>
              </w:rPr>
            </w:pPr>
            <w:r>
              <w:rPr>
                <w:rFonts w:hint="eastAsia" w:ascii="仿宋" w:hAnsi="仿宋" w:eastAsia="仿宋"/>
                <w:b/>
                <w:bCs/>
                <w:color w:val="000000"/>
                <w:kern w:val="0"/>
                <w:szCs w:val="21"/>
                <w:highlight w:val="none"/>
              </w:rPr>
              <w:t>审核项目</w:t>
            </w:r>
          </w:p>
        </w:tc>
        <w:tc>
          <w:tcPr>
            <w:tcW w:w="1152" w:type="dxa"/>
            <w:gridSpan w:val="2"/>
            <w:tcBorders>
              <w:top w:val="single" w:color="000000" w:sz="4" w:space="0"/>
              <w:left w:val="nil"/>
              <w:bottom w:val="single" w:color="000000" w:sz="4" w:space="0"/>
              <w:right w:val="single" w:color="000000" w:sz="4" w:space="0"/>
            </w:tcBorders>
            <w:shd w:val="clear" w:color="000000" w:fill="E2EFDA"/>
            <w:vAlign w:val="center"/>
          </w:tcPr>
          <w:p w14:paraId="7642F9DC">
            <w:pPr>
              <w:keepNext w:val="0"/>
              <w:keepLines w:val="0"/>
              <w:widowControl/>
              <w:suppressLineNumbers w:val="0"/>
              <w:spacing w:before="0" w:beforeAutospacing="0" w:after="0" w:afterAutospacing="0" w:line="360" w:lineRule="auto"/>
              <w:ind w:left="0" w:right="0"/>
              <w:jc w:val="center"/>
              <w:rPr>
                <w:rFonts w:hint="default" w:ascii="仿宋" w:hAnsi="仿宋" w:eastAsia="仿宋"/>
                <w:b/>
                <w:bCs/>
                <w:color w:val="000000"/>
                <w:kern w:val="0"/>
                <w:szCs w:val="21"/>
                <w:highlight w:val="none"/>
              </w:rPr>
            </w:pPr>
            <w:r>
              <w:rPr>
                <w:rFonts w:hint="eastAsia" w:ascii="仿宋" w:hAnsi="仿宋" w:eastAsia="仿宋"/>
                <w:b/>
                <w:bCs/>
                <w:color w:val="000000"/>
                <w:kern w:val="0"/>
                <w:szCs w:val="21"/>
                <w:highlight w:val="none"/>
              </w:rPr>
              <w:t>投标人1</w:t>
            </w:r>
          </w:p>
        </w:tc>
        <w:tc>
          <w:tcPr>
            <w:tcW w:w="1092" w:type="dxa"/>
            <w:gridSpan w:val="2"/>
            <w:tcBorders>
              <w:top w:val="single" w:color="000000" w:sz="4" w:space="0"/>
              <w:left w:val="nil"/>
              <w:bottom w:val="single" w:color="000000" w:sz="4" w:space="0"/>
              <w:right w:val="single" w:color="000000" w:sz="4" w:space="0"/>
            </w:tcBorders>
            <w:shd w:val="clear" w:color="000000" w:fill="E2EFDA"/>
            <w:vAlign w:val="center"/>
          </w:tcPr>
          <w:p w14:paraId="7C6AA310">
            <w:pPr>
              <w:keepNext w:val="0"/>
              <w:keepLines w:val="0"/>
              <w:widowControl/>
              <w:suppressLineNumbers w:val="0"/>
              <w:spacing w:before="0" w:beforeAutospacing="0" w:after="0" w:afterAutospacing="0" w:line="360" w:lineRule="auto"/>
              <w:ind w:left="0" w:right="0"/>
              <w:jc w:val="center"/>
              <w:rPr>
                <w:rFonts w:hint="default" w:ascii="仿宋" w:hAnsi="仿宋" w:eastAsia="仿宋"/>
                <w:b/>
                <w:bCs/>
                <w:color w:val="000000"/>
                <w:kern w:val="0"/>
                <w:szCs w:val="21"/>
                <w:highlight w:val="none"/>
              </w:rPr>
            </w:pPr>
            <w:r>
              <w:rPr>
                <w:rFonts w:hint="eastAsia" w:ascii="仿宋" w:hAnsi="仿宋" w:eastAsia="仿宋"/>
                <w:b/>
                <w:bCs/>
                <w:color w:val="000000"/>
                <w:kern w:val="0"/>
                <w:szCs w:val="21"/>
                <w:highlight w:val="none"/>
              </w:rPr>
              <w:t>投标人N</w:t>
            </w:r>
          </w:p>
        </w:tc>
      </w:tr>
      <w:tr w14:paraId="151866C4">
        <w:tblPrEx>
          <w:tblCellMar>
            <w:top w:w="0" w:type="dxa"/>
            <w:left w:w="108" w:type="dxa"/>
            <w:bottom w:w="0" w:type="dxa"/>
            <w:right w:w="108" w:type="dxa"/>
          </w:tblCellMar>
        </w:tblPrEx>
        <w:trPr>
          <w:trHeight w:val="90"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vAlign w:val="center"/>
          </w:tcPr>
          <w:p w14:paraId="2041519D">
            <w:pPr>
              <w:keepNext w:val="0"/>
              <w:keepLines w:val="0"/>
              <w:widowControl/>
              <w:suppressLineNumbers w:val="0"/>
              <w:spacing w:before="0" w:beforeAutospacing="0" w:after="0" w:afterAutospacing="0" w:line="360" w:lineRule="auto"/>
              <w:ind w:left="0" w:right="0"/>
              <w:jc w:val="center"/>
              <w:rPr>
                <w:rFonts w:hint="default" w:ascii="仿宋" w:hAnsi="仿宋" w:eastAsia="仿宋"/>
                <w:b/>
                <w:bCs/>
                <w:color w:val="000000"/>
                <w:kern w:val="0"/>
                <w:szCs w:val="21"/>
                <w:highlight w:val="none"/>
              </w:rPr>
            </w:pPr>
          </w:p>
        </w:tc>
        <w:tc>
          <w:tcPr>
            <w:tcW w:w="6975" w:type="dxa"/>
            <w:vMerge w:val="continue"/>
            <w:tcBorders>
              <w:top w:val="single" w:color="000000" w:sz="4" w:space="0"/>
              <w:left w:val="single" w:color="000000" w:sz="4" w:space="0"/>
              <w:bottom w:val="single" w:color="000000" w:sz="4" w:space="0"/>
              <w:right w:val="single" w:color="000000" w:sz="4" w:space="0"/>
            </w:tcBorders>
            <w:vAlign w:val="center"/>
          </w:tcPr>
          <w:p w14:paraId="16DF2B30">
            <w:pPr>
              <w:keepNext w:val="0"/>
              <w:keepLines w:val="0"/>
              <w:widowControl/>
              <w:suppressLineNumbers w:val="0"/>
              <w:spacing w:before="0" w:beforeAutospacing="0" w:after="0" w:afterAutospacing="0" w:line="360" w:lineRule="auto"/>
              <w:ind w:left="0" w:right="0"/>
              <w:jc w:val="left"/>
              <w:rPr>
                <w:rFonts w:hint="default" w:ascii="仿宋" w:hAnsi="仿宋" w:eastAsia="仿宋"/>
                <w:b/>
                <w:bCs/>
                <w:color w:val="000000"/>
                <w:kern w:val="0"/>
                <w:szCs w:val="21"/>
                <w:highlight w:val="none"/>
              </w:rPr>
            </w:pPr>
          </w:p>
        </w:tc>
        <w:tc>
          <w:tcPr>
            <w:tcW w:w="582" w:type="dxa"/>
            <w:tcBorders>
              <w:top w:val="nil"/>
              <w:left w:val="nil"/>
              <w:bottom w:val="single" w:color="000000" w:sz="4" w:space="0"/>
              <w:right w:val="single" w:color="000000" w:sz="4" w:space="0"/>
            </w:tcBorders>
            <w:shd w:val="clear" w:color="000000" w:fill="E2EFDA"/>
            <w:vAlign w:val="center"/>
          </w:tcPr>
          <w:p w14:paraId="2206CF41">
            <w:pPr>
              <w:keepNext w:val="0"/>
              <w:keepLines w:val="0"/>
              <w:widowControl/>
              <w:suppressLineNumbers w:val="0"/>
              <w:spacing w:before="0" w:beforeAutospacing="0" w:after="0" w:afterAutospacing="0" w:line="360" w:lineRule="auto"/>
              <w:ind w:left="0" w:right="0"/>
              <w:jc w:val="center"/>
              <w:rPr>
                <w:rFonts w:hint="default" w:ascii="仿宋" w:hAnsi="仿宋" w:eastAsia="仿宋"/>
                <w:b/>
                <w:bCs/>
                <w:color w:val="000000"/>
                <w:kern w:val="0"/>
                <w:szCs w:val="21"/>
                <w:highlight w:val="none"/>
              </w:rPr>
            </w:pPr>
            <w:r>
              <w:rPr>
                <w:rFonts w:hint="eastAsia" w:ascii="仿宋" w:hAnsi="仿宋" w:eastAsia="仿宋"/>
                <w:b/>
                <w:bCs/>
                <w:color w:val="000000"/>
                <w:kern w:val="0"/>
                <w:szCs w:val="21"/>
                <w:highlight w:val="none"/>
              </w:rPr>
              <w:t>是</w:t>
            </w:r>
          </w:p>
        </w:tc>
        <w:tc>
          <w:tcPr>
            <w:tcW w:w="570" w:type="dxa"/>
            <w:tcBorders>
              <w:top w:val="nil"/>
              <w:left w:val="nil"/>
              <w:bottom w:val="single" w:color="000000" w:sz="4" w:space="0"/>
              <w:right w:val="single" w:color="000000" w:sz="4" w:space="0"/>
            </w:tcBorders>
            <w:shd w:val="clear" w:color="000000" w:fill="E2EFDA"/>
            <w:vAlign w:val="center"/>
          </w:tcPr>
          <w:p w14:paraId="7AACA8CB">
            <w:pPr>
              <w:keepNext w:val="0"/>
              <w:keepLines w:val="0"/>
              <w:widowControl/>
              <w:suppressLineNumbers w:val="0"/>
              <w:spacing w:before="0" w:beforeAutospacing="0" w:after="0" w:afterAutospacing="0" w:line="360" w:lineRule="auto"/>
              <w:ind w:left="0" w:right="0"/>
              <w:jc w:val="center"/>
              <w:rPr>
                <w:rFonts w:hint="default" w:ascii="仿宋" w:hAnsi="仿宋" w:eastAsia="仿宋"/>
                <w:b/>
                <w:bCs/>
                <w:color w:val="000000"/>
                <w:kern w:val="0"/>
                <w:szCs w:val="21"/>
                <w:highlight w:val="none"/>
              </w:rPr>
            </w:pPr>
            <w:r>
              <w:rPr>
                <w:rFonts w:hint="eastAsia" w:ascii="仿宋" w:hAnsi="仿宋" w:eastAsia="仿宋"/>
                <w:b/>
                <w:bCs/>
                <w:color w:val="000000"/>
                <w:kern w:val="0"/>
                <w:szCs w:val="21"/>
                <w:highlight w:val="none"/>
              </w:rPr>
              <w:t>否</w:t>
            </w:r>
          </w:p>
        </w:tc>
        <w:tc>
          <w:tcPr>
            <w:tcW w:w="560" w:type="dxa"/>
            <w:tcBorders>
              <w:top w:val="nil"/>
              <w:left w:val="nil"/>
              <w:bottom w:val="single" w:color="000000" w:sz="4" w:space="0"/>
              <w:right w:val="single" w:color="000000" w:sz="4" w:space="0"/>
            </w:tcBorders>
            <w:shd w:val="clear" w:color="000000" w:fill="E2EFDA"/>
            <w:vAlign w:val="center"/>
          </w:tcPr>
          <w:p w14:paraId="341F72AE">
            <w:pPr>
              <w:keepNext w:val="0"/>
              <w:keepLines w:val="0"/>
              <w:widowControl/>
              <w:suppressLineNumbers w:val="0"/>
              <w:spacing w:before="0" w:beforeAutospacing="0" w:after="0" w:afterAutospacing="0" w:line="360" w:lineRule="auto"/>
              <w:ind w:left="0" w:right="0"/>
              <w:jc w:val="center"/>
              <w:rPr>
                <w:rFonts w:hint="default" w:ascii="仿宋" w:hAnsi="仿宋" w:eastAsia="仿宋"/>
                <w:b/>
                <w:bCs/>
                <w:color w:val="000000"/>
                <w:kern w:val="0"/>
                <w:szCs w:val="21"/>
                <w:highlight w:val="none"/>
              </w:rPr>
            </w:pPr>
            <w:r>
              <w:rPr>
                <w:rFonts w:hint="eastAsia" w:ascii="仿宋" w:hAnsi="仿宋" w:eastAsia="仿宋"/>
                <w:b/>
                <w:bCs/>
                <w:color w:val="000000"/>
                <w:kern w:val="0"/>
                <w:szCs w:val="21"/>
                <w:highlight w:val="none"/>
              </w:rPr>
              <w:t>是</w:t>
            </w:r>
          </w:p>
        </w:tc>
        <w:tc>
          <w:tcPr>
            <w:tcW w:w="532" w:type="dxa"/>
            <w:tcBorders>
              <w:top w:val="nil"/>
              <w:left w:val="nil"/>
              <w:bottom w:val="single" w:color="000000" w:sz="4" w:space="0"/>
              <w:right w:val="single" w:color="000000" w:sz="4" w:space="0"/>
            </w:tcBorders>
            <w:shd w:val="clear" w:color="000000" w:fill="E2EFDA"/>
            <w:vAlign w:val="center"/>
          </w:tcPr>
          <w:p w14:paraId="713E8855">
            <w:pPr>
              <w:keepNext w:val="0"/>
              <w:keepLines w:val="0"/>
              <w:widowControl/>
              <w:suppressLineNumbers w:val="0"/>
              <w:spacing w:before="0" w:beforeAutospacing="0" w:after="0" w:afterAutospacing="0" w:line="360" w:lineRule="auto"/>
              <w:ind w:left="0" w:right="0"/>
              <w:jc w:val="center"/>
              <w:rPr>
                <w:rFonts w:hint="default" w:ascii="仿宋" w:hAnsi="仿宋" w:eastAsia="仿宋"/>
                <w:b/>
                <w:bCs/>
                <w:color w:val="000000"/>
                <w:kern w:val="0"/>
                <w:szCs w:val="21"/>
                <w:highlight w:val="none"/>
              </w:rPr>
            </w:pPr>
            <w:r>
              <w:rPr>
                <w:rFonts w:hint="eastAsia" w:ascii="仿宋" w:hAnsi="仿宋" w:eastAsia="仿宋"/>
                <w:b/>
                <w:bCs/>
                <w:color w:val="000000"/>
                <w:kern w:val="0"/>
                <w:szCs w:val="21"/>
                <w:highlight w:val="none"/>
              </w:rPr>
              <w:t>否</w:t>
            </w:r>
          </w:p>
        </w:tc>
      </w:tr>
      <w:tr w14:paraId="347DCBF1">
        <w:tblPrEx>
          <w:tblCellMar>
            <w:top w:w="0" w:type="dxa"/>
            <w:left w:w="108" w:type="dxa"/>
            <w:bottom w:w="0" w:type="dxa"/>
            <w:right w:w="108" w:type="dxa"/>
          </w:tblCellMar>
        </w:tblPrEx>
        <w:trPr>
          <w:trHeight w:val="611" w:hRule="atLeast"/>
          <w:jc w:val="center"/>
        </w:trPr>
        <w:tc>
          <w:tcPr>
            <w:tcW w:w="640" w:type="dxa"/>
            <w:tcBorders>
              <w:top w:val="nil"/>
              <w:left w:val="single" w:color="000000" w:sz="4" w:space="0"/>
              <w:bottom w:val="single" w:color="000000" w:sz="4" w:space="0"/>
              <w:right w:val="single" w:color="000000" w:sz="4" w:space="0"/>
            </w:tcBorders>
            <w:vAlign w:val="center"/>
          </w:tcPr>
          <w:p w14:paraId="2C2C376F">
            <w:pPr>
              <w:keepNext w:val="0"/>
              <w:keepLines w:val="0"/>
              <w:widowControl/>
              <w:suppressLineNumbers w:val="0"/>
              <w:spacing w:before="0" w:beforeAutospacing="0" w:after="0" w:afterAutospacing="0" w:line="360" w:lineRule="auto"/>
              <w:ind w:left="0" w:right="0"/>
              <w:jc w:val="center"/>
              <w:rPr>
                <w:rFonts w:hint="default" w:ascii="仿宋" w:hAnsi="仿宋" w:eastAsia="仿宋"/>
                <w:color w:val="000000"/>
                <w:kern w:val="0"/>
                <w:szCs w:val="21"/>
                <w:highlight w:val="none"/>
              </w:rPr>
            </w:pPr>
            <w:r>
              <w:rPr>
                <w:rFonts w:hint="eastAsia" w:ascii="仿宋" w:hAnsi="仿宋" w:eastAsia="仿宋"/>
                <w:color w:val="000000"/>
                <w:kern w:val="0"/>
                <w:szCs w:val="21"/>
                <w:highlight w:val="none"/>
              </w:rPr>
              <w:t>1</w:t>
            </w:r>
          </w:p>
        </w:tc>
        <w:tc>
          <w:tcPr>
            <w:tcW w:w="6975" w:type="dxa"/>
            <w:tcBorders>
              <w:top w:val="nil"/>
              <w:left w:val="nil"/>
              <w:bottom w:val="single" w:color="000000" w:sz="4" w:space="0"/>
              <w:right w:val="single" w:color="000000" w:sz="4" w:space="0"/>
            </w:tcBorders>
            <w:vAlign w:val="center"/>
          </w:tcPr>
          <w:p w14:paraId="057A98D6">
            <w:pPr>
              <w:keepNext w:val="0"/>
              <w:keepLines w:val="0"/>
              <w:widowControl/>
              <w:suppressLineNumbers w:val="0"/>
              <w:spacing w:before="0" w:beforeAutospacing="0" w:after="0" w:afterAutospacing="0" w:line="360" w:lineRule="auto"/>
              <w:ind w:left="0" w:right="0"/>
              <w:jc w:val="left"/>
              <w:rPr>
                <w:rFonts w:hint="default" w:ascii="仿宋" w:hAnsi="仿宋" w:eastAsia="仿宋"/>
                <w:kern w:val="0"/>
                <w:sz w:val="24"/>
                <w:szCs w:val="24"/>
                <w:highlight w:val="none"/>
              </w:rPr>
            </w:pPr>
            <w:r>
              <w:rPr>
                <w:rFonts w:hint="eastAsia" w:ascii="仿宋" w:hAnsi="仿宋" w:eastAsia="仿宋" w:cs="仿宋"/>
                <w:color w:val="auto"/>
                <w:sz w:val="24"/>
                <w:szCs w:val="24"/>
                <w:highlight w:val="none"/>
              </w:rPr>
              <w:t>提供有效的营业执照</w:t>
            </w:r>
          </w:p>
        </w:tc>
        <w:tc>
          <w:tcPr>
            <w:tcW w:w="582" w:type="dxa"/>
            <w:tcBorders>
              <w:top w:val="nil"/>
              <w:left w:val="nil"/>
              <w:bottom w:val="single" w:color="000000" w:sz="4" w:space="0"/>
              <w:right w:val="single" w:color="000000" w:sz="4" w:space="0"/>
            </w:tcBorders>
            <w:vAlign w:val="center"/>
          </w:tcPr>
          <w:p w14:paraId="068C0138">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70" w:type="dxa"/>
            <w:tcBorders>
              <w:top w:val="nil"/>
              <w:left w:val="nil"/>
              <w:bottom w:val="single" w:color="000000" w:sz="4" w:space="0"/>
              <w:right w:val="single" w:color="000000" w:sz="4" w:space="0"/>
            </w:tcBorders>
            <w:vAlign w:val="center"/>
          </w:tcPr>
          <w:p w14:paraId="322F22F3">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60" w:type="dxa"/>
            <w:tcBorders>
              <w:top w:val="nil"/>
              <w:left w:val="nil"/>
              <w:bottom w:val="single" w:color="000000" w:sz="4" w:space="0"/>
              <w:right w:val="single" w:color="000000" w:sz="4" w:space="0"/>
            </w:tcBorders>
            <w:vAlign w:val="center"/>
          </w:tcPr>
          <w:p w14:paraId="2147CB55">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32" w:type="dxa"/>
            <w:tcBorders>
              <w:top w:val="nil"/>
              <w:left w:val="nil"/>
              <w:bottom w:val="single" w:color="000000" w:sz="4" w:space="0"/>
              <w:right w:val="single" w:color="000000" w:sz="4" w:space="0"/>
            </w:tcBorders>
            <w:vAlign w:val="center"/>
          </w:tcPr>
          <w:p w14:paraId="334894D7">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r>
      <w:tr w14:paraId="67CABE34">
        <w:tblPrEx>
          <w:tblCellMar>
            <w:top w:w="0" w:type="dxa"/>
            <w:left w:w="108" w:type="dxa"/>
            <w:bottom w:w="0" w:type="dxa"/>
            <w:right w:w="108" w:type="dxa"/>
          </w:tblCellMar>
        </w:tblPrEx>
        <w:trPr>
          <w:trHeight w:val="619" w:hRule="atLeast"/>
          <w:jc w:val="center"/>
        </w:trPr>
        <w:tc>
          <w:tcPr>
            <w:tcW w:w="640" w:type="dxa"/>
            <w:tcBorders>
              <w:top w:val="nil"/>
              <w:left w:val="single" w:color="000000" w:sz="4" w:space="0"/>
              <w:bottom w:val="single" w:color="000000" w:sz="4" w:space="0"/>
              <w:right w:val="single" w:color="000000" w:sz="4" w:space="0"/>
            </w:tcBorders>
            <w:vAlign w:val="center"/>
          </w:tcPr>
          <w:p w14:paraId="3462A701">
            <w:pPr>
              <w:keepNext w:val="0"/>
              <w:keepLines w:val="0"/>
              <w:widowControl/>
              <w:suppressLineNumbers w:val="0"/>
              <w:spacing w:before="0" w:beforeAutospacing="0" w:after="0" w:afterAutospacing="0" w:line="360" w:lineRule="auto"/>
              <w:ind w:left="0" w:right="0"/>
              <w:jc w:val="center"/>
              <w:rPr>
                <w:rFonts w:hint="default" w:ascii="仿宋" w:hAnsi="仿宋" w:eastAsia="仿宋"/>
                <w:color w:val="000000"/>
                <w:kern w:val="0"/>
                <w:szCs w:val="21"/>
                <w:highlight w:val="none"/>
              </w:rPr>
            </w:pPr>
            <w:r>
              <w:rPr>
                <w:rFonts w:hint="eastAsia" w:ascii="仿宋" w:hAnsi="仿宋" w:eastAsia="仿宋"/>
                <w:color w:val="000000"/>
                <w:kern w:val="0"/>
                <w:szCs w:val="21"/>
                <w:highlight w:val="none"/>
              </w:rPr>
              <w:t>2</w:t>
            </w:r>
          </w:p>
        </w:tc>
        <w:tc>
          <w:tcPr>
            <w:tcW w:w="6975" w:type="dxa"/>
            <w:tcBorders>
              <w:top w:val="nil"/>
              <w:left w:val="nil"/>
              <w:bottom w:val="single" w:color="000000" w:sz="4" w:space="0"/>
              <w:right w:val="single" w:color="000000" w:sz="4" w:space="0"/>
            </w:tcBorders>
            <w:vAlign w:val="center"/>
          </w:tcPr>
          <w:p w14:paraId="6642F342">
            <w:pPr>
              <w:pStyle w:val="17"/>
              <w:rPr>
                <w:rFonts w:hint="default" w:ascii="仿宋" w:hAnsi="仿宋" w:eastAsia="仿宋"/>
                <w:kern w:val="0"/>
                <w:sz w:val="24"/>
                <w:szCs w:val="24"/>
                <w:highlight w:val="none"/>
              </w:rPr>
            </w:pPr>
            <w:r>
              <w:rPr>
                <w:rFonts w:hint="eastAsia" w:ascii="仿宋" w:hAnsi="仿宋" w:eastAsia="仿宋" w:cs="仿宋"/>
                <w:color w:val="auto"/>
                <w:sz w:val="24"/>
                <w:szCs w:val="24"/>
                <w:highlight w:val="none"/>
                <w:lang w:eastAsia="zh-CN"/>
              </w:rPr>
              <w:t>法定代表人证明或法定代表人授权委托书签字（章）并加盖公章；</w:t>
            </w:r>
          </w:p>
        </w:tc>
        <w:tc>
          <w:tcPr>
            <w:tcW w:w="582" w:type="dxa"/>
            <w:tcBorders>
              <w:top w:val="nil"/>
              <w:left w:val="nil"/>
              <w:bottom w:val="single" w:color="000000" w:sz="4" w:space="0"/>
              <w:right w:val="single" w:color="000000" w:sz="4" w:space="0"/>
            </w:tcBorders>
            <w:vAlign w:val="center"/>
          </w:tcPr>
          <w:p w14:paraId="76CB11FE">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70" w:type="dxa"/>
            <w:tcBorders>
              <w:top w:val="nil"/>
              <w:left w:val="nil"/>
              <w:bottom w:val="single" w:color="000000" w:sz="4" w:space="0"/>
              <w:right w:val="single" w:color="000000" w:sz="4" w:space="0"/>
            </w:tcBorders>
            <w:vAlign w:val="center"/>
          </w:tcPr>
          <w:p w14:paraId="0E73D8B4">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60" w:type="dxa"/>
            <w:tcBorders>
              <w:top w:val="nil"/>
              <w:left w:val="nil"/>
              <w:bottom w:val="single" w:color="000000" w:sz="4" w:space="0"/>
              <w:right w:val="single" w:color="000000" w:sz="4" w:space="0"/>
            </w:tcBorders>
            <w:vAlign w:val="center"/>
          </w:tcPr>
          <w:p w14:paraId="7498662C">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32" w:type="dxa"/>
            <w:tcBorders>
              <w:top w:val="nil"/>
              <w:left w:val="nil"/>
              <w:bottom w:val="single" w:color="000000" w:sz="4" w:space="0"/>
              <w:right w:val="single" w:color="000000" w:sz="4" w:space="0"/>
            </w:tcBorders>
            <w:vAlign w:val="center"/>
          </w:tcPr>
          <w:p w14:paraId="0562AA62">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r>
      <w:tr w14:paraId="31F28128">
        <w:tblPrEx>
          <w:tblCellMar>
            <w:top w:w="0" w:type="dxa"/>
            <w:left w:w="108" w:type="dxa"/>
            <w:bottom w:w="0" w:type="dxa"/>
            <w:right w:w="108" w:type="dxa"/>
          </w:tblCellMar>
        </w:tblPrEx>
        <w:trPr>
          <w:trHeight w:val="840" w:hRule="atLeast"/>
          <w:jc w:val="center"/>
        </w:trPr>
        <w:tc>
          <w:tcPr>
            <w:tcW w:w="640" w:type="dxa"/>
            <w:tcBorders>
              <w:top w:val="nil"/>
              <w:left w:val="single" w:color="000000" w:sz="4" w:space="0"/>
              <w:bottom w:val="single" w:color="000000" w:sz="4" w:space="0"/>
              <w:right w:val="single" w:color="000000" w:sz="4" w:space="0"/>
            </w:tcBorders>
            <w:vAlign w:val="center"/>
          </w:tcPr>
          <w:p w14:paraId="2941C6E4">
            <w:pPr>
              <w:keepNext w:val="0"/>
              <w:keepLines w:val="0"/>
              <w:widowControl/>
              <w:suppressLineNumbers w:val="0"/>
              <w:spacing w:before="0" w:beforeAutospacing="0" w:after="0" w:afterAutospacing="0" w:line="360" w:lineRule="auto"/>
              <w:ind w:left="0" w:right="0"/>
              <w:jc w:val="center"/>
              <w:rPr>
                <w:rFonts w:hint="default" w:ascii="仿宋" w:hAnsi="仿宋" w:eastAsia="仿宋"/>
                <w:color w:val="000000"/>
                <w:kern w:val="0"/>
                <w:szCs w:val="21"/>
                <w:highlight w:val="none"/>
              </w:rPr>
            </w:pPr>
            <w:r>
              <w:rPr>
                <w:rFonts w:hint="eastAsia" w:ascii="仿宋" w:hAnsi="仿宋" w:eastAsia="仿宋"/>
                <w:color w:val="000000"/>
                <w:kern w:val="0"/>
                <w:szCs w:val="21"/>
                <w:highlight w:val="none"/>
              </w:rPr>
              <w:t>3</w:t>
            </w:r>
          </w:p>
        </w:tc>
        <w:tc>
          <w:tcPr>
            <w:tcW w:w="6975" w:type="dxa"/>
            <w:tcBorders>
              <w:top w:val="nil"/>
              <w:left w:val="nil"/>
              <w:bottom w:val="single" w:color="000000" w:sz="4" w:space="0"/>
              <w:right w:val="single" w:color="000000" w:sz="4" w:space="0"/>
            </w:tcBorders>
            <w:vAlign w:val="center"/>
          </w:tcPr>
          <w:p w14:paraId="1D99ACF3">
            <w:pPr>
              <w:pStyle w:val="17"/>
              <w:rPr>
                <w:rFonts w:hint="default" w:ascii="仿宋" w:hAnsi="仿宋" w:eastAsia="仿宋"/>
                <w:kern w:val="0"/>
                <w:sz w:val="24"/>
                <w:szCs w:val="24"/>
                <w:highlight w:val="none"/>
              </w:rPr>
            </w:pPr>
            <w:r>
              <w:rPr>
                <w:rFonts w:hint="eastAsia" w:ascii="仿宋" w:hAnsi="仿宋" w:eastAsia="仿宋"/>
                <w:kern w:val="0"/>
                <w:sz w:val="24"/>
                <w:szCs w:val="24"/>
                <w:highlight w:val="none"/>
                <w:lang w:eastAsia="zh-CN"/>
              </w:rPr>
              <w:t>近两年任意一年完整的</w:t>
            </w:r>
            <w:r>
              <w:rPr>
                <w:rFonts w:hint="eastAsia" w:ascii="仿宋" w:hAnsi="仿宋" w:eastAsia="仿宋"/>
                <w:kern w:val="0"/>
                <w:sz w:val="24"/>
                <w:szCs w:val="24"/>
                <w:highlight w:val="none"/>
              </w:rPr>
              <w:t>财务审计报告</w:t>
            </w:r>
            <w:r>
              <w:rPr>
                <w:rFonts w:hint="eastAsia" w:ascii="仿宋" w:hAnsi="仿宋" w:eastAsia="仿宋" w:cs="仿宋"/>
                <w:bCs/>
                <w:iCs/>
                <w:sz w:val="24"/>
                <w:szCs w:val="24"/>
                <w:highlight w:val="none"/>
              </w:rPr>
              <w:t>（</w:t>
            </w:r>
            <w:r>
              <w:rPr>
                <w:rFonts w:hint="eastAsia" w:ascii="仿宋" w:hAnsi="仿宋" w:eastAsia="仿宋" w:cs="仿宋"/>
                <w:bCs/>
                <w:iCs/>
                <w:sz w:val="24"/>
                <w:szCs w:val="24"/>
                <w:highlight w:val="none"/>
                <w:lang w:val="en-US" w:eastAsia="zh-CN"/>
              </w:rPr>
              <w:t>会计事务所2024年或2025年任意一年度财务审计报告，注册成立未满一年的</w:t>
            </w:r>
            <w:r>
              <w:rPr>
                <w:rFonts w:hint="eastAsia" w:ascii="仿宋" w:hAnsi="仿宋" w:eastAsia="仿宋" w:cs="仿宋"/>
                <w:bCs/>
                <w:iCs/>
                <w:sz w:val="24"/>
                <w:szCs w:val="24"/>
                <w:highlight w:val="none"/>
              </w:rPr>
              <w:t>新公司提供</w:t>
            </w:r>
            <w:r>
              <w:rPr>
                <w:rFonts w:hint="eastAsia" w:ascii="仿宋" w:hAnsi="仿宋" w:eastAsia="仿宋" w:cs="仿宋"/>
                <w:bCs/>
                <w:iCs/>
                <w:sz w:val="24"/>
                <w:szCs w:val="24"/>
                <w:highlight w:val="none"/>
                <w:lang w:val="en-US" w:eastAsia="zh-CN"/>
              </w:rPr>
              <w:t>近</w:t>
            </w:r>
            <w:r>
              <w:rPr>
                <w:rFonts w:hint="eastAsia" w:ascii="仿宋" w:hAnsi="仿宋" w:eastAsia="仿宋" w:cs="仿宋"/>
                <w:bCs/>
                <w:iCs/>
                <w:sz w:val="24"/>
                <w:szCs w:val="24"/>
                <w:highlight w:val="none"/>
              </w:rPr>
              <w:t>三个月内任意一个月</w:t>
            </w:r>
            <w:r>
              <w:rPr>
                <w:rFonts w:hint="eastAsia" w:ascii="仿宋" w:hAnsi="仿宋" w:eastAsia="仿宋" w:cs="仿宋"/>
                <w:bCs/>
                <w:iCs/>
                <w:sz w:val="24"/>
                <w:szCs w:val="24"/>
                <w:highlight w:val="none"/>
                <w:lang w:val="en-US" w:eastAsia="zh-CN"/>
              </w:rPr>
              <w:t>的</w:t>
            </w:r>
            <w:r>
              <w:rPr>
                <w:rFonts w:hint="eastAsia" w:ascii="仿宋" w:hAnsi="仿宋" w:eastAsia="仿宋" w:cs="仿宋"/>
                <w:bCs/>
                <w:iCs/>
                <w:sz w:val="24"/>
                <w:szCs w:val="24"/>
                <w:highlight w:val="none"/>
              </w:rPr>
              <w:t>银行资信证明）</w:t>
            </w:r>
            <w:r>
              <w:rPr>
                <w:rFonts w:hint="eastAsia" w:ascii="仿宋" w:hAnsi="仿宋" w:eastAsia="仿宋" w:cs="仿宋"/>
                <w:color w:val="auto"/>
                <w:kern w:val="2"/>
                <w:sz w:val="24"/>
                <w:szCs w:val="24"/>
                <w:highlight w:val="none"/>
                <w:lang w:eastAsia="zh-CN"/>
              </w:rPr>
              <w:t>；</w:t>
            </w:r>
          </w:p>
        </w:tc>
        <w:tc>
          <w:tcPr>
            <w:tcW w:w="582" w:type="dxa"/>
            <w:tcBorders>
              <w:top w:val="nil"/>
              <w:left w:val="nil"/>
              <w:bottom w:val="single" w:color="000000" w:sz="4" w:space="0"/>
              <w:right w:val="single" w:color="000000" w:sz="4" w:space="0"/>
            </w:tcBorders>
            <w:vAlign w:val="center"/>
          </w:tcPr>
          <w:p w14:paraId="2C68408F">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70" w:type="dxa"/>
            <w:tcBorders>
              <w:top w:val="nil"/>
              <w:left w:val="nil"/>
              <w:bottom w:val="single" w:color="000000" w:sz="4" w:space="0"/>
              <w:right w:val="single" w:color="000000" w:sz="4" w:space="0"/>
            </w:tcBorders>
            <w:vAlign w:val="center"/>
          </w:tcPr>
          <w:p w14:paraId="3A190DF4">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60" w:type="dxa"/>
            <w:tcBorders>
              <w:top w:val="nil"/>
              <w:left w:val="nil"/>
              <w:bottom w:val="single" w:color="000000" w:sz="4" w:space="0"/>
              <w:right w:val="single" w:color="000000" w:sz="4" w:space="0"/>
            </w:tcBorders>
            <w:vAlign w:val="center"/>
          </w:tcPr>
          <w:p w14:paraId="02BB5A04">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32" w:type="dxa"/>
            <w:tcBorders>
              <w:top w:val="nil"/>
              <w:left w:val="nil"/>
              <w:bottom w:val="single" w:color="000000" w:sz="4" w:space="0"/>
              <w:right w:val="single" w:color="000000" w:sz="4" w:space="0"/>
            </w:tcBorders>
            <w:vAlign w:val="center"/>
          </w:tcPr>
          <w:p w14:paraId="09E695D1">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r>
      <w:tr w14:paraId="059C22A0">
        <w:tblPrEx>
          <w:tblCellMar>
            <w:top w:w="0" w:type="dxa"/>
            <w:left w:w="108" w:type="dxa"/>
            <w:bottom w:w="0" w:type="dxa"/>
            <w:right w:w="108" w:type="dxa"/>
          </w:tblCellMar>
        </w:tblPrEx>
        <w:trPr>
          <w:trHeight w:val="721" w:hRule="atLeast"/>
          <w:jc w:val="center"/>
        </w:trPr>
        <w:tc>
          <w:tcPr>
            <w:tcW w:w="640" w:type="dxa"/>
            <w:tcBorders>
              <w:top w:val="nil"/>
              <w:left w:val="single" w:color="000000" w:sz="4" w:space="0"/>
              <w:bottom w:val="single" w:color="000000" w:sz="4" w:space="0"/>
              <w:right w:val="single" w:color="000000" w:sz="4" w:space="0"/>
            </w:tcBorders>
            <w:vAlign w:val="center"/>
          </w:tcPr>
          <w:p w14:paraId="70ED89BD">
            <w:pPr>
              <w:keepNext w:val="0"/>
              <w:keepLines w:val="0"/>
              <w:widowControl/>
              <w:suppressLineNumbers w:val="0"/>
              <w:spacing w:before="0" w:beforeAutospacing="0" w:after="0" w:afterAutospacing="0" w:line="360" w:lineRule="auto"/>
              <w:ind w:left="0" w:right="0"/>
              <w:jc w:val="center"/>
              <w:rPr>
                <w:rFonts w:hint="default" w:ascii="仿宋" w:hAnsi="仿宋" w:eastAsia="仿宋"/>
                <w:color w:val="000000"/>
                <w:kern w:val="0"/>
                <w:szCs w:val="21"/>
                <w:highlight w:val="none"/>
              </w:rPr>
            </w:pPr>
            <w:r>
              <w:rPr>
                <w:rFonts w:hint="eastAsia" w:ascii="仿宋" w:hAnsi="仿宋" w:eastAsia="仿宋"/>
                <w:color w:val="000000"/>
                <w:kern w:val="0"/>
                <w:szCs w:val="21"/>
                <w:highlight w:val="none"/>
              </w:rPr>
              <w:t>4</w:t>
            </w:r>
          </w:p>
        </w:tc>
        <w:tc>
          <w:tcPr>
            <w:tcW w:w="6975" w:type="dxa"/>
            <w:tcBorders>
              <w:top w:val="nil"/>
              <w:left w:val="nil"/>
              <w:bottom w:val="single" w:color="000000" w:sz="4" w:space="0"/>
              <w:right w:val="single" w:color="000000" w:sz="4" w:space="0"/>
            </w:tcBorders>
            <w:vAlign w:val="center"/>
          </w:tcPr>
          <w:p w14:paraId="292A6746">
            <w:pPr>
              <w:pStyle w:val="17"/>
              <w:rPr>
                <w:rFonts w:hint="default" w:ascii="仿宋" w:hAnsi="仿宋" w:eastAsia="仿宋"/>
                <w:kern w:val="0"/>
                <w:sz w:val="24"/>
                <w:szCs w:val="24"/>
                <w:highlight w:val="none"/>
              </w:rPr>
            </w:pPr>
            <w:r>
              <w:rPr>
                <w:rFonts w:hint="eastAsia" w:ascii="仿宋" w:hAnsi="仿宋" w:eastAsia="仿宋" w:cs="仿宋"/>
                <w:bCs/>
                <w:iCs/>
                <w:sz w:val="24"/>
                <w:szCs w:val="24"/>
                <w:highlight w:val="none"/>
              </w:rPr>
              <w:t>投标企业依法缴纳近</w:t>
            </w:r>
            <w:r>
              <w:rPr>
                <w:rFonts w:hint="eastAsia" w:ascii="仿宋" w:hAnsi="仿宋" w:eastAsia="仿宋" w:cs="仿宋"/>
                <w:bCs/>
                <w:iCs/>
                <w:sz w:val="24"/>
                <w:szCs w:val="24"/>
                <w:highlight w:val="none"/>
                <w:lang w:val="en-US" w:eastAsia="zh-CN"/>
              </w:rPr>
              <w:t>3</w:t>
            </w:r>
            <w:r>
              <w:rPr>
                <w:rFonts w:hint="eastAsia" w:ascii="仿宋" w:hAnsi="仿宋" w:eastAsia="仿宋" w:cs="仿宋"/>
                <w:bCs/>
                <w:iCs/>
                <w:sz w:val="24"/>
                <w:szCs w:val="24"/>
                <w:highlight w:val="none"/>
              </w:rPr>
              <w:t>个月任意一个月社会保险的凭据</w:t>
            </w:r>
            <w:r>
              <w:rPr>
                <w:rFonts w:hint="eastAsia" w:ascii="仿宋" w:hAnsi="仿宋" w:eastAsia="仿宋" w:cs="仿宋"/>
                <w:color w:val="auto"/>
                <w:kern w:val="2"/>
                <w:sz w:val="24"/>
                <w:szCs w:val="24"/>
                <w:highlight w:val="none"/>
                <w:lang w:eastAsia="zh-CN"/>
              </w:rPr>
              <w:t>；</w:t>
            </w:r>
          </w:p>
        </w:tc>
        <w:tc>
          <w:tcPr>
            <w:tcW w:w="582" w:type="dxa"/>
            <w:tcBorders>
              <w:top w:val="nil"/>
              <w:left w:val="nil"/>
              <w:bottom w:val="single" w:color="000000" w:sz="4" w:space="0"/>
              <w:right w:val="single" w:color="000000" w:sz="4" w:space="0"/>
            </w:tcBorders>
            <w:vAlign w:val="center"/>
          </w:tcPr>
          <w:p w14:paraId="3DD5BBF7">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70" w:type="dxa"/>
            <w:tcBorders>
              <w:top w:val="nil"/>
              <w:left w:val="nil"/>
              <w:bottom w:val="single" w:color="000000" w:sz="4" w:space="0"/>
              <w:right w:val="single" w:color="000000" w:sz="4" w:space="0"/>
            </w:tcBorders>
            <w:vAlign w:val="center"/>
          </w:tcPr>
          <w:p w14:paraId="41CFDD59">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60" w:type="dxa"/>
            <w:tcBorders>
              <w:top w:val="nil"/>
              <w:left w:val="nil"/>
              <w:bottom w:val="single" w:color="000000" w:sz="4" w:space="0"/>
              <w:right w:val="single" w:color="000000" w:sz="4" w:space="0"/>
            </w:tcBorders>
            <w:vAlign w:val="center"/>
          </w:tcPr>
          <w:p w14:paraId="44258239">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32" w:type="dxa"/>
            <w:tcBorders>
              <w:top w:val="nil"/>
              <w:left w:val="nil"/>
              <w:bottom w:val="single" w:color="000000" w:sz="4" w:space="0"/>
              <w:right w:val="single" w:color="000000" w:sz="4" w:space="0"/>
            </w:tcBorders>
            <w:vAlign w:val="center"/>
          </w:tcPr>
          <w:p w14:paraId="13B844C6">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r>
      <w:tr w14:paraId="560B660E">
        <w:tblPrEx>
          <w:tblCellMar>
            <w:top w:w="0" w:type="dxa"/>
            <w:left w:w="108" w:type="dxa"/>
            <w:bottom w:w="0" w:type="dxa"/>
            <w:right w:w="108" w:type="dxa"/>
          </w:tblCellMar>
        </w:tblPrEx>
        <w:trPr>
          <w:trHeight w:val="408" w:hRule="atLeast"/>
          <w:jc w:val="center"/>
        </w:trPr>
        <w:tc>
          <w:tcPr>
            <w:tcW w:w="640" w:type="dxa"/>
            <w:tcBorders>
              <w:top w:val="nil"/>
              <w:left w:val="single" w:color="000000" w:sz="4" w:space="0"/>
              <w:bottom w:val="single" w:color="000000" w:sz="4" w:space="0"/>
              <w:right w:val="single" w:color="000000" w:sz="4" w:space="0"/>
            </w:tcBorders>
            <w:vAlign w:val="center"/>
          </w:tcPr>
          <w:p w14:paraId="55DBB047">
            <w:pPr>
              <w:keepNext w:val="0"/>
              <w:keepLines w:val="0"/>
              <w:widowControl/>
              <w:suppressLineNumbers w:val="0"/>
              <w:spacing w:before="0" w:beforeAutospacing="0" w:after="0" w:afterAutospacing="0" w:line="360" w:lineRule="auto"/>
              <w:ind w:left="0" w:right="0"/>
              <w:jc w:val="center"/>
              <w:rPr>
                <w:rFonts w:hint="default" w:ascii="仿宋" w:hAnsi="仿宋" w:eastAsia="仿宋"/>
                <w:color w:val="000000"/>
                <w:kern w:val="0"/>
                <w:szCs w:val="21"/>
                <w:highlight w:val="none"/>
              </w:rPr>
            </w:pPr>
            <w:r>
              <w:rPr>
                <w:rFonts w:hint="eastAsia" w:ascii="仿宋" w:hAnsi="仿宋" w:eastAsia="仿宋"/>
                <w:color w:val="000000"/>
                <w:kern w:val="0"/>
                <w:szCs w:val="21"/>
                <w:highlight w:val="none"/>
              </w:rPr>
              <w:t>5</w:t>
            </w:r>
          </w:p>
        </w:tc>
        <w:tc>
          <w:tcPr>
            <w:tcW w:w="6975" w:type="dxa"/>
            <w:tcBorders>
              <w:top w:val="nil"/>
              <w:left w:val="nil"/>
              <w:bottom w:val="single" w:color="000000" w:sz="4" w:space="0"/>
              <w:right w:val="single" w:color="000000" w:sz="4" w:space="0"/>
            </w:tcBorders>
            <w:vAlign w:val="center"/>
          </w:tcPr>
          <w:p w14:paraId="5739D96C">
            <w:pPr>
              <w:keepNext w:val="0"/>
              <w:keepLines w:val="0"/>
              <w:widowControl/>
              <w:suppressLineNumbers w:val="0"/>
              <w:spacing w:before="0" w:beforeAutospacing="0" w:after="0" w:afterAutospacing="0" w:line="360" w:lineRule="auto"/>
              <w:ind w:left="0" w:right="0"/>
              <w:jc w:val="left"/>
              <w:rPr>
                <w:rFonts w:hint="default" w:ascii="仿宋" w:hAnsi="仿宋" w:eastAsia="仿宋"/>
                <w:kern w:val="0"/>
                <w:sz w:val="24"/>
                <w:szCs w:val="24"/>
                <w:highlight w:val="none"/>
              </w:rPr>
            </w:pPr>
            <w:r>
              <w:rPr>
                <w:rFonts w:hint="eastAsia" w:ascii="仿宋" w:hAnsi="仿宋" w:eastAsia="仿宋" w:cs="仿宋"/>
                <w:bCs/>
                <w:iCs/>
                <w:sz w:val="24"/>
                <w:szCs w:val="24"/>
                <w:highlight w:val="none"/>
              </w:rPr>
              <w:t>投标企业提供税务部门出具的近</w:t>
            </w:r>
            <w:r>
              <w:rPr>
                <w:rFonts w:hint="eastAsia" w:ascii="仿宋" w:hAnsi="仿宋" w:eastAsia="仿宋" w:cs="仿宋"/>
                <w:bCs/>
                <w:iCs/>
                <w:sz w:val="24"/>
                <w:szCs w:val="24"/>
                <w:highlight w:val="none"/>
                <w:lang w:val="en-US" w:eastAsia="zh-CN"/>
              </w:rPr>
              <w:t>3</w:t>
            </w:r>
            <w:r>
              <w:rPr>
                <w:rFonts w:hint="eastAsia" w:ascii="仿宋" w:hAnsi="仿宋" w:eastAsia="仿宋" w:cs="仿宋"/>
                <w:bCs/>
                <w:iCs/>
                <w:sz w:val="24"/>
                <w:szCs w:val="24"/>
                <w:highlight w:val="none"/>
              </w:rPr>
              <w:t>个月任意一个月的完税证明</w:t>
            </w:r>
            <w:r>
              <w:rPr>
                <w:rFonts w:hint="eastAsia" w:ascii="仿宋" w:hAnsi="仿宋" w:eastAsia="仿宋" w:cs="仿宋"/>
                <w:color w:val="auto"/>
                <w:sz w:val="24"/>
                <w:szCs w:val="24"/>
                <w:highlight w:val="none"/>
                <w:lang w:eastAsia="zh-CN"/>
              </w:rPr>
              <w:t>；</w:t>
            </w:r>
          </w:p>
        </w:tc>
        <w:tc>
          <w:tcPr>
            <w:tcW w:w="582" w:type="dxa"/>
            <w:tcBorders>
              <w:top w:val="nil"/>
              <w:left w:val="nil"/>
              <w:bottom w:val="single" w:color="000000" w:sz="4" w:space="0"/>
              <w:right w:val="single" w:color="000000" w:sz="4" w:space="0"/>
            </w:tcBorders>
            <w:vAlign w:val="center"/>
          </w:tcPr>
          <w:p w14:paraId="4C3DB094">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70" w:type="dxa"/>
            <w:tcBorders>
              <w:top w:val="nil"/>
              <w:left w:val="nil"/>
              <w:bottom w:val="single" w:color="000000" w:sz="4" w:space="0"/>
              <w:right w:val="single" w:color="000000" w:sz="4" w:space="0"/>
            </w:tcBorders>
            <w:vAlign w:val="center"/>
          </w:tcPr>
          <w:p w14:paraId="09ED2609">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60" w:type="dxa"/>
            <w:tcBorders>
              <w:top w:val="nil"/>
              <w:left w:val="nil"/>
              <w:bottom w:val="single" w:color="000000" w:sz="4" w:space="0"/>
              <w:right w:val="single" w:color="000000" w:sz="4" w:space="0"/>
            </w:tcBorders>
            <w:vAlign w:val="center"/>
          </w:tcPr>
          <w:p w14:paraId="68951EC8">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32" w:type="dxa"/>
            <w:tcBorders>
              <w:top w:val="nil"/>
              <w:left w:val="nil"/>
              <w:bottom w:val="single" w:color="000000" w:sz="4" w:space="0"/>
              <w:right w:val="single" w:color="000000" w:sz="4" w:space="0"/>
            </w:tcBorders>
            <w:vAlign w:val="center"/>
          </w:tcPr>
          <w:p w14:paraId="0CBC5E31">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r>
      <w:tr w14:paraId="18429859">
        <w:tblPrEx>
          <w:tblCellMar>
            <w:top w:w="0" w:type="dxa"/>
            <w:left w:w="108" w:type="dxa"/>
            <w:bottom w:w="0" w:type="dxa"/>
            <w:right w:w="108" w:type="dxa"/>
          </w:tblCellMar>
        </w:tblPrEx>
        <w:trPr>
          <w:trHeight w:val="840" w:hRule="atLeast"/>
          <w:jc w:val="center"/>
        </w:trPr>
        <w:tc>
          <w:tcPr>
            <w:tcW w:w="640" w:type="dxa"/>
            <w:tcBorders>
              <w:top w:val="nil"/>
              <w:left w:val="single" w:color="000000" w:sz="4" w:space="0"/>
              <w:bottom w:val="single" w:color="000000" w:sz="4" w:space="0"/>
              <w:right w:val="single" w:color="000000" w:sz="4" w:space="0"/>
            </w:tcBorders>
            <w:vAlign w:val="center"/>
          </w:tcPr>
          <w:p w14:paraId="7197B996">
            <w:pPr>
              <w:keepNext w:val="0"/>
              <w:keepLines w:val="0"/>
              <w:widowControl/>
              <w:suppressLineNumbers w:val="0"/>
              <w:spacing w:before="0" w:beforeAutospacing="0" w:after="0" w:afterAutospacing="0" w:line="360" w:lineRule="auto"/>
              <w:ind w:left="0" w:right="0"/>
              <w:jc w:val="center"/>
              <w:rPr>
                <w:rFonts w:hint="default" w:ascii="仿宋" w:hAnsi="仿宋" w:eastAsia="仿宋"/>
                <w:color w:val="000000"/>
                <w:kern w:val="0"/>
                <w:szCs w:val="21"/>
                <w:highlight w:val="none"/>
              </w:rPr>
            </w:pPr>
            <w:r>
              <w:rPr>
                <w:rFonts w:hint="eastAsia" w:ascii="仿宋" w:hAnsi="仿宋" w:eastAsia="仿宋"/>
                <w:color w:val="000000"/>
                <w:kern w:val="0"/>
                <w:szCs w:val="21"/>
                <w:highlight w:val="none"/>
              </w:rPr>
              <w:t>6</w:t>
            </w:r>
          </w:p>
        </w:tc>
        <w:tc>
          <w:tcPr>
            <w:tcW w:w="6975" w:type="dxa"/>
            <w:tcBorders>
              <w:top w:val="nil"/>
              <w:left w:val="nil"/>
              <w:bottom w:val="single" w:color="000000" w:sz="4" w:space="0"/>
              <w:right w:val="single" w:color="000000" w:sz="4" w:space="0"/>
            </w:tcBorders>
            <w:vAlign w:val="center"/>
          </w:tcPr>
          <w:p w14:paraId="7CAAB54B">
            <w:pPr>
              <w:keepNext w:val="0"/>
              <w:keepLines w:val="0"/>
              <w:widowControl/>
              <w:suppressLineNumbers w:val="0"/>
              <w:spacing w:before="0" w:beforeAutospacing="0" w:after="0" w:afterAutospacing="0" w:line="360" w:lineRule="auto"/>
              <w:ind w:left="0" w:right="0"/>
              <w:jc w:val="left"/>
              <w:rPr>
                <w:rFonts w:hint="default" w:ascii="仿宋" w:hAnsi="仿宋" w:eastAsia="仿宋"/>
                <w:sz w:val="24"/>
                <w:szCs w:val="24"/>
                <w:highlight w:val="none"/>
              </w:rPr>
            </w:pPr>
            <w:r>
              <w:rPr>
                <w:rFonts w:hint="eastAsia" w:ascii="仿宋" w:hAnsi="仿宋" w:eastAsia="仿宋"/>
                <w:kern w:val="0"/>
                <w:sz w:val="24"/>
                <w:szCs w:val="24"/>
                <w:highlight w:val="none"/>
              </w:rPr>
              <w:t>提</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lang w:val="en-US" w:eastAsia="zh-CN"/>
              </w:rPr>
              <w:t>企业</w:t>
            </w:r>
            <w:r>
              <w:rPr>
                <w:rFonts w:hint="eastAsia" w:ascii="仿宋" w:hAnsi="仿宋" w:eastAsia="仿宋" w:cs="仿宋"/>
                <w:color w:val="auto"/>
                <w:sz w:val="24"/>
                <w:szCs w:val="24"/>
                <w:highlight w:val="none"/>
                <w:lang w:eastAsia="zh-CN"/>
              </w:rPr>
              <w:t>按招标文件要求缴纳投标保证金的缴款凭证或金融机构、担保机构出具的保函；</w:t>
            </w:r>
          </w:p>
        </w:tc>
        <w:tc>
          <w:tcPr>
            <w:tcW w:w="582" w:type="dxa"/>
            <w:tcBorders>
              <w:top w:val="nil"/>
              <w:left w:val="nil"/>
              <w:bottom w:val="single" w:color="000000" w:sz="4" w:space="0"/>
              <w:right w:val="single" w:color="000000" w:sz="4" w:space="0"/>
            </w:tcBorders>
            <w:vAlign w:val="center"/>
          </w:tcPr>
          <w:p w14:paraId="0B0FB138">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70" w:type="dxa"/>
            <w:tcBorders>
              <w:top w:val="nil"/>
              <w:left w:val="nil"/>
              <w:bottom w:val="single" w:color="000000" w:sz="4" w:space="0"/>
              <w:right w:val="single" w:color="000000" w:sz="4" w:space="0"/>
            </w:tcBorders>
            <w:vAlign w:val="center"/>
          </w:tcPr>
          <w:p w14:paraId="619C0380">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60" w:type="dxa"/>
            <w:tcBorders>
              <w:top w:val="nil"/>
              <w:left w:val="nil"/>
              <w:bottom w:val="single" w:color="000000" w:sz="4" w:space="0"/>
              <w:right w:val="single" w:color="000000" w:sz="4" w:space="0"/>
            </w:tcBorders>
            <w:vAlign w:val="center"/>
          </w:tcPr>
          <w:p w14:paraId="656472E2">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32" w:type="dxa"/>
            <w:tcBorders>
              <w:top w:val="nil"/>
              <w:left w:val="nil"/>
              <w:bottom w:val="single" w:color="000000" w:sz="4" w:space="0"/>
              <w:right w:val="single" w:color="000000" w:sz="4" w:space="0"/>
            </w:tcBorders>
            <w:vAlign w:val="center"/>
          </w:tcPr>
          <w:p w14:paraId="4550D2A5">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r>
      <w:tr w14:paraId="0C8DF26C">
        <w:tblPrEx>
          <w:tblCellMar>
            <w:top w:w="0" w:type="dxa"/>
            <w:left w:w="108" w:type="dxa"/>
            <w:bottom w:w="0" w:type="dxa"/>
            <w:right w:w="108" w:type="dxa"/>
          </w:tblCellMar>
        </w:tblPrEx>
        <w:trPr>
          <w:trHeight w:val="600" w:hRule="atLeast"/>
          <w:jc w:val="center"/>
        </w:trPr>
        <w:tc>
          <w:tcPr>
            <w:tcW w:w="640" w:type="dxa"/>
            <w:tcBorders>
              <w:top w:val="nil"/>
              <w:left w:val="single" w:color="000000" w:sz="4" w:space="0"/>
              <w:bottom w:val="single" w:color="000000" w:sz="4" w:space="0"/>
              <w:right w:val="single" w:color="000000" w:sz="4" w:space="0"/>
            </w:tcBorders>
            <w:vAlign w:val="center"/>
          </w:tcPr>
          <w:p w14:paraId="356B4565">
            <w:pPr>
              <w:keepNext w:val="0"/>
              <w:keepLines w:val="0"/>
              <w:widowControl/>
              <w:suppressLineNumbers w:val="0"/>
              <w:spacing w:before="0" w:beforeAutospacing="0" w:after="0" w:afterAutospacing="0" w:line="360" w:lineRule="auto"/>
              <w:ind w:left="0" w:right="0"/>
              <w:jc w:val="center"/>
              <w:rPr>
                <w:rFonts w:hint="eastAsia" w:ascii="仿宋" w:hAnsi="仿宋" w:eastAsia="仿宋"/>
                <w:color w:val="000000"/>
                <w:kern w:val="0"/>
                <w:szCs w:val="21"/>
                <w:highlight w:val="none"/>
                <w:lang w:eastAsia="zh-CN"/>
              </w:rPr>
            </w:pPr>
            <w:r>
              <w:rPr>
                <w:rFonts w:hint="eastAsia" w:ascii="仿宋" w:hAnsi="仿宋" w:eastAsia="仿宋"/>
                <w:color w:val="000000"/>
                <w:kern w:val="0"/>
                <w:szCs w:val="21"/>
                <w:highlight w:val="none"/>
                <w:lang w:val="en-US" w:eastAsia="zh-CN"/>
              </w:rPr>
              <w:t>7</w:t>
            </w:r>
          </w:p>
        </w:tc>
        <w:tc>
          <w:tcPr>
            <w:tcW w:w="6975" w:type="dxa"/>
            <w:tcBorders>
              <w:top w:val="nil"/>
              <w:left w:val="nil"/>
              <w:bottom w:val="single" w:color="000000" w:sz="4" w:space="0"/>
              <w:right w:val="single" w:color="000000" w:sz="4" w:space="0"/>
            </w:tcBorders>
            <w:vAlign w:val="center"/>
          </w:tcPr>
          <w:p w14:paraId="72771E4E">
            <w:pPr>
              <w:keepNext w:val="0"/>
              <w:keepLines w:val="0"/>
              <w:widowControl/>
              <w:suppressLineNumbers w:val="0"/>
              <w:spacing w:before="0" w:beforeAutospacing="0" w:after="0" w:afterAutospacing="0" w:line="360" w:lineRule="auto"/>
              <w:ind w:left="0" w:right="0"/>
              <w:jc w:val="left"/>
              <w:rPr>
                <w:rFonts w:hint="default" w:ascii="仿宋" w:hAnsi="仿宋" w:eastAsia="仿宋"/>
                <w:kern w:val="0"/>
                <w:sz w:val="24"/>
                <w:szCs w:val="24"/>
                <w:highlight w:val="none"/>
              </w:rPr>
            </w:pPr>
            <w:r>
              <w:rPr>
                <w:rFonts w:hint="eastAsia" w:ascii="仿宋" w:hAnsi="仿宋" w:eastAsia="仿宋" w:cs="仿宋"/>
                <w:bCs/>
                <w:iCs/>
                <w:sz w:val="24"/>
                <w:szCs w:val="24"/>
                <w:highlight w:val="none"/>
              </w:rPr>
              <w:t>参与政府采购活动供应商在前3年内未被“信用中国”网站（www.creditchina.gov.cn）、“中国政府采购网”(www.ccgp.gov.cn)列入失信被执行人、</w:t>
            </w:r>
            <w:r>
              <w:rPr>
                <w:rFonts w:hint="eastAsia" w:ascii="仿宋" w:hAnsi="仿宋" w:eastAsia="仿宋" w:cs="仿宋"/>
                <w:bCs/>
                <w:iCs/>
                <w:sz w:val="24"/>
                <w:szCs w:val="24"/>
                <w:highlight w:val="none"/>
                <w:lang w:eastAsia="zh-CN"/>
              </w:rPr>
              <w:t>重大税收违法失信主体</w:t>
            </w:r>
            <w:r>
              <w:rPr>
                <w:rFonts w:hint="eastAsia" w:ascii="仿宋" w:hAnsi="仿宋" w:eastAsia="仿宋" w:cs="仿宋"/>
                <w:bCs/>
                <w:iCs/>
                <w:sz w:val="24"/>
                <w:szCs w:val="24"/>
                <w:highlight w:val="none"/>
              </w:rPr>
              <w:t>、政府采购严重失信行为记录名单（提供网页截图）；（以招标代理或招标人查询为准）</w:t>
            </w:r>
          </w:p>
        </w:tc>
        <w:tc>
          <w:tcPr>
            <w:tcW w:w="582" w:type="dxa"/>
            <w:tcBorders>
              <w:top w:val="nil"/>
              <w:left w:val="nil"/>
              <w:bottom w:val="single" w:color="000000" w:sz="4" w:space="0"/>
              <w:right w:val="single" w:color="000000" w:sz="4" w:space="0"/>
            </w:tcBorders>
            <w:vAlign w:val="center"/>
          </w:tcPr>
          <w:p w14:paraId="1EFE4B4B">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70" w:type="dxa"/>
            <w:tcBorders>
              <w:top w:val="nil"/>
              <w:left w:val="nil"/>
              <w:bottom w:val="single" w:color="000000" w:sz="4" w:space="0"/>
              <w:right w:val="single" w:color="000000" w:sz="4" w:space="0"/>
            </w:tcBorders>
            <w:vAlign w:val="center"/>
          </w:tcPr>
          <w:p w14:paraId="10DF7B7E">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60" w:type="dxa"/>
            <w:tcBorders>
              <w:top w:val="nil"/>
              <w:left w:val="nil"/>
              <w:bottom w:val="single" w:color="000000" w:sz="4" w:space="0"/>
              <w:right w:val="single" w:color="000000" w:sz="4" w:space="0"/>
            </w:tcBorders>
            <w:vAlign w:val="center"/>
          </w:tcPr>
          <w:p w14:paraId="1E4C0CB2">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32" w:type="dxa"/>
            <w:tcBorders>
              <w:top w:val="nil"/>
              <w:left w:val="nil"/>
              <w:bottom w:val="single" w:color="000000" w:sz="4" w:space="0"/>
              <w:right w:val="single" w:color="000000" w:sz="4" w:space="0"/>
            </w:tcBorders>
            <w:vAlign w:val="center"/>
          </w:tcPr>
          <w:p w14:paraId="532B2FD1">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r>
      <w:tr w14:paraId="1E02ED68">
        <w:tblPrEx>
          <w:tblCellMar>
            <w:top w:w="0" w:type="dxa"/>
            <w:left w:w="108" w:type="dxa"/>
            <w:bottom w:w="0" w:type="dxa"/>
            <w:right w:w="108" w:type="dxa"/>
          </w:tblCellMar>
        </w:tblPrEx>
        <w:trPr>
          <w:trHeight w:val="708" w:hRule="atLeast"/>
          <w:jc w:val="center"/>
        </w:trPr>
        <w:tc>
          <w:tcPr>
            <w:tcW w:w="640" w:type="dxa"/>
            <w:tcBorders>
              <w:top w:val="nil"/>
              <w:left w:val="single" w:color="000000" w:sz="4" w:space="0"/>
              <w:bottom w:val="single" w:color="000000" w:sz="4" w:space="0"/>
              <w:right w:val="single" w:color="000000" w:sz="4" w:space="0"/>
            </w:tcBorders>
            <w:vAlign w:val="center"/>
          </w:tcPr>
          <w:p w14:paraId="2356D40C">
            <w:pPr>
              <w:keepNext w:val="0"/>
              <w:keepLines w:val="0"/>
              <w:widowControl/>
              <w:suppressLineNumbers w:val="0"/>
              <w:spacing w:before="0" w:beforeAutospacing="0" w:after="0" w:afterAutospacing="0" w:line="360" w:lineRule="auto"/>
              <w:ind w:left="0" w:right="0"/>
              <w:jc w:val="center"/>
              <w:rPr>
                <w:rFonts w:hint="eastAsia" w:ascii="仿宋" w:hAnsi="仿宋" w:eastAsia="仿宋"/>
                <w:color w:val="auto"/>
                <w:kern w:val="0"/>
                <w:szCs w:val="21"/>
                <w:highlight w:val="none"/>
                <w:lang w:eastAsia="zh-CN"/>
              </w:rPr>
            </w:pPr>
            <w:r>
              <w:rPr>
                <w:rFonts w:hint="eastAsia" w:ascii="仿宋" w:hAnsi="仿宋" w:eastAsia="仿宋"/>
                <w:color w:val="auto"/>
                <w:kern w:val="0"/>
                <w:szCs w:val="21"/>
                <w:highlight w:val="none"/>
                <w:lang w:val="en-US" w:eastAsia="zh-CN"/>
              </w:rPr>
              <w:t>8</w:t>
            </w:r>
          </w:p>
        </w:tc>
        <w:tc>
          <w:tcPr>
            <w:tcW w:w="6975" w:type="dxa"/>
            <w:tcBorders>
              <w:top w:val="nil"/>
              <w:left w:val="nil"/>
              <w:bottom w:val="single" w:color="000000" w:sz="4" w:space="0"/>
              <w:right w:val="single" w:color="000000" w:sz="4" w:space="0"/>
            </w:tcBorders>
            <w:vAlign w:val="center"/>
          </w:tcPr>
          <w:p w14:paraId="35B4B5A7">
            <w:pPr>
              <w:pStyle w:val="54"/>
              <w:keepNext w:val="0"/>
              <w:keepLines w:val="0"/>
              <w:suppressLineNumbers w:val="0"/>
              <w:tabs>
                <w:tab w:val="clear" w:pos="4153"/>
                <w:tab w:val="clear" w:pos="8306"/>
              </w:tabs>
              <w:spacing w:before="0" w:beforeAutospacing="0" w:after="0" w:afterAutospacing="0" w:line="360" w:lineRule="auto"/>
              <w:ind w:left="0" w:right="0"/>
              <w:rPr>
                <w:rFonts w:hint="default" w:ascii="仿宋" w:hAnsi="仿宋" w:eastAsia="仿宋"/>
                <w:color w:val="auto"/>
                <w:sz w:val="24"/>
                <w:szCs w:val="24"/>
                <w:highlight w:val="none"/>
              </w:rPr>
            </w:pPr>
            <w:r>
              <w:rPr>
                <w:rFonts w:hint="eastAsia" w:ascii="仿宋" w:hAnsi="仿宋" w:eastAsia="仿宋" w:cs="仿宋"/>
                <w:color w:val="auto"/>
                <w:sz w:val="24"/>
                <w:szCs w:val="24"/>
                <w:highlight w:val="none"/>
                <w:lang w:eastAsia="zh-CN"/>
              </w:rPr>
              <w:t>投标单位（供应商）其法人参加本次采购活动前三年内，在经营活动中没有重大违法记录的声明（</w:t>
            </w:r>
            <w:r>
              <w:rPr>
                <w:rFonts w:hint="eastAsia" w:ascii="仿宋" w:hAnsi="仿宋" w:eastAsia="仿宋" w:cs="仿宋"/>
                <w:color w:val="auto"/>
                <w:sz w:val="24"/>
                <w:highlight w:val="none"/>
                <w:lang w:val="en-US" w:eastAsia="zh-CN"/>
              </w:rPr>
              <w:t>包括但不限于不良记录，政府采购相关的行政处罚，税务处罚，失信人名单等</w:t>
            </w:r>
            <w:r>
              <w:rPr>
                <w:rFonts w:hint="eastAsia" w:ascii="仿宋" w:hAnsi="仿宋" w:eastAsia="仿宋" w:cs="仿宋"/>
                <w:color w:val="auto"/>
                <w:sz w:val="24"/>
                <w:szCs w:val="24"/>
                <w:highlight w:val="none"/>
                <w:lang w:eastAsia="zh-CN"/>
              </w:rPr>
              <w:t>）及对本次项目《反商业贿赂承诺书》；</w:t>
            </w:r>
          </w:p>
        </w:tc>
        <w:tc>
          <w:tcPr>
            <w:tcW w:w="582" w:type="dxa"/>
            <w:tcBorders>
              <w:top w:val="nil"/>
              <w:left w:val="nil"/>
              <w:bottom w:val="single" w:color="000000" w:sz="4" w:space="0"/>
              <w:right w:val="single" w:color="000000" w:sz="4" w:space="0"/>
            </w:tcBorders>
            <w:vAlign w:val="center"/>
          </w:tcPr>
          <w:p w14:paraId="3758B935">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70" w:type="dxa"/>
            <w:tcBorders>
              <w:top w:val="nil"/>
              <w:left w:val="nil"/>
              <w:bottom w:val="single" w:color="000000" w:sz="4" w:space="0"/>
              <w:right w:val="single" w:color="000000" w:sz="4" w:space="0"/>
            </w:tcBorders>
            <w:vAlign w:val="center"/>
          </w:tcPr>
          <w:p w14:paraId="18C4E0C1">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60" w:type="dxa"/>
            <w:tcBorders>
              <w:top w:val="nil"/>
              <w:left w:val="nil"/>
              <w:bottom w:val="single" w:color="000000" w:sz="4" w:space="0"/>
              <w:right w:val="single" w:color="000000" w:sz="4" w:space="0"/>
            </w:tcBorders>
            <w:vAlign w:val="center"/>
          </w:tcPr>
          <w:p w14:paraId="40B3CC16">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32" w:type="dxa"/>
            <w:tcBorders>
              <w:top w:val="nil"/>
              <w:left w:val="nil"/>
              <w:bottom w:val="single" w:color="000000" w:sz="4" w:space="0"/>
              <w:right w:val="single" w:color="000000" w:sz="4" w:space="0"/>
            </w:tcBorders>
            <w:vAlign w:val="center"/>
          </w:tcPr>
          <w:p w14:paraId="665BA9D3">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r>
      <w:tr w14:paraId="1AB97951">
        <w:trPr>
          <w:trHeight w:val="639" w:hRule="atLeast"/>
          <w:jc w:val="center"/>
        </w:trPr>
        <w:tc>
          <w:tcPr>
            <w:tcW w:w="640" w:type="dxa"/>
            <w:tcBorders>
              <w:top w:val="nil"/>
              <w:left w:val="single" w:color="000000" w:sz="4" w:space="0"/>
              <w:bottom w:val="single" w:color="000000" w:sz="4" w:space="0"/>
              <w:right w:val="single" w:color="000000" w:sz="4" w:space="0"/>
            </w:tcBorders>
            <w:vAlign w:val="center"/>
          </w:tcPr>
          <w:p w14:paraId="17EF3380">
            <w:pPr>
              <w:keepNext w:val="0"/>
              <w:keepLines w:val="0"/>
              <w:widowControl/>
              <w:suppressLineNumbers w:val="0"/>
              <w:spacing w:before="0" w:beforeAutospacing="0" w:after="0" w:afterAutospacing="0" w:line="360" w:lineRule="auto"/>
              <w:ind w:left="0" w:right="0"/>
              <w:jc w:val="center"/>
              <w:rPr>
                <w:rFonts w:hint="default" w:ascii="仿宋" w:hAnsi="仿宋" w:eastAsia="仿宋"/>
                <w:color w:val="auto"/>
                <w:kern w:val="0"/>
                <w:szCs w:val="21"/>
                <w:highlight w:val="none"/>
                <w:lang w:val="en-US" w:eastAsia="zh-CN"/>
              </w:rPr>
            </w:pPr>
            <w:r>
              <w:rPr>
                <w:rFonts w:hint="eastAsia" w:ascii="仿宋" w:hAnsi="仿宋" w:eastAsia="仿宋"/>
                <w:color w:val="auto"/>
                <w:kern w:val="0"/>
                <w:szCs w:val="21"/>
                <w:highlight w:val="none"/>
                <w:lang w:val="en-US" w:eastAsia="zh-CN"/>
              </w:rPr>
              <w:t>9</w:t>
            </w:r>
          </w:p>
        </w:tc>
        <w:tc>
          <w:tcPr>
            <w:tcW w:w="6975" w:type="dxa"/>
            <w:tcBorders>
              <w:top w:val="nil"/>
              <w:left w:val="nil"/>
              <w:bottom w:val="single" w:color="000000" w:sz="4" w:space="0"/>
              <w:right w:val="single" w:color="000000" w:sz="4" w:space="0"/>
            </w:tcBorders>
            <w:vAlign w:val="center"/>
          </w:tcPr>
          <w:p w14:paraId="634932FE">
            <w:pPr>
              <w:pStyle w:val="54"/>
              <w:keepNext w:val="0"/>
              <w:keepLines w:val="0"/>
              <w:suppressLineNumbers w:val="0"/>
              <w:tabs>
                <w:tab w:val="clear" w:pos="4153"/>
                <w:tab w:val="clear" w:pos="8306"/>
              </w:tabs>
              <w:spacing w:before="0" w:beforeAutospacing="0" w:after="0" w:afterAutospacing="0" w:line="360" w:lineRule="auto"/>
              <w:ind w:left="0" w:right="0"/>
              <w:rPr>
                <w:rFonts w:hint="default" w:ascii="仿宋" w:hAnsi="仿宋" w:eastAsia="仿宋"/>
                <w:color w:val="auto"/>
                <w:sz w:val="24"/>
                <w:szCs w:val="24"/>
                <w:highlight w:val="none"/>
              </w:rPr>
            </w:pPr>
            <w:r>
              <w:rPr>
                <w:rFonts w:hint="eastAsia" w:ascii="仿宋" w:hAnsi="仿宋" w:eastAsia="仿宋" w:cs="仿宋"/>
                <w:color w:val="auto"/>
                <w:sz w:val="24"/>
                <w:szCs w:val="24"/>
                <w:highlight w:val="none"/>
                <w:lang w:eastAsia="zh-CN"/>
              </w:rPr>
              <w:t>本项目不接受联合体投标。</w:t>
            </w:r>
          </w:p>
        </w:tc>
        <w:tc>
          <w:tcPr>
            <w:tcW w:w="582" w:type="dxa"/>
            <w:tcBorders>
              <w:top w:val="nil"/>
              <w:left w:val="nil"/>
              <w:bottom w:val="single" w:color="000000" w:sz="4" w:space="0"/>
              <w:right w:val="single" w:color="000000" w:sz="4" w:space="0"/>
            </w:tcBorders>
            <w:vAlign w:val="center"/>
          </w:tcPr>
          <w:p w14:paraId="0EF2E9B8">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70" w:type="dxa"/>
            <w:tcBorders>
              <w:top w:val="nil"/>
              <w:left w:val="nil"/>
              <w:bottom w:val="single" w:color="000000" w:sz="4" w:space="0"/>
              <w:right w:val="single" w:color="000000" w:sz="4" w:space="0"/>
            </w:tcBorders>
            <w:vAlign w:val="center"/>
          </w:tcPr>
          <w:p w14:paraId="3FA8FD2F">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60" w:type="dxa"/>
            <w:tcBorders>
              <w:top w:val="nil"/>
              <w:left w:val="nil"/>
              <w:bottom w:val="single" w:color="000000" w:sz="4" w:space="0"/>
              <w:right w:val="single" w:color="000000" w:sz="4" w:space="0"/>
            </w:tcBorders>
            <w:vAlign w:val="center"/>
          </w:tcPr>
          <w:p w14:paraId="6FB16BF4">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32" w:type="dxa"/>
            <w:tcBorders>
              <w:top w:val="nil"/>
              <w:left w:val="nil"/>
              <w:bottom w:val="single" w:color="000000" w:sz="4" w:space="0"/>
              <w:right w:val="single" w:color="000000" w:sz="4" w:space="0"/>
            </w:tcBorders>
            <w:vAlign w:val="center"/>
          </w:tcPr>
          <w:p w14:paraId="11FE06F4">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r>
      <w:tr w14:paraId="63ED4B78">
        <w:tblPrEx>
          <w:tblCellMar>
            <w:top w:w="0" w:type="dxa"/>
            <w:left w:w="108" w:type="dxa"/>
            <w:bottom w:w="0" w:type="dxa"/>
            <w:right w:w="108" w:type="dxa"/>
          </w:tblCellMar>
        </w:tblPrEx>
        <w:trPr>
          <w:trHeight w:val="370" w:hRule="atLeast"/>
          <w:jc w:val="center"/>
        </w:trPr>
        <w:tc>
          <w:tcPr>
            <w:tcW w:w="7615" w:type="dxa"/>
            <w:gridSpan w:val="2"/>
            <w:tcBorders>
              <w:top w:val="single" w:color="000000" w:sz="4" w:space="0"/>
              <w:left w:val="single" w:color="000000" w:sz="4" w:space="0"/>
              <w:bottom w:val="single" w:color="000000" w:sz="4" w:space="0"/>
              <w:right w:val="single" w:color="000000" w:sz="4" w:space="0"/>
            </w:tcBorders>
            <w:vAlign w:val="center"/>
          </w:tcPr>
          <w:p w14:paraId="4B5A9396">
            <w:pPr>
              <w:keepNext w:val="0"/>
              <w:keepLines w:val="0"/>
              <w:widowControl/>
              <w:suppressLineNumbers w:val="0"/>
              <w:spacing w:before="0" w:beforeAutospacing="0" w:after="0" w:afterAutospacing="0" w:line="360" w:lineRule="auto"/>
              <w:ind w:left="0" w:right="0"/>
              <w:jc w:val="center"/>
              <w:rPr>
                <w:rFonts w:hint="default" w:ascii="仿宋" w:hAnsi="仿宋" w:eastAsia="仿宋"/>
                <w:color w:val="000000"/>
                <w:kern w:val="0"/>
                <w:szCs w:val="21"/>
                <w:highlight w:val="none"/>
              </w:rPr>
            </w:pPr>
          </w:p>
          <w:p w14:paraId="5FAE66D4">
            <w:pPr>
              <w:keepNext w:val="0"/>
              <w:keepLines w:val="0"/>
              <w:suppressLineNumbers w:val="0"/>
              <w:spacing w:before="0" w:beforeAutospacing="0" w:after="0" w:afterAutospacing="0" w:line="360" w:lineRule="auto"/>
              <w:ind w:left="0" w:right="0"/>
              <w:jc w:val="center"/>
              <w:rPr>
                <w:rFonts w:hint="default" w:ascii="仿宋" w:hAnsi="仿宋" w:eastAsia="仿宋"/>
                <w:b/>
                <w:bCs/>
                <w:color w:val="000000"/>
                <w:kern w:val="0"/>
                <w:szCs w:val="21"/>
                <w:highlight w:val="none"/>
              </w:rPr>
            </w:pPr>
            <w:r>
              <w:rPr>
                <w:rFonts w:hint="eastAsia" w:ascii="仿宋" w:hAnsi="仿宋" w:eastAsia="仿宋"/>
                <w:b/>
                <w:bCs/>
                <w:color w:val="000000"/>
                <w:kern w:val="0"/>
                <w:szCs w:val="21"/>
                <w:highlight w:val="none"/>
              </w:rPr>
              <w:t>结论</w:t>
            </w:r>
          </w:p>
        </w:tc>
        <w:tc>
          <w:tcPr>
            <w:tcW w:w="582" w:type="dxa"/>
            <w:tcBorders>
              <w:top w:val="single" w:color="000000" w:sz="4" w:space="0"/>
              <w:left w:val="nil"/>
              <w:bottom w:val="single" w:color="000000" w:sz="4" w:space="0"/>
              <w:right w:val="single" w:color="000000" w:sz="4" w:space="0"/>
            </w:tcBorders>
            <w:vAlign w:val="center"/>
          </w:tcPr>
          <w:p w14:paraId="13469161">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70" w:type="dxa"/>
            <w:tcBorders>
              <w:top w:val="single" w:color="000000" w:sz="4" w:space="0"/>
              <w:left w:val="nil"/>
              <w:bottom w:val="single" w:color="000000" w:sz="4" w:space="0"/>
              <w:right w:val="single" w:color="000000" w:sz="4" w:space="0"/>
            </w:tcBorders>
            <w:vAlign w:val="center"/>
          </w:tcPr>
          <w:p w14:paraId="3FCC4CD0">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60" w:type="dxa"/>
            <w:tcBorders>
              <w:top w:val="single" w:color="000000" w:sz="4" w:space="0"/>
              <w:left w:val="nil"/>
              <w:bottom w:val="single" w:color="000000" w:sz="4" w:space="0"/>
              <w:right w:val="single" w:color="000000" w:sz="4" w:space="0"/>
            </w:tcBorders>
            <w:vAlign w:val="center"/>
          </w:tcPr>
          <w:p w14:paraId="448370DA">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32" w:type="dxa"/>
            <w:tcBorders>
              <w:top w:val="single" w:color="000000" w:sz="4" w:space="0"/>
              <w:left w:val="nil"/>
              <w:bottom w:val="single" w:color="000000" w:sz="4" w:space="0"/>
              <w:right w:val="single" w:color="000000" w:sz="4" w:space="0"/>
            </w:tcBorders>
            <w:vAlign w:val="center"/>
          </w:tcPr>
          <w:p w14:paraId="07E855D2">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r>
      <w:tr w14:paraId="02526371">
        <w:tblPrEx>
          <w:tblCellMar>
            <w:top w:w="0" w:type="dxa"/>
            <w:left w:w="108" w:type="dxa"/>
            <w:bottom w:w="0" w:type="dxa"/>
            <w:right w:w="108" w:type="dxa"/>
          </w:tblCellMar>
        </w:tblPrEx>
        <w:trPr>
          <w:trHeight w:val="370" w:hRule="atLeast"/>
          <w:jc w:val="center"/>
        </w:trPr>
        <w:tc>
          <w:tcPr>
            <w:tcW w:w="9859" w:type="dxa"/>
            <w:gridSpan w:val="6"/>
            <w:tcBorders>
              <w:top w:val="single" w:color="000000" w:sz="4" w:space="0"/>
              <w:left w:val="single" w:color="000000" w:sz="4" w:space="0"/>
              <w:bottom w:val="single" w:color="000000" w:sz="4" w:space="0"/>
              <w:right w:val="single" w:color="000000" w:sz="4" w:space="0"/>
            </w:tcBorders>
            <w:vAlign w:val="center"/>
          </w:tcPr>
          <w:p w14:paraId="009EDEE6">
            <w:pPr>
              <w:keepNext w:val="0"/>
              <w:keepLines w:val="0"/>
              <w:widowControl/>
              <w:suppressLineNumbers w:val="0"/>
              <w:spacing w:before="0" w:beforeAutospacing="0" w:after="0" w:afterAutospacing="0" w:line="360" w:lineRule="auto"/>
              <w:ind w:left="0" w:right="0"/>
              <w:jc w:val="center"/>
              <w:rPr>
                <w:rFonts w:hint="default" w:ascii="仿宋" w:hAnsi="仿宋" w:eastAsia="仿宋"/>
                <w:color w:val="000000"/>
                <w:kern w:val="0"/>
                <w:szCs w:val="21"/>
                <w:highlight w:val="none"/>
              </w:rPr>
            </w:pPr>
            <w:r>
              <w:rPr>
                <w:rFonts w:hint="default" w:ascii="Undefined" w:hAnsi="Undefined" w:eastAsia="Undefined" w:cs="Undefined"/>
                <w:b/>
                <w:bCs/>
                <w:color w:val="000000"/>
                <w:sz w:val="20"/>
                <w:szCs w:val="20"/>
                <w:highlight w:val="none"/>
              </w:rPr>
              <w:t>说明： 供应商必须满足资格性审查表内所有条款， 否则被认定为无效响应。</w:t>
            </w:r>
          </w:p>
        </w:tc>
      </w:tr>
    </w:tbl>
    <w:p w14:paraId="02BBC82A">
      <w:pPr>
        <w:pStyle w:val="8"/>
        <w:spacing w:line="360" w:lineRule="auto"/>
        <w:ind w:left="-181" w:leftChars="-86" w:firstLine="607" w:firstLineChars="275"/>
        <w:rPr>
          <w:rFonts w:hint="eastAsia" w:ascii="仿宋" w:hAnsi="仿宋" w:eastAsia="仿宋" w:cs="仿宋"/>
          <w:b/>
          <w:color w:val="auto"/>
          <w:sz w:val="24"/>
          <w:highlight w:val="none"/>
        </w:rPr>
      </w:pPr>
      <w:r>
        <w:rPr>
          <w:rFonts w:hint="eastAsia" w:ascii="仿宋" w:hAnsi="仿宋" w:eastAsia="仿宋" w:cs="仿宋"/>
          <w:b/>
          <w:color w:val="auto"/>
          <w:sz w:val="22"/>
          <w:szCs w:val="22"/>
          <w:highlight w:val="none"/>
          <w:lang w:eastAsia="zh-CN"/>
        </w:rPr>
        <w:t>注：按评审标准对上述内容评审，满足要求的在对应的框内打“√”，不满足要求的在对应的框内打“×”。对可以进入详评的投标人，在该投标人所对应的“是否通过评审“栏中打“√”。</w:t>
      </w:r>
      <w:r>
        <w:rPr>
          <w:rFonts w:hint="eastAsia" w:ascii="仿宋" w:hAnsi="仿宋" w:eastAsia="仿宋" w:cs="仿宋"/>
          <w:b/>
          <w:color w:val="auto"/>
          <w:sz w:val="22"/>
          <w:szCs w:val="22"/>
          <w:highlight w:val="none"/>
        </w:rPr>
        <w:t>一项未提供，则不通过。</w:t>
      </w:r>
    </w:p>
    <w:p w14:paraId="2CBA7DE2">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5.2符合性审查</w:t>
      </w:r>
    </w:p>
    <w:tbl>
      <w:tblPr>
        <w:tblStyle w:val="23"/>
        <w:tblW w:w="8729"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5"/>
        <w:gridCol w:w="6428"/>
        <w:gridCol w:w="743"/>
        <w:gridCol w:w="743"/>
      </w:tblGrid>
      <w:tr w14:paraId="43A62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Merge w:val="restart"/>
            <w:vAlign w:val="center"/>
          </w:tcPr>
          <w:p w14:paraId="4CDB9C6A">
            <w:pPr>
              <w:keepNext w:val="0"/>
              <w:keepLines w:val="0"/>
              <w:suppressLineNumbers w:val="0"/>
              <w:spacing w:before="0" w:beforeAutospacing="0" w:after="0" w:afterAutospacing="0"/>
              <w:ind w:left="0" w:right="0"/>
              <w:jc w:val="center"/>
              <w:rPr>
                <w:rFonts w:hint="default" w:ascii="仿宋" w:hAnsi="仿宋" w:eastAsia="仿宋"/>
                <w:b/>
                <w:bCs w:val="0"/>
                <w:color w:val="000000"/>
                <w:highlight w:val="none"/>
              </w:rPr>
            </w:pPr>
            <w:r>
              <w:rPr>
                <w:rFonts w:hint="eastAsia" w:ascii="仿宋" w:hAnsi="仿宋" w:eastAsia="仿宋"/>
                <w:b/>
                <w:bCs w:val="0"/>
                <w:color w:val="000000"/>
                <w:highlight w:val="none"/>
              </w:rPr>
              <w:t>序号</w:t>
            </w:r>
          </w:p>
        </w:tc>
        <w:tc>
          <w:tcPr>
            <w:tcW w:w="6428" w:type="dxa"/>
            <w:vMerge w:val="restart"/>
            <w:vAlign w:val="center"/>
          </w:tcPr>
          <w:p w14:paraId="60F2E73B">
            <w:pPr>
              <w:keepNext w:val="0"/>
              <w:keepLines w:val="0"/>
              <w:suppressLineNumbers w:val="0"/>
              <w:spacing w:before="0" w:beforeAutospacing="0" w:after="0" w:afterAutospacing="0"/>
              <w:ind w:left="0" w:right="0" w:firstLine="480"/>
              <w:jc w:val="left"/>
              <w:rPr>
                <w:rFonts w:hint="default" w:ascii="仿宋" w:hAnsi="仿宋" w:eastAsia="仿宋"/>
                <w:b/>
                <w:bCs w:val="0"/>
                <w:color w:val="000000"/>
                <w:highlight w:val="none"/>
              </w:rPr>
            </w:pPr>
            <w:r>
              <w:rPr>
                <w:rFonts w:hint="eastAsia" w:ascii="仿宋" w:hAnsi="仿宋" w:eastAsia="仿宋"/>
                <w:b/>
                <w:bCs w:val="0"/>
                <w:color w:val="000000"/>
                <w:highlight w:val="none"/>
              </w:rPr>
              <w:t>审查标准</w:t>
            </w:r>
          </w:p>
        </w:tc>
        <w:tc>
          <w:tcPr>
            <w:tcW w:w="1486" w:type="dxa"/>
            <w:gridSpan w:val="2"/>
            <w:vAlign w:val="center"/>
          </w:tcPr>
          <w:p w14:paraId="71E7AFB9">
            <w:pPr>
              <w:keepNext w:val="0"/>
              <w:keepLines w:val="0"/>
              <w:suppressLineNumbers w:val="0"/>
              <w:spacing w:before="0" w:beforeAutospacing="0" w:after="0" w:afterAutospacing="0"/>
              <w:ind w:left="0" w:right="0"/>
              <w:jc w:val="center"/>
              <w:rPr>
                <w:rFonts w:hint="default" w:ascii="仿宋" w:hAnsi="仿宋" w:eastAsia="仿宋"/>
                <w:b/>
                <w:bCs w:val="0"/>
                <w:color w:val="000000"/>
                <w:highlight w:val="none"/>
                <w:lang w:val="en-US" w:eastAsia="zh-CN"/>
              </w:rPr>
            </w:pPr>
            <w:r>
              <w:rPr>
                <w:rFonts w:hint="eastAsia" w:ascii="仿宋" w:hAnsi="仿宋" w:eastAsia="仿宋"/>
                <w:b/>
                <w:bCs w:val="0"/>
                <w:color w:val="000000"/>
                <w:highlight w:val="none"/>
                <w:lang w:val="en-US" w:eastAsia="zh-CN"/>
              </w:rPr>
              <w:t>投标人</w:t>
            </w:r>
          </w:p>
        </w:tc>
      </w:tr>
      <w:tr w14:paraId="2DD0C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Merge w:val="continue"/>
            <w:vAlign w:val="center"/>
          </w:tcPr>
          <w:p w14:paraId="266EF679">
            <w:pPr>
              <w:keepNext w:val="0"/>
              <w:keepLines w:val="0"/>
              <w:suppressLineNumbers w:val="0"/>
              <w:spacing w:before="0" w:beforeAutospacing="0" w:after="0" w:afterAutospacing="0"/>
              <w:ind w:left="0" w:right="0"/>
              <w:jc w:val="center"/>
              <w:rPr>
                <w:rFonts w:hint="eastAsia" w:ascii="仿宋" w:hAnsi="仿宋" w:eastAsia="仿宋"/>
                <w:b/>
                <w:bCs w:val="0"/>
                <w:color w:val="000000"/>
                <w:highlight w:val="none"/>
              </w:rPr>
            </w:pPr>
          </w:p>
        </w:tc>
        <w:tc>
          <w:tcPr>
            <w:tcW w:w="6428" w:type="dxa"/>
            <w:vMerge w:val="continue"/>
            <w:vAlign w:val="center"/>
          </w:tcPr>
          <w:p w14:paraId="5CDA1D70">
            <w:pPr>
              <w:keepNext w:val="0"/>
              <w:keepLines w:val="0"/>
              <w:suppressLineNumbers w:val="0"/>
              <w:spacing w:before="0" w:beforeAutospacing="0" w:after="0" w:afterAutospacing="0"/>
              <w:ind w:left="0" w:right="0" w:firstLine="480"/>
              <w:jc w:val="left"/>
              <w:rPr>
                <w:rFonts w:hint="eastAsia" w:ascii="仿宋" w:hAnsi="仿宋" w:eastAsia="仿宋"/>
                <w:b/>
                <w:bCs w:val="0"/>
                <w:color w:val="000000"/>
                <w:highlight w:val="none"/>
              </w:rPr>
            </w:pPr>
          </w:p>
        </w:tc>
        <w:tc>
          <w:tcPr>
            <w:tcW w:w="743" w:type="dxa"/>
            <w:vAlign w:val="center"/>
          </w:tcPr>
          <w:p w14:paraId="0D6B4225">
            <w:pPr>
              <w:keepNext w:val="0"/>
              <w:keepLines w:val="0"/>
              <w:suppressLineNumbers w:val="0"/>
              <w:spacing w:before="0" w:beforeAutospacing="0" w:after="0" w:afterAutospacing="0"/>
              <w:ind w:left="0" w:right="0"/>
              <w:jc w:val="center"/>
              <w:rPr>
                <w:rFonts w:hint="eastAsia" w:ascii="仿宋" w:hAnsi="仿宋" w:eastAsia="仿宋"/>
                <w:b/>
                <w:bCs w:val="0"/>
                <w:color w:val="000000"/>
                <w:highlight w:val="none"/>
                <w:lang w:val="en-US" w:eastAsia="zh-CN"/>
              </w:rPr>
            </w:pPr>
            <w:r>
              <w:rPr>
                <w:rFonts w:hint="eastAsia" w:ascii="仿宋" w:hAnsi="仿宋" w:eastAsia="仿宋"/>
                <w:b/>
                <w:bCs w:val="0"/>
                <w:color w:val="000000"/>
                <w:highlight w:val="none"/>
                <w:lang w:val="en-US" w:eastAsia="zh-CN"/>
              </w:rPr>
              <w:t>是</w:t>
            </w:r>
          </w:p>
        </w:tc>
        <w:tc>
          <w:tcPr>
            <w:tcW w:w="743" w:type="dxa"/>
            <w:vAlign w:val="center"/>
          </w:tcPr>
          <w:p w14:paraId="45569234">
            <w:pPr>
              <w:keepNext w:val="0"/>
              <w:keepLines w:val="0"/>
              <w:suppressLineNumbers w:val="0"/>
              <w:spacing w:before="0" w:beforeAutospacing="0" w:after="0" w:afterAutospacing="0"/>
              <w:ind w:left="0" w:right="0"/>
              <w:jc w:val="center"/>
              <w:rPr>
                <w:rFonts w:hint="eastAsia" w:ascii="仿宋" w:hAnsi="仿宋" w:eastAsia="仿宋"/>
                <w:b/>
                <w:bCs w:val="0"/>
                <w:color w:val="000000"/>
                <w:highlight w:val="none"/>
                <w:lang w:val="en-US" w:eastAsia="zh-CN"/>
              </w:rPr>
            </w:pPr>
            <w:r>
              <w:rPr>
                <w:rFonts w:hint="eastAsia" w:ascii="仿宋" w:hAnsi="仿宋" w:eastAsia="仿宋"/>
                <w:b/>
                <w:bCs w:val="0"/>
                <w:color w:val="000000"/>
                <w:highlight w:val="none"/>
                <w:lang w:val="en-US" w:eastAsia="zh-CN"/>
              </w:rPr>
              <w:t>否</w:t>
            </w:r>
          </w:p>
        </w:tc>
      </w:tr>
      <w:tr w14:paraId="21F30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1" w:hRule="atLeast"/>
          <w:jc w:val="right"/>
        </w:trPr>
        <w:tc>
          <w:tcPr>
            <w:tcW w:w="815" w:type="dxa"/>
            <w:vAlign w:val="bottom"/>
          </w:tcPr>
          <w:p w14:paraId="4F1F6DDE">
            <w:pPr>
              <w:keepNext w:val="0"/>
              <w:keepLines w:val="0"/>
              <w:suppressLineNumbers w:val="0"/>
              <w:spacing w:before="0" w:beforeAutospacing="0" w:after="0" w:afterAutospacing="0"/>
              <w:ind w:left="0" w:right="0"/>
              <w:jc w:val="center"/>
              <w:rPr>
                <w:rFonts w:hint="default" w:ascii="仿宋" w:hAnsi="仿宋" w:eastAsia="仿宋"/>
                <w:bCs/>
                <w:color w:val="000000"/>
                <w:highlight w:val="none"/>
              </w:rPr>
            </w:pPr>
            <w:r>
              <w:rPr>
                <w:rFonts w:hint="eastAsia" w:ascii="仿宋" w:hAnsi="仿宋" w:eastAsia="仿宋"/>
                <w:bCs/>
                <w:color w:val="000000"/>
                <w:highlight w:val="none"/>
              </w:rPr>
              <w:t>1</w:t>
            </w:r>
          </w:p>
        </w:tc>
        <w:tc>
          <w:tcPr>
            <w:tcW w:w="6428" w:type="dxa"/>
            <w:vAlign w:val="center"/>
          </w:tcPr>
          <w:p w14:paraId="7358E443">
            <w:pPr>
              <w:keepNext w:val="0"/>
              <w:keepLines w:val="0"/>
              <w:suppressLineNumbers w:val="0"/>
              <w:spacing w:before="0" w:beforeAutospacing="0" w:after="0" w:afterAutospacing="0"/>
              <w:ind w:left="105" w:right="62" w:hanging="105" w:hangingChars="50"/>
              <w:jc w:val="left"/>
              <w:rPr>
                <w:rFonts w:hint="default" w:ascii="仿宋" w:hAnsi="仿宋" w:eastAsia="仿宋"/>
                <w:bCs/>
                <w:color w:val="000000"/>
                <w:highlight w:val="none"/>
              </w:rPr>
            </w:pPr>
            <w:r>
              <w:rPr>
                <w:rFonts w:hint="eastAsia" w:ascii="仿宋" w:hAnsi="仿宋" w:eastAsia="仿宋"/>
                <w:bCs/>
                <w:color w:val="000000"/>
                <w:highlight w:val="none"/>
              </w:rPr>
              <w:t>投标文件</w:t>
            </w:r>
            <w:r>
              <w:rPr>
                <w:rFonts w:hint="eastAsia" w:ascii="仿宋" w:hAnsi="仿宋" w:eastAsia="仿宋"/>
                <w:bCs/>
                <w:color w:val="000000"/>
                <w:kern w:val="0"/>
                <w:highlight w:val="none"/>
              </w:rPr>
              <w:t>是否按招标文件要求编制、</w:t>
            </w:r>
            <w:r>
              <w:rPr>
                <w:rFonts w:hint="eastAsia" w:ascii="仿宋" w:hAnsi="仿宋" w:eastAsia="仿宋"/>
                <w:bCs/>
                <w:color w:val="000000"/>
                <w:spacing w:val="-2"/>
                <w:highlight w:val="none"/>
              </w:rPr>
              <w:t>签署、盖章；</w:t>
            </w:r>
            <w:r>
              <w:rPr>
                <w:rFonts w:hint="eastAsia" w:ascii="仿宋" w:hAnsi="仿宋" w:eastAsia="仿宋"/>
                <w:bCs/>
                <w:color w:val="000000"/>
                <w:kern w:val="0"/>
                <w:highlight w:val="none"/>
              </w:rPr>
              <w:t>内容是否全面或字迹是否模糊、辨认不清的；</w:t>
            </w:r>
          </w:p>
        </w:tc>
        <w:tc>
          <w:tcPr>
            <w:tcW w:w="743" w:type="dxa"/>
            <w:vAlign w:val="center"/>
          </w:tcPr>
          <w:p w14:paraId="29902BBE">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highlight w:val="none"/>
              </w:rPr>
            </w:pPr>
          </w:p>
        </w:tc>
        <w:tc>
          <w:tcPr>
            <w:tcW w:w="743" w:type="dxa"/>
            <w:vAlign w:val="center"/>
          </w:tcPr>
          <w:p w14:paraId="75795165">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highlight w:val="none"/>
              </w:rPr>
            </w:pPr>
          </w:p>
        </w:tc>
      </w:tr>
      <w:tr w14:paraId="75563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6D40A31A">
            <w:pPr>
              <w:keepNext w:val="0"/>
              <w:keepLines w:val="0"/>
              <w:suppressLineNumbers w:val="0"/>
              <w:spacing w:before="0" w:beforeAutospacing="0" w:after="0" w:afterAutospacing="0"/>
              <w:ind w:left="0" w:right="0"/>
              <w:jc w:val="center"/>
              <w:rPr>
                <w:rFonts w:hint="default" w:ascii="仿宋" w:hAnsi="仿宋" w:eastAsia="仿宋"/>
                <w:bCs/>
                <w:color w:val="000000"/>
                <w:highlight w:val="none"/>
              </w:rPr>
            </w:pPr>
            <w:r>
              <w:rPr>
                <w:rFonts w:hint="eastAsia" w:ascii="仿宋" w:hAnsi="仿宋" w:eastAsia="仿宋"/>
                <w:bCs/>
                <w:color w:val="000000"/>
                <w:highlight w:val="none"/>
              </w:rPr>
              <w:t>2</w:t>
            </w:r>
          </w:p>
        </w:tc>
        <w:tc>
          <w:tcPr>
            <w:tcW w:w="6428" w:type="dxa"/>
            <w:vAlign w:val="center"/>
          </w:tcPr>
          <w:p w14:paraId="1F986345">
            <w:pPr>
              <w:keepNext w:val="0"/>
              <w:keepLines w:val="0"/>
              <w:suppressLineNumbers w:val="0"/>
              <w:spacing w:before="0" w:beforeAutospacing="0" w:after="0" w:afterAutospacing="0"/>
              <w:ind w:left="105" w:right="62" w:hanging="105" w:hangingChars="50"/>
              <w:jc w:val="left"/>
              <w:rPr>
                <w:rFonts w:hint="default" w:ascii="仿宋" w:hAnsi="仿宋" w:eastAsia="仿宋"/>
                <w:bCs/>
                <w:color w:val="000000"/>
                <w:kern w:val="0"/>
                <w:highlight w:val="none"/>
              </w:rPr>
            </w:pPr>
            <w:r>
              <w:rPr>
                <w:rFonts w:hint="eastAsia" w:ascii="仿宋" w:hAnsi="仿宋" w:eastAsia="仿宋"/>
                <w:bCs/>
                <w:color w:val="000000"/>
                <w:kern w:val="0"/>
                <w:highlight w:val="none"/>
              </w:rPr>
              <w:t>投标文件</w:t>
            </w:r>
            <w:r>
              <w:rPr>
                <w:rFonts w:hint="eastAsia" w:ascii="仿宋" w:hAnsi="仿宋" w:eastAsia="仿宋"/>
                <w:bCs/>
                <w:color w:val="000000"/>
                <w:szCs w:val="21"/>
                <w:highlight w:val="none"/>
              </w:rPr>
              <w:t>记载的招标项目完成期限是否未超过招标文件规定的完成期限</w:t>
            </w:r>
            <w:r>
              <w:rPr>
                <w:rFonts w:hint="eastAsia" w:ascii="仿宋" w:hAnsi="仿宋" w:eastAsia="仿宋"/>
                <w:bCs/>
                <w:color w:val="000000"/>
                <w:kern w:val="0"/>
                <w:highlight w:val="none"/>
              </w:rPr>
              <w:t>；</w:t>
            </w:r>
          </w:p>
        </w:tc>
        <w:tc>
          <w:tcPr>
            <w:tcW w:w="743" w:type="dxa"/>
            <w:vAlign w:val="center"/>
          </w:tcPr>
          <w:p w14:paraId="7ACDE040">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c>
          <w:tcPr>
            <w:tcW w:w="743" w:type="dxa"/>
            <w:vAlign w:val="center"/>
          </w:tcPr>
          <w:p w14:paraId="4DE6A61D">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r>
      <w:tr w14:paraId="2DF0B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181C1A3F">
            <w:pPr>
              <w:keepNext w:val="0"/>
              <w:keepLines w:val="0"/>
              <w:suppressLineNumbers w:val="0"/>
              <w:spacing w:before="0" w:beforeAutospacing="0" w:after="0" w:afterAutospacing="0"/>
              <w:ind w:left="0" w:right="0"/>
              <w:jc w:val="center"/>
              <w:rPr>
                <w:rFonts w:hint="default" w:ascii="仿宋" w:hAnsi="仿宋" w:eastAsia="仿宋"/>
                <w:bCs/>
                <w:color w:val="000000"/>
                <w:highlight w:val="none"/>
              </w:rPr>
            </w:pPr>
            <w:r>
              <w:rPr>
                <w:rFonts w:hint="eastAsia" w:ascii="仿宋" w:hAnsi="仿宋" w:eastAsia="仿宋"/>
                <w:bCs/>
                <w:color w:val="000000"/>
                <w:highlight w:val="none"/>
              </w:rPr>
              <w:t>3</w:t>
            </w:r>
          </w:p>
        </w:tc>
        <w:tc>
          <w:tcPr>
            <w:tcW w:w="6428" w:type="dxa"/>
            <w:vAlign w:val="center"/>
          </w:tcPr>
          <w:p w14:paraId="54F68FBC">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highlight w:val="none"/>
                <w:lang w:eastAsia="zh-CN"/>
              </w:rPr>
            </w:pPr>
            <w:r>
              <w:rPr>
                <w:rFonts w:hint="eastAsia" w:ascii="仿宋" w:hAnsi="仿宋" w:eastAsia="仿宋"/>
                <w:bCs/>
                <w:color w:val="000000"/>
                <w:highlight w:val="none"/>
              </w:rPr>
              <w:t>评审小组共同确定没有实质上不响应</w:t>
            </w:r>
            <w:r>
              <w:rPr>
                <w:rFonts w:hint="eastAsia" w:ascii="仿宋" w:hAnsi="仿宋" w:eastAsia="仿宋"/>
                <w:bCs/>
                <w:color w:val="000000"/>
                <w:szCs w:val="21"/>
                <w:highlight w:val="none"/>
              </w:rPr>
              <w:t>招标</w:t>
            </w:r>
            <w:r>
              <w:rPr>
                <w:rFonts w:hint="eastAsia" w:ascii="仿宋" w:hAnsi="仿宋" w:eastAsia="仿宋"/>
                <w:bCs/>
                <w:color w:val="000000"/>
                <w:highlight w:val="none"/>
              </w:rPr>
              <w:t>文件要求的</w:t>
            </w:r>
            <w:r>
              <w:rPr>
                <w:rFonts w:hint="eastAsia" w:ascii="仿宋" w:hAnsi="仿宋" w:eastAsia="仿宋"/>
                <w:bCs/>
                <w:color w:val="000000"/>
                <w:highlight w:val="none"/>
                <w:lang w:eastAsia="zh-CN"/>
              </w:rPr>
              <w:t>；</w:t>
            </w:r>
          </w:p>
        </w:tc>
        <w:tc>
          <w:tcPr>
            <w:tcW w:w="743" w:type="dxa"/>
            <w:vAlign w:val="center"/>
          </w:tcPr>
          <w:p w14:paraId="2D2AFE6A">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highlight w:val="none"/>
              </w:rPr>
            </w:pPr>
          </w:p>
        </w:tc>
        <w:tc>
          <w:tcPr>
            <w:tcW w:w="743" w:type="dxa"/>
            <w:vAlign w:val="center"/>
          </w:tcPr>
          <w:p w14:paraId="559A2D14">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highlight w:val="none"/>
              </w:rPr>
            </w:pPr>
          </w:p>
        </w:tc>
      </w:tr>
      <w:tr w14:paraId="61E0B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41" w:hRule="atLeast"/>
          <w:jc w:val="right"/>
        </w:trPr>
        <w:tc>
          <w:tcPr>
            <w:tcW w:w="815" w:type="dxa"/>
            <w:vAlign w:val="bottom"/>
          </w:tcPr>
          <w:p w14:paraId="1DE72ED5">
            <w:pPr>
              <w:keepNext w:val="0"/>
              <w:keepLines w:val="0"/>
              <w:suppressLineNumbers w:val="0"/>
              <w:spacing w:before="0" w:beforeAutospacing="0" w:after="0" w:afterAutospacing="0"/>
              <w:ind w:left="0" w:right="0"/>
              <w:jc w:val="center"/>
              <w:rPr>
                <w:rFonts w:hint="default" w:ascii="仿宋" w:hAnsi="仿宋" w:eastAsia="仿宋"/>
                <w:bCs/>
                <w:color w:val="000000"/>
                <w:highlight w:val="none"/>
              </w:rPr>
            </w:pPr>
            <w:r>
              <w:rPr>
                <w:rFonts w:hint="eastAsia" w:ascii="仿宋" w:hAnsi="仿宋" w:eastAsia="仿宋"/>
                <w:bCs/>
                <w:color w:val="000000"/>
                <w:highlight w:val="none"/>
              </w:rPr>
              <w:t>4</w:t>
            </w:r>
          </w:p>
        </w:tc>
        <w:tc>
          <w:tcPr>
            <w:tcW w:w="6428" w:type="dxa"/>
            <w:vAlign w:val="center"/>
          </w:tcPr>
          <w:p w14:paraId="5F5A1504">
            <w:pPr>
              <w:keepNext w:val="0"/>
              <w:keepLines w:val="0"/>
              <w:suppressLineNumbers w:val="0"/>
              <w:spacing w:before="0" w:beforeAutospacing="0" w:after="0" w:afterAutospacing="0"/>
              <w:ind w:left="105" w:right="62" w:hanging="105" w:hangingChars="50"/>
              <w:jc w:val="left"/>
              <w:rPr>
                <w:rFonts w:hint="default" w:ascii="仿宋" w:hAnsi="仿宋" w:eastAsia="仿宋"/>
                <w:bCs/>
                <w:color w:val="000000"/>
                <w:highlight w:val="none"/>
              </w:rPr>
            </w:pPr>
            <w:r>
              <w:rPr>
                <w:rFonts w:hint="eastAsia" w:ascii="仿宋" w:hAnsi="仿宋" w:eastAsia="仿宋"/>
                <w:bCs/>
                <w:color w:val="000000"/>
                <w:highlight w:val="none"/>
              </w:rPr>
              <w:t>投标有效期是否满足</w:t>
            </w:r>
            <w:r>
              <w:rPr>
                <w:rFonts w:hint="eastAsia" w:ascii="仿宋" w:hAnsi="仿宋" w:eastAsia="仿宋"/>
                <w:bCs/>
                <w:color w:val="000000"/>
                <w:szCs w:val="21"/>
                <w:highlight w:val="none"/>
              </w:rPr>
              <w:t>招标</w:t>
            </w:r>
            <w:r>
              <w:rPr>
                <w:rFonts w:hint="eastAsia" w:ascii="仿宋" w:hAnsi="仿宋" w:eastAsia="仿宋"/>
                <w:bCs/>
                <w:color w:val="000000"/>
                <w:highlight w:val="none"/>
              </w:rPr>
              <w:t>文件要求的；</w:t>
            </w:r>
          </w:p>
        </w:tc>
        <w:tc>
          <w:tcPr>
            <w:tcW w:w="743" w:type="dxa"/>
            <w:vAlign w:val="center"/>
          </w:tcPr>
          <w:p w14:paraId="5F168D1A">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highlight w:val="none"/>
              </w:rPr>
            </w:pPr>
          </w:p>
        </w:tc>
        <w:tc>
          <w:tcPr>
            <w:tcW w:w="743" w:type="dxa"/>
            <w:vAlign w:val="center"/>
          </w:tcPr>
          <w:p w14:paraId="76070FA4">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highlight w:val="none"/>
              </w:rPr>
            </w:pPr>
          </w:p>
        </w:tc>
      </w:tr>
      <w:tr w14:paraId="6F9CF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4757930D">
            <w:pPr>
              <w:keepNext w:val="0"/>
              <w:keepLines w:val="0"/>
              <w:suppressLineNumbers w:val="0"/>
              <w:spacing w:before="0" w:beforeAutospacing="0" w:after="0" w:afterAutospacing="0"/>
              <w:ind w:left="0" w:right="0"/>
              <w:jc w:val="center"/>
              <w:rPr>
                <w:rFonts w:hint="default" w:ascii="仿宋" w:hAnsi="仿宋" w:eastAsia="仿宋"/>
                <w:bCs/>
                <w:color w:val="000000"/>
                <w:highlight w:val="none"/>
              </w:rPr>
            </w:pPr>
            <w:r>
              <w:rPr>
                <w:rFonts w:hint="eastAsia" w:ascii="仿宋" w:hAnsi="仿宋" w:eastAsia="仿宋"/>
                <w:bCs/>
                <w:color w:val="000000"/>
                <w:highlight w:val="none"/>
              </w:rPr>
              <w:t>5</w:t>
            </w:r>
          </w:p>
        </w:tc>
        <w:tc>
          <w:tcPr>
            <w:tcW w:w="6428" w:type="dxa"/>
            <w:vAlign w:val="center"/>
          </w:tcPr>
          <w:p w14:paraId="54BC668F">
            <w:pPr>
              <w:keepNext w:val="0"/>
              <w:keepLines w:val="0"/>
              <w:suppressLineNumbers w:val="0"/>
              <w:spacing w:before="0" w:beforeAutospacing="0" w:after="0" w:afterAutospacing="0"/>
              <w:ind w:left="105" w:right="62" w:hanging="105" w:hangingChars="50"/>
              <w:jc w:val="left"/>
              <w:rPr>
                <w:rFonts w:hint="default" w:ascii="仿宋" w:hAnsi="仿宋" w:eastAsia="仿宋"/>
                <w:bCs/>
                <w:color w:val="000000"/>
                <w:kern w:val="0"/>
                <w:highlight w:val="none"/>
              </w:rPr>
            </w:pPr>
            <w:r>
              <w:rPr>
                <w:rFonts w:hint="eastAsia" w:ascii="仿宋" w:hAnsi="仿宋" w:eastAsia="仿宋"/>
                <w:bCs/>
                <w:color w:val="000000"/>
                <w:kern w:val="0"/>
                <w:highlight w:val="none"/>
              </w:rPr>
              <w:t>投标报价是否高于采购预算价；</w:t>
            </w:r>
          </w:p>
        </w:tc>
        <w:tc>
          <w:tcPr>
            <w:tcW w:w="743" w:type="dxa"/>
            <w:vAlign w:val="center"/>
          </w:tcPr>
          <w:p w14:paraId="5A36B7C6">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c>
          <w:tcPr>
            <w:tcW w:w="743" w:type="dxa"/>
            <w:vAlign w:val="center"/>
          </w:tcPr>
          <w:p w14:paraId="6B7CAF3E">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r>
      <w:tr w14:paraId="3836A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66ABC834">
            <w:pPr>
              <w:keepNext w:val="0"/>
              <w:keepLines w:val="0"/>
              <w:suppressLineNumbers w:val="0"/>
              <w:spacing w:before="0" w:beforeAutospacing="0" w:after="0" w:afterAutospacing="0"/>
              <w:ind w:left="0" w:right="0"/>
              <w:jc w:val="center"/>
              <w:rPr>
                <w:rFonts w:hint="default" w:ascii="仿宋" w:hAnsi="仿宋" w:eastAsia="仿宋"/>
                <w:bCs/>
                <w:color w:val="000000"/>
                <w:highlight w:val="none"/>
              </w:rPr>
            </w:pPr>
            <w:r>
              <w:rPr>
                <w:rFonts w:hint="eastAsia" w:ascii="仿宋" w:hAnsi="仿宋" w:eastAsia="仿宋"/>
                <w:bCs/>
                <w:color w:val="000000"/>
                <w:highlight w:val="none"/>
              </w:rPr>
              <w:t>6</w:t>
            </w:r>
          </w:p>
        </w:tc>
        <w:tc>
          <w:tcPr>
            <w:tcW w:w="6428" w:type="dxa"/>
            <w:vAlign w:val="center"/>
          </w:tcPr>
          <w:p w14:paraId="792D7649">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lang w:eastAsia="zh-CN"/>
              </w:rPr>
            </w:pPr>
            <w:r>
              <w:rPr>
                <w:rFonts w:hint="eastAsia" w:ascii="仿宋" w:hAnsi="仿宋" w:eastAsia="仿宋"/>
                <w:bCs/>
                <w:color w:val="000000"/>
                <w:kern w:val="0"/>
                <w:highlight w:val="none"/>
              </w:rPr>
              <w:t>是否缴纳投标保证金并与</w:t>
            </w:r>
            <w:r>
              <w:rPr>
                <w:rFonts w:hint="eastAsia" w:ascii="仿宋" w:hAnsi="仿宋" w:eastAsia="仿宋"/>
                <w:bCs/>
                <w:color w:val="000000"/>
                <w:szCs w:val="21"/>
                <w:highlight w:val="none"/>
              </w:rPr>
              <w:t>招标</w:t>
            </w:r>
            <w:r>
              <w:rPr>
                <w:rFonts w:hint="eastAsia" w:ascii="仿宋" w:hAnsi="仿宋" w:eastAsia="仿宋"/>
                <w:bCs/>
                <w:color w:val="000000"/>
                <w:kern w:val="0"/>
                <w:highlight w:val="none"/>
              </w:rPr>
              <w:t>文件金额一致</w:t>
            </w:r>
            <w:r>
              <w:rPr>
                <w:rFonts w:hint="eastAsia" w:ascii="仿宋" w:hAnsi="仿宋" w:eastAsia="仿宋"/>
                <w:bCs/>
                <w:color w:val="000000"/>
                <w:kern w:val="0"/>
                <w:highlight w:val="none"/>
                <w:lang w:eastAsia="zh-CN"/>
              </w:rPr>
              <w:t>；</w:t>
            </w:r>
          </w:p>
        </w:tc>
        <w:tc>
          <w:tcPr>
            <w:tcW w:w="743" w:type="dxa"/>
            <w:vAlign w:val="center"/>
          </w:tcPr>
          <w:p w14:paraId="2294AD30">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c>
          <w:tcPr>
            <w:tcW w:w="743" w:type="dxa"/>
            <w:vAlign w:val="center"/>
          </w:tcPr>
          <w:p w14:paraId="2D0EB5DA">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r>
      <w:tr w14:paraId="6C37B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7B206FCA">
            <w:pPr>
              <w:keepNext w:val="0"/>
              <w:keepLines w:val="0"/>
              <w:suppressLineNumbers w:val="0"/>
              <w:spacing w:before="0" w:beforeAutospacing="0" w:after="0" w:afterAutospacing="0"/>
              <w:ind w:left="0" w:right="0"/>
              <w:jc w:val="center"/>
              <w:rPr>
                <w:rFonts w:hint="default" w:ascii="仿宋" w:hAnsi="仿宋" w:eastAsia="仿宋"/>
                <w:bCs/>
                <w:color w:val="000000"/>
                <w:highlight w:val="none"/>
              </w:rPr>
            </w:pPr>
            <w:r>
              <w:rPr>
                <w:rFonts w:hint="eastAsia" w:ascii="仿宋" w:hAnsi="仿宋" w:eastAsia="仿宋"/>
                <w:bCs/>
                <w:color w:val="000000"/>
                <w:highlight w:val="none"/>
              </w:rPr>
              <w:t>7</w:t>
            </w:r>
          </w:p>
        </w:tc>
        <w:tc>
          <w:tcPr>
            <w:tcW w:w="6428" w:type="dxa"/>
            <w:vAlign w:val="center"/>
          </w:tcPr>
          <w:p w14:paraId="46002CA0">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lang w:eastAsia="zh-CN"/>
              </w:rPr>
            </w:pPr>
            <w:r>
              <w:rPr>
                <w:rFonts w:hint="eastAsia" w:ascii="仿宋" w:hAnsi="仿宋" w:eastAsia="仿宋"/>
                <w:bCs/>
                <w:color w:val="000000"/>
                <w:kern w:val="0"/>
                <w:highlight w:val="none"/>
                <w:lang w:val="en-US" w:eastAsia="zh-CN"/>
              </w:rPr>
              <w:t>是否</w:t>
            </w:r>
            <w:r>
              <w:rPr>
                <w:rFonts w:hint="eastAsia" w:ascii="仿宋" w:hAnsi="仿宋" w:eastAsia="仿宋"/>
                <w:bCs/>
                <w:color w:val="000000"/>
                <w:kern w:val="0"/>
                <w:highlight w:val="none"/>
              </w:rPr>
              <w:t>明显不符合技术规格和技术标准</w:t>
            </w:r>
            <w:r>
              <w:rPr>
                <w:rFonts w:hint="eastAsia" w:ascii="仿宋" w:hAnsi="仿宋" w:eastAsia="仿宋"/>
                <w:bCs/>
                <w:color w:val="000000"/>
                <w:kern w:val="0"/>
                <w:highlight w:val="none"/>
                <w:lang w:eastAsia="zh-CN"/>
              </w:rPr>
              <w:t>；</w:t>
            </w:r>
          </w:p>
        </w:tc>
        <w:tc>
          <w:tcPr>
            <w:tcW w:w="743" w:type="dxa"/>
            <w:vAlign w:val="center"/>
          </w:tcPr>
          <w:p w14:paraId="2A3FF3C1">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c>
          <w:tcPr>
            <w:tcW w:w="743" w:type="dxa"/>
            <w:vAlign w:val="center"/>
          </w:tcPr>
          <w:p w14:paraId="7A824E43">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r>
      <w:tr w14:paraId="6525D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623015AE">
            <w:pPr>
              <w:keepNext w:val="0"/>
              <w:keepLines w:val="0"/>
              <w:suppressLineNumbers w:val="0"/>
              <w:spacing w:before="0" w:beforeAutospacing="0" w:after="0" w:afterAutospacing="0"/>
              <w:ind w:left="0" w:right="0"/>
              <w:jc w:val="center"/>
              <w:rPr>
                <w:rFonts w:hint="default" w:ascii="仿宋" w:hAnsi="仿宋" w:eastAsia="仿宋"/>
                <w:bCs/>
                <w:color w:val="000000"/>
                <w:highlight w:val="none"/>
              </w:rPr>
            </w:pPr>
            <w:r>
              <w:rPr>
                <w:rFonts w:hint="eastAsia" w:ascii="仿宋" w:hAnsi="仿宋" w:eastAsia="仿宋"/>
                <w:bCs/>
                <w:color w:val="000000"/>
                <w:highlight w:val="none"/>
              </w:rPr>
              <w:t>8</w:t>
            </w:r>
          </w:p>
        </w:tc>
        <w:tc>
          <w:tcPr>
            <w:tcW w:w="6428" w:type="dxa"/>
            <w:vAlign w:val="center"/>
          </w:tcPr>
          <w:p w14:paraId="5E5C0795">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lang w:eastAsia="zh-CN"/>
              </w:rPr>
            </w:pPr>
            <w:r>
              <w:rPr>
                <w:rFonts w:hint="eastAsia" w:ascii="仿宋" w:hAnsi="仿宋" w:eastAsia="仿宋"/>
                <w:bCs/>
                <w:color w:val="000000"/>
                <w:kern w:val="0"/>
                <w:highlight w:val="none"/>
              </w:rPr>
              <w:t>商务条款是否有偏离情况的</w:t>
            </w:r>
            <w:r>
              <w:rPr>
                <w:rFonts w:hint="eastAsia" w:ascii="仿宋" w:hAnsi="仿宋" w:eastAsia="仿宋"/>
                <w:bCs/>
                <w:color w:val="000000"/>
                <w:kern w:val="0"/>
                <w:highlight w:val="none"/>
                <w:lang w:eastAsia="zh-CN"/>
              </w:rPr>
              <w:t>；</w:t>
            </w:r>
          </w:p>
        </w:tc>
        <w:tc>
          <w:tcPr>
            <w:tcW w:w="743" w:type="dxa"/>
            <w:vAlign w:val="center"/>
          </w:tcPr>
          <w:p w14:paraId="78A77640">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c>
          <w:tcPr>
            <w:tcW w:w="743" w:type="dxa"/>
            <w:vAlign w:val="center"/>
          </w:tcPr>
          <w:p w14:paraId="7D42D228">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r>
      <w:tr w14:paraId="4F50B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0CF95016">
            <w:pPr>
              <w:keepNext w:val="0"/>
              <w:keepLines w:val="0"/>
              <w:suppressLineNumbers w:val="0"/>
              <w:spacing w:before="0" w:beforeAutospacing="0" w:after="0" w:afterAutospacing="0"/>
              <w:ind w:left="0" w:right="0"/>
              <w:jc w:val="center"/>
              <w:rPr>
                <w:rFonts w:hint="default" w:ascii="仿宋" w:hAnsi="仿宋" w:eastAsia="仿宋"/>
                <w:bCs/>
                <w:color w:val="000000"/>
                <w:highlight w:val="none"/>
              </w:rPr>
            </w:pPr>
            <w:r>
              <w:rPr>
                <w:rFonts w:hint="eastAsia" w:ascii="仿宋" w:hAnsi="仿宋" w:eastAsia="仿宋"/>
                <w:bCs/>
                <w:color w:val="000000"/>
                <w:highlight w:val="none"/>
              </w:rPr>
              <w:t>9</w:t>
            </w:r>
          </w:p>
        </w:tc>
        <w:tc>
          <w:tcPr>
            <w:tcW w:w="6428" w:type="dxa"/>
            <w:vAlign w:val="center"/>
          </w:tcPr>
          <w:p w14:paraId="44068DE5">
            <w:pPr>
              <w:keepNext w:val="0"/>
              <w:keepLines w:val="0"/>
              <w:suppressLineNumbers w:val="0"/>
              <w:spacing w:before="0" w:beforeAutospacing="0" w:after="0" w:afterAutospacing="0"/>
              <w:ind w:left="105" w:right="62" w:hanging="105" w:hangingChars="50"/>
              <w:jc w:val="left"/>
              <w:rPr>
                <w:rFonts w:hint="default" w:ascii="仿宋" w:hAnsi="仿宋" w:eastAsia="仿宋"/>
                <w:bCs/>
                <w:color w:val="000000"/>
                <w:kern w:val="0"/>
                <w:highlight w:val="none"/>
              </w:rPr>
            </w:pPr>
            <w:r>
              <w:rPr>
                <w:rFonts w:hint="eastAsia" w:ascii="仿宋" w:hAnsi="仿宋" w:eastAsia="仿宋"/>
                <w:bCs/>
                <w:color w:val="000000"/>
                <w:kern w:val="0"/>
                <w:highlight w:val="none"/>
              </w:rPr>
              <w:t>投标文件是否附有招标人不能接受条件的；</w:t>
            </w:r>
          </w:p>
        </w:tc>
        <w:tc>
          <w:tcPr>
            <w:tcW w:w="743" w:type="dxa"/>
            <w:vAlign w:val="center"/>
          </w:tcPr>
          <w:p w14:paraId="38DDC67D">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c>
          <w:tcPr>
            <w:tcW w:w="743" w:type="dxa"/>
            <w:vAlign w:val="center"/>
          </w:tcPr>
          <w:p w14:paraId="790742D6">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r>
      <w:tr w14:paraId="1462A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720978BF">
            <w:pPr>
              <w:keepNext w:val="0"/>
              <w:keepLines w:val="0"/>
              <w:suppressLineNumbers w:val="0"/>
              <w:spacing w:before="0" w:beforeAutospacing="0" w:after="0" w:afterAutospacing="0"/>
              <w:ind w:left="0" w:right="0"/>
              <w:jc w:val="center"/>
              <w:rPr>
                <w:rFonts w:hint="default" w:ascii="仿宋" w:hAnsi="仿宋" w:eastAsia="仿宋"/>
                <w:bCs/>
                <w:color w:val="000000"/>
                <w:highlight w:val="none"/>
              </w:rPr>
            </w:pPr>
            <w:r>
              <w:rPr>
                <w:rFonts w:hint="eastAsia" w:ascii="仿宋" w:hAnsi="仿宋" w:eastAsia="仿宋"/>
                <w:bCs/>
                <w:color w:val="000000"/>
                <w:highlight w:val="none"/>
              </w:rPr>
              <w:t>10</w:t>
            </w:r>
          </w:p>
        </w:tc>
        <w:tc>
          <w:tcPr>
            <w:tcW w:w="6428" w:type="dxa"/>
            <w:vAlign w:val="center"/>
          </w:tcPr>
          <w:p w14:paraId="06ABB73E">
            <w:pPr>
              <w:keepNext w:val="0"/>
              <w:keepLines w:val="0"/>
              <w:suppressLineNumbers w:val="0"/>
              <w:spacing w:before="0" w:beforeAutospacing="0" w:after="0" w:afterAutospacing="0"/>
              <w:ind w:left="105" w:right="62" w:hanging="105" w:hangingChars="50"/>
              <w:jc w:val="left"/>
              <w:rPr>
                <w:rFonts w:hint="default" w:ascii="仿宋" w:hAnsi="仿宋" w:eastAsia="仿宋"/>
                <w:bCs/>
                <w:color w:val="000000"/>
                <w:kern w:val="0"/>
                <w:highlight w:val="none"/>
              </w:rPr>
            </w:pPr>
            <w:r>
              <w:rPr>
                <w:rFonts w:hint="eastAsia" w:ascii="仿宋" w:hAnsi="仿宋" w:eastAsia="仿宋"/>
                <w:bCs/>
                <w:color w:val="000000"/>
                <w:kern w:val="0"/>
                <w:highlight w:val="none"/>
              </w:rPr>
              <w:t>是否存在法律、法规和招标文件规定的其他无效情形；</w:t>
            </w:r>
          </w:p>
        </w:tc>
        <w:tc>
          <w:tcPr>
            <w:tcW w:w="743" w:type="dxa"/>
            <w:vAlign w:val="center"/>
          </w:tcPr>
          <w:p w14:paraId="7D945182">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c>
          <w:tcPr>
            <w:tcW w:w="743" w:type="dxa"/>
            <w:vAlign w:val="center"/>
          </w:tcPr>
          <w:p w14:paraId="69C49A7C">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r>
      <w:tr w14:paraId="39054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5BCC5D87">
            <w:pPr>
              <w:keepNext w:val="0"/>
              <w:keepLines w:val="0"/>
              <w:suppressLineNumbers w:val="0"/>
              <w:spacing w:before="0" w:beforeAutospacing="0" w:after="0" w:afterAutospacing="0"/>
              <w:ind w:left="105" w:right="62" w:hanging="105" w:hangingChars="50"/>
              <w:jc w:val="center"/>
              <w:rPr>
                <w:rFonts w:hint="default" w:ascii="仿宋" w:hAnsi="仿宋" w:eastAsia="仿宋"/>
                <w:bCs/>
                <w:color w:val="000000"/>
                <w:kern w:val="0"/>
                <w:highlight w:val="none"/>
                <w:lang w:val="en-US" w:eastAsia="zh-CN"/>
              </w:rPr>
            </w:pPr>
            <w:r>
              <w:rPr>
                <w:rFonts w:hint="eastAsia" w:ascii="仿宋" w:hAnsi="仿宋" w:eastAsia="仿宋"/>
                <w:bCs/>
                <w:color w:val="000000"/>
                <w:kern w:val="0"/>
                <w:highlight w:val="none"/>
                <w:lang w:val="en-US" w:eastAsia="zh-CN"/>
              </w:rPr>
              <w:t>11</w:t>
            </w:r>
          </w:p>
        </w:tc>
        <w:tc>
          <w:tcPr>
            <w:tcW w:w="6428" w:type="dxa"/>
            <w:vAlign w:val="center"/>
          </w:tcPr>
          <w:p w14:paraId="36E27373">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r>
              <w:rPr>
                <w:rFonts w:hint="eastAsia" w:ascii="仿宋" w:hAnsi="仿宋" w:eastAsia="仿宋"/>
                <w:bCs/>
                <w:color w:val="000000"/>
                <w:kern w:val="0"/>
                <w:highlight w:val="none"/>
                <w:lang w:eastAsia="zh-CN"/>
              </w:rPr>
              <w:t>投标人的报价明显低于其他通过符合性审查投标人的报价，有可能影响履约的，投标人能按照规定证明其报价合理性。</w:t>
            </w:r>
          </w:p>
        </w:tc>
        <w:tc>
          <w:tcPr>
            <w:tcW w:w="743" w:type="dxa"/>
            <w:vAlign w:val="center"/>
          </w:tcPr>
          <w:p w14:paraId="22884F9F">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c>
          <w:tcPr>
            <w:tcW w:w="743" w:type="dxa"/>
            <w:vAlign w:val="center"/>
          </w:tcPr>
          <w:p w14:paraId="65AB45FB">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r>
      <w:tr w14:paraId="17309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7243" w:type="dxa"/>
            <w:gridSpan w:val="2"/>
            <w:vAlign w:val="bottom"/>
          </w:tcPr>
          <w:p w14:paraId="6E8B0CDA">
            <w:pPr>
              <w:keepNext w:val="0"/>
              <w:keepLines w:val="0"/>
              <w:suppressLineNumbers w:val="0"/>
              <w:spacing w:before="0" w:beforeAutospacing="0" w:after="0" w:afterAutospacing="0"/>
              <w:ind w:left="105" w:right="62" w:hanging="105" w:hangingChars="50"/>
              <w:jc w:val="left"/>
              <w:rPr>
                <w:rFonts w:hint="eastAsia" w:ascii="仿宋" w:hAnsi="仿宋" w:eastAsia="仿宋" w:cs="Times New Roman"/>
                <w:bCs/>
                <w:color w:val="000000"/>
                <w:kern w:val="0"/>
                <w:highlight w:val="none"/>
              </w:rPr>
            </w:pPr>
            <w:r>
              <w:rPr>
                <w:rFonts w:hint="eastAsia" w:ascii="仿宋" w:hAnsi="仿宋" w:eastAsia="仿宋" w:cs="Times New Roman"/>
                <w:bCs/>
                <w:color w:val="000000"/>
                <w:kern w:val="0"/>
                <w:highlight w:val="none"/>
              </w:rPr>
              <w:t>结论：是否通过评审（须填写通过或不通过）</w:t>
            </w:r>
          </w:p>
          <w:p w14:paraId="3AFD4592">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r>
              <w:rPr>
                <w:rFonts w:hint="eastAsia" w:ascii="仿宋" w:hAnsi="仿宋" w:eastAsia="仿宋" w:cs="Times New Roman"/>
                <w:bCs/>
                <w:color w:val="000000"/>
                <w:kern w:val="0"/>
                <w:highlight w:val="none"/>
              </w:rPr>
              <w:t>注： 如有一项不合格， 作废标处理。</w:t>
            </w:r>
          </w:p>
        </w:tc>
        <w:tc>
          <w:tcPr>
            <w:tcW w:w="743" w:type="dxa"/>
            <w:vAlign w:val="center"/>
          </w:tcPr>
          <w:p w14:paraId="5B21B5F9">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c>
          <w:tcPr>
            <w:tcW w:w="743" w:type="dxa"/>
            <w:vAlign w:val="center"/>
          </w:tcPr>
          <w:p w14:paraId="45872712">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r>
    </w:tbl>
    <w:p w14:paraId="52055A2B">
      <w:pPr>
        <w:spacing w:line="300" w:lineRule="auto"/>
        <w:ind w:left="60"/>
        <w:rPr>
          <w:rFonts w:hint="eastAsia" w:ascii="仿宋" w:hAnsi="仿宋" w:eastAsia="仿宋" w:cs="仿宋"/>
          <w:highlight w:val="none"/>
        </w:rPr>
      </w:pPr>
    </w:p>
    <w:p w14:paraId="17114CE6">
      <w:pPr>
        <w:spacing w:line="300" w:lineRule="auto"/>
        <w:ind w:left="60"/>
        <w:rPr>
          <w:rFonts w:hint="eastAsia" w:ascii="仿宋" w:hAnsi="仿宋" w:eastAsia="仿宋" w:cs="仿宋"/>
          <w:highlight w:val="none"/>
        </w:rPr>
      </w:pPr>
      <w:r>
        <w:rPr>
          <w:rFonts w:hint="eastAsia" w:ascii="仿宋" w:hAnsi="仿宋" w:eastAsia="仿宋" w:cs="仿宋"/>
          <w:highlight w:val="none"/>
        </w:rPr>
        <w:t>说明：</w:t>
      </w:r>
    </w:p>
    <w:p w14:paraId="42395522">
      <w:pPr>
        <w:numPr>
          <w:ilvl w:val="1"/>
          <w:numId w:val="9"/>
        </w:numPr>
        <w:spacing w:line="300" w:lineRule="auto"/>
        <w:rPr>
          <w:rFonts w:hint="eastAsia" w:ascii="仿宋" w:hAnsi="仿宋" w:eastAsia="仿宋" w:cs="仿宋"/>
          <w:highlight w:val="none"/>
          <w:lang w:eastAsia="zh-CN"/>
        </w:rPr>
      </w:pPr>
      <w:r>
        <w:rPr>
          <w:rFonts w:hint="eastAsia" w:ascii="仿宋" w:hAnsi="仿宋" w:eastAsia="仿宋" w:cs="仿宋"/>
          <w:highlight w:val="none"/>
          <w:lang w:eastAsia="zh-CN"/>
        </w:rPr>
        <w:t>上述各项中用“√”表示通过，“×”表示不通过；</w:t>
      </w:r>
    </w:p>
    <w:p w14:paraId="7B9783A2">
      <w:pPr>
        <w:numPr>
          <w:ilvl w:val="1"/>
          <w:numId w:val="9"/>
        </w:numPr>
        <w:spacing w:line="300" w:lineRule="auto"/>
        <w:rPr>
          <w:rFonts w:hint="eastAsia" w:ascii="仿宋" w:hAnsi="仿宋" w:eastAsia="仿宋" w:cs="仿宋"/>
          <w:highlight w:val="none"/>
          <w:lang w:eastAsia="zh-CN"/>
        </w:rPr>
      </w:pPr>
      <w:r>
        <w:rPr>
          <w:rFonts w:hint="eastAsia" w:ascii="仿宋" w:hAnsi="仿宋" w:eastAsia="仿宋" w:cs="仿宋"/>
          <w:highlight w:val="none"/>
          <w:lang w:eastAsia="zh-CN"/>
        </w:rPr>
        <w:t>上述各项中如有一项为“×”，则结论为“×”，表示该投标文件中存在重大偏差，不能通过初步评审；评委对某一分项评审认为不合格时，必须要写明原因。</w:t>
      </w:r>
    </w:p>
    <w:p w14:paraId="34DA8C06">
      <w:pPr>
        <w:numPr>
          <w:ilvl w:val="1"/>
          <w:numId w:val="9"/>
        </w:numPr>
        <w:spacing w:line="300" w:lineRule="auto"/>
        <w:rPr>
          <w:rFonts w:hint="eastAsia" w:ascii="仿宋" w:hAnsi="仿宋" w:eastAsia="仿宋" w:cs="仿宋"/>
          <w:highlight w:val="none"/>
          <w:lang w:eastAsia="zh-CN"/>
        </w:rPr>
      </w:pPr>
      <w:r>
        <w:rPr>
          <w:rFonts w:hint="eastAsia" w:ascii="仿宋" w:hAnsi="仿宋" w:eastAsia="仿宋" w:cs="仿宋"/>
          <w:highlight w:val="none"/>
          <w:lang w:eastAsia="zh-CN"/>
        </w:rPr>
        <w:t>投标文件最终合格与否，以所有评委的评审意见中少数服从多数为原则定论。</w:t>
      </w:r>
    </w:p>
    <w:p w14:paraId="3D88A9CB">
      <w:pPr>
        <w:spacing w:line="300" w:lineRule="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注：如果投标文件中有一项未通过上述审查标准，评标委员会将认定整个投标文件未响应招标文件而予以废标处理。</w:t>
      </w:r>
    </w:p>
    <w:p w14:paraId="1CAA603F">
      <w:pPr>
        <w:pStyle w:val="8"/>
        <w:tabs>
          <w:tab w:val="left" w:pos="567"/>
        </w:tabs>
        <w:spacing w:line="360" w:lineRule="auto"/>
        <w:ind w:left="-181" w:leftChars="-86" w:firstLine="660" w:firstLineChars="275"/>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3.3.2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24F396D5">
      <w:pPr>
        <w:pStyle w:val="8"/>
        <w:tabs>
          <w:tab w:val="left" w:pos="567"/>
        </w:tabs>
        <w:spacing w:line="360" w:lineRule="auto"/>
        <w:ind w:left="-181" w:leftChars="-86" w:firstLine="660" w:firstLineChars="275"/>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3.3.3投标文件正本、副本以骑缝章的形式代替投标文件内容逐页盖章的（但是骑缝章模糊不清，印章名称无法辨认的除外）本项目不作为实质性要求进行规定，即不作为符合性审查事项，不得作为无效投标处理：</w:t>
      </w:r>
    </w:p>
    <w:p w14:paraId="06199747">
      <w:pPr>
        <w:pStyle w:val="8"/>
        <w:tabs>
          <w:tab w:val="left" w:pos="567"/>
        </w:tabs>
        <w:spacing w:line="360" w:lineRule="auto"/>
        <w:ind w:left="-181" w:leftChars="-86" w:firstLine="660" w:firstLineChars="275"/>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3.3.4投标人有下列情形之一的,评标委员会认定为投标人串通投标，其投标无效，书面报告财政部门：</w:t>
      </w:r>
    </w:p>
    <w:p w14:paraId="4228C5EA">
      <w:pPr>
        <w:pStyle w:val="8"/>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0" w:leftChars="0" w:firstLine="480" w:firstLineChars="200"/>
        <w:textAlignment w:val="baseline"/>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（1）不同投标人的投标文件由同一单位或者个人编制；</w:t>
      </w:r>
    </w:p>
    <w:p w14:paraId="46A017AD">
      <w:pPr>
        <w:pStyle w:val="8"/>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0" w:leftChars="0" w:firstLine="480" w:firstLineChars="200"/>
        <w:textAlignment w:val="baseline"/>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（2）不同投标人委托同一单位或者个人办理投标事宜；</w:t>
      </w:r>
    </w:p>
    <w:p w14:paraId="3E58E0B3">
      <w:pPr>
        <w:pStyle w:val="8"/>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0" w:leftChars="0" w:firstLine="480" w:firstLineChars="200"/>
        <w:textAlignment w:val="baseline"/>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（3）不同投标人的投标文件载明的项目管理成员或者联系人员为同一人；</w:t>
      </w:r>
    </w:p>
    <w:p w14:paraId="14754070">
      <w:pPr>
        <w:pStyle w:val="8"/>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0" w:leftChars="0" w:firstLine="480" w:firstLineChars="200"/>
        <w:textAlignment w:val="baseline"/>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（4）不同投标人的投标文件异常一致或者投标报价呈规律性差异；</w:t>
      </w:r>
    </w:p>
    <w:p w14:paraId="548DB34D">
      <w:pPr>
        <w:pStyle w:val="8"/>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0" w:leftChars="0" w:firstLine="480" w:firstLineChars="200"/>
        <w:textAlignment w:val="baseline"/>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（5）不同投标人的投标文件相互混装；</w:t>
      </w:r>
    </w:p>
    <w:p w14:paraId="64DF4DCD">
      <w:pPr>
        <w:pStyle w:val="8"/>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0" w:leftChars="0" w:firstLine="480" w:firstLineChars="200"/>
        <w:textAlignment w:val="baseline"/>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3.4比较与评价。按招标文件中规定的评标方法和标准，对未作无效投标处理的投标文件进行技术、服务、商务等方面评估，综合比较与评价。</w:t>
      </w:r>
    </w:p>
    <w:p w14:paraId="7C92C918">
      <w:pPr>
        <w:pStyle w:val="8"/>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0" w:leftChars="0" w:firstLine="480" w:firstLineChars="200"/>
        <w:textAlignment w:val="baseline"/>
        <w:rPr>
          <w:rFonts w:hint="eastAsia"/>
          <w:highlight w:val="none"/>
          <w:lang w:eastAsia="zh-CN"/>
        </w:rPr>
      </w:pPr>
      <w:r>
        <w:rPr>
          <w:rFonts w:hint="eastAsia" w:ascii="仿宋" w:hAnsi="仿宋" w:eastAsia="仿宋" w:cs="仿宋"/>
          <w:iCs/>
          <w:color w:val="auto"/>
          <w:sz w:val="24"/>
          <w:szCs w:val="24"/>
          <w:highlight w:val="none"/>
          <w:lang w:eastAsia="zh-CN"/>
        </w:rPr>
        <w:t>3.4.1评标委员会首先按照招标文件要求对投标文件中的投标人资格、投标人资格证明文件、重要技术指标以及技术和商务上要求的其它重要内容进行审核，审核合格后即视为实质性响应的投标文件，除考虑投标价格外，还应考虑以下因素：投标文件中所报交货期及付款方式；货物的技术水平、性能和供货能力；货物的质量和适用性；配套产品的安全性、先进性；投标方为其所供货物提供零备件及售后服务的可能性；零备件、专用工具及相关服务的费用；招标文件中所要求的有关服务费用；发货到最终目的地的内陆运输、保险及其他费用；其他特殊要求因素（如节能、安全和环保等）。</w:t>
      </w:r>
    </w:p>
    <w:p w14:paraId="42D210CF">
      <w:pPr>
        <w:pStyle w:val="8"/>
        <w:keepNext w:val="0"/>
        <w:keepLines w:val="0"/>
        <w:pageBreakBefore w:val="0"/>
        <w:kinsoku/>
        <w:wordWrap/>
        <w:overflowPunct/>
        <w:topLinePunct w:val="0"/>
        <w:bidi w:val="0"/>
        <w:spacing w:before="0" w:line="360" w:lineRule="exact"/>
        <w:ind w:firstLine="482"/>
        <w:rPr>
          <w:rFonts w:hint="default" w:ascii="仿宋" w:hAnsi="仿宋" w:eastAsia="仿宋_GB2312" w:cs="仿宋"/>
          <w:b/>
          <w:bCs/>
          <w:iCs/>
          <w:spacing w:val="0"/>
          <w:w w:val="90"/>
          <w:sz w:val="22"/>
          <w:szCs w:val="22"/>
          <w:highlight w:val="none"/>
          <w:lang w:val="en-US" w:eastAsia="zh-CN"/>
        </w:rPr>
      </w:pPr>
      <w:r>
        <w:rPr>
          <w:rFonts w:hint="eastAsia" w:ascii="仿宋_GB2312" w:hAnsi="仿宋_GB2312" w:eastAsia="仿宋_GB2312" w:cs="仿宋_GB2312"/>
          <w:b/>
          <w:bCs/>
          <w:iCs/>
          <w:sz w:val="22"/>
          <w:szCs w:val="22"/>
          <w:highlight w:val="none"/>
        </w:rPr>
        <w:t>详细评分表：</w:t>
      </w:r>
      <w:r>
        <w:rPr>
          <w:rFonts w:hint="eastAsia" w:ascii="仿宋_GB2312" w:hAnsi="仿宋_GB2312" w:eastAsia="仿宋_GB2312" w:cs="仿宋_GB2312"/>
          <w:b/>
          <w:bCs/>
          <w:iCs/>
          <w:sz w:val="22"/>
          <w:szCs w:val="22"/>
          <w:highlight w:val="none"/>
          <w:lang w:val="en-US" w:eastAsia="zh-CN"/>
        </w:rPr>
        <w:t>评分表</w:t>
      </w:r>
    </w:p>
    <w:p w14:paraId="7B0E9217">
      <w:pPr>
        <w:pStyle w:val="8"/>
        <w:keepNext w:val="0"/>
        <w:keepLines w:val="0"/>
        <w:pageBreakBefore w:val="0"/>
        <w:kinsoku/>
        <w:wordWrap/>
        <w:overflowPunct/>
        <w:topLinePunct w:val="0"/>
        <w:autoSpaceDE/>
        <w:autoSpaceDN/>
        <w:bidi w:val="0"/>
        <w:spacing w:before="0" w:line="260" w:lineRule="exact"/>
        <w:ind w:firstLine="481"/>
        <w:rPr>
          <w:rFonts w:hint="eastAsia" w:ascii="方正公文仿宋" w:hAnsi="方正公文仿宋" w:eastAsia="方正公文仿宋" w:cs="方正公文仿宋"/>
          <w:b/>
          <w:bCs/>
          <w:iCs/>
          <w:spacing w:val="0"/>
          <w:w w:val="90"/>
          <w:sz w:val="22"/>
          <w:szCs w:val="22"/>
          <w:highlight w:val="none"/>
        </w:rPr>
      </w:pPr>
      <w:r>
        <w:rPr>
          <w:rFonts w:hint="eastAsia" w:ascii="方正公文仿宋" w:hAnsi="方正公文仿宋" w:eastAsia="方正公文仿宋" w:cs="方正公文仿宋"/>
          <w:b/>
          <w:bCs/>
          <w:iCs/>
          <w:spacing w:val="0"/>
          <w:w w:val="90"/>
          <w:sz w:val="22"/>
          <w:szCs w:val="22"/>
          <w:highlight w:val="none"/>
        </w:rPr>
        <w:t>1、报价得分（</w:t>
      </w:r>
      <w:r>
        <w:rPr>
          <w:rFonts w:hint="eastAsia" w:ascii="方正公文仿宋" w:hAnsi="方正公文仿宋" w:eastAsia="方正公文仿宋" w:cs="方正公文仿宋"/>
          <w:b/>
          <w:spacing w:val="0"/>
          <w:w w:val="90"/>
          <w:sz w:val="22"/>
          <w:szCs w:val="22"/>
          <w:highlight w:val="none"/>
        </w:rPr>
        <w:t>占总分值的</w:t>
      </w:r>
      <w:r>
        <w:rPr>
          <w:rFonts w:hint="eastAsia" w:ascii="方正公文仿宋" w:hAnsi="方正公文仿宋" w:eastAsia="方正公文仿宋" w:cs="方正公文仿宋"/>
          <w:b/>
          <w:spacing w:val="0"/>
          <w:w w:val="90"/>
          <w:sz w:val="22"/>
          <w:szCs w:val="22"/>
          <w:highlight w:val="none"/>
          <w:lang w:val="en-US" w:eastAsia="zh-CN"/>
        </w:rPr>
        <w:t>35</w:t>
      </w:r>
      <w:r>
        <w:rPr>
          <w:rFonts w:hint="eastAsia" w:ascii="方正公文仿宋" w:hAnsi="方正公文仿宋" w:eastAsia="方正公文仿宋" w:cs="方正公文仿宋"/>
          <w:b/>
          <w:spacing w:val="0"/>
          <w:w w:val="90"/>
          <w:sz w:val="22"/>
          <w:szCs w:val="22"/>
          <w:highlight w:val="none"/>
        </w:rPr>
        <w:t>%</w:t>
      </w:r>
      <w:r>
        <w:rPr>
          <w:rFonts w:hint="eastAsia" w:ascii="方正公文仿宋" w:hAnsi="方正公文仿宋" w:eastAsia="方正公文仿宋" w:cs="方正公文仿宋"/>
          <w:b/>
          <w:bCs/>
          <w:iCs/>
          <w:spacing w:val="0"/>
          <w:w w:val="90"/>
          <w:sz w:val="22"/>
          <w:szCs w:val="22"/>
          <w:highlight w:val="none"/>
        </w:rPr>
        <w:t>）</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15"/>
        <w:gridCol w:w="7580"/>
      </w:tblGrid>
      <w:tr w14:paraId="268B6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05" w:hRule="atLeast"/>
          <w:tblHeader/>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37DD7DE">
            <w:pPr>
              <w:pStyle w:val="55"/>
              <w:keepNext w:val="0"/>
              <w:keepLines w:val="0"/>
              <w:pageBreakBefore w:val="0"/>
              <w:kinsoku/>
              <w:wordWrap/>
              <w:overflowPunct/>
              <w:topLinePunct w:val="0"/>
              <w:autoSpaceDE/>
              <w:autoSpaceDN/>
              <w:bidi w:val="0"/>
              <w:snapToGrid/>
              <w:spacing w:before="0" w:after="0" w:line="260" w:lineRule="exact"/>
              <w:ind w:firstLine="0"/>
              <w:jc w:val="center"/>
              <w:rPr>
                <w:rFonts w:hint="eastAsia" w:ascii="方正公文仿宋" w:hAnsi="方正公文仿宋" w:eastAsia="方正公文仿宋" w:cs="方正公文仿宋"/>
                <w:spacing w:val="0"/>
                <w:w w:val="90"/>
                <w:sz w:val="22"/>
                <w:szCs w:val="22"/>
                <w:highlight w:val="none"/>
              </w:rPr>
            </w:pPr>
            <w:r>
              <w:rPr>
                <w:rFonts w:hint="eastAsia" w:ascii="方正公文仿宋" w:hAnsi="方正公文仿宋" w:eastAsia="方正公文仿宋" w:cs="方正公文仿宋"/>
                <w:spacing w:val="0"/>
                <w:w w:val="90"/>
                <w:sz w:val="22"/>
                <w:szCs w:val="22"/>
                <w:highlight w:val="none"/>
              </w:rPr>
              <w:t>评审项目</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C37670A">
            <w:pPr>
              <w:pStyle w:val="55"/>
              <w:keepNext w:val="0"/>
              <w:keepLines w:val="0"/>
              <w:pageBreakBefore w:val="0"/>
              <w:kinsoku/>
              <w:wordWrap/>
              <w:overflowPunct/>
              <w:topLinePunct w:val="0"/>
              <w:autoSpaceDE/>
              <w:autoSpaceDN/>
              <w:bidi w:val="0"/>
              <w:snapToGrid/>
              <w:spacing w:before="0" w:after="0" w:line="260" w:lineRule="exact"/>
              <w:ind w:firstLine="0"/>
              <w:jc w:val="center"/>
              <w:rPr>
                <w:rFonts w:hint="eastAsia" w:ascii="方正公文仿宋" w:hAnsi="方正公文仿宋" w:eastAsia="方正公文仿宋" w:cs="方正公文仿宋"/>
                <w:spacing w:val="0"/>
                <w:w w:val="90"/>
                <w:sz w:val="22"/>
                <w:szCs w:val="22"/>
                <w:highlight w:val="none"/>
              </w:rPr>
            </w:pPr>
            <w:r>
              <w:rPr>
                <w:rFonts w:hint="eastAsia" w:ascii="方正公文仿宋" w:hAnsi="方正公文仿宋" w:eastAsia="方正公文仿宋" w:cs="方正公文仿宋"/>
                <w:spacing w:val="0"/>
                <w:w w:val="90"/>
                <w:sz w:val="22"/>
                <w:szCs w:val="22"/>
                <w:highlight w:val="none"/>
              </w:rPr>
              <w:t>评分标准</w:t>
            </w:r>
          </w:p>
        </w:tc>
      </w:tr>
      <w:tr w14:paraId="53D5F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1886E64">
            <w:pPr>
              <w:keepNext w:val="0"/>
              <w:keepLines w:val="0"/>
              <w:pageBreakBefore w:val="0"/>
              <w:kinsoku/>
              <w:wordWrap/>
              <w:overflowPunct/>
              <w:topLinePunct w:val="0"/>
              <w:autoSpaceDE/>
              <w:autoSpaceDN/>
              <w:bidi w:val="0"/>
              <w:snapToGrid/>
              <w:spacing w:line="260" w:lineRule="exact"/>
              <w:rPr>
                <w:rFonts w:hint="eastAsia" w:ascii="方正公文仿宋" w:hAnsi="方正公文仿宋" w:eastAsia="方正公文仿宋" w:cs="方正公文仿宋"/>
                <w:spacing w:val="0"/>
                <w:w w:val="90"/>
                <w:sz w:val="22"/>
                <w:szCs w:val="22"/>
                <w:highlight w:val="none"/>
              </w:rPr>
            </w:pPr>
            <w:r>
              <w:rPr>
                <w:rFonts w:hint="eastAsia" w:ascii="方正公文仿宋" w:hAnsi="方正公文仿宋" w:eastAsia="方正公文仿宋" w:cs="方正公文仿宋"/>
                <w:spacing w:val="0"/>
                <w:w w:val="90"/>
                <w:sz w:val="22"/>
                <w:szCs w:val="22"/>
                <w:highlight w:val="none"/>
              </w:rPr>
              <w:t>投标人报价（</w:t>
            </w:r>
            <w:r>
              <w:rPr>
                <w:rFonts w:hint="eastAsia" w:ascii="方正公文仿宋" w:hAnsi="方正公文仿宋" w:eastAsia="方正公文仿宋" w:cs="方正公文仿宋"/>
                <w:spacing w:val="0"/>
                <w:w w:val="90"/>
                <w:sz w:val="22"/>
                <w:szCs w:val="22"/>
                <w:highlight w:val="none"/>
                <w:lang w:val="en-US" w:eastAsia="zh-CN"/>
              </w:rPr>
              <w:t>35</w:t>
            </w:r>
            <w:r>
              <w:rPr>
                <w:rFonts w:hint="eastAsia" w:ascii="方正公文仿宋" w:hAnsi="方正公文仿宋" w:eastAsia="方正公文仿宋" w:cs="方正公文仿宋"/>
                <w:spacing w:val="0"/>
                <w:w w:val="90"/>
                <w:sz w:val="22"/>
                <w:szCs w:val="22"/>
                <w:highlight w:val="none"/>
              </w:rPr>
              <w:t>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EF8B3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方正公文仿宋" w:hAnsi="方正公文仿宋" w:eastAsia="方正公文仿宋" w:cs="方正公文仿宋"/>
                <w:spacing w:val="0"/>
                <w:w w:val="90"/>
                <w:sz w:val="22"/>
                <w:szCs w:val="22"/>
                <w:highlight w:val="none"/>
              </w:rPr>
            </w:pPr>
            <w:r>
              <w:rPr>
                <w:rFonts w:hint="eastAsia" w:ascii="方正公文仿宋" w:hAnsi="方正公文仿宋" w:eastAsia="方正公文仿宋" w:cs="方正公文仿宋"/>
                <w:color w:val="auto"/>
                <w:spacing w:val="0"/>
                <w:sz w:val="22"/>
                <w:szCs w:val="22"/>
                <w:highlight w:val="none"/>
              </w:rPr>
              <w:t>评标基准价=有效投标报价的最低值，有效投标报价等于基准值的得满分</w:t>
            </w:r>
            <w:r>
              <w:rPr>
                <w:rFonts w:hint="eastAsia" w:ascii="方正公文仿宋" w:hAnsi="方正公文仿宋" w:eastAsia="方正公文仿宋" w:cs="方正公文仿宋"/>
                <w:color w:val="auto"/>
                <w:spacing w:val="0"/>
                <w:sz w:val="22"/>
                <w:szCs w:val="22"/>
                <w:highlight w:val="none"/>
                <w:lang w:val="en-US" w:eastAsia="zh-CN"/>
              </w:rPr>
              <w:t>35</w:t>
            </w:r>
            <w:r>
              <w:rPr>
                <w:rFonts w:hint="eastAsia" w:ascii="方正公文仿宋" w:hAnsi="方正公文仿宋" w:eastAsia="方正公文仿宋" w:cs="方正公文仿宋"/>
                <w:color w:val="auto"/>
                <w:spacing w:val="0"/>
                <w:sz w:val="22"/>
                <w:szCs w:val="22"/>
                <w:highlight w:val="none"/>
              </w:rPr>
              <w:t>分，投标报价得分=（评标基准价/投标报价）×价格权重×100；有效投标报价为通过资格性和符合性审查的供应商报价。计算分数时四舍五入取小数点后两位,分数最高不超过</w:t>
            </w:r>
            <w:r>
              <w:rPr>
                <w:rFonts w:hint="eastAsia" w:ascii="方正公文仿宋" w:hAnsi="方正公文仿宋" w:eastAsia="方正公文仿宋" w:cs="方正公文仿宋"/>
                <w:color w:val="auto"/>
                <w:spacing w:val="0"/>
                <w:sz w:val="22"/>
                <w:szCs w:val="22"/>
                <w:highlight w:val="none"/>
                <w:lang w:val="en-US" w:eastAsia="zh-CN"/>
              </w:rPr>
              <w:t>35</w:t>
            </w:r>
            <w:r>
              <w:rPr>
                <w:rFonts w:hint="eastAsia" w:ascii="方正公文仿宋" w:hAnsi="方正公文仿宋" w:eastAsia="方正公文仿宋" w:cs="方正公文仿宋"/>
                <w:color w:val="auto"/>
                <w:spacing w:val="0"/>
                <w:sz w:val="22"/>
                <w:szCs w:val="22"/>
                <w:highlight w:val="none"/>
              </w:rPr>
              <w:t xml:space="preserve">分。评标过程中，不得去掉报价中的最低和最高报价。因落实政府采购政策进行价格调整的，以调整后的价格计算评标基准价和投标报价。对于经主管预算单位统筹后未预留份额专门面向中小企业采购的采购项目，以及预留份额项目中的非预留部分采购包，采购人、采购代理机构应当对符合本办法规定的小微企业报价给予 </w:t>
            </w:r>
            <w:bookmarkStart w:id="841" w:name="_GoBack"/>
            <w:bookmarkEnd w:id="841"/>
            <w:r>
              <w:rPr>
                <w:rFonts w:hint="eastAsia" w:ascii="方正公文仿宋" w:hAnsi="方正公文仿宋" w:eastAsia="方正公文仿宋" w:cs="方正公文仿宋"/>
                <w:color w:val="auto"/>
                <w:spacing w:val="0"/>
                <w:sz w:val="22"/>
                <w:szCs w:val="22"/>
                <w:highlight w:val="none"/>
              </w:rPr>
              <w:t>10%（工程项目为3%—5%）的扣除，用扣除后的价格参加评审。</w:t>
            </w:r>
          </w:p>
        </w:tc>
      </w:tr>
    </w:tbl>
    <w:p w14:paraId="7C467B7A">
      <w:pPr>
        <w:keepNext w:val="0"/>
        <w:keepLines w:val="0"/>
        <w:pageBreakBefore w:val="0"/>
        <w:kinsoku/>
        <w:wordWrap/>
        <w:overflowPunct/>
        <w:topLinePunct w:val="0"/>
        <w:autoSpaceDE/>
        <w:autoSpaceDN/>
        <w:bidi w:val="0"/>
        <w:spacing w:line="260" w:lineRule="exact"/>
        <w:jc w:val="left"/>
        <w:rPr>
          <w:rFonts w:hint="eastAsia" w:ascii="方正公文仿宋" w:hAnsi="方正公文仿宋" w:eastAsia="方正公文仿宋" w:cs="方正公文仿宋"/>
          <w:b/>
          <w:spacing w:val="0"/>
          <w:w w:val="90"/>
          <w:sz w:val="22"/>
          <w:szCs w:val="22"/>
          <w:highlight w:val="none"/>
        </w:rPr>
      </w:pPr>
    </w:p>
    <w:p w14:paraId="721AC389">
      <w:pPr>
        <w:keepNext w:val="0"/>
        <w:keepLines w:val="0"/>
        <w:pageBreakBefore w:val="0"/>
        <w:kinsoku/>
        <w:wordWrap/>
        <w:overflowPunct/>
        <w:topLinePunct w:val="0"/>
        <w:autoSpaceDE/>
        <w:autoSpaceDN/>
        <w:bidi w:val="0"/>
        <w:spacing w:line="260" w:lineRule="exact"/>
        <w:jc w:val="left"/>
        <w:rPr>
          <w:rFonts w:hint="eastAsia" w:ascii="方正公文仿宋" w:hAnsi="方正公文仿宋" w:eastAsia="方正公文仿宋" w:cs="方正公文仿宋"/>
          <w:b/>
          <w:spacing w:val="0"/>
          <w:w w:val="90"/>
          <w:sz w:val="22"/>
          <w:szCs w:val="22"/>
          <w:highlight w:val="none"/>
        </w:rPr>
      </w:pPr>
    </w:p>
    <w:p w14:paraId="49C59042">
      <w:pPr>
        <w:keepNext w:val="0"/>
        <w:keepLines w:val="0"/>
        <w:pageBreakBefore w:val="0"/>
        <w:kinsoku/>
        <w:wordWrap/>
        <w:overflowPunct/>
        <w:topLinePunct w:val="0"/>
        <w:autoSpaceDE/>
        <w:autoSpaceDN/>
        <w:bidi w:val="0"/>
        <w:spacing w:line="260" w:lineRule="exact"/>
        <w:jc w:val="left"/>
        <w:rPr>
          <w:rFonts w:hint="eastAsia" w:ascii="方正公文仿宋" w:hAnsi="方正公文仿宋" w:eastAsia="方正公文仿宋" w:cs="方正公文仿宋"/>
          <w:b/>
          <w:spacing w:val="0"/>
          <w:w w:val="90"/>
          <w:sz w:val="22"/>
          <w:szCs w:val="22"/>
          <w:highlight w:val="none"/>
        </w:rPr>
      </w:pPr>
    </w:p>
    <w:p w14:paraId="43C41D37">
      <w:pPr>
        <w:keepNext w:val="0"/>
        <w:keepLines w:val="0"/>
        <w:pageBreakBefore w:val="0"/>
        <w:kinsoku/>
        <w:wordWrap/>
        <w:overflowPunct/>
        <w:topLinePunct w:val="0"/>
        <w:autoSpaceDE/>
        <w:autoSpaceDN/>
        <w:bidi w:val="0"/>
        <w:spacing w:line="260" w:lineRule="exact"/>
        <w:jc w:val="left"/>
        <w:rPr>
          <w:rFonts w:hint="eastAsia" w:ascii="方正公文仿宋" w:hAnsi="方正公文仿宋" w:eastAsia="方正公文仿宋" w:cs="方正公文仿宋"/>
          <w:b/>
          <w:spacing w:val="0"/>
          <w:w w:val="90"/>
          <w:sz w:val="22"/>
          <w:szCs w:val="22"/>
          <w:highlight w:val="none"/>
        </w:rPr>
      </w:pPr>
    </w:p>
    <w:p w14:paraId="1AC50109">
      <w:pPr>
        <w:keepNext w:val="0"/>
        <w:keepLines w:val="0"/>
        <w:pageBreakBefore w:val="0"/>
        <w:kinsoku/>
        <w:wordWrap/>
        <w:overflowPunct/>
        <w:topLinePunct w:val="0"/>
        <w:autoSpaceDE/>
        <w:autoSpaceDN/>
        <w:bidi w:val="0"/>
        <w:spacing w:line="260" w:lineRule="exact"/>
        <w:jc w:val="left"/>
        <w:rPr>
          <w:rFonts w:hint="eastAsia" w:ascii="方正公文仿宋" w:hAnsi="方正公文仿宋" w:eastAsia="方正公文仿宋" w:cs="方正公文仿宋"/>
          <w:b/>
          <w:spacing w:val="0"/>
          <w:w w:val="90"/>
          <w:sz w:val="22"/>
          <w:szCs w:val="22"/>
          <w:highlight w:val="none"/>
        </w:rPr>
      </w:pPr>
    </w:p>
    <w:p w14:paraId="4C6D2F60">
      <w:pPr>
        <w:keepNext w:val="0"/>
        <w:keepLines w:val="0"/>
        <w:pageBreakBefore w:val="0"/>
        <w:kinsoku/>
        <w:wordWrap/>
        <w:overflowPunct/>
        <w:topLinePunct w:val="0"/>
        <w:autoSpaceDE/>
        <w:autoSpaceDN/>
        <w:bidi w:val="0"/>
        <w:spacing w:line="260" w:lineRule="exact"/>
        <w:jc w:val="left"/>
        <w:rPr>
          <w:rFonts w:hint="eastAsia" w:ascii="方正公文仿宋" w:hAnsi="方正公文仿宋" w:eastAsia="方正公文仿宋" w:cs="方正公文仿宋"/>
          <w:b/>
          <w:spacing w:val="0"/>
          <w:w w:val="90"/>
          <w:sz w:val="22"/>
          <w:szCs w:val="22"/>
          <w:highlight w:val="none"/>
        </w:rPr>
      </w:pPr>
    </w:p>
    <w:p w14:paraId="4595D869">
      <w:pPr>
        <w:keepNext w:val="0"/>
        <w:keepLines w:val="0"/>
        <w:pageBreakBefore w:val="0"/>
        <w:kinsoku/>
        <w:wordWrap/>
        <w:overflowPunct/>
        <w:topLinePunct w:val="0"/>
        <w:autoSpaceDE/>
        <w:autoSpaceDN/>
        <w:bidi w:val="0"/>
        <w:spacing w:line="260" w:lineRule="exact"/>
        <w:jc w:val="left"/>
        <w:rPr>
          <w:rFonts w:hint="eastAsia" w:ascii="方正公文仿宋" w:hAnsi="方正公文仿宋" w:eastAsia="方正公文仿宋" w:cs="方正公文仿宋"/>
          <w:b/>
          <w:spacing w:val="0"/>
          <w:w w:val="90"/>
          <w:sz w:val="22"/>
          <w:szCs w:val="22"/>
          <w:highlight w:val="none"/>
        </w:rPr>
      </w:pPr>
      <w:r>
        <w:rPr>
          <w:rFonts w:hint="eastAsia" w:ascii="方正公文仿宋" w:hAnsi="方正公文仿宋" w:eastAsia="方正公文仿宋" w:cs="方正公文仿宋"/>
          <w:b/>
          <w:spacing w:val="0"/>
          <w:w w:val="90"/>
          <w:sz w:val="22"/>
          <w:szCs w:val="22"/>
          <w:highlight w:val="none"/>
        </w:rPr>
        <w:t>2.技术部分（占总分值的</w:t>
      </w:r>
      <w:r>
        <w:rPr>
          <w:rFonts w:hint="eastAsia" w:ascii="方正公文仿宋" w:hAnsi="方正公文仿宋" w:eastAsia="方正公文仿宋" w:cs="方正公文仿宋"/>
          <w:b/>
          <w:spacing w:val="0"/>
          <w:w w:val="90"/>
          <w:sz w:val="22"/>
          <w:szCs w:val="22"/>
          <w:highlight w:val="none"/>
          <w:lang w:val="en-US" w:eastAsia="zh-CN"/>
        </w:rPr>
        <w:t>65</w:t>
      </w:r>
      <w:r>
        <w:rPr>
          <w:rFonts w:hint="eastAsia" w:ascii="方正公文仿宋" w:hAnsi="方正公文仿宋" w:eastAsia="方正公文仿宋" w:cs="方正公文仿宋"/>
          <w:b/>
          <w:spacing w:val="0"/>
          <w:w w:val="90"/>
          <w:sz w:val="22"/>
          <w:szCs w:val="22"/>
          <w:highlight w:val="none"/>
        </w:rPr>
        <w:t>%）</w:t>
      </w:r>
    </w:p>
    <w:p w14:paraId="018A3857">
      <w:pPr>
        <w:spacing w:before="23" w:line="229" w:lineRule="auto"/>
        <w:ind w:right="130"/>
        <w:jc w:val="both"/>
        <w:rPr>
          <w:rFonts w:hint="eastAsia" w:ascii="仿宋" w:hAnsi="仿宋" w:eastAsia="仿宋" w:cs="仿宋"/>
          <w:b/>
          <w:bCs/>
          <w:color w:val="FF0000"/>
          <w:spacing w:val="-1"/>
          <w:sz w:val="22"/>
          <w:szCs w:val="22"/>
          <w:highlight w:val="none"/>
          <w:lang w:val="en-US" w:eastAsia="zh-CN"/>
        </w:rPr>
      </w:pPr>
    </w:p>
    <w:tbl>
      <w:tblPr>
        <w:tblStyle w:val="23"/>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1100"/>
        <w:gridCol w:w="1100"/>
        <w:gridCol w:w="5059"/>
      </w:tblGrid>
      <w:tr w14:paraId="547F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00" w:type="dxa"/>
            <w:vAlign w:val="center"/>
          </w:tcPr>
          <w:p w14:paraId="66630D64">
            <w:pPr>
              <w:widowControl/>
              <w:jc w:val="center"/>
              <w:rPr>
                <w:rFonts w:eastAsia="仿宋"/>
                <w:b/>
                <w:bCs/>
                <w:color w:val="000000"/>
                <w:kern w:val="0"/>
                <w:szCs w:val="21"/>
              </w:rPr>
            </w:pPr>
            <w:r>
              <w:rPr>
                <w:rFonts w:eastAsia="仿宋"/>
                <w:b/>
                <w:bCs/>
                <w:color w:val="000000"/>
                <w:kern w:val="0"/>
                <w:szCs w:val="21"/>
              </w:rPr>
              <w:t>序号</w:t>
            </w:r>
          </w:p>
        </w:tc>
        <w:tc>
          <w:tcPr>
            <w:tcW w:w="1100" w:type="dxa"/>
            <w:vAlign w:val="center"/>
          </w:tcPr>
          <w:p w14:paraId="7476B73A">
            <w:pPr>
              <w:widowControl/>
              <w:jc w:val="center"/>
              <w:rPr>
                <w:rFonts w:eastAsia="仿宋"/>
                <w:b/>
                <w:bCs/>
                <w:color w:val="000000"/>
                <w:kern w:val="0"/>
                <w:szCs w:val="21"/>
              </w:rPr>
            </w:pPr>
            <w:r>
              <w:rPr>
                <w:rFonts w:eastAsia="仿宋"/>
                <w:b/>
                <w:bCs/>
                <w:color w:val="000000"/>
                <w:kern w:val="0"/>
                <w:szCs w:val="21"/>
              </w:rPr>
              <w:t>评分因素及权重</w:t>
            </w:r>
          </w:p>
        </w:tc>
        <w:tc>
          <w:tcPr>
            <w:tcW w:w="1100" w:type="dxa"/>
            <w:vAlign w:val="center"/>
          </w:tcPr>
          <w:p w14:paraId="049E4466">
            <w:pPr>
              <w:widowControl/>
              <w:jc w:val="center"/>
              <w:rPr>
                <w:rFonts w:eastAsia="仿宋"/>
                <w:b/>
                <w:bCs/>
                <w:color w:val="000000"/>
                <w:kern w:val="0"/>
                <w:szCs w:val="21"/>
              </w:rPr>
            </w:pPr>
            <w:r>
              <w:rPr>
                <w:rFonts w:eastAsia="仿宋"/>
                <w:b/>
                <w:bCs/>
                <w:color w:val="000000"/>
                <w:kern w:val="0"/>
                <w:szCs w:val="21"/>
              </w:rPr>
              <w:t>分值</w:t>
            </w:r>
          </w:p>
        </w:tc>
        <w:tc>
          <w:tcPr>
            <w:tcW w:w="5059" w:type="dxa"/>
            <w:vAlign w:val="center"/>
          </w:tcPr>
          <w:p w14:paraId="1A2D995F">
            <w:pPr>
              <w:widowControl/>
              <w:jc w:val="center"/>
              <w:rPr>
                <w:rFonts w:eastAsia="仿宋"/>
                <w:b/>
                <w:bCs/>
                <w:color w:val="000000"/>
                <w:kern w:val="0"/>
                <w:szCs w:val="21"/>
              </w:rPr>
            </w:pPr>
            <w:r>
              <w:rPr>
                <w:rFonts w:eastAsia="仿宋"/>
                <w:b/>
                <w:bCs/>
                <w:color w:val="000000"/>
                <w:kern w:val="0"/>
                <w:szCs w:val="21"/>
              </w:rPr>
              <w:t>评分标准</w:t>
            </w:r>
          </w:p>
        </w:tc>
      </w:tr>
      <w:tr w14:paraId="2D74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100" w:type="dxa"/>
            <w:vMerge w:val="restart"/>
            <w:vAlign w:val="center"/>
          </w:tcPr>
          <w:p w14:paraId="7E224F21">
            <w:pPr>
              <w:widowControl/>
              <w:jc w:val="center"/>
              <w:rPr>
                <w:rFonts w:eastAsia="仿宋"/>
                <w:color w:val="000000"/>
                <w:kern w:val="0"/>
                <w:szCs w:val="21"/>
              </w:rPr>
            </w:pPr>
            <w:r>
              <w:rPr>
                <w:rFonts w:eastAsia="仿宋"/>
                <w:color w:val="000000"/>
                <w:kern w:val="0"/>
                <w:szCs w:val="21"/>
              </w:rPr>
              <w:t>技术评审（</w:t>
            </w:r>
            <w:r>
              <w:rPr>
                <w:rFonts w:hint="eastAsia" w:eastAsia="仿宋"/>
                <w:color w:val="000000"/>
                <w:kern w:val="0"/>
                <w:szCs w:val="21"/>
                <w:lang w:val="en-US" w:eastAsia="zh-CN"/>
              </w:rPr>
              <w:t>55</w:t>
            </w:r>
            <w:r>
              <w:rPr>
                <w:rFonts w:eastAsia="仿宋"/>
                <w:color w:val="000000"/>
                <w:kern w:val="0"/>
                <w:szCs w:val="21"/>
              </w:rPr>
              <w:t>分）</w:t>
            </w:r>
          </w:p>
        </w:tc>
        <w:tc>
          <w:tcPr>
            <w:tcW w:w="1100" w:type="dxa"/>
            <w:vMerge w:val="restart"/>
            <w:vAlign w:val="center"/>
          </w:tcPr>
          <w:p w14:paraId="4C940C06">
            <w:pPr>
              <w:widowControl/>
              <w:jc w:val="center"/>
              <w:rPr>
                <w:rFonts w:eastAsia="仿宋"/>
                <w:color w:val="000000"/>
                <w:kern w:val="0"/>
                <w:szCs w:val="21"/>
              </w:rPr>
            </w:pPr>
            <w:r>
              <w:rPr>
                <w:rFonts w:eastAsia="仿宋"/>
                <w:color w:val="000000"/>
                <w:kern w:val="0"/>
                <w:szCs w:val="21"/>
              </w:rPr>
              <w:t>技术部分</w:t>
            </w:r>
          </w:p>
        </w:tc>
        <w:tc>
          <w:tcPr>
            <w:tcW w:w="1100" w:type="dxa"/>
            <w:vAlign w:val="center"/>
          </w:tcPr>
          <w:p w14:paraId="2513390A">
            <w:pPr>
              <w:keepNext w:val="0"/>
              <w:keepLines w:val="0"/>
              <w:pageBreakBefore w:val="0"/>
              <w:kinsoku/>
              <w:wordWrap/>
              <w:overflowPunct/>
              <w:topLinePunct w:val="0"/>
              <w:autoSpaceDE/>
              <w:autoSpaceDN/>
              <w:bidi w:val="0"/>
              <w:snapToGrid/>
              <w:spacing w:line="260" w:lineRule="exact"/>
              <w:rPr>
                <w:rFonts w:hint="eastAsia" w:ascii="方正公文仿宋" w:hAnsi="方正公文仿宋" w:eastAsia="方正公文仿宋" w:cs="方正公文仿宋"/>
                <w:color w:val="000000"/>
                <w:kern w:val="2"/>
                <w:sz w:val="22"/>
                <w:szCs w:val="22"/>
                <w:highlight w:val="none"/>
                <w:lang w:val="en-US" w:eastAsia="zh-CN" w:bidi="ar-SA"/>
              </w:rPr>
            </w:pPr>
            <w:r>
              <w:rPr>
                <w:rFonts w:hint="eastAsia" w:ascii="方正公文仿宋" w:hAnsi="方正公文仿宋" w:eastAsia="方正公文仿宋" w:cs="方正公文仿宋"/>
                <w:color w:val="000000"/>
                <w:kern w:val="2"/>
                <w:sz w:val="22"/>
                <w:szCs w:val="22"/>
                <w:highlight w:val="none"/>
                <w:lang w:val="en-US" w:eastAsia="zh-CN" w:bidi="ar-SA"/>
              </w:rPr>
              <w:t>配置及性能指标</w:t>
            </w:r>
          </w:p>
          <w:p w14:paraId="0A406C33">
            <w:pPr>
              <w:keepNext w:val="0"/>
              <w:keepLines w:val="0"/>
              <w:pageBreakBefore w:val="0"/>
              <w:kinsoku/>
              <w:wordWrap/>
              <w:overflowPunct/>
              <w:topLinePunct w:val="0"/>
              <w:autoSpaceDE/>
              <w:autoSpaceDN/>
              <w:bidi w:val="0"/>
              <w:snapToGrid/>
              <w:spacing w:line="260" w:lineRule="exact"/>
              <w:rPr>
                <w:rFonts w:eastAsia="仿宋"/>
                <w:kern w:val="0"/>
                <w:szCs w:val="21"/>
              </w:rPr>
            </w:pPr>
            <w:r>
              <w:rPr>
                <w:rFonts w:hint="eastAsia" w:ascii="方正公文仿宋" w:hAnsi="方正公文仿宋" w:eastAsia="方正公文仿宋" w:cs="方正公文仿宋"/>
                <w:color w:val="000000"/>
                <w:kern w:val="2"/>
                <w:sz w:val="22"/>
                <w:szCs w:val="22"/>
                <w:highlight w:val="none"/>
                <w:lang w:val="en-US" w:eastAsia="zh-CN" w:bidi="ar-SA"/>
              </w:rPr>
              <w:t>（40分）</w:t>
            </w:r>
          </w:p>
        </w:tc>
        <w:tc>
          <w:tcPr>
            <w:tcW w:w="5059" w:type="dxa"/>
            <w:vAlign w:val="center"/>
          </w:tcPr>
          <w:p w14:paraId="6C305054">
            <w:pPr>
              <w:keepNext w:val="0"/>
              <w:keepLines w:val="0"/>
              <w:pageBreakBefore w:val="0"/>
              <w:kinsoku/>
              <w:wordWrap/>
              <w:overflowPunct/>
              <w:topLinePunct w:val="0"/>
              <w:autoSpaceDE/>
              <w:autoSpaceDN/>
              <w:bidi w:val="0"/>
              <w:snapToGrid/>
              <w:spacing w:line="260" w:lineRule="exact"/>
              <w:rPr>
                <w:rFonts w:hint="default" w:ascii="方正公文仿宋" w:hAnsi="方正公文仿宋" w:eastAsia="方正公文仿宋" w:cs="方正公文仿宋"/>
                <w:color w:val="000000"/>
                <w:kern w:val="2"/>
                <w:sz w:val="22"/>
                <w:szCs w:val="22"/>
                <w:highlight w:val="none"/>
                <w:lang w:val="en-US" w:eastAsia="zh-CN" w:bidi="ar-SA"/>
              </w:rPr>
            </w:pPr>
            <w:r>
              <w:rPr>
                <w:rFonts w:hint="eastAsia" w:ascii="方正公文仿宋" w:hAnsi="方正公文仿宋" w:eastAsia="方正公文仿宋" w:cs="方正公文仿宋"/>
                <w:color w:val="000000"/>
                <w:kern w:val="2"/>
                <w:sz w:val="22"/>
                <w:szCs w:val="22"/>
                <w:highlight w:val="none"/>
                <w:lang w:val="en-US" w:eastAsia="zh-CN" w:bidi="ar-SA"/>
              </w:rPr>
              <w:t>1.对《采购需求》中带“★”重要参数，优于或完全符合采购文件要求的带“★”的10项得15分，偏离1项扣1.5分，扣完为止。</w:t>
            </w:r>
          </w:p>
          <w:p w14:paraId="0E9062E3">
            <w:pPr>
              <w:keepNext w:val="0"/>
              <w:keepLines w:val="0"/>
              <w:pageBreakBefore w:val="0"/>
              <w:kinsoku/>
              <w:wordWrap/>
              <w:overflowPunct/>
              <w:topLinePunct w:val="0"/>
              <w:autoSpaceDE/>
              <w:autoSpaceDN/>
              <w:bidi w:val="0"/>
              <w:snapToGrid/>
              <w:spacing w:line="260" w:lineRule="exact"/>
              <w:rPr>
                <w:rFonts w:hint="eastAsia" w:ascii="方正公文仿宋" w:hAnsi="方正公文仿宋" w:eastAsia="方正公文仿宋" w:cs="方正公文仿宋"/>
                <w:color w:val="000000"/>
                <w:kern w:val="2"/>
                <w:sz w:val="22"/>
                <w:szCs w:val="22"/>
                <w:highlight w:val="none"/>
                <w:lang w:val="en-US" w:eastAsia="zh-CN" w:bidi="ar-SA"/>
              </w:rPr>
            </w:pPr>
            <w:r>
              <w:rPr>
                <w:rFonts w:hint="eastAsia" w:ascii="方正公文仿宋" w:hAnsi="方正公文仿宋" w:eastAsia="方正公文仿宋" w:cs="方正公文仿宋"/>
                <w:color w:val="000000"/>
                <w:kern w:val="2"/>
                <w:sz w:val="22"/>
                <w:szCs w:val="22"/>
                <w:highlight w:val="none"/>
                <w:lang w:val="en-US" w:eastAsia="zh-CN" w:bidi="ar-SA"/>
              </w:rPr>
              <w:t>2.不带“★”一般参数优于或完全符合采购文件要求的得20分，每负偏离1项扣1分，扣完为止。注：对采购需求书技术要求参数中带“★”号的条款，要求提供相关证明资料的，则投标文件须提供对应参数的证明资料，否则不得分。</w:t>
            </w:r>
          </w:p>
          <w:p w14:paraId="36C15AD5">
            <w:pPr>
              <w:keepNext w:val="0"/>
              <w:keepLines w:val="0"/>
              <w:pageBreakBefore w:val="0"/>
              <w:kinsoku/>
              <w:wordWrap/>
              <w:overflowPunct/>
              <w:topLinePunct w:val="0"/>
              <w:autoSpaceDE/>
              <w:autoSpaceDN/>
              <w:bidi w:val="0"/>
              <w:snapToGrid/>
              <w:spacing w:line="260" w:lineRule="exact"/>
              <w:rPr>
                <w:rFonts w:hint="default" w:ascii="方正公文仿宋" w:hAnsi="方正公文仿宋" w:eastAsia="方正公文仿宋" w:cs="方正公文仿宋"/>
                <w:color w:val="000000"/>
                <w:kern w:val="2"/>
                <w:sz w:val="22"/>
                <w:szCs w:val="22"/>
                <w:highlight w:val="none"/>
                <w:lang w:val="en-US" w:eastAsia="zh-CN" w:bidi="ar-SA"/>
              </w:rPr>
            </w:pPr>
            <w:r>
              <w:rPr>
                <w:rFonts w:hint="eastAsia" w:ascii="方正公文仿宋" w:hAnsi="方正公文仿宋" w:eastAsia="方正公文仿宋" w:cs="方正公文仿宋"/>
                <w:color w:val="000000"/>
                <w:kern w:val="2"/>
                <w:sz w:val="22"/>
                <w:szCs w:val="22"/>
                <w:highlight w:val="none"/>
                <w:lang w:val="en-US" w:eastAsia="zh-CN" w:bidi="ar-SA"/>
              </w:rPr>
              <w:t>3.本项目要求:投标人须具有独立法人资格，具备承担本项目货物供应，人员培训，心理健康咨询，心理辅导室建设及配套相关服务的履约能力。提供的相关证明资料齐全得5分，提供的证明资料不齐全或不提供不得分。</w:t>
            </w:r>
          </w:p>
        </w:tc>
      </w:tr>
      <w:tr w14:paraId="52FE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0" w:type="dxa"/>
            <w:vMerge w:val="continue"/>
            <w:vAlign w:val="center"/>
          </w:tcPr>
          <w:p w14:paraId="0AA9D3ED">
            <w:pPr>
              <w:widowControl/>
              <w:jc w:val="left"/>
              <w:rPr>
                <w:rFonts w:eastAsia="仿宋"/>
                <w:color w:val="000000"/>
                <w:kern w:val="0"/>
                <w:szCs w:val="21"/>
              </w:rPr>
            </w:pPr>
          </w:p>
        </w:tc>
        <w:tc>
          <w:tcPr>
            <w:tcW w:w="1100" w:type="dxa"/>
            <w:vMerge w:val="continue"/>
            <w:vAlign w:val="center"/>
          </w:tcPr>
          <w:p w14:paraId="0F9B7B63">
            <w:pPr>
              <w:widowControl/>
              <w:jc w:val="left"/>
              <w:rPr>
                <w:rFonts w:eastAsia="仿宋"/>
                <w:color w:val="000000"/>
                <w:kern w:val="0"/>
                <w:szCs w:val="21"/>
              </w:rPr>
            </w:pPr>
          </w:p>
        </w:tc>
        <w:tc>
          <w:tcPr>
            <w:tcW w:w="1100" w:type="dxa"/>
            <w:vAlign w:val="center"/>
          </w:tcPr>
          <w:p w14:paraId="6174E4E8">
            <w:pPr>
              <w:keepNext w:val="0"/>
              <w:keepLines w:val="0"/>
              <w:pageBreakBefore w:val="0"/>
              <w:kinsoku/>
              <w:wordWrap/>
              <w:overflowPunct/>
              <w:topLinePunct w:val="0"/>
              <w:autoSpaceDE/>
              <w:autoSpaceDN/>
              <w:bidi w:val="0"/>
              <w:snapToGrid/>
              <w:spacing w:line="260" w:lineRule="exact"/>
              <w:rPr>
                <w:rFonts w:eastAsia="仿宋"/>
                <w:kern w:val="0"/>
                <w:szCs w:val="21"/>
              </w:rPr>
            </w:pPr>
            <w:r>
              <w:rPr>
                <w:rFonts w:hint="eastAsia" w:ascii="方正公文仿宋" w:hAnsi="方正公文仿宋" w:eastAsia="方正公文仿宋" w:cs="方正公文仿宋"/>
                <w:color w:val="000000"/>
                <w:kern w:val="2"/>
                <w:sz w:val="22"/>
                <w:szCs w:val="22"/>
                <w:highlight w:val="none"/>
                <w:lang w:val="en-US" w:eastAsia="zh-CN" w:bidi="ar-SA"/>
              </w:rPr>
              <w:t>培训方案 （10分）</w:t>
            </w:r>
          </w:p>
        </w:tc>
        <w:tc>
          <w:tcPr>
            <w:tcW w:w="5059" w:type="dxa"/>
            <w:vAlign w:val="center"/>
          </w:tcPr>
          <w:p w14:paraId="13F5FAFD">
            <w:pPr>
              <w:keepNext w:val="0"/>
              <w:keepLines w:val="0"/>
              <w:pageBreakBefore w:val="0"/>
              <w:kinsoku/>
              <w:wordWrap/>
              <w:overflowPunct/>
              <w:topLinePunct w:val="0"/>
              <w:autoSpaceDE/>
              <w:autoSpaceDN/>
              <w:bidi w:val="0"/>
              <w:snapToGrid/>
              <w:spacing w:line="260" w:lineRule="exact"/>
              <w:rPr>
                <w:rFonts w:eastAsia="仿宋"/>
                <w:kern w:val="0"/>
                <w:szCs w:val="21"/>
              </w:rPr>
            </w:pPr>
            <w:r>
              <w:rPr>
                <w:rFonts w:hint="eastAsia" w:ascii="方正公文仿宋" w:hAnsi="方正公文仿宋" w:eastAsia="方正公文仿宋" w:cs="方正公文仿宋"/>
                <w:color w:val="000000"/>
                <w:kern w:val="2"/>
                <w:sz w:val="22"/>
                <w:szCs w:val="22"/>
                <w:highlight w:val="none"/>
                <w:lang w:val="en-US" w:eastAsia="zh-CN" w:bidi="ar-SA"/>
              </w:rPr>
              <w:t>培训方案包括：①培训方式；②培训目标；③培训人员；④培训内容；⑤培训承诺。对投标人提供的培训方案进行评价，全部符合实际需求并有印证材料</w:t>
            </w:r>
            <w:r>
              <w:rPr>
                <w:rFonts w:hint="default" w:ascii="方正公文仿宋" w:hAnsi="方正公文仿宋" w:eastAsia="方正公文仿宋" w:cs="方正公文仿宋"/>
                <w:color w:val="000000"/>
                <w:kern w:val="2"/>
                <w:sz w:val="22"/>
                <w:szCs w:val="22"/>
                <w:highlight w:val="none"/>
                <w:lang w:val="en-US" w:eastAsia="zh-CN" w:bidi="ar-SA"/>
              </w:rPr>
              <w:t>每项得2分</w:t>
            </w:r>
            <w:r>
              <w:rPr>
                <w:rFonts w:hint="eastAsia" w:ascii="方正公文仿宋" w:hAnsi="方正公文仿宋" w:eastAsia="方正公文仿宋" w:cs="方正公文仿宋"/>
                <w:color w:val="000000"/>
                <w:kern w:val="2"/>
                <w:sz w:val="22"/>
                <w:szCs w:val="22"/>
                <w:highlight w:val="none"/>
                <w:lang w:val="en-US" w:eastAsia="zh-CN" w:bidi="ar-SA"/>
              </w:rPr>
              <w:t>，最高得10分</w:t>
            </w:r>
            <w:r>
              <w:rPr>
                <w:rFonts w:hint="default" w:ascii="方正公文仿宋" w:hAnsi="方正公文仿宋" w:eastAsia="方正公文仿宋" w:cs="方正公文仿宋"/>
                <w:color w:val="000000"/>
                <w:kern w:val="2"/>
                <w:sz w:val="22"/>
                <w:szCs w:val="22"/>
                <w:highlight w:val="none"/>
                <w:lang w:val="en-US" w:eastAsia="zh-CN" w:bidi="ar-SA"/>
              </w:rPr>
              <w:t>，若存在</w:t>
            </w:r>
            <w:r>
              <w:rPr>
                <w:rFonts w:hint="eastAsia" w:ascii="方正公文仿宋" w:hAnsi="方正公文仿宋" w:eastAsia="方正公文仿宋" w:cs="方正公文仿宋"/>
                <w:color w:val="000000"/>
                <w:kern w:val="2"/>
                <w:sz w:val="22"/>
                <w:szCs w:val="22"/>
                <w:highlight w:val="none"/>
                <w:lang w:val="en-US" w:eastAsia="zh-CN" w:bidi="ar-SA"/>
              </w:rPr>
              <w:t>缺项漏项</w:t>
            </w:r>
            <w:r>
              <w:rPr>
                <w:rFonts w:hint="default" w:ascii="方正公文仿宋" w:hAnsi="方正公文仿宋" w:eastAsia="方正公文仿宋" w:cs="方正公文仿宋"/>
                <w:color w:val="000000"/>
                <w:kern w:val="2"/>
                <w:sz w:val="22"/>
                <w:szCs w:val="22"/>
                <w:highlight w:val="none"/>
                <w:lang w:val="en-US" w:eastAsia="zh-CN" w:bidi="ar-SA"/>
              </w:rPr>
              <w:t>的每项得1</w:t>
            </w:r>
            <w:r>
              <w:rPr>
                <w:rFonts w:hint="eastAsia" w:ascii="方正公文仿宋" w:hAnsi="方正公文仿宋" w:eastAsia="方正公文仿宋" w:cs="方正公文仿宋"/>
                <w:color w:val="000000"/>
                <w:kern w:val="2"/>
                <w:sz w:val="22"/>
                <w:szCs w:val="22"/>
                <w:highlight w:val="none"/>
                <w:lang w:val="en-US" w:eastAsia="zh-CN" w:bidi="ar-SA"/>
              </w:rPr>
              <w:t>分</w:t>
            </w:r>
            <w:r>
              <w:rPr>
                <w:rFonts w:hint="default" w:ascii="方正公文仿宋" w:hAnsi="方正公文仿宋" w:eastAsia="方正公文仿宋" w:cs="方正公文仿宋"/>
                <w:color w:val="000000"/>
                <w:kern w:val="2"/>
                <w:sz w:val="22"/>
                <w:szCs w:val="22"/>
                <w:highlight w:val="none"/>
                <w:lang w:val="en-US" w:eastAsia="zh-CN" w:bidi="ar-SA"/>
              </w:rPr>
              <w:t>。</w:t>
            </w:r>
            <w:r>
              <w:rPr>
                <w:rFonts w:hint="eastAsia" w:ascii="方正公文仿宋" w:hAnsi="方正公文仿宋" w:eastAsia="方正公文仿宋" w:cs="方正公文仿宋"/>
                <w:color w:val="000000"/>
                <w:kern w:val="2"/>
                <w:sz w:val="22"/>
                <w:szCs w:val="22"/>
                <w:highlight w:val="none"/>
                <w:lang w:val="en-US" w:eastAsia="zh-CN" w:bidi="ar-SA"/>
              </w:rPr>
              <w:t>不提供不得分。</w:t>
            </w:r>
          </w:p>
        </w:tc>
      </w:tr>
      <w:tr w14:paraId="2C25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1100" w:type="dxa"/>
            <w:vMerge w:val="continue"/>
            <w:vAlign w:val="center"/>
          </w:tcPr>
          <w:p w14:paraId="135C9F5F">
            <w:pPr>
              <w:widowControl/>
              <w:jc w:val="left"/>
              <w:rPr>
                <w:rFonts w:eastAsia="仿宋"/>
                <w:color w:val="000000"/>
                <w:kern w:val="0"/>
                <w:szCs w:val="21"/>
              </w:rPr>
            </w:pPr>
          </w:p>
        </w:tc>
        <w:tc>
          <w:tcPr>
            <w:tcW w:w="1100" w:type="dxa"/>
            <w:vMerge w:val="continue"/>
            <w:vAlign w:val="center"/>
          </w:tcPr>
          <w:p w14:paraId="6A1F4B24">
            <w:pPr>
              <w:widowControl/>
              <w:jc w:val="left"/>
              <w:rPr>
                <w:rFonts w:eastAsia="仿宋"/>
                <w:color w:val="000000"/>
                <w:kern w:val="0"/>
                <w:szCs w:val="21"/>
              </w:rPr>
            </w:pPr>
          </w:p>
        </w:tc>
        <w:tc>
          <w:tcPr>
            <w:tcW w:w="1100" w:type="dxa"/>
            <w:vAlign w:val="center"/>
          </w:tcPr>
          <w:p w14:paraId="6854640F">
            <w:pPr>
              <w:keepNext w:val="0"/>
              <w:keepLines w:val="0"/>
              <w:pageBreakBefore w:val="0"/>
              <w:kinsoku/>
              <w:wordWrap/>
              <w:overflowPunct/>
              <w:topLinePunct w:val="0"/>
              <w:autoSpaceDE/>
              <w:autoSpaceDN/>
              <w:bidi w:val="0"/>
              <w:snapToGrid/>
              <w:spacing w:line="260" w:lineRule="exact"/>
              <w:rPr>
                <w:rFonts w:hint="eastAsia" w:ascii="方正公文仿宋" w:hAnsi="方正公文仿宋" w:eastAsia="方正公文仿宋" w:cs="方正公文仿宋"/>
                <w:color w:val="000000"/>
                <w:kern w:val="2"/>
                <w:sz w:val="22"/>
                <w:szCs w:val="22"/>
                <w:highlight w:val="none"/>
                <w:lang w:val="en-US" w:eastAsia="zh-CN" w:bidi="ar-SA"/>
              </w:rPr>
            </w:pPr>
            <w:r>
              <w:rPr>
                <w:rFonts w:hint="eastAsia" w:ascii="方正公文仿宋" w:hAnsi="方正公文仿宋" w:eastAsia="方正公文仿宋" w:cs="方正公文仿宋"/>
                <w:color w:val="000000"/>
                <w:kern w:val="2"/>
                <w:sz w:val="22"/>
                <w:szCs w:val="22"/>
                <w:highlight w:val="none"/>
                <w:lang w:val="en-US" w:eastAsia="zh-CN" w:bidi="ar-SA"/>
              </w:rPr>
              <w:t>应急处理方案</w:t>
            </w:r>
          </w:p>
          <w:p w14:paraId="78B2F237">
            <w:pPr>
              <w:keepNext w:val="0"/>
              <w:keepLines w:val="0"/>
              <w:pageBreakBefore w:val="0"/>
              <w:kinsoku/>
              <w:wordWrap/>
              <w:overflowPunct/>
              <w:topLinePunct w:val="0"/>
              <w:autoSpaceDE/>
              <w:autoSpaceDN/>
              <w:bidi w:val="0"/>
              <w:snapToGrid/>
              <w:spacing w:line="260" w:lineRule="exact"/>
              <w:rPr>
                <w:rFonts w:eastAsia="仿宋"/>
                <w:kern w:val="0"/>
                <w:szCs w:val="21"/>
              </w:rPr>
            </w:pPr>
            <w:r>
              <w:rPr>
                <w:rFonts w:hint="eastAsia" w:ascii="方正公文仿宋" w:hAnsi="方正公文仿宋" w:eastAsia="方正公文仿宋" w:cs="方正公文仿宋"/>
                <w:color w:val="000000"/>
                <w:kern w:val="2"/>
                <w:sz w:val="22"/>
                <w:szCs w:val="22"/>
                <w:highlight w:val="none"/>
                <w:lang w:val="en-US" w:eastAsia="zh-CN" w:bidi="ar-SA"/>
              </w:rPr>
              <w:t>（5分）</w:t>
            </w:r>
          </w:p>
        </w:tc>
        <w:tc>
          <w:tcPr>
            <w:tcW w:w="5059" w:type="dxa"/>
            <w:vAlign w:val="center"/>
          </w:tcPr>
          <w:p w14:paraId="60AFE6C7">
            <w:pPr>
              <w:keepNext w:val="0"/>
              <w:keepLines w:val="0"/>
              <w:pageBreakBefore w:val="0"/>
              <w:kinsoku/>
              <w:wordWrap/>
              <w:overflowPunct/>
              <w:topLinePunct w:val="0"/>
              <w:autoSpaceDE/>
              <w:autoSpaceDN/>
              <w:bidi w:val="0"/>
              <w:snapToGrid/>
              <w:spacing w:line="260" w:lineRule="exact"/>
              <w:rPr>
                <w:rFonts w:eastAsia="仿宋"/>
                <w:kern w:val="0"/>
                <w:szCs w:val="21"/>
              </w:rPr>
            </w:pPr>
            <w:r>
              <w:rPr>
                <w:rFonts w:hint="eastAsia" w:ascii="方正公文仿宋" w:hAnsi="方正公文仿宋" w:eastAsia="方正公文仿宋" w:cs="方正公文仿宋"/>
                <w:color w:val="000000"/>
                <w:kern w:val="2"/>
                <w:sz w:val="22"/>
                <w:szCs w:val="22"/>
                <w:highlight w:val="none"/>
                <w:lang w:val="en-US" w:eastAsia="zh-CN" w:bidi="ar-SA"/>
              </w:rPr>
              <w:t>应急处理方案包括①应急小组人员构成、②应急设备设施投入、③应急预案、④应急保障体系⑤应急响应时间。对投标人提供的应急方案进行评价，满足需求、完整合理并有印证材料</w:t>
            </w:r>
            <w:r>
              <w:rPr>
                <w:rFonts w:hint="default" w:ascii="方正公文仿宋" w:hAnsi="方正公文仿宋" w:eastAsia="方正公文仿宋" w:cs="方正公文仿宋"/>
                <w:color w:val="000000"/>
                <w:kern w:val="2"/>
                <w:sz w:val="22"/>
                <w:szCs w:val="22"/>
                <w:highlight w:val="none"/>
                <w:lang w:val="en-US" w:eastAsia="zh-CN" w:bidi="ar-SA"/>
              </w:rPr>
              <w:t>每项得1分，</w:t>
            </w:r>
            <w:r>
              <w:rPr>
                <w:rFonts w:hint="eastAsia" w:ascii="方正公文仿宋" w:hAnsi="方正公文仿宋" w:eastAsia="方正公文仿宋" w:cs="方正公文仿宋"/>
                <w:color w:val="000000"/>
                <w:kern w:val="2"/>
                <w:sz w:val="22"/>
                <w:szCs w:val="22"/>
                <w:highlight w:val="none"/>
                <w:lang w:val="en-US" w:eastAsia="zh-CN" w:bidi="ar-SA"/>
              </w:rPr>
              <w:t>最高得5分，</w:t>
            </w:r>
            <w:r>
              <w:rPr>
                <w:rFonts w:hint="default" w:ascii="方正公文仿宋" w:hAnsi="方正公文仿宋" w:eastAsia="方正公文仿宋" w:cs="方正公文仿宋"/>
                <w:color w:val="000000"/>
                <w:kern w:val="2"/>
                <w:sz w:val="22"/>
                <w:szCs w:val="22"/>
                <w:highlight w:val="none"/>
                <w:lang w:val="en-US" w:eastAsia="zh-CN" w:bidi="ar-SA"/>
              </w:rPr>
              <w:t>若存在</w:t>
            </w:r>
            <w:r>
              <w:rPr>
                <w:rFonts w:hint="eastAsia" w:ascii="方正公文仿宋" w:hAnsi="方正公文仿宋" w:eastAsia="方正公文仿宋" w:cs="方正公文仿宋"/>
                <w:color w:val="000000"/>
                <w:kern w:val="2"/>
                <w:sz w:val="22"/>
                <w:szCs w:val="22"/>
                <w:highlight w:val="none"/>
                <w:lang w:val="en-US" w:eastAsia="zh-CN" w:bidi="ar-SA"/>
              </w:rPr>
              <w:t>缺项漏项</w:t>
            </w:r>
            <w:r>
              <w:rPr>
                <w:rFonts w:hint="default" w:ascii="方正公文仿宋" w:hAnsi="方正公文仿宋" w:eastAsia="方正公文仿宋" w:cs="方正公文仿宋"/>
                <w:color w:val="000000"/>
                <w:kern w:val="2"/>
                <w:sz w:val="22"/>
                <w:szCs w:val="22"/>
                <w:highlight w:val="none"/>
                <w:lang w:val="en-US" w:eastAsia="zh-CN" w:bidi="ar-SA"/>
              </w:rPr>
              <w:t>的每项得0.5</w:t>
            </w:r>
            <w:r>
              <w:rPr>
                <w:rFonts w:hint="eastAsia" w:ascii="方正公文仿宋" w:hAnsi="方正公文仿宋" w:eastAsia="方正公文仿宋" w:cs="方正公文仿宋"/>
                <w:color w:val="000000"/>
                <w:kern w:val="2"/>
                <w:sz w:val="22"/>
                <w:szCs w:val="22"/>
                <w:highlight w:val="none"/>
                <w:lang w:val="en-US" w:eastAsia="zh-CN" w:bidi="ar-SA"/>
              </w:rPr>
              <w:t>分。不提供不得分。</w:t>
            </w:r>
          </w:p>
        </w:tc>
      </w:tr>
      <w:tr w14:paraId="446E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00" w:type="dxa"/>
            <w:vAlign w:val="center"/>
          </w:tcPr>
          <w:p w14:paraId="123847C2">
            <w:pPr>
              <w:widowControl/>
              <w:jc w:val="center"/>
              <w:rPr>
                <w:rFonts w:eastAsia="仿宋"/>
                <w:color w:val="000000"/>
                <w:kern w:val="0"/>
                <w:szCs w:val="21"/>
              </w:rPr>
            </w:pPr>
            <w:r>
              <w:rPr>
                <w:rFonts w:eastAsia="仿宋"/>
                <w:color w:val="000000"/>
                <w:kern w:val="0"/>
                <w:szCs w:val="21"/>
              </w:rPr>
              <w:t>商务评审（</w:t>
            </w:r>
            <w:r>
              <w:rPr>
                <w:rFonts w:hint="eastAsia" w:eastAsia="仿宋"/>
                <w:color w:val="000000"/>
                <w:kern w:val="0"/>
                <w:szCs w:val="21"/>
                <w:lang w:val="en-US" w:eastAsia="zh-CN"/>
              </w:rPr>
              <w:t>10</w:t>
            </w:r>
            <w:r>
              <w:rPr>
                <w:rFonts w:eastAsia="仿宋"/>
                <w:color w:val="000000"/>
                <w:kern w:val="0"/>
                <w:szCs w:val="21"/>
              </w:rPr>
              <w:t>分）</w:t>
            </w:r>
          </w:p>
        </w:tc>
        <w:tc>
          <w:tcPr>
            <w:tcW w:w="1100" w:type="dxa"/>
            <w:vAlign w:val="center"/>
          </w:tcPr>
          <w:p w14:paraId="68C655C5">
            <w:pPr>
              <w:widowControl/>
              <w:jc w:val="center"/>
              <w:rPr>
                <w:rFonts w:eastAsia="仿宋"/>
                <w:color w:val="000000"/>
                <w:kern w:val="0"/>
                <w:szCs w:val="21"/>
              </w:rPr>
            </w:pPr>
            <w:r>
              <w:rPr>
                <w:rFonts w:eastAsia="仿宋"/>
                <w:color w:val="000000"/>
                <w:kern w:val="0"/>
                <w:szCs w:val="21"/>
              </w:rPr>
              <w:t>商务部分</w:t>
            </w:r>
          </w:p>
        </w:tc>
        <w:tc>
          <w:tcPr>
            <w:tcW w:w="1100" w:type="dxa"/>
            <w:vAlign w:val="center"/>
          </w:tcPr>
          <w:p w14:paraId="789D41C5">
            <w:pPr>
              <w:widowControl/>
              <w:jc w:val="center"/>
              <w:rPr>
                <w:rFonts w:eastAsia="仿宋"/>
                <w:color w:val="000000"/>
                <w:kern w:val="0"/>
                <w:szCs w:val="21"/>
              </w:rPr>
            </w:pPr>
            <w:r>
              <w:rPr>
                <w:rFonts w:hint="eastAsia" w:ascii="方正公文仿宋" w:hAnsi="方正公文仿宋" w:eastAsia="方正公文仿宋" w:cs="方正公文仿宋"/>
                <w:color w:val="000000"/>
                <w:kern w:val="2"/>
                <w:sz w:val="22"/>
                <w:szCs w:val="22"/>
                <w:highlight w:val="none"/>
                <w:lang w:val="en-US" w:eastAsia="zh-CN" w:bidi="ar-SA"/>
              </w:rPr>
              <w:t>售后服务方案（10分）</w:t>
            </w:r>
          </w:p>
        </w:tc>
        <w:tc>
          <w:tcPr>
            <w:tcW w:w="5059" w:type="dxa"/>
            <w:vAlign w:val="center"/>
          </w:tcPr>
          <w:p w14:paraId="4BB2CC20">
            <w:pPr>
              <w:widowControl/>
              <w:jc w:val="left"/>
              <w:rPr>
                <w:rFonts w:eastAsia="仿宋"/>
                <w:color w:val="000000"/>
                <w:kern w:val="0"/>
                <w:szCs w:val="21"/>
              </w:rPr>
            </w:pPr>
            <w:r>
              <w:rPr>
                <w:rFonts w:hint="eastAsia" w:ascii="方正公文仿宋" w:hAnsi="方正公文仿宋" w:eastAsia="方正公文仿宋" w:cs="方正公文仿宋"/>
                <w:color w:val="000000"/>
                <w:kern w:val="2"/>
                <w:sz w:val="22"/>
                <w:szCs w:val="22"/>
                <w:highlight w:val="none"/>
                <w:lang w:val="en-US" w:eastAsia="zh-CN" w:bidi="ar-SA"/>
              </w:rPr>
              <w:t>售后服务方案：①售后服务承诺质保期三年；②售后时间响应及问题解决措施；③针对本项目设有专业维修人员；④备用机保证；⑤设有备件仓库保证常规配件供应。全部符合实际需求并有印证材料</w:t>
            </w:r>
            <w:r>
              <w:rPr>
                <w:rFonts w:hint="default" w:ascii="方正公文仿宋" w:hAnsi="方正公文仿宋" w:eastAsia="方正公文仿宋" w:cs="方正公文仿宋"/>
                <w:color w:val="000000"/>
                <w:kern w:val="2"/>
                <w:sz w:val="22"/>
                <w:szCs w:val="22"/>
                <w:highlight w:val="none"/>
                <w:lang w:val="en-US" w:eastAsia="zh-CN" w:bidi="ar-SA"/>
              </w:rPr>
              <w:t>每项得2分，</w:t>
            </w:r>
            <w:r>
              <w:rPr>
                <w:rFonts w:hint="eastAsia" w:ascii="方正公文仿宋" w:hAnsi="方正公文仿宋" w:eastAsia="方正公文仿宋" w:cs="方正公文仿宋"/>
                <w:color w:val="000000"/>
                <w:kern w:val="2"/>
                <w:sz w:val="22"/>
                <w:szCs w:val="22"/>
                <w:highlight w:val="none"/>
                <w:lang w:val="en-US" w:eastAsia="zh-CN" w:bidi="ar-SA"/>
              </w:rPr>
              <w:t>最高得10分，</w:t>
            </w:r>
            <w:r>
              <w:rPr>
                <w:rFonts w:hint="default" w:ascii="方正公文仿宋" w:hAnsi="方正公文仿宋" w:eastAsia="方正公文仿宋" w:cs="方正公文仿宋"/>
                <w:color w:val="000000"/>
                <w:kern w:val="2"/>
                <w:sz w:val="22"/>
                <w:szCs w:val="22"/>
                <w:highlight w:val="none"/>
                <w:lang w:val="en-US" w:eastAsia="zh-CN" w:bidi="ar-SA"/>
              </w:rPr>
              <w:t>若存在</w:t>
            </w:r>
            <w:r>
              <w:rPr>
                <w:rFonts w:hint="eastAsia" w:ascii="方正公文仿宋" w:hAnsi="方正公文仿宋" w:eastAsia="方正公文仿宋" w:cs="方正公文仿宋"/>
                <w:color w:val="000000"/>
                <w:kern w:val="2"/>
                <w:sz w:val="22"/>
                <w:szCs w:val="22"/>
                <w:highlight w:val="none"/>
                <w:lang w:val="en-US" w:eastAsia="zh-CN" w:bidi="ar-SA"/>
              </w:rPr>
              <w:t>缺项漏项</w:t>
            </w:r>
            <w:r>
              <w:rPr>
                <w:rFonts w:hint="default" w:ascii="方正公文仿宋" w:hAnsi="方正公文仿宋" w:eastAsia="方正公文仿宋" w:cs="方正公文仿宋"/>
                <w:color w:val="000000"/>
                <w:kern w:val="2"/>
                <w:sz w:val="22"/>
                <w:szCs w:val="22"/>
                <w:highlight w:val="none"/>
                <w:lang w:val="en-US" w:eastAsia="zh-CN" w:bidi="ar-SA"/>
              </w:rPr>
              <w:t>的每项得1</w:t>
            </w:r>
            <w:r>
              <w:rPr>
                <w:rFonts w:hint="eastAsia" w:ascii="方正公文仿宋" w:hAnsi="方正公文仿宋" w:eastAsia="方正公文仿宋" w:cs="方正公文仿宋"/>
                <w:color w:val="000000"/>
                <w:kern w:val="2"/>
                <w:sz w:val="22"/>
                <w:szCs w:val="22"/>
                <w:highlight w:val="none"/>
                <w:lang w:val="en-US" w:eastAsia="zh-CN" w:bidi="ar-SA"/>
              </w:rPr>
              <w:t>分。不提供不得分。</w:t>
            </w:r>
          </w:p>
        </w:tc>
      </w:tr>
    </w:tbl>
    <w:p w14:paraId="42DD2E65">
      <w:pPr>
        <w:spacing w:before="23" w:line="229" w:lineRule="auto"/>
        <w:ind w:right="130" w:firstLine="219" w:firstLineChars="100"/>
        <w:jc w:val="both"/>
        <w:rPr>
          <w:rFonts w:hint="eastAsia" w:ascii="仿宋" w:hAnsi="仿宋" w:eastAsia="仿宋" w:cs="仿宋"/>
          <w:b/>
          <w:bCs/>
          <w:color w:val="FF0000"/>
          <w:spacing w:val="-1"/>
          <w:sz w:val="22"/>
          <w:szCs w:val="22"/>
          <w:highlight w:val="none"/>
          <w:lang w:val="en-US" w:eastAsia="zh-CN"/>
        </w:rPr>
      </w:pPr>
    </w:p>
    <w:p w14:paraId="05633C00">
      <w:pPr>
        <w:spacing w:before="23" w:line="229" w:lineRule="auto"/>
        <w:ind w:right="130" w:firstLine="219" w:firstLineChars="100"/>
        <w:jc w:val="both"/>
        <w:rPr>
          <w:rFonts w:hint="eastAsia" w:ascii="仿宋" w:hAnsi="仿宋" w:eastAsia="仿宋" w:cs="仿宋"/>
          <w:b/>
          <w:bCs/>
          <w:iCs/>
          <w:color w:val="auto"/>
          <w:sz w:val="24"/>
          <w:szCs w:val="24"/>
          <w:highlight w:val="none"/>
        </w:rPr>
      </w:pPr>
      <w:r>
        <w:rPr>
          <w:rFonts w:hint="eastAsia" w:ascii="仿宋" w:hAnsi="仿宋" w:eastAsia="仿宋" w:cs="仿宋"/>
          <w:b/>
          <w:bCs/>
          <w:color w:val="auto"/>
          <w:spacing w:val="-1"/>
          <w:sz w:val="22"/>
          <w:szCs w:val="22"/>
          <w:highlight w:val="none"/>
          <w:lang w:val="zh-CN" w:eastAsia="zh-CN"/>
        </w:rPr>
        <w:t>备注：</w:t>
      </w:r>
    </w:p>
    <w:p w14:paraId="32F2DE0B">
      <w:pPr>
        <w:pStyle w:val="8"/>
        <w:tabs>
          <w:tab w:val="left" w:pos="567"/>
        </w:tabs>
        <w:spacing w:line="360" w:lineRule="auto"/>
        <w:ind w:left="-181" w:leftChars="-86" w:firstLine="660" w:firstLineChars="275"/>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评审完毕，评标委员会根据汇总各投标企业的综合得分，按照得分高低进行排序，取前三名作为中标候选人推荐给招标委员会。如果两投标人的得分相同，投标价格低者排在前。</w:t>
      </w:r>
    </w:p>
    <w:p w14:paraId="693BAD80">
      <w:pPr>
        <w:pStyle w:val="38"/>
        <w:spacing w:line="440" w:lineRule="exact"/>
        <w:ind w:left="0" w:firstLineChars="200"/>
        <w:rPr>
          <w:rStyle w:val="28"/>
          <w:rFonts w:hint="eastAsia" w:ascii="仿宋" w:hAnsi="仿宋" w:eastAsia="仿宋" w:cs="仿宋"/>
          <w:iCs/>
          <w:color w:val="auto"/>
          <w:szCs w:val="24"/>
          <w:highlight w:val="none"/>
          <w:lang w:eastAsia="zh-CN"/>
        </w:rPr>
      </w:pPr>
      <w:r>
        <w:rPr>
          <w:rStyle w:val="28"/>
          <w:rFonts w:hint="eastAsia" w:ascii="仿宋" w:hAnsi="仿宋" w:eastAsia="仿宋" w:cs="仿宋"/>
          <w:iCs/>
          <w:color w:val="auto"/>
          <w:szCs w:val="24"/>
          <w:highlight w:val="none"/>
          <w:lang w:eastAsia="zh-CN"/>
        </w:rPr>
        <w:t>本项目参数要求、评审内容如有指向性，仅作为招标参考，投标产品不应低于招标要求，如有不符合要求，视为不响应招标文件规定。</w:t>
      </w:r>
    </w:p>
    <w:p w14:paraId="13097547">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3.5复核。评分汇总结束后，评标委员会应当进行复核，特别要对拟推荐为中标候选供应商的、报价最低的、投标文件被认定为无效的进行重点复核。</w:t>
      </w:r>
    </w:p>
    <w:p w14:paraId="718E818A">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3.6推荐中标候选供应商。中标候选供应商应当排序。</w:t>
      </w:r>
    </w:p>
    <w:p w14:paraId="44897ED8">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3.7出具评标报告。评标委员会推荐中标候选供应商后，应当向招标采购单位出具评标报告。评标报告应当包括下列内容：</w:t>
      </w:r>
    </w:p>
    <w:p w14:paraId="5DE9C14A">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（一）招标公告刊登的媒体名称、开标日期和地点；</w:t>
      </w:r>
    </w:p>
    <w:p w14:paraId="481290C0">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（二）评标委员会成员名单；</w:t>
      </w:r>
    </w:p>
    <w:p w14:paraId="1DD64B89">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（三）评标方法和标准；</w:t>
      </w:r>
    </w:p>
    <w:p w14:paraId="75726307">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（四）开标记录和评标情况及说明，包括无效投标人名单及原因；</w:t>
      </w:r>
    </w:p>
    <w:p w14:paraId="495965D0">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（五）评标结果，确定的中标候选人名单或者经采购人委托直接确定的中标人；</w:t>
      </w:r>
    </w:p>
    <w:p w14:paraId="576A031E">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（六）其他需要说明的情况，包括评标过程中投标人根据评标委员会要求进行的澄清、说明或者补正，评标委员会成员的更换等。</w:t>
      </w:r>
    </w:p>
    <w:p w14:paraId="705ED3A4">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362E78B0">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3.8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14:paraId="58A181EE">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3.9供应商应当书面澄清、说明或者更正。</w:t>
      </w:r>
    </w:p>
    <w:p w14:paraId="1DDF007D">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3.9.1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14:paraId="6D90301A">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 xml:space="preserve">  3.9.2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但投标人的澄清、说明或者补正不得超出投标文件的范围或者改变投标文件的实质性内容。</w:t>
      </w:r>
    </w:p>
    <w:p w14:paraId="3ED4C14E">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3.9.3评标委员会要求供应商澄清、说明或者更正，不得超出招标文件的范围，不得以此让供应商实质改变投标文件的内容，不得影响供应商公平竞争。本项目下列内容不得澄清：</w:t>
      </w:r>
    </w:p>
    <w:p w14:paraId="2FC46B7C">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（一）按财政部规定应当在评标时不予承认的投标文件内容事项；</w:t>
      </w:r>
    </w:p>
    <w:p w14:paraId="47DAB143">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（二）投标文件中已经明确的内容事项；</w:t>
      </w:r>
    </w:p>
    <w:p w14:paraId="5BFBA7CD">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（三）投标文件未提供的材料。</w:t>
      </w:r>
    </w:p>
    <w:p w14:paraId="640BF7AA">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3.10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7AF0EE7">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49C61347">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3.11招标采购单位现场复核评标结果。</w:t>
      </w:r>
    </w:p>
    <w:p w14:paraId="54E106CD">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3.11.1评标结果汇总完成后，评标委员会拟出具评标报告前，招标采购单位应当组织本单位工作人员，在采购现场监督人员的监督之下，依据有关的法律制度和采购文件对评标结果进行复核，提出复核意见。</w:t>
      </w:r>
    </w:p>
    <w:p w14:paraId="70FD33B5">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评标报告签署前，经复核发现存在实质性错误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FA126F6">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5、 废 标</w:t>
      </w:r>
    </w:p>
    <w:p w14:paraId="4298C3E9">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废标后，采购代理机构应在网上公告。投标人需要知晓导致废标情形的具体原因和理由的，可以通过书面形式询问招标采购单位。</w:t>
      </w:r>
    </w:p>
    <w:p w14:paraId="4DFD9D43">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对于评标过程中废标的采购项目，评标委员会应当对招标文件是否存在倾向性和歧视性、是否存在不合理条款进行论证，并出具书面论证意见。</w:t>
      </w:r>
    </w:p>
    <w:p w14:paraId="1ED322EE">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6、定标</w:t>
      </w:r>
    </w:p>
    <w:p w14:paraId="435FB19F">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6.1. 定标原则：由采购人根据评标委员会的推荐意见确定中标供应商。</w:t>
      </w:r>
    </w:p>
    <w:p w14:paraId="28D0922B">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6.2. 定标程序</w:t>
      </w:r>
    </w:p>
    <w:p w14:paraId="3C8FF5D7">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6.2.1 评标委员会将评标情况写出书面报告，推荐中标候选供应商。</w:t>
      </w:r>
    </w:p>
    <w:p w14:paraId="2EE12933">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6.2.2 采购代理机构在评标结束后2个工作日内将评标报告送采购人。</w:t>
      </w:r>
    </w:p>
    <w:p w14:paraId="3492B2CA">
      <w:pPr>
        <w:pStyle w:val="21"/>
        <w:spacing w:beforeAutospacing="0" w:afterAutospacing="0" w:line="440" w:lineRule="exact"/>
        <w:ind w:firstLine="480" w:firstLineChars="200"/>
        <w:jc w:val="both"/>
        <w:rPr>
          <w:rFonts w:hint="eastAsia" w:ascii="仿宋" w:hAnsi="仿宋" w:eastAsia="仿宋" w:cs="仿宋"/>
          <w:iCs/>
          <w:color w:val="auto"/>
          <w:kern w:val="2"/>
          <w:szCs w:val="24"/>
          <w:highlight w:val="none"/>
          <w:lang w:eastAsia="zh-CN"/>
        </w:rPr>
      </w:pPr>
      <w:r>
        <w:rPr>
          <w:rFonts w:hint="eastAsia" w:ascii="仿宋" w:hAnsi="仿宋" w:eastAsia="仿宋" w:cs="仿宋"/>
          <w:iCs/>
          <w:color w:val="auto"/>
          <w:kern w:val="2"/>
          <w:szCs w:val="24"/>
          <w:highlight w:val="none"/>
          <w:lang w:eastAsia="zh-CN"/>
        </w:rPr>
        <w:t>6.2.3 采购人在收到评标报告后5个工作日内，按照评标报告中推荐的中标候选供应商顺序确定中标供应商。</w:t>
      </w:r>
    </w:p>
    <w:p w14:paraId="4D0D969F">
      <w:pPr>
        <w:pStyle w:val="21"/>
        <w:spacing w:beforeAutospacing="0" w:afterAutospacing="0" w:line="440" w:lineRule="exact"/>
        <w:ind w:left="147" w:firstLine="480" w:firstLineChars="200"/>
        <w:jc w:val="both"/>
        <w:rPr>
          <w:rFonts w:hint="eastAsia" w:ascii="仿宋" w:hAnsi="仿宋" w:eastAsia="仿宋" w:cs="仿宋"/>
          <w:iCs/>
          <w:color w:val="auto"/>
          <w:kern w:val="2"/>
          <w:szCs w:val="24"/>
          <w:highlight w:val="none"/>
          <w:lang w:eastAsia="zh-CN"/>
        </w:rPr>
      </w:pPr>
      <w:r>
        <w:rPr>
          <w:rFonts w:hint="eastAsia" w:ascii="仿宋" w:hAnsi="仿宋" w:eastAsia="仿宋" w:cs="仿宋"/>
          <w:iCs/>
          <w:color w:val="auto"/>
          <w:kern w:val="2"/>
          <w:szCs w:val="24"/>
          <w:highlight w:val="none"/>
          <w:lang w:eastAsia="zh-CN"/>
        </w:rPr>
        <w:t>采用最低评标价法的，评标结果按投标报价由低到高顺序排列。投标报价相同的并列。投标文件满足招标文件全部实质性要求且投标报价最低的投标人为排名第一的中标候选人。</w:t>
      </w:r>
    </w:p>
    <w:p w14:paraId="25CF6836">
      <w:pPr>
        <w:pStyle w:val="18"/>
        <w:spacing w:line="440" w:lineRule="exact"/>
        <w:ind w:left="0" w:firstLineChars="200"/>
        <w:rPr>
          <w:rFonts w:hint="eastAsia" w:ascii="仿宋" w:hAnsi="仿宋" w:eastAsia="仿宋" w:cs="仿宋"/>
          <w:iCs/>
          <w:color w:val="auto"/>
          <w:kern w:val="2"/>
          <w:szCs w:val="24"/>
          <w:highlight w:val="none"/>
          <w:lang w:eastAsia="zh-CN"/>
        </w:rPr>
      </w:pPr>
      <w:r>
        <w:rPr>
          <w:rFonts w:hint="eastAsia" w:ascii="仿宋" w:hAnsi="仿宋" w:eastAsia="仿宋" w:cs="仿宋"/>
          <w:iCs/>
          <w:color w:val="auto"/>
          <w:kern w:val="2"/>
          <w:szCs w:val="24"/>
          <w:highlight w:val="none"/>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3D10CD3E">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6.2.4 根据采购人确定的中标供应商，采购代理机构在新疆政府采购网上发布中标公告，并自采购人确定中标之日起3个工作日内向中标供应商发出中标通知书。</w:t>
      </w:r>
    </w:p>
    <w:p w14:paraId="3F63052A">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6.2.5 招标采购单位不退回投标人投标文件和其他投标资料。</w:t>
      </w:r>
    </w:p>
    <w:p w14:paraId="23D2B724">
      <w:pPr>
        <w:rPr>
          <w:rStyle w:val="28"/>
          <w:rFonts w:hint="eastAsia" w:ascii="仿宋" w:hAnsi="仿宋" w:eastAsia="仿宋" w:cs="仿宋"/>
          <w:b/>
          <w:color w:val="auto"/>
          <w:sz w:val="52"/>
          <w:szCs w:val="52"/>
          <w:highlight w:val="none"/>
          <w:lang w:eastAsia="zh-CN"/>
        </w:rPr>
      </w:pPr>
      <w:r>
        <w:rPr>
          <w:rStyle w:val="28"/>
          <w:rFonts w:hint="eastAsia" w:ascii="仿宋" w:hAnsi="仿宋" w:eastAsia="仿宋" w:cs="仿宋"/>
          <w:b/>
          <w:color w:val="auto"/>
          <w:sz w:val="52"/>
          <w:szCs w:val="52"/>
          <w:highlight w:val="none"/>
          <w:lang w:eastAsia="zh-CN"/>
        </w:rPr>
        <w:br w:type="page"/>
      </w:r>
    </w:p>
    <w:p w14:paraId="4C16CCC1">
      <w:pPr>
        <w:spacing w:line="240" w:lineRule="atLeast"/>
        <w:jc w:val="center"/>
        <w:rPr>
          <w:rStyle w:val="28"/>
          <w:rFonts w:hint="eastAsia" w:ascii="仿宋" w:hAnsi="仿宋" w:eastAsia="仿宋" w:cs="仿宋"/>
          <w:b/>
          <w:color w:val="auto"/>
          <w:sz w:val="52"/>
          <w:szCs w:val="52"/>
          <w:highlight w:val="none"/>
          <w:lang w:eastAsia="zh-CN"/>
        </w:rPr>
      </w:pPr>
    </w:p>
    <w:p w14:paraId="1D5418EF">
      <w:pPr>
        <w:spacing w:line="240" w:lineRule="atLeast"/>
        <w:jc w:val="center"/>
        <w:rPr>
          <w:rStyle w:val="28"/>
          <w:rFonts w:hint="eastAsia" w:ascii="仿宋" w:hAnsi="仿宋" w:eastAsia="仿宋" w:cs="仿宋"/>
          <w:b/>
          <w:color w:val="auto"/>
          <w:sz w:val="52"/>
          <w:szCs w:val="52"/>
          <w:highlight w:val="none"/>
          <w:lang w:eastAsia="zh-CN"/>
        </w:rPr>
      </w:pPr>
      <w:r>
        <w:rPr>
          <w:rStyle w:val="28"/>
          <w:rFonts w:hint="eastAsia" w:ascii="仿宋" w:hAnsi="仿宋" w:eastAsia="仿宋" w:cs="仿宋"/>
          <w:b/>
          <w:color w:val="auto"/>
          <w:sz w:val="52"/>
          <w:szCs w:val="52"/>
          <w:highlight w:val="none"/>
          <w:lang w:eastAsia="zh-CN"/>
        </w:rPr>
        <w:t>货物类</w:t>
      </w:r>
    </w:p>
    <w:p w14:paraId="68DD0C1E">
      <w:pPr>
        <w:spacing w:line="240" w:lineRule="atLeast"/>
        <w:jc w:val="both"/>
        <w:rPr>
          <w:rStyle w:val="28"/>
          <w:rFonts w:hint="eastAsia" w:ascii="仿宋" w:hAnsi="仿宋" w:eastAsia="仿宋" w:cs="仿宋"/>
          <w:b/>
          <w:color w:val="auto"/>
          <w:sz w:val="52"/>
          <w:szCs w:val="52"/>
          <w:highlight w:val="none"/>
          <w:lang w:eastAsia="zh-CN"/>
        </w:rPr>
      </w:pPr>
    </w:p>
    <w:p w14:paraId="4D4B16E9">
      <w:pPr>
        <w:spacing w:line="240" w:lineRule="atLeast"/>
        <w:ind w:left="1080" w:leftChars="257" w:hanging="540"/>
        <w:jc w:val="center"/>
        <w:rPr>
          <w:rStyle w:val="28"/>
          <w:rFonts w:hint="eastAsia" w:ascii="仿宋" w:hAnsi="仿宋" w:eastAsia="仿宋" w:cs="仿宋"/>
          <w:b/>
          <w:color w:val="auto"/>
          <w:sz w:val="52"/>
          <w:szCs w:val="52"/>
          <w:highlight w:val="none"/>
          <w:lang w:eastAsia="zh-CN"/>
        </w:rPr>
      </w:pPr>
    </w:p>
    <w:p w14:paraId="62AE52DC">
      <w:pPr>
        <w:spacing w:line="240" w:lineRule="atLeast"/>
        <w:ind w:firstLine="2088" w:firstLineChars="400"/>
        <w:jc w:val="both"/>
        <w:rPr>
          <w:rStyle w:val="28"/>
          <w:rFonts w:hint="eastAsia" w:ascii="仿宋" w:hAnsi="仿宋" w:eastAsia="仿宋" w:cs="仿宋"/>
          <w:b/>
          <w:color w:val="auto"/>
          <w:sz w:val="52"/>
          <w:szCs w:val="52"/>
          <w:highlight w:val="none"/>
          <w:lang w:eastAsia="zh-CN"/>
        </w:rPr>
      </w:pPr>
      <w:r>
        <w:rPr>
          <w:rStyle w:val="28"/>
          <w:rFonts w:hint="eastAsia" w:ascii="仿宋" w:hAnsi="仿宋" w:eastAsia="仿宋" w:cs="仿宋"/>
          <w:b/>
          <w:color w:val="auto"/>
          <w:sz w:val="52"/>
          <w:szCs w:val="52"/>
          <w:highlight w:val="none"/>
          <w:lang w:eastAsia="zh-CN"/>
        </w:rPr>
        <w:t>政府采购公开招标文件</w:t>
      </w:r>
    </w:p>
    <w:p w14:paraId="0332B431">
      <w:pPr>
        <w:spacing w:line="240" w:lineRule="atLeast"/>
        <w:ind w:left="1080" w:leftChars="257" w:hanging="540"/>
        <w:jc w:val="center"/>
        <w:rPr>
          <w:rStyle w:val="28"/>
          <w:rFonts w:hint="eastAsia" w:ascii="仿宋" w:hAnsi="仿宋" w:eastAsia="仿宋" w:cs="仿宋"/>
          <w:b/>
          <w:color w:val="auto"/>
          <w:sz w:val="32"/>
          <w:szCs w:val="32"/>
          <w:highlight w:val="none"/>
          <w:lang w:eastAsia="zh-CN"/>
        </w:rPr>
      </w:pPr>
    </w:p>
    <w:p w14:paraId="01663A5C">
      <w:pPr>
        <w:pStyle w:val="8"/>
        <w:tabs>
          <w:tab w:val="left" w:pos="567"/>
        </w:tabs>
        <w:rPr>
          <w:rFonts w:hint="eastAsia" w:ascii="仿宋" w:hAnsi="仿宋" w:eastAsia="仿宋" w:cs="仿宋"/>
          <w:color w:val="auto"/>
          <w:highlight w:val="none"/>
          <w:lang w:eastAsia="zh-CN"/>
        </w:rPr>
      </w:pPr>
    </w:p>
    <w:p w14:paraId="09792D89">
      <w:pPr>
        <w:spacing w:line="240" w:lineRule="atLeast"/>
        <w:rPr>
          <w:rStyle w:val="28"/>
          <w:rFonts w:hint="eastAsia" w:ascii="仿宋" w:hAnsi="仿宋" w:eastAsia="仿宋" w:cs="仿宋"/>
          <w:b/>
          <w:color w:val="auto"/>
          <w:sz w:val="28"/>
          <w:highlight w:val="none"/>
          <w:lang w:eastAsia="zh-CN"/>
        </w:rPr>
      </w:pPr>
    </w:p>
    <w:p w14:paraId="61B08AC7">
      <w:pPr>
        <w:spacing w:line="240" w:lineRule="atLeast"/>
        <w:ind w:left="1080" w:leftChars="257" w:hanging="540"/>
        <w:jc w:val="center"/>
        <w:rPr>
          <w:rStyle w:val="28"/>
          <w:rFonts w:hint="eastAsia" w:ascii="仿宋" w:hAnsi="仿宋" w:eastAsia="仿宋" w:cs="仿宋"/>
          <w:b/>
          <w:color w:val="auto"/>
          <w:sz w:val="48"/>
          <w:szCs w:val="48"/>
          <w:highlight w:val="none"/>
          <w:lang w:eastAsia="zh-CN"/>
        </w:rPr>
      </w:pPr>
    </w:p>
    <w:p w14:paraId="5184B310">
      <w:pPr>
        <w:spacing w:line="240" w:lineRule="atLeast"/>
        <w:ind w:left="1080" w:leftChars="257" w:hanging="540"/>
        <w:jc w:val="center"/>
        <w:rPr>
          <w:rStyle w:val="28"/>
          <w:rFonts w:hint="eastAsia" w:ascii="仿宋" w:hAnsi="仿宋" w:eastAsia="仿宋" w:cs="仿宋"/>
          <w:b/>
          <w:color w:val="auto"/>
          <w:sz w:val="48"/>
          <w:szCs w:val="48"/>
          <w:highlight w:val="none"/>
          <w:lang w:eastAsia="zh-CN"/>
        </w:rPr>
      </w:pPr>
    </w:p>
    <w:p w14:paraId="29F1C921">
      <w:pPr>
        <w:spacing w:line="240" w:lineRule="atLeast"/>
        <w:ind w:left="1080" w:leftChars="257" w:hanging="540"/>
        <w:jc w:val="center"/>
        <w:rPr>
          <w:rStyle w:val="28"/>
          <w:rFonts w:hint="eastAsia" w:ascii="仿宋" w:hAnsi="仿宋" w:eastAsia="仿宋" w:cs="仿宋"/>
          <w:b/>
          <w:color w:val="auto"/>
          <w:sz w:val="48"/>
          <w:szCs w:val="48"/>
          <w:highlight w:val="none"/>
          <w:lang w:eastAsia="zh-CN"/>
        </w:rPr>
      </w:pPr>
    </w:p>
    <w:p w14:paraId="67383B11">
      <w:pPr>
        <w:spacing w:line="240" w:lineRule="atLeast"/>
        <w:ind w:left="1080" w:leftChars="257" w:hanging="540"/>
        <w:jc w:val="center"/>
        <w:rPr>
          <w:rStyle w:val="28"/>
          <w:rFonts w:hint="eastAsia" w:ascii="仿宋" w:hAnsi="仿宋" w:eastAsia="仿宋" w:cs="仿宋"/>
          <w:b/>
          <w:color w:val="auto"/>
          <w:sz w:val="48"/>
          <w:szCs w:val="48"/>
          <w:highlight w:val="none"/>
          <w:lang w:eastAsia="zh-CN"/>
        </w:rPr>
      </w:pPr>
    </w:p>
    <w:p w14:paraId="483D33F0">
      <w:pPr>
        <w:spacing w:line="240" w:lineRule="atLeast"/>
        <w:ind w:left="1080" w:leftChars="257" w:hanging="540"/>
        <w:jc w:val="center"/>
        <w:rPr>
          <w:rStyle w:val="28"/>
          <w:rFonts w:hint="eastAsia" w:ascii="仿宋" w:hAnsi="仿宋" w:eastAsia="仿宋" w:cs="仿宋"/>
          <w:b/>
          <w:color w:val="auto"/>
          <w:sz w:val="48"/>
          <w:szCs w:val="48"/>
          <w:highlight w:val="none"/>
          <w:lang w:eastAsia="zh-CN"/>
        </w:rPr>
      </w:pPr>
    </w:p>
    <w:p w14:paraId="3ECD44E0">
      <w:pPr>
        <w:spacing w:line="240" w:lineRule="atLeast"/>
        <w:ind w:left="1080" w:leftChars="257" w:hanging="540"/>
        <w:jc w:val="center"/>
        <w:rPr>
          <w:rStyle w:val="28"/>
          <w:rFonts w:hint="eastAsia" w:ascii="仿宋" w:hAnsi="仿宋" w:eastAsia="仿宋" w:cs="仿宋"/>
          <w:b/>
          <w:color w:val="auto"/>
          <w:sz w:val="48"/>
          <w:szCs w:val="48"/>
          <w:highlight w:val="none"/>
          <w:lang w:eastAsia="zh-CN"/>
        </w:rPr>
      </w:pPr>
      <w:r>
        <w:rPr>
          <w:rStyle w:val="28"/>
          <w:rFonts w:hint="eastAsia" w:ascii="仿宋" w:hAnsi="仿宋" w:eastAsia="仿宋" w:cs="仿宋"/>
          <w:b/>
          <w:color w:val="auto"/>
          <w:sz w:val="48"/>
          <w:szCs w:val="48"/>
          <w:highlight w:val="none"/>
          <w:lang w:eastAsia="zh-CN"/>
        </w:rPr>
        <w:t>第三册</w:t>
      </w:r>
    </w:p>
    <w:p w14:paraId="678026F5">
      <w:pPr>
        <w:spacing w:line="240" w:lineRule="atLeast"/>
        <w:ind w:left="1080" w:leftChars="257" w:hanging="540"/>
        <w:jc w:val="center"/>
        <w:rPr>
          <w:rStyle w:val="28"/>
          <w:rFonts w:hint="eastAsia" w:ascii="仿宋" w:hAnsi="仿宋" w:eastAsia="仿宋" w:cs="仿宋"/>
          <w:b/>
          <w:color w:val="auto"/>
          <w:sz w:val="52"/>
          <w:highlight w:val="none"/>
          <w:lang w:eastAsia="zh-CN"/>
        </w:rPr>
      </w:pPr>
    </w:p>
    <w:p w14:paraId="390D735A">
      <w:pPr>
        <w:pStyle w:val="29"/>
        <w:rPr>
          <w:rStyle w:val="28"/>
          <w:rFonts w:hint="eastAsia" w:ascii="仿宋" w:hAnsi="仿宋" w:eastAsia="仿宋" w:cs="仿宋"/>
          <w:b/>
          <w:color w:val="auto"/>
          <w:sz w:val="52"/>
          <w:highlight w:val="none"/>
          <w:lang w:eastAsia="zh-CN"/>
        </w:rPr>
      </w:pPr>
    </w:p>
    <w:p w14:paraId="1CE400B8">
      <w:pPr>
        <w:pStyle w:val="29"/>
        <w:rPr>
          <w:rStyle w:val="28"/>
          <w:rFonts w:hint="eastAsia" w:ascii="仿宋" w:hAnsi="仿宋" w:eastAsia="仿宋" w:cs="仿宋"/>
          <w:b/>
          <w:color w:val="auto"/>
          <w:sz w:val="52"/>
          <w:highlight w:val="none"/>
          <w:lang w:eastAsia="zh-CN"/>
        </w:rPr>
      </w:pPr>
    </w:p>
    <w:p w14:paraId="79CB9073">
      <w:pPr>
        <w:pStyle w:val="29"/>
        <w:rPr>
          <w:rStyle w:val="28"/>
          <w:rFonts w:hint="eastAsia" w:ascii="仿宋" w:hAnsi="仿宋" w:eastAsia="仿宋" w:cs="仿宋"/>
          <w:b/>
          <w:color w:val="auto"/>
          <w:sz w:val="52"/>
          <w:highlight w:val="none"/>
          <w:lang w:eastAsia="zh-CN"/>
        </w:rPr>
      </w:pPr>
    </w:p>
    <w:p w14:paraId="71EA8C3B">
      <w:pPr>
        <w:pStyle w:val="29"/>
        <w:rPr>
          <w:rStyle w:val="28"/>
          <w:rFonts w:hint="eastAsia" w:ascii="仿宋" w:hAnsi="仿宋" w:eastAsia="仿宋" w:cs="仿宋"/>
          <w:b/>
          <w:color w:val="auto"/>
          <w:sz w:val="52"/>
          <w:highlight w:val="none"/>
          <w:lang w:eastAsia="zh-CN"/>
        </w:rPr>
      </w:pPr>
    </w:p>
    <w:p w14:paraId="6FBF3CFF">
      <w:pPr>
        <w:pStyle w:val="29"/>
        <w:rPr>
          <w:rStyle w:val="28"/>
          <w:rFonts w:hint="eastAsia" w:ascii="仿宋" w:hAnsi="仿宋" w:eastAsia="仿宋" w:cs="仿宋"/>
          <w:b/>
          <w:color w:val="auto"/>
          <w:sz w:val="52"/>
          <w:highlight w:val="none"/>
          <w:lang w:eastAsia="zh-CN"/>
        </w:rPr>
      </w:pPr>
    </w:p>
    <w:p w14:paraId="66803EC5">
      <w:pPr>
        <w:pStyle w:val="29"/>
        <w:rPr>
          <w:rStyle w:val="28"/>
          <w:rFonts w:hint="eastAsia" w:ascii="仿宋" w:hAnsi="仿宋" w:eastAsia="仿宋" w:cs="仿宋"/>
          <w:b/>
          <w:color w:val="auto"/>
          <w:sz w:val="52"/>
          <w:highlight w:val="none"/>
          <w:lang w:eastAsia="zh-CN"/>
        </w:rPr>
      </w:pPr>
    </w:p>
    <w:p w14:paraId="1329FE61">
      <w:pP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lang w:eastAsia="zh-CN"/>
        </w:rPr>
        <w:br w:type="page"/>
      </w:r>
    </w:p>
    <w:p w14:paraId="3434239F">
      <w:pPr>
        <w:rPr>
          <w:rFonts w:hint="eastAsia" w:ascii="仿宋" w:hAnsi="仿宋" w:eastAsia="仿宋" w:cs="仿宋"/>
          <w:color w:val="auto"/>
          <w:highlight w:val="none"/>
          <w:lang w:eastAsia="zh-CN"/>
        </w:rPr>
      </w:pPr>
    </w:p>
    <w:p w14:paraId="40098C09">
      <w:pPr>
        <w:pStyle w:val="2"/>
        <w:tabs>
          <w:tab w:val="left" w:pos="0"/>
        </w:tabs>
        <w:kinsoku/>
        <w:spacing w:before="0" w:after="0" w:line="240" w:lineRule="atLeast"/>
        <w:rPr>
          <w:rFonts w:hint="eastAsia" w:ascii="仿宋" w:hAnsi="仿宋" w:eastAsia="仿宋" w:cs="仿宋"/>
          <w:color w:val="auto"/>
          <w:sz w:val="44"/>
          <w:szCs w:val="44"/>
          <w:highlight w:val="none"/>
          <w:lang w:eastAsia="zh-CN"/>
        </w:rPr>
      </w:pPr>
      <w:bookmarkStart w:id="840" w:name="_Toc28063"/>
      <w:r>
        <w:rPr>
          <w:rFonts w:hint="eastAsia" w:ascii="仿宋" w:hAnsi="仿宋" w:eastAsia="仿宋" w:cs="仿宋"/>
          <w:color w:val="auto"/>
          <w:sz w:val="44"/>
          <w:szCs w:val="44"/>
          <w:highlight w:val="none"/>
          <w:lang w:eastAsia="zh-CN"/>
        </w:rPr>
        <w:t>第七章  政府采购合同</w:t>
      </w:r>
      <w:bookmarkEnd w:id="840"/>
    </w:p>
    <w:p w14:paraId="7C02C377">
      <w:pPr>
        <w:spacing w:line="240" w:lineRule="atLeast"/>
        <w:rPr>
          <w:rStyle w:val="28"/>
          <w:rFonts w:hint="eastAsia" w:ascii="仿宋" w:hAnsi="仿宋" w:eastAsia="仿宋" w:cs="仿宋"/>
          <w:b/>
          <w:color w:val="auto"/>
          <w:kern w:val="44"/>
          <w:sz w:val="32"/>
          <w:szCs w:val="20"/>
          <w:highlight w:val="none"/>
          <w:lang w:eastAsia="zh-CN"/>
        </w:rPr>
      </w:pPr>
    </w:p>
    <w:p w14:paraId="54E9A5F8">
      <w:pPr>
        <w:rPr>
          <w:rStyle w:val="28"/>
          <w:rFonts w:hint="eastAsia" w:ascii="仿宋" w:hAnsi="仿宋" w:eastAsia="仿宋" w:cs="仿宋"/>
          <w:b/>
          <w:color w:val="auto"/>
          <w:sz w:val="28"/>
          <w:szCs w:val="28"/>
          <w:highlight w:val="none"/>
          <w:lang w:eastAsia="zh-CN"/>
        </w:rPr>
      </w:pPr>
      <w:r>
        <w:rPr>
          <w:rStyle w:val="28"/>
          <w:rFonts w:hint="eastAsia" w:ascii="仿宋" w:hAnsi="仿宋" w:eastAsia="仿宋" w:cs="仿宋"/>
          <w:color w:val="auto"/>
          <w:sz w:val="24"/>
          <w:highlight w:val="none"/>
          <w:lang w:eastAsia="zh-CN"/>
        </w:rPr>
        <w:t>合同编号：</w:t>
      </w:r>
    </w:p>
    <w:p w14:paraId="270AC4FA">
      <w:pPr>
        <w:spacing w:line="480" w:lineRule="auto"/>
        <w:jc w:val="center"/>
        <w:rPr>
          <w:rStyle w:val="28"/>
          <w:rFonts w:hint="eastAsia" w:ascii="仿宋" w:hAnsi="仿宋" w:eastAsia="仿宋" w:cs="仿宋"/>
          <w:b/>
          <w:color w:val="auto"/>
          <w:sz w:val="44"/>
          <w:szCs w:val="44"/>
          <w:highlight w:val="none"/>
          <w:lang w:eastAsia="zh-CN"/>
        </w:rPr>
      </w:pPr>
    </w:p>
    <w:p w14:paraId="2B7C24E4">
      <w:pPr>
        <w:spacing w:line="480" w:lineRule="auto"/>
        <w:jc w:val="center"/>
        <w:rPr>
          <w:rStyle w:val="28"/>
          <w:rFonts w:hint="eastAsia" w:ascii="仿宋" w:hAnsi="仿宋" w:eastAsia="仿宋" w:cs="仿宋"/>
          <w:b/>
          <w:color w:val="auto"/>
          <w:sz w:val="44"/>
          <w:szCs w:val="44"/>
          <w:highlight w:val="none"/>
          <w:lang w:eastAsia="zh-CN"/>
        </w:rPr>
      </w:pPr>
      <w:r>
        <w:rPr>
          <w:rStyle w:val="28"/>
          <w:rFonts w:hint="eastAsia" w:ascii="仿宋" w:hAnsi="仿宋" w:eastAsia="仿宋" w:cs="仿宋"/>
          <w:b/>
          <w:color w:val="auto"/>
          <w:sz w:val="44"/>
          <w:szCs w:val="44"/>
          <w:highlight w:val="none"/>
          <w:lang w:eastAsia="zh-CN"/>
        </w:rPr>
        <w:t>政府采购合同草案</w:t>
      </w:r>
    </w:p>
    <w:p w14:paraId="49522DE1">
      <w:pPr>
        <w:spacing w:line="480" w:lineRule="auto"/>
        <w:jc w:val="center"/>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（货物类）</w:t>
      </w:r>
    </w:p>
    <w:p w14:paraId="5533E71C">
      <w:pPr>
        <w:pStyle w:val="39"/>
        <w:ind w:firstLine="0"/>
        <w:rPr>
          <w:rStyle w:val="28"/>
          <w:rFonts w:hint="eastAsia" w:ascii="仿宋" w:hAnsi="仿宋" w:eastAsia="仿宋" w:cs="仿宋"/>
          <w:color w:val="auto"/>
          <w:szCs w:val="24"/>
          <w:highlight w:val="none"/>
          <w:lang w:eastAsia="zh-CN"/>
        </w:rPr>
      </w:pPr>
    </w:p>
    <w:p w14:paraId="1981F28C">
      <w:pPr>
        <w:pStyle w:val="39"/>
        <w:ind w:firstLine="0"/>
        <w:rPr>
          <w:rStyle w:val="28"/>
          <w:rFonts w:hint="eastAsia" w:ascii="仿宋" w:hAnsi="仿宋" w:eastAsia="仿宋" w:cs="仿宋"/>
          <w:color w:val="auto"/>
          <w:szCs w:val="24"/>
          <w:highlight w:val="none"/>
          <w:lang w:eastAsia="zh-CN"/>
        </w:rPr>
      </w:pPr>
    </w:p>
    <w:p w14:paraId="4B476415">
      <w:pPr>
        <w:pStyle w:val="39"/>
        <w:ind w:firstLine="0"/>
        <w:rPr>
          <w:rStyle w:val="28"/>
          <w:rFonts w:hint="eastAsia" w:ascii="仿宋" w:hAnsi="仿宋" w:eastAsia="仿宋" w:cs="仿宋"/>
          <w:color w:val="auto"/>
          <w:szCs w:val="24"/>
          <w:highlight w:val="none"/>
          <w:lang w:eastAsia="zh-CN"/>
        </w:rPr>
      </w:pPr>
    </w:p>
    <w:p w14:paraId="0D8D8F15">
      <w:pPr>
        <w:pStyle w:val="39"/>
        <w:ind w:firstLine="0"/>
        <w:jc w:val="center"/>
        <w:rPr>
          <w:rStyle w:val="28"/>
          <w:rFonts w:hint="eastAsia" w:ascii="仿宋" w:hAnsi="仿宋" w:eastAsia="仿宋" w:cs="仿宋"/>
          <w:b/>
          <w:color w:val="auto"/>
          <w:szCs w:val="24"/>
          <w:highlight w:val="none"/>
          <w:lang w:eastAsia="zh-CN"/>
        </w:rPr>
      </w:pPr>
      <w:r>
        <w:rPr>
          <w:rStyle w:val="28"/>
          <w:rFonts w:hint="eastAsia" w:ascii="仿宋" w:hAnsi="仿宋" w:eastAsia="仿宋" w:cs="仿宋"/>
          <w:b/>
          <w:color w:val="auto"/>
          <w:szCs w:val="24"/>
          <w:highlight w:val="none"/>
          <w:lang w:eastAsia="zh-CN"/>
        </w:rPr>
        <w:t>第一部分 合同书</w:t>
      </w:r>
    </w:p>
    <w:p w14:paraId="46C76BE2">
      <w:pPr>
        <w:pStyle w:val="39"/>
        <w:ind w:firstLine="0"/>
        <w:rPr>
          <w:rStyle w:val="28"/>
          <w:rFonts w:hint="eastAsia" w:ascii="仿宋" w:hAnsi="仿宋" w:eastAsia="仿宋" w:cs="仿宋"/>
          <w:color w:val="auto"/>
          <w:szCs w:val="24"/>
          <w:highlight w:val="none"/>
          <w:lang w:eastAsia="zh-CN"/>
        </w:rPr>
      </w:pPr>
    </w:p>
    <w:p w14:paraId="34135671">
      <w:pPr>
        <w:pStyle w:val="39"/>
        <w:ind w:firstLine="0"/>
        <w:rPr>
          <w:rStyle w:val="28"/>
          <w:rFonts w:hint="eastAsia" w:ascii="仿宋" w:hAnsi="仿宋" w:eastAsia="仿宋" w:cs="仿宋"/>
          <w:color w:val="auto"/>
          <w:szCs w:val="24"/>
          <w:highlight w:val="none"/>
          <w:lang w:eastAsia="zh-CN"/>
        </w:rPr>
      </w:pPr>
    </w:p>
    <w:p w14:paraId="72D0DF69">
      <w:pPr>
        <w:spacing w:before="120" w:line="240" w:lineRule="atLeast"/>
        <w:rPr>
          <w:rStyle w:val="28"/>
          <w:rFonts w:hint="eastAsia" w:ascii="仿宋" w:hAnsi="仿宋" w:eastAsia="仿宋" w:cs="仿宋"/>
          <w:color w:val="auto"/>
          <w:sz w:val="24"/>
          <w:highlight w:val="none"/>
          <w:lang w:eastAsia="zh-CN"/>
        </w:rPr>
      </w:pPr>
    </w:p>
    <w:p w14:paraId="4DA3812C">
      <w:pPr>
        <w:spacing w:before="120" w:line="240" w:lineRule="atLeast"/>
        <w:ind w:left="960"/>
        <w:rPr>
          <w:rStyle w:val="28"/>
          <w:rFonts w:hint="eastAsia" w:ascii="仿宋" w:hAnsi="仿宋" w:eastAsia="仿宋" w:cs="仿宋"/>
          <w:color w:val="auto"/>
          <w:sz w:val="24"/>
          <w:highlight w:val="none"/>
          <w:lang w:eastAsia="zh-CN"/>
        </w:rPr>
      </w:pPr>
    </w:p>
    <w:p w14:paraId="0BD8DDDD">
      <w:pPr>
        <w:spacing w:before="120" w:line="240" w:lineRule="atLeast"/>
        <w:ind w:left="960"/>
        <w:rPr>
          <w:rStyle w:val="28"/>
          <w:rFonts w:hint="eastAsia" w:ascii="仿宋" w:hAnsi="仿宋" w:eastAsia="仿宋" w:cs="仿宋"/>
          <w:color w:val="auto"/>
          <w:sz w:val="24"/>
          <w:highlight w:val="none"/>
          <w:lang w:eastAsia="zh-CN"/>
        </w:rPr>
      </w:pPr>
    </w:p>
    <w:p w14:paraId="1D4F6459">
      <w:pPr>
        <w:spacing w:before="120" w:line="240" w:lineRule="atLeast"/>
        <w:ind w:left="960"/>
        <w:rPr>
          <w:rStyle w:val="28"/>
          <w:rFonts w:hint="eastAsia" w:ascii="仿宋" w:hAnsi="仿宋" w:eastAsia="仿宋" w:cs="仿宋"/>
          <w:color w:val="auto"/>
          <w:sz w:val="24"/>
          <w:highlight w:val="none"/>
          <w:lang w:eastAsia="zh-CN"/>
        </w:rPr>
      </w:pPr>
    </w:p>
    <w:p w14:paraId="772DDF29">
      <w:pPr>
        <w:pStyle w:val="8"/>
        <w:tabs>
          <w:tab w:val="left" w:pos="567"/>
        </w:tabs>
        <w:spacing w:line="272" w:lineRule="auto"/>
        <w:jc w:val="center"/>
        <w:rPr>
          <w:rFonts w:hint="eastAsia" w:asciiTheme="minorEastAsia" w:hAnsiTheme="minorEastAsia" w:eastAsiaTheme="minorEastAsia" w:cstheme="minorEastAsia"/>
          <w:b/>
          <w:bCs/>
          <w:sz w:val="44"/>
          <w:szCs w:val="44"/>
          <w:highlight w:val="none"/>
          <w:lang w:eastAsia="zh-CN"/>
        </w:rPr>
      </w:pPr>
      <w:r>
        <w:rPr>
          <w:rStyle w:val="28"/>
          <w:rFonts w:hint="eastAsia" w:ascii="仿宋" w:hAnsi="仿宋" w:eastAsia="仿宋" w:cs="仿宋"/>
          <w:color w:val="auto"/>
          <w:sz w:val="24"/>
          <w:highlight w:val="none"/>
          <w:lang w:eastAsia="zh-CN"/>
        </w:rPr>
        <w:t>项目名称：</w:t>
      </w:r>
      <w:r>
        <w:rPr>
          <w:rStyle w:val="28"/>
          <w:rFonts w:hint="eastAsia" w:ascii="仿宋" w:hAnsi="仿宋" w:eastAsia="仿宋" w:cs="仿宋"/>
          <w:color w:val="auto"/>
          <w:sz w:val="24"/>
          <w:highlight w:val="none"/>
          <w:lang w:val="en-US" w:eastAsia="zh-CN"/>
        </w:rPr>
        <w:t>  </w:t>
      </w:r>
      <w:r>
        <w:rPr>
          <w:rStyle w:val="28"/>
          <w:rFonts w:hint="eastAsia" w:ascii="仿宋" w:hAnsi="仿宋" w:eastAsia="仿宋" w:cs="仿宋"/>
          <w:color w:val="auto"/>
          <w:sz w:val="24"/>
          <w:highlight w:val="none"/>
          <w:lang w:eastAsia="zh-CN"/>
        </w:rPr>
        <w:t>伽师县2026年健康心理服务中心建设项目</w:t>
      </w:r>
    </w:p>
    <w:p w14:paraId="7A12724A">
      <w:pPr>
        <w:spacing w:before="120" w:line="240" w:lineRule="atLeast"/>
        <w:ind w:left="960"/>
        <w:rPr>
          <w:rStyle w:val="28"/>
          <w:rFonts w:hint="default" w:ascii="仿宋" w:hAnsi="仿宋" w:eastAsia="仿宋" w:cs="仿宋"/>
          <w:color w:val="auto"/>
          <w:sz w:val="24"/>
          <w:highlight w:val="none"/>
          <w:lang w:val="en-US" w:eastAsia="zh-CN"/>
        </w:rPr>
      </w:pPr>
    </w:p>
    <w:p w14:paraId="0739B098">
      <w:pPr>
        <w:pStyle w:val="40"/>
        <w:spacing w:before="120" w:line="240" w:lineRule="atLeast"/>
        <w:rPr>
          <w:rStyle w:val="28"/>
          <w:rFonts w:hint="eastAsia" w:ascii="仿宋" w:hAnsi="仿宋" w:eastAsia="仿宋" w:cs="仿宋"/>
          <w:color w:val="auto"/>
          <w:szCs w:val="24"/>
          <w:highlight w:val="none"/>
          <w:lang w:eastAsia="zh-CN"/>
        </w:rPr>
      </w:pPr>
    </w:p>
    <w:p w14:paraId="3A37DBC1">
      <w:pPr>
        <w:pStyle w:val="40"/>
        <w:spacing w:before="120" w:line="240" w:lineRule="atLeast"/>
        <w:rPr>
          <w:rStyle w:val="28"/>
          <w:rFonts w:hint="eastAsia" w:ascii="仿宋" w:hAnsi="仿宋" w:eastAsia="仿宋" w:cs="仿宋"/>
          <w:color w:val="auto"/>
          <w:szCs w:val="24"/>
          <w:highlight w:val="none"/>
          <w:lang w:eastAsia="zh-CN"/>
        </w:rPr>
      </w:pPr>
    </w:p>
    <w:p w14:paraId="7CD12834">
      <w:pPr>
        <w:rPr>
          <w:rStyle w:val="28"/>
          <w:rFonts w:hint="eastAsia" w:ascii="仿宋" w:hAnsi="仿宋" w:eastAsia="仿宋" w:cs="仿宋"/>
          <w:color w:val="auto"/>
          <w:highlight w:val="none"/>
          <w:lang w:eastAsia="zh-CN"/>
        </w:rPr>
      </w:pPr>
    </w:p>
    <w:p w14:paraId="209E716F">
      <w:pPr>
        <w:spacing w:before="120" w:line="240" w:lineRule="atLeast"/>
        <w:ind w:left="960"/>
        <w:rPr>
          <w:rStyle w:val="28"/>
          <w:rFonts w:hint="default" w:ascii="仿宋" w:hAnsi="仿宋" w:eastAsia="仿宋" w:cs="仿宋"/>
          <w:color w:val="auto"/>
          <w:sz w:val="24"/>
          <w:highlight w:val="none"/>
          <w:u w:val="single"/>
          <w:lang w:val="en-US" w:eastAsia="zh-CN"/>
        </w:rPr>
      </w:pPr>
      <w:r>
        <w:rPr>
          <w:rStyle w:val="28"/>
          <w:rFonts w:hint="eastAsia" w:ascii="仿宋" w:hAnsi="仿宋" w:eastAsia="仿宋" w:cs="仿宋"/>
          <w:color w:val="auto"/>
          <w:sz w:val="24"/>
          <w:highlight w:val="none"/>
          <w:lang w:eastAsia="zh-CN"/>
        </w:rPr>
        <w:t>甲方：</w:t>
      </w:r>
      <w:r>
        <w:rPr>
          <w:rStyle w:val="28"/>
          <w:rFonts w:hint="eastAsia" w:ascii="仿宋" w:hAnsi="仿宋" w:eastAsia="仿宋" w:cs="仿宋"/>
          <w:color w:val="auto"/>
          <w:sz w:val="24"/>
          <w:highlight w:val="none"/>
          <w:lang w:val="en-US" w:eastAsia="zh-CN"/>
        </w:rPr>
        <w:t>  伽师县卫生健康委员会</w:t>
      </w:r>
    </w:p>
    <w:p w14:paraId="2077E4A0">
      <w:pPr>
        <w:spacing w:before="120" w:line="240" w:lineRule="atLeast"/>
        <w:rPr>
          <w:rStyle w:val="28"/>
          <w:rFonts w:hint="eastAsia" w:ascii="仿宋" w:hAnsi="仿宋" w:eastAsia="仿宋" w:cs="仿宋"/>
          <w:color w:val="auto"/>
          <w:sz w:val="24"/>
          <w:highlight w:val="none"/>
          <w:lang w:eastAsia="zh-CN"/>
        </w:rPr>
      </w:pPr>
    </w:p>
    <w:p w14:paraId="6A01CF1A">
      <w:pPr>
        <w:spacing w:before="120" w:line="240" w:lineRule="atLeast"/>
        <w:ind w:left="960"/>
        <w:rPr>
          <w:rStyle w:val="28"/>
          <w:rFonts w:hint="eastAsia" w:ascii="仿宋" w:hAnsi="仿宋" w:eastAsia="仿宋" w:cs="仿宋"/>
          <w:color w:val="auto"/>
          <w:sz w:val="24"/>
          <w:highlight w:val="none"/>
          <w:u w:val="single"/>
          <w:lang w:eastAsia="zh-CN"/>
        </w:rPr>
      </w:pPr>
      <w:r>
        <w:rPr>
          <w:rStyle w:val="28"/>
          <w:rFonts w:hint="eastAsia" w:ascii="仿宋" w:hAnsi="仿宋" w:eastAsia="仿宋" w:cs="仿宋"/>
          <w:color w:val="auto"/>
          <w:sz w:val="24"/>
          <w:highlight w:val="none"/>
          <w:lang w:eastAsia="zh-CN"/>
        </w:rPr>
        <w:t>乙方：</w:t>
      </w:r>
    </w:p>
    <w:p w14:paraId="395A647A">
      <w:pPr>
        <w:spacing w:before="120" w:line="240" w:lineRule="atLeast"/>
        <w:rPr>
          <w:rStyle w:val="28"/>
          <w:rFonts w:hint="eastAsia" w:ascii="仿宋" w:hAnsi="仿宋" w:eastAsia="仿宋" w:cs="仿宋"/>
          <w:color w:val="auto"/>
          <w:sz w:val="24"/>
          <w:highlight w:val="none"/>
          <w:lang w:eastAsia="zh-CN"/>
        </w:rPr>
      </w:pPr>
    </w:p>
    <w:p w14:paraId="4B19305C">
      <w:pPr>
        <w:spacing w:before="120" w:line="240" w:lineRule="atLeast"/>
        <w:ind w:firstLine="960" w:firstLineChars="400"/>
        <w:rPr>
          <w:rStyle w:val="28"/>
          <w:rFonts w:hint="eastAsia" w:ascii="仿宋" w:hAnsi="仿宋" w:eastAsia="仿宋" w:cs="仿宋"/>
          <w:color w:val="auto"/>
          <w:sz w:val="24"/>
          <w:highlight w:val="none"/>
          <w:u w:val="single"/>
          <w:lang w:eastAsia="zh-CN"/>
        </w:rPr>
      </w:pPr>
      <w:r>
        <w:rPr>
          <w:rStyle w:val="28"/>
          <w:rFonts w:hint="eastAsia" w:ascii="仿宋" w:hAnsi="仿宋" w:eastAsia="仿宋" w:cs="仿宋"/>
          <w:color w:val="auto"/>
          <w:sz w:val="24"/>
          <w:highlight w:val="none"/>
          <w:lang w:eastAsia="zh-CN"/>
        </w:rPr>
        <w:t>签订地：</w:t>
      </w:r>
    </w:p>
    <w:p w14:paraId="63FF8F8D">
      <w:pPr>
        <w:spacing w:before="120" w:line="240" w:lineRule="atLeast"/>
        <w:rPr>
          <w:rStyle w:val="28"/>
          <w:rFonts w:hint="eastAsia" w:ascii="仿宋" w:hAnsi="仿宋" w:eastAsia="仿宋" w:cs="仿宋"/>
          <w:color w:val="auto"/>
          <w:sz w:val="24"/>
          <w:highlight w:val="none"/>
          <w:lang w:eastAsia="zh-CN"/>
        </w:rPr>
      </w:pPr>
    </w:p>
    <w:p w14:paraId="075544E8">
      <w:pPr>
        <w:spacing w:before="120" w:line="240" w:lineRule="atLeast"/>
        <w:ind w:firstLine="960" w:firstLineChars="400"/>
        <w:rPr>
          <w:rStyle w:val="28"/>
          <w:rFonts w:hint="eastAsia" w:ascii="仿宋" w:hAnsi="仿宋" w:eastAsia="仿宋" w:cs="仿宋"/>
          <w:color w:val="auto"/>
          <w:sz w:val="24"/>
          <w:highlight w:val="none"/>
          <w:u w:val="single"/>
          <w:lang w:eastAsia="zh-CN"/>
        </w:rPr>
      </w:pPr>
      <w:r>
        <w:rPr>
          <w:rStyle w:val="28"/>
          <w:rFonts w:hint="eastAsia" w:ascii="仿宋" w:hAnsi="仿宋" w:eastAsia="仿宋" w:cs="仿宋"/>
          <w:color w:val="auto"/>
          <w:sz w:val="24"/>
          <w:highlight w:val="none"/>
          <w:lang w:eastAsia="zh-CN"/>
        </w:rPr>
        <w:t>签订日期：</w:t>
      </w:r>
      <w:r>
        <w:rPr>
          <w:rStyle w:val="28"/>
          <w:rFonts w:hint="eastAsia" w:ascii="仿宋" w:hAnsi="仿宋" w:eastAsia="仿宋" w:cs="仿宋"/>
          <w:color w:val="auto"/>
          <w:sz w:val="24"/>
          <w:highlight w:val="none"/>
          <w:lang w:val="en-US" w:eastAsia="zh-CN"/>
        </w:rPr>
        <w:t xml:space="preserve">   </w:t>
      </w:r>
      <w:r>
        <w:rPr>
          <w:rStyle w:val="28"/>
          <w:rFonts w:hint="eastAsia" w:ascii="仿宋" w:hAnsi="仿宋" w:eastAsia="仿宋" w:cs="仿宋"/>
          <w:color w:val="auto"/>
          <w:sz w:val="24"/>
          <w:highlight w:val="none"/>
          <w:lang w:eastAsia="zh-CN"/>
        </w:rPr>
        <w:t>年</w:t>
      </w:r>
      <w:r>
        <w:rPr>
          <w:rStyle w:val="28"/>
          <w:rFonts w:hint="eastAsia" w:ascii="仿宋" w:hAnsi="仿宋" w:eastAsia="仿宋" w:cs="仿宋"/>
          <w:color w:val="auto"/>
          <w:sz w:val="24"/>
          <w:highlight w:val="none"/>
          <w:lang w:val="en-US" w:eastAsia="zh-CN"/>
        </w:rPr>
        <w:t xml:space="preserve">   </w:t>
      </w:r>
      <w:r>
        <w:rPr>
          <w:rStyle w:val="28"/>
          <w:rFonts w:hint="eastAsia" w:ascii="仿宋" w:hAnsi="仿宋" w:eastAsia="仿宋" w:cs="仿宋"/>
          <w:color w:val="auto"/>
          <w:sz w:val="24"/>
          <w:highlight w:val="none"/>
          <w:lang w:eastAsia="zh-CN"/>
        </w:rPr>
        <w:t>月</w:t>
      </w:r>
      <w:r>
        <w:rPr>
          <w:rStyle w:val="28"/>
          <w:rFonts w:hint="eastAsia" w:ascii="仿宋" w:hAnsi="仿宋" w:eastAsia="仿宋" w:cs="仿宋"/>
          <w:color w:val="auto"/>
          <w:sz w:val="24"/>
          <w:highlight w:val="none"/>
          <w:lang w:val="en-US" w:eastAsia="zh-CN"/>
        </w:rPr>
        <w:t xml:space="preserve">   </w:t>
      </w:r>
      <w:r>
        <w:rPr>
          <w:rStyle w:val="28"/>
          <w:rFonts w:hint="eastAsia" w:ascii="仿宋" w:hAnsi="仿宋" w:eastAsia="仿宋" w:cs="仿宋"/>
          <w:color w:val="auto"/>
          <w:sz w:val="24"/>
          <w:highlight w:val="none"/>
          <w:lang w:eastAsia="zh-CN"/>
        </w:rPr>
        <w:t>日</w:t>
      </w:r>
    </w:p>
    <w:p w14:paraId="34959E64">
      <w:pPr>
        <w:spacing w:line="600" w:lineRule="exact"/>
        <w:ind w:firstLine="640"/>
        <w:jc w:val="center"/>
        <w:rPr>
          <w:rStyle w:val="28"/>
          <w:rFonts w:hint="eastAsia" w:ascii="仿宋" w:hAnsi="仿宋" w:eastAsia="仿宋" w:cs="仿宋"/>
          <w:color w:val="auto"/>
          <w:sz w:val="24"/>
          <w:highlight w:val="none"/>
          <w:lang w:eastAsia="zh-CN"/>
        </w:rPr>
        <w:sectPr>
          <w:headerReference r:id="rId13" w:type="default"/>
          <w:footerReference r:id="rId14" w:type="default"/>
          <w:pgSz w:w="11907" w:h="16840"/>
          <w:pgMar w:top="1247" w:right="1814" w:bottom="1247" w:left="1814" w:header="851" w:footer="850" w:gutter="0"/>
          <w:cols w:space="0" w:num="1"/>
          <w:docGrid w:linePitch="462" w:charSpace="0"/>
        </w:sectPr>
      </w:pPr>
    </w:p>
    <w:p w14:paraId="3C4BD291">
      <w:pPr>
        <w:pStyle w:val="8"/>
        <w:tabs>
          <w:tab w:val="left" w:pos="567"/>
        </w:tabs>
        <w:spacing w:line="272" w:lineRule="auto"/>
        <w:jc w:val="center"/>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val="zh-CN" w:eastAsia="zh-CN"/>
        </w:rPr>
        <w:t>年</w:t>
      </w:r>
      <w:r>
        <w:rPr>
          <w:rStyle w:val="28"/>
          <w:rFonts w:hint="eastAsia" w:ascii="仿宋" w:hAnsi="仿宋" w:eastAsia="仿宋" w:cs="仿宋"/>
          <w:color w:val="auto"/>
          <w:sz w:val="24"/>
          <w:highlight w:val="none"/>
          <w:lang w:eastAsia="zh-CN"/>
        </w:rPr>
        <w:t xml:space="preserve"> </w:t>
      </w:r>
      <w:r>
        <w:rPr>
          <w:rStyle w:val="28"/>
          <w:rFonts w:hint="eastAsia" w:ascii="仿宋" w:hAnsi="仿宋" w:eastAsia="仿宋" w:cs="仿宋"/>
          <w:color w:val="auto"/>
          <w:sz w:val="24"/>
          <w:highlight w:val="none"/>
          <w:lang w:val="zh-CN" w:eastAsia="zh-CN"/>
        </w:rPr>
        <w:t>月</w:t>
      </w:r>
      <w:r>
        <w:rPr>
          <w:rStyle w:val="28"/>
          <w:rFonts w:hint="eastAsia" w:ascii="仿宋" w:hAnsi="仿宋" w:eastAsia="仿宋" w:cs="仿宋"/>
          <w:color w:val="auto"/>
          <w:sz w:val="24"/>
          <w:highlight w:val="none"/>
          <w:lang w:eastAsia="zh-CN"/>
        </w:rPr>
        <w:t xml:space="preserve"> </w:t>
      </w:r>
      <w:r>
        <w:rPr>
          <w:rStyle w:val="28"/>
          <w:rFonts w:hint="eastAsia" w:ascii="仿宋" w:hAnsi="仿宋" w:eastAsia="仿宋" w:cs="仿宋"/>
          <w:color w:val="auto"/>
          <w:sz w:val="24"/>
          <w:highlight w:val="none"/>
          <w:lang w:val="zh-CN" w:eastAsia="zh-CN"/>
        </w:rPr>
        <w:t>日</w:t>
      </w:r>
      <w:r>
        <w:rPr>
          <w:rStyle w:val="28"/>
          <w:rFonts w:hint="eastAsia" w:ascii="仿宋" w:hAnsi="仿宋" w:eastAsia="仿宋" w:cs="仿宋"/>
          <w:color w:val="auto"/>
          <w:sz w:val="24"/>
          <w:highlight w:val="none"/>
          <w:lang w:eastAsia="zh-CN"/>
        </w:rPr>
        <w:t>，</w:t>
      </w:r>
      <w:r>
        <w:rPr>
          <w:rStyle w:val="28"/>
          <w:rFonts w:hint="eastAsia" w:ascii="仿宋" w:hAnsi="仿宋" w:eastAsia="仿宋" w:cs="仿宋"/>
          <w:color w:val="auto"/>
          <w:sz w:val="24"/>
          <w:highlight w:val="none"/>
          <w:u w:val="single" w:color="000000"/>
          <w:lang w:eastAsia="zh-CN"/>
        </w:rPr>
        <w:t xml:space="preserve">   </w:t>
      </w:r>
      <w:r>
        <w:rPr>
          <w:rStyle w:val="28"/>
          <w:rFonts w:hint="eastAsia" w:ascii="仿宋" w:hAnsi="仿宋" w:eastAsia="仿宋" w:cs="仿宋"/>
          <w:color w:val="auto"/>
          <w:sz w:val="24"/>
          <w:highlight w:val="none"/>
          <w:u w:val="single" w:color="000000"/>
          <w:lang w:val="en-US" w:eastAsia="zh-CN"/>
        </w:rPr>
        <w:t>  伽师县卫生健康委员会</w:t>
      </w:r>
      <w:r>
        <w:rPr>
          <w:rStyle w:val="28"/>
          <w:rFonts w:hint="eastAsia" w:ascii="仿宋" w:hAnsi="仿宋" w:eastAsia="仿宋" w:cs="仿宋"/>
          <w:color w:val="auto"/>
          <w:sz w:val="24"/>
          <w:highlight w:val="none"/>
          <w:u w:val="single" w:color="000000"/>
          <w:lang w:eastAsia="zh-CN"/>
        </w:rPr>
        <w:t xml:space="preserve">   </w:t>
      </w:r>
      <w:r>
        <w:rPr>
          <w:rStyle w:val="28"/>
          <w:rFonts w:hint="eastAsia" w:ascii="仿宋" w:hAnsi="仿宋" w:eastAsia="仿宋" w:cs="仿宋"/>
          <w:color w:val="auto"/>
          <w:sz w:val="24"/>
          <w:highlight w:val="none"/>
          <w:lang w:eastAsia="zh-CN"/>
        </w:rPr>
        <w:t>以</w:t>
      </w:r>
      <w:r>
        <w:rPr>
          <w:rStyle w:val="28"/>
          <w:rFonts w:hint="eastAsia" w:ascii="仿宋" w:hAnsi="仿宋" w:eastAsia="仿宋" w:cs="仿宋"/>
          <w:color w:val="auto"/>
          <w:sz w:val="24"/>
          <w:highlight w:val="none"/>
          <w:u w:val="single" w:color="000000"/>
          <w:lang w:eastAsia="zh-CN"/>
        </w:rPr>
        <w:t xml:space="preserve">   </w:t>
      </w:r>
      <w:r>
        <w:rPr>
          <w:rStyle w:val="28"/>
          <w:rFonts w:hint="eastAsia" w:ascii="仿宋" w:hAnsi="仿宋" w:eastAsia="仿宋" w:cs="仿宋"/>
          <w:color w:val="auto"/>
          <w:sz w:val="24"/>
          <w:highlight w:val="none"/>
          <w:u w:val="single" w:color="000000"/>
          <w:lang w:val="en-US" w:eastAsia="zh-CN"/>
        </w:rPr>
        <w:t>公开招标</w:t>
      </w:r>
      <w:r>
        <w:rPr>
          <w:rStyle w:val="28"/>
          <w:rFonts w:hint="eastAsia" w:ascii="仿宋" w:hAnsi="仿宋" w:eastAsia="仿宋" w:cs="仿宋"/>
          <w:color w:val="auto"/>
          <w:sz w:val="24"/>
          <w:highlight w:val="none"/>
          <w:u w:val="single" w:color="000000"/>
          <w:lang w:eastAsia="zh-CN"/>
        </w:rPr>
        <w:t xml:space="preserve">  </w:t>
      </w:r>
      <w:r>
        <w:rPr>
          <w:rStyle w:val="28"/>
          <w:rFonts w:hint="eastAsia" w:ascii="仿宋" w:hAnsi="仿宋" w:eastAsia="仿宋" w:cs="仿宋"/>
          <w:color w:val="auto"/>
          <w:sz w:val="24"/>
          <w:highlight w:val="none"/>
          <w:lang w:eastAsia="zh-CN"/>
        </w:rPr>
        <w:t>对</w:t>
      </w:r>
      <w:r>
        <w:rPr>
          <w:rStyle w:val="28"/>
          <w:rFonts w:hint="eastAsia" w:ascii="仿宋" w:hAnsi="仿宋" w:eastAsia="仿宋" w:cs="仿宋"/>
          <w:color w:val="auto"/>
          <w:sz w:val="24"/>
          <w:highlight w:val="none"/>
          <w:u w:val="single" w:color="auto"/>
          <w:lang w:eastAsia="zh-CN"/>
        </w:rPr>
        <w:t xml:space="preserve">   </w:t>
      </w:r>
      <w:r>
        <w:rPr>
          <w:rStyle w:val="28"/>
          <w:rFonts w:hint="eastAsia" w:ascii="仿宋" w:hAnsi="仿宋" w:eastAsia="仿宋" w:cs="仿宋"/>
          <w:color w:val="auto"/>
          <w:sz w:val="24"/>
          <w:highlight w:val="none"/>
          <w:u w:val="single" w:color="auto"/>
          <w:lang w:val="en-US" w:eastAsia="zh-CN"/>
        </w:rPr>
        <w:t>  </w:t>
      </w:r>
      <w:r>
        <w:rPr>
          <w:rStyle w:val="28"/>
          <w:rFonts w:hint="eastAsia" w:ascii="仿宋" w:hAnsi="仿宋" w:eastAsia="仿宋" w:cs="仿宋"/>
          <w:color w:val="auto"/>
          <w:sz w:val="24"/>
          <w:highlight w:val="none"/>
          <w:u w:val="single" w:color="auto"/>
          <w:lang w:eastAsia="zh-CN"/>
        </w:rPr>
        <w:t>伽师县202</w:t>
      </w:r>
      <w:r>
        <w:rPr>
          <w:rStyle w:val="28"/>
          <w:rFonts w:hint="eastAsia" w:ascii="仿宋" w:hAnsi="仿宋" w:eastAsia="仿宋" w:cs="仿宋"/>
          <w:color w:val="auto"/>
          <w:sz w:val="24"/>
          <w:highlight w:val="none"/>
          <w:u w:val="single" w:color="auto"/>
          <w:lang w:val="en-US" w:eastAsia="zh-CN"/>
        </w:rPr>
        <w:t>6</w:t>
      </w:r>
      <w:r>
        <w:rPr>
          <w:rStyle w:val="28"/>
          <w:rFonts w:hint="eastAsia" w:ascii="仿宋" w:hAnsi="仿宋" w:eastAsia="仿宋" w:cs="仿宋"/>
          <w:color w:val="auto"/>
          <w:sz w:val="24"/>
          <w:highlight w:val="none"/>
          <w:u w:val="single" w:color="auto"/>
          <w:lang w:eastAsia="zh-CN"/>
        </w:rPr>
        <w:t>年健康心理服务中心建设项目</w:t>
      </w:r>
      <w:r>
        <w:rPr>
          <w:rStyle w:val="28"/>
          <w:rFonts w:hint="eastAsia" w:ascii="仿宋" w:hAnsi="仿宋" w:eastAsia="仿宋" w:cs="仿宋"/>
          <w:color w:val="auto"/>
          <w:sz w:val="24"/>
          <w:highlight w:val="none"/>
          <w:lang w:eastAsia="zh-CN"/>
        </w:rPr>
        <w:t>进行了采购。经</w:t>
      </w:r>
      <w:r>
        <w:rPr>
          <w:rStyle w:val="28"/>
          <w:rFonts w:hint="eastAsia" w:ascii="仿宋" w:hAnsi="仿宋" w:eastAsia="仿宋" w:cs="仿宋"/>
          <w:color w:val="auto"/>
          <w:sz w:val="24"/>
          <w:highlight w:val="none"/>
          <w:u w:val="single" w:color="000000"/>
          <w:lang w:eastAsia="zh-CN"/>
        </w:rPr>
        <w:t xml:space="preserve">   （相关评定主体名称）   </w:t>
      </w:r>
      <w:r>
        <w:rPr>
          <w:rStyle w:val="28"/>
          <w:rFonts w:hint="eastAsia" w:ascii="仿宋" w:hAnsi="仿宋" w:eastAsia="仿宋" w:cs="仿宋"/>
          <w:color w:val="auto"/>
          <w:sz w:val="24"/>
          <w:highlight w:val="none"/>
          <w:lang w:eastAsia="zh-CN"/>
        </w:rPr>
        <w:t>评定，</w:t>
      </w:r>
      <w:r>
        <w:rPr>
          <w:rStyle w:val="28"/>
          <w:rFonts w:hint="eastAsia" w:ascii="仿宋" w:hAnsi="仿宋" w:eastAsia="仿宋" w:cs="仿宋"/>
          <w:color w:val="auto"/>
          <w:sz w:val="24"/>
          <w:highlight w:val="none"/>
          <w:u w:val="single" w:color="000000"/>
          <w:lang w:eastAsia="zh-CN"/>
        </w:rPr>
        <w:t xml:space="preserve">   （中标供应商名称）</w:t>
      </w:r>
      <w:r>
        <w:rPr>
          <w:rStyle w:val="28"/>
          <w:rFonts w:hint="eastAsia" w:ascii="仿宋" w:hAnsi="仿宋" w:eastAsia="仿宋" w:cs="仿宋"/>
          <w:color w:val="auto"/>
          <w:sz w:val="24"/>
          <w:highlight w:val="none"/>
          <w:lang w:eastAsia="zh-CN"/>
        </w:rPr>
        <w:t>为该项目中标供应商。现于中标通知书发出之日起三十日</w:t>
      </w:r>
    </w:p>
    <w:p w14:paraId="53920D30">
      <w:pPr>
        <w:spacing w:line="400" w:lineRule="exact"/>
        <w:jc w:val="both"/>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内，按照采购文件确定的事项签订本合同。</w:t>
      </w:r>
    </w:p>
    <w:p w14:paraId="0C1DA094">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val="zh-CN" w:eastAsia="zh-CN"/>
        </w:rPr>
        <w:t>根据《中华人民共和国合同法》、《中华人民共和国政府采购法》等相关法律法规之规定，按照平等、自愿、公平和诚实信用的原则，经</w:t>
      </w:r>
      <w:r>
        <w:rPr>
          <w:rStyle w:val="28"/>
          <w:rFonts w:hint="eastAsia" w:ascii="仿宋" w:hAnsi="仿宋" w:eastAsia="仿宋" w:cs="仿宋"/>
          <w:color w:val="auto"/>
          <w:sz w:val="24"/>
          <w:highlight w:val="none"/>
          <w:u w:val="single" w:color="000000"/>
          <w:lang w:eastAsia="zh-CN"/>
        </w:rPr>
        <w:t xml:space="preserve">   </w:t>
      </w:r>
      <w:r>
        <w:rPr>
          <w:rStyle w:val="28"/>
          <w:rFonts w:hint="eastAsia" w:ascii="仿宋" w:hAnsi="仿宋" w:eastAsia="仿宋" w:cs="仿宋"/>
          <w:color w:val="auto"/>
          <w:sz w:val="24"/>
          <w:highlight w:val="none"/>
          <w:u w:val="single" w:color="000000"/>
          <w:lang w:val="en-US" w:eastAsia="zh-CN"/>
        </w:rPr>
        <w:t>  伽师县卫生健康委员会</w:t>
      </w:r>
      <w:r>
        <w:rPr>
          <w:rStyle w:val="28"/>
          <w:rFonts w:hint="eastAsia" w:ascii="仿宋" w:hAnsi="仿宋" w:eastAsia="仿宋" w:cs="仿宋"/>
          <w:color w:val="auto"/>
          <w:sz w:val="24"/>
          <w:highlight w:val="none"/>
          <w:u w:val="single" w:color="000000"/>
          <w:lang w:eastAsia="zh-CN"/>
        </w:rPr>
        <w:t xml:space="preserve">   </w:t>
      </w:r>
      <w:r>
        <w:rPr>
          <w:rStyle w:val="28"/>
          <w:rFonts w:hint="eastAsia" w:ascii="仿宋" w:hAnsi="仿宋" w:eastAsia="仿宋" w:cs="仿宋"/>
          <w:color w:val="auto"/>
          <w:sz w:val="24"/>
          <w:highlight w:val="none"/>
          <w:lang w:val="zh-CN" w:eastAsia="zh-CN"/>
        </w:rPr>
        <w:t>(以下简称：甲方)和</w:t>
      </w:r>
      <w:r>
        <w:rPr>
          <w:rStyle w:val="28"/>
          <w:rFonts w:hint="eastAsia" w:ascii="仿宋" w:hAnsi="仿宋" w:eastAsia="仿宋" w:cs="仿宋"/>
          <w:color w:val="auto"/>
          <w:sz w:val="24"/>
          <w:highlight w:val="none"/>
          <w:u w:val="single" w:color="000000"/>
          <w:lang w:eastAsia="zh-CN"/>
        </w:rPr>
        <w:t xml:space="preserve">   （中标供应商名称）   </w:t>
      </w:r>
      <w:r>
        <w:rPr>
          <w:rStyle w:val="28"/>
          <w:rFonts w:hint="eastAsia" w:ascii="仿宋" w:hAnsi="仿宋" w:eastAsia="仿宋" w:cs="仿宋"/>
          <w:color w:val="auto"/>
          <w:sz w:val="24"/>
          <w:highlight w:val="none"/>
          <w:lang w:val="zh-CN" w:eastAsia="zh-CN"/>
        </w:rPr>
        <w:t>(以下简称：乙方)协商一致，约定以下合同</w:t>
      </w:r>
      <w:r>
        <w:rPr>
          <w:rStyle w:val="28"/>
          <w:rFonts w:hint="eastAsia" w:ascii="仿宋" w:hAnsi="仿宋" w:eastAsia="仿宋" w:cs="仿宋"/>
          <w:color w:val="auto"/>
          <w:sz w:val="24"/>
          <w:highlight w:val="none"/>
          <w:lang w:eastAsia="zh-CN"/>
        </w:rPr>
        <w:t>条款，以兹共同遵守、全面履行。</w:t>
      </w:r>
    </w:p>
    <w:p w14:paraId="1926788E">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1.1 合同组成部分</w:t>
      </w:r>
    </w:p>
    <w:p w14:paraId="7582F916">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DF2321A">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1.1.1 本合同及其补充合同、变更协议；</w:t>
      </w:r>
    </w:p>
    <w:p w14:paraId="1F11A2BD">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1.1.2 中标通知书；</w:t>
      </w:r>
    </w:p>
    <w:p w14:paraId="6AA48B5B">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1.1.3 投标文件（含澄清或者说明文件）；</w:t>
      </w:r>
    </w:p>
    <w:p w14:paraId="1AAF1AF4">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1.1.4 招标文件（含澄清或者修改文件）；</w:t>
      </w:r>
    </w:p>
    <w:p w14:paraId="05AEFF95">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1.1.5 其他相关采购文件。</w:t>
      </w:r>
    </w:p>
    <w:p w14:paraId="2645AFCF">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1.2 货物</w:t>
      </w:r>
    </w:p>
    <w:p w14:paraId="5486BFF4">
      <w:pPr>
        <w:spacing w:line="400" w:lineRule="exact"/>
        <w:ind w:firstLine="480" w:firstLineChars="200"/>
        <w:rPr>
          <w:rStyle w:val="28"/>
          <w:rFonts w:hint="eastAsia" w:ascii="仿宋" w:hAnsi="仿宋" w:eastAsia="仿宋" w:cs="仿宋"/>
          <w:color w:val="auto"/>
          <w:sz w:val="24"/>
          <w:highlight w:val="none"/>
          <w:u w:val="single"/>
          <w:lang w:eastAsia="zh-CN"/>
        </w:rPr>
      </w:pPr>
      <w:r>
        <w:rPr>
          <w:rStyle w:val="28"/>
          <w:rFonts w:hint="eastAsia" w:ascii="仿宋" w:hAnsi="仿宋" w:eastAsia="仿宋" w:cs="仿宋"/>
          <w:color w:val="auto"/>
          <w:sz w:val="24"/>
          <w:highlight w:val="none"/>
          <w:lang w:eastAsia="zh-CN"/>
        </w:rPr>
        <w:t>1.2.1 货物称：；</w:t>
      </w:r>
    </w:p>
    <w:p w14:paraId="53B0D0D5">
      <w:pPr>
        <w:spacing w:line="400" w:lineRule="exact"/>
        <w:ind w:firstLine="480" w:firstLineChars="200"/>
        <w:rPr>
          <w:rStyle w:val="28"/>
          <w:rFonts w:hint="eastAsia" w:ascii="仿宋" w:hAnsi="仿宋" w:eastAsia="仿宋" w:cs="仿宋"/>
          <w:color w:val="auto"/>
          <w:sz w:val="24"/>
          <w:highlight w:val="none"/>
          <w:u w:val="single"/>
          <w:lang w:eastAsia="zh-CN"/>
        </w:rPr>
      </w:pPr>
      <w:r>
        <w:rPr>
          <w:rStyle w:val="28"/>
          <w:rFonts w:hint="eastAsia" w:ascii="仿宋" w:hAnsi="仿宋" w:eastAsia="仿宋" w:cs="仿宋"/>
          <w:color w:val="auto"/>
          <w:sz w:val="24"/>
          <w:highlight w:val="none"/>
          <w:lang w:eastAsia="zh-CN"/>
        </w:rPr>
        <w:t>1.2.2 货物量：；</w:t>
      </w:r>
    </w:p>
    <w:p w14:paraId="4C5B39D4">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1.2.3 货物量：</w:t>
      </w:r>
      <w:r>
        <w:rPr>
          <w:rStyle w:val="28"/>
          <w:rFonts w:hint="eastAsia" w:ascii="仿宋" w:hAnsi="仿宋" w:eastAsia="仿宋" w:cs="仿宋"/>
          <w:color w:val="auto"/>
          <w:sz w:val="24"/>
          <w:highlight w:val="none"/>
          <w:u w:val="single" w:color="000000"/>
          <w:lang w:eastAsia="zh-CN"/>
        </w:rPr>
        <w:t xml:space="preserve">　　　　　　　　　                      　      </w:t>
      </w:r>
      <w:r>
        <w:rPr>
          <w:rStyle w:val="28"/>
          <w:rFonts w:hint="eastAsia" w:ascii="仿宋" w:hAnsi="仿宋" w:eastAsia="仿宋" w:cs="仿宋"/>
          <w:color w:val="auto"/>
          <w:sz w:val="24"/>
          <w:highlight w:val="none"/>
          <w:lang w:eastAsia="zh-CN"/>
        </w:rPr>
        <w:t>。</w:t>
      </w:r>
    </w:p>
    <w:p w14:paraId="251B95E2">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1.3 价款</w:t>
      </w:r>
    </w:p>
    <w:p w14:paraId="60257B0C">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本合同总价为：￥元（大写：元人民币）。</w:t>
      </w:r>
    </w:p>
    <w:p w14:paraId="70A4462A">
      <w:pPr>
        <w:spacing w:line="400" w:lineRule="exact"/>
        <w:ind w:firstLine="480" w:firstLineChars="200"/>
        <w:rPr>
          <w:rStyle w:val="28"/>
          <w:rFonts w:hint="eastAsia" w:ascii="仿宋" w:hAnsi="仿宋" w:eastAsia="仿宋" w:cs="仿宋"/>
          <w:color w:val="auto"/>
          <w:sz w:val="24"/>
          <w:highlight w:val="none"/>
          <w:u w:val="single"/>
        </w:rPr>
      </w:pPr>
      <w:r>
        <w:rPr>
          <w:rStyle w:val="28"/>
          <w:rFonts w:hint="eastAsia" w:ascii="仿宋" w:hAnsi="仿宋" w:eastAsia="仿宋" w:cs="仿宋"/>
          <w:color w:val="auto"/>
          <w:sz w:val="24"/>
          <w:highlight w:val="none"/>
        </w:rPr>
        <w:t>分项价格：</w:t>
      </w:r>
    </w:p>
    <w:tbl>
      <w:tblPr>
        <w:tblStyle w:val="23"/>
        <w:tblW w:w="71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1"/>
        <w:gridCol w:w="3402"/>
        <w:gridCol w:w="2552"/>
      </w:tblGrid>
      <w:tr w14:paraId="3BF7F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FC9E0A4">
            <w:pPr>
              <w:pStyle w:val="41"/>
              <w:spacing w:line="400" w:lineRule="exact"/>
              <w:jc w:val="center"/>
              <w:rPr>
                <w:rStyle w:val="28"/>
                <w:rFonts w:hint="eastAsia" w:ascii="仿宋" w:hAnsi="仿宋" w:eastAsia="仿宋" w:cs="仿宋"/>
                <w:color w:val="auto"/>
                <w:kern w:val="2"/>
                <w:sz w:val="24"/>
                <w:szCs w:val="24"/>
                <w:highlight w:val="none"/>
              </w:rPr>
            </w:pPr>
            <w:r>
              <w:rPr>
                <w:rStyle w:val="28"/>
                <w:rFonts w:hint="eastAsia" w:ascii="仿宋" w:hAnsi="仿宋" w:eastAsia="仿宋" w:cs="仿宋"/>
                <w:color w:val="auto"/>
                <w:kern w:val="2"/>
                <w:sz w:val="24"/>
                <w:szCs w:val="24"/>
                <w:highlight w:val="none"/>
              </w:rPr>
              <w:t>序号</w:t>
            </w:r>
          </w:p>
        </w:tc>
        <w:tc>
          <w:tcPr>
            <w:tcW w:w="3402" w:type="dxa"/>
            <w:tcBorders>
              <w:top w:val="single" w:color="000000" w:sz="4" w:space="0"/>
              <w:left w:val="single" w:color="000000" w:sz="4" w:space="0"/>
              <w:bottom w:val="single" w:color="000000" w:sz="4" w:space="0"/>
              <w:right w:val="single" w:color="000000" w:sz="4" w:space="0"/>
            </w:tcBorders>
            <w:vAlign w:val="center"/>
          </w:tcPr>
          <w:p w14:paraId="248AF6C5">
            <w:pPr>
              <w:pStyle w:val="41"/>
              <w:spacing w:line="400" w:lineRule="exact"/>
              <w:ind w:firstLine="200"/>
              <w:jc w:val="center"/>
              <w:rPr>
                <w:rStyle w:val="28"/>
                <w:rFonts w:hint="eastAsia" w:ascii="仿宋" w:hAnsi="仿宋" w:eastAsia="仿宋" w:cs="仿宋"/>
                <w:color w:val="auto"/>
                <w:kern w:val="2"/>
                <w:sz w:val="24"/>
                <w:szCs w:val="24"/>
                <w:highlight w:val="none"/>
              </w:rPr>
            </w:pPr>
            <w:r>
              <w:rPr>
                <w:rStyle w:val="28"/>
                <w:rFonts w:hint="eastAsia" w:ascii="仿宋" w:hAnsi="仿宋" w:eastAsia="仿宋" w:cs="仿宋"/>
                <w:color w:val="auto"/>
                <w:kern w:val="2"/>
                <w:sz w:val="24"/>
                <w:szCs w:val="24"/>
                <w:highlight w:val="none"/>
              </w:rPr>
              <w:t>分项名称</w:t>
            </w:r>
          </w:p>
        </w:tc>
        <w:tc>
          <w:tcPr>
            <w:tcW w:w="2552" w:type="dxa"/>
            <w:tcBorders>
              <w:top w:val="single" w:color="000000" w:sz="4" w:space="0"/>
              <w:left w:val="single" w:color="000000" w:sz="4" w:space="0"/>
              <w:bottom w:val="single" w:color="000000" w:sz="4" w:space="0"/>
              <w:right w:val="single" w:color="000000" w:sz="4" w:space="0"/>
            </w:tcBorders>
            <w:vAlign w:val="center"/>
          </w:tcPr>
          <w:p w14:paraId="729BCC6C">
            <w:pPr>
              <w:pStyle w:val="41"/>
              <w:spacing w:line="400" w:lineRule="exact"/>
              <w:jc w:val="center"/>
              <w:rPr>
                <w:rStyle w:val="28"/>
                <w:rFonts w:hint="eastAsia" w:ascii="仿宋" w:hAnsi="仿宋" w:eastAsia="仿宋" w:cs="仿宋"/>
                <w:color w:val="auto"/>
                <w:kern w:val="2"/>
                <w:sz w:val="24"/>
                <w:szCs w:val="24"/>
                <w:highlight w:val="none"/>
              </w:rPr>
            </w:pPr>
            <w:r>
              <w:rPr>
                <w:rStyle w:val="28"/>
                <w:rFonts w:hint="eastAsia" w:ascii="仿宋" w:hAnsi="仿宋" w:eastAsia="仿宋" w:cs="仿宋"/>
                <w:color w:val="auto"/>
                <w:kern w:val="2"/>
                <w:sz w:val="24"/>
                <w:szCs w:val="24"/>
                <w:highlight w:val="none"/>
              </w:rPr>
              <w:t>分项价格</w:t>
            </w:r>
          </w:p>
        </w:tc>
      </w:tr>
      <w:tr w14:paraId="0F296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A46CC4C">
            <w:pPr>
              <w:pStyle w:val="41"/>
              <w:spacing w:line="400" w:lineRule="exact"/>
              <w:ind w:firstLine="200"/>
              <w:jc w:val="center"/>
              <w:rPr>
                <w:rStyle w:val="28"/>
                <w:rFonts w:hint="eastAsia" w:ascii="仿宋" w:hAnsi="仿宋" w:eastAsia="仿宋" w:cs="仿宋"/>
                <w:color w:val="auto"/>
                <w:kern w:val="2"/>
                <w:sz w:val="24"/>
                <w:szCs w:val="24"/>
                <w:highlight w:val="none"/>
              </w:rPr>
            </w:pPr>
          </w:p>
        </w:tc>
        <w:tc>
          <w:tcPr>
            <w:tcW w:w="3402" w:type="dxa"/>
            <w:tcBorders>
              <w:top w:val="single" w:color="000000" w:sz="4" w:space="0"/>
              <w:left w:val="single" w:color="000000" w:sz="4" w:space="0"/>
              <w:bottom w:val="single" w:color="000000" w:sz="4" w:space="0"/>
              <w:right w:val="single" w:color="000000" w:sz="4" w:space="0"/>
            </w:tcBorders>
            <w:vAlign w:val="center"/>
          </w:tcPr>
          <w:p w14:paraId="12BA437A">
            <w:pPr>
              <w:pStyle w:val="41"/>
              <w:spacing w:line="400" w:lineRule="exact"/>
              <w:ind w:firstLine="200"/>
              <w:jc w:val="center"/>
              <w:rPr>
                <w:rStyle w:val="28"/>
                <w:rFonts w:hint="eastAsia" w:ascii="仿宋" w:hAnsi="仿宋" w:eastAsia="仿宋" w:cs="仿宋"/>
                <w:color w:val="auto"/>
                <w:kern w:val="2"/>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4E71DEC6">
            <w:pPr>
              <w:pStyle w:val="41"/>
              <w:spacing w:line="400" w:lineRule="exact"/>
              <w:ind w:firstLine="200"/>
              <w:jc w:val="center"/>
              <w:rPr>
                <w:rStyle w:val="28"/>
                <w:rFonts w:hint="eastAsia" w:ascii="仿宋" w:hAnsi="仿宋" w:eastAsia="仿宋" w:cs="仿宋"/>
                <w:color w:val="auto"/>
                <w:kern w:val="2"/>
                <w:sz w:val="24"/>
                <w:szCs w:val="24"/>
                <w:highlight w:val="none"/>
              </w:rPr>
            </w:pPr>
          </w:p>
        </w:tc>
      </w:tr>
      <w:tr w14:paraId="3B6F5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DC58D38">
            <w:pPr>
              <w:pStyle w:val="41"/>
              <w:spacing w:line="400" w:lineRule="exact"/>
              <w:ind w:firstLine="200"/>
              <w:jc w:val="center"/>
              <w:rPr>
                <w:rStyle w:val="28"/>
                <w:rFonts w:hint="eastAsia" w:ascii="仿宋" w:hAnsi="仿宋" w:eastAsia="仿宋" w:cs="仿宋"/>
                <w:color w:val="auto"/>
                <w:kern w:val="2"/>
                <w:sz w:val="24"/>
                <w:szCs w:val="24"/>
                <w:highlight w:val="none"/>
              </w:rPr>
            </w:pPr>
          </w:p>
        </w:tc>
        <w:tc>
          <w:tcPr>
            <w:tcW w:w="3402" w:type="dxa"/>
            <w:tcBorders>
              <w:top w:val="single" w:color="000000" w:sz="4" w:space="0"/>
              <w:left w:val="single" w:color="000000" w:sz="4" w:space="0"/>
              <w:bottom w:val="single" w:color="000000" w:sz="4" w:space="0"/>
              <w:right w:val="single" w:color="000000" w:sz="4" w:space="0"/>
            </w:tcBorders>
            <w:vAlign w:val="center"/>
          </w:tcPr>
          <w:p w14:paraId="3253DB19">
            <w:pPr>
              <w:pStyle w:val="41"/>
              <w:spacing w:line="400" w:lineRule="exact"/>
              <w:ind w:firstLine="200"/>
              <w:jc w:val="center"/>
              <w:rPr>
                <w:rStyle w:val="28"/>
                <w:rFonts w:hint="eastAsia" w:ascii="仿宋" w:hAnsi="仿宋" w:eastAsia="仿宋" w:cs="仿宋"/>
                <w:color w:val="auto"/>
                <w:kern w:val="2"/>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4B38E20A">
            <w:pPr>
              <w:pStyle w:val="41"/>
              <w:spacing w:line="400" w:lineRule="exact"/>
              <w:ind w:firstLine="200"/>
              <w:jc w:val="center"/>
              <w:rPr>
                <w:rStyle w:val="28"/>
                <w:rFonts w:hint="eastAsia" w:ascii="仿宋" w:hAnsi="仿宋" w:eastAsia="仿宋" w:cs="仿宋"/>
                <w:color w:val="auto"/>
                <w:kern w:val="2"/>
                <w:sz w:val="24"/>
                <w:szCs w:val="24"/>
                <w:highlight w:val="none"/>
              </w:rPr>
            </w:pPr>
          </w:p>
        </w:tc>
      </w:tr>
      <w:tr w14:paraId="01CFB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4B946B0">
            <w:pPr>
              <w:pStyle w:val="41"/>
              <w:spacing w:line="400" w:lineRule="exact"/>
              <w:ind w:firstLine="200"/>
              <w:jc w:val="center"/>
              <w:rPr>
                <w:rStyle w:val="28"/>
                <w:rFonts w:hint="eastAsia" w:ascii="仿宋" w:hAnsi="仿宋" w:eastAsia="仿宋" w:cs="仿宋"/>
                <w:color w:val="auto"/>
                <w:kern w:val="2"/>
                <w:sz w:val="24"/>
                <w:szCs w:val="24"/>
                <w:highlight w:val="none"/>
              </w:rPr>
            </w:pPr>
          </w:p>
        </w:tc>
        <w:tc>
          <w:tcPr>
            <w:tcW w:w="3402" w:type="dxa"/>
            <w:tcBorders>
              <w:top w:val="single" w:color="000000" w:sz="4" w:space="0"/>
              <w:left w:val="single" w:color="000000" w:sz="4" w:space="0"/>
              <w:bottom w:val="single" w:color="000000" w:sz="4" w:space="0"/>
              <w:right w:val="single" w:color="000000" w:sz="4" w:space="0"/>
            </w:tcBorders>
            <w:vAlign w:val="center"/>
          </w:tcPr>
          <w:p w14:paraId="4A15F438">
            <w:pPr>
              <w:pStyle w:val="41"/>
              <w:spacing w:line="400" w:lineRule="exact"/>
              <w:ind w:firstLine="200"/>
              <w:jc w:val="center"/>
              <w:rPr>
                <w:rStyle w:val="28"/>
                <w:rFonts w:hint="eastAsia" w:ascii="仿宋" w:hAnsi="仿宋" w:eastAsia="仿宋" w:cs="仿宋"/>
                <w:color w:val="auto"/>
                <w:kern w:val="2"/>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5CC49A8D">
            <w:pPr>
              <w:pStyle w:val="41"/>
              <w:spacing w:line="400" w:lineRule="exact"/>
              <w:ind w:firstLine="200"/>
              <w:jc w:val="center"/>
              <w:rPr>
                <w:rStyle w:val="28"/>
                <w:rFonts w:hint="eastAsia" w:ascii="仿宋" w:hAnsi="仿宋" w:eastAsia="仿宋" w:cs="仿宋"/>
                <w:color w:val="auto"/>
                <w:kern w:val="2"/>
                <w:sz w:val="24"/>
                <w:szCs w:val="24"/>
                <w:highlight w:val="none"/>
              </w:rPr>
            </w:pPr>
          </w:p>
        </w:tc>
      </w:tr>
      <w:tr w14:paraId="15CB8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8902C63">
            <w:pPr>
              <w:pStyle w:val="41"/>
              <w:spacing w:line="400" w:lineRule="exact"/>
              <w:ind w:firstLine="200"/>
              <w:jc w:val="center"/>
              <w:rPr>
                <w:rStyle w:val="28"/>
                <w:rFonts w:hint="eastAsia" w:ascii="仿宋" w:hAnsi="仿宋" w:eastAsia="仿宋" w:cs="仿宋"/>
                <w:color w:val="auto"/>
                <w:kern w:val="2"/>
                <w:sz w:val="24"/>
                <w:szCs w:val="24"/>
                <w:highlight w:val="none"/>
              </w:rPr>
            </w:pPr>
          </w:p>
        </w:tc>
        <w:tc>
          <w:tcPr>
            <w:tcW w:w="3402" w:type="dxa"/>
            <w:tcBorders>
              <w:top w:val="single" w:color="000000" w:sz="4" w:space="0"/>
              <w:left w:val="single" w:color="000000" w:sz="4" w:space="0"/>
              <w:bottom w:val="single" w:color="000000" w:sz="4" w:space="0"/>
              <w:right w:val="single" w:color="000000" w:sz="4" w:space="0"/>
            </w:tcBorders>
            <w:vAlign w:val="center"/>
          </w:tcPr>
          <w:p w14:paraId="23E79797">
            <w:pPr>
              <w:pStyle w:val="41"/>
              <w:spacing w:line="400" w:lineRule="exact"/>
              <w:ind w:firstLine="200"/>
              <w:jc w:val="center"/>
              <w:rPr>
                <w:rStyle w:val="28"/>
                <w:rFonts w:hint="eastAsia" w:ascii="仿宋" w:hAnsi="仿宋" w:eastAsia="仿宋" w:cs="仿宋"/>
                <w:color w:val="auto"/>
                <w:kern w:val="2"/>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5FEF1F7F">
            <w:pPr>
              <w:pStyle w:val="41"/>
              <w:spacing w:line="400" w:lineRule="exact"/>
              <w:ind w:firstLine="200"/>
              <w:jc w:val="center"/>
              <w:rPr>
                <w:rStyle w:val="28"/>
                <w:rFonts w:hint="eastAsia" w:ascii="仿宋" w:hAnsi="仿宋" w:eastAsia="仿宋" w:cs="仿宋"/>
                <w:color w:val="auto"/>
                <w:kern w:val="2"/>
                <w:sz w:val="24"/>
                <w:szCs w:val="24"/>
                <w:highlight w:val="none"/>
              </w:rPr>
            </w:pPr>
          </w:p>
        </w:tc>
      </w:tr>
      <w:tr w14:paraId="568A6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4603" w:type="dxa"/>
            <w:gridSpan w:val="2"/>
            <w:tcBorders>
              <w:top w:val="single" w:color="000000" w:sz="4" w:space="0"/>
              <w:left w:val="single" w:color="000000" w:sz="4" w:space="0"/>
              <w:bottom w:val="single" w:color="000000" w:sz="4" w:space="0"/>
              <w:right w:val="single" w:color="000000" w:sz="4" w:space="0"/>
            </w:tcBorders>
            <w:vAlign w:val="center"/>
          </w:tcPr>
          <w:p w14:paraId="75901861">
            <w:pPr>
              <w:pStyle w:val="41"/>
              <w:spacing w:line="400" w:lineRule="exact"/>
              <w:ind w:firstLine="200"/>
              <w:jc w:val="center"/>
              <w:rPr>
                <w:rStyle w:val="28"/>
                <w:rFonts w:hint="eastAsia" w:ascii="仿宋" w:hAnsi="仿宋" w:eastAsia="仿宋" w:cs="仿宋"/>
                <w:color w:val="auto"/>
                <w:kern w:val="2"/>
                <w:sz w:val="24"/>
                <w:szCs w:val="24"/>
                <w:highlight w:val="none"/>
              </w:rPr>
            </w:pPr>
            <w:r>
              <w:rPr>
                <w:rStyle w:val="28"/>
                <w:rFonts w:hint="eastAsia" w:ascii="仿宋" w:hAnsi="仿宋" w:eastAsia="仿宋" w:cs="仿宋"/>
                <w:color w:val="auto"/>
                <w:kern w:val="2"/>
                <w:sz w:val="24"/>
                <w:szCs w:val="24"/>
                <w:highlight w:val="none"/>
              </w:rPr>
              <w:t>总价</w:t>
            </w:r>
          </w:p>
        </w:tc>
        <w:tc>
          <w:tcPr>
            <w:tcW w:w="2552" w:type="dxa"/>
            <w:tcBorders>
              <w:top w:val="single" w:color="000000" w:sz="4" w:space="0"/>
              <w:left w:val="single" w:color="000000" w:sz="4" w:space="0"/>
              <w:bottom w:val="single" w:color="000000" w:sz="4" w:space="0"/>
              <w:right w:val="single" w:color="000000" w:sz="4" w:space="0"/>
            </w:tcBorders>
            <w:vAlign w:val="center"/>
          </w:tcPr>
          <w:p w14:paraId="2CF47433">
            <w:pPr>
              <w:pStyle w:val="41"/>
              <w:spacing w:line="400" w:lineRule="exact"/>
              <w:ind w:firstLine="200"/>
              <w:jc w:val="center"/>
              <w:rPr>
                <w:rStyle w:val="28"/>
                <w:rFonts w:hint="eastAsia" w:ascii="仿宋" w:hAnsi="仿宋" w:eastAsia="仿宋" w:cs="仿宋"/>
                <w:color w:val="auto"/>
                <w:kern w:val="2"/>
                <w:sz w:val="24"/>
                <w:szCs w:val="24"/>
                <w:highlight w:val="none"/>
              </w:rPr>
            </w:pPr>
          </w:p>
        </w:tc>
      </w:tr>
    </w:tbl>
    <w:p w14:paraId="34B9A2A1">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1.4 付款方式和发票开具方式</w:t>
      </w:r>
    </w:p>
    <w:p w14:paraId="723663A4">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1.4.1 付款方式：；</w:t>
      </w:r>
    </w:p>
    <w:p w14:paraId="68C09B48">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1.4.2 发票开具方式：。</w:t>
      </w:r>
    </w:p>
    <w:p w14:paraId="1EB442E6">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1.5 货物交付期限、地点和方式</w:t>
      </w:r>
    </w:p>
    <w:p w14:paraId="09C564AA">
      <w:pPr>
        <w:spacing w:line="400" w:lineRule="exact"/>
        <w:ind w:firstLine="480" w:firstLineChars="200"/>
        <w:rPr>
          <w:rStyle w:val="28"/>
          <w:rFonts w:hint="eastAsia" w:ascii="仿宋" w:hAnsi="仿宋" w:eastAsia="仿宋" w:cs="仿宋"/>
          <w:color w:val="auto"/>
          <w:sz w:val="24"/>
          <w:highlight w:val="none"/>
          <w:u w:val="single"/>
          <w:lang w:eastAsia="zh-CN"/>
        </w:rPr>
      </w:pPr>
      <w:r>
        <w:rPr>
          <w:rStyle w:val="28"/>
          <w:rFonts w:hint="eastAsia" w:ascii="仿宋" w:hAnsi="仿宋" w:eastAsia="仿宋" w:cs="仿宋"/>
          <w:color w:val="auto"/>
          <w:sz w:val="24"/>
          <w:highlight w:val="none"/>
          <w:lang w:eastAsia="zh-CN"/>
        </w:rPr>
        <w:t>1.5.1 交付限：；</w:t>
      </w:r>
    </w:p>
    <w:p w14:paraId="33F9B7FA">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1.5.2 交付点：</w:t>
      </w:r>
      <w:r>
        <w:rPr>
          <w:rStyle w:val="28"/>
          <w:rFonts w:hint="eastAsia" w:ascii="仿宋" w:hAnsi="仿宋" w:eastAsia="仿宋" w:cs="仿宋"/>
          <w:color w:val="auto"/>
          <w:sz w:val="24"/>
          <w:highlight w:val="none"/>
          <w:lang w:val="en-US" w:eastAsia="zh-CN"/>
        </w:rPr>
        <w:t>  伽师县卫生健康委员会</w:t>
      </w:r>
    </w:p>
    <w:p w14:paraId="02B2C0B5">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1.5.3 交付式：</w:t>
      </w:r>
      <w:r>
        <w:rPr>
          <w:rStyle w:val="28"/>
          <w:rFonts w:hint="eastAsia" w:ascii="仿宋" w:hAnsi="仿宋" w:eastAsia="仿宋" w:cs="仿宋"/>
          <w:color w:val="auto"/>
          <w:sz w:val="24"/>
          <w:highlight w:val="none"/>
          <w:u w:val="single"/>
          <w:lang w:eastAsia="zh-CN"/>
        </w:rPr>
        <w:t xml:space="preserve">              </w:t>
      </w:r>
      <w:r>
        <w:rPr>
          <w:rStyle w:val="28"/>
          <w:rFonts w:hint="eastAsia" w:ascii="仿宋" w:hAnsi="仿宋" w:eastAsia="仿宋" w:cs="仿宋"/>
          <w:color w:val="auto"/>
          <w:sz w:val="24"/>
          <w:highlight w:val="none"/>
          <w:u w:val="single" w:color="000000"/>
          <w:lang w:eastAsia="zh-CN"/>
        </w:rPr>
        <w:t xml:space="preserve">                           </w:t>
      </w:r>
      <w:r>
        <w:rPr>
          <w:rStyle w:val="28"/>
          <w:rFonts w:hint="eastAsia" w:ascii="仿宋" w:hAnsi="仿宋" w:eastAsia="仿宋" w:cs="仿宋"/>
          <w:color w:val="auto"/>
          <w:sz w:val="24"/>
          <w:highlight w:val="none"/>
          <w:lang w:eastAsia="zh-CN"/>
        </w:rPr>
        <w:t>。</w:t>
      </w:r>
    </w:p>
    <w:p w14:paraId="1754AB7A">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1.6 违约责任</w:t>
      </w:r>
    </w:p>
    <w:p w14:paraId="06A6A150">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1.6.1 除不可抗力外，如果乙方没有按照本合同约定的期限、地点和方式交付货物，那么甲方可要求乙方支付违约金，违约金按每迟延交付货物一日的应交付而未交付货物价格的%计算，最高限额为本合同总价的%；迟延交付货物的违约金计算数额达到前述最高限额之日起，甲方有权在要求乙方支付违约金的同时，书面通知乙方解除本合同；</w:t>
      </w:r>
    </w:p>
    <w:p w14:paraId="061EBE0C">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14:paraId="6882246D">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92F50E0">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33EB031">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472DFA3">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1.6.6 如果出现政府采购监督管理部门在处理投诉事项期间，书面通知甲方暂停采购活动的情形，或者询问或质疑事项可能影响中标结果的，导致甲方中止履行合同的情形，均不视为甲方违约。</w:t>
      </w:r>
    </w:p>
    <w:p w14:paraId="1DADA2E2">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1.7 合同争议的解决</w:t>
      </w:r>
    </w:p>
    <w:p w14:paraId="1E3A9C89">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本合同履行过程中发生的任何争议，双方当事人均可通过和解或者调解解决；不愿和解、调解或者和解、调解不成的，可以选择下列第种方式解决：</w:t>
      </w:r>
    </w:p>
    <w:p w14:paraId="37BBBE1A">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1.7.1 将争议提交仲裁委员会依申请仲裁时其现行有效的仲裁规则裁决；</w:t>
      </w:r>
    </w:p>
    <w:p w14:paraId="642588E2">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1.7.2 向</w:t>
      </w:r>
      <w:r>
        <w:rPr>
          <w:rStyle w:val="28"/>
          <w:rFonts w:hint="eastAsia" w:ascii="仿宋" w:hAnsi="仿宋" w:eastAsia="仿宋" w:cs="仿宋"/>
          <w:color w:val="auto"/>
          <w:sz w:val="24"/>
          <w:highlight w:val="none"/>
          <w:u w:val="single" w:color="000000"/>
          <w:lang w:eastAsia="zh-CN"/>
        </w:rPr>
        <w:t xml:space="preserve">   （被告住所地、合同履行地、合同签订地、原告住所地、标的物所在地等与争议有实际联系的地点中选出的人民法院名称）    </w:t>
      </w:r>
      <w:r>
        <w:rPr>
          <w:rStyle w:val="28"/>
          <w:rFonts w:hint="eastAsia" w:ascii="仿宋" w:hAnsi="仿宋" w:eastAsia="仿宋" w:cs="仿宋"/>
          <w:color w:val="auto"/>
          <w:sz w:val="24"/>
          <w:highlight w:val="none"/>
          <w:lang w:eastAsia="zh-CN"/>
        </w:rPr>
        <w:t>人民法院起诉。</w:t>
      </w:r>
    </w:p>
    <w:p w14:paraId="50F72FE6">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1.8 合同生效</w:t>
      </w:r>
    </w:p>
    <w:p w14:paraId="449A4712">
      <w:pPr>
        <w:spacing w:line="400" w:lineRule="exact"/>
        <w:ind w:firstLine="480"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color w:val="auto"/>
          <w:sz w:val="24"/>
          <w:highlight w:val="none"/>
          <w:lang w:eastAsia="zh-CN"/>
        </w:rPr>
        <w:t>本合同自双方当事人盖章或者签字时生效。</w:t>
      </w:r>
    </w:p>
    <w:p w14:paraId="3ACE397C">
      <w:pPr>
        <w:spacing w:line="400" w:lineRule="exact"/>
        <w:rPr>
          <w:rStyle w:val="28"/>
          <w:rFonts w:hint="eastAsia" w:ascii="仿宋" w:hAnsi="仿宋" w:eastAsia="仿宋" w:cs="仿宋"/>
          <w:color w:val="auto"/>
          <w:sz w:val="24"/>
          <w:highlight w:val="none"/>
          <w:lang w:val="zh-CN" w:eastAsia="zh-CN"/>
        </w:rPr>
      </w:pPr>
    </w:p>
    <w:p w14:paraId="07CC38B8">
      <w:pPr>
        <w:spacing w:line="400" w:lineRule="exact"/>
        <w:rPr>
          <w:rStyle w:val="28"/>
          <w:rFonts w:hint="eastAsia" w:ascii="仿宋" w:hAnsi="仿宋" w:eastAsia="仿宋" w:cs="仿宋"/>
          <w:color w:val="auto"/>
          <w:sz w:val="24"/>
          <w:highlight w:val="none"/>
          <w:lang w:val="zh-CN" w:eastAsia="zh-CN"/>
        </w:rPr>
      </w:pPr>
      <w:r>
        <w:rPr>
          <w:rStyle w:val="28"/>
          <w:rFonts w:hint="eastAsia" w:ascii="仿宋" w:hAnsi="仿宋" w:eastAsia="仿宋" w:cs="仿宋"/>
          <w:b/>
          <w:color w:val="auto"/>
          <w:sz w:val="24"/>
          <w:highlight w:val="none"/>
          <w:lang w:val="zh-CN" w:eastAsia="zh-CN"/>
        </w:rPr>
        <w:t>甲方</w:t>
      </w:r>
      <w:r>
        <w:rPr>
          <w:rStyle w:val="28"/>
          <w:rFonts w:hint="eastAsia" w:ascii="仿宋" w:hAnsi="仿宋" w:eastAsia="仿宋" w:cs="仿宋"/>
          <w:color w:val="auto"/>
          <w:sz w:val="24"/>
          <w:highlight w:val="none"/>
          <w:lang w:val="zh-CN" w:eastAsia="zh-CN"/>
        </w:rPr>
        <w:t>：</w:t>
      </w:r>
      <w:r>
        <w:rPr>
          <w:rStyle w:val="28"/>
          <w:rFonts w:hint="eastAsia" w:ascii="仿宋" w:hAnsi="仿宋" w:eastAsia="仿宋" w:cs="仿宋"/>
          <w:color w:val="auto"/>
          <w:sz w:val="24"/>
          <w:highlight w:val="none"/>
          <w:lang w:val="en-US" w:eastAsia="zh-CN"/>
        </w:rPr>
        <w:t>  伽师县卫生健康委员会</w:t>
      </w:r>
      <w:r>
        <w:rPr>
          <w:rStyle w:val="28"/>
          <w:rFonts w:hint="eastAsia" w:ascii="仿宋" w:hAnsi="仿宋" w:eastAsia="仿宋" w:cs="仿宋"/>
          <w:color w:val="auto"/>
          <w:sz w:val="24"/>
          <w:highlight w:val="none"/>
          <w:lang w:val="zh-CN" w:eastAsia="zh-CN"/>
        </w:rPr>
        <w:t xml:space="preserve">                             </w:t>
      </w:r>
      <w:r>
        <w:rPr>
          <w:rStyle w:val="28"/>
          <w:rFonts w:hint="eastAsia" w:ascii="仿宋" w:hAnsi="仿宋" w:eastAsia="仿宋" w:cs="仿宋"/>
          <w:b/>
          <w:color w:val="auto"/>
          <w:sz w:val="24"/>
          <w:highlight w:val="none"/>
          <w:lang w:val="zh-CN" w:eastAsia="zh-CN"/>
        </w:rPr>
        <w:t xml:space="preserve">      乙方</w:t>
      </w:r>
      <w:r>
        <w:rPr>
          <w:rStyle w:val="28"/>
          <w:rFonts w:hint="eastAsia" w:ascii="仿宋" w:hAnsi="仿宋" w:eastAsia="仿宋" w:cs="仿宋"/>
          <w:color w:val="auto"/>
          <w:sz w:val="24"/>
          <w:highlight w:val="none"/>
          <w:lang w:val="zh-CN" w:eastAsia="zh-CN"/>
        </w:rPr>
        <w:t>：</w:t>
      </w:r>
    </w:p>
    <w:p w14:paraId="00078DDC">
      <w:pPr>
        <w:spacing w:line="400" w:lineRule="exact"/>
        <w:rPr>
          <w:rStyle w:val="28"/>
          <w:rFonts w:hint="eastAsia" w:ascii="仿宋" w:hAnsi="仿宋" w:eastAsia="仿宋" w:cs="仿宋"/>
          <w:color w:val="auto"/>
          <w:sz w:val="24"/>
          <w:highlight w:val="none"/>
          <w:lang w:val="zh-CN" w:eastAsia="zh-CN"/>
        </w:rPr>
      </w:pPr>
      <w:r>
        <w:rPr>
          <w:rStyle w:val="28"/>
          <w:rFonts w:hint="eastAsia" w:ascii="仿宋" w:hAnsi="仿宋" w:eastAsia="仿宋" w:cs="仿宋"/>
          <w:color w:val="auto"/>
          <w:sz w:val="24"/>
          <w:highlight w:val="none"/>
          <w:lang w:val="zh-CN" w:eastAsia="zh-CN"/>
        </w:rPr>
        <w:t>统一社会信用代码：                  统一社会信用代码或身份证号码：</w:t>
      </w:r>
    </w:p>
    <w:p w14:paraId="6B00AFEA">
      <w:pPr>
        <w:spacing w:line="400" w:lineRule="exact"/>
        <w:rPr>
          <w:rStyle w:val="28"/>
          <w:rFonts w:hint="default" w:ascii="仿宋" w:hAnsi="仿宋" w:eastAsia="仿宋" w:cs="仿宋"/>
          <w:color w:val="auto"/>
          <w:sz w:val="24"/>
          <w:highlight w:val="none"/>
          <w:lang w:val="en-US" w:eastAsia="zh-CN"/>
        </w:rPr>
      </w:pPr>
      <w:r>
        <w:rPr>
          <w:rStyle w:val="28"/>
          <w:rFonts w:hint="eastAsia" w:ascii="仿宋" w:hAnsi="仿宋" w:eastAsia="仿宋" w:cs="仿宋"/>
          <w:color w:val="auto"/>
          <w:sz w:val="24"/>
          <w:highlight w:val="none"/>
          <w:lang w:val="zh-CN" w:eastAsia="zh-CN"/>
        </w:rPr>
        <w:t>12653129</w:t>
      </w:r>
      <w:r>
        <w:rPr>
          <w:rStyle w:val="28"/>
          <w:rFonts w:hint="eastAsia" w:ascii="仿宋" w:hAnsi="仿宋" w:eastAsia="仿宋" w:cs="仿宋"/>
          <w:color w:val="auto"/>
          <w:sz w:val="24"/>
          <w:highlight w:val="none"/>
          <w:lang w:val="en-US" w:eastAsia="zh-CN"/>
        </w:rPr>
        <w:t>MB1563585L</w:t>
      </w:r>
    </w:p>
    <w:p w14:paraId="5C7615FE">
      <w:pPr>
        <w:spacing w:line="400" w:lineRule="exact"/>
        <w:rPr>
          <w:rStyle w:val="28"/>
          <w:rFonts w:hint="eastAsia" w:ascii="仿宋" w:hAnsi="仿宋" w:eastAsia="仿宋" w:cs="仿宋"/>
          <w:color w:val="auto"/>
          <w:sz w:val="24"/>
          <w:highlight w:val="none"/>
          <w:lang w:val="zh-CN" w:eastAsia="zh-CN"/>
        </w:rPr>
      </w:pPr>
      <w:r>
        <w:rPr>
          <w:rStyle w:val="28"/>
          <w:rFonts w:hint="eastAsia" w:ascii="仿宋" w:hAnsi="仿宋" w:eastAsia="仿宋" w:cs="仿宋"/>
          <w:color w:val="auto"/>
          <w:sz w:val="24"/>
          <w:highlight w:val="none"/>
          <w:lang w:val="zh-CN" w:eastAsia="zh-CN"/>
        </w:rPr>
        <w:t>住所：伽师县                   住所：</w:t>
      </w:r>
    </w:p>
    <w:p w14:paraId="065566ED">
      <w:pPr>
        <w:spacing w:line="400" w:lineRule="exact"/>
        <w:rPr>
          <w:rStyle w:val="28"/>
          <w:rFonts w:hint="eastAsia" w:ascii="仿宋" w:hAnsi="仿宋" w:eastAsia="仿宋" w:cs="仿宋"/>
          <w:color w:val="auto"/>
          <w:sz w:val="24"/>
          <w:highlight w:val="none"/>
          <w:lang w:val="zh-CN" w:eastAsia="zh-CN"/>
        </w:rPr>
      </w:pPr>
      <w:r>
        <w:rPr>
          <w:rStyle w:val="28"/>
          <w:rFonts w:hint="eastAsia" w:ascii="仿宋" w:hAnsi="仿宋" w:eastAsia="仿宋" w:cs="仿宋"/>
          <w:color w:val="auto"/>
          <w:sz w:val="24"/>
          <w:highlight w:val="none"/>
          <w:lang w:val="zh-CN" w:eastAsia="zh-CN"/>
        </w:rPr>
        <w:t>法定代表人或                             法定代表人</w:t>
      </w:r>
    </w:p>
    <w:p w14:paraId="50C80448">
      <w:pPr>
        <w:spacing w:line="400" w:lineRule="exact"/>
        <w:rPr>
          <w:rStyle w:val="28"/>
          <w:rFonts w:hint="eastAsia" w:ascii="仿宋" w:hAnsi="仿宋" w:eastAsia="仿宋" w:cs="仿宋"/>
          <w:color w:val="auto"/>
          <w:sz w:val="24"/>
          <w:highlight w:val="none"/>
          <w:lang w:val="zh-CN" w:eastAsia="zh-CN"/>
        </w:rPr>
      </w:pPr>
      <w:r>
        <w:rPr>
          <w:rStyle w:val="28"/>
          <w:rFonts w:hint="eastAsia" w:ascii="仿宋" w:hAnsi="仿宋" w:eastAsia="仿宋" w:cs="仿宋"/>
          <w:color w:val="auto"/>
          <w:sz w:val="24"/>
          <w:highlight w:val="none"/>
          <w:lang w:val="zh-CN" w:eastAsia="zh-CN"/>
        </w:rPr>
        <w:t xml:space="preserve">授权代表（签字）：                        或授权代表（签字）: </w:t>
      </w:r>
    </w:p>
    <w:p w14:paraId="5F55F5DC">
      <w:pPr>
        <w:spacing w:line="400" w:lineRule="exact"/>
        <w:rPr>
          <w:rStyle w:val="28"/>
          <w:rFonts w:hint="eastAsia" w:ascii="仿宋" w:hAnsi="仿宋" w:eastAsia="仿宋" w:cs="仿宋"/>
          <w:color w:val="auto"/>
          <w:sz w:val="24"/>
          <w:highlight w:val="none"/>
          <w:lang w:val="zh-CN" w:eastAsia="zh-CN"/>
        </w:rPr>
      </w:pPr>
      <w:r>
        <w:rPr>
          <w:rStyle w:val="28"/>
          <w:rFonts w:hint="eastAsia" w:ascii="仿宋" w:hAnsi="仿宋" w:eastAsia="仿宋" w:cs="仿宋"/>
          <w:color w:val="auto"/>
          <w:sz w:val="24"/>
          <w:highlight w:val="none"/>
          <w:lang w:val="zh-CN" w:eastAsia="zh-CN"/>
        </w:rPr>
        <w:t>联系人：</w:t>
      </w:r>
      <w:r>
        <w:rPr>
          <w:rStyle w:val="28"/>
          <w:rFonts w:hint="eastAsia" w:ascii="仿宋" w:hAnsi="仿宋" w:eastAsia="仿宋" w:cs="仿宋"/>
          <w:color w:val="auto"/>
          <w:sz w:val="24"/>
          <w:highlight w:val="none"/>
          <w:lang w:val="en-US" w:eastAsia="zh-CN"/>
        </w:rPr>
        <w:t>艾合麦提·呀森</w:t>
      </w:r>
      <w:r>
        <w:rPr>
          <w:rStyle w:val="28"/>
          <w:rFonts w:hint="eastAsia" w:ascii="仿宋" w:hAnsi="仿宋" w:eastAsia="仿宋" w:cs="仿宋"/>
          <w:color w:val="auto"/>
          <w:sz w:val="24"/>
          <w:highlight w:val="none"/>
          <w:lang w:val="zh-CN" w:eastAsia="zh-CN"/>
        </w:rPr>
        <w:t xml:space="preserve">                                 联系人：</w:t>
      </w:r>
    </w:p>
    <w:p w14:paraId="063A7B1A">
      <w:pPr>
        <w:spacing w:line="400" w:lineRule="exact"/>
        <w:rPr>
          <w:rStyle w:val="28"/>
          <w:rFonts w:hint="eastAsia" w:ascii="仿宋" w:hAnsi="仿宋" w:eastAsia="仿宋" w:cs="仿宋"/>
          <w:color w:val="auto"/>
          <w:sz w:val="24"/>
          <w:highlight w:val="none"/>
          <w:lang w:val="zh-CN" w:eastAsia="zh-CN"/>
        </w:rPr>
      </w:pPr>
      <w:r>
        <w:rPr>
          <w:rStyle w:val="28"/>
          <w:rFonts w:hint="eastAsia" w:ascii="仿宋" w:hAnsi="仿宋" w:eastAsia="仿宋" w:cs="仿宋"/>
          <w:color w:val="auto"/>
          <w:sz w:val="24"/>
          <w:highlight w:val="none"/>
          <w:lang w:val="zh-CN" w:eastAsia="zh-CN"/>
        </w:rPr>
        <w:t xml:space="preserve">约定送达地址： </w:t>
      </w:r>
      <w:r>
        <w:rPr>
          <w:rStyle w:val="28"/>
          <w:rFonts w:hint="eastAsia" w:ascii="仿宋" w:hAnsi="仿宋" w:eastAsia="仿宋" w:cs="仿宋"/>
          <w:color w:val="auto"/>
          <w:sz w:val="24"/>
          <w:highlight w:val="none"/>
          <w:lang w:val="en-US" w:eastAsia="zh-CN"/>
        </w:rPr>
        <w:t>  伽师县卫生健康委员会</w:t>
      </w:r>
      <w:r>
        <w:rPr>
          <w:rStyle w:val="28"/>
          <w:rFonts w:hint="eastAsia" w:ascii="仿宋" w:hAnsi="仿宋" w:eastAsia="仿宋" w:cs="仿宋"/>
          <w:color w:val="auto"/>
          <w:sz w:val="24"/>
          <w:highlight w:val="none"/>
          <w:lang w:val="zh-CN" w:eastAsia="zh-CN"/>
        </w:rPr>
        <w:t xml:space="preserve">                          约定送达地址：</w:t>
      </w:r>
    </w:p>
    <w:p w14:paraId="5D514AC8">
      <w:pPr>
        <w:spacing w:line="400" w:lineRule="exact"/>
        <w:rPr>
          <w:rStyle w:val="28"/>
          <w:rFonts w:hint="eastAsia" w:ascii="仿宋" w:hAnsi="仿宋" w:eastAsia="仿宋" w:cs="仿宋"/>
          <w:color w:val="auto"/>
          <w:sz w:val="24"/>
          <w:highlight w:val="none"/>
          <w:lang w:val="zh-CN" w:eastAsia="zh-CN"/>
        </w:rPr>
      </w:pPr>
      <w:r>
        <w:rPr>
          <w:rStyle w:val="28"/>
          <w:rFonts w:hint="eastAsia" w:ascii="仿宋" w:hAnsi="仿宋" w:eastAsia="仿宋" w:cs="仿宋"/>
          <w:color w:val="auto"/>
          <w:sz w:val="24"/>
          <w:highlight w:val="none"/>
          <w:lang w:val="zh-CN" w:eastAsia="zh-CN"/>
        </w:rPr>
        <w:t>邮政编码：</w:t>
      </w:r>
      <w:r>
        <w:rPr>
          <w:rStyle w:val="28"/>
          <w:rFonts w:hint="eastAsia" w:ascii="仿宋" w:hAnsi="仿宋" w:eastAsia="仿宋" w:cs="仿宋"/>
          <w:color w:val="auto"/>
          <w:sz w:val="24"/>
          <w:highlight w:val="none"/>
          <w:lang w:val="en-US" w:eastAsia="zh-CN"/>
        </w:rPr>
        <w:t>844300</w:t>
      </w:r>
      <w:r>
        <w:rPr>
          <w:rStyle w:val="28"/>
          <w:rFonts w:hint="eastAsia" w:ascii="仿宋" w:hAnsi="仿宋" w:eastAsia="仿宋" w:cs="仿宋"/>
          <w:color w:val="auto"/>
          <w:sz w:val="24"/>
          <w:highlight w:val="none"/>
          <w:lang w:val="zh-CN" w:eastAsia="zh-CN"/>
        </w:rPr>
        <w:t xml:space="preserve">                               邮政编码：</w:t>
      </w:r>
    </w:p>
    <w:p w14:paraId="363DED8E">
      <w:pPr>
        <w:spacing w:line="400" w:lineRule="exact"/>
        <w:rPr>
          <w:rStyle w:val="28"/>
          <w:rFonts w:hint="eastAsia" w:ascii="仿宋" w:hAnsi="仿宋" w:eastAsia="仿宋" w:cs="仿宋"/>
          <w:color w:val="auto"/>
          <w:sz w:val="24"/>
          <w:highlight w:val="none"/>
          <w:lang w:val="zh-CN" w:eastAsia="zh-CN"/>
        </w:rPr>
      </w:pPr>
      <w:r>
        <w:rPr>
          <w:rStyle w:val="28"/>
          <w:rFonts w:hint="eastAsia" w:ascii="仿宋" w:hAnsi="仿宋" w:eastAsia="仿宋" w:cs="仿宋"/>
          <w:color w:val="auto"/>
          <w:sz w:val="24"/>
          <w:highlight w:val="none"/>
          <w:lang w:val="zh-CN" w:eastAsia="zh-CN"/>
        </w:rPr>
        <w:t xml:space="preserve">电话: </w:t>
      </w:r>
      <w:r>
        <w:rPr>
          <w:rStyle w:val="28"/>
          <w:rFonts w:hint="eastAsia" w:ascii="仿宋" w:hAnsi="仿宋" w:eastAsia="仿宋" w:cs="仿宋"/>
          <w:color w:val="auto"/>
          <w:sz w:val="24"/>
          <w:highlight w:val="none"/>
          <w:lang w:val="en-US" w:eastAsia="zh-CN"/>
        </w:rPr>
        <w:t>13899155697</w:t>
      </w:r>
      <w:r>
        <w:rPr>
          <w:rStyle w:val="28"/>
          <w:rFonts w:hint="eastAsia" w:ascii="仿宋" w:hAnsi="仿宋" w:eastAsia="仿宋" w:cs="仿宋"/>
          <w:color w:val="auto"/>
          <w:sz w:val="24"/>
          <w:highlight w:val="none"/>
          <w:lang w:val="zh-CN" w:eastAsia="zh-CN"/>
        </w:rPr>
        <w:t xml:space="preserve">                                   电话: </w:t>
      </w:r>
    </w:p>
    <w:p w14:paraId="693AA49C">
      <w:pPr>
        <w:spacing w:line="400" w:lineRule="exact"/>
        <w:rPr>
          <w:rStyle w:val="28"/>
          <w:rFonts w:hint="eastAsia" w:ascii="仿宋" w:hAnsi="仿宋" w:eastAsia="仿宋" w:cs="仿宋"/>
          <w:color w:val="auto"/>
          <w:sz w:val="24"/>
          <w:highlight w:val="none"/>
          <w:lang w:val="zh-CN" w:eastAsia="zh-CN"/>
        </w:rPr>
      </w:pPr>
      <w:r>
        <w:rPr>
          <w:rStyle w:val="28"/>
          <w:rFonts w:hint="eastAsia" w:ascii="仿宋" w:hAnsi="仿宋" w:eastAsia="仿宋" w:cs="仿宋"/>
          <w:color w:val="auto"/>
          <w:sz w:val="24"/>
          <w:highlight w:val="none"/>
          <w:lang w:val="zh-CN" w:eastAsia="zh-CN"/>
        </w:rPr>
        <w:t>传真:                                    传真:</w:t>
      </w:r>
    </w:p>
    <w:p w14:paraId="0FEC77CB">
      <w:pPr>
        <w:spacing w:line="400" w:lineRule="exact"/>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val="zh-CN" w:eastAsia="zh-CN"/>
        </w:rPr>
        <w:t>电子邮箱：                               电子邮箱：</w:t>
      </w:r>
    </w:p>
    <w:p w14:paraId="37F6AF68">
      <w:pPr>
        <w:spacing w:line="400" w:lineRule="exact"/>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 xml:space="preserve">开户银行：伽师县农村信用合作联社        开户银行： </w:t>
      </w:r>
    </w:p>
    <w:p w14:paraId="60162636">
      <w:pPr>
        <w:spacing w:line="400" w:lineRule="exact"/>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 xml:space="preserve">开户名称： </w:t>
      </w:r>
      <w:r>
        <w:rPr>
          <w:rStyle w:val="28"/>
          <w:rFonts w:hint="eastAsia" w:ascii="仿宋" w:hAnsi="仿宋" w:eastAsia="仿宋" w:cs="仿宋"/>
          <w:color w:val="auto"/>
          <w:sz w:val="24"/>
          <w:highlight w:val="none"/>
          <w:lang w:val="en-US" w:eastAsia="zh-CN"/>
        </w:rPr>
        <w:t>  伽师县卫生健康委员会</w:t>
      </w:r>
      <w:r>
        <w:rPr>
          <w:rStyle w:val="28"/>
          <w:rFonts w:hint="eastAsia" w:ascii="仿宋" w:hAnsi="仿宋" w:eastAsia="仿宋" w:cs="仿宋"/>
          <w:color w:val="auto"/>
          <w:sz w:val="24"/>
          <w:highlight w:val="none"/>
          <w:lang w:eastAsia="zh-CN"/>
        </w:rPr>
        <w:t xml:space="preserve">               开户名称： </w:t>
      </w:r>
    </w:p>
    <w:p w14:paraId="1C43925D">
      <w:pPr>
        <w:spacing w:line="400" w:lineRule="exact"/>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开户账号： 8650</w:t>
      </w:r>
      <w:r>
        <w:rPr>
          <w:rStyle w:val="28"/>
          <w:rFonts w:hint="eastAsia" w:ascii="仿宋" w:hAnsi="仿宋" w:eastAsia="仿宋" w:cs="仿宋"/>
          <w:color w:val="auto"/>
          <w:sz w:val="24"/>
          <w:highlight w:val="none"/>
          <w:lang w:val="en-US" w:eastAsia="zh-CN"/>
        </w:rPr>
        <w:t>10012010102912781</w:t>
      </w:r>
      <w:r>
        <w:rPr>
          <w:rStyle w:val="28"/>
          <w:rFonts w:hint="eastAsia" w:ascii="仿宋" w:hAnsi="仿宋" w:eastAsia="仿宋" w:cs="仿宋"/>
          <w:color w:val="auto"/>
          <w:sz w:val="24"/>
          <w:highlight w:val="none"/>
          <w:lang w:eastAsia="zh-CN"/>
        </w:rPr>
        <w:t xml:space="preserve">         开户账号：</w:t>
      </w:r>
    </w:p>
    <w:p w14:paraId="6DC2DAFB">
      <w:pPr>
        <w:spacing w:line="400" w:lineRule="exact"/>
        <w:rPr>
          <w:rStyle w:val="28"/>
          <w:rFonts w:hint="eastAsia" w:ascii="仿宋" w:hAnsi="仿宋" w:eastAsia="仿宋" w:cs="仿宋"/>
          <w:b/>
          <w:color w:val="auto"/>
          <w:highlight w:val="none"/>
          <w:lang w:eastAsia="zh-CN"/>
        </w:rPr>
      </w:pPr>
    </w:p>
    <w:p w14:paraId="49C08574">
      <w:pPr>
        <w:spacing w:line="400" w:lineRule="exact"/>
        <w:rPr>
          <w:rStyle w:val="28"/>
          <w:rFonts w:hint="eastAsia" w:ascii="仿宋" w:hAnsi="仿宋" w:eastAsia="仿宋" w:cs="仿宋"/>
          <w:b/>
          <w:color w:val="auto"/>
          <w:highlight w:val="none"/>
          <w:lang w:eastAsia="zh-CN"/>
        </w:rPr>
      </w:pPr>
    </w:p>
    <w:p w14:paraId="7257648C">
      <w:pPr>
        <w:spacing w:line="400" w:lineRule="exact"/>
        <w:rPr>
          <w:rStyle w:val="28"/>
          <w:rFonts w:hint="eastAsia" w:ascii="仿宋" w:hAnsi="仿宋" w:eastAsia="仿宋" w:cs="仿宋"/>
          <w:b/>
          <w:color w:val="auto"/>
          <w:sz w:val="24"/>
          <w:highlight w:val="none"/>
          <w:lang w:eastAsia="zh-CN"/>
        </w:rPr>
      </w:pPr>
    </w:p>
    <w:p w14:paraId="14D653C6">
      <w:pPr>
        <w:pStyle w:val="39"/>
        <w:spacing w:line="400" w:lineRule="exact"/>
        <w:ind w:firstLine="200"/>
        <w:jc w:val="center"/>
        <w:rPr>
          <w:rStyle w:val="28"/>
          <w:rFonts w:hint="eastAsia" w:ascii="仿宋" w:hAnsi="仿宋" w:eastAsia="仿宋" w:cs="仿宋"/>
          <w:b/>
          <w:color w:val="auto"/>
          <w:szCs w:val="24"/>
          <w:highlight w:val="none"/>
          <w:lang w:eastAsia="zh-CN"/>
        </w:rPr>
      </w:pPr>
      <w:r>
        <w:rPr>
          <w:rStyle w:val="28"/>
          <w:rFonts w:hint="eastAsia" w:ascii="仿宋" w:hAnsi="仿宋" w:eastAsia="仿宋" w:cs="仿宋"/>
          <w:b/>
          <w:color w:val="auto"/>
          <w:szCs w:val="24"/>
          <w:highlight w:val="none"/>
          <w:lang w:eastAsia="zh-CN"/>
        </w:rPr>
        <w:t>第二部分 合同一般条款</w:t>
      </w:r>
    </w:p>
    <w:p w14:paraId="0BCBEAE1">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2.1 定义</w:t>
      </w:r>
    </w:p>
    <w:p w14:paraId="0DB79507">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本合同中的下列词语应按以下内容进行解释：</w:t>
      </w:r>
    </w:p>
    <w:p w14:paraId="7D632B04">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2.1.1 “合同”系指采购人和中标供应商签订的载明双方当事人所达成的协议，并包括所有的附件、附录和构成合同的其他文件。</w:t>
      </w:r>
    </w:p>
    <w:p w14:paraId="01BDE740">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2.1.2 “合同价”系指根据合同约定，中标供应商在完全履行合同义务后，采购人应支付给中标供应商的价格。</w:t>
      </w:r>
    </w:p>
    <w:p w14:paraId="64D0EE0F">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2.1.3 “货物”系指中标供应商根据合同约定应向采购人交付的一切各种形态和种类的物品，包括原材料、燃料、设备、机械、仪表、备件、计算机软件、产品等，并包括工具、手册等其他相关资料。</w:t>
      </w:r>
    </w:p>
    <w:p w14:paraId="6CD31ADB">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2.1.4 “甲方”系指与中标供应商签署合同的采购人；采购人委托采购代理机构代表其与乙方签订合同的，采购人的授权委托书作为合同附件。</w:t>
      </w:r>
    </w:p>
    <w:p w14:paraId="77EABD2A">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0EF5E2CB">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2.1.6 “现场”系指合同约定货物将要运至或者安装的地点。</w:t>
      </w:r>
    </w:p>
    <w:p w14:paraId="6AC65E56">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2.2 技术规范</w:t>
      </w:r>
    </w:p>
    <w:p w14:paraId="45F3CE1D">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5B76476">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2.3 知识产权</w:t>
      </w:r>
    </w:p>
    <w:p w14:paraId="79097A62">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05479C87">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2.3.2具有知识产权的计算机软件等货物的知识产权归属，详见</w:t>
      </w:r>
      <w:r>
        <w:rPr>
          <w:rStyle w:val="28"/>
          <w:rFonts w:hint="eastAsia" w:ascii="仿宋" w:hAnsi="仿宋" w:eastAsia="仿宋" w:cs="仿宋"/>
          <w:b/>
          <w:i/>
          <w:color w:val="auto"/>
          <w:sz w:val="24"/>
          <w:highlight w:val="none"/>
          <w:u w:val="single" w:color="000000"/>
          <w:lang w:eastAsia="zh-CN"/>
        </w:rPr>
        <w:t>合同专用条款</w:t>
      </w:r>
      <w:r>
        <w:rPr>
          <w:rStyle w:val="28"/>
          <w:rFonts w:hint="eastAsia" w:ascii="仿宋" w:hAnsi="仿宋" w:eastAsia="仿宋" w:cs="仿宋"/>
          <w:color w:val="auto"/>
          <w:sz w:val="24"/>
          <w:highlight w:val="none"/>
          <w:lang w:eastAsia="zh-CN"/>
        </w:rPr>
        <w:t>。</w:t>
      </w:r>
    </w:p>
    <w:p w14:paraId="33D4EED2">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2.4 包装和装运</w:t>
      </w:r>
    </w:p>
    <w:p w14:paraId="543BF3D0">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2.4.1除</w:t>
      </w:r>
      <w:r>
        <w:rPr>
          <w:rStyle w:val="28"/>
          <w:rFonts w:hint="eastAsia" w:ascii="仿宋" w:hAnsi="仿宋" w:eastAsia="仿宋" w:cs="仿宋"/>
          <w:b/>
          <w:i/>
          <w:color w:val="auto"/>
          <w:sz w:val="24"/>
          <w:highlight w:val="none"/>
          <w:u w:val="single" w:color="000000"/>
          <w:lang w:eastAsia="zh-CN"/>
        </w:rPr>
        <w:t>合同专用条款</w:t>
      </w:r>
      <w:r>
        <w:rPr>
          <w:rStyle w:val="28"/>
          <w:rFonts w:hint="eastAsia" w:ascii="仿宋" w:hAnsi="仿宋" w:eastAsia="仿宋" w:cs="仿宋"/>
          <w:color w:val="auto"/>
          <w:sz w:val="24"/>
          <w:highlight w:val="none"/>
          <w:lang w:eastAsia="zh-CN"/>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39567D13">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2.4.2 装运货物的要求和通知，详见</w:t>
      </w:r>
      <w:r>
        <w:rPr>
          <w:rStyle w:val="28"/>
          <w:rFonts w:hint="eastAsia" w:ascii="仿宋" w:hAnsi="仿宋" w:eastAsia="仿宋" w:cs="仿宋"/>
          <w:b/>
          <w:i/>
          <w:color w:val="auto"/>
          <w:sz w:val="24"/>
          <w:highlight w:val="none"/>
          <w:u w:val="single" w:color="000000"/>
          <w:lang w:eastAsia="zh-CN"/>
        </w:rPr>
        <w:t>合同专用条款</w:t>
      </w:r>
      <w:r>
        <w:rPr>
          <w:rStyle w:val="28"/>
          <w:rFonts w:hint="eastAsia" w:ascii="仿宋" w:hAnsi="仿宋" w:eastAsia="仿宋" w:cs="仿宋"/>
          <w:color w:val="auto"/>
          <w:sz w:val="24"/>
          <w:highlight w:val="none"/>
          <w:lang w:eastAsia="zh-CN"/>
        </w:rPr>
        <w:t>。</w:t>
      </w:r>
    </w:p>
    <w:p w14:paraId="284D96CD">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2.5 履约检查和问题反馈</w:t>
      </w:r>
    </w:p>
    <w:p w14:paraId="6A9F8E27">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2.5.1甲方有权在其认为必要时，对乙方是否能够按照合同约定交付货物进行履约检查，以确保乙方所交付的货物能够依约满足甲方之项目需求，但不得因履约检查妨碍乙方的正常工作，乙方应予积极配合；</w:t>
      </w:r>
    </w:p>
    <w:p w14:paraId="5472C5F0">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2.5.2 合同履行期间，甲方有权将履行过程中出现的问题反馈给乙方，双方当事人应以书面形式约定需要完善和改进的内容。</w:t>
      </w:r>
    </w:p>
    <w:p w14:paraId="0969B08A">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2.6 结算方式和付款条件</w:t>
      </w:r>
    </w:p>
    <w:p w14:paraId="31B20E3B">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详见</w:t>
      </w:r>
      <w:r>
        <w:rPr>
          <w:rStyle w:val="28"/>
          <w:rFonts w:hint="eastAsia" w:ascii="仿宋" w:hAnsi="仿宋" w:eastAsia="仿宋" w:cs="仿宋"/>
          <w:b/>
          <w:i/>
          <w:color w:val="auto"/>
          <w:sz w:val="24"/>
          <w:highlight w:val="none"/>
          <w:u w:val="single" w:color="000000"/>
          <w:lang w:eastAsia="zh-CN"/>
        </w:rPr>
        <w:t>合同专用条款</w:t>
      </w:r>
      <w:r>
        <w:rPr>
          <w:rStyle w:val="28"/>
          <w:rFonts w:hint="eastAsia" w:ascii="仿宋" w:hAnsi="仿宋" w:eastAsia="仿宋" w:cs="仿宋"/>
          <w:color w:val="auto"/>
          <w:sz w:val="24"/>
          <w:highlight w:val="none"/>
          <w:lang w:eastAsia="zh-CN"/>
        </w:rPr>
        <w:t>。</w:t>
      </w:r>
    </w:p>
    <w:p w14:paraId="409ECE48">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2.7 技术资料和保密义务</w:t>
      </w:r>
    </w:p>
    <w:p w14:paraId="32B79D90">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2.7.1 乙方有权依据合同约定和项目需要，向甲方了解有关情况，调阅有关资料等，甲方应予积极配合；</w:t>
      </w:r>
    </w:p>
    <w:p w14:paraId="2451BA13">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2.7.2 乙方有义务妥善保管和保护由甲方提供的前款信息和资料等；</w:t>
      </w:r>
    </w:p>
    <w:p w14:paraId="3E1979B7">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0BF49AE">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2.8 质量保证</w:t>
      </w:r>
    </w:p>
    <w:p w14:paraId="67046864">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2.8.1 乙方应建立和完善履行合同的内部质量保证体系，并提供相关内部规章制度给甲方，以便甲方进行监督检查；</w:t>
      </w:r>
    </w:p>
    <w:p w14:paraId="57998348">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2.8.2 乙方应保证履行合同的人员数量和素质、软件和硬件设备的配置、场地、环境和设施等满足全面履行合同的要求，并应接受甲方的监督检查。</w:t>
      </w:r>
    </w:p>
    <w:p w14:paraId="4B207D16">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2.9 货物的风险负担</w:t>
      </w:r>
    </w:p>
    <w:p w14:paraId="6EAD4323">
      <w:pPr>
        <w:spacing w:line="400" w:lineRule="exact"/>
        <w:ind w:firstLine="480"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color w:val="auto"/>
          <w:sz w:val="24"/>
          <w:highlight w:val="none"/>
          <w:lang w:eastAsia="zh-CN"/>
        </w:rPr>
        <w:t>货物或者在途货物或者交付给第一承运人后的货物毁损、灭失的风险负担详见</w:t>
      </w:r>
      <w:r>
        <w:rPr>
          <w:rStyle w:val="28"/>
          <w:rFonts w:hint="eastAsia" w:ascii="仿宋" w:hAnsi="仿宋" w:eastAsia="仿宋" w:cs="仿宋"/>
          <w:b/>
          <w:i/>
          <w:color w:val="auto"/>
          <w:sz w:val="24"/>
          <w:highlight w:val="none"/>
          <w:u w:val="single" w:color="000000"/>
          <w:lang w:eastAsia="zh-CN"/>
        </w:rPr>
        <w:t>合同专用条款</w:t>
      </w:r>
      <w:r>
        <w:rPr>
          <w:rStyle w:val="28"/>
          <w:rFonts w:hint="eastAsia" w:ascii="仿宋" w:hAnsi="仿宋" w:eastAsia="仿宋" w:cs="仿宋"/>
          <w:color w:val="auto"/>
          <w:sz w:val="24"/>
          <w:highlight w:val="none"/>
          <w:lang w:eastAsia="zh-CN"/>
        </w:rPr>
        <w:t>。</w:t>
      </w:r>
    </w:p>
    <w:p w14:paraId="12C21EE9">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2.10 延迟交货</w:t>
      </w:r>
    </w:p>
    <w:p w14:paraId="2A011595">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78D9AA3A">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2.11 合同变更</w:t>
      </w:r>
    </w:p>
    <w:p w14:paraId="0FF6AE5D">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2.11.1双方当事人协商一致，可以签订书面补充合同的形式变更合同，但不得违背采购文件确定的事项，且如果系追加与合同标的相同的货物的，那么所有补充合同的采购金额不得超过原合同价的10%。</w:t>
      </w:r>
    </w:p>
    <w:p w14:paraId="7F002753">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2.11.2 合同继续履行将损害国家利益和社会公共利益的，双方当事人应当以书面形式变更合同。有过错的一方应当承担赔偿责任，双方当事人都有过错的，各自承担相应的责任。</w:t>
      </w:r>
    </w:p>
    <w:p w14:paraId="1A2997B2">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2.12 合同转让和分包</w:t>
      </w:r>
    </w:p>
    <w:p w14:paraId="65A2B228">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2901112">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2.13 不可抗力</w:t>
      </w:r>
    </w:p>
    <w:p w14:paraId="2C7B864D">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2.13.1如果任何一方遭遇法律规定的不可抗力，致使合同履行受阻时，履行合同的期限应予延长，延长的期限应相当于不可抗力所影响的时间；</w:t>
      </w:r>
    </w:p>
    <w:p w14:paraId="34EE8258">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2.13.2 因不可抗力致使不能实现合同目的的，当事人可以解除合同；</w:t>
      </w:r>
    </w:p>
    <w:p w14:paraId="36855DC9">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2.13.3 因不可抗力致使合同有变更必要的，双方当事人应在</w:t>
      </w:r>
      <w:r>
        <w:rPr>
          <w:rStyle w:val="28"/>
          <w:rFonts w:hint="eastAsia" w:ascii="仿宋" w:hAnsi="仿宋" w:eastAsia="仿宋" w:cs="仿宋"/>
          <w:b/>
          <w:i/>
          <w:color w:val="auto"/>
          <w:sz w:val="24"/>
          <w:highlight w:val="none"/>
          <w:u w:val="single" w:color="000000"/>
          <w:lang w:eastAsia="zh-CN"/>
        </w:rPr>
        <w:t>合同专用条款</w:t>
      </w:r>
      <w:r>
        <w:rPr>
          <w:rStyle w:val="28"/>
          <w:rFonts w:hint="eastAsia" w:ascii="仿宋" w:hAnsi="仿宋" w:eastAsia="仿宋" w:cs="仿宋"/>
          <w:color w:val="auto"/>
          <w:sz w:val="24"/>
          <w:highlight w:val="none"/>
          <w:lang w:eastAsia="zh-CN"/>
        </w:rPr>
        <w:t>约定时间内以书面形式变更合同；</w:t>
      </w:r>
    </w:p>
    <w:p w14:paraId="6068093D">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2.13.4受不可抗力影响的一方在不可抗力发生后，应在</w:t>
      </w:r>
      <w:r>
        <w:rPr>
          <w:rStyle w:val="28"/>
          <w:rFonts w:hint="eastAsia" w:ascii="仿宋" w:hAnsi="仿宋" w:eastAsia="仿宋" w:cs="仿宋"/>
          <w:b/>
          <w:i/>
          <w:color w:val="auto"/>
          <w:sz w:val="24"/>
          <w:highlight w:val="none"/>
          <w:u w:val="single" w:color="000000"/>
          <w:lang w:eastAsia="zh-CN"/>
        </w:rPr>
        <w:t>合同专用条款</w:t>
      </w:r>
      <w:r>
        <w:rPr>
          <w:rStyle w:val="28"/>
          <w:rFonts w:hint="eastAsia" w:ascii="仿宋" w:hAnsi="仿宋" w:eastAsia="仿宋" w:cs="仿宋"/>
          <w:color w:val="auto"/>
          <w:sz w:val="24"/>
          <w:highlight w:val="none"/>
          <w:lang w:eastAsia="zh-CN"/>
        </w:rPr>
        <w:t>约定时间内以书面形式通知对方当事人，并在</w:t>
      </w:r>
      <w:r>
        <w:rPr>
          <w:rStyle w:val="28"/>
          <w:rFonts w:hint="eastAsia" w:ascii="仿宋" w:hAnsi="仿宋" w:eastAsia="仿宋" w:cs="仿宋"/>
          <w:b/>
          <w:i/>
          <w:color w:val="auto"/>
          <w:sz w:val="24"/>
          <w:highlight w:val="none"/>
          <w:u w:val="single" w:color="000000"/>
          <w:lang w:eastAsia="zh-CN"/>
        </w:rPr>
        <w:t>合同专用条款</w:t>
      </w:r>
      <w:r>
        <w:rPr>
          <w:rStyle w:val="28"/>
          <w:rFonts w:hint="eastAsia" w:ascii="仿宋" w:hAnsi="仿宋" w:eastAsia="仿宋" w:cs="仿宋"/>
          <w:color w:val="auto"/>
          <w:sz w:val="24"/>
          <w:highlight w:val="none"/>
          <w:lang w:eastAsia="zh-CN"/>
        </w:rPr>
        <w:t>约定时间内，将有关部门出具的证明文件送达对方当事人。</w:t>
      </w:r>
    </w:p>
    <w:p w14:paraId="12F92B8B">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2.14 税费</w:t>
      </w:r>
    </w:p>
    <w:p w14:paraId="518F3370">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与合同有关的一切税费，均按照中华人民共和国法律的相关规定。</w:t>
      </w:r>
    </w:p>
    <w:p w14:paraId="0DB74E7E">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2.15 乙方破产</w:t>
      </w:r>
    </w:p>
    <w:p w14:paraId="4858E47B">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0DC47B4">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2.16 合同中止、终止</w:t>
      </w:r>
    </w:p>
    <w:p w14:paraId="579233DF">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2.16.1 双方当事人不得擅自中止或者终止合同；</w:t>
      </w:r>
    </w:p>
    <w:p w14:paraId="692215BD">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2.16.2合同继续履行将损害国家利益和社会公共利益的，双方当事人应当中止或者终止合同。有过错的一方应当承担赔偿责任，双方当事人都有过错的，各自承担相应的责任。</w:t>
      </w:r>
    </w:p>
    <w:p w14:paraId="1944E8E4">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2.17 检验和验收</w:t>
      </w:r>
    </w:p>
    <w:p w14:paraId="47FFC3EB">
      <w:pPr>
        <w:tabs>
          <w:tab w:val="left" w:pos="360"/>
          <w:tab w:val="left" w:pos="540"/>
          <w:tab w:val="left" w:pos="1080"/>
        </w:tabs>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2.17.1货物交付前，乙方应对货物的质量、数量等方面进行详细、全面的检验，并向甲方出具证明货物符合合同约定的文件；货物交付时，乙方在</w:t>
      </w:r>
      <w:r>
        <w:rPr>
          <w:rStyle w:val="28"/>
          <w:rFonts w:hint="eastAsia" w:ascii="仿宋" w:hAnsi="仿宋" w:eastAsia="仿宋" w:cs="仿宋"/>
          <w:b/>
          <w:i/>
          <w:color w:val="auto"/>
          <w:sz w:val="24"/>
          <w:highlight w:val="none"/>
          <w:u w:val="single" w:color="000000"/>
          <w:lang w:eastAsia="zh-CN"/>
        </w:rPr>
        <w:t>合同专用条款</w:t>
      </w:r>
      <w:r>
        <w:rPr>
          <w:rStyle w:val="28"/>
          <w:rFonts w:hint="eastAsia" w:ascii="仿宋" w:hAnsi="仿宋" w:eastAsia="仿宋" w:cs="仿宋"/>
          <w:color w:val="auto"/>
          <w:sz w:val="24"/>
          <w:highlight w:val="none"/>
          <w:lang w:eastAsia="zh-CN"/>
        </w:rPr>
        <w:t>约定时间内组织验收，并可依法邀请相关方参加，验收应出具验收书。</w:t>
      </w:r>
    </w:p>
    <w:p w14:paraId="38DB92C2">
      <w:pPr>
        <w:tabs>
          <w:tab w:val="left" w:pos="360"/>
          <w:tab w:val="left" w:pos="540"/>
          <w:tab w:val="left" w:pos="1080"/>
        </w:tabs>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E3D329A">
      <w:pPr>
        <w:tabs>
          <w:tab w:val="left" w:pos="360"/>
          <w:tab w:val="left" w:pos="540"/>
          <w:tab w:val="left" w:pos="1080"/>
        </w:tabs>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2.17.3 检验和验收标准、程序等具体内容以及前述验收书的效力详见</w:t>
      </w:r>
      <w:r>
        <w:rPr>
          <w:rStyle w:val="28"/>
          <w:rFonts w:hint="eastAsia" w:ascii="仿宋" w:hAnsi="仿宋" w:eastAsia="仿宋" w:cs="仿宋"/>
          <w:b/>
          <w:i/>
          <w:color w:val="auto"/>
          <w:sz w:val="24"/>
          <w:highlight w:val="none"/>
          <w:u w:val="single" w:color="000000"/>
          <w:lang w:eastAsia="zh-CN"/>
        </w:rPr>
        <w:t>合同专用条款</w:t>
      </w:r>
      <w:r>
        <w:rPr>
          <w:rStyle w:val="28"/>
          <w:rFonts w:hint="eastAsia" w:ascii="仿宋" w:hAnsi="仿宋" w:eastAsia="仿宋" w:cs="仿宋"/>
          <w:i/>
          <w:color w:val="auto"/>
          <w:sz w:val="24"/>
          <w:highlight w:val="none"/>
          <w:lang w:eastAsia="zh-CN"/>
        </w:rPr>
        <w:t>。</w:t>
      </w:r>
    </w:p>
    <w:p w14:paraId="0F5BC944">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2.18 通知和送达</w:t>
      </w:r>
    </w:p>
    <w:p w14:paraId="410E9A20">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2.18.1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p>
    <w:p w14:paraId="317AA44E">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6ACBAD1F">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2.19 计量单位</w:t>
      </w:r>
    </w:p>
    <w:p w14:paraId="3693BF88">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除技术规范中另有规定外,合同的计量单位均使用国家法定计量单位。</w:t>
      </w:r>
    </w:p>
    <w:p w14:paraId="4C623B26">
      <w:pPr>
        <w:spacing w:line="400" w:lineRule="exact"/>
        <w:ind w:firstLine="482" w:firstLineChars="200"/>
        <w:rPr>
          <w:rStyle w:val="28"/>
          <w:rFonts w:hint="eastAsia" w:ascii="仿宋" w:hAnsi="仿宋" w:eastAsia="仿宋" w:cs="仿宋"/>
          <w:b/>
          <w:color w:val="auto"/>
          <w:sz w:val="24"/>
          <w:highlight w:val="none"/>
        </w:rPr>
      </w:pPr>
      <w:r>
        <w:rPr>
          <w:rStyle w:val="28"/>
          <w:rFonts w:hint="eastAsia" w:ascii="仿宋" w:hAnsi="仿宋" w:eastAsia="仿宋" w:cs="仿宋"/>
          <w:b/>
          <w:color w:val="auto"/>
          <w:sz w:val="24"/>
          <w:highlight w:val="none"/>
        </w:rPr>
        <w:t>2.20 合同使用的文字和适用的法律</w:t>
      </w:r>
    </w:p>
    <w:p w14:paraId="48C12371">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2.20.1 合同使用汉语书就、变更和解释；</w:t>
      </w:r>
    </w:p>
    <w:p w14:paraId="3852F71B">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2.20.2 合同适用中华人民共和国法律。</w:t>
      </w:r>
    </w:p>
    <w:p w14:paraId="4B8B7BE4">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2.21 履约保证金</w:t>
      </w:r>
    </w:p>
    <w:p w14:paraId="75826993">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2.21.1 采购文件要求乙方提交履约保证金的，乙方应按</w:t>
      </w:r>
      <w:r>
        <w:rPr>
          <w:rStyle w:val="28"/>
          <w:rFonts w:hint="eastAsia" w:ascii="仿宋" w:hAnsi="仿宋" w:eastAsia="仿宋" w:cs="仿宋"/>
          <w:b/>
          <w:i/>
          <w:color w:val="auto"/>
          <w:sz w:val="24"/>
          <w:highlight w:val="none"/>
          <w:u w:val="single" w:color="000000"/>
          <w:lang w:eastAsia="zh-CN"/>
        </w:rPr>
        <w:t>合同专用条款</w:t>
      </w:r>
      <w:r>
        <w:rPr>
          <w:rStyle w:val="28"/>
          <w:rFonts w:hint="eastAsia" w:ascii="仿宋" w:hAnsi="仿宋" w:eastAsia="仿宋" w:cs="仿宋"/>
          <w:color w:val="auto"/>
          <w:sz w:val="24"/>
          <w:highlight w:val="none"/>
          <w:lang w:eastAsia="zh-CN"/>
        </w:rPr>
        <w:t>约定的方式，以支票、汇票、本票或者金融机构、担保机构出具的保函等非现金形式，提交不超过合同价10%的履约保证金。</w:t>
      </w:r>
    </w:p>
    <w:p w14:paraId="1CB7C41D">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2.21.2  履约保证金在</w:t>
      </w:r>
      <w:r>
        <w:rPr>
          <w:rStyle w:val="28"/>
          <w:rFonts w:hint="eastAsia" w:ascii="仿宋" w:hAnsi="仿宋" w:eastAsia="仿宋" w:cs="仿宋"/>
          <w:b/>
          <w:i/>
          <w:color w:val="auto"/>
          <w:sz w:val="24"/>
          <w:highlight w:val="none"/>
          <w:u w:val="single" w:color="000000"/>
          <w:lang w:eastAsia="zh-CN"/>
        </w:rPr>
        <w:t>合同专用条款</w:t>
      </w:r>
      <w:r>
        <w:rPr>
          <w:rStyle w:val="28"/>
          <w:rFonts w:hint="eastAsia" w:ascii="仿宋" w:hAnsi="仿宋" w:eastAsia="仿宋" w:cs="仿宋"/>
          <w:color w:val="auto"/>
          <w:sz w:val="24"/>
          <w:highlight w:val="none"/>
          <w:lang w:eastAsia="zh-CN"/>
        </w:rPr>
        <w:t>约定期间内或者货物质量保证期内不予退还或者应完全有效，前述约定期间届满或者货物质量保证期届满之日起个工作日内，甲方应将履约保证金退还乙方。</w:t>
      </w:r>
    </w:p>
    <w:p w14:paraId="47B8E661">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AB4E9FF">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2.22 合同份数</w:t>
      </w:r>
    </w:p>
    <w:p w14:paraId="10F81987">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合同份数按</w:t>
      </w:r>
      <w:r>
        <w:rPr>
          <w:rStyle w:val="28"/>
          <w:rFonts w:hint="eastAsia" w:ascii="仿宋" w:hAnsi="仿宋" w:eastAsia="仿宋" w:cs="仿宋"/>
          <w:b/>
          <w:i/>
          <w:color w:val="auto"/>
          <w:sz w:val="24"/>
          <w:highlight w:val="none"/>
          <w:u w:val="single" w:color="000000"/>
          <w:lang w:eastAsia="zh-CN"/>
        </w:rPr>
        <w:t>合同专用条款</w:t>
      </w:r>
      <w:r>
        <w:rPr>
          <w:rStyle w:val="28"/>
          <w:rFonts w:hint="eastAsia" w:ascii="仿宋" w:hAnsi="仿宋" w:eastAsia="仿宋" w:cs="仿宋"/>
          <w:color w:val="auto"/>
          <w:sz w:val="24"/>
          <w:highlight w:val="none"/>
          <w:lang w:eastAsia="zh-CN"/>
        </w:rPr>
        <w:t>规定，每份均具有同等法律效力。</w:t>
      </w:r>
    </w:p>
    <w:p w14:paraId="27396D7B">
      <w:pPr>
        <w:pStyle w:val="39"/>
        <w:spacing w:line="400" w:lineRule="exact"/>
        <w:ind w:firstLine="0"/>
        <w:jc w:val="center"/>
        <w:rPr>
          <w:rStyle w:val="28"/>
          <w:rFonts w:hint="eastAsia" w:ascii="仿宋" w:hAnsi="仿宋" w:eastAsia="仿宋" w:cs="仿宋"/>
          <w:color w:val="auto"/>
          <w:szCs w:val="24"/>
          <w:highlight w:val="none"/>
          <w:lang w:eastAsia="zh-CN"/>
        </w:rPr>
      </w:pPr>
      <w:r>
        <w:rPr>
          <w:rStyle w:val="28"/>
          <w:rFonts w:hint="eastAsia" w:ascii="仿宋" w:hAnsi="仿宋" w:eastAsia="仿宋" w:cs="仿宋"/>
          <w:color w:val="auto"/>
          <w:szCs w:val="24"/>
          <w:highlight w:val="none"/>
          <w:lang w:eastAsia="zh-CN"/>
        </w:rPr>
        <w:br w:type="page"/>
      </w:r>
    </w:p>
    <w:p w14:paraId="54F17462">
      <w:pPr>
        <w:pStyle w:val="39"/>
        <w:keepNext w:val="0"/>
        <w:keepLines w:val="0"/>
        <w:pageBreakBefore w:val="0"/>
        <w:widowControl w:val="0"/>
        <w:wordWrap/>
        <w:overflowPunct/>
        <w:topLinePunct w:val="0"/>
        <w:bidi w:val="0"/>
        <w:snapToGrid w:val="0"/>
        <w:spacing w:line="560" w:lineRule="exact"/>
        <w:ind w:firstLine="0"/>
        <w:rPr>
          <w:rStyle w:val="28"/>
          <w:rFonts w:hint="eastAsia" w:ascii="仿宋_GB2312" w:hAnsi="仿宋_GB2312" w:eastAsia="仿宋_GB2312"/>
          <w:b/>
          <w:color w:val="000000" w:themeColor="text1"/>
          <w:szCs w:val="24"/>
          <w14:textFill>
            <w14:solidFill>
              <w14:schemeClr w14:val="tx1"/>
            </w14:solidFill>
          </w14:textFill>
        </w:rPr>
      </w:pPr>
      <w:r>
        <w:rPr>
          <w:rStyle w:val="28"/>
          <w:rFonts w:ascii="仿宋_GB2312" w:hAnsi="仿宋_GB2312" w:eastAsia="仿宋_GB2312"/>
          <w:b/>
          <w:color w:val="000000" w:themeColor="text1"/>
          <w:szCs w:val="24"/>
          <w14:textFill>
            <w14:solidFill>
              <w14:schemeClr w14:val="tx1"/>
            </w14:solidFill>
          </w14:textFill>
        </w:rPr>
        <w:t>第三部分合同专用条款</w:t>
      </w:r>
    </w:p>
    <w:p w14:paraId="4E0E801D">
      <w:pPr>
        <w:keepNext w:val="0"/>
        <w:keepLines w:val="0"/>
        <w:pageBreakBefore w:val="0"/>
        <w:widowControl w:val="0"/>
        <w:wordWrap/>
        <w:overflowPunct/>
        <w:topLinePunct w:val="0"/>
        <w:bidi w:val="0"/>
        <w:snapToGrid w:val="0"/>
        <w:spacing w:line="560" w:lineRule="exact"/>
        <w:ind w:firstLine="480" w:firstLineChars="200"/>
        <w:jc w:val="left"/>
        <w:rPr>
          <w:rStyle w:val="28"/>
          <w:rFonts w:hint="eastAsia" w:ascii="仿宋_GB2312" w:hAnsi="仿宋_GB2312" w:eastAsia="仿宋_GB2312"/>
          <w:color w:val="000000" w:themeColor="text1"/>
          <w:sz w:val="24"/>
          <w14:textFill>
            <w14:solidFill>
              <w14:schemeClr w14:val="tx1"/>
            </w14:solidFill>
          </w14:textFill>
        </w:rPr>
      </w:pPr>
      <w:r>
        <w:rPr>
          <w:rStyle w:val="28"/>
          <w:rFonts w:ascii="仿宋_GB2312" w:hAnsi="仿宋_GB2312" w:eastAsia="仿宋_GB2312"/>
          <w:color w:val="000000" w:themeColor="text1"/>
          <w:sz w:val="24"/>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3"/>
        <w:tblW w:w="8434" w:type="dxa"/>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1"/>
        <w:gridCol w:w="7633"/>
      </w:tblGrid>
      <w:tr w14:paraId="177BD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1"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2CA5EF7C">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b/>
                <w:color w:val="000000" w:themeColor="text1"/>
                <w:sz w:val="24"/>
                <w14:textFill>
                  <w14:solidFill>
                    <w14:schemeClr w14:val="tx1"/>
                  </w14:solidFill>
                </w14:textFill>
              </w:rPr>
            </w:pPr>
            <w:r>
              <w:rPr>
                <w:rStyle w:val="28"/>
                <w:rFonts w:ascii="仿宋_GB2312" w:hAnsi="仿宋_GB2312" w:eastAsia="仿宋_GB2312"/>
                <w:b/>
                <w:color w:val="000000" w:themeColor="text1"/>
                <w:sz w:val="24"/>
                <w14:textFill>
                  <w14:solidFill>
                    <w14:schemeClr w14:val="tx1"/>
                  </w14:solidFill>
                </w14:textFill>
              </w:rPr>
              <w:t>条款号</w:t>
            </w:r>
          </w:p>
        </w:tc>
        <w:tc>
          <w:tcPr>
            <w:tcW w:w="7633" w:type="dxa"/>
            <w:tcBorders>
              <w:top w:val="single" w:color="000000" w:sz="6" w:space="0"/>
              <w:left w:val="single" w:color="000000" w:sz="6" w:space="0"/>
              <w:bottom w:val="single" w:color="000000" w:sz="6" w:space="0"/>
              <w:right w:val="single" w:color="000000" w:sz="6" w:space="0"/>
            </w:tcBorders>
            <w:vAlign w:val="center"/>
          </w:tcPr>
          <w:p w14:paraId="2AD70231">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b/>
                <w:color w:val="000000" w:themeColor="text1"/>
                <w:sz w:val="24"/>
                <w14:textFill>
                  <w14:solidFill>
                    <w14:schemeClr w14:val="tx1"/>
                  </w14:solidFill>
                </w14:textFill>
              </w:rPr>
            </w:pPr>
            <w:r>
              <w:rPr>
                <w:rStyle w:val="28"/>
                <w:rFonts w:ascii="仿宋_GB2312" w:hAnsi="仿宋_GB2312" w:eastAsia="仿宋_GB2312"/>
                <w:b/>
                <w:color w:val="000000" w:themeColor="text1"/>
                <w:sz w:val="24"/>
                <w14:textFill>
                  <w14:solidFill>
                    <w14:schemeClr w14:val="tx1"/>
                  </w14:solidFill>
                </w14:textFill>
              </w:rPr>
              <w:t>约定内容</w:t>
            </w:r>
          </w:p>
        </w:tc>
      </w:tr>
      <w:tr w14:paraId="5BFD4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1D03CEC8">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r>
              <w:rPr>
                <w:rStyle w:val="28"/>
                <w:rFonts w:ascii="仿宋_GB2312" w:hAnsi="仿宋_GB2312" w:eastAsia="仿宋_GB2312"/>
                <w:color w:val="000000" w:themeColor="text1"/>
                <w:sz w:val="24"/>
                <w14:textFill>
                  <w14:solidFill>
                    <w14:schemeClr w14:val="tx1"/>
                  </w14:solidFill>
                </w14:textFill>
              </w:rPr>
              <w:t>1.6.2</w:t>
            </w:r>
          </w:p>
        </w:tc>
        <w:tc>
          <w:tcPr>
            <w:tcW w:w="7633" w:type="dxa"/>
            <w:tcBorders>
              <w:top w:val="single" w:color="000000" w:sz="6" w:space="0"/>
              <w:left w:val="single" w:color="000000" w:sz="6" w:space="0"/>
              <w:bottom w:val="single" w:color="000000" w:sz="6" w:space="0"/>
              <w:right w:val="single" w:color="000000" w:sz="6" w:space="0"/>
            </w:tcBorders>
            <w:vAlign w:val="center"/>
          </w:tcPr>
          <w:p w14:paraId="31FF3B49">
            <w:pPr>
              <w:keepNext w:val="0"/>
              <w:keepLines w:val="0"/>
              <w:pageBreakBefore w:val="0"/>
              <w:widowControl w:val="0"/>
              <w:wordWrap/>
              <w:overflowPunct/>
              <w:topLinePunct w:val="0"/>
              <w:bidi w:val="0"/>
              <w:snapToGrid w:val="0"/>
              <w:spacing w:line="560" w:lineRule="exact"/>
              <w:ind w:firstLine="480" w:firstLineChars="200"/>
              <w:jc w:val="left"/>
              <w:rPr>
                <w:rStyle w:val="28"/>
                <w:rFonts w:hint="eastAsia" w:ascii="仿宋_GB2312" w:hAnsi="仿宋_GB2312" w:eastAsia="仿宋_GB2312"/>
                <w:color w:val="000000" w:themeColor="text1"/>
                <w:sz w:val="24"/>
                <w14:textFill>
                  <w14:solidFill>
                    <w14:schemeClr w14:val="tx1"/>
                  </w14:solidFill>
                </w14:textFill>
              </w:rPr>
            </w:pPr>
            <w:r>
              <w:rPr>
                <w:rStyle w:val="28"/>
                <w:rFonts w:ascii="仿宋_GB2312" w:hAnsi="仿宋_GB2312" w:eastAsia="仿宋_GB2312"/>
                <w:color w:val="000000" w:themeColor="text1"/>
                <w:sz w:val="24"/>
                <w14:textFill>
                  <w14:solidFill>
                    <w14:schemeClr w14:val="tx1"/>
                  </w14:solidFill>
                </w14:textFill>
              </w:rPr>
              <w:t>除不可抗力外，如果甲方没有按照本合同约定的付款方式付款，那么乙方可要求甲方支付违约金，违约金按每迟延付款一日的应付而未付款的</w:t>
            </w:r>
            <w:r>
              <w:rPr>
                <w:rStyle w:val="28"/>
                <w:rFonts w:hint="eastAsia" w:ascii="仿宋_GB2312" w:hAnsi="仿宋_GB2312" w:eastAsia="仿宋_GB2312"/>
                <w:color w:val="000000" w:themeColor="text1"/>
                <w:sz w:val="24"/>
                <w:lang w:val="en-US" w:eastAsia="zh-CN"/>
                <w14:textFill>
                  <w14:solidFill>
                    <w14:schemeClr w14:val="tx1"/>
                  </w14:solidFill>
                </w14:textFill>
              </w:rPr>
              <w:t>1</w:t>
            </w:r>
            <w:r>
              <w:rPr>
                <w:rStyle w:val="28"/>
                <w:rFonts w:ascii="仿宋_GB2312" w:hAnsi="仿宋_GB2312" w:eastAsia="仿宋_GB2312"/>
                <w:color w:val="000000" w:themeColor="text1"/>
                <w:sz w:val="24"/>
                <w14:textFill>
                  <w14:solidFill>
                    <w14:schemeClr w14:val="tx1"/>
                  </w14:solidFill>
                </w14:textFill>
              </w:rPr>
              <w:t>%计算，最高限额为本合同总价的</w:t>
            </w:r>
            <w:r>
              <w:rPr>
                <w:rStyle w:val="28"/>
                <w:rFonts w:hint="eastAsia" w:ascii="仿宋_GB2312" w:hAnsi="仿宋_GB2312" w:eastAsia="仿宋_GB2312"/>
                <w:color w:val="000000" w:themeColor="text1"/>
                <w:sz w:val="24"/>
                <w:lang w:val="en-US" w:eastAsia="zh-CN"/>
                <w14:textFill>
                  <w14:solidFill>
                    <w14:schemeClr w14:val="tx1"/>
                  </w14:solidFill>
                </w14:textFill>
              </w:rPr>
              <w:t>5</w:t>
            </w:r>
            <w:r>
              <w:rPr>
                <w:rStyle w:val="28"/>
                <w:rFonts w:ascii="仿宋_GB2312" w:hAnsi="仿宋_GB2312" w:eastAsia="仿宋_GB2312"/>
                <w:color w:val="000000" w:themeColor="text1"/>
                <w:sz w:val="24"/>
                <w14:textFill>
                  <w14:solidFill>
                    <w14:schemeClr w14:val="tx1"/>
                  </w14:solidFill>
                </w14:textFill>
              </w:rPr>
              <w:t>%；迟延付款的违约金计算数额达到前述最高限额之日起，乙方有权在要求甲方支付违约金的同时，书面通知甲方解除本合同；</w:t>
            </w:r>
          </w:p>
        </w:tc>
      </w:tr>
      <w:tr w14:paraId="2CF1D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5BBFAD91">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r>
              <w:rPr>
                <w:rStyle w:val="28"/>
                <w:rFonts w:ascii="仿宋_GB2312" w:hAnsi="仿宋_GB2312" w:eastAsia="仿宋_GB2312"/>
                <w:color w:val="000000" w:themeColor="text1"/>
                <w:sz w:val="24"/>
                <w14:textFill>
                  <w14:solidFill>
                    <w14:schemeClr w14:val="tx1"/>
                  </w14:solidFill>
                </w14:textFill>
              </w:rPr>
              <w:t>1.6.4</w:t>
            </w:r>
          </w:p>
        </w:tc>
        <w:tc>
          <w:tcPr>
            <w:tcW w:w="7633" w:type="dxa"/>
            <w:tcBorders>
              <w:top w:val="single" w:color="000000" w:sz="6" w:space="0"/>
              <w:left w:val="single" w:color="000000" w:sz="6" w:space="0"/>
              <w:bottom w:val="single" w:color="000000" w:sz="6" w:space="0"/>
              <w:right w:val="single" w:color="000000" w:sz="6" w:space="0"/>
            </w:tcBorders>
            <w:vAlign w:val="center"/>
          </w:tcPr>
          <w:p w14:paraId="4D898A90">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r>
              <w:rPr>
                <w:rStyle w:val="28"/>
                <w:rFonts w:ascii="仿宋_GB2312" w:hAnsi="仿宋_GB2312" w:eastAsia="仿宋_GB2312"/>
                <w:color w:val="000000" w:themeColor="text1"/>
                <w:sz w:val="24"/>
                <w14:textFill>
                  <w14:solidFill>
                    <w14:schemeClr w14:val="tx1"/>
                  </w14:solidFill>
                </w14:textFill>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tc>
      </w:tr>
      <w:tr w14:paraId="3E820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0BB09F3F">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r>
              <w:rPr>
                <w:rStyle w:val="28"/>
                <w:rFonts w:ascii="仿宋_GB2312" w:hAnsi="仿宋_GB2312" w:eastAsia="仿宋_GB2312"/>
                <w:color w:val="000000" w:themeColor="text1"/>
                <w:sz w:val="24"/>
                <w14:textFill>
                  <w14:solidFill>
                    <w14:schemeClr w14:val="tx1"/>
                  </w14:solidFill>
                </w14:textFill>
              </w:rPr>
              <w:t>1.6.5</w:t>
            </w:r>
          </w:p>
        </w:tc>
        <w:tc>
          <w:tcPr>
            <w:tcW w:w="7633" w:type="dxa"/>
            <w:tcBorders>
              <w:top w:val="single" w:color="000000" w:sz="6" w:space="0"/>
              <w:left w:val="single" w:color="000000" w:sz="6" w:space="0"/>
              <w:bottom w:val="single" w:color="000000" w:sz="6" w:space="0"/>
              <w:right w:val="single" w:color="000000" w:sz="6" w:space="0"/>
            </w:tcBorders>
            <w:vAlign w:val="center"/>
          </w:tcPr>
          <w:p w14:paraId="5B3149B5">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r>
              <w:rPr>
                <w:rStyle w:val="28"/>
                <w:rFonts w:ascii="仿宋_GB2312" w:hAnsi="仿宋_GB2312" w:eastAsia="仿宋_GB2312"/>
                <w:color w:val="000000" w:themeColor="text1"/>
                <w:sz w:val="24"/>
                <w14:textFill>
                  <w14:solidFill>
                    <w14:schemeClr w14:val="tx1"/>
                  </w14:solidFill>
                </w14:textFill>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tc>
      </w:tr>
      <w:tr w14:paraId="151BC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09FB3E00">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r>
              <w:rPr>
                <w:rStyle w:val="28"/>
                <w:rFonts w:ascii="仿宋_GB2312" w:hAnsi="仿宋_GB2312" w:eastAsia="仿宋_GB2312"/>
                <w:color w:val="000000" w:themeColor="text1"/>
                <w:sz w:val="24"/>
                <w14:textFill>
                  <w14:solidFill>
                    <w14:schemeClr w14:val="tx1"/>
                  </w14:solidFill>
                </w14:textFill>
              </w:rPr>
              <w:t>2.11.1</w:t>
            </w:r>
          </w:p>
        </w:tc>
        <w:tc>
          <w:tcPr>
            <w:tcW w:w="7633" w:type="dxa"/>
            <w:tcBorders>
              <w:top w:val="single" w:color="000000" w:sz="6" w:space="0"/>
              <w:left w:val="single" w:color="000000" w:sz="6" w:space="0"/>
              <w:bottom w:val="single" w:color="000000" w:sz="6" w:space="0"/>
              <w:right w:val="single" w:color="000000" w:sz="6" w:space="0"/>
            </w:tcBorders>
            <w:vAlign w:val="center"/>
          </w:tcPr>
          <w:p w14:paraId="03E44AF6">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r>
              <w:rPr>
                <w:rStyle w:val="28"/>
                <w:rFonts w:ascii="仿宋_GB2312" w:hAnsi="仿宋_GB2312" w:eastAsia="仿宋_GB2312"/>
                <w:color w:val="000000" w:themeColor="text1"/>
                <w:sz w:val="24"/>
                <w14:textFill>
                  <w14:solidFill>
                    <w14:schemeClr w14:val="tx1"/>
                  </w14:solidFill>
                </w14:textFill>
              </w:rPr>
              <w:t>双方当事人协商一致，可以签订书面补充合同的形式变更合同，但不得违背采购文件确定的事项，且如果系追加与合同标的相同的货物的，那么所有补充合同的采购金额不得超过原合同价的10%；</w:t>
            </w:r>
          </w:p>
        </w:tc>
      </w:tr>
      <w:tr w14:paraId="29DB9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1417B114">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r>
              <w:rPr>
                <w:rStyle w:val="28"/>
                <w:rFonts w:ascii="仿宋_GB2312" w:hAnsi="仿宋_GB2312" w:eastAsia="仿宋_GB2312"/>
                <w:color w:val="000000" w:themeColor="text1"/>
                <w:sz w:val="24"/>
                <w14:textFill>
                  <w14:solidFill>
                    <w14:schemeClr w14:val="tx1"/>
                  </w14:solidFill>
                </w14:textFill>
              </w:rPr>
              <w:t>2.18.1</w:t>
            </w:r>
          </w:p>
        </w:tc>
        <w:tc>
          <w:tcPr>
            <w:tcW w:w="7633" w:type="dxa"/>
            <w:tcBorders>
              <w:top w:val="single" w:color="000000" w:sz="6" w:space="0"/>
              <w:left w:val="single" w:color="000000" w:sz="6" w:space="0"/>
              <w:bottom w:val="single" w:color="000000" w:sz="6" w:space="0"/>
              <w:right w:val="single" w:color="000000" w:sz="6" w:space="0"/>
            </w:tcBorders>
            <w:vAlign w:val="center"/>
          </w:tcPr>
          <w:p w14:paraId="511F6864">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u w:val="single"/>
                <w14:textFill>
                  <w14:solidFill>
                    <w14:schemeClr w14:val="tx1"/>
                  </w14:solidFill>
                </w14:textFill>
              </w:rPr>
            </w:pPr>
            <w:r>
              <w:rPr>
                <w:rStyle w:val="28"/>
                <w:rFonts w:ascii="仿宋_GB2312" w:hAnsi="仿宋_GB2312" w:eastAsia="仿宋_GB2312"/>
                <w:color w:val="000000" w:themeColor="text1"/>
                <w:sz w:val="24"/>
                <w14:textFill>
                  <w14:solidFill>
                    <w14:schemeClr w14:val="tx1"/>
                  </w14:solidFill>
                </w14:textFill>
              </w:rPr>
              <w:t>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p>
        </w:tc>
      </w:tr>
      <w:tr w14:paraId="79A93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9"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27CEBAAF">
            <w:pPr>
              <w:keepNext w:val="0"/>
              <w:keepLines w:val="0"/>
              <w:pageBreakBefore w:val="0"/>
              <w:widowControl w:val="0"/>
              <w:wordWrap/>
              <w:overflowPunct/>
              <w:topLinePunct w:val="0"/>
              <w:bidi w:val="0"/>
              <w:snapToGrid w:val="0"/>
              <w:spacing w:line="560" w:lineRule="exact"/>
              <w:jc w:val="center"/>
              <w:rPr>
                <w:rStyle w:val="28"/>
                <w:rFonts w:hint="eastAsia" w:ascii="仿宋_GB2312" w:hAnsi="仿宋_GB2312" w:eastAsia="仿宋_GB2312"/>
                <w:b/>
                <w:color w:val="000000" w:themeColor="text1"/>
                <w:sz w:val="24"/>
                <w14:textFill>
                  <w14:solidFill>
                    <w14:schemeClr w14:val="tx1"/>
                  </w14:solidFill>
                </w14:textFill>
              </w:rPr>
            </w:pPr>
            <w:r>
              <w:rPr>
                <w:rStyle w:val="28"/>
                <w:rFonts w:ascii="仿宋_GB2312" w:hAnsi="仿宋_GB2312" w:eastAsia="仿宋_GB2312"/>
                <w:b/>
                <w:color w:val="000000" w:themeColor="text1"/>
                <w:sz w:val="24"/>
                <w14:textFill>
                  <w14:solidFill>
                    <w14:schemeClr w14:val="tx1"/>
                  </w14:solidFill>
                </w14:textFill>
              </w:rPr>
              <w:t>2.22</w:t>
            </w:r>
          </w:p>
          <w:p w14:paraId="719777BA">
            <w:pPr>
              <w:keepNext w:val="0"/>
              <w:keepLines w:val="0"/>
              <w:pageBreakBefore w:val="0"/>
              <w:widowControl w:val="0"/>
              <w:wordWrap/>
              <w:overflowPunct/>
              <w:topLinePunct w:val="0"/>
              <w:bidi w:val="0"/>
              <w:snapToGrid w:val="0"/>
              <w:spacing w:line="560" w:lineRule="exact"/>
              <w:jc w:val="center"/>
              <w:rPr>
                <w:rStyle w:val="28"/>
                <w:rFonts w:hint="default" w:ascii="仿宋_GB2312" w:hAnsi="仿宋_GB2312" w:eastAsia="仿宋_GB2312"/>
                <w:color w:val="000000" w:themeColor="text1"/>
                <w:sz w:val="24"/>
                <w:lang w:val="en-US" w:eastAsia="zh-CN"/>
                <w14:textFill>
                  <w14:solidFill>
                    <w14:schemeClr w14:val="tx1"/>
                  </w14:solidFill>
                </w14:textFill>
              </w:rPr>
            </w:pPr>
          </w:p>
        </w:tc>
        <w:tc>
          <w:tcPr>
            <w:tcW w:w="7633" w:type="dxa"/>
            <w:tcBorders>
              <w:top w:val="single" w:color="000000" w:sz="6" w:space="0"/>
              <w:left w:val="single" w:color="000000" w:sz="6" w:space="0"/>
              <w:bottom w:val="single" w:color="000000" w:sz="6" w:space="0"/>
              <w:right w:val="single" w:color="000000" w:sz="6" w:space="0"/>
            </w:tcBorders>
            <w:vAlign w:val="center"/>
          </w:tcPr>
          <w:p w14:paraId="4EAF0A97">
            <w:pPr>
              <w:keepNext w:val="0"/>
              <w:keepLines w:val="0"/>
              <w:pageBreakBefore w:val="0"/>
              <w:widowControl w:val="0"/>
              <w:wordWrap/>
              <w:overflowPunct/>
              <w:topLinePunct w:val="0"/>
              <w:bidi w:val="0"/>
              <w:snapToGrid w:val="0"/>
              <w:spacing w:line="560" w:lineRule="exact"/>
              <w:jc w:val="both"/>
              <w:rPr>
                <w:rStyle w:val="28"/>
                <w:rFonts w:hint="eastAsia" w:ascii="仿宋_GB2312" w:hAnsi="仿宋_GB2312" w:eastAsia="仿宋_GB2312"/>
                <w:color w:val="000000" w:themeColor="text1"/>
                <w:sz w:val="24"/>
                <w14:textFill>
                  <w14:solidFill>
                    <w14:schemeClr w14:val="tx1"/>
                  </w14:solidFill>
                </w14:textFill>
              </w:rPr>
            </w:pPr>
            <w:r>
              <w:rPr>
                <w:rStyle w:val="28"/>
                <w:rFonts w:hint="eastAsia" w:ascii="Times New Roman" w:hAnsi="Times New Roman" w:eastAsia="仿宋" w:cs="Times New Roman"/>
                <w:color w:val="auto"/>
                <w:sz w:val="24"/>
                <w:highlight w:val="none"/>
                <w:u w:val="none"/>
                <w:lang w:val="en-US" w:eastAsia="zh-CN"/>
              </w:rPr>
              <w:t>本合同一式</w:t>
            </w:r>
            <w:r>
              <w:rPr>
                <w:rStyle w:val="28"/>
                <w:rFonts w:hint="eastAsia" w:ascii="Times New Roman" w:hAnsi="Times New Roman" w:eastAsia="仿宋" w:cs="Times New Roman"/>
                <w:color w:val="auto"/>
                <w:sz w:val="24"/>
                <w:highlight w:val="none"/>
                <w:u w:val="single"/>
                <w:lang w:val="en-US" w:eastAsia="zh-CN"/>
              </w:rPr>
              <w:t xml:space="preserve">  陆  </w:t>
            </w:r>
            <w:r>
              <w:rPr>
                <w:rStyle w:val="28"/>
                <w:rFonts w:hint="eastAsia" w:ascii="Times New Roman" w:hAnsi="Times New Roman" w:eastAsia="仿宋" w:cs="Times New Roman"/>
                <w:color w:val="auto"/>
                <w:sz w:val="24"/>
                <w:highlight w:val="none"/>
                <w:u w:val="none"/>
                <w:lang w:val="en-US" w:eastAsia="zh-CN"/>
              </w:rPr>
              <w:t>份，甲方执</w:t>
            </w:r>
            <w:r>
              <w:rPr>
                <w:rStyle w:val="28"/>
                <w:rFonts w:hint="eastAsia" w:ascii="Times New Roman" w:hAnsi="Times New Roman" w:eastAsia="仿宋" w:cs="Times New Roman"/>
                <w:color w:val="auto"/>
                <w:sz w:val="24"/>
                <w:highlight w:val="none"/>
                <w:u w:val="single"/>
                <w:lang w:val="en-US" w:eastAsia="zh-CN"/>
              </w:rPr>
              <w:t xml:space="preserve"> 肆 </w:t>
            </w:r>
            <w:r>
              <w:rPr>
                <w:rStyle w:val="28"/>
                <w:rFonts w:hint="eastAsia" w:ascii="Times New Roman" w:hAnsi="Times New Roman" w:eastAsia="仿宋" w:cs="Times New Roman"/>
                <w:color w:val="auto"/>
                <w:sz w:val="24"/>
                <w:highlight w:val="none"/>
                <w:u w:val="none"/>
                <w:lang w:val="en-US" w:eastAsia="zh-CN"/>
              </w:rPr>
              <w:t>份，乙方执</w:t>
            </w:r>
            <w:r>
              <w:rPr>
                <w:rStyle w:val="28"/>
                <w:rFonts w:hint="eastAsia" w:ascii="Times New Roman" w:hAnsi="Times New Roman" w:eastAsia="仿宋" w:cs="Times New Roman"/>
                <w:color w:val="auto"/>
                <w:sz w:val="24"/>
                <w:highlight w:val="none"/>
                <w:u w:val="single"/>
                <w:lang w:val="en-US" w:eastAsia="zh-CN"/>
              </w:rPr>
              <w:t xml:space="preserve"> 贰  </w:t>
            </w:r>
            <w:r>
              <w:rPr>
                <w:rStyle w:val="28"/>
                <w:rFonts w:hint="eastAsia" w:ascii="Times New Roman" w:hAnsi="Times New Roman" w:eastAsia="仿宋" w:cs="Times New Roman"/>
                <w:color w:val="auto"/>
                <w:sz w:val="24"/>
                <w:highlight w:val="none"/>
                <w:u w:val="none"/>
                <w:lang w:val="en-US" w:eastAsia="zh-CN"/>
              </w:rPr>
              <w:t>份。</w:t>
            </w:r>
          </w:p>
        </w:tc>
      </w:tr>
      <w:tr w14:paraId="36D81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7C0136EA">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p>
        </w:tc>
        <w:tc>
          <w:tcPr>
            <w:tcW w:w="7633" w:type="dxa"/>
            <w:tcBorders>
              <w:top w:val="single" w:color="000000" w:sz="6" w:space="0"/>
              <w:left w:val="single" w:color="000000" w:sz="6" w:space="0"/>
              <w:bottom w:val="single" w:color="000000" w:sz="6" w:space="0"/>
              <w:right w:val="single" w:color="000000" w:sz="6" w:space="0"/>
            </w:tcBorders>
            <w:vAlign w:val="center"/>
          </w:tcPr>
          <w:p w14:paraId="24337317">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u w:val="single"/>
                <w14:textFill>
                  <w14:solidFill>
                    <w14:schemeClr w14:val="tx1"/>
                  </w14:solidFill>
                </w14:textFill>
              </w:rPr>
            </w:pPr>
          </w:p>
        </w:tc>
      </w:tr>
      <w:tr w14:paraId="74AEC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35F20249">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p>
        </w:tc>
        <w:tc>
          <w:tcPr>
            <w:tcW w:w="7633" w:type="dxa"/>
            <w:tcBorders>
              <w:top w:val="single" w:color="000000" w:sz="6" w:space="0"/>
              <w:left w:val="single" w:color="000000" w:sz="6" w:space="0"/>
              <w:bottom w:val="single" w:color="000000" w:sz="6" w:space="0"/>
              <w:right w:val="single" w:color="000000" w:sz="6" w:space="0"/>
            </w:tcBorders>
            <w:vAlign w:val="center"/>
          </w:tcPr>
          <w:p w14:paraId="6178BB3A">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p>
        </w:tc>
      </w:tr>
      <w:tr w14:paraId="03EDD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74085828">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p>
        </w:tc>
        <w:tc>
          <w:tcPr>
            <w:tcW w:w="7633" w:type="dxa"/>
            <w:tcBorders>
              <w:top w:val="single" w:color="000000" w:sz="6" w:space="0"/>
              <w:left w:val="single" w:color="000000" w:sz="6" w:space="0"/>
              <w:bottom w:val="single" w:color="000000" w:sz="6" w:space="0"/>
              <w:right w:val="single" w:color="000000" w:sz="6" w:space="0"/>
            </w:tcBorders>
            <w:vAlign w:val="center"/>
          </w:tcPr>
          <w:p w14:paraId="6490F123">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p>
        </w:tc>
      </w:tr>
      <w:tr w14:paraId="6A137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05D83372">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p>
        </w:tc>
        <w:tc>
          <w:tcPr>
            <w:tcW w:w="7633" w:type="dxa"/>
            <w:tcBorders>
              <w:top w:val="single" w:color="000000" w:sz="6" w:space="0"/>
              <w:left w:val="single" w:color="000000" w:sz="6" w:space="0"/>
              <w:bottom w:val="single" w:color="000000" w:sz="6" w:space="0"/>
              <w:right w:val="single" w:color="000000" w:sz="6" w:space="0"/>
            </w:tcBorders>
            <w:vAlign w:val="center"/>
          </w:tcPr>
          <w:p w14:paraId="1DC7F189">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p>
        </w:tc>
      </w:tr>
      <w:tr w14:paraId="74260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7AA022D1">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p>
        </w:tc>
        <w:tc>
          <w:tcPr>
            <w:tcW w:w="7633" w:type="dxa"/>
            <w:tcBorders>
              <w:top w:val="single" w:color="000000" w:sz="6" w:space="0"/>
              <w:left w:val="single" w:color="000000" w:sz="6" w:space="0"/>
              <w:bottom w:val="single" w:color="000000" w:sz="6" w:space="0"/>
              <w:right w:val="single" w:color="000000" w:sz="6" w:space="0"/>
            </w:tcBorders>
            <w:vAlign w:val="center"/>
          </w:tcPr>
          <w:p w14:paraId="326667DA">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p>
        </w:tc>
      </w:tr>
      <w:tr w14:paraId="78643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4761026A">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p>
        </w:tc>
        <w:tc>
          <w:tcPr>
            <w:tcW w:w="7633" w:type="dxa"/>
            <w:tcBorders>
              <w:top w:val="single" w:color="000000" w:sz="6" w:space="0"/>
              <w:left w:val="single" w:color="000000" w:sz="6" w:space="0"/>
              <w:bottom w:val="single" w:color="000000" w:sz="6" w:space="0"/>
              <w:right w:val="single" w:color="000000" w:sz="6" w:space="0"/>
            </w:tcBorders>
            <w:vAlign w:val="center"/>
          </w:tcPr>
          <w:p w14:paraId="271C2B52">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p>
        </w:tc>
      </w:tr>
    </w:tbl>
    <w:p w14:paraId="5409CB21">
      <w:pPr>
        <w:spacing w:line="400" w:lineRule="exact"/>
        <w:rPr>
          <w:rFonts w:hint="eastAsia" w:ascii="仿宋" w:hAnsi="仿宋" w:eastAsia="仿宋" w:cs="仿宋"/>
          <w:color w:val="auto"/>
          <w:highlight w:val="none"/>
        </w:rPr>
      </w:pPr>
    </w:p>
    <w:p w14:paraId="116EB845">
      <w:pPr>
        <w:rPr>
          <w:rFonts w:hint="eastAsia" w:ascii="仿宋" w:hAnsi="仿宋" w:eastAsia="仿宋" w:cs="仿宋"/>
          <w:highlight w:val="none"/>
        </w:rPr>
      </w:pPr>
    </w:p>
    <w:sectPr>
      <w:footerReference r:id="rId15" w:type="default"/>
      <w:pgSz w:w="11907" w:h="16840"/>
      <w:pgMar w:top="1474" w:right="1814" w:bottom="1474" w:left="1814" w:header="851" w:footer="850" w:gutter="0"/>
      <w:cols w:space="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1" w:fontKey="{E1B204F1-85AC-4BAA-9DAB-3DEAAC5ABF8D}"/>
  </w:font>
  <w:font w:name="仿宋">
    <w:panose1 w:val="02010609060101010101"/>
    <w:charset w:val="86"/>
    <w:family w:val="modern"/>
    <w:pitch w:val="default"/>
    <w:sig w:usb0="800002BF" w:usb1="38CF7CFA" w:usb2="00000016" w:usb3="00000000" w:csb0="00040001" w:csb1="00000000"/>
    <w:embedRegular r:id="rId2" w:fontKey="{9D25E4F7-0473-44B8-B7DB-00E7020DD19A}"/>
  </w:font>
  <w:font w:name="方正仿宋_GB18030">
    <w:panose1 w:val="02000000000000000000"/>
    <w:charset w:val="86"/>
    <w:family w:val="auto"/>
    <w:pitch w:val="default"/>
    <w:sig w:usb0="00000001" w:usb1="08000000" w:usb2="00000000" w:usb3="00000000" w:csb0="00040000" w:csb1="00000000"/>
    <w:embedRegular r:id="rId3" w:fontKey="{96119B2F-8E04-481C-896C-D366191FDF8C}"/>
  </w:font>
  <w:font w:name="Undefined">
    <w:altName w:val="yyb"/>
    <w:panose1 w:val="00000000000000000000"/>
    <w:charset w:val="00"/>
    <w:family w:val="auto"/>
    <w:pitch w:val="default"/>
    <w:sig w:usb0="00000000" w:usb1="00000000" w:usb2="00000000" w:usb3="00000000" w:csb0="00040001" w:csb1="00000000"/>
    <w:embedRegular r:id="rId4" w:fontKey="{4EF5BBE9-DC47-4959-A6B9-60F16BCC32E3}"/>
  </w:font>
  <w:font w:name="yyb">
    <w:panose1 w:val="020B0200000000000000"/>
    <w:charset w:val="86"/>
    <w:family w:val="auto"/>
    <w:pitch w:val="default"/>
    <w:sig w:usb0="20000083" w:usb1="10000000" w:usb2="00000016" w:usb3="00000000" w:csb0="60060107" w:csb1="00000000"/>
  </w:font>
  <w:font w:name="方正公文仿宋">
    <w:altName w:val="仿宋"/>
    <w:panose1 w:val="02000500000000000000"/>
    <w:charset w:val="86"/>
    <w:family w:val="auto"/>
    <w:pitch w:val="default"/>
    <w:sig w:usb0="00000000" w:usb1="00000000" w:usb2="00000016" w:usb3="00000000" w:csb0="00040001" w:csb1="00000000"/>
    <w:embedRegular r:id="rId5" w:fontKey="{03248891-6F46-4E9C-8E71-5F0BB396DDD7}"/>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00000001" w:usb1="08000000" w:usb2="00000000" w:usb3="00000000" w:csb0="00040000" w:csb1="00000000"/>
  </w:font>
  <w:font w:name="KSOFE11AC4C4">
    <w:panose1 w:val="02010609060101010101"/>
    <w:charset w:val="86"/>
    <w:family w:val="auto"/>
    <w:pitch w:val="default"/>
    <w:sig w:usb0="00000001" w:usb1="00000000" w:usb2="00000000" w:usb3="00000000" w:csb0="00040001" w:csb1="00000000"/>
  </w:font>
  <w:font w:name="KSOFE11A506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E5C92">
    <w:pPr>
      <w:pStyle w:val="14"/>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CD6C8">
    <w:pPr>
      <w:pStyle w:val="14"/>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1398C">
    <w:pPr>
      <w:pStyle w:val="14"/>
      <w:jc w:val="center"/>
    </w:pPr>
    <w:r>
      <w:rPr>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F8581">
                          <w:pPr>
                            <w:pStyle w:val="1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C3F8581">
                    <w:pPr>
                      <w:pStyle w:val="14"/>
                    </w:pPr>
                    <w:r>
                      <w:fldChar w:fldCharType="begin"/>
                    </w:r>
                    <w:r>
                      <w:instrText xml:space="preserve"> PAGE  \* MERGEFORMAT </w:instrText>
                    </w:r>
                    <w:r>
                      <w:fldChar w:fldCharType="separate"/>
                    </w:r>
                    <w:r>
                      <w:t>28</w:t>
                    </w:r>
                    <w:r>
                      <w:fldChar w:fldCharType="end"/>
                    </w:r>
                  </w:p>
                </w:txbxContent>
              </v:textbox>
            </v:shape>
          </w:pict>
        </mc:Fallback>
      </mc:AlternateContent>
    </w:r>
  </w:p>
  <w:p w14:paraId="632F8C55">
    <w:pPr>
      <w:pStyle w:val="1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C9E84">
    <w:pPr>
      <w:pStyle w:val="14"/>
      <w:jc w:val="center"/>
      <w:rPr>
        <w:rStyle w:val="28"/>
      </w:rPr>
    </w:pPr>
    <w:r>
      <w:rPr>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3A23B">
                          <w:pPr>
                            <w:pStyle w:val="1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123A23B">
                    <w:pPr>
                      <w:pStyle w:val="14"/>
                    </w:pPr>
                    <w:r>
                      <w:fldChar w:fldCharType="begin"/>
                    </w:r>
                    <w:r>
                      <w:instrText xml:space="preserve"> PAGE  \* MERGEFORMAT </w:instrText>
                    </w:r>
                    <w:r>
                      <w:fldChar w:fldCharType="separate"/>
                    </w:r>
                    <w:r>
                      <w:t>41</w:t>
                    </w:r>
                    <w:r>
                      <w:fldChar w:fldCharType="end"/>
                    </w:r>
                  </w:p>
                </w:txbxContent>
              </v:textbox>
            </v:shape>
          </w:pict>
        </mc:Fallback>
      </mc:AlternateContent>
    </w:r>
    <w:r>
      <w:rPr>
        <w:rStyle w:val="2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859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14:paraId="4C76AD67">
                          <w:pPr>
                            <w:pStyle w:val="14"/>
                            <w:jc w:val="center"/>
                            <w:rPr>
                              <w:rStyle w:val="28"/>
                            </w:rPr>
                          </w:pPr>
                        </w:p>
                        <w:p w14:paraId="353DFB08">
                          <w:pPr>
                            <w:tabs>
                              <w:tab w:val="center" w:pos="4153"/>
                              <w:tab w:val="right" w:pos="8306"/>
                            </w:tabs>
                            <w:jc w:val="center"/>
                            <w:rPr>
                              <w:rStyle w:val="28"/>
                            </w:rPr>
                          </w:pPr>
                        </w:p>
                      </w:txbxContent>
                    </wps:txbx>
                    <wps:bodyPr lIns="0" tIns="0" rIns="0" bIns="0" upright="1"/>
                  </wps:wsp>
                </a:graphicData>
              </a:graphic>
            </wp:anchor>
          </w:drawing>
        </mc:Choice>
        <mc:Fallback>
          <w:pict>
            <v:shape id="文本框 3" o:spid="_x0000_s1026" o:spt="202" type="#_x0000_t202" style="position:absolute;left:0pt;margin-top:0pt;height:11.7pt;width:9.05pt;mso-position-horizontal:center;mso-position-horizontal-relative:margin;z-index:251659264;mso-width-relative:page;mso-height-relative:page;" filled="f" stroked="f" coordsize="21600,21600" o:gfxdata="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pEM5TTAAAAAwEAAA8AAAAAAAAAAQAgAAAAIgAAAGRycy9kb3ducmV2LnhtbFBLAQIU&#10;ABQAAAAIAIdO4kC20o1YvwEAAH8DAAAOAAAAAAAAAAEAIAAAACIBAABkcnMvZTJvRG9jLnhtbFBL&#10;BQYAAAAABgAGAFkBAABTBQAAAAA=&#10;">
              <v:fill on="f" focussize="0,0"/>
              <v:stroke on="f"/>
              <v:imagedata o:title=""/>
              <o:lock v:ext="edit" aspectratio="f"/>
              <v:textbox inset="0mm,0mm,0mm,0mm">
                <w:txbxContent>
                  <w:p w14:paraId="4C76AD67">
                    <w:pPr>
                      <w:pStyle w:val="14"/>
                      <w:jc w:val="center"/>
                      <w:rPr>
                        <w:rStyle w:val="28"/>
                      </w:rPr>
                    </w:pPr>
                  </w:p>
                  <w:p w14:paraId="353DFB08">
                    <w:pPr>
                      <w:tabs>
                        <w:tab w:val="center" w:pos="4153"/>
                        <w:tab w:val="right" w:pos="8306"/>
                      </w:tabs>
                      <w:jc w:val="center"/>
                      <w:rPr>
                        <w:rStyle w:val="28"/>
                      </w:rPr>
                    </w:pPr>
                  </w:p>
                </w:txbxContent>
              </v:textbox>
            </v:shape>
          </w:pict>
        </mc:Fallback>
      </mc:AlternateContent>
    </w:r>
  </w:p>
  <w:p w14:paraId="2206A2D4">
    <w:pPr>
      <w:pStyle w:val="14"/>
      <w:ind w:right="360"/>
      <w:jc w:val="right"/>
      <w:rPr>
        <w:rStyle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324ED">
    <w:pPr>
      <w:pStyle w:val="14"/>
      <w:framePr w:wrap="around" w:vAnchor="margin" w:hAnchor="text" w:xAlign="center" w:y="1"/>
      <w:rPr>
        <w:rStyle w:val="42"/>
      </w:rPr>
    </w:pPr>
  </w:p>
  <w:p w14:paraId="36EB16D1">
    <w:pPr>
      <w:pStyle w:val="14"/>
      <w:rPr>
        <w:rStyle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28A07">
    <w:pPr>
      <w:pStyle w:val="14"/>
      <w:jc w:val="center"/>
      <w:rPr>
        <w:rStyle w:val="28"/>
      </w:rPr>
    </w:pPr>
    <w:r>
      <w:rPr>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EF970">
                          <w:pPr>
                            <w:pStyle w:val="14"/>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F1EF970">
                    <w:pPr>
                      <w:pStyle w:val="14"/>
                    </w:pPr>
                    <w:r>
                      <w:fldChar w:fldCharType="begin"/>
                    </w:r>
                    <w:r>
                      <w:instrText xml:space="preserve"> PAGE  \* MERGEFORMAT </w:instrText>
                    </w:r>
                    <w:r>
                      <w:fldChar w:fldCharType="separate"/>
                    </w:r>
                    <w:r>
                      <w:t>91</w:t>
                    </w:r>
                    <w:r>
                      <w:fldChar w:fldCharType="end"/>
                    </w:r>
                  </w:p>
                </w:txbxContent>
              </v:textbox>
            </v:shape>
          </w:pict>
        </mc:Fallback>
      </mc:AlternateContent>
    </w:r>
    <w:r>
      <w:rPr>
        <w:rStyle w:val="2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B3C640">
                          <w:pPr>
                            <w:pStyle w:val="14"/>
                            <w:jc w:val="center"/>
                            <w:rPr>
                              <w:rStyle w:val="28"/>
                            </w:rPr>
                          </w:pPr>
                        </w:p>
                        <w:p w14:paraId="4BDE1448">
                          <w:pPr>
                            <w:tabs>
                              <w:tab w:val="center" w:pos="4153"/>
                              <w:tab w:val="right" w:pos="8306"/>
                            </w:tabs>
                            <w:jc w:val="center"/>
                            <w:rPr>
                              <w:rStyle w:val="28"/>
                            </w:rPr>
                          </w:pPr>
                        </w:p>
                      </w:txbxContent>
                    </wps:txbx>
                    <wps:bodyPr lIns="0" tIns="0" rIns="0" bIns="0" upright="1"/>
                  </wps:wsp>
                </a:graphicData>
              </a:graphic>
            </wp:anchor>
          </w:drawing>
        </mc:Choice>
        <mc:Fallback>
          <w:pict>
            <v:shape id="文本框 7"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aT2QNIAAAAFAQAADwAAAAAAAAABACAAAAAiAAAAZHJzL2Rvd25yZXYueG1sUEsBAhQAFAAAAAgA&#10;h07iQFaPcni5AQAAgQMAAA4AAAAAAAAAAQAgAAAAIQEAAGRycy9lMm9Eb2MueG1sUEsFBgAAAAAG&#10;AAYAWQEAAEwFAAAAAA==&#10;">
              <v:fill on="f" focussize="0,0"/>
              <v:stroke on="f"/>
              <v:imagedata o:title=""/>
              <o:lock v:ext="edit" aspectratio="f"/>
              <v:textbox inset="0mm,0mm,0mm,0mm">
                <w:txbxContent>
                  <w:p w14:paraId="40B3C640">
                    <w:pPr>
                      <w:pStyle w:val="14"/>
                      <w:jc w:val="center"/>
                      <w:rPr>
                        <w:rStyle w:val="28"/>
                      </w:rPr>
                    </w:pPr>
                  </w:p>
                  <w:p w14:paraId="4BDE1448">
                    <w:pPr>
                      <w:tabs>
                        <w:tab w:val="center" w:pos="4153"/>
                        <w:tab w:val="right" w:pos="8306"/>
                      </w:tabs>
                      <w:jc w:val="center"/>
                      <w:rPr>
                        <w:rStyle w:val="28"/>
                      </w:rPr>
                    </w:pPr>
                  </w:p>
                </w:txbxContent>
              </v:textbox>
            </v:shape>
          </w:pict>
        </mc:Fallback>
      </mc:AlternateContent>
    </w:r>
  </w:p>
  <w:p w14:paraId="618DE791">
    <w:pPr>
      <w:pStyle w:val="14"/>
      <w:jc w:val="center"/>
      <w:rPr>
        <w:rStyle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1AF30">
    <w:pPr>
      <w:pStyle w:val="14"/>
      <w:jc w:val="center"/>
      <w:rPr>
        <w:rStyle w:val="28"/>
      </w:rPr>
    </w:pPr>
    <w:r>
      <w:rPr>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0BE6DF">
                          <w:pPr>
                            <w:pStyle w:val="14"/>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710BE6DF">
                    <w:pPr>
                      <w:pStyle w:val="14"/>
                    </w:pPr>
                    <w:r>
                      <w:fldChar w:fldCharType="begin"/>
                    </w:r>
                    <w:r>
                      <w:instrText xml:space="preserve"> PAGE  \* MERGEFORMAT </w:instrText>
                    </w:r>
                    <w:r>
                      <w:fldChar w:fldCharType="separate"/>
                    </w:r>
                    <w:r>
                      <w:t>116</w:t>
                    </w:r>
                    <w:r>
                      <w:fldChar w:fldCharType="end"/>
                    </w:r>
                  </w:p>
                </w:txbxContent>
              </v:textbox>
            </v:shape>
          </w:pict>
        </mc:Fallback>
      </mc:AlternateContent>
    </w:r>
    <w:r>
      <w:rPr>
        <w:rStyle w:val="2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859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14:paraId="0DD0EE78">
                          <w:pPr>
                            <w:pStyle w:val="14"/>
                            <w:jc w:val="center"/>
                            <w:rPr>
                              <w:rStyle w:val="28"/>
                            </w:rPr>
                          </w:pPr>
                        </w:p>
                        <w:p w14:paraId="652C1321">
                          <w:pPr>
                            <w:tabs>
                              <w:tab w:val="center" w:pos="4153"/>
                              <w:tab w:val="right" w:pos="8306"/>
                            </w:tabs>
                            <w:jc w:val="center"/>
                            <w:rPr>
                              <w:rStyle w:val="28"/>
                            </w:rPr>
                          </w:pPr>
                        </w:p>
                      </w:txbxContent>
                    </wps:txbx>
                    <wps:bodyPr lIns="0" tIns="0" rIns="0" bIns="0" upright="1"/>
                  </wps:wsp>
                </a:graphicData>
              </a:graphic>
            </wp:anchor>
          </w:drawing>
        </mc:Choice>
        <mc:Fallback>
          <w:pict>
            <v:shape id="文本框 5" o:spid="_x0000_s1026" o:spt="202" type="#_x0000_t202" style="position:absolute;left:0pt;margin-top:0pt;height:11.7pt;width:9.05pt;mso-position-horizontal:center;mso-position-horizontal-relative:margin;z-index:251661312;mso-width-relative:page;mso-height-relative:page;" filled="f" stroked="f" coordsize="21600,21600" o:gfxdata="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DOU0wAAAAMBAAAPAAAAAAAAAAEAIAAAACIAAABkcnMvZG93bnJldi54bWxQSwEC&#10;FAAUAAAACACHTuJApEi3ssABAAB/AwAADgAAAAAAAAABACAAAAAiAQAAZHJzL2Uyb0RvYy54bWxQ&#10;SwUGAAAAAAYABgBZAQAAVAUAAAAA&#10;">
              <v:fill on="f" focussize="0,0"/>
              <v:stroke on="f"/>
              <v:imagedata o:title=""/>
              <o:lock v:ext="edit" aspectratio="f"/>
              <v:textbox inset="0mm,0mm,0mm,0mm">
                <w:txbxContent>
                  <w:p w14:paraId="0DD0EE78">
                    <w:pPr>
                      <w:pStyle w:val="14"/>
                      <w:jc w:val="center"/>
                      <w:rPr>
                        <w:rStyle w:val="28"/>
                      </w:rPr>
                    </w:pPr>
                  </w:p>
                  <w:p w14:paraId="652C1321">
                    <w:pPr>
                      <w:tabs>
                        <w:tab w:val="center" w:pos="4153"/>
                        <w:tab w:val="right" w:pos="8306"/>
                      </w:tabs>
                      <w:jc w:val="center"/>
                      <w:rPr>
                        <w:rStyle w:val="28"/>
                      </w:rPr>
                    </w:pPr>
                  </w:p>
                </w:txbxContent>
              </v:textbox>
            </v:shape>
          </w:pict>
        </mc:Fallback>
      </mc:AlternateContent>
    </w:r>
  </w:p>
  <w:p w14:paraId="40270415">
    <w:pPr>
      <w:pStyle w:val="14"/>
      <w:ind w:right="360"/>
      <w:jc w:val="right"/>
      <w:rPr>
        <w:rStyle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C025A">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FCA84">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48B68">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4693C">
    <w:pPr>
      <w:pStyle w:val="15"/>
      <w:pBdr>
        <w:bottom w:val="none" w:color="auto" w:sz="0" w:space="0"/>
      </w:pBdr>
      <w:rPr>
        <w:rStyle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A688A">
    <w:pPr>
      <w:pStyle w:val="15"/>
      <w:pBdr>
        <w:bottom w:val="none" w:color="auto" w:sz="0" w:space="0"/>
      </w:pBdr>
      <w:rPr>
        <w:rStyle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FABDD">
    <w:pPr>
      <w:pStyle w:val="15"/>
      <w:pBdr>
        <w:bottom w:val="none" w:color="auto" w:sz="0" w:space="0"/>
      </w:pBdr>
      <w:jc w:val="right"/>
      <w:rPr>
        <w:rStyle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E33BD"/>
    <w:multiLevelType w:val="singleLevel"/>
    <w:tmpl w:val="8BAE33BD"/>
    <w:lvl w:ilvl="0" w:tentative="0">
      <w:start w:val="1"/>
      <w:numFmt w:val="decimal"/>
      <w:lvlText w:val="%1."/>
      <w:lvlJc w:val="left"/>
      <w:pPr>
        <w:tabs>
          <w:tab w:val="left" w:pos="312"/>
        </w:tabs>
        <w:textAlignment w:val="baseline"/>
      </w:pPr>
    </w:lvl>
  </w:abstractNum>
  <w:abstractNum w:abstractNumId="1">
    <w:nsid w:val="93B87A84"/>
    <w:multiLevelType w:val="singleLevel"/>
    <w:tmpl w:val="93B87A84"/>
    <w:lvl w:ilvl="0" w:tentative="0">
      <w:start w:val="2"/>
      <w:numFmt w:val="decimal"/>
      <w:suff w:val="nothing"/>
      <w:lvlText w:val="%1、"/>
      <w:lvlJc w:val="left"/>
    </w:lvl>
  </w:abstractNum>
  <w:abstractNum w:abstractNumId="2">
    <w:nsid w:val="D4F06988"/>
    <w:multiLevelType w:val="multilevel"/>
    <w:tmpl w:val="D4F06988"/>
    <w:lvl w:ilvl="0" w:tentative="0">
      <w:start w:val="18"/>
      <w:numFmt w:val="decimal"/>
      <w:lvlText w:val="%1."/>
      <w:lvlJc w:val="left"/>
      <w:pPr>
        <w:textAlignment w:val="baseline"/>
      </w:pPr>
    </w:lvl>
    <w:lvl w:ilvl="1" w:tentative="0">
      <w:start w:val="1"/>
      <w:numFmt w:val="decimal"/>
      <w:lvlText w:val="%1.%2"/>
      <w:lvlJc w:val="left"/>
      <w:pPr>
        <w:tabs>
          <w:tab w:val="left" w:pos="312"/>
        </w:tabs>
        <w:ind w:left="0" w:firstLine="0"/>
        <w:textAlignment w:val="baseline"/>
      </w:pPr>
    </w:lvl>
    <w:lvl w:ilvl="2" w:tentative="0">
      <w:start w:val="1"/>
      <w:numFmt w:val="decimal"/>
      <w:lvlText w:val="%1.%2.%3"/>
      <w:lvlJc w:val="left"/>
      <w:pPr>
        <w:tabs>
          <w:tab w:val="left" w:pos="312"/>
        </w:tabs>
        <w:ind w:left="0" w:firstLine="0"/>
        <w:textAlignment w:val="baseline"/>
      </w:pPr>
    </w:lvl>
    <w:lvl w:ilvl="3" w:tentative="0">
      <w:start w:val="1"/>
      <w:numFmt w:val="decimal"/>
      <w:lvlText w:val="%1.%2.%3.%4"/>
      <w:lvlJc w:val="left"/>
      <w:pPr>
        <w:tabs>
          <w:tab w:val="left" w:pos="312"/>
        </w:tabs>
        <w:ind w:left="0" w:firstLine="0"/>
        <w:textAlignment w:val="baseline"/>
      </w:pPr>
    </w:lvl>
    <w:lvl w:ilvl="4" w:tentative="0">
      <w:start w:val="1"/>
      <w:numFmt w:val="decimal"/>
      <w:lvlText w:val="%1.%2.%3.%4.%5"/>
      <w:lvlJc w:val="left"/>
      <w:pPr>
        <w:tabs>
          <w:tab w:val="left" w:pos="312"/>
        </w:tabs>
        <w:ind w:left="0" w:firstLine="0"/>
        <w:textAlignment w:val="baseline"/>
      </w:pPr>
    </w:lvl>
    <w:lvl w:ilvl="5" w:tentative="0">
      <w:start w:val="1"/>
      <w:numFmt w:val="decimal"/>
      <w:lvlText w:val="%1.%2.%3.%4.%5.%6"/>
      <w:lvlJc w:val="left"/>
      <w:pPr>
        <w:tabs>
          <w:tab w:val="left" w:pos="312"/>
        </w:tabs>
        <w:ind w:left="0" w:firstLine="0"/>
        <w:textAlignment w:val="baseline"/>
      </w:pPr>
    </w:lvl>
    <w:lvl w:ilvl="6" w:tentative="0">
      <w:start w:val="1"/>
      <w:numFmt w:val="decimal"/>
      <w:lvlText w:val="%1.%2.%3.%4.%5.%6.%7"/>
      <w:lvlJc w:val="left"/>
      <w:pPr>
        <w:tabs>
          <w:tab w:val="left" w:pos="312"/>
        </w:tabs>
        <w:ind w:left="0" w:firstLine="0"/>
        <w:textAlignment w:val="baseline"/>
      </w:pPr>
    </w:lvl>
    <w:lvl w:ilvl="7" w:tentative="0">
      <w:start w:val="1"/>
      <w:numFmt w:val="decimal"/>
      <w:lvlText w:val="%1.%2.%3.%4.%5.%6.%7.%8"/>
      <w:lvlJc w:val="left"/>
      <w:pPr>
        <w:tabs>
          <w:tab w:val="left" w:pos="312"/>
        </w:tabs>
        <w:ind w:left="0" w:firstLine="0"/>
        <w:textAlignment w:val="baseline"/>
      </w:pPr>
    </w:lvl>
    <w:lvl w:ilvl="8" w:tentative="0">
      <w:start w:val="1"/>
      <w:numFmt w:val="decimal"/>
      <w:lvlText w:val="%1.%2.%3.%4.%5.%6.%7.%8.%9"/>
      <w:lvlJc w:val="left"/>
      <w:pPr>
        <w:tabs>
          <w:tab w:val="left" w:pos="312"/>
        </w:tabs>
        <w:ind w:left="0" w:firstLine="0"/>
        <w:textAlignment w:val="baseline"/>
      </w:pPr>
    </w:lvl>
  </w:abstractNum>
  <w:abstractNum w:abstractNumId="3">
    <w:nsid w:val="E6DD8D23"/>
    <w:multiLevelType w:val="singleLevel"/>
    <w:tmpl w:val="E6DD8D23"/>
    <w:lvl w:ilvl="0" w:tentative="0">
      <w:start w:val="1"/>
      <w:numFmt w:val="chineseCounting"/>
      <w:suff w:val="nothing"/>
      <w:lvlText w:val="%1、"/>
      <w:lvlJc w:val="left"/>
      <w:pPr>
        <w:textAlignment w:val="baseline"/>
      </w:pPr>
    </w:lvl>
  </w:abstractNum>
  <w:abstractNum w:abstractNumId="4">
    <w:nsid w:val="155E6A8F"/>
    <w:multiLevelType w:val="multilevel"/>
    <w:tmpl w:val="155E6A8F"/>
    <w:lvl w:ilvl="0" w:tentative="0">
      <w:start w:val="1"/>
      <w:numFmt w:val="decimal"/>
      <w:lvlText w:val="（%1）"/>
      <w:lvlJc w:val="left"/>
      <w:pPr>
        <w:tabs>
          <w:tab w:val="left" w:pos="1571"/>
        </w:tabs>
        <w:ind w:left="1571" w:hanging="720"/>
        <w:textAlignment w:val="baseline"/>
      </w:pPr>
      <w:rPr>
        <w:rFonts w:ascii="仿宋_GB2312" w:hAnsi="宋体" w:eastAsia="仿宋_GB2312"/>
      </w:rPr>
    </w:lvl>
    <w:lvl w:ilvl="1" w:tentative="0">
      <w:start w:val="1"/>
      <w:numFmt w:val="lowerLetter"/>
      <w:lvlText w:val="%1)"/>
      <w:lvlJc w:val="left"/>
      <w:pPr>
        <w:tabs>
          <w:tab w:val="left" w:pos="1739"/>
        </w:tabs>
        <w:ind w:left="1739" w:hanging="420"/>
        <w:textAlignment w:val="baseline"/>
      </w:pPr>
    </w:lvl>
    <w:lvl w:ilvl="2" w:tentative="0">
      <w:start w:val="1"/>
      <w:numFmt w:val="lowerRoman"/>
      <w:lvlText w:val="%1."/>
      <w:lvlJc w:val="right"/>
      <w:pPr>
        <w:tabs>
          <w:tab w:val="left" w:pos="2159"/>
        </w:tabs>
        <w:ind w:left="2159" w:hanging="420"/>
        <w:textAlignment w:val="baseline"/>
      </w:pPr>
    </w:lvl>
    <w:lvl w:ilvl="3" w:tentative="0">
      <w:start w:val="1"/>
      <w:numFmt w:val="decimal"/>
      <w:lvlText w:val="%1."/>
      <w:lvlJc w:val="left"/>
      <w:pPr>
        <w:tabs>
          <w:tab w:val="left" w:pos="2579"/>
        </w:tabs>
        <w:ind w:left="2579" w:hanging="420"/>
        <w:textAlignment w:val="baseline"/>
      </w:pPr>
    </w:lvl>
    <w:lvl w:ilvl="4" w:tentative="0">
      <w:start w:val="1"/>
      <w:numFmt w:val="lowerLetter"/>
      <w:lvlText w:val="%1)"/>
      <w:lvlJc w:val="left"/>
      <w:pPr>
        <w:tabs>
          <w:tab w:val="left" w:pos="2999"/>
        </w:tabs>
        <w:ind w:left="2999" w:hanging="420"/>
        <w:textAlignment w:val="baseline"/>
      </w:pPr>
    </w:lvl>
    <w:lvl w:ilvl="5" w:tentative="0">
      <w:start w:val="1"/>
      <w:numFmt w:val="lowerRoman"/>
      <w:lvlText w:val="%1."/>
      <w:lvlJc w:val="right"/>
      <w:pPr>
        <w:tabs>
          <w:tab w:val="left" w:pos="3419"/>
        </w:tabs>
        <w:ind w:left="3419" w:hanging="420"/>
        <w:textAlignment w:val="baseline"/>
      </w:pPr>
    </w:lvl>
    <w:lvl w:ilvl="6" w:tentative="0">
      <w:start w:val="1"/>
      <w:numFmt w:val="decimal"/>
      <w:lvlText w:val="%1."/>
      <w:lvlJc w:val="left"/>
      <w:pPr>
        <w:tabs>
          <w:tab w:val="left" w:pos="3839"/>
        </w:tabs>
        <w:ind w:left="3839" w:hanging="420"/>
        <w:textAlignment w:val="baseline"/>
      </w:pPr>
    </w:lvl>
    <w:lvl w:ilvl="7" w:tentative="0">
      <w:start w:val="1"/>
      <w:numFmt w:val="lowerLetter"/>
      <w:lvlText w:val="%1)"/>
      <w:lvlJc w:val="left"/>
      <w:pPr>
        <w:tabs>
          <w:tab w:val="left" w:pos="4259"/>
        </w:tabs>
        <w:ind w:left="4259" w:hanging="420"/>
        <w:textAlignment w:val="baseline"/>
      </w:pPr>
    </w:lvl>
    <w:lvl w:ilvl="8" w:tentative="0">
      <w:start w:val="1"/>
      <w:numFmt w:val="lowerRoman"/>
      <w:lvlText w:val="%1."/>
      <w:lvlJc w:val="right"/>
      <w:pPr>
        <w:tabs>
          <w:tab w:val="left" w:pos="4679"/>
        </w:tabs>
        <w:ind w:left="4679" w:hanging="420"/>
        <w:textAlignment w:val="baseline"/>
      </w:pPr>
    </w:lvl>
  </w:abstractNum>
  <w:abstractNum w:abstractNumId="5">
    <w:nsid w:val="25E9131D"/>
    <w:multiLevelType w:val="multilevel"/>
    <w:tmpl w:val="25E9131D"/>
    <w:lvl w:ilvl="0" w:tentative="0">
      <w:start w:val="1"/>
      <w:numFmt w:val="decimal"/>
      <w:lvlText w:val="%1"/>
      <w:lvlJc w:val="left"/>
      <w:pPr>
        <w:tabs>
          <w:tab w:val="left" w:pos="900"/>
        </w:tabs>
        <w:ind w:left="900" w:hanging="900"/>
        <w:textAlignment w:val="baseline"/>
      </w:pPr>
    </w:lvl>
    <w:lvl w:ilvl="1" w:tentative="0">
      <w:start w:val="1"/>
      <w:numFmt w:val="decimal"/>
      <w:lvlText w:val="%1.%2"/>
      <w:lvlJc w:val="left"/>
      <w:pPr>
        <w:tabs>
          <w:tab w:val="left" w:pos="900"/>
        </w:tabs>
        <w:ind w:left="900" w:hanging="900"/>
        <w:textAlignment w:val="baseline"/>
      </w:pPr>
    </w:lvl>
    <w:lvl w:ilvl="2" w:tentative="0">
      <w:start w:val="1"/>
      <w:numFmt w:val="decimal"/>
      <w:lvlText w:val="%1.%2.%3"/>
      <w:lvlJc w:val="left"/>
      <w:pPr>
        <w:tabs>
          <w:tab w:val="left" w:pos="900"/>
        </w:tabs>
        <w:ind w:left="900" w:hanging="900"/>
        <w:textAlignment w:val="baseline"/>
      </w:pPr>
    </w:lvl>
    <w:lvl w:ilvl="3" w:tentative="0">
      <w:start w:val="1"/>
      <w:numFmt w:val="decimal"/>
      <w:lvlText w:val="%1.%2.%3.%4"/>
      <w:lvlJc w:val="left"/>
      <w:pPr>
        <w:tabs>
          <w:tab w:val="left" w:pos="900"/>
        </w:tabs>
        <w:ind w:left="900" w:hanging="900"/>
        <w:textAlignment w:val="baseline"/>
      </w:pPr>
    </w:lvl>
    <w:lvl w:ilvl="4" w:tentative="0">
      <w:start w:val="1"/>
      <w:numFmt w:val="decimal"/>
      <w:lvlText w:val="%1.%2.%3.%4.%5"/>
      <w:lvlJc w:val="left"/>
      <w:pPr>
        <w:tabs>
          <w:tab w:val="left" w:pos="900"/>
        </w:tabs>
        <w:ind w:left="900" w:hanging="900"/>
        <w:textAlignment w:val="baseline"/>
      </w:pPr>
    </w:lvl>
    <w:lvl w:ilvl="5" w:tentative="0">
      <w:start w:val="1"/>
      <w:numFmt w:val="decimal"/>
      <w:lvlText w:val="%1.%2.%3.%4.%5.%6"/>
      <w:lvlJc w:val="left"/>
      <w:pPr>
        <w:tabs>
          <w:tab w:val="left" w:pos="900"/>
        </w:tabs>
        <w:ind w:left="900" w:hanging="900"/>
        <w:textAlignment w:val="baseline"/>
      </w:pPr>
    </w:lvl>
    <w:lvl w:ilvl="6" w:tentative="0">
      <w:start w:val="1"/>
      <w:numFmt w:val="decimal"/>
      <w:lvlText w:val="%1.%2.%3.%4.%5.%6.%7"/>
      <w:lvlJc w:val="left"/>
      <w:pPr>
        <w:tabs>
          <w:tab w:val="left" w:pos="900"/>
        </w:tabs>
        <w:ind w:left="900" w:hanging="900"/>
        <w:textAlignment w:val="baseline"/>
      </w:pPr>
    </w:lvl>
    <w:lvl w:ilvl="7" w:tentative="0">
      <w:start w:val="1"/>
      <w:numFmt w:val="decimal"/>
      <w:lvlText w:val="%1.%2.%3.%4.%5.%6.%7.%8"/>
      <w:lvlJc w:val="left"/>
      <w:pPr>
        <w:tabs>
          <w:tab w:val="left" w:pos="900"/>
        </w:tabs>
        <w:ind w:left="900" w:hanging="900"/>
        <w:textAlignment w:val="baseline"/>
      </w:pPr>
    </w:lvl>
    <w:lvl w:ilvl="8" w:tentative="0">
      <w:start w:val="1"/>
      <w:numFmt w:val="decimal"/>
      <w:lvlText w:val="%1.%2.%3.%4.%5.%6.%7.%8.%9"/>
      <w:lvlJc w:val="left"/>
      <w:pPr>
        <w:tabs>
          <w:tab w:val="left" w:pos="900"/>
        </w:tabs>
        <w:ind w:left="900" w:hanging="900"/>
        <w:textAlignment w:val="baseline"/>
      </w:pPr>
    </w:lvl>
  </w:abstractNum>
  <w:abstractNum w:abstractNumId="6">
    <w:nsid w:val="44DD0909"/>
    <w:multiLevelType w:val="multilevel"/>
    <w:tmpl w:val="44DD0909"/>
    <w:lvl w:ilvl="0" w:tentative="0">
      <w:start w:val="1"/>
      <w:numFmt w:val="decimal"/>
      <w:lvlText w:val="%1)"/>
      <w:lvlJc w:val="left"/>
      <w:pPr>
        <w:ind w:left="420" w:hanging="420"/>
        <w:textAlignment w:val="baseline"/>
      </w:pPr>
    </w:lvl>
    <w:lvl w:ilvl="1" w:tentative="0">
      <w:start w:val="1"/>
      <w:numFmt w:val="decimal"/>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7">
    <w:nsid w:val="59D953CC"/>
    <w:multiLevelType w:val="singleLevel"/>
    <w:tmpl w:val="59D953CC"/>
    <w:lvl w:ilvl="0" w:tentative="0">
      <w:start w:val="6"/>
      <w:numFmt w:val="chineseCounting"/>
      <w:suff w:val="nothing"/>
      <w:lvlText w:val="%1、"/>
      <w:lvlJc w:val="left"/>
      <w:pPr>
        <w:textAlignment w:val="baseline"/>
      </w:pPr>
    </w:lvl>
  </w:abstractNum>
  <w:abstractNum w:abstractNumId="8">
    <w:nsid w:val="66E4770E"/>
    <w:multiLevelType w:val="multilevel"/>
    <w:tmpl w:val="66E4770E"/>
    <w:lvl w:ilvl="0" w:tentative="0">
      <w:start w:val="1"/>
      <w:numFmt w:val="decimal"/>
      <w:lvlText w:val="第%1章"/>
      <w:lvlJc w:val="left"/>
      <w:pPr>
        <w:tabs>
          <w:tab w:val="left" w:pos="1680"/>
        </w:tabs>
        <w:ind w:left="1680" w:hanging="1140"/>
        <w:textAlignment w:val="baseline"/>
      </w:pPr>
    </w:lvl>
    <w:lvl w:ilvl="1" w:tentative="0">
      <w:start w:val="1"/>
      <w:numFmt w:val="lowerLetter"/>
      <w:lvlText w:val="%1)"/>
      <w:lvlJc w:val="left"/>
      <w:pPr>
        <w:tabs>
          <w:tab w:val="left" w:pos="1380"/>
        </w:tabs>
        <w:ind w:left="1380" w:hanging="420"/>
        <w:textAlignment w:val="baseline"/>
      </w:pPr>
    </w:lvl>
    <w:lvl w:ilvl="2" w:tentative="0">
      <w:start w:val="1"/>
      <w:numFmt w:val="lowerRoman"/>
      <w:lvlText w:val="%1."/>
      <w:lvlJc w:val="right"/>
      <w:pPr>
        <w:tabs>
          <w:tab w:val="left" w:pos="1800"/>
        </w:tabs>
        <w:ind w:left="1800" w:hanging="420"/>
        <w:textAlignment w:val="baseline"/>
      </w:pPr>
    </w:lvl>
    <w:lvl w:ilvl="3" w:tentative="0">
      <w:start w:val="1"/>
      <w:numFmt w:val="decimal"/>
      <w:lvlText w:val="%1."/>
      <w:lvlJc w:val="left"/>
      <w:pPr>
        <w:tabs>
          <w:tab w:val="left" w:pos="2220"/>
        </w:tabs>
        <w:ind w:left="2220" w:hanging="420"/>
        <w:textAlignment w:val="baseline"/>
      </w:pPr>
    </w:lvl>
    <w:lvl w:ilvl="4" w:tentative="0">
      <w:start w:val="1"/>
      <w:numFmt w:val="lowerLetter"/>
      <w:lvlText w:val="%1)"/>
      <w:lvlJc w:val="left"/>
      <w:pPr>
        <w:tabs>
          <w:tab w:val="left" w:pos="2640"/>
        </w:tabs>
        <w:ind w:left="2640" w:hanging="420"/>
        <w:textAlignment w:val="baseline"/>
      </w:pPr>
    </w:lvl>
    <w:lvl w:ilvl="5" w:tentative="0">
      <w:start w:val="1"/>
      <w:numFmt w:val="lowerRoman"/>
      <w:lvlText w:val="%1."/>
      <w:lvlJc w:val="right"/>
      <w:pPr>
        <w:tabs>
          <w:tab w:val="left" w:pos="3060"/>
        </w:tabs>
        <w:ind w:left="3060" w:hanging="420"/>
        <w:textAlignment w:val="baseline"/>
      </w:pPr>
    </w:lvl>
    <w:lvl w:ilvl="6" w:tentative="0">
      <w:start w:val="1"/>
      <w:numFmt w:val="decimal"/>
      <w:lvlText w:val="%1."/>
      <w:lvlJc w:val="left"/>
      <w:pPr>
        <w:tabs>
          <w:tab w:val="left" w:pos="3480"/>
        </w:tabs>
        <w:ind w:left="3480" w:hanging="420"/>
        <w:textAlignment w:val="baseline"/>
      </w:pPr>
    </w:lvl>
    <w:lvl w:ilvl="7" w:tentative="0">
      <w:start w:val="1"/>
      <w:numFmt w:val="lowerLetter"/>
      <w:lvlText w:val="%1)"/>
      <w:lvlJc w:val="left"/>
      <w:pPr>
        <w:tabs>
          <w:tab w:val="left" w:pos="3900"/>
        </w:tabs>
        <w:ind w:left="3900" w:hanging="420"/>
        <w:textAlignment w:val="baseline"/>
      </w:pPr>
    </w:lvl>
    <w:lvl w:ilvl="8" w:tentative="0">
      <w:start w:val="1"/>
      <w:numFmt w:val="lowerRoman"/>
      <w:lvlText w:val="%1."/>
      <w:lvlJc w:val="right"/>
      <w:pPr>
        <w:tabs>
          <w:tab w:val="left" w:pos="4320"/>
        </w:tabs>
        <w:ind w:left="4320" w:hanging="420"/>
        <w:textAlignment w:val="baseline"/>
      </w:pPr>
    </w:lvl>
  </w:abstractNum>
  <w:num w:numId="1">
    <w:abstractNumId w:val="5"/>
  </w:num>
  <w:num w:numId="2">
    <w:abstractNumId w:val="8"/>
  </w:num>
  <w:num w:numId="3">
    <w:abstractNumId w:val="2"/>
  </w:num>
  <w:num w:numId="4">
    <w:abstractNumId w:val="4"/>
  </w:num>
  <w:num w:numId="5">
    <w:abstractNumId w:val="1"/>
  </w:num>
  <w:num w:numId="6">
    <w:abstractNumId w:val="3"/>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M2RkNDFlNGU5ZjNhYTBmNzJhZDdmMjQwNGViYzAifQ=="/>
    <w:docVar w:name="KSO_WPS_MARK_KEY" w:val="19478e69-9f22-43f2-8503-b5b1be6ee096"/>
  </w:docVars>
  <w:rsids>
    <w:rsidRoot w:val="7FA51748"/>
    <w:rsid w:val="00056778"/>
    <w:rsid w:val="000576B1"/>
    <w:rsid w:val="000643F2"/>
    <w:rsid w:val="00065C4E"/>
    <w:rsid w:val="00066EBC"/>
    <w:rsid w:val="00086AC5"/>
    <w:rsid w:val="001022A7"/>
    <w:rsid w:val="001457B5"/>
    <w:rsid w:val="0017537D"/>
    <w:rsid w:val="00182434"/>
    <w:rsid w:val="002350E1"/>
    <w:rsid w:val="00241E6B"/>
    <w:rsid w:val="0025477F"/>
    <w:rsid w:val="002548AE"/>
    <w:rsid w:val="0027695C"/>
    <w:rsid w:val="00286DD1"/>
    <w:rsid w:val="00290F6F"/>
    <w:rsid w:val="00293E68"/>
    <w:rsid w:val="002A1E4F"/>
    <w:rsid w:val="002A7C5D"/>
    <w:rsid w:val="0032183F"/>
    <w:rsid w:val="00340960"/>
    <w:rsid w:val="003533E2"/>
    <w:rsid w:val="0037549D"/>
    <w:rsid w:val="003D1E13"/>
    <w:rsid w:val="003E045C"/>
    <w:rsid w:val="00402C55"/>
    <w:rsid w:val="00403D94"/>
    <w:rsid w:val="00420D1A"/>
    <w:rsid w:val="00422485"/>
    <w:rsid w:val="0043302E"/>
    <w:rsid w:val="0045766C"/>
    <w:rsid w:val="00474CF6"/>
    <w:rsid w:val="00490865"/>
    <w:rsid w:val="004B362F"/>
    <w:rsid w:val="00507681"/>
    <w:rsid w:val="00547EF8"/>
    <w:rsid w:val="00563BB7"/>
    <w:rsid w:val="005A0602"/>
    <w:rsid w:val="005C3B05"/>
    <w:rsid w:val="005D5365"/>
    <w:rsid w:val="005E3CA7"/>
    <w:rsid w:val="00607022"/>
    <w:rsid w:val="00614585"/>
    <w:rsid w:val="00627E6B"/>
    <w:rsid w:val="0067363B"/>
    <w:rsid w:val="006944CF"/>
    <w:rsid w:val="006B642C"/>
    <w:rsid w:val="006D5D79"/>
    <w:rsid w:val="006F09D4"/>
    <w:rsid w:val="007313F5"/>
    <w:rsid w:val="00751D03"/>
    <w:rsid w:val="007700E8"/>
    <w:rsid w:val="00771D84"/>
    <w:rsid w:val="007754DA"/>
    <w:rsid w:val="0078768E"/>
    <w:rsid w:val="0079472F"/>
    <w:rsid w:val="007A537B"/>
    <w:rsid w:val="007A6E43"/>
    <w:rsid w:val="007B394D"/>
    <w:rsid w:val="007B4640"/>
    <w:rsid w:val="007D5435"/>
    <w:rsid w:val="007F5979"/>
    <w:rsid w:val="00807E25"/>
    <w:rsid w:val="008132FD"/>
    <w:rsid w:val="00817366"/>
    <w:rsid w:val="008206B5"/>
    <w:rsid w:val="00823F93"/>
    <w:rsid w:val="0083353A"/>
    <w:rsid w:val="0085081A"/>
    <w:rsid w:val="00857BBF"/>
    <w:rsid w:val="008B43D3"/>
    <w:rsid w:val="008C4412"/>
    <w:rsid w:val="008E3D72"/>
    <w:rsid w:val="00917236"/>
    <w:rsid w:val="0091723E"/>
    <w:rsid w:val="00927E88"/>
    <w:rsid w:val="00957DF9"/>
    <w:rsid w:val="00980FD2"/>
    <w:rsid w:val="0099166E"/>
    <w:rsid w:val="009B4408"/>
    <w:rsid w:val="009C25E5"/>
    <w:rsid w:val="009D7F47"/>
    <w:rsid w:val="009F08E4"/>
    <w:rsid w:val="00A179F9"/>
    <w:rsid w:val="00A24A7D"/>
    <w:rsid w:val="00A30B0D"/>
    <w:rsid w:val="00A51E10"/>
    <w:rsid w:val="00A61C3F"/>
    <w:rsid w:val="00A77956"/>
    <w:rsid w:val="00A82BBF"/>
    <w:rsid w:val="00A951E2"/>
    <w:rsid w:val="00AA4AB9"/>
    <w:rsid w:val="00AB3230"/>
    <w:rsid w:val="00AE14C2"/>
    <w:rsid w:val="00AE30B0"/>
    <w:rsid w:val="00AF0473"/>
    <w:rsid w:val="00AF216A"/>
    <w:rsid w:val="00B40D67"/>
    <w:rsid w:val="00B65102"/>
    <w:rsid w:val="00B72083"/>
    <w:rsid w:val="00B73345"/>
    <w:rsid w:val="00B90902"/>
    <w:rsid w:val="00BA3BFB"/>
    <w:rsid w:val="00BB10A5"/>
    <w:rsid w:val="00BB66FE"/>
    <w:rsid w:val="00C175D3"/>
    <w:rsid w:val="00C70D08"/>
    <w:rsid w:val="00CD3D2F"/>
    <w:rsid w:val="00D07667"/>
    <w:rsid w:val="00D37585"/>
    <w:rsid w:val="00D42B17"/>
    <w:rsid w:val="00D64B65"/>
    <w:rsid w:val="00D954CF"/>
    <w:rsid w:val="00DB462B"/>
    <w:rsid w:val="00DD47AE"/>
    <w:rsid w:val="00DD6C71"/>
    <w:rsid w:val="00E36900"/>
    <w:rsid w:val="00E427F6"/>
    <w:rsid w:val="00E459C8"/>
    <w:rsid w:val="00E46AD2"/>
    <w:rsid w:val="00E53696"/>
    <w:rsid w:val="00E668A5"/>
    <w:rsid w:val="00E93602"/>
    <w:rsid w:val="00E978FC"/>
    <w:rsid w:val="00EA70C0"/>
    <w:rsid w:val="00EC358E"/>
    <w:rsid w:val="00EE097E"/>
    <w:rsid w:val="00EE5E69"/>
    <w:rsid w:val="00F06193"/>
    <w:rsid w:val="00F147EA"/>
    <w:rsid w:val="00F536F9"/>
    <w:rsid w:val="00F662D0"/>
    <w:rsid w:val="00F717A8"/>
    <w:rsid w:val="00F92497"/>
    <w:rsid w:val="00FA665B"/>
    <w:rsid w:val="00FD053A"/>
    <w:rsid w:val="01457570"/>
    <w:rsid w:val="01672E07"/>
    <w:rsid w:val="016A347B"/>
    <w:rsid w:val="01913FB9"/>
    <w:rsid w:val="019B1886"/>
    <w:rsid w:val="01BB5A85"/>
    <w:rsid w:val="01CC5EE4"/>
    <w:rsid w:val="01D95F0B"/>
    <w:rsid w:val="02002ACB"/>
    <w:rsid w:val="0261662C"/>
    <w:rsid w:val="027E06A3"/>
    <w:rsid w:val="02A17274"/>
    <w:rsid w:val="02AD361F"/>
    <w:rsid w:val="02BA21E0"/>
    <w:rsid w:val="02ED6112"/>
    <w:rsid w:val="0313544C"/>
    <w:rsid w:val="03177C81"/>
    <w:rsid w:val="032A1114"/>
    <w:rsid w:val="033742F0"/>
    <w:rsid w:val="034D6BB0"/>
    <w:rsid w:val="03AF786B"/>
    <w:rsid w:val="03C07382"/>
    <w:rsid w:val="03F139E0"/>
    <w:rsid w:val="03F1578E"/>
    <w:rsid w:val="03F4702C"/>
    <w:rsid w:val="04020397"/>
    <w:rsid w:val="04071455"/>
    <w:rsid w:val="040F20B8"/>
    <w:rsid w:val="041651F4"/>
    <w:rsid w:val="04273E18"/>
    <w:rsid w:val="04830723"/>
    <w:rsid w:val="04CD130E"/>
    <w:rsid w:val="04F574FF"/>
    <w:rsid w:val="050339CA"/>
    <w:rsid w:val="051536FE"/>
    <w:rsid w:val="05273C06"/>
    <w:rsid w:val="05681A7F"/>
    <w:rsid w:val="05706B86"/>
    <w:rsid w:val="05A25746"/>
    <w:rsid w:val="05B253F0"/>
    <w:rsid w:val="05DE39E0"/>
    <w:rsid w:val="05E03D0C"/>
    <w:rsid w:val="05F90536"/>
    <w:rsid w:val="06222576"/>
    <w:rsid w:val="065F7326"/>
    <w:rsid w:val="06662200"/>
    <w:rsid w:val="06A92350"/>
    <w:rsid w:val="06E72E78"/>
    <w:rsid w:val="070F114F"/>
    <w:rsid w:val="071C5217"/>
    <w:rsid w:val="073F2CB4"/>
    <w:rsid w:val="07854B6B"/>
    <w:rsid w:val="07BB67DE"/>
    <w:rsid w:val="07E13D6B"/>
    <w:rsid w:val="07EA4488"/>
    <w:rsid w:val="08042087"/>
    <w:rsid w:val="080737D2"/>
    <w:rsid w:val="08123F24"/>
    <w:rsid w:val="08197A4B"/>
    <w:rsid w:val="082A4CBD"/>
    <w:rsid w:val="086E3851"/>
    <w:rsid w:val="087D7F38"/>
    <w:rsid w:val="089C4C8F"/>
    <w:rsid w:val="08A059D4"/>
    <w:rsid w:val="08BF22FE"/>
    <w:rsid w:val="08DC6C50"/>
    <w:rsid w:val="08F16230"/>
    <w:rsid w:val="090D1343"/>
    <w:rsid w:val="091A12E3"/>
    <w:rsid w:val="092B4317"/>
    <w:rsid w:val="093A1985"/>
    <w:rsid w:val="093C56FD"/>
    <w:rsid w:val="09442803"/>
    <w:rsid w:val="095E0350"/>
    <w:rsid w:val="098D41AA"/>
    <w:rsid w:val="099E3CC2"/>
    <w:rsid w:val="09A80A8D"/>
    <w:rsid w:val="0A285C81"/>
    <w:rsid w:val="0A310B8B"/>
    <w:rsid w:val="0ABB08A3"/>
    <w:rsid w:val="0AC721E6"/>
    <w:rsid w:val="0AC73B8C"/>
    <w:rsid w:val="0AF20529"/>
    <w:rsid w:val="0B100BEF"/>
    <w:rsid w:val="0B36617C"/>
    <w:rsid w:val="0B3F3282"/>
    <w:rsid w:val="0B5A630E"/>
    <w:rsid w:val="0B6E353E"/>
    <w:rsid w:val="0B714CCE"/>
    <w:rsid w:val="0B9A2BAF"/>
    <w:rsid w:val="0BA92DF2"/>
    <w:rsid w:val="0BCB0FBA"/>
    <w:rsid w:val="0C076962"/>
    <w:rsid w:val="0C1110C3"/>
    <w:rsid w:val="0C2030B4"/>
    <w:rsid w:val="0C41302A"/>
    <w:rsid w:val="0C474AE5"/>
    <w:rsid w:val="0C4A6383"/>
    <w:rsid w:val="0C590374"/>
    <w:rsid w:val="0C5C1C12"/>
    <w:rsid w:val="0C8C24F7"/>
    <w:rsid w:val="0C91395E"/>
    <w:rsid w:val="0CBF2485"/>
    <w:rsid w:val="0CCA74C4"/>
    <w:rsid w:val="0D182316"/>
    <w:rsid w:val="0D2210AE"/>
    <w:rsid w:val="0D38267F"/>
    <w:rsid w:val="0D8B27AF"/>
    <w:rsid w:val="0E032E75"/>
    <w:rsid w:val="0E6D0107"/>
    <w:rsid w:val="0E8033D3"/>
    <w:rsid w:val="0E855450"/>
    <w:rsid w:val="0E9E6512"/>
    <w:rsid w:val="0EA71F0A"/>
    <w:rsid w:val="0EA87391"/>
    <w:rsid w:val="0EAD2BF9"/>
    <w:rsid w:val="0EC10BC1"/>
    <w:rsid w:val="0ECE7B96"/>
    <w:rsid w:val="0EDB32C2"/>
    <w:rsid w:val="0EE9189A"/>
    <w:rsid w:val="0EEE58F6"/>
    <w:rsid w:val="0EF24286"/>
    <w:rsid w:val="0F102FA9"/>
    <w:rsid w:val="0F1A688C"/>
    <w:rsid w:val="0F814668"/>
    <w:rsid w:val="0F9F3559"/>
    <w:rsid w:val="0FA933C0"/>
    <w:rsid w:val="0FB27CFD"/>
    <w:rsid w:val="0FBF0E36"/>
    <w:rsid w:val="0FF04C79"/>
    <w:rsid w:val="0FF7412C"/>
    <w:rsid w:val="10061C28"/>
    <w:rsid w:val="102D5D9F"/>
    <w:rsid w:val="102E1B18"/>
    <w:rsid w:val="105A46BB"/>
    <w:rsid w:val="10613C9B"/>
    <w:rsid w:val="106D2640"/>
    <w:rsid w:val="10765998"/>
    <w:rsid w:val="10A5627E"/>
    <w:rsid w:val="10B244F7"/>
    <w:rsid w:val="10B967BF"/>
    <w:rsid w:val="10DA102E"/>
    <w:rsid w:val="10E072B6"/>
    <w:rsid w:val="110A7E8F"/>
    <w:rsid w:val="11537A88"/>
    <w:rsid w:val="11626401"/>
    <w:rsid w:val="116A4DD1"/>
    <w:rsid w:val="11A622AD"/>
    <w:rsid w:val="11E3705D"/>
    <w:rsid w:val="11E84674"/>
    <w:rsid w:val="11FF19BD"/>
    <w:rsid w:val="120E39AF"/>
    <w:rsid w:val="123B28DE"/>
    <w:rsid w:val="12C21A6F"/>
    <w:rsid w:val="12D70244"/>
    <w:rsid w:val="12EB53B3"/>
    <w:rsid w:val="130D3C66"/>
    <w:rsid w:val="13394A5B"/>
    <w:rsid w:val="133F61FB"/>
    <w:rsid w:val="13581385"/>
    <w:rsid w:val="135E44C2"/>
    <w:rsid w:val="13A66595"/>
    <w:rsid w:val="13C24A51"/>
    <w:rsid w:val="13E56A03"/>
    <w:rsid w:val="14092680"/>
    <w:rsid w:val="14290F74"/>
    <w:rsid w:val="14496F20"/>
    <w:rsid w:val="144E5F5A"/>
    <w:rsid w:val="14593607"/>
    <w:rsid w:val="14627FE2"/>
    <w:rsid w:val="148B7538"/>
    <w:rsid w:val="14904B4F"/>
    <w:rsid w:val="149731AD"/>
    <w:rsid w:val="14B475C3"/>
    <w:rsid w:val="14C50C9C"/>
    <w:rsid w:val="14C84947"/>
    <w:rsid w:val="14DE3B0C"/>
    <w:rsid w:val="14E12714"/>
    <w:rsid w:val="14E76E65"/>
    <w:rsid w:val="14F8650C"/>
    <w:rsid w:val="14F90946"/>
    <w:rsid w:val="15115C90"/>
    <w:rsid w:val="15455939"/>
    <w:rsid w:val="155F1088"/>
    <w:rsid w:val="157306F8"/>
    <w:rsid w:val="157D3325"/>
    <w:rsid w:val="158346B4"/>
    <w:rsid w:val="1594241D"/>
    <w:rsid w:val="15966195"/>
    <w:rsid w:val="15A07014"/>
    <w:rsid w:val="15A22D8C"/>
    <w:rsid w:val="15DE6568"/>
    <w:rsid w:val="15E038B4"/>
    <w:rsid w:val="15F5110D"/>
    <w:rsid w:val="16027CCE"/>
    <w:rsid w:val="16135A37"/>
    <w:rsid w:val="161A0B74"/>
    <w:rsid w:val="1663076D"/>
    <w:rsid w:val="167E14CE"/>
    <w:rsid w:val="168129A1"/>
    <w:rsid w:val="16F5338F"/>
    <w:rsid w:val="17183D89"/>
    <w:rsid w:val="171B54CB"/>
    <w:rsid w:val="172A128B"/>
    <w:rsid w:val="174762AE"/>
    <w:rsid w:val="177D5D75"/>
    <w:rsid w:val="179B7A92"/>
    <w:rsid w:val="17B46DA6"/>
    <w:rsid w:val="17C3523B"/>
    <w:rsid w:val="17C76AD9"/>
    <w:rsid w:val="17FA7064"/>
    <w:rsid w:val="181A12FF"/>
    <w:rsid w:val="181F06C4"/>
    <w:rsid w:val="18664544"/>
    <w:rsid w:val="186B1B5B"/>
    <w:rsid w:val="189A41EE"/>
    <w:rsid w:val="19185113"/>
    <w:rsid w:val="19355CC5"/>
    <w:rsid w:val="196601DF"/>
    <w:rsid w:val="197113F3"/>
    <w:rsid w:val="19A5109C"/>
    <w:rsid w:val="19AA66B3"/>
    <w:rsid w:val="19AC5F87"/>
    <w:rsid w:val="19D454DE"/>
    <w:rsid w:val="19E82D37"/>
    <w:rsid w:val="19EE47F1"/>
    <w:rsid w:val="1A815666"/>
    <w:rsid w:val="1AD02149"/>
    <w:rsid w:val="1AD66850"/>
    <w:rsid w:val="1AD734D7"/>
    <w:rsid w:val="1B7900EB"/>
    <w:rsid w:val="1B7927E1"/>
    <w:rsid w:val="1B9273FE"/>
    <w:rsid w:val="1BA07D6D"/>
    <w:rsid w:val="1BF754B3"/>
    <w:rsid w:val="1C033E58"/>
    <w:rsid w:val="1C617CDD"/>
    <w:rsid w:val="1C627CB7"/>
    <w:rsid w:val="1C7E2B99"/>
    <w:rsid w:val="1C7F5C76"/>
    <w:rsid w:val="1C880A5C"/>
    <w:rsid w:val="1C8B27CB"/>
    <w:rsid w:val="1C934C88"/>
    <w:rsid w:val="1C95325D"/>
    <w:rsid w:val="1CAC629E"/>
    <w:rsid w:val="1D0C4F8F"/>
    <w:rsid w:val="1D266050"/>
    <w:rsid w:val="1D3C5874"/>
    <w:rsid w:val="1D4110DC"/>
    <w:rsid w:val="1D876420"/>
    <w:rsid w:val="1D90796E"/>
    <w:rsid w:val="1DCC4072"/>
    <w:rsid w:val="1E236A34"/>
    <w:rsid w:val="1E426EBA"/>
    <w:rsid w:val="1E4531C0"/>
    <w:rsid w:val="1E636E30"/>
    <w:rsid w:val="1E676047"/>
    <w:rsid w:val="1E9D2342"/>
    <w:rsid w:val="1EBC17DE"/>
    <w:rsid w:val="1EDF0BAD"/>
    <w:rsid w:val="1EE6018D"/>
    <w:rsid w:val="1EF65EF6"/>
    <w:rsid w:val="1F244811"/>
    <w:rsid w:val="1F264A2D"/>
    <w:rsid w:val="1F3132C5"/>
    <w:rsid w:val="1F5C21FD"/>
    <w:rsid w:val="1F7C289F"/>
    <w:rsid w:val="1F861028"/>
    <w:rsid w:val="1F9279CD"/>
    <w:rsid w:val="1F9E45C4"/>
    <w:rsid w:val="1FDC4ACE"/>
    <w:rsid w:val="1FFE32B4"/>
    <w:rsid w:val="206E5CA6"/>
    <w:rsid w:val="20A21E92"/>
    <w:rsid w:val="20AA343C"/>
    <w:rsid w:val="20C92CE4"/>
    <w:rsid w:val="20DA787E"/>
    <w:rsid w:val="20E546AF"/>
    <w:rsid w:val="20F756A2"/>
    <w:rsid w:val="212B00D9"/>
    <w:rsid w:val="21354E15"/>
    <w:rsid w:val="2149055F"/>
    <w:rsid w:val="214E1EDC"/>
    <w:rsid w:val="21635AC5"/>
    <w:rsid w:val="216E6218"/>
    <w:rsid w:val="21AC56AA"/>
    <w:rsid w:val="21D7200F"/>
    <w:rsid w:val="21DC5877"/>
    <w:rsid w:val="22066450"/>
    <w:rsid w:val="228201CD"/>
    <w:rsid w:val="230C5CE8"/>
    <w:rsid w:val="231632C0"/>
    <w:rsid w:val="233624ED"/>
    <w:rsid w:val="236773C3"/>
    <w:rsid w:val="23810484"/>
    <w:rsid w:val="238D507B"/>
    <w:rsid w:val="23AE0B4E"/>
    <w:rsid w:val="23BB36C9"/>
    <w:rsid w:val="23EB7FF4"/>
    <w:rsid w:val="23FC2504"/>
    <w:rsid w:val="240510B5"/>
    <w:rsid w:val="241035B6"/>
    <w:rsid w:val="249C4E4A"/>
    <w:rsid w:val="24A501A2"/>
    <w:rsid w:val="24A51F50"/>
    <w:rsid w:val="24BE28DE"/>
    <w:rsid w:val="24EB1949"/>
    <w:rsid w:val="25154E9B"/>
    <w:rsid w:val="25186BC6"/>
    <w:rsid w:val="25254EE7"/>
    <w:rsid w:val="255319AC"/>
    <w:rsid w:val="257E711C"/>
    <w:rsid w:val="261F21D6"/>
    <w:rsid w:val="26413EFB"/>
    <w:rsid w:val="26437C73"/>
    <w:rsid w:val="266876DA"/>
    <w:rsid w:val="268169ED"/>
    <w:rsid w:val="26B66697"/>
    <w:rsid w:val="26C568DA"/>
    <w:rsid w:val="26D42324"/>
    <w:rsid w:val="26E31456"/>
    <w:rsid w:val="26F472C2"/>
    <w:rsid w:val="270E3C60"/>
    <w:rsid w:val="271565FB"/>
    <w:rsid w:val="27276414"/>
    <w:rsid w:val="272D23FD"/>
    <w:rsid w:val="2778394C"/>
    <w:rsid w:val="277F117F"/>
    <w:rsid w:val="27B16E5E"/>
    <w:rsid w:val="27B64475"/>
    <w:rsid w:val="27C2106B"/>
    <w:rsid w:val="28155EC4"/>
    <w:rsid w:val="28357A8F"/>
    <w:rsid w:val="283E175A"/>
    <w:rsid w:val="286D0FD7"/>
    <w:rsid w:val="28722A91"/>
    <w:rsid w:val="28790B13"/>
    <w:rsid w:val="287E1436"/>
    <w:rsid w:val="287E4F92"/>
    <w:rsid w:val="288162F3"/>
    <w:rsid w:val="28924EE2"/>
    <w:rsid w:val="28A40771"/>
    <w:rsid w:val="28CD7407"/>
    <w:rsid w:val="28DA4193"/>
    <w:rsid w:val="28F2772E"/>
    <w:rsid w:val="29133276"/>
    <w:rsid w:val="29437CEA"/>
    <w:rsid w:val="29791BFE"/>
    <w:rsid w:val="299802D6"/>
    <w:rsid w:val="29A30A29"/>
    <w:rsid w:val="29BA1F88"/>
    <w:rsid w:val="29CC7F7F"/>
    <w:rsid w:val="29E74DB9"/>
    <w:rsid w:val="29FD45DD"/>
    <w:rsid w:val="2A8202D3"/>
    <w:rsid w:val="2A88659C"/>
    <w:rsid w:val="2ADF3CE2"/>
    <w:rsid w:val="2AE31A25"/>
    <w:rsid w:val="2AE65071"/>
    <w:rsid w:val="2B6C7C6C"/>
    <w:rsid w:val="2B7F799F"/>
    <w:rsid w:val="2B801021"/>
    <w:rsid w:val="2B836D64"/>
    <w:rsid w:val="2B8A7B53"/>
    <w:rsid w:val="2BE55328"/>
    <w:rsid w:val="2C130187"/>
    <w:rsid w:val="2C153E60"/>
    <w:rsid w:val="2C73502A"/>
    <w:rsid w:val="2C840FE5"/>
    <w:rsid w:val="2C9C00DD"/>
    <w:rsid w:val="2CAE7EF9"/>
    <w:rsid w:val="2CB67A59"/>
    <w:rsid w:val="2CFC5020"/>
    <w:rsid w:val="2D040CB2"/>
    <w:rsid w:val="2D077B8B"/>
    <w:rsid w:val="2D0B1F79"/>
    <w:rsid w:val="2D19172E"/>
    <w:rsid w:val="2D4A7B39"/>
    <w:rsid w:val="2DF6381D"/>
    <w:rsid w:val="2E255EB0"/>
    <w:rsid w:val="2E2E0994"/>
    <w:rsid w:val="2E67296D"/>
    <w:rsid w:val="2E9D638E"/>
    <w:rsid w:val="2EC1530F"/>
    <w:rsid w:val="2EFA558F"/>
    <w:rsid w:val="2F261EE0"/>
    <w:rsid w:val="2F416D1A"/>
    <w:rsid w:val="2F656EAC"/>
    <w:rsid w:val="2F673CF2"/>
    <w:rsid w:val="2FA40E1B"/>
    <w:rsid w:val="2FC42A39"/>
    <w:rsid w:val="2FDEC219"/>
    <w:rsid w:val="2FE83639"/>
    <w:rsid w:val="2FFD0E93"/>
    <w:rsid w:val="30534F57"/>
    <w:rsid w:val="307153DD"/>
    <w:rsid w:val="308E5F8F"/>
    <w:rsid w:val="30D8545C"/>
    <w:rsid w:val="31442AF1"/>
    <w:rsid w:val="31673FB4"/>
    <w:rsid w:val="31693826"/>
    <w:rsid w:val="317C7E4A"/>
    <w:rsid w:val="31847CE6"/>
    <w:rsid w:val="31AD2FC7"/>
    <w:rsid w:val="31B9528D"/>
    <w:rsid w:val="31D71BB7"/>
    <w:rsid w:val="31D9148B"/>
    <w:rsid w:val="32211625"/>
    <w:rsid w:val="322A618B"/>
    <w:rsid w:val="32C0264B"/>
    <w:rsid w:val="32C0403C"/>
    <w:rsid w:val="32C51A10"/>
    <w:rsid w:val="330A08E1"/>
    <w:rsid w:val="336851BD"/>
    <w:rsid w:val="338F44F8"/>
    <w:rsid w:val="33915F8D"/>
    <w:rsid w:val="33A437AC"/>
    <w:rsid w:val="33A930DF"/>
    <w:rsid w:val="33CC6306"/>
    <w:rsid w:val="33EF3C9C"/>
    <w:rsid w:val="340133F1"/>
    <w:rsid w:val="34056568"/>
    <w:rsid w:val="342D5ABF"/>
    <w:rsid w:val="34361DE0"/>
    <w:rsid w:val="34473E4C"/>
    <w:rsid w:val="34A35D81"/>
    <w:rsid w:val="34BD5094"/>
    <w:rsid w:val="35040F15"/>
    <w:rsid w:val="35066A9E"/>
    <w:rsid w:val="350902DA"/>
    <w:rsid w:val="357040BA"/>
    <w:rsid w:val="357A11D7"/>
    <w:rsid w:val="359F2D89"/>
    <w:rsid w:val="35A324DC"/>
    <w:rsid w:val="35CD7559"/>
    <w:rsid w:val="35D95EFE"/>
    <w:rsid w:val="35DC59EE"/>
    <w:rsid w:val="35E9112E"/>
    <w:rsid w:val="35F2002A"/>
    <w:rsid w:val="36140CE4"/>
    <w:rsid w:val="361C403D"/>
    <w:rsid w:val="361E7DB5"/>
    <w:rsid w:val="362A49AB"/>
    <w:rsid w:val="364C66D0"/>
    <w:rsid w:val="365437D6"/>
    <w:rsid w:val="36617CA1"/>
    <w:rsid w:val="366854D4"/>
    <w:rsid w:val="367D0F7F"/>
    <w:rsid w:val="3698148D"/>
    <w:rsid w:val="36A06A1C"/>
    <w:rsid w:val="36A24542"/>
    <w:rsid w:val="36A4174F"/>
    <w:rsid w:val="36EA7C97"/>
    <w:rsid w:val="37054D01"/>
    <w:rsid w:val="37164F30"/>
    <w:rsid w:val="371A67CE"/>
    <w:rsid w:val="373C3FAA"/>
    <w:rsid w:val="37993D91"/>
    <w:rsid w:val="37BB1111"/>
    <w:rsid w:val="37C46EC5"/>
    <w:rsid w:val="37C60704"/>
    <w:rsid w:val="37D86DCA"/>
    <w:rsid w:val="37FE6466"/>
    <w:rsid w:val="3801798E"/>
    <w:rsid w:val="38037262"/>
    <w:rsid w:val="38194CD8"/>
    <w:rsid w:val="381B0A50"/>
    <w:rsid w:val="384D672F"/>
    <w:rsid w:val="38521F98"/>
    <w:rsid w:val="38EC7CF6"/>
    <w:rsid w:val="38F80D91"/>
    <w:rsid w:val="38FD5800"/>
    <w:rsid w:val="393618B9"/>
    <w:rsid w:val="393671C3"/>
    <w:rsid w:val="394C2E8B"/>
    <w:rsid w:val="39537D75"/>
    <w:rsid w:val="39677C2A"/>
    <w:rsid w:val="396E2E01"/>
    <w:rsid w:val="397321C6"/>
    <w:rsid w:val="3981182F"/>
    <w:rsid w:val="3A0D6176"/>
    <w:rsid w:val="3A175247"/>
    <w:rsid w:val="3A1F5EA9"/>
    <w:rsid w:val="3A345DF9"/>
    <w:rsid w:val="3A6F0BDF"/>
    <w:rsid w:val="3A7B6865"/>
    <w:rsid w:val="3A886145"/>
    <w:rsid w:val="3AA77126"/>
    <w:rsid w:val="3AB019A5"/>
    <w:rsid w:val="3ACC7DDF"/>
    <w:rsid w:val="3AF23FE5"/>
    <w:rsid w:val="3B041209"/>
    <w:rsid w:val="3B334302"/>
    <w:rsid w:val="3B7A5A8D"/>
    <w:rsid w:val="3C30439E"/>
    <w:rsid w:val="3C3C0F95"/>
    <w:rsid w:val="3C5C33E5"/>
    <w:rsid w:val="3C634773"/>
    <w:rsid w:val="3CCD7C2C"/>
    <w:rsid w:val="3CF03B2D"/>
    <w:rsid w:val="3CF4361D"/>
    <w:rsid w:val="3D0338BC"/>
    <w:rsid w:val="3D567E34"/>
    <w:rsid w:val="3D593EFF"/>
    <w:rsid w:val="3D9A49D8"/>
    <w:rsid w:val="3DB23128"/>
    <w:rsid w:val="3DE61CB8"/>
    <w:rsid w:val="3E09332D"/>
    <w:rsid w:val="3E0C26BC"/>
    <w:rsid w:val="3E171CB9"/>
    <w:rsid w:val="3E1E383C"/>
    <w:rsid w:val="3E410AE4"/>
    <w:rsid w:val="3E895FE7"/>
    <w:rsid w:val="3E8A55D3"/>
    <w:rsid w:val="3E927592"/>
    <w:rsid w:val="3EAB2402"/>
    <w:rsid w:val="3EE53B65"/>
    <w:rsid w:val="3F11495A"/>
    <w:rsid w:val="3F1F42CB"/>
    <w:rsid w:val="3F3F5454"/>
    <w:rsid w:val="3F4A39C9"/>
    <w:rsid w:val="3F5152BF"/>
    <w:rsid w:val="3FFF2A05"/>
    <w:rsid w:val="400022D9"/>
    <w:rsid w:val="40361A42"/>
    <w:rsid w:val="40453AA3"/>
    <w:rsid w:val="40493C80"/>
    <w:rsid w:val="407056B1"/>
    <w:rsid w:val="407C22A8"/>
    <w:rsid w:val="409C790E"/>
    <w:rsid w:val="40A755C3"/>
    <w:rsid w:val="40A9471F"/>
    <w:rsid w:val="40B25CC9"/>
    <w:rsid w:val="40BC26A4"/>
    <w:rsid w:val="40D0614F"/>
    <w:rsid w:val="40D6173F"/>
    <w:rsid w:val="40E13EB9"/>
    <w:rsid w:val="40E7476A"/>
    <w:rsid w:val="410127AD"/>
    <w:rsid w:val="41130E56"/>
    <w:rsid w:val="4151103E"/>
    <w:rsid w:val="4182569C"/>
    <w:rsid w:val="419D0727"/>
    <w:rsid w:val="41A1116B"/>
    <w:rsid w:val="41A575DC"/>
    <w:rsid w:val="41A74FDC"/>
    <w:rsid w:val="41AD023F"/>
    <w:rsid w:val="41DD28D2"/>
    <w:rsid w:val="41F61BE6"/>
    <w:rsid w:val="421C5C36"/>
    <w:rsid w:val="423544BC"/>
    <w:rsid w:val="42465792"/>
    <w:rsid w:val="4249440B"/>
    <w:rsid w:val="425F59DD"/>
    <w:rsid w:val="427A45C5"/>
    <w:rsid w:val="42A33B1C"/>
    <w:rsid w:val="433E38B3"/>
    <w:rsid w:val="433E4220"/>
    <w:rsid w:val="434C41B3"/>
    <w:rsid w:val="43761230"/>
    <w:rsid w:val="439711A6"/>
    <w:rsid w:val="43992A22"/>
    <w:rsid w:val="439E200E"/>
    <w:rsid w:val="43F0086A"/>
    <w:rsid w:val="43F42155"/>
    <w:rsid w:val="43FB6508"/>
    <w:rsid w:val="441F760B"/>
    <w:rsid w:val="44472BCC"/>
    <w:rsid w:val="444A4128"/>
    <w:rsid w:val="44580936"/>
    <w:rsid w:val="445D7CFA"/>
    <w:rsid w:val="446F0254"/>
    <w:rsid w:val="44B71B00"/>
    <w:rsid w:val="45036AF3"/>
    <w:rsid w:val="45244CBC"/>
    <w:rsid w:val="453A17FD"/>
    <w:rsid w:val="45533D78"/>
    <w:rsid w:val="455A06DD"/>
    <w:rsid w:val="4574179F"/>
    <w:rsid w:val="458319E2"/>
    <w:rsid w:val="45A51959"/>
    <w:rsid w:val="46160AA8"/>
    <w:rsid w:val="46222FA9"/>
    <w:rsid w:val="46385D4F"/>
    <w:rsid w:val="467D0334"/>
    <w:rsid w:val="46841EB6"/>
    <w:rsid w:val="46873754"/>
    <w:rsid w:val="46A61E2C"/>
    <w:rsid w:val="46AF0FD5"/>
    <w:rsid w:val="470E352E"/>
    <w:rsid w:val="47213261"/>
    <w:rsid w:val="47615D53"/>
    <w:rsid w:val="47621146"/>
    <w:rsid w:val="478B2DD0"/>
    <w:rsid w:val="47A13C33"/>
    <w:rsid w:val="47AA1CA0"/>
    <w:rsid w:val="47CA7D9C"/>
    <w:rsid w:val="48180B08"/>
    <w:rsid w:val="481A347D"/>
    <w:rsid w:val="48710218"/>
    <w:rsid w:val="487815A6"/>
    <w:rsid w:val="48A00AFD"/>
    <w:rsid w:val="48A9116E"/>
    <w:rsid w:val="48BA396D"/>
    <w:rsid w:val="48D55147"/>
    <w:rsid w:val="48E1539E"/>
    <w:rsid w:val="48EB621C"/>
    <w:rsid w:val="492215B4"/>
    <w:rsid w:val="492E435B"/>
    <w:rsid w:val="4947650C"/>
    <w:rsid w:val="494B6CBB"/>
    <w:rsid w:val="494F5D56"/>
    <w:rsid w:val="49AA4D34"/>
    <w:rsid w:val="49AD1724"/>
    <w:rsid w:val="49AF181E"/>
    <w:rsid w:val="49ED7D72"/>
    <w:rsid w:val="4A0155CC"/>
    <w:rsid w:val="4A0A6ACC"/>
    <w:rsid w:val="4A0D3F70"/>
    <w:rsid w:val="4A1E617D"/>
    <w:rsid w:val="4A69564B"/>
    <w:rsid w:val="4AE02AE7"/>
    <w:rsid w:val="4AE61C2A"/>
    <w:rsid w:val="4B221C9D"/>
    <w:rsid w:val="4B313C8F"/>
    <w:rsid w:val="4B5150CB"/>
    <w:rsid w:val="4B893ACB"/>
    <w:rsid w:val="4BAD1567"/>
    <w:rsid w:val="4BB23021"/>
    <w:rsid w:val="4BDF193C"/>
    <w:rsid w:val="4BF058F8"/>
    <w:rsid w:val="4BF30464"/>
    <w:rsid w:val="4BF827B4"/>
    <w:rsid w:val="4BFC429C"/>
    <w:rsid w:val="4C1C66ED"/>
    <w:rsid w:val="4C223D4C"/>
    <w:rsid w:val="4C3728D4"/>
    <w:rsid w:val="4C404189"/>
    <w:rsid w:val="4CF17B79"/>
    <w:rsid w:val="4D045777"/>
    <w:rsid w:val="4D485A3E"/>
    <w:rsid w:val="4D685FC5"/>
    <w:rsid w:val="4D9A394C"/>
    <w:rsid w:val="4DDE1EAC"/>
    <w:rsid w:val="4DF01BDF"/>
    <w:rsid w:val="4E2142A9"/>
    <w:rsid w:val="4E3A2460"/>
    <w:rsid w:val="4E6D1482"/>
    <w:rsid w:val="4E772300"/>
    <w:rsid w:val="4E775E5C"/>
    <w:rsid w:val="4E8841D7"/>
    <w:rsid w:val="4E8D38D2"/>
    <w:rsid w:val="4EA34EA3"/>
    <w:rsid w:val="4ED82D9F"/>
    <w:rsid w:val="4F021BCA"/>
    <w:rsid w:val="4F4F0B87"/>
    <w:rsid w:val="4F624D5E"/>
    <w:rsid w:val="4F6507F6"/>
    <w:rsid w:val="4F82240C"/>
    <w:rsid w:val="4FAC5D36"/>
    <w:rsid w:val="4FCC21D8"/>
    <w:rsid w:val="4FDE5BC3"/>
    <w:rsid w:val="503C735D"/>
    <w:rsid w:val="506F5D44"/>
    <w:rsid w:val="507408A5"/>
    <w:rsid w:val="508A1E77"/>
    <w:rsid w:val="508F3931"/>
    <w:rsid w:val="50C26DDB"/>
    <w:rsid w:val="50C8299F"/>
    <w:rsid w:val="50CA4969"/>
    <w:rsid w:val="50DD28EE"/>
    <w:rsid w:val="50F65CC2"/>
    <w:rsid w:val="50F6750C"/>
    <w:rsid w:val="510A120A"/>
    <w:rsid w:val="513A01AC"/>
    <w:rsid w:val="513B5867"/>
    <w:rsid w:val="516923D4"/>
    <w:rsid w:val="518834AF"/>
    <w:rsid w:val="5196484B"/>
    <w:rsid w:val="52036385"/>
    <w:rsid w:val="521A6BBB"/>
    <w:rsid w:val="52275008"/>
    <w:rsid w:val="522B58DB"/>
    <w:rsid w:val="523227C6"/>
    <w:rsid w:val="523A5B1F"/>
    <w:rsid w:val="52527BFD"/>
    <w:rsid w:val="527E021F"/>
    <w:rsid w:val="528228A0"/>
    <w:rsid w:val="52A325D2"/>
    <w:rsid w:val="52A76E50"/>
    <w:rsid w:val="52CD6E01"/>
    <w:rsid w:val="52F62C19"/>
    <w:rsid w:val="53052687"/>
    <w:rsid w:val="53124896"/>
    <w:rsid w:val="53226CDE"/>
    <w:rsid w:val="532313DB"/>
    <w:rsid w:val="532365B3"/>
    <w:rsid w:val="532E3DA7"/>
    <w:rsid w:val="5358625C"/>
    <w:rsid w:val="53682217"/>
    <w:rsid w:val="536F35A6"/>
    <w:rsid w:val="537A08C9"/>
    <w:rsid w:val="53D55AFF"/>
    <w:rsid w:val="53DD2982"/>
    <w:rsid w:val="53E53868"/>
    <w:rsid w:val="544404FE"/>
    <w:rsid w:val="54482775"/>
    <w:rsid w:val="546C31CD"/>
    <w:rsid w:val="54B43966"/>
    <w:rsid w:val="54BA4CF5"/>
    <w:rsid w:val="54C16083"/>
    <w:rsid w:val="54FC70BB"/>
    <w:rsid w:val="550A5C7C"/>
    <w:rsid w:val="550E59EB"/>
    <w:rsid w:val="55366A71"/>
    <w:rsid w:val="55434CEA"/>
    <w:rsid w:val="55524F2D"/>
    <w:rsid w:val="55594A14"/>
    <w:rsid w:val="5563538C"/>
    <w:rsid w:val="55760C1C"/>
    <w:rsid w:val="557E3F74"/>
    <w:rsid w:val="55985036"/>
    <w:rsid w:val="55A03EEB"/>
    <w:rsid w:val="55A21A11"/>
    <w:rsid w:val="55B00C6D"/>
    <w:rsid w:val="55D639F2"/>
    <w:rsid w:val="55FB55C5"/>
    <w:rsid w:val="562543F0"/>
    <w:rsid w:val="563D3E2F"/>
    <w:rsid w:val="564D62CF"/>
    <w:rsid w:val="569A4DDE"/>
    <w:rsid w:val="56C1680E"/>
    <w:rsid w:val="56E10C5F"/>
    <w:rsid w:val="57213F32"/>
    <w:rsid w:val="572A43B4"/>
    <w:rsid w:val="572D7A00"/>
    <w:rsid w:val="57302361"/>
    <w:rsid w:val="57376AD1"/>
    <w:rsid w:val="57452F9B"/>
    <w:rsid w:val="57763155"/>
    <w:rsid w:val="57C540DC"/>
    <w:rsid w:val="57D04F5B"/>
    <w:rsid w:val="57DD7962"/>
    <w:rsid w:val="57DF1FEC"/>
    <w:rsid w:val="5886561A"/>
    <w:rsid w:val="588A72E6"/>
    <w:rsid w:val="589E6E07"/>
    <w:rsid w:val="58A75590"/>
    <w:rsid w:val="58A837E2"/>
    <w:rsid w:val="58D33E46"/>
    <w:rsid w:val="59155526"/>
    <w:rsid w:val="596361E3"/>
    <w:rsid w:val="59676C13"/>
    <w:rsid w:val="59814033"/>
    <w:rsid w:val="59BB4FC6"/>
    <w:rsid w:val="59D077F0"/>
    <w:rsid w:val="59DA38E2"/>
    <w:rsid w:val="59DE27EA"/>
    <w:rsid w:val="5A427C66"/>
    <w:rsid w:val="5A5D05FC"/>
    <w:rsid w:val="5AAE2C06"/>
    <w:rsid w:val="5AE91E90"/>
    <w:rsid w:val="5AF62D70"/>
    <w:rsid w:val="5B182775"/>
    <w:rsid w:val="5B3A093D"/>
    <w:rsid w:val="5B654746"/>
    <w:rsid w:val="5B94004E"/>
    <w:rsid w:val="5BC07095"/>
    <w:rsid w:val="5BD36F7D"/>
    <w:rsid w:val="5BDD7C46"/>
    <w:rsid w:val="5BF60D08"/>
    <w:rsid w:val="5C02145B"/>
    <w:rsid w:val="5C084598"/>
    <w:rsid w:val="5C0B49A2"/>
    <w:rsid w:val="5C266BE1"/>
    <w:rsid w:val="5C5D086E"/>
    <w:rsid w:val="5C64301A"/>
    <w:rsid w:val="5C644906"/>
    <w:rsid w:val="5C7A5495"/>
    <w:rsid w:val="5CB337F7"/>
    <w:rsid w:val="5D0B2591"/>
    <w:rsid w:val="5D153410"/>
    <w:rsid w:val="5D4B0BE0"/>
    <w:rsid w:val="5D5757D7"/>
    <w:rsid w:val="5D77123A"/>
    <w:rsid w:val="5D83481E"/>
    <w:rsid w:val="5DC50992"/>
    <w:rsid w:val="5DCF1811"/>
    <w:rsid w:val="5DEC23C3"/>
    <w:rsid w:val="5DF0765F"/>
    <w:rsid w:val="5E190CDE"/>
    <w:rsid w:val="5E345B18"/>
    <w:rsid w:val="5E361890"/>
    <w:rsid w:val="5E380B6F"/>
    <w:rsid w:val="5E5210E8"/>
    <w:rsid w:val="5E820631"/>
    <w:rsid w:val="5E9033B3"/>
    <w:rsid w:val="5E9D546B"/>
    <w:rsid w:val="5EA20CD3"/>
    <w:rsid w:val="5EC035FD"/>
    <w:rsid w:val="5F1B5515"/>
    <w:rsid w:val="5F1F40D2"/>
    <w:rsid w:val="5F2F6A62"/>
    <w:rsid w:val="5F41673E"/>
    <w:rsid w:val="5F447FDD"/>
    <w:rsid w:val="5F5A1079"/>
    <w:rsid w:val="5FBA204D"/>
    <w:rsid w:val="5FD7BC09"/>
    <w:rsid w:val="5FE9222B"/>
    <w:rsid w:val="6007588F"/>
    <w:rsid w:val="604C539B"/>
    <w:rsid w:val="6051475F"/>
    <w:rsid w:val="607641C6"/>
    <w:rsid w:val="609028F6"/>
    <w:rsid w:val="60BA67A8"/>
    <w:rsid w:val="60CC2038"/>
    <w:rsid w:val="60FD6695"/>
    <w:rsid w:val="61135EB8"/>
    <w:rsid w:val="6138147B"/>
    <w:rsid w:val="617D3332"/>
    <w:rsid w:val="619012B7"/>
    <w:rsid w:val="61903065"/>
    <w:rsid w:val="61AF4795"/>
    <w:rsid w:val="61C471B3"/>
    <w:rsid w:val="61F7494E"/>
    <w:rsid w:val="61FC27B9"/>
    <w:rsid w:val="61FF2D16"/>
    <w:rsid w:val="62103631"/>
    <w:rsid w:val="62436329"/>
    <w:rsid w:val="62603A22"/>
    <w:rsid w:val="626D784A"/>
    <w:rsid w:val="627E55B4"/>
    <w:rsid w:val="628A4727"/>
    <w:rsid w:val="62AF7E63"/>
    <w:rsid w:val="62CA07F9"/>
    <w:rsid w:val="62D358FF"/>
    <w:rsid w:val="62E96ED1"/>
    <w:rsid w:val="62EE2739"/>
    <w:rsid w:val="630006BE"/>
    <w:rsid w:val="631D301E"/>
    <w:rsid w:val="632417F9"/>
    <w:rsid w:val="63497970"/>
    <w:rsid w:val="636B3D8A"/>
    <w:rsid w:val="63754E3A"/>
    <w:rsid w:val="64373C6C"/>
    <w:rsid w:val="643C5726"/>
    <w:rsid w:val="643C74D4"/>
    <w:rsid w:val="64542A70"/>
    <w:rsid w:val="645962D8"/>
    <w:rsid w:val="64601415"/>
    <w:rsid w:val="64A15589"/>
    <w:rsid w:val="64AD299F"/>
    <w:rsid w:val="650A5824"/>
    <w:rsid w:val="651144BD"/>
    <w:rsid w:val="65302F12"/>
    <w:rsid w:val="65515201"/>
    <w:rsid w:val="65B917A9"/>
    <w:rsid w:val="65C6174B"/>
    <w:rsid w:val="65DA51F7"/>
    <w:rsid w:val="65FC33BF"/>
    <w:rsid w:val="66091638"/>
    <w:rsid w:val="660C68DC"/>
    <w:rsid w:val="66846F11"/>
    <w:rsid w:val="669D4347"/>
    <w:rsid w:val="66B94E0C"/>
    <w:rsid w:val="66D24120"/>
    <w:rsid w:val="66E520A5"/>
    <w:rsid w:val="66EA1469"/>
    <w:rsid w:val="670F2C7E"/>
    <w:rsid w:val="672F3320"/>
    <w:rsid w:val="67344FE3"/>
    <w:rsid w:val="674566A0"/>
    <w:rsid w:val="67BB026E"/>
    <w:rsid w:val="67DA328C"/>
    <w:rsid w:val="67F85E08"/>
    <w:rsid w:val="67F87BB6"/>
    <w:rsid w:val="67FA7EAE"/>
    <w:rsid w:val="682E35D8"/>
    <w:rsid w:val="683C3F47"/>
    <w:rsid w:val="689948DA"/>
    <w:rsid w:val="68A4471F"/>
    <w:rsid w:val="68A613C0"/>
    <w:rsid w:val="690A5DF3"/>
    <w:rsid w:val="69230C63"/>
    <w:rsid w:val="69232A11"/>
    <w:rsid w:val="692C7B17"/>
    <w:rsid w:val="693C6A86"/>
    <w:rsid w:val="693E728A"/>
    <w:rsid w:val="69967687"/>
    <w:rsid w:val="69981651"/>
    <w:rsid w:val="69E44896"/>
    <w:rsid w:val="69EE1271"/>
    <w:rsid w:val="69F30CDE"/>
    <w:rsid w:val="69FD2062"/>
    <w:rsid w:val="6A1011E7"/>
    <w:rsid w:val="6A4B3BD4"/>
    <w:rsid w:val="6A5C267E"/>
    <w:rsid w:val="6A95793E"/>
    <w:rsid w:val="6A9C2A7B"/>
    <w:rsid w:val="6AA14535"/>
    <w:rsid w:val="6ABE50E7"/>
    <w:rsid w:val="6ABF5687"/>
    <w:rsid w:val="6AC10733"/>
    <w:rsid w:val="6AC67AF8"/>
    <w:rsid w:val="6AC83870"/>
    <w:rsid w:val="6AD14E1A"/>
    <w:rsid w:val="6ADE3093"/>
    <w:rsid w:val="6AF40B09"/>
    <w:rsid w:val="6B8005EE"/>
    <w:rsid w:val="6BA0061E"/>
    <w:rsid w:val="6BA442DD"/>
    <w:rsid w:val="6BB34520"/>
    <w:rsid w:val="6BD149A6"/>
    <w:rsid w:val="6BF264C0"/>
    <w:rsid w:val="6BF80185"/>
    <w:rsid w:val="6C264CF2"/>
    <w:rsid w:val="6C4C04D0"/>
    <w:rsid w:val="6C6E6699"/>
    <w:rsid w:val="6CA200F0"/>
    <w:rsid w:val="6CDE737B"/>
    <w:rsid w:val="6D0D6F60"/>
    <w:rsid w:val="6D173406"/>
    <w:rsid w:val="6D27377E"/>
    <w:rsid w:val="6D2B2A93"/>
    <w:rsid w:val="6D2C4E7B"/>
    <w:rsid w:val="6D3B2A1F"/>
    <w:rsid w:val="6D54588F"/>
    <w:rsid w:val="6D885538"/>
    <w:rsid w:val="6D9A57E6"/>
    <w:rsid w:val="6DA00AD4"/>
    <w:rsid w:val="6DA34120"/>
    <w:rsid w:val="6DAD4F9F"/>
    <w:rsid w:val="6DBF41EA"/>
    <w:rsid w:val="6DCB7F8B"/>
    <w:rsid w:val="6DCE3893"/>
    <w:rsid w:val="6DD8026E"/>
    <w:rsid w:val="6DF66946"/>
    <w:rsid w:val="6DFE57FA"/>
    <w:rsid w:val="6E070103"/>
    <w:rsid w:val="6E264031"/>
    <w:rsid w:val="6E274D51"/>
    <w:rsid w:val="6E66587A"/>
    <w:rsid w:val="6E70494A"/>
    <w:rsid w:val="6E753D0F"/>
    <w:rsid w:val="6E9D3265"/>
    <w:rsid w:val="6EB00BA3"/>
    <w:rsid w:val="6EB32A89"/>
    <w:rsid w:val="6EBE56B6"/>
    <w:rsid w:val="6EC151A6"/>
    <w:rsid w:val="6EF94940"/>
    <w:rsid w:val="6F210D81"/>
    <w:rsid w:val="6F23376B"/>
    <w:rsid w:val="6F2950A2"/>
    <w:rsid w:val="6F321C00"/>
    <w:rsid w:val="6F481423"/>
    <w:rsid w:val="6F631DB9"/>
    <w:rsid w:val="6F7F38A7"/>
    <w:rsid w:val="6FB16FC8"/>
    <w:rsid w:val="6FC30AAA"/>
    <w:rsid w:val="70180DF5"/>
    <w:rsid w:val="70291255"/>
    <w:rsid w:val="707F70C6"/>
    <w:rsid w:val="70A24B63"/>
    <w:rsid w:val="70DE72C4"/>
    <w:rsid w:val="70E21403"/>
    <w:rsid w:val="70FE5BF1"/>
    <w:rsid w:val="71226CCC"/>
    <w:rsid w:val="71314ABF"/>
    <w:rsid w:val="713C1B02"/>
    <w:rsid w:val="71424C8B"/>
    <w:rsid w:val="71520337"/>
    <w:rsid w:val="71566079"/>
    <w:rsid w:val="71947138"/>
    <w:rsid w:val="71C9409B"/>
    <w:rsid w:val="71D60F68"/>
    <w:rsid w:val="7220004A"/>
    <w:rsid w:val="722E4900"/>
    <w:rsid w:val="72930C07"/>
    <w:rsid w:val="72966949"/>
    <w:rsid w:val="72AA7CFF"/>
    <w:rsid w:val="72BF37AA"/>
    <w:rsid w:val="72C708B1"/>
    <w:rsid w:val="73092C77"/>
    <w:rsid w:val="7315786E"/>
    <w:rsid w:val="732E66F5"/>
    <w:rsid w:val="73661E78"/>
    <w:rsid w:val="736F20D3"/>
    <w:rsid w:val="737F2F3A"/>
    <w:rsid w:val="73CB617F"/>
    <w:rsid w:val="73E3171A"/>
    <w:rsid w:val="740470C0"/>
    <w:rsid w:val="741144D9"/>
    <w:rsid w:val="74147B26"/>
    <w:rsid w:val="741866D1"/>
    <w:rsid w:val="741A35F5"/>
    <w:rsid w:val="745A5011"/>
    <w:rsid w:val="746C6769"/>
    <w:rsid w:val="74936C9D"/>
    <w:rsid w:val="749A44CF"/>
    <w:rsid w:val="74D01105"/>
    <w:rsid w:val="74E4574A"/>
    <w:rsid w:val="75051D90"/>
    <w:rsid w:val="753D4E5A"/>
    <w:rsid w:val="756D573F"/>
    <w:rsid w:val="75B72E5F"/>
    <w:rsid w:val="75DF5F11"/>
    <w:rsid w:val="75E43528"/>
    <w:rsid w:val="760F726D"/>
    <w:rsid w:val="7621571B"/>
    <w:rsid w:val="7647341C"/>
    <w:rsid w:val="765C7B0B"/>
    <w:rsid w:val="767D7C04"/>
    <w:rsid w:val="76A661E1"/>
    <w:rsid w:val="76AF2641"/>
    <w:rsid w:val="76F81981"/>
    <w:rsid w:val="77147E3D"/>
    <w:rsid w:val="7718792D"/>
    <w:rsid w:val="77197D0F"/>
    <w:rsid w:val="771A5453"/>
    <w:rsid w:val="77204A34"/>
    <w:rsid w:val="775A067D"/>
    <w:rsid w:val="77617526"/>
    <w:rsid w:val="778E4093"/>
    <w:rsid w:val="7798281C"/>
    <w:rsid w:val="780B7492"/>
    <w:rsid w:val="7814559E"/>
    <w:rsid w:val="7851759A"/>
    <w:rsid w:val="787F0278"/>
    <w:rsid w:val="78CD4747"/>
    <w:rsid w:val="78EE303B"/>
    <w:rsid w:val="78F82DB7"/>
    <w:rsid w:val="7913273D"/>
    <w:rsid w:val="791A3E30"/>
    <w:rsid w:val="792C23BF"/>
    <w:rsid w:val="79553485"/>
    <w:rsid w:val="796E6FE2"/>
    <w:rsid w:val="79B25E17"/>
    <w:rsid w:val="79BF22E2"/>
    <w:rsid w:val="79DD0C01"/>
    <w:rsid w:val="7A205476"/>
    <w:rsid w:val="7A90250C"/>
    <w:rsid w:val="7A965738"/>
    <w:rsid w:val="7AA15E8B"/>
    <w:rsid w:val="7B007056"/>
    <w:rsid w:val="7B297C5E"/>
    <w:rsid w:val="7B2E771F"/>
    <w:rsid w:val="7B494559"/>
    <w:rsid w:val="7B51165F"/>
    <w:rsid w:val="7B66335D"/>
    <w:rsid w:val="7B8E0572"/>
    <w:rsid w:val="7BBF341C"/>
    <w:rsid w:val="7BCE2CB0"/>
    <w:rsid w:val="7BD04C7A"/>
    <w:rsid w:val="7BF22E42"/>
    <w:rsid w:val="7C09018C"/>
    <w:rsid w:val="7C156B31"/>
    <w:rsid w:val="7C1903CF"/>
    <w:rsid w:val="7C336FB7"/>
    <w:rsid w:val="7C422A56"/>
    <w:rsid w:val="7C6B72F1"/>
    <w:rsid w:val="7C920181"/>
    <w:rsid w:val="7CD82038"/>
    <w:rsid w:val="7D1666BD"/>
    <w:rsid w:val="7D37324E"/>
    <w:rsid w:val="7D731D61"/>
    <w:rsid w:val="7D761851"/>
    <w:rsid w:val="7DE51B8A"/>
    <w:rsid w:val="7DFF35F5"/>
    <w:rsid w:val="7E123328"/>
    <w:rsid w:val="7E244E09"/>
    <w:rsid w:val="7E4E1E86"/>
    <w:rsid w:val="7E6047D1"/>
    <w:rsid w:val="7E6552B9"/>
    <w:rsid w:val="7E7F0292"/>
    <w:rsid w:val="7E80214A"/>
    <w:rsid w:val="7E837D82"/>
    <w:rsid w:val="7E930337"/>
    <w:rsid w:val="7E9D3AAE"/>
    <w:rsid w:val="7E9E696A"/>
    <w:rsid w:val="7EDC1B88"/>
    <w:rsid w:val="7EED5205"/>
    <w:rsid w:val="7F1036A5"/>
    <w:rsid w:val="7F475253"/>
    <w:rsid w:val="7F565496"/>
    <w:rsid w:val="7FA51748"/>
    <w:rsid w:val="7FDF723A"/>
    <w:rsid w:val="EFB3A70F"/>
    <w:rsid w:val="FFB96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autoRedefine/>
    <w:qFormat/>
    <w:uiPriority w:val="0"/>
    <w:pPr>
      <w:keepNext/>
      <w:keepLines/>
      <w:spacing w:before="240" w:after="120" w:line="300" w:lineRule="auto"/>
      <w:jc w:val="center"/>
      <w:outlineLvl w:val="0"/>
    </w:pPr>
    <w:rPr>
      <w:rFonts w:ascii="宋体"/>
      <w:b/>
      <w:kern w:val="44"/>
      <w:sz w:val="32"/>
      <w:szCs w:val="20"/>
    </w:rPr>
  </w:style>
  <w:style w:type="paragraph" w:styleId="3">
    <w:name w:val="heading 2"/>
    <w:basedOn w:val="1"/>
    <w:next w:val="1"/>
    <w:autoRedefine/>
    <w:qFormat/>
    <w:uiPriority w:val="0"/>
    <w:pPr>
      <w:keepNext/>
      <w:keepLines/>
      <w:spacing w:before="120" w:line="300" w:lineRule="auto"/>
      <w:jc w:val="center"/>
      <w:outlineLvl w:val="1"/>
    </w:pPr>
    <w:rPr>
      <w:rFonts w:eastAsia="黑体"/>
      <w:b/>
      <w:sz w:val="30"/>
      <w:szCs w:val="20"/>
    </w:rPr>
  </w:style>
  <w:style w:type="paragraph" w:styleId="4">
    <w:name w:val="heading 3"/>
    <w:basedOn w:val="1"/>
    <w:next w:val="1"/>
    <w:autoRedefine/>
    <w:qFormat/>
    <w:uiPriority w:val="0"/>
    <w:pPr>
      <w:keepNext/>
      <w:keepLines/>
      <w:spacing w:before="360" w:after="120"/>
      <w:outlineLvl w:val="2"/>
    </w:pPr>
    <w:rPr>
      <w:rFonts w:ascii="宋体"/>
      <w:b/>
      <w:sz w:val="24"/>
      <w:szCs w:val="20"/>
      <w:u w:val="single"/>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rFonts w:ascii="宋体"/>
      <w:sz w:val="24"/>
      <w:szCs w:val="20"/>
    </w:rPr>
  </w:style>
  <w:style w:type="paragraph" w:styleId="6">
    <w:name w:val="toa heading"/>
    <w:basedOn w:val="1"/>
    <w:next w:val="1"/>
    <w:autoRedefine/>
    <w:qFormat/>
    <w:uiPriority w:val="0"/>
    <w:pPr>
      <w:spacing w:before="120"/>
    </w:pPr>
    <w:rPr>
      <w:rFonts w:ascii="Cambria" w:hAnsi="Cambria"/>
      <w:sz w:val="24"/>
    </w:rPr>
  </w:style>
  <w:style w:type="paragraph" w:styleId="7">
    <w:name w:val="index 5"/>
    <w:basedOn w:val="1"/>
    <w:next w:val="1"/>
    <w:autoRedefine/>
    <w:semiHidden/>
    <w:qFormat/>
    <w:uiPriority w:val="0"/>
    <w:pPr>
      <w:ind w:left="800" w:leftChars="800"/>
    </w:pPr>
    <w:rPr>
      <w:rFonts w:eastAsia="宋体"/>
      <w:szCs w:val="24"/>
    </w:rPr>
  </w:style>
  <w:style w:type="paragraph" w:styleId="8">
    <w:name w:val="Body Text"/>
    <w:basedOn w:val="1"/>
    <w:next w:val="9"/>
    <w:autoRedefine/>
    <w:qFormat/>
    <w:uiPriority w:val="0"/>
    <w:rPr>
      <w:rFonts w:ascii="宋体" w:hAnsi="宋体" w:eastAsia="宋体" w:cs="宋体"/>
      <w:sz w:val="41"/>
      <w:szCs w:val="41"/>
    </w:rPr>
  </w:style>
  <w:style w:type="paragraph" w:styleId="9">
    <w:name w:val="Body Text First Indent"/>
    <w:basedOn w:val="8"/>
    <w:next w:val="1"/>
    <w:autoRedefine/>
    <w:qFormat/>
    <w:uiPriority w:val="0"/>
    <w:pPr>
      <w:tabs>
        <w:tab w:val="left" w:pos="567"/>
      </w:tabs>
      <w:spacing w:line="312" w:lineRule="auto"/>
      <w:ind w:firstLine="420" w:firstLineChars="100"/>
    </w:pPr>
    <w:rPr>
      <w:rFonts w:hint="eastAsia" w:ascii="微软雅黑" w:hAnsi="微软雅黑" w:eastAsia="微软雅黑" w:cs="微软雅黑"/>
      <w:szCs w:val="21"/>
    </w:rPr>
  </w:style>
  <w:style w:type="paragraph" w:styleId="10">
    <w:name w:val="Body Text Indent"/>
    <w:basedOn w:val="1"/>
    <w:autoRedefine/>
    <w:qFormat/>
    <w:uiPriority w:val="0"/>
    <w:pPr>
      <w:spacing w:line="360" w:lineRule="auto"/>
      <w:ind w:firstLine="570"/>
    </w:pPr>
    <w:rPr>
      <w:sz w:val="24"/>
    </w:rPr>
  </w:style>
  <w:style w:type="paragraph" w:styleId="11">
    <w:name w:val="toc 3"/>
    <w:basedOn w:val="1"/>
    <w:next w:val="1"/>
    <w:autoRedefine/>
    <w:qFormat/>
    <w:uiPriority w:val="39"/>
    <w:pPr>
      <w:tabs>
        <w:tab w:val="left" w:pos="1260"/>
        <w:tab w:val="right" w:leader="dot" w:pos="8630"/>
      </w:tabs>
      <w:ind w:left="840" w:leftChars="400"/>
    </w:pPr>
  </w:style>
  <w:style w:type="paragraph" w:styleId="12">
    <w:name w:val="Plain Text"/>
    <w:basedOn w:val="1"/>
    <w:next w:val="13"/>
    <w:autoRedefine/>
    <w:qFormat/>
    <w:uiPriority w:val="0"/>
    <w:rPr>
      <w:rFonts w:ascii="宋体" w:hAnsi="Courier New"/>
      <w:szCs w:val="20"/>
    </w:rPr>
  </w:style>
  <w:style w:type="paragraph" w:styleId="13">
    <w:name w:val="Subtitle"/>
    <w:next w:val="1"/>
    <w:autoRedefine/>
    <w:qFormat/>
    <w:uiPriority w:val="0"/>
    <w:pPr>
      <w:wordWrap w:val="0"/>
      <w:spacing w:after="60"/>
      <w:jc w:val="center"/>
    </w:pPr>
    <w:rPr>
      <w:rFonts w:ascii="Calibri" w:hAnsi="Calibri" w:eastAsia="宋体" w:cs="Times New Roman"/>
      <w:sz w:val="24"/>
      <w:lang w:val="en-US" w:eastAsia="zh-CN" w:bidi="ar-SA"/>
    </w:rPr>
  </w:style>
  <w:style w:type="paragraph" w:styleId="14">
    <w:name w:val="footer"/>
    <w:basedOn w:val="1"/>
    <w:autoRedefine/>
    <w:qFormat/>
    <w:uiPriority w:val="0"/>
    <w:pPr>
      <w:tabs>
        <w:tab w:val="center" w:pos="4153"/>
        <w:tab w:val="right" w:pos="8306"/>
      </w:tabs>
    </w:pPr>
    <w:rPr>
      <w:rFonts w:ascii="宋体"/>
      <w:sz w:val="18"/>
      <w:szCs w:val="20"/>
    </w:rPr>
  </w:style>
  <w:style w:type="paragraph" w:styleId="15">
    <w:name w:val="header"/>
    <w:basedOn w:val="1"/>
    <w:autoRedefine/>
    <w:qFormat/>
    <w:uiPriority w:val="0"/>
    <w:pPr>
      <w:pBdr>
        <w:bottom w:val="single" w:color="000000" w:sz="6" w:space="1"/>
      </w:pBdr>
      <w:tabs>
        <w:tab w:val="center" w:pos="4153"/>
        <w:tab w:val="right" w:pos="8306"/>
      </w:tabs>
      <w:jc w:val="center"/>
    </w:pPr>
    <w:rPr>
      <w:sz w:val="18"/>
      <w:szCs w:val="18"/>
    </w:rPr>
  </w:style>
  <w:style w:type="paragraph" w:styleId="16">
    <w:name w:val="toc 1"/>
    <w:basedOn w:val="1"/>
    <w:next w:val="1"/>
    <w:autoRedefine/>
    <w:qFormat/>
    <w:uiPriority w:val="39"/>
  </w:style>
  <w:style w:type="paragraph" w:styleId="17">
    <w:name w:val="footnote text"/>
    <w:basedOn w:val="1"/>
    <w:next w:val="8"/>
    <w:autoRedefine/>
    <w:qFormat/>
    <w:uiPriority w:val="0"/>
    <w:rPr>
      <w:sz w:val="18"/>
    </w:rPr>
  </w:style>
  <w:style w:type="paragraph" w:styleId="18">
    <w:name w:val="Body Text Indent 3"/>
    <w:basedOn w:val="1"/>
    <w:next w:val="1"/>
    <w:autoRedefine/>
    <w:qFormat/>
    <w:uiPriority w:val="0"/>
    <w:pPr>
      <w:spacing w:before="120" w:line="22" w:lineRule="atLeast"/>
      <w:ind w:left="720" w:firstLine="480"/>
    </w:pPr>
    <w:rPr>
      <w:rFonts w:ascii="宋体"/>
      <w:sz w:val="24"/>
      <w:szCs w:val="20"/>
    </w:rPr>
  </w:style>
  <w:style w:type="paragraph" w:styleId="19">
    <w:name w:val="toc 2"/>
    <w:basedOn w:val="1"/>
    <w:next w:val="1"/>
    <w:autoRedefine/>
    <w:qFormat/>
    <w:uiPriority w:val="39"/>
    <w:pPr>
      <w:ind w:left="420" w:leftChars="200"/>
    </w:pPr>
  </w:style>
  <w:style w:type="paragraph" w:styleId="20">
    <w:name w:val="Body Text 2"/>
    <w:basedOn w:val="1"/>
    <w:link w:val="43"/>
    <w:autoRedefine/>
    <w:qFormat/>
    <w:uiPriority w:val="0"/>
    <w:pPr>
      <w:widowControl w:val="0"/>
      <w:kinsoku/>
      <w:autoSpaceDE/>
      <w:autoSpaceDN/>
      <w:adjustRightInd/>
      <w:snapToGrid/>
      <w:spacing w:after="120" w:line="480" w:lineRule="auto"/>
      <w:jc w:val="both"/>
      <w:textAlignment w:val="auto"/>
    </w:pPr>
    <w:rPr>
      <w:rFonts w:asciiTheme="minorHAnsi" w:hAnsiTheme="minorHAnsi" w:eastAsiaTheme="minorEastAsia" w:cstheme="minorBidi"/>
      <w:snapToGrid/>
      <w:color w:val="auto"/>
      <w:kern w:val="2"/>
      <w:szCs w:val="24"/>
      <w:lang w:eastAsia="zh-CN"/>
    </w:rPr>
  </w:style>
  <w:style w:type="paragraph" w:styleId="21">
    <w:name w:val="Normal (Web)"/>
    <w:basedOn w:val="1"/>
    <w:autoRedefine/>
    <w:qFormat/>
    <w:uiPriority w:val="0"/>
    <w:pPr>
      <w:spacing w:before="100" w:beforeAutospacing="1" w:after="100" w:afterAutospacing="1"/>
    </w:pPr>
    <w:rPr>
      <w:sz w:val="24"/>
    </w:rPr>
  </w:style>
  <w:style w:type="paragraph" w:styleId="22">
    <w:name w:val="Body Text First Indent 2"/>
    <w:basedOn w:val="10"/>
    <w:autoRedefine/>
    <w:qFormat/>
    <w:uiPriority w:val="0"/>
    <w:pPr>
      <w:ind w:firstLine="420" w:firstLineChars="200"/>
    </w:p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6">
    <w:name w:val="Strong"/>
    <w:basedOn w:val="25"/>
    <w:autoRedefine/>
    <w:qFormat/>
    <w:uiPriority w:val="0"/>
    <w:rPr>
      <w:b/>
    </w:rPr>
  </w:style>
  <w:style w:type="character" w:styleId="27">
    <w:name w:val="Hyperlink"/>
    <w:autoRedefine/>
    <w:qFormat/>
    <w:uiPriority w:val="99"/>
    <w:rPr>
      <w:color w:val="0000FF"/>
      <w:u w:val="single"/>
    </w:rPr>
  </w:style>
  <w:style w:type="character" w:customStyle="1" w:styleId="28">
    <w:name w:val="NormalCharacter"/>
    <w:autoRedefine/>
    <w:semiHidden/>
    <w:qFormat/>
    <w:uiPriority w:val="0"/>
  </w:style>
  <w:style w:type="paragraph" w:customStyle="1" w:styleId="29">
    <w:name w:val="FootnoteText"/>
    <w:basedOn w:val="1"/>
    <w:autoRedefine/>
    <w:qFormat/>
    <w:uiPriority w:val="0"/>
    <w:rPr>
      <w:sz w:val="18"/>
    </w:rPr>
  </w:style>
  <w:style w:type="paragraph" w:customStyle="1" w:styleId="30">
    <w:name w:val="Heading2"/>
    <w:basedOn w:val="1"/>
    <w:next w:val="1"/>
    <w:autoRedefine/>
    <w:qFormat/>
    <w:uiPriority w:val="0"/>
    <w:pPr>
      <w:keepNext/>
      <w:keepLines/>
      <w:spacing w:before="120" w:line="300" w:lineRule="auto"/>
      <w:jc w:val="center"/>
    </w:pPr>
    <w:rPr>
      <w:rFonts w:eastAsia="黑体"/>
      <w:b/>
      <w:sz w:val="30"/>
      <w:szCs w:val="20"/>
    </w:rPr>
  </w:style>
  <w:style w:type="paragraph" w:customStyle="1" w:styleId="31">
    <w:name w:val="Heading1"/>
    <w:basedOn w:val="1"/>
    <w:next w:val="1"/>
    <w:autoRedefine/>
    <w:qFormat/>
    <w:uiPriority w:val="0"/>
    <w:pPr>
      <w:keepNext/>
      <w:keepLines/>
      <w:spacing w:before="240" w:after="120" w:line="300" w:lineRule="auto"/>
      <w:jc w:val="center"/>
    </w:pPr>
    <w:rPr>
      <w:rFonts w:ascii="宋体"/>
      <w:b/>
      <w:kern w:val="44"/>
      <w:sz w:val="32"/>
      <w:szCs w:val="20"/>
    </w:rPr>
  </w:style>
  <w:style w:type="paragraph" w:customStyle="1" w:styleId="32">
    <w:name w:val="Table Text"/>
    <w:basedOn w:val="1"/>
    <w:autoRedefine/>
    <w:semiHidden/>
    <w:qFormat/>
    <w:uiPriority w:val="0"/>
  </w:style>
  <w:style w:type="paragraph" w:styleId="33">
    <w:name w:val="List Paragraph"/>
    <w:basedOn w:val="1"/>
    <w:autoRedefine/>
    <w:qFormat/>
    <w:uiPriority w:val="34"/>
    <w:pPr>
      <w:ind w:firstLine="420" w:firstLineChars="200"/>
    </w:pPr>
  </w:style>
  <w:style w:type="paragraph" w:customStyle="1" w:styleId="34">
    <w:name w:val="默认 A"/>
    <w:autoRedefine/>
    <w:qFormat/>
    <w:uiPriority w:val="0"/>
    <w:pPr>
      <w:framePr w:wrap="around" w:vAnchor="margin" w:hAnchor="text" w:y="1"/>
    </w:pPr>
    <w:rPr>
      <w:rFonts w:ascii="Arial Unicode MS" w:hAnsi="Arial Unicode MS" w:eastAsia="Arial Unicode MS" w:cs="Arial Unicode MS"/>
      <w:color w:val="000000"/>
      <w:sz w:val="22"/>
      <w:szCs w:val="22"/>
      <w:lang w:val="zh-TW" w:eastAsia="zh-TW" w:bidi="ar-SA"/>
    </w:rPr>
  </w:style>
  <w:style w:type="paragraph" w:customStyle="1" w:styleId="35">
    <w:name w:val="列出段落1"/>
    <w:basedOn w:val="1"/>
    <w:autoRedefine/>
    <w:qFormat/>
    <w:uiPriority w:val="0"/>
    <w:pPr>
      <w:ind w:firstLine="420" w:firstLineChars="200"/>
    </w:pPr>
    <w:rPr>
      <w:sz w:val="24"/>
      <w:szCs w:val="20"/>
    </w:rPr>
  </w:style>
  <w:style w:type="paragraph" w:customStyle="1" w:styleId="36">
    <w:name w:val="一级标题"/>
    <w:basedOn w:val="2"/>
    <w:next w:val="1"/>
    <w:autoRedefine/>
    <w:qFormat/>
    <w:uiPriority w:val="0"/>
    <w:pPr>
      <w:spacing w:line="360" w:lineRule="auto"/>
    </w:pPr>
    <w:rPr>
      <w:rFonts w:hAnsi="宋体"/>
      <w:lang w:bidi="ug-CN"/>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paragraph" w:customStyle="1" w:styleId="38">
    <w:name w:val="BodyTextIndent3"/>
    <w:basedOn w:val="1"/>
    <w:autoRedefine/>
    <w:qFormat/>
    <w:uiPriority w:val="0"/>
    <w:pPr>
      <w:spacing w:before="120" w:line="240" w:lineRule="atLeast"/>
      <w:ind w:left="720" w:firstLine="480"/>
    </w:pPr>
    <w:rPr>
      <w:rFonts w:ascii="宋体"/>
      <w:sz w:val="24"/>
      <w:szCs w:val="20"/>
    </w:rPr>
  </w:style>
  <w:style w:type="paragraph" w:customStyle="1" w:styleId="39">
    <w:name w:val="UserStyle_21"/>
    <w:basedOn w:val="1"/>
    <w:autoRedefine/>
    <w:qFormat/>
    <w:uiPriority w:val="0"/>
    <w:pPr>
      <w:ind w:firstLine="420"/>
    </w:pPr>
    <w:rPr>
      <w:rFonts w:ascii="宋体"/>
      <w:sz w:val="24"/>
      <w:szCs w:val="20"/>
    </w:rPr>
  </w:style>
  <w:style w:type="paragraph" w:customStyle="1" w:styleId="40">
    <w:name w:val="UserStyle_37"/>
    <w:basedOn w:val="1"/>
    <w:next w:val="1"/>
    <w:autoRedefine/>
    <w:qFormat/>
    <w:uiPriority w:val="0"/>
    <w:pPr>
      <w:spacing w:line="360" w:lineRule="auto"/>
    </w:pPr>
    <w:rPr>
      <w:rFonts w:ascii="仿宋_GB2312" w:eastAsia="仿宋_GB2312"/>
      <w:sz w:val="24"/>
      <w:szCs w:val="20"/>
    </w:rPr>
  </w:style>
  <w:style w:type="paragraph" w:customStyle="1" w:styleId="41">
    <w:name w:val="UserStyle_28"/>
    <w:basedOn w:val="1"/>
    <w:autoRedefine/>
    <w:qFormat/>
    <w:uiPriority w:val="0"/>
    <w:rPr>
      <w:rFonts w:ascii="宋体" w:hAnsi="Courier New"/>
      <w:sz w:val="20"/>
      <w:szCs w:val="20"/>
    </w:rPr>
  </w:style>
  <w:style w:type="character" w:customStyle="1" w:styleId="42">
    <w:name w:val="PageNumber"/>
    <w:basedOn w:val="28"/>
    <w:autoRedefine/>
    <w:qFormat/>
    <w:uiPriority w:val="0"/>
  </w:style>
  <w:style w:type="character" w:customStyle="1" w:styleId="43">
    <w:name w:val="正文文本 2 字符"/>
    <w:link w:val="20"/>
    <w:autoRedefine/>
    <w:qFormat/>
    <w:uiPriority w:val="0"/>
    <w:rPr>
      <w:kern w:val="2"/>
      <w:sz w:val="21"/>
      <w:szCs w:val="24"/>
    </w:rPr>
  </w:style>
  <w:style w:type="character" w:customStyle="1" w:styleId="44">
    <w:name w:val="列出段落 Char"/>
    <w:link w:val="45"/>
    <w:autoRedefine/>
    <w:qFormat/>
    <w:uiPriority w:val="34"/>
    <w:rPr>
      <w:rFonts w:ascii="Calibri" w:hAnsi="Calibri"/>
      <w:kern w:val="2"/>
      <w:sz w:val="21"/>
      <w:szCs w:val="22"/>
    </w:rPr>
  </w:style>
  <w:style w:type="paragraph" w:customStyle="1" w:styleId="45">
    <w:name w:val="列出段落2"/>
    <w:basedOn w:val="1"/>
    <w:link w:val="44"/>
    <w:autoRedefine/>
    <w:qFormat/>
    <w:uiPriority w:val="34"/>
    <w:pPr>
      <w:widowControl w:val="0"/>
      <w:kinsoku/>
      <w:autoSpaceDE/>
      <w:autoSpaceDN/>
      <w:adjustRightInd/>
      <w:snapToGrid/>
      <w:ind w:firstLine="420" w:firstLineChars="200"/>
      <w:jc w:val="both"/>
      <w:textAlignment w:val="auto"/>
    </w:pPr>
    <w:rPr>
      <w:rFonts w:ascii="Calibri" w:hAnsi="Calibri" w:eastAsiaTheme="minorEastAsia" w:cstheme="minorBidi"/>
      <w:snapToGrid/>
      <w:color w:val="auto"/>
      <w:kern w:val="2"/>
      <w:szCs w:val="22"/>
      <w:lang w:eastAsia="zh-CN"/>
    </w:rPr>
  </w:style>
  <w:style w:type="character" w:customStyle="1" w:styleId="46">
    <w:name w:val="正文文本 2 字符1"/>
    <w:basedOn w:val="25"/>
    <w:autoRedefine/>
    <w:qFormat/>
    <w:uiPriority w:val="0"/>
    <w:rPr>
      <w:rFonts w:ascii="Arial" w:hAnsi="Arial" w:eastAsia="Arial" w:cs="Arial"/>
      <w:snapToGrid w:val="0"/>
      <w:color w:val="000000"/>
      <w:sz w:val="21"/>
      <w:szCs w:val="21"/>
      <w:lang w:eastAsia="en-US"/>
    </w:rPr>
  </w:style>
  <w:style w:type="character" w:customStyle="1" w:styleId="47">
    <w:name w:val="*正文 Char Char"/>
    <w:link w:val="48"/>
    <w:autoRedefine/>
    <w:qFormat/>
    <w:uiPriority w:val="0"/>
    <w:rPr>
      <w:rFonts w:ascii="仿宋_GB2312" w:eastAsia="仿宋_GB2312"/>
      <w:sz w:val="24"/>
      <w:szCs w:val="24"/>
    </w:rPr>
  </w:style>
  <w:style w:type="paragraph" w:customStyle="1" w:styleId="48">
    <w:name w:val="*正文"/>
    <w:basedOn w:val="1"/>
    <w:link w:val="47"/>
    <w:autoRedefine/>
    <w:qFormat/>
    <w:uiPriority w:val="0"/>
    <w:pPr>
      <w:kinsoku/>
      <w:autoSpaceDE/>
      <w:autoSpaceDN/>
      <w:adjustRightInd/>
      <w:snapToGrid/>
      <w:spacing w:after="200" w:line="360" w:lineRule="auto"/>
      <w:ind w:firstLine="480" w:firstLineChars="200"/>
      <w:textAlignment w:val="auto"/>
    </w:pPr>
    <w:rPr>
      <w:rFonts w:ascii="仿宋_GB2312" w:eastAsia="仿宋_GB2312" w:hAnsiTheme="minorHAnsi" w:cstheme="minorBidi"/>
      <w:snapToGrid/>
      <w:color w:val="auto"/>
      <w:sz w:val="24"/>
      <w:szCs w:val="24"/>
      <w:lang w:eastAsia="zh-CN"/>
    </w:rPr>
  </w:style>
  <w:style w:type="paragraph" w:customStyle="1" w:styleId="49">
    <w:name w:val="列出段落21"/>
    <w:basedOn w:val="1"/>
    <w:autoRedefine/>
    <w:qFormat/>
    <w:uiPriority w:val="0"/>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4"/>
      <w:lang w:eastAsia="zh-CN"/>
    </w:rPr>
  </w:style>
  <w:style w:type="paragraph" w:customStyle="1" w:styleId="50">
    <w:name w:val="标书正文"/>
    <w:basedOn w:val="1"/>
    <w:autoRedefine/>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51">
    <w:name w:val="纯文本11"/>
    <w:basedOn w:val="1"/>
    <w:autoRedefine/>
    <w:qFormat/>
    <w:uiPriority w:val="0"/>
    <w:rPr>
      <w:rFonts w:ascii="宋体" w:hAnsi="Courier New"/>
      <w:szCs w:val="20"/>
    </w:rPr>
  </w:style>
  <w:style w:type="paragraph" w:customStyle="1" w:styleId="52">
    <w:name w:val="表格文字"/>
    <w:basedOn w:val="1"/>
    <w:autoRedefine/>
    <w:qFormat/>
    <w:uiPriority w:val="0"/>
    <w:pPr>
      <w:spacing w:before="25" w:after="25"/>
      <w:jc w:val="left"/>
    </w:pPr>
    <w:rPr>
      <w:bCs/>
      <w:spacing w:val="10"/>
      <w:kern w:val="0"/>
      <w:sz w:val="24"/>
      <w:szCs w:val="20"/>
    </w:rPr>
  </w:style>
  <w:style w:type="paragraph" w:customStyle="1" w:styleId="53">
    <w:name w:val="普通(网站)1"/>
    <w:basedOn w:val="1"/>
    <w:autoRedefine/>
    <w:qFormat/>
    <w:uiPriority w:val="0"/>
    <w:pPr>
      <w:widowControl/>
      <w:jc w:val="left"/>
    </w:pPr>
    <w:rPr>
      <w:rFonts w:ascii="宋体" w:hAnsi="宋体"/>
      <w:kern w:val="0"/>
      <w:sz w:val="24"/>
    </w:rPr>
  </w:style>
  <w:style w:type="paragraph" w:customStyle="1" w:styleId="54">
    <w:name w:val="页脚1"/>
    <w:basedOn w:val="1"/>
    <w:autoRedefine/>
    <w:qFormat/>
    <w:uiPriority w:val="0"/>
    <w:pPr>
      <w:tabs>
        <w:tab w:val="center" w:pos="4153"/>
        <w:tab w:val="right" w:pos="8306"/>
      </w:tabs>
      <w:autoSpaceDE w:val="0"/>
      <w:autoSpaceDN w:val="0"/>
      <w:snapToGrid w:val="0"/>
      <w:jc w:val="left"/>
    </w:pPr>
    <w:rPr>
      <w:rFonts w:ascii="宋体"/>
      <w:kern w:val="0"/>
      <w:sz w:val="18"/>
      <w:szCs w:val="20"/>
    </w:rPr>
  </w:style>
  <w:style w:type="paragraph" w:customStyle="1" w:styleId="55">
    <w:name w:val="样式 样式 样式 左侧:  2 字符1 + 首行缩进:  2 字符1 + 首行缩进:  2 字符"/>
    <w:basedOn w:val="1"/>
    <w:autoRedefine/>
    <w:qFormat/>
    <w:uiPriority w:val="0"/>
    <w:pPr>
      <w:widowControl/>
      <w:adjustRightInd w:val="0"/>
      <w:spacing w:before="60" w:beforeLines="0" w:after="120" w:afterLines="0" w:line="440" w:lineRule="atLeast"/>
      <w:ind w:firstLine="480"/>
      <w:textAlignment w:val="baseline"/>
    </w:pPr>
    <w:rPr>
      <w:sz w:val="24"/>
    </w:rPr>
  </w:style>
  <w:style w:type="paragraph" w:customStyle="1" w:styleId="56">
    <w:name w:val="Default"/>
    <w:autoRedefine/>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57">
    <w:name w:val="wdcj_7_p"/>
    <w:basedOn w:val="1"/>
    <w:autoRedefine/>
    <w:qFormat/>
    <w:uiPriority w:val="0"/>
    <w:pPr>
      <w:spacing w:line="360" w:lineRule="auto"/>
      <w:ind w:firstLine="480"/>
      <w:jc w:val="left"/>
    </w:pPr>
    <w:rPr>
      <w:rFonts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13839</Words>
  <Characters>14623</Characters>
  <Lines>2748</Lines>
  <Paragraphs>2523</Paragraphs>
  <TotalTime>9</TotalTime>
  <ScaleCrop>false</ScaleCrop>
  <LinksUpToDate>false</LinksUpToDate>
  <CharactersWithSpaces>15265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2025-04-02T19:55:00Z</dcterms:created>
  <dc:creator>SYP</dc:creator>
  <cp:lastModifiedBy>Administrator</cp:lastModifiedBy>
  <cp:lastPrinted>2026-04-21T01:11:00Z</cp:lastPrinted>
  <dcterms:modified xsi:type="dcterms:W3CDTF">2026-04-27T15:47:14Z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6ADFF9367717489FBA9CB28E437DA0B2_13</vt:lpwstr>
  </property>
  <property fmtid="{D5CDD505-2E9C-101B-9397-08002B2CF9AE}" pid="4" name="KSOTemplateDocerSaveRecord">
    <vt:lpwstr>eyJoZGlkIjoiZjA5ZGI2YzFlYjM3MjNiNWRkNTc3MWNmYTBlY2Y4OTcifQ==</vt:lpwstr>
  </property>
</Properties>
</file>