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63A65">
      <w:pPr>
        <w:jc w:val="left"/>
        <w:rPr>
          <w:rFonts w:hint="eastAsia" w:ascii="宋体" w:hAnsi="宋体"/>
          <w:color w:val="auto"/>
          <w:sz w:val="24"/>
          <w:highlight w:val="none"/>
        </w:rPr>
      </w:pPr>
    </w:p>
    <w:p w14:paraId="2F2CCD0C">
      <w:pPr>
        <w:rPr>
          <w:rFonts w:hint="eastAsia" w:ascii="宋体" w:hAnsi="宋体"/>
          <w:color w:val="auto"/>
          <w:highlight w:val="none"/>
        </w:rPr>
      </w:pPr>
    </w:p>
    <w:p w14:paraId="70FDE3EB">
      <w:pPr>
        <w:spacing w:after="120"/>
        <w:jc w:val="center"/>
        <w:rPr>
          <w:rFonts w:ascii="宋体" w:hAnsi="宋体"/>
          <w:b/>
          <w:color w:val="auto"/>
          <w:sz w:val="48"/>
          <w:szCs w:val="48"/>
          <w:highlight w:val="none"/>
        </w:rPr>
      </w:pPr>
      <w:r>
        <w:rPr>
          <w:rFonts w:ascii="宋体" w:hAnsi="宋体"/>
          <w:b/>
          <w:color w:val="auto"/>
          <w:sz w:val="48"/>
          <w:szCs w:val="48"/>
          <w:highlight w:val="none"/>
        </w:rPr>
        <w:t>政府采购项目</w:t>
      </w:r>
    </w:p>
    <w:p w14:paraId="3082A429">
      <w:pPr>
        <w:spacing w:after="120"/>
        <w:jc w:val="center"/>
        <w:rPr>
          <w:rFonts w:ascii="宋体" w:hAnsi="宋体"/>
          <w:b/>
          <w:color w:val="auto"/>
          <w:sz w:val="72"/>
          <w:highlight w:val="none"/>
        </w:rPr>
      </w:pPr>
      <w:r>
        <w:rPr>
          <w:rFonts w:ascii="宋体" w:hAnsi="宋体"/>
          <w:b/>
          <w:color w:val="auto"/>
          <w:sz w:val="72"/>
          <w:highlight w:val="none"/>
        </w:rPr>
        <w:t>国内</w:t>
      </w:r>
      <w:r>
        <w:rPr>
          <w:rFonts w:hint="eastAsia" w:ascii="宋体" w:hAnsi="宋体"/>
          <w:b/>
          <w:color w:val="auto"/>
          <w:sz w:val="72"/>
          <w:highlight w:val="none"/>
        </w:rPr>
        <w:t>公开</w:t>
      </w:r>
      <w:r>
        <w:rPr>
          <w:rFonts w:ascii="宋体" w:hAnsi="宋体"/>
          <w:b/>
          <w:color w:val="auto"/>
          <w:sz w:val="72"/>
          <w:highlight w:val="none"/>
        </w:rPr>
        <w:t>招标文件</w:t>
      </w:r>
    </w:p>
    <w:p w14:paraId="05FB6947">
      <w:pPr>
        <w:spacing w:after="120"/>
        <w:jc w:val="center"/>
        <w:rPr>
          <w:rFonts w:hint="eastAsia" w:ascii="宋体" w:hAnsi="宋体"/>
          <w:b/>
          <w:color w:val="auto"/>
          <w:sz w:val="48"/>
          <w:szCs w:val="21"/>
          <w:highlight w:val="none"/>
        </w:rPr>
      </w:pPr>
      <w:r>
        <w:rPr>
          <w:rFonts w:hint="eastAsia" w:ascii="宋体" w:hAnsi="宋体"/>
          <w:b/>
          <w:color w:val="auto"/>
          <w:sz w:val="48"/>
          <w:szCs w:val="21"/>
          <w:highlight w:val="none"/>
        </w:rPr>
        <w:t>（全一</w:t>
      </w:r>
      <w:r>
        <w:rPr>
          <w:rFonts w:ascii="宋体" w:hAnsi="宋体"/>
          <w:b/>
          <w:color w:val="auto"/>
          <w:sz w:val="48"/>
          <w:szCs w:val="21"/>
          <w:highlight w:val="none"/>
        </w:rPr>
        <w:t>册</w:t>
      </w:r>
      <w:r>
        <w:rPr>
          <w:rFonts w:hint="eastAsia" w:ascii="宋体" w:hAnsi="宋体"/>
          <w:b/>
          <w:color w:val="auto"/>
          <w:sz w:val="48"/>
          <w:szCs w:val="21"/>
          <w:highlight w:val="none"/>
        </w:rPr>
        <w:t>）</w:t>
      </w:r>
    </w:p>
    <w:p w14:paraId="044CE222">
      <w:pPr>
        <w:rPr>
          <w:rFonts w:hint="eastAsia" w:ascii="宋体" w:hAnsi="宋体"/>
          <w:color w:val="auto"/>
          <w:highlight w:val="none"/>
        </w:rPr>
      </w:pPr>
    </w:p>
    <w:p w14:paraId="182B33D6">
      <w:pPr>
        <w:rPr>
          <w:rFonts w:hint="eastAsia" w:ascii="宋体" w:hAnsi="宋体"/>
          <w:color w:val="auto"/>
          <w:highlight w:val="none"/>
        </w:rPr>
      </w:pPr>
    </w:p>
    <w:p w14:paraId="3CA45146">
      <w:pPr>
        <w:rPr>
          <w:rFonts w:ascii="宋体" w:hAnsi="宋体"/>
          <w:color w:val="auto"/>
          <w:highlight w:val="none"/>
        </w:rPr>
      </w:pPr>
    </w:p>
    <w:p w14:paraId="795FEF51">
      <w:pPr>
        <w:rPr>
          <w:rFonts w:hint="eastAsia" w:ascii="宋体" w:hAnsi="宋体"/>
          <w:color w:val="auto"/>
          <w:highlight w:val="none"/>
        </w:rPr>
      </w:pPr>
    </w:p>
    <w:p w14:paraId="69250872">
      <w:pPr>
        <w:tabs>
          <w:tab w:val="left" w:pos="1260"/>
        </w:tabs>
        <w:spacing w:line="800" w:lineRule="exact"/>
        <w:rPr>
          <w:rFonts w:hint="eastAsia" w:ascii="宋体" w:hAnsi="宋体" w:eastAsia="宋体" w:cs="Arial"/>
          <w:bCs/>
          <w:color w:val="auto"/>
          <w:sz w:val="32"/>
          <w:szCs w:val="32"/>
          <w:highlight w:val="none"/>
          <w:u w:val="single"/>
          <w:lang w:eastAsia="zh-CN"/>
        </w:rPr>
      </w:pPr>
      <w:r>
        <w:rPr>
          <w:rFonts w:ascii="宋体" w:hAnsi="宋体" w:cs="Arial"/>
          <w:bCs/>
          <w:color w:val="auto"/>
          <w:sz w:val="32"/>
          <w:szCs w:val="32"/>
          <w:highlight w:val="none"/>
        </w:rPr>
        <w:t>项目编号：</w:t>
      </w:r>
      <w:r>
        <w:rPr>
          <w:rFonts w:hint="eastAsia" w:ascii="宋体" w:hAnsi="宋体" w:cs="Arial"/>
          <w:bCs/>
          <w:color w:val="auto"/>
          <w:sz w:val="32"/>
          <w:szCs w:val="32"/>
          <w:highlight w:val="none"/>
          <w:u w:val="single"/>
          <w:lang w:eastAsia="zh-CN"/>
        </w:rPr>
        <w:t>NBITC-202620214G</w:t>
      </w:r>
    </w:p>
    <w:p w14:paraId="42925AA9">
      <w:pPr>
        <w:widowControl/>
        <w:spacing w:line="800" w:lineRule="exact"/>
        <w:ind w:left="1600" w:hanging="1600" w:hangingChars="500"/>
        <w:jc w:val="left"/>
        <w:rPr>
          <w:rFonts w:hint="eastAsia" w:ascii="宋体" w:hAnsi="宋体" w:eastAsia="宋体" w:cs="Arial"/>
          <w:bCs/>
          <w:color w:val="auto"/>
          <w:sz w:val="32"/>
          <w:szCs w:val="32"/>
          <w:highlight w:val="none"/>
          <w:u w:val="single"/>
          <w:lang w:eastAsia="zh-CN"/>
        </w:rPr>
      </w:pPr>
      <w:r>
        <w:rPr>
          <w:rFonts w:hint="eastAsia" w:ascii="宋体" w:hAnsi="宋体" w:cs="Arial"/>
          <w:bCs/>
          <w:color w:val="auto"/>
          <w:sz w:val="32"/>
          <w:szCs w:val="32"/>
          <w:highlight w:val="none"/>
        </w:rPr>
        <w:t>项目名称</w:t>
      </w:r>
      <w:r>
        <w:rPr>
          <w:rFonts w:ascii="宋体" w:hAnsi="宋体" w:cs="Arial"/>
          <w:bCs/>
          <w:color w:val="auto"/>
          <w:sz w:val="32"/>
          <w:szCs w:val="32"/>
          <w:highlight w:val="none"/>
        </w:rPr>
        <w:t>：</w:t>
      </w:r>
      <w:r>
        <w:rPr>
          <w:rFonts w:hint="eastAsia" w:ascii="宋体" w:hAnsi="宋体" w:cs="Arial"/>
          <w:bCs/>
          <w:color w:val="auto"/>
          <w:sz w:val="32"/>
          <w:szCs w:val="32"/>
          <w:highlight w:val="none"/>
          <w:u w:val="single"/>
          <w:lang w:eastAsia="zh-CN"/>
        </w:rPr>
        <w:t>2026年-2028年鄞州区下应、潘火、首南三街道道路桥梁日常养护项目</w:t>
      </w:r>
    </w:p>
    <w:p w14:paraId="556FEF0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Arial"/>
          <w:bCs/>
          <w:color w:val="auto"/>
          <w:sz w:val="28"/>
          <w:szCs w:val="32"/>
          <w:highlight w:val="none"/>
        </w:rPr>
      </w:pPr>
    </w:p>
    <w:p w14:paraId="5558379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Arial"/>
          <w:bCs/>
          <w:color w:val="auto"/>
          <w:sz w:val="28"/>
          <w:szCs w:val="32"/>
          <w:highlight w:val="none"/>
        </w:rPr>
      </w:pPr>
    </w:p>
    <w:p w14:paraId="09B17A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Arial"/>
          <w:bCs/>
          <w:color w:val="auto"/>
          <w:sz w:val="28"/>
          <w:szCs w:val="28"/>
          <w:highlight w:val="none"/>
          <w:u w:val="single"/>
          <w:lang w:eastAsia="zh-CN"/>
        </w:rPr>
      </w:pPr>
      <w:r>
        <w:rPr>
          <w:rFonts w:hint="eastAsia" w:ascii="宋体" w:hAnsi="宋体" w:cs="Arial"/>
          <w:bCs/>
          <w:color w:val="auto"/>
          <w:sz w:val="28"/>
          <w:szCs w:val="28"/>
          <w:highlight w:val="none"/>
        </w:rPr>
        <w:t>采购人：</w:t>
      </w:r>
      <w:r>
        <w:rPr>
          <w:rFonts w:hint="eastAsia" w:ascii="宋体" w:hAnsi="宋体" w:cs="Arial"/>
          <w:bCs/>
          <w:color w:val="auto"/>
          <w:sz w:val="28"/>
          <w:szCs w:val="28"/>
          <w:highlight w:val="none"/>
          <w:u w:val="single"/>
          <w:lang w:eastAsia="zh-CN"/>
        </w:rPr>
        <w:t>宁波市鄞州区市政设施保障中心</w:t>
      </w:r>
    </w:p>
    <w:p w14:paraId="2388585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Arial"/>
          <w:bCs/>
          <w:color w:val="auto"/>
          <w:sz w:val="28"/>
          <w:szCs w:val="32"/>
          <w:highlight w:val="none"/>
        </w:rPr>
      </w:pPr>
    </w:p>
    <w:p w14:paraId="719810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bCs/>
          <w:color w:val="auto"/>
          <w:sz w:val="28"/>
          <w:szCs w:val="28"/>
          <w:highlight w:val="none"/>
          <w:u w:val="single"/>
        </w:rPr>
      </w:pPr>
      <w:r>
        <w:rPr>
          <w:rFonts w:hint="eastAsia" w:ascii="宋体" w:hAnsi="宋体" w:cs="Arial"/>
          <w:bCs/>
          <w:color w:val="auto"/>
          <w:sz w:val="28"/>
          <w:szCs w:val="28"/>
          <w:highlight w:val="none"/>
        </w:rPr>
        <w:t>采购代理机构：</w:t>
      </w:r>
      <w:r>
        <w:rPr>
          <w:rFonts w:hint="eastAsia" w:ascii="宋体" w:hAnsi="宋体" w:cs="Arial"/>
          <w:bCs/>
          <w:color w:val="auto"/>
          <w:sz w:val="28"/>
          <w:szCs w:val="28"/>
          <w:highlight w:val="none"/>
          <w:u w:val="single"/>
        </w:rPr>
        <w:t>宁波市国际招标有限公司</w:t>
      </w:r>
    </w:p>
    <w:p w14:paraId="53B4DA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Arial"/>
          <w:bCs/>
          <w:color w:val="auto"/>
          <w:sz w:val="28"/>
          <w:szCs w:val="32"/>
          <w:highlight w:val="none"/>
        </w:rPr>
      </w:pPr>
    </w:p>
    <w:p w14:paraId="6D64405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auto"/>
          <w:sz w:val="28"/>
          <w:szCs w:val="28"/>
          <w:highlight w:val="none"/>
        </w:rPr>
      </w:pPr>
      <w:r>
        <w:rPr>
          <w:rFonts w:hint="eastAsia" w:ascii="宋体" w:hAnsi="宋体" w:cs="Arial"/>
          <w:bCs/>
          <w:color w:val="auto"/>
          <w:sz w:val="28"/>
          <w:szCs w:val="28"/>
          <w:highlight w:val="none"/>
        </w:rPr>
        <w:t>编制</w:t>
      </w:r>
      <w:r>
        <w:rPr>
          <w:rFonts w:ascii="宋体" w:hAnsi="宋体" w:cs="Arial"/>
          <w:bCs/>
          <w:color w:val="auto"/>
          <w:sz w:val="28"/>
          <w:szCs w:val="28"/>
          <w:highlight w:val="none"/>
        </w:rPr>
        <w:t>日期：</w:t>
      </w:r>
      <w:r>
        <w:rPr>
          <w:rFonts w:hint="eastAsia" w:ascii="宋体" w:hAnsi="宋体" w:cs="Arial"/>
          <w:bCs/>
          <w:color w:val="auto"/>
          <w:sz w:val="28"/>
          <w:szCs w:val="28"/>
          <w:highlight w:val="none"/>
        </w:rPr>
        <w:t>二〇二</w:t>
      </w:r>
      <w:r>
        <w:rPr>
          <w:rFonts w:hint="eastAsia" w:ascii="宋体" w:hAnsi="宋体" w:cs="Arial"/>
          <w:bCs/>
          <w:color w:val="auto"/>
          <w:sz w:val="28"/>
          <w:szCs w:val="28"/>
          <w:highlight w:val="none"/>
          <w:lang w:val="en-US" w:eastAsia="zh-CN"/>
        </w:rPr>
        <w:t>六</w:t>
      </w:r>
      <w:r>
        <w:rPr>
          <w:rFonts w:hint="eastAsia" w:ascii="宋体" w:hAnsi="宋体" w:cs="Arial"/>
          <w:bCs/>
          <w:color w:val="auto"/>
          <w:sz w:val="28"/>
          <w:szCs w:val="28"/>
          <w:highlight w:val="none"/>
        </w:rPr>
        <w:t>年</w:t>
      </w:r>
      <w:r>
        <w:rPr>
          <w:rFonts w:hint="eastAsia" w:ascii="宋体" w:hAnsi="宋体" w:cs="Arial"/>
          <w:bCs/>
          <w:color w:val="auto"/>
          <w:sz w:val="28"/>
          <w:szCs w:val="28"/>
          <w:highlight w:val="none"/>
          <w:lang w:val="en-US" w:eastAsia="zh-CN"/>
        </w:rPr>
        <w:t>四</w:t>
      </w:r>
      <w:r>
        <w:rPr>
          <w:rFonts w:hint="eastAsia" w:ascii="宋体" w:hAnsi="宋体" w:cs="Arial"/>
          <w:bCs/>
          <w:color w:val="auto"/>
          <w:sz w:val="28"/>
          <w:szCs w:val="28"/>
          <w:highlight w:val="none"/>
        </w:rPr>
        <w:t>月</w:t>
      </w:r>
    </w:p>
    <w:p w14:paraId="0D4EA84B">
      <w:pPr>
        <w:wordWrap w:val="0"/>
        <w:spacing w:line="400" w:lineRule="exact"/>
        <w:jc w:val="center"/>
        <w:rPr>
          <w:rFonts w:ascii="宋体" w:hAnsi="宋体"/>
          <w:b/>
          <w:color w:val="auto"/>
          <w:sz w:val="28"/>
          <w:szCs w:val="28"/>
          <w:highlight w:val="none"/>
        </w:rPr>
      </w:pPr>
    </w:p>
    <w:p w14:paraId="3077C0BB">
      <w:pPr>
        <w:pStyle w:val="43"/>
        <w:rPr>
          <w:highlight w:val="none"/>
        </w:rPr>
        <w:sectPr>
          <w:headerReference r:id="rId3" w:type="default"/>
          <w:footerReference r:id="rId4" w:type="default"/>
          <w:footerReference r:id="rId5" w:type="even"/>
          <w:type w:val="nextColumn"/>
          <w:pgSz w:w="11907" w:h="16840"/>
          <w:pgMar w:top="1440" w:right="1080" w:bottom="1440" w:left="1080" w:header="720" w:footer="0" w:gutter="0"/>
          <w:pgNumType w:start="1"/>
          <w:cols w:space="720" w:num="1"/>
          <w:docGrid w:type="lines" w:linePitch="285" w:charSpace="0"/>
        </w:sectPr>
      </w:pPr>
    </w:p>
    <w:p w14:paraId="429645D1">
      <w:pPr>
        <w:wordWrap w:val="0"/>
        <w:spacing w:line="480" w:lineRule="auto"/>
        <w:jc w:val="center"/>
        <w:rPr>
          <w:rFonts w:ascii="宋体" w:hAnsi="宋体"/>
          <w:b/>
          <w:color w:val="auto"/>
          <w:sz w:val="52"/>
          <w:szCs w:val="52"/>
          <w:highlight w:val="none"/>
        </w:rPr>
      </w:pPr>
    </w:p>
    <w:p w14:paraId="771CB6AB">
      <w:pPr>
        <w:wordWrap w:val="0"/>
        <w:spacing w:line="1200" w:lineRule="exact"/>
        <w:jc w:val="center"/>
        <w:rPr>
          <w:rFonts w:ascii="宋体" w:hAnsi="宋体"/>
          <w:b/>
          <w:color w:val="auto"/>
          <w:sz w:val="72"/>
          <w:szCs w:val="72"/>
          <w:highlight w:val="none"/>
        </w:rPr>
      </w:pPr>
      <w:r>
        <w:rPr>
          <w:rFonts w:hint="eastAsia" w:ascii="宋体" w:hAnsi="宋体"/>
          <w:b/>
          <w:color w:val="auto"/>
          <w:sz w:val="72"/>
          <w:szCs w:val="72"/>
          <w:highlight w:val="none"/>
        </w:rPr>
        <w:t>温馨提醒</w:t>
      </w:r>
    </w:p>
    <w:p w14:paraId="712982A0">
      <w:pPr>
        <w:rPr>
          <w:color w:val="auto"/>
          <w:highlight w:val="none"/>
        </w:rPr>
      </w:pPr>
    </w:p>
    <w:p w14:paraId="5B239CC5">
      <w:pPr>
        <w:rPr>
          <w:color w:val="auto"/>
          <w:highlight w:val="none"/>
        </w:rPr>
      </w:pPr>
    </w:p>
    <w:p w14:paraId="46138404">
      <w:pPr>
        <w:wordWrap w:val="0"/>
        <w:spacing w:line="1000" w:lineRule="exact"/>
        <w:jc w:val="left"/>
        <w:rPr>
          <w:rFonts w:ascii="宋体" w:hAnsi="宋体"/>
          <w:b/>
          <w:color w:val="auto"/>
          <w:sz w:val="30"/>
          <w:szCs w:val="30"/>
          <w:highlight w:val="none"/>
        </w:rPr>
      </w:pPr>
      <w:r>
        <w:rPr>
          <w:rFonts w:ascii="宋体" w:hAnsi="宋体"/>
          <w:b/>
          <w:color w:val="auto"/>
          <w:sz w:val="30"/>
          <w:szCs w:val="30"/>
          <w:highlight w:val="none"/>
        </w:rPr>
        <w:t>1</w:t>
      </w:r>
      <w:r>
        <w:rPr>
          <w:rFonts w:hint="eastAsia" w:ascii="宋体" w:hAnsi="宋体"/>
          <w:b/>
          <w:color w:val="auto"/>
          <w:sz w:val="30"/>
          <w:szCs w:val="30"/>
          <w:highlight w:val="none"/>
        </w:rPr>
        <w:t>、投标文件应按采购文件要求将“资格文件”、“商务和技术文件”、“报价文件”分别编制。</w:t>
      </w:r>
    </w:p>
    <w:p w14:paraId="2DD2DA69">
      <w:pPr>
        <w:wordWrap w:val="0"/>
        <w:spacing w:line="1000" w:lineRule="exact"/>
        <w:jc w:val="left"/>
        <w:rPr>
          <w:rFonts w:hint="eastAsia" w:ascii="宋体" w:hAnsi="宋体"/>
          <w:b/>
          <w:color w:val="auto"/>
          <w:sz w:val="30"/>
          <w:szCs w:val="30"/>
          <w:highlight w:val="none"/>
        </w:rPr>
      </w:pPr>
      <w:r>
        <w:rPr>
          <w:rFonts w:hint="eastAsia" w:ascii="宋体" w:hAnsi="宋体"/>
          <w:b/>
          <w:color w:val="auto"/>
          <w:sz w:val="30"/>
          <w:szCs w:val="30"/>
          <w:highlight w:val="none"/>
        </w:rPr>
        <w:t>2、采购人可以对已发出的采购文件进行必要的澄清或者修改，将以“更正公告”的形式发布在政采云平台，供应商应及时登录政采云平台，进行浏览并下载，未及时浏览下载的责任自负。</w:t>
      </w:r>
    </w:p>
    <w:p w14:paraId="32ADA311">
      <w:pPr>
        <w:wordWrap w:val="0"/>
        <w:jc w:val="center"/>
        <w:outlineLvl w:val="0"/>
        <w:rPr>
          <w:rFonts w:ascii="宋体" w:hAnsi="宋体"/>
          <w:b/>
          <w:bCs/>
          <w:color w:val="auto"/>
          <w:sz w:val="32"/>
          <w:szCs w:val="32"/>
          <w:highlight w:val="none"/>
        </w:rPr>
      </w:pPr>
    </w:p>
    <w:p w14:paraId="6A0E0E62">
      <w:pPr>
        <w:tabs>
          <w:tab w:val="center" w:pos="4365"/>
        </w:tabs>
        <w:wordWrap w:val="0"/>
        <w:spacing w:line="480" w:lineRule="auto"/>
        <w:jc w:val="center"/>
        <w:rPr>
          <w:rFonts w:ascii="宋体" w:hAnsi="宋体"/>
          <w:b/>
          <w:bCs/>
          <w:color w:val="auto"/>
          <w:sz w:val="32"/>
          <w:szCs w:val="32"/>
          <w:highlight w:val="none"/>
        </w:rPr>
      </w:pPr>
      <w:r>
        <w:rPr>
          <w:rFonts w:ascii="宋体" w:hAnsi="宋体"/>
          <w:b/>
          <w:bCs/>
          <w:color w:val="auto"/>
          <w:sz w:val="32"/>
          <w:szCs w:val="32"/>
          <w:highlight w:val="none"/>
        </w:rPr>
        <w:br w:type="page"/>
      </w:r>
    </w:p>
    <w:p w14:paraId="0B5DDB1F">
      <w:pPr>
        <w:tabs>
          <w:tab w:val="center" w:pos="4365"/>
        </w:tabs>
        <w:wordWrap w:val="0"/>
        <w:spacing w:line="480" w:lineRule="auto"/>
        <w:jc w:val="center"/>
        <w:rPr>
          <w:rFonts w:ascii="宋体" w:hAnsi="宋体"/>
          <w:b/>
          <w:color w:val="auto"/>
          <w:sz w:val="52"/>
          <w:szCs w:val="52"/>
          <w:highlight w:val="none"/>
        </w:rPr>
      </w:pPr>
      <w:r>
        <w:rPr>
          <w:rFonts w:hint="eastAsia" w:ascii="宋体" w:hAnsi="宋体"/>
          <w:b/>
          <w:color w:val="auto"/>
          <w:sz w:val="52"/>
          <w:szCs w:val="52"/>
          <w:highlight w:val="none"/>
        </w:rPr>
        <w:t>目</w:t>
      </w:r>
      <w:r>
        <w:rPr>
          <w:rFonts w:ascii="宋体" w:hAnsi="宋体"/>
          <w:b/>
          <w:color w:val="auto"/>
          <w:sz w:val="52"/>
          <w:szCs w:val="52"/>
          <w:highlight w:val="none"/>
        </w:rPr>
        <w:t xml:space="preserve">  </w:t>
      </w:r>
      <w:r>
        <w:rPr>
          <w:rFonts w:hint="eastAsia" w:ascii="宋体" w:hAnsi="宋体"/>
          <w:b/>
          <w:color w:val="auto"/>
          <w:sz w:val="52"/>
          <w:szCs w:val="52"/>
          <w:highlight w:val="none"/>
        </w:rPr>
        <w:t>录</w:t>
      </w:r>
    </w:p>
    <w:p w14:paraId="0C0A2EDB">
      <w:pPr>
        <w:pStyle w:val="30"/>
        <w:jc w:val="center"/>
        <w:rPr>
          <w:color w:val="auto"/>
          <w:sz w:val="21"/>
          <w:szCs w:val="22"/>
          <w:highlight w:val="none"/>
        </w:rPr>
      </w:pPr>
      <w:r>
        <w:rPr>
          <w:b/>
          <w:color w:val="auto"/>
          <w:highlight w:val="none"/>
        </w:rPr>
        <w:fldChar w:fldCharType="begin"/>
      </w:r>
      <w:r>
        <w:rPr>
          <w:b/>
          <w:color w:val="auto"/>
          <w:highlight w:val="none"/>
        </w:rPr>
        <w:instrText xml:space="preserve"> TOC \o "1-3" \h \z \u </w:instrText>
      </w:r>
      <w:r>
        <w:rPr>
          <w:b/>
          <w:color w:val="auto"/>
          <w:highlight w:val="none"/>
        </w:rPr>
        <w:fldChar w:fldCharType="separate"/>
      </w:r>
      <w:r>
        <w:rPr>
          <w:rStyle w:val="56"/>
          <w:color w:val="auto"/>
          <w:highlight w:val="none"/>
        </w:rPr>
        <w:fldChar w:fldCharType="begin"/>
      </w:r>
      <w:r>
        <w:rPr>
          <w:rStyle w:val="56"/>
          <w:color w:val="auto"/>
          <w:highlight w:val="none"/>
        </w:rPr>
        <w:instrText xml:space="preserve"> </w:instrText>
      </w:r>
      <w:r>
        <w:rPr>
          <w:color w:val="auto"/>
          <w:highlight w:val="none"/>
        </w:rPr>
        <w:instrText xml:space="preserve">HYPERLINK \l "_Toc135513209"</w:instrText>
      </w:r>
      <w:r>
        <w:rPr>
          <w:rStyle w:val="56"/>
          <w:color w:val="auto"/>
          <w:highlight w:val="none"/>
        </w:rPr>
        <w:instrText xml:space="preserve"> </w:instrText>
      </w:r>
      <w:r>
        <w:rPr>
          <w:rStyle w:val="56"/>
          <w:color w:val="auto"/>
          <w:highlight w:val="none"/>
        </w:rPr>
        <w:fldChar w:fldCharType="separate"/>
      </w:r>
      <w:r>
        <w:rPr>
          <w:rStyle w:val="56"/>
          <w:b/>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_Toc135513209 \h </w:instrText>
      </w:r>
      <w:r>
        <w:rPr>
          <w:color w:val="auto"/>
          <w:highlight w:val="none"/>
        </w:rPr>
        <w:fldChar w:fldCharType="separate"/>
      </w:r>
      <w:r>
        <w:rPr>
          <w:color w:val="auto"/>
          <w:highlight w:val="none"/>
        </w:rPr>
        <w:t>1</w:t>
      </w:r>
      <w:r>
        <w:rPr>
          <w:color w:val="auto"/>
          <w:highlight w:val="none"/>
        </w:rPr>
        <w:fldChar w:fldCharType="end"/>
      </w:r>
      <w:r>
        <w:rPr>
          <w:rStyle w:val="56"/>
          <w:color w:val="auto"/>
          <w:highlight w:val="none"/>
        </w:rPr>
        <w:fldChar w:fldCharType="end"/>
      </w:r>
    </w:p>
    <w:p w14:paraId="45E847E1">
      <w:pPr>
        <w:pStyle w:val="30"/>
        <w:jc w:val="center"/>
        <w:rPr>
          <w:color w:val="auto"/>
          <w:sz w:val="21"/>
          <w:szCs w:val="22"/>
          <w:highlight w:val="none"/>
        </w:rPr>
      </w:pPr>
      <w:r>
        <w:rPr>
          <w:rStyle w:val="56"/>
          <w:color w:val="auto"/>
          <w:highlight w:val="none"/>
        </w:rPr>
        <w:fldChar w:fldCharType="begin"/>
      </w:r>
      <w:r>
        <w:rPr>
          <w:rStyle w:val="56"/>
          <w:color w:val="auto"/>
          <w:highlight w:val="none"/>
        </w:rPr>
        <w:instrText xml:space="preserve"> </w:instrText>
      </w:r>
      <w:r>
        <w:rPr>
          <w:color w:val="auto"/>
          <w:highlight w:val="none"/>
        </w:rPr>
        <w:instrText xml:space="preserve">HYPERLINK \l "_Toc135513210"</w:instrText>
      </w:r>
      <w:r>
        <w:rPr>
          <w:rStyle w:val="56"/>
          <w:color w:val="auto"/>
          <w:highlight w:val="none"/>
        </w:rPr>
        <w:instrText xml:space="preserve"> </w:instrText>
      </w:r>
      <w:r>
        <w:rPr>
          <w:rStyle w:val="56"/>
          <w:color w:val="auto"/>
          <w:highlight w:val="none"/>
        </w:rPr>
        <w:fldChar w:fldCharType="separate"/>
      </w:r>
      <w:r>
        <w:rPr>
          <w:rStyle w:val="56"/>
          <w:b/>
          <w:color w:val="auto"/>
          <w:highlight w:val="none"/>
        </w:rPr>
        <w:t>第二章  投标须知</w:t>
      </w:r>
      <w:r>
        <w:rPr>
          <w:color w:val="auto"/>
          <w:highlight w:val="none"/>
        </w:rPr>
        <w:tab/>
      </w:r>
      <w:r>
        <w:rPr>
          <w:color w:val="auto"/>
          <w:highlight w:val="none"/>
        </w:rPr>
        <w:fldChar w:fldCharType="begin"/>
      </w:r>
      <w:r>
        <w:rPr>
          <w:color w:val="auto"/>
          <w:highlight w:val="none"/>
        </w:rPr>
        <w:instrText xml:space="preserve"> PAGEREF _Toc135513210 \h </w:instrText>
      </w:r>
      <w:r>
        <w:rPr>
          <w:color w:val="auto"/>
          <w:highlight w:val="none"/>
        </w:rPr>
        <w:fldChar w:fldCharType="separate"/>
      </w:r>
      <w:r>
        <w:rPr>
          <w:color w:val="auto"/>
          <w:highlight w:val="none"/>
        </w:rPr>
        <w:t>5</w:t>
      </w:r>
      <w:r>
        <w:rPr>
          <w:color w:val="auto"/>
          <w:highlight w:val="none"/>
        </w:rPr>
        <w:fldChar w:fldCharType="end"/>
      </w:r>
      <w:r>
        <w:rPr>
          <w:rStyle w:val="56"/>
          <w:color w:val="auto"/>
          <w:highlight w:val="none"/>
        </w:rPr>
        <w:fldChar w:fldCharType="end"/>
      </w:r>
    </w:p>
    <w:p w14:paraId="3882479D">
      <w:pPr>
        <w:pStyle w:val="30"/>
        <w:jc w:val="center"/>
        <w:rPr>
          <w:color w:val="auto"/>
          <w:sz w:val="21"/>
          <w:szCs w:val="22"/>
          <w:highlight w:val="none"/>
        </w:rPr>
      </w:pPr>
      <w:r>
        <w:rPr>
          <w:rStyle w:val="56"/>
          <w:color w:val="auto"/>
          <w:highlight w:val="none"/>
        </w:rPr>
        <w:fldChar w:fldCharType="begin"/>
      </w:r>
      <w:r>
        <w:rPr>
          <w:rStyle w:val="56"/>
          <w:color w:val="auto"/>
          <w:highlight w:val="none"/>
        </w:rPr>
        <w:instrText xml:space="preserve"> </w:instrText>
      </w:r>
      <w:r>
        <w:rPr>
          <w:color w:val="auto"/>
          <w:highlight w:val="none"/>
        </w:rPr>
        <w:instrText xml:space="preserve">HYPERLINK \l "_Toc135513214"</w:instrText>
      </w:r>
      <w:r>
        <w:rPr>
          <w:rStyle w:val="56"/>
          <w:color w:val="auto"/>
          <w:highlight w:val="none"/>
        </w:rPr>
        <w:instrText xml:space="preserve"> </w:instrText>
      </w:r>
      <w:r>
        <w:rPr>
          <w:rStyle w:val="56"/>
          <w:color w:val="auto"/>
          <w:highlight w:val="none"/>
        </w:rPr>
        <w:fldChar w:fldCharType="separate"/>
      </w:r>
      <w:r>
        <w:rPr>
          <w:rStyle w:val="56"/>
          <w:b/>
          <w:color w:val="auto"/>
          <w:highlight w:val="none"/>
        </w:rPr>
        <w:t xml:space="preserve">第三章  </w:t>
      </w:r>
      <w:r>
        <w:rPr>
          <w:rStyle w:val="56"/>
          <w:rFonts w:hint="eastAsia"/>
          <w:b/>
          <w:color w:val="auto"/>
          <w:highlight w:val="none"/>
        </w:rPr>
        <w:t>招标</w:t>
      </w:r>
      <w:r>
        <w:rPr>
          <w:rStyle w:val="56"/>
          <w:b/>
          <w:color w:val="auto"/>
          <w:highlight w:val="none"/>
        </w:rPr>
        <w:t>需求</w:t>
      </w:r>
      <w:r>
        <w:rPr>
          <w:color w:val="auto"/>
          <w:highlight w:val="none"/>
        </w:rPr>
        <w:tab/>
      </w:r>
      <w:r>
        <w:rPr>
          <w:color w:val="auto"/>
          <w:highlight w:val="none"/>
        </w:rPr>
        <w:fldChar w:fldCharType="begin"/>
      </w:r>
      <w:r>
        <w:rPr>
          <w:color w:val="auto"/>
          <w:highlight w:val="none"/>
        </w:rPr>
        <w:instrText xml:space="preserve"> PAGEREF _Toc135513214 \h </w:instrText>
      </w:r>
      <w:r>
        <w:rPr>
          <w:color w:val="auto"/>
          <w:highlight w:val="none"/>
        </w:rPr>
        <w:fldChar w:fldCharType="separate"/>
      </w:r>
      <w:r>
        <w:rPr>
          <w:color w:val="auto"/>
          <w:highlight w:val="none"/>
        </w:rPr>
        <w:t>16</w:t>
      </w:r>
      <w:r>
        <w:rPr>
          <w:color w:val="auto"/>
          <w:highlight w:val="none"/>
        </w:rPr>
        <w:fldChar w:fldCharType="end"/>
      </w:r>
      <w:r>
        <w:rPr>
          <w:rStyle w:val="56"/>
          <w:color w:val="auto"/>
          <w:highlight w:val="none"/>
        </w:rPr>
        <w:fldChar w:fldCharType="end"/>
      </w:r>
    </w:p>
    <w:p w14:paraId="36253201">
      <w:pPr>
        <w:pStyle w:val="30"/>
        <w:jc w:val="center"/>
        <w:rPr>
          <w:color w:val="auto"/>
          <w:sz w:val="21"/>
          <w:szCs w:val="22"/>
          <w:highlight w:val="none"/>
        </w:rPr>
      </w:pPr>
      <w:r>
        <w:rPr>
          <w:rStyle w:val="56"/>
          <w:color w:val="auto"/>
          <w:highlight w:val="none"/>
        </w:rPr>
        <w:fldChar w:fldCharType="begin"/>
      </w:r>
      <w:r>
        <w:rPr>
          <w:rStyle w:val="56"/>
          <w:color w:val="auto"/>
          <w:highlight w:val="none"/>
        </w:rPr>
        <w:instrText xml:space="preserve"> </w:instrText>
      </w:r>
      <w:r>
        <w:rPr>
          <w:color w:val="auto"/>
          <w:highlight w:val="none"/>
        </w:rPr>
        <w:instrText xml:space="preserve">HYPERLINK \l "_Toc135513218"</w:instrText>
      </w:r>
      <w:r>
        <w:rPr>
          <w:rStyle w:val="56"/>
          <w:color w:val="auto"/>
          <w:highlight w:val="none"/>
        </w:rPr>
        <w:instrText xml:space="preserve"> </w:instrText>
      </w:r>
      <w:r>
        <w:rPr>
          <w:rStyle w:val="56"/>
          <w:color w:val="auto"/>
          <w:highlight w:val="none"/>
        </w:rPr>
        <w:fldChar w:fldCharType="separate"/>
      </w:r>
      <w:r>
        <w:rPr>
          <w:rStyle w:val="56"/>
          <w:b/>
          <w:color w:val="auto"/>
          <w:highlight w:val="none"/>
        </w:rPr>
        <w:t>第四章  商务条款</w:t>
      </w:r>
      <w:r>
        <w:rPr>
          <w:color w:val="auto"/>
          <w:highlight w:val="none"/>
        </w:rPr>
        <w:tab/>
      </w:r>
      <w:r>
        <w:rPr>
          <w:color w:val="auto"/>
          <w:highlight w:val="none"/>
        </w:rPr>
        <w:fldChar w:fldCharType="begin"/>
      </w:r>
      <w:r>
        <w:rPr>
          <w:color w:val="auto"/>
          <w:highlight w:val="none"/>
        </w:rPr>
        <w:instrText xml:space="preserve"> PAGEREF _Toc135513218 \h </w:instrText>
      </w:r>
      <w:r>
        <w:rPr>
          <w:color w:val="auto"/>
          <w:highlight w:val="none"/>
        </w:rPr>
        <w:fldChar w:fldCharType="separate"/>
      </w:r>
      <w:r>
        <w:rPr>
          <w:color w:val="auto"/>
          <w:highlight w:val="none"/>
        </w:rPr>
        <w:t>48</w:t>
      </w:r>
      <w:r>
        <w:rPr>
          <w:color w:val="auto"/>
          <w:highlight w:val="none"/>
        </w:rPr>
        <w:fldChar w:fldCharType="end"/>
      </w:r>
      <w:r>
        <w:rPr>
          <w:rStyle w:val="56"/>
          <w:color w:val="auto"/>
          <w:highlight w:val="none"/>
        </w:rPr>
        <w:fldChar w:fldCharType="end"/>
      </w:r>
    </w:p>
    <w:p w14:paraId="39E5BA86">
      <w:pPr>
        <w:pStyle w:val="30"/>
        <w:jc w:val="center"/>
        <w:rPr>
          <w:color w:val="auto"/>
          <w:sz w:val="21"/>
          <w:szCs w:val="22"/>
          <w:highlight w:val="none"/>
        </w:rPr>
      </w:pPr>
      <w:r>
        <w:rPr>
          <w:rStyle w:val="56"/>
          <w:color w:val="auto"/>
          <w:highlight w:val="none"/>
        </w:rPr>
        <w:fldChar w:fldCharType="begin"/>
      </w:r>
      <w:r>
        <w:rPr>
          <w:rStyle w:val="56"/>
          <w:color w:val="auto"/>
          <w:highlight w:val="none"/>
        </w:rPr>
        <w:instrText xml:space="preserve"> </w:instrText>
      </w:r>
      <w:r>
        <w:rPr>
          <w:color w:val="auto"/>
          <w:highlight w:val="none"/>
        </w:rPr>
        <w:instrText xml:space="preserve">HYPERLINK \l "_Toc135513219"</w:instrText>
      </w:r>
      <w:r>
        <w:rPr>
          <w:rStyle w:val="56"/>
          <w:color w:val="auto"/>
          <w:highlight w:val="none"/>
        </w:rPr>
        <w:instrText xml:space="preserve"> </w:instrText>
      </w:r>
      <w:r>
        <w:rPr>
          <w:rStyle w:val="56"/>
          <w:color w:val="auto"/>
          <w:highlight w:val="none"/>
        </w:rPr>
        <w:fldChar w:fldCharType="separate"/>
      </w:r>
      <w:r>
        <w:rPr>
          <w:rStyle w:val="56"/>
          <w:b/>
          <w:color w:val="auto"/>
          <w:highlight w:val="none"/>
        </w:rPr>
        <w:t>第</w:t>
      </w:r>
      <w:r>
        <w:rPr>
          <w:rStyle w:val="56"/>
          <w:rFonts w:hint="eastAsia"/>
          <w:b/>
          <w:color w:val="auto"/>
          <w:highlight w:val="none"/>
        </w:rPr>
        <w:t>五</w:t>
      </w:r>
      <w:r>
        <w:rPr>
          <w:rStyle w:val="56"/>
          <w:b/>
          <w:color w:val="auto"/>
          <w:highlight w:val="none"/>
        </w:rPr>
        <w:t>章  评标办法及标</w:t>
      </w:r>
      <w:bookmarkStart w:id="0" w:name="_Hlt135522161"/>
      <w:r>
        <w:rPr>
          <w:rStyle w:val="56"/>
          <w:b/>
          <w:color w:val="auto"/>
          <w:highlight w:val="none"/>
        </w:rPr>
        <w:t>准</w:t>
      </w:r>
      <w:bookmarkEnd w:id="0"/>
      <w:r>
        <w:rPr>
          <w:color w:val="auto"/>
          <w:highlight w:val="none"/>
        </w:rPr>
        <w:tab/>
      </w:r>
      <w:r>
        <w:rPr>
          <w:color w:val="auto"/>
          <w:highlight w:val="none"/>
        </w:rPr>
        <w:fldChar w:fldCharType="begin"/>
      </w:r>
      <w:r>
        <w:rPr>
          <w:color w:val="auto"/>
          <w:highlight w:val="none"/>
        </w:rPr>
        <w:instrText xml:space="preserve"> PAGEREF _Toc135513219 \h </w:instrText>
      </w:r>
      <w:r>
        <w:rPr>
          <w:color w:val="auto"/>
          <w:highlight w:val="none"/>
        </w:rPr>
        <w:fldChar w:fldCharType="separate"/>
      </w:r>
      <w:r>
        <w:rPr>
          <w:color w:val="auto"/>
          <w:highlight w:val="none"/>
        </w:rPr>
        <w:t>51</w:t>
      </w:r>
      <w:r>
        <w:rPr>
          <w:color w:val="auto"/>
          <w:highlight w:val="none"/>
        </w:rPr>
        <w:fldChar w:fldCharType="end"/>
      </w:r>
      <w:r>
        <w:rPr>
          <w:rStyle w:val="56"/>
          <w:color w:val="auto"/>
          <w:highlight w:val="none"/>
        </w:rPr>
        <w:fldChar w:fldCharType="end"/>
      </w:r>
    </w:p>
    <w:p w14:paraId="336F605B">
      <w:pPr>
        <w:pStyle w:val="30"/>
        <w:jc w:val="center"/>
        <w:rPr>
          <w:color w:val="auto"/>
          <w:sz w:val="21"/>
          <w:szCs w:val="22"/>
          <w:highlight w:val="none"/>
        </w:rPr>
      </w:pPr>
      <w:r>
        <w:rPr>
          <w:rStyle w:val="56"/>
          <w:color w:val="auto"/>
          <w:highlight w:val="none"/>
        </w:rPr>
        <w:fldChar w:fldCharType="begin"/>
      </w:r>
      <w:r>
        <w:rPr>
          <w:rStyle w:val="56"/>
          <w:color w:val="auto"/>
          <w:highlight w:val="none"/>
        </w:rPr>
        <w:instrText xml:space="preserve"> </w:instrText>
      </w:r>
      <w:r>
        <w:rPr>
          <w:color w:val="auto"/>
          <w:highlight w:val="none"/>
        </w:rPr>
        <w:instrText xml:space="preserve">HYPERLINK \l "_Toc135513220"</w:instrText>
      </w:r>
      <w:r>
        <w:rPr>
          <w:rStyle w:val="56"/>
          <w:color w:val="auto"/>
          <w:highlight w:val="none"/>
        </w:rPr>
        <w:instrText xml:space="preserve"> </w:instrText>
      </w:r>
      <w:r>
        <w:rPr>
          <w:rStyle w:val="56"/>
          <w:color w:val="auto"/>
          <w:highlight w:val="none"/>
        </w:rPr>
        <w:fldChar w:fldCharType="separate"/>
      </w:r>
      <w:r>
        <w:rPr>
          <w:rStyle w:val="56"/>
          <w:b/>
          <w:color w:val="auto"/>
          <w:highlight w:val="none"/>
        </w:rPr>
        <w:t>第六章  采购合同</w:t>
      </w:r>
      <w:r>
        <w:rPr>
          <w:color w:val="auto"/>
          <w:highlight w:val="none"/>
        </w:rPr>
        <w:tab/>
      </w:r>
      <w:r>
        <w:rPr>
          <w:color w:val="auto"/>
          <w:highlight w:val="none"/>
        </w:rPr>
        <w:fldChar w:fldCharType="begin"/>
      </w:r>
      <w:r>
        <w:rPr>
          <w:color w:val="auto"/>
          <w:highlight w:val="none"/>
        </w:rPr>
        <w:instrText xml:space="preserve"> PAGEREF _Toc135513220 \h </w:instrText>
      </w:r>
      <w:r>
        <w:rPr>
          <w:color w:val="auto"/>
          <w:highlight w:val="none"/>
        </w:rPr>
        <w:fldChar w:fldCharType="separate"/>
      </w:r>
      <w:r>
        <w:rPr>
          <w:color w:val="auto"/>
          <w:highlight w:val="none"/>
        </w:rPr>
        <w:t>63</w:t>
      </w:r>
      <w:r>
        <w:rPr>
          <w:color w:val="auto"/>
          <w:highlight w:val="none"/>
        </w:rPr>
        <w:fldChar w:fldCharType="end"/>
      </w:r>
      <w:r>
        <w:rPr>
          <w:rStyle w:val="56"/>
          <w:color w:val="auto"/>
          <w:highlight w:val="none"/>
        </w:rPr>
        <w:fldChar w:fldCharType="end"/>
      </w:r>
    </w:p>
    <w:p w14:paraId="3295BDC2">
      <w:pPr>
        <w:pStyle w:val="30"/>
        <w:jc w:val="center"/>
        <w:rPr>
          <w:color w:val="auto"/>
          <w:sz w:val="21"/>
          <w:szCs w:val="22"/>
          <w:highlight w:val="none"/>
        </w:rPr>
      </w:pPr>
      <w:r>
        <w:rPr>
          <w:rStyle w:val="56"/>
          <w:color w:val="auto"/>
          <w:highlight w:val="none"/>
        </w:rPr>
        <w:fldChar w:fldCharType="begin"/>
      </w:r>
      <w:r>
        <w:rPr>
          <w:rStyle w:val="56"/>
          <w:color w:val="auto"/>
          <w:highlight w:val="none"/>
        </w:rPr>
        <w:instrText xml:space="preserve"> </w:instrText>
      </w:r>
      <w:r>
        <w:rPr>
          <w:color w:val="auto"/>
          <w:highlight w:val="none"/>
        </w:rPr>
        <w:instrText xml:space="preserve">HYPERLINK \l "_Toc135513221"</w:instrText>
      </w:r>
      <w:r>
        <w:rPr>
          <w:rStyle w:val="56"/>
          <w:color w:val="auto"/>
          <w:highlight w:val="none"/>
        </w:rPr>
        <w:instrText xml:space="preserve"> </w:instrText>
      </w:r>
      <w:r>
        <w:rPr>
          <w:rStyle w:val="56"/>
          <w:color w:val="auto"/>
          <w:highlight w:val="none"/>
        </w:rPr>
        <w:fldChar w:fldCharType="separate"/>
      </w:r>
      <w:r>
        <w:rPr>
          <w:rStyle w:val="56"/>
          <w:b/>
          <w:color w:val="auto"/>
          <w:highlight w:val="none"/>
        </w:rPr>
        <w:t>第七章  附件</w:t>
      </w:r>
      <w:r>
        <w:rPr>
          <w:color w:val="auto"/>
          <w:highlight w:val="none"/>
        </w:rPr>
        <w:tab/>
      </w:r>
      <w:r>
        <w:rPr>
          <w:color w:val="auto"/>
          <w:highlight w:val="none"/>
        </w:rPr>
        <w:fldChar w:fldCharType="begin"/>
      </w:r>
      <w:r>
        <w:rPr>
          <w:color w:val="auto"/>
          <w:highlight w:val="none"/>
        </w:rPr>
        <w:instrText xml:space="preserve"> PAGEREF _Toc135513221 \h </w:instrText>
      </w:r>
      <w:r>
        <w:rPr>
          <w:color w:val="auto"/>
          <w:highlight w:val="none"/>
        </w:rPr>
        <w:fldChar w:fldCharType="separate"/>
      </w:r>
      <w:r>
        <w:rPr>
          <w:color w:val="auto"/>
          <w:highlight w:val="none"/>
        </w:rPr>
        <w:t>104</w:t>
      </w:r>
      <w:r>
        <w:rPr>
          <w:color w:val="auto"/>
          <w:highlight w:val="none"/>
        </w:rPr>
        <w:fldChar w:fldCharType="end"/>
      </w:r>
      <w:r>
        <w:rPr>
          <w:rStyle w:val="56"/>
          <w:color w:val="auto"/>
          <w:highlight w:val="none"/>
        </w:rPr>
        <w:fldChar w:fldCharType="end"/>
      </w:r>
    </w:p>
    <w:p w14:paraId="68EEA27D">
      <w:pPr>
        <w:wordWrap w:val="0"/>
        <w:spacing w:line="1000" w:lineRule="exact"/>
        <w:jc w:val="center"/>
        <w:rPr>
          <w:rFonts w:ascii="宋体" w:hAnsi="宋体"/>
          <w:b/>
          <w:color w:val="auto"/>
          <w:sz w:val="32"/>
          <w:highlight w:val="none"/>
        </w:rPr>
      </w:pPr>
      <w:r>
        <w:rPr>
          <w:rFonts w:ascii="宋体" w:hAnsi="宋体"/>
          <w:b/>
          <w:color w:val="auto"/>
          <w:highlight w:val="none"/>
        </w:rPr>
        <w:fldChar w:fldCharType="end"/>
      </w:r>
    </w:p>
    <w:p w14:paraId="06C7BDD0">
      <w:pPr>
        <w:wordWrap w:val="0"/>
        <w:spacing w:line="400" w:lineRule="exact"/>
        <w:jc w:val="center"/>
        <w:rPr>
          <w:rFonts w:ascii="宋体" w:hAnsi="宋体"/>
          <w:b/>
          <w:color w:val="auto"/>
          <w:sz w:val="32"/>
          <w:highlight w:val="none"/>
        </w:rPr>
        <w:sectPr>
          <w:headerReference r:id="rId6" w:type="default"/>
          <w:type w:val="nextColumn"/>
          <w:pgSz w:w="11907" w:h="16840"/>
          <w:pgMar w:top="1440" w:right="1080" w:bottom="1440" w:left="1080" w:header="569" w:footer="700" w:gutter="0"/>
          <w:cols w:space="720" w:num="1"/>
          <w:docGrid w:linePitch="285" w:charSpace="0"/>
        </w:sectPr>
      </w:pPr>
    </w:p>
    <w:p w14:paraId="5C7A5F79">
      <w:pPr>
        <w:wordWrap w:val="0"/>
        <w:spacing w:line="400" w:lineRule="exact"/>
        <w:jc w:val="center"/>
        <w:outlineLvl w:val="0"/>
        <w:rPr>
          <w:rFonts w:ascii="宋体" w:hAnsi="宋体"/>
          <w:b/>
          <w:color w:val="auto"/>
          <w:sz w:val="32"/>
          <w:highlight w:val="none"/>
        </w:rPr>
      </w:pPr>
      <w:bookmarkStart w:id="1" w:name="_Toc135513209"/>
      <w:r>
        <w:rPr>
          <w:rFonts w:hint="eastAsia" w:ascii="宋体" w:hAnsi="宋体"/>
          <w:b/>
          <w:color w:val="auto"/>
          <w:sz w:val="32"/>
          <w:highlight w:val="none"/>
        </w:rPr>
        <w:t>第一章  招标公告</w:t>
      </w:r>
      <w:bookmarkEnd w:id="1"/>
    </w:p>
    <w:p w14:paraId="2E4B423D">
      <w:pPr>
        <w:wordWrap w:val="0"/>
        <w:spacing w:line="360" w:lineRule="auto"/>
        <w:ind w:firstLine="210" w:firstLineChars="100"/>
        <w:rPr>
          <w:rFonts w:hint="eastAsia" w:ascii="宋体" w:hAnsi="宋体"/>
          <w:color w:val="auto"/>
          <w:szCs w:val="21"/>
          <w:highlight w:val="none"/>
        </w:rPr>
      </w:pPr>
      <w:r>
        <w:rPr>
          <w:rFonts w:ascii="宋体" w:hAnsi="宋体"/>
          <w:color w:val="auto"/>
          <w:szCs w:val="21"/>
          <w:highlight w:val="none"/>
        </w:rPr>
        <w:t>发布日期：202</w:t>
      </w:r>
      <w:r>
        <w:rPr>
          <w:rFonts w:hint="eastAsia" w:ascii="宋体" w:hAnsi="宋体"/>
          <w:color w:val="auto"/>
          <w:szCs w:val="21"/>
          <w:highlight w:val="none"/>
          <w:lang w:val="en-US" w:eastAsia="zh-CN"/>
        </w:rPr>
        <w:t>6</w:t>
      </w:r>
      <w:r>
        <w:rPr>
          <w:rFonts w:ascii="宋体" w:hAnsi="宋体"/>
          <w:color w:val="auto"/>
          <w:szCs w:val="21"/>
          <w:highlight w:val="none"/>
        </w:rPr>
        <w:t>年</w:t>
      </w:r>
      <w:r>
        <w:rPr>
          <w:rFonts w:hint="eastAsia" w:ascii="宋体" w:hAnsi="宋体"/>
          <w:color w:val="auto"/>
          <w:szCs w:val="21"/>
          <w:highlight w:val="none"/>
          <w:lang w:val="en-US" w:eastAsia="zh-CN"/>
        </w:rPr>
        <w:t>4</w:t>
      </w:r>
      <w:r>
        <w:rPr>
          <w:rFonts w:ascii="宋体" w:hAnsi="宋体"/>
          <w:color w:val="auto"/>
          <w:szCs w:val="21"/>
          <w:highlight w:val="none"/>
        </w:rPr>
        <w:t>月</w:t>
      </w:r>
      <w:r>
        <w:rPr>
          <w:rFonts w:hint="eastAsia" w:ascii="宋体" w:hAnsi="宋体"/>
          <w:color w:val="auto"/>
          <w:szCs w:val="21"/>
          <w:highlight w:val="none"/>
          <w:lang w:val="en-US" w:eastAsia="zh-CN"/>
        </w:rPr>
        <w:t>7</w:t>
      </w:r>
      <w:r>
        <w:rPr>
          <w:rFonts w:ascii="宋体" w:hAnsi="宋体"/>
          <w:color w:val="auto"/>
          <w:szCs w:val="21"/>
          <w:highlight w:val="none"/>
        </w:rPr>
        <w:t>日</w:t>
      </w:r>
    </w:p>
    <w:tbl>
      <w:tblPr>
        <w:tblStyle w:val="48"/>
        <w:tblW w:w="9728"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8"/>
      </w:tblGrid>
      <w:tr w14:paraId="60CA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7" w:hRule="atLeast"/>
        </w:trPr>
        <w:tc>
          <w:tcPr>
            <w:tcW w:w="9728" w:type="dxa"/>
            <w:noWrap w:val="0"/>
            <w:vAlign w:val="top"/>
          </w:tcPr>
          <w:p w14:paraId="30ED1B5B">
            <w:pPr>
              <w:wordWrap w:val="0"/>
              <w:spacing w:line="360" w:lineRule="auto"/>
              <w:rPr>
                <w:rFonts w:ascii="宋体" w:hAnsi="宋体"/>
                <w:b/>
                <w:color w:val="auto"/>
                <w:szCs w:val="21"/>
                <w:highlight w:val="none"/>
              </w:rPr>
            </w:pPr>
            <w:r>
              <w:rPr>
                <w:rFonts w:ascii="宋体" w:hAnsi="宋体"/>
                <w:b/>
                <w:color w:val="auto"/>
                <w:szCs w:val="21"/>
                <w:highlight w:val="none"/>
              </w:rPr>
              <w:t>项目概况</w:t>
            </w:r>
          </w:p>
          <w:p w14:paraId="6A453BD6">
            <w:pPr>
              <w:wordWrap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2026年-2028年鄞州区下应、潘火、首南三街道道路桥梁日常养护项目</w:t>
            </w:r>
            <w:r>
              <w:rPr>
                <w:rFonts w:ascii="宋体" w:hAnsi="宋体"/>
                <w:color w:val="auto"/>
                <w:szCs w:val="21"/>
                <w:highlight w:val="none"/>
              </w:rPr>
              <w:t>的潜在投标人应在政府采购云平台（www.zcygov.cn）获取（下载）采购文件，并于202</w:t>
            </w:r>
            <w:r>
              <w:rPr>
                <w:rFonts w:hint="eastAsia" w:ascii="宋体" w:hAnsi="宋体"/>
                <w:color w:val="auto"/>
                <w:szCs w:val="21"/>
                <w:highlight w:val="none"/>
                <w:lang w:val="en-US" w:eastAsia="zh-CN"/>
              </w:rPr>
              <w:t>6</w:t>
            </w:r>
            <w:r>
              <w:rPr>
                <w:rFonts w:ascii="宋体" w:hAnsi="宋体"/>
                <w:color w:val="auto"/>
                <w:szCs w:val="21"/>
                <w:highlight w:val="none"/>
              </w:rPr>
              <w:t>年</w:t>
            </w:r>
            <w:r>
              <w:rPr>
                <w:rFonts w:hint="eastAsia" w:ascii="宋体" w:hAnsi="宋体"/>
                <w:color w:val="auto"/>
                <w:szCs w:val="21"/>
                <w:highlight w:val="none"/>
                <w:lang w:val="en-US" w:eastAsia="zh-CN"/>
              </w:rPr>
              <w:t>4</w:t>
            </w:r>
            <w:r>
              <w:rPr>
                <w:rFonts w:ascii="宋体" w:hAnsi="宋体"/>
                <w:color w:val="auto"/>
                <w:szCs w:val="21"/>
                <w:highlight w:val="none"/>
              </w:rPr>
              <w:t>月</w:t>
            </w:r>
            <w:r>
              <w:rPr>
                <w:rFonts w:hint="eastAsia" w:ascii="宋体" w:hAnsi="宋体"/>
                <w:color w:val="auto"/>
                <w:szCs w:val="21"/>
                <w:highlight w:val="none"/>
                <w:lang w:val="en-US" w:eastAsia="zh-CN"/>
              </w:rPr>
              <w:t>27</w:t>
            </w:r>
            <w:r>
              <w:rPr>
                <w:rFonts w:ascii="宋体" w:hAnsi="宋体"/>
                <w:color w:val="auto"/>
                <w:szCs w:val="21"/>
                <w:highlight w:val="none"/>
              </w:rPr>
              <w:t>日</w:t>
            </w: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0</w:t>
            </w:r>
            <w:r>
              <w:rPr>
                <w:rFonts w:ascii="宋体" w:hAnsi="宋体"/>
                <w:color w:val="auto"/>
                <w:szCs w:val="21"/>
                <w:highlight w:val="none"/>
              </w:rPr>
              <w:t>（北京时间）前递交（上传）投标文件。</w:t>
            </w:r>
          </w:p>
        </w:tc>
      </w:tr>
    </w:tbl>
    <w:p w14:paraId="23518515">
      <w:pPr>
        <w:wordWrap w:val="0"/>
        <w:spacing w:line="360" w:lineRule="auto"/>
        <w:rPr>
          <w:rFonts w:ascii="宋体" w:hAnsi="宋体"/>
          <w:b/>
          <w:color w:val="auto"/>
          <w:szCs w:val="21"/>
          <w:highlight w:val="none"/>
        </w:rPr>
      </w:pPr>
      <w:r>
        <w:rPr>
          <w:rFonts w:hint="eastAsia" w:ascii="宋体" w:hAnsi="宋体"/>
          <w:b/>
          <w:color w:val="auto"/>
          <w:szCs w:val="21"/>
          <w:highlight w:val="none"/>
        </w:rPr>
        <w:t>一、项目基本情况</w:t>
      </w:r>
    </w:p>
    <w:p w14:paraId="0B6502FE">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项目编号：NBITC-202620214G</w:t>
      </w:r>
    </w:p>
    <w:p w14:paraId="30E3BA84">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项目名称：2026年-2028年鄞州区下应、潘火、首南三街道道路桥梁日常养护项目</w:t>
      </w:r>
    </w:p>
    <w:p w14:paraId="7F2CAF22">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预算金额（元）：670000.00</w:t>
      </w:r>
    </w:p>
    <w:p w14:paraId="7CCF04F8">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最高限价（元）：670000.00</w:t>
      </w:r>
    </w:p>
    <w:p w14:paraId="60681CE2">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6EFE333F">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标项一：</w:t>
      </w:r>
    </w:p>
    <w:p w14:paraId="0DFBE662">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标项名称：2026年-2028年鄞州区下应、潘火、首南三街道道路桥梁日常养护</w:t>
      </w:r>
    </w:p>
    <w:p w14:paraId="7C8885C0">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数量：1</w:t>
      </w:r>
    </w:p>
    <w:p w14:paraId="6EF3EE8B">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预算金额（元）：670000.00</w:t>
      </w:r>
    </w:p>
    <w:p w14:paraId="19095699">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简要规格描述或项目基本概况介绍、用途：对下应、首南、潘火三个街道的道路及桥梁进行日常管理巡查、伸缩缝泄水孔保洁；日常养护维修、应急保障等。以上预算为包干费用，维修费用按实结算。详见采购文件第三章 招标需求。</w:t>
      </w:r>
    </w:p>
    <w:p w14:paraId="2FE97A8A">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备注：设施量详见附件清单，最终数量以合同签订时为基础，每月按设施量变更情况以联系单形式通知，同时调整相应包干经费。零星维修预估568万元/年，具体按实结算，采用保险赔付形式支付。</w:t>
      </w:r>
    </w:p>
    <w:p w14:paraId="2FC7B2A7">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约期限：采用“1+1”模式，总期限2年，合同一年一签；合同期限暂定自2026年7月1日起至2027年6月30日止，下一年由采购人根据中标人在上一年度合同履约及养护考核等情况决定是否续签（若因政策调整、养护模式或养护经费调整等客观情况需要重新进行招标的，采购人有权单方面终止合同）。</w:t>
      </w:r>
    </w:p>
    <w:p w14:paraId="7B16CD0F">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本项目（否）接受联合体投标。</w:t>
      </w:r>
    </w:p>
    <w:p w14:paraId="68BB80F9">
      <w:pPr>
        <w:wordWrap w:val="0"/>
        <w:spacing w:line="360" w:lineRule="auto"/>
        <w:rPr>
          <w:rFonts w:ascii="宋体" w:hAnsi="宋体"/>
          <w:b/>
          <w:color w:val="auto"/>
          <w:szCs w:val="21"/>
          <w:highlight w:val="none"/>
        </w:rPr>
      </w:pPr>
      <w:r>
        <w:rPr>
          <w:rFonts w:hint="eastAsia" w:ascii="宋体" w:hAnsi="宋体"/>
          <w:b/>
          <w:color w:val="auto"/>
          <w:szCs w:val="21"/>
          <w:highlight w:val="none"/>
        </w:rPr>
        <w:t>二、申请人的资格要求：</w:t>
      </w:r>
    </w:p>
    <w:p w14:paraId="0EB1E809">
      <w:pPr>
        <w:wordWrap w:val="0"/>
        <w:spacing w:line="360" w:lineRule="auto"/>
        <w:ind w:firstLine="420" w:firstLineChars="200"/>
        <w:rPr>
          <w:rFonts w:ascii="宋体" w:hAnsi="宋体"/>
          <w:color w:val="auto"/>
          <w:szCs w:val="21"/>
          <w:highlight w:val="none"/>
        </w:rPr>
      </w:pPr>
      <w:r>
        <w:rPr>
          <w:rFonts w:ascii="宋体" w:hAnsi="宋体"/>
          <w:color w:val="auto"/>
          <w:szCs w:val="21"/>
          <w:highlight w:val="none"/>
        </w:rPr>
        <w:t>1.满足《中华人民共和国政府采购法》第二十二条规定；未被“信用中国”（www.creditchina.gov.cn)、中国政府采购网（www.ccgp.gov.cn）列入失信被执行人、重大税收违法案件当事人名单</w:t>
      </w:r>
      <w:r>
        <w:rPr>
          <w:rFonts w:hint="eastAsia" w:ascii="宋体" w:hAnsi="宋体"/>
          <w:color w:val="auto"/>
          <w:szCs w:val="21"/>
          <w:highlight w:val="none"/>
        </w:rPr>
        <w:t>（重大税收违法失信主体）</w:t>
      </w:r>
      <w:r>
        <w:rPr>
          <w:rFonts w:ascii="宋体" w:hAnsi="宋体"/>
          <w:color w:val="auto"/>
          <w:szCs w:val="21"/>
          <w:highlight w:val="none"/>
        </w:rPr>
        <w:t>、政府采购严重违法失信行为记录名单。</w:t>
      </w:r>
    </w:p>
    <w:p w14:paraId="63A48B5E">
      <w:pPr>
        <w:wordWrap w:val="0"/>
        <w:spacing w:line="360" w:lineRule="auto"/>
        <w:ind w:firstLine="420" w:firstLineChars="200"/>
        <w:rPr>
          <w:rFonts w:hint="eastAsia" w:ascii="宋体" w:hAnsi="宋体" w:eastAsia="宋体" w:cs="宋体"/>
          <w:color w:val="auto"/>
          <w:szCs w:val="21"/>
          <w:highlight w:val="none"/>
          <w:lang w:eastAsia="zh-CN"/>
        </w:rPr>
      </w:pPr>
      <w:r>
        <w:rPr>
          <w:rFonts w:ascii="宋体" w:hAnsi="宋体"/>
          <w:color w:val="auto"/>
          <w:szCs w:val="21"/>
          <w:highlight w:val="none"/>
        </w:rPr>
        <w:t>2.落实政府采</w:t>
      </w:r>
      <w:r>
        <w:rPr>
          <w:rFonts w:ascii="宋体" w:hAnsi="宋体" w:cs="宋体"/>
          <w:color w:val="auto"/>
          <w:szCs w:val="21"/>
          <w:highlight w:val="none"/>
        </w:rPr>
        <w:t>购政策需满足的资格要求：</w:t>
      </w:r>
      <w:r>
        <w:rPr>
          <w:rFonts w:hint="eastAsia" w:ascii="宋体" w:hAnsi="宋体" w:cs="宋体"/>
          <w:color w:val="auto"/>
          <w:szCs w:val="21"/>
          <w:highlight w:val="none"/>
          <w:lang w:val="en-US" w:eastAsia="zh-CN"/>
        </w:rPr>
        <w:t>无</w:t>
      </w:r>
    </w:p>
    <w:p w14:paraId="294F55FA">
      <w:pPr>
        <w:wordWrap w:val="0"/>
        <w:spacing w:line="360" w:lineRule="auto"/>
        <w:ind w:firstLine="420" w:firstLineChars="200"/>
        <w:rPr>
          <w:rFonts w:hint="eastAsia" w:ascii="宋体" w:hAnsi="宋体" w:eastAsia="宋体" w:cs="宋体"/>
          <w:color w:val="auto"/>
          <w:szCs w:val="21"/>
          <w:highlight w:val="none"/>
          <w:lang w:eastAsia="zh-CN"/>
        </w:rPr>
      </w:pPr>
      <w:r>
        <w:rPr>
          <w:rFonts w:ascii="宋体" w:hAnsi="宋体" w:cs="宋体"/>
          <w:color w:val="auto"/>
          <w:szCs w:val="21"/>
          <w:highlight w:val="none"/>
        </w:rPr>
        <w:t>3.本项目的特定资格要求：</w:t>
      </w:r>
      <w:bookmarkStart w:id="2" w:name="_Hlk80887605"/>
      <w:r>
        <w:rPr>
          <w:rFonts w:hint="eastAsia" w:cs="Arial"/>
          <w:color w:val="auto"/>
          <w:szCs w:val="21"/>
          <w:highlight w:val="none"/>
        </w:rPr>
        <w:t>投标人具有市政公用工程施工总承包</w:t>
      </w:r>
      <w:r>
        <w:rPr>
          <w:rFonts w:hint="eastAsia" w:cs="Arial"/>
          <w:color w:val="auto"/>
          <w:szCs w:val="21"/>
          <w:highlight w:val="none"/>
          <w:lang w:val="en-US" w:eastAsia="zh-CN"/>
        </w:rPr>
        <w:t>三</w:t>
      </w:r>
      <w:r>
        <w:rPr>
          <w:rFonts w:hint="eastAsia" w:cs="Arial"/>
          <w:color w:val="auto"/>
          <w:szCs w:val="21"/>
          <w:highlight w:val="none"/>
        </w:rPr>
        <w:t>级及以上资质</w:t>
      </w:r>
      <w:bookmarkEnd w:id="2"/>
      <w:r>
        <w:rPr>
          <w:rFonts w:hint="eastAsia" w:cs="Arial"/>
          <w:color w:val="auto"/>
          <w:szCs w:val="21"/>
          <w:highlight w:val="none"/>
          <w:lang w:eastAsia="zh-CN"/>
        </w:rPr>
        <w:t>。</w:t>
      </w:r>
    </w:p>
    <w:p w14:paraId="2CBD7532">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4.本项目</w:t>
      </w:r>
      <w:r>
        <w:rPr>
          <w:rFonts w:ascii="宋体" w:hAnsi="宋体" w:cs="宋体"/>
          <w:color w:val="auto"/>
          <w:szCs w:val="21"/>
          <w:highlight w:val="none"/>
        </w:rPr>
        <w:t>不接受联合体投标。</w:t>
      </w:r>
    </w:p>
    <w:p w14:paraId="22AB4089">
      <w:pPr>
        <w:wordWrap w:val="0"/>
        <w:spacing w:line="360" w:lineRule="auto"/>
        <w:rPr>
          <w:rFonts w:ascii="宋体" w:hAnsi="宋体"/>
          <w:b/>
          <w:color w:val="auto"/>
          <w:szCs w:val="21"/>
          <w:highlight w:val="none"/>
        </w:rPr>
      </w:pPr>
      <w:r>
        <w:rPr>
          <w:rFonts w:hint="eastAsia" w:ascii="宋体" w:hAnsi="宋体"/>
          <w:b/>
          <w:color w:val="auto"/>
          <w:szCs w:val="21"/>
          <w:highlight w:val="none"/>
        </w:rPr>
        <w:t>三、获取采购文件</w:t>
      </w:r>
    </w:p>
    <w:p w14:paraId="38D852CC">
      <w:pPr>
        <w:wordWrap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时间：202</w:t>
      </w:r>
      <w:r>
        <w:rPr>
          <w:rFonts w:hint="eastAsia" w:ascii="宋体" w:hAnsi="宋体"/>
          <w:color w:val="auto"/>
          <w:szCs w:val="21"/>
          <w:highlight w:val="none"/>
          <w:lang w:val="en-US" w:eastAsia="zh-CN"/>
        </w:rPr>
        <w:t>6</w:t>
      </w:r>
      <w:r>
        <w:rPr>
          <w:rFonts w:ascii="宋体" w:hAnsi="宋体"/>
          <w:color w:val="auto"/>
          <w:szCs w:val="21"/>
          <w:highlight w:val="none"/>
        </w:rPr>
        <w:t>年</w:t>
      </w:r>
      <w:r>
        <w:rPr>
          <w:rFonts w:hint="eastAsia" w:ascii="宋体" w:hAnsi="宋体"/>
          <w:color w:val="auto"/>
          <w:szCs w:val="21"/>
          <w:highlight w:val="none"/>
          <w:lang w:val="en-US" w:eastAsia="zh-CN"/>
        </w:rPr>
        <w:t>4</w:t>
      </w:r>
      <w:r>
        <w:rPr>
          <w:rFonts w:ascii="宋体" w:hAnsi="宋体"/>
          <w:color w:val="auto"/>
          <w:szCs w:val="21"/>
          <w:highlight w:val="none"/>
        </w:rPr>
        <w:t>月</w:t>
      </w:r>
      <w:r>
        <w:rPr>
          <w:rFonts w:hint="eastAsia" w:ascii="宋体" w:hAnsi="宋体"/>
          <w:color w:val="auto"/>
          <w:szCs w:val="21"/>
          <w:highlight w:val="none"/>
          <w:lang w:val="en-US" w:eastAsia="zh-CN"/>
        </w:rPr>
        <w:t>7</w:t>
      </w:r>
      <w:r>
        <w:rPr>
          <w:rFonts w:ascii="宋体" w:hAnsi="宋体"/>
          <w:color w:val="auto"/>
          <w:szCs w:val="21"/>
          <w:highlight w:val="none"/>
        </w:rPr>
        <w:t>日</w:t>
      </w:r>
      <w:r>
        <w:rPr>
          <w:rFonts w:hint="eastAsia" w:ascii="宋体" w:hAnsi="宋体"/>
          <w:color w:val="auto"/>
          <w:szCs w:val="21"/>
          <w:highlight w:val="none"/>
        </w:rPr>
        <w:t>至</w:t>
      </w:r>
      <w:r>
        <w:rPr>
          <w:rFonts w:ascii="宋体" w:hAnsi="宋体"/>
          <w:color w:val="auto"/>
          <w:szCs w:val="21"/>
          <w:highlight w:val="none"/>
        </w:rPr>
        <w:t>202</w:t>
      </w:r>
      <w:r>
        <w:rPr>
          <w:rFonts w:hint="eastAsia" w:ascii="宋体" w:hAnsi="宋体"/>
          <w:color w:val="auto"/>
          <w:szCs w:val="21"/>
          <w:highlight w:val="none"/>
          <w:lang w:val="en-US" w:eastAsia="zh-CN"/>
        </w:rPr>
        <w:t>6</w:t>
      </w:r>
      <w:r>
        <w:rPr>
          <w:rFonts w:ascii="宋体" w:hAnsi="宋体"/>
          <w:color w:val="auto"/>
          <w:szCs w:val="21"/>
          <w:highlight w:val="none"/>
        </w:rPr>
        <w:t>年</w:t>
      </w:r>
      <w:r>
        <w:rPr>
          <w:rFonts w:hint="eastAsia" w:ascii="宋体" w:hAnsi="宋体"/>
          <w:color w:val="auto"/>
          <w:szCs w:val="21"/>
          <w:highlight w:val="none"/>
          <w:lang w:val="en-US" w:eastAsia="zh-CN"/>
        </w:rPr>
        <w:t>4</w:t>
      </w:r>
      <w:r>
        <w:rPr>
          <w:rFonts w:ascii="宋体" w:hAnsi="宋体"/>
          <w:color w:val="auto"/>
          <w:szCs w:val="21"/>
          <w:highlight w:val="none"/>
        </w:rPr>
        <w:t>月</w:t>
      </w:r>
      <w:r>
        <w:rPr>
          <w:rFonts w:hint="eastAsia" w:ascii="宋体" w:hAnsi="宋体"/>
          <w:color w:val="auto"/>
          <w:szCs w:val="21"/>
          <w:highlight w:val="none"/>
          <w:lang w:val="en-US" w:eastAsia="zh-CN"/>
        </w:rPr>
        <w:t>14</w:t>
      </w:r>
      <w:r>
        <w:rPr>
          <w:rFonts w:ascii="宋体" w:hAnsi="宋体"/>
          <w:color w:val="auto"/>
          <w:szCs w:val="21"/>
          <w:highlight w:val="none"/>
        </w:rPr>
        <w:t>日，每天上午00:00至12:00，下午12:00至23:59（北京时间，线上获取法定节假日均可，线下获取文件法定节假日除外）</w:t>
      </w:r>
    </w:p>
    <w:p w14:paraId="25E1AC22">
      <w:pPr>
        <w:wordWrap w:val="0"/>
        <w:spacing w:line="360" w:lineRule="auto"/>
        <w:ind w:firstLine="420" w:firstLineChars="200"/>
        <w:rPr>
          <w:rFonts w:ascii="宋体" w:hAnsi="宋体"/>
          <w:color w:val="auto"/>
          <w:szCs w:val="21"/>
          <w:highlight w:val="none"/>
        </w:rPr>
      </w:pPr>
      <w:r>
        <w:rPr>
          <w:rFonts w:ascii="宋体" w:hAnsi="宋体"/>
          <w:color w:val="auto"/>
          <w:szCs w:val="21"/>
          <w:highlight w:val="none"/>
        </w:rPr>
        <w:t>地点（网址）：政府采购云平台（www.zcygov.cn）</w:t>
      </w:r>
    </w:p>
    <w:p w14:paraId="40EF6575">
      <w:pPr>
        <w:wordWrap w:val="0"/>
        <w:spacing w:line="360" w:lineRule="auto"/>
        <w:ind w:firstLine="420" w:firstLineChars="200"/>
        <w:rPr>
          <w:rFonts w:ascii="宋体" w:hAnsi="宋体"/>
          <w:color w:val="auto"/>
          <w:szCs w:val="21"/>
          <w:highlight w:val="none"/>
        </w:rPr>
      </w:pPr>
      <w:r>
        <w:rPr>
          <w:rFonts w:ascii="宋体" w:hAnsi="宋体"/>
          <w:color w:val="auto"/>
          <w:szCs w:val="21"/>
          <w:highlight w:val="none"/>
        </w:rPr>
        <w:t>方式：供应商登录政府采购云平台（www.zcygov.cn）的注册账号后，进入政采云系统“项目采购”模块“获取采购文件”菜单，进行网上获取采购文件。如有疑问请及时咨询网站客服，咨询电话：95763。获取采购文件前，供应商应按照《浙江省政府采购供应商注册及诚信管理暂行办法》的规定在“浙江政府采购网（zfcg.czt.zj.gov.cn）”上进行供应商注册申请，并通过财政部门的终审后登记加入到“浙江省政府采购供应商库”。中标供应商必须注册并登记加入“浙江省政府采购供应商库”。具体要求及注册申请流程详见《浙江省政府采购供应商注册及诚信管理暂行办法》（浙财采监字{2009}28号）和浙江政府采购网“网上办事指南”的“供应商</w:t>
      </w:r>
      <w:bookmarkStart w:id="102" w:name="_GoBack"/>
      <w:bookmarkEnd w:id="102"/>
      <w:r>
        <w:rPr>
          <w:rFonts w:ascii="宋体" w:hAnsi="宋体"/>
          <w:color w:val="auto"/>
          <w:szCs w:val="21"/>
          <w:highlight w:val="none"/>
        </w:rPr>
        <w:t>注册申请”。注册咨询电话：</w:t>
      </w:r>
      <w:r>
        <w:rPr>
          <w:rFonts w:hint="eastAsia" w:ascii="宋体" w:hAnsi="宋体"/>
          <w:color w:val="auto"/>
          <w:szCs w:val="21"/>
          <w:highlight w:val="none"/>
        </w:rPr>
        <w:t>95763</w:t>
      </w:r>
      <w:r>
        <w:rPr>
          <w:rFonts w:ascii="宋体" w:hAnsi="宋体"/>
          <w:color w:val="auto"/>
          <w:szCs w:val="21"/>
          <w:highlight w:val="none"/>
        </w:rPr>
        <w:t>，如未注册的供应商，请注意注册所需时间。供应商应在规定的采购文件提供期限内在政采云平台登录上述供应商注册的账号后获取采购文件，未在规定的采购文件提供期限内或未按上述方式获取采购文件的，其投标均视为无效，并不得对采购文件提起质疑投诉。</w:t>
      </w:r>
    </w:p>
    <w:p w14:paraId="1665610D">
      <w:pPr>
        <w:wordWrap w:val="0"/>
        <w:spacing w:line="360" w:lineRule="auto"/>
        <w:ind w:firstLine="420" w:firstLineChars="200"/>
        <w:rPr>
          <w:rFonts w:ascii="宋体" w:hAnsi="宋体"/>
          <w:color w:val="auto"/>
          <w:szCs w:val="21"/>
          <w:highlight w:val="none"/>
        </w:rPr>
      </w:pPr>
      <w:r>
        <w:rPr>
          <w:rFonts w:ascii="宋体" w:hAnsi="宋体"/>
          <w:color w:val="auto"/>
          <w:szCs w:val="21"/>
          <w:highlight w:val="none"/>
        </w:rPr>
        <w:t>售价（元）：0</w:t>
      </w:r>
    </w:p>
    <w:p w14:paraId="116FEC04">
      <w:pPr>
        <w:wordWrap w:val="0"/>
        <w:spacing w:line="360" w:lineRule="auto"/>
        <w:rPr>
          <w:rFonts w:ascii="宋体" w:hAnsi="宋体"/>
          <w:b/>
          <w:color w:val="auto"/>
          <w:szCs w:val="21"/>
          <w:highlight w:val="none"/>
        </w:rPr>
      </w:pPr>
      <w:r>
        <w:rPr>
          <w:rFonts w:hint="eastAsia" w:ascii="宋体" w:hAnsi="宋体"/>
          <w:b/>
          <w:color w:val="auto"/>
          <w:szCs w:val="21"/>
          <w:highlight w:val="none"/>
        </w:rPr>
        <w:t>四、提交投标文件截止时间、开标时间和地点</w:t>
      </w:r>
    </w:p>
    <w:p w14:paraId="4D7D2D25">
      <w:pPr>
        <w:wordWrap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提交投标文件截止时间：202</w:t>
      </w:r>
      <w:r>
        <w:rPr>
          <w:rFonts w:hint="eastAsia" w:ascii="宋体" w:hAnsi="宋体"/>
          <w:color w:val="auto"/>
          <w:szCs w:val="21"/>
          <w:highlight w:val="none"/>
          <w:lang w:val="en-US" w:eastAsia="zh-CN"/>
        </w:rPr>
        <w:t>6</w:t>
      </w:r>
      <w:r>
        <w:rPr>
          <w:rFonts w:ascii="宋体" w:hAnsi="宋体"/>
          <w:color w:val="auto"/>
          <w:szCs w:val="21"/>
          <w:highlight w:val="none"/>
        </w:rPr>
        <w:t>年</w:t>
      </w:r>
      <w:r>
        <w:rPr>
          <w:rFonts w:hint="eastAsia" w:ascii="宋体" w:hAnsi="宋体"/>
          <w:color w:val="auto"/>
          <w:szCs w:val="21"/>
          <w:highlight w:val="none"/>
          <w:lang w:val="en-US" w:eastAsia="zh-CN"/>
        </w:rPr>
        <w:t>4</w:t>
      </w:r>
      <w:r>
        <w:rPr>
          <w:rFonts w:ascii="宋体" w:hAnsi="宋体"/>
          <w:color w:val="auto"/>
          <w:szCs w:val="21"/>
          <w:highlight w:val="none"/>
        </w:rPr>
        <w:t>月</w:t>
      </w:r>
      <w:r>
        <w:rPr>
          <w:rFonts w:hint="eastAsia" w:ascii="宋体" w:hAnsi="宋体"/>
          <w:color w:val="auto"/>
          <w:szCs w:val="21"/>
          <w:highlight w:val="none"/>
          <w:lang w:val="en-US" w:eastAsia="zh-CN"/>
        </w:rPr>
        <w:t>27</w:t>
      </w:r>
      <w:r>
        <w:rPr>
          <w:rFonts w:ascii="宋体" w:hAnsi="宋体"/>
          <w:color w:val="auto"/>
          <w:szCs w:val="21"/>
          <w:highlight w:val="none"/>
        </w:rPr>
        <w:t>日</w:t>
      </w: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0</w:t>
      </w:r>
      <w:r>
        <w:rPr>
          <w:rFonts w:ascii="宋体" w:hAnsi="宋体"/>
          <w:color w:val="auto"/>
          <w:szCs w:val="21"/>
          <w:highlight w:val="none"/>
        </w:rPr>
        <w:t>（北京时间）</w:t>
      </w:r>
    </w:p>
    <w:p w14:paraId="0B3AACB2">
      <w:pPr>
        <w:wordWrap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投标地点（网址）：</w:t>
      </w:r>
      <w:r>
        <w:rPr>
          <w:rFonts w:hint="eastAsia" w:ascii="宋体" w:hAnsi="宋体"/>
          <w:color w:val="auto"/>
          <w:szCs w:val="21"/>
          <w:highlight w:val="none"/>
        </w:rPr>
        <w:t>宁波市鄞州区公共资源交易中心（鄞州区蕙江路567号，鄞州区行政服务中心5楼，具体开标厅号见大厅大屏幕）开标室。（</w:t>
      </w:r>
      <w:r>
        <w:rPr>
          <w:rFonts w:ascii="宋体" w:hAnsi="宋体"/>
          <w:color w:val="auto"/>
          <w:szCs w:val="21"/>
          <w:highlight w:val="none"/>
        </w:rPr>
        <w:t>政府采购云平台</w:t>
      </w:r>
      <w:r>
        <w:rPr>
          <w:rFonts w:hint="eastAsia" w:ascii="宋体" w:hAnsi="宋体"/>
          <w:color w:val="auto"/>
          <w:szCs w:val="21"/>
          <w:highlight w:val="none"/>
        </w:rPr>
        <w:t>https://www.zcygov.cn/）</w:t>
      </w:r>
    </w:p>
    <w:p w14:paraId="08EBB7DC">
      <w:pPr>
        <w:wordWrap w:val="0"/>
        <w:spacing w:line="360" w:lineRule="auto"/>
        <w:ind w:firstLine="420" w:firstLineChars="200"/>
        <w:rPr>
          <w:rFonts w:ascii="宋体" w:hAnsi="宋体"/>
          <w:color w:val="auto"/>
          <w:szCs w:val="21"/>
          <w:highlight w:val="none"/>
        </w:rPr>
      </w:pPr>
      <w:r>
        <w:rPr>
          <w:rFonts w:ascii="宋体" w:hAnsi="宋体"/>
          <w:color w:val="auto"/>
          <w:szCs w:val="21"/>
          <w:highlight w:val="none"/>
        </w:rPr>
        <w:t>开标时间：202</w:t>
      </w:r>
      <w:r>
        <w:rPr>
          <w:rFonts w:hint="eastAsia" w:ascii="宋体" w:hAnsi="宋体"/>
          <w:color w:val="auto"/>
          <w:szCs w:val="21"/>
          <w:highlight w:val="none"/>
          <w:lang w:val="en-US" w:eastAsia="zh-CN"/>
        </w:rPr>
        <w:t>6</w:t>
      </w:r>
      <w:r>
        <w:rPr>
          <w:rFonts w:ascii="宋体" w:hAnsi="宋体"/>
          <w:color w:val="auto"/>
          <w:szCs w:val="21"/>
          <w:highlight w:val="none"/>
        </w:rPr>
        <w:t>年</w:t>
      </w:r>
      <w:r>
        <w:rPr>
          <w:rFonts w:hint="eastAsia" w:ascii="宋体" w:hAnsi="宋体"/>
          <w:color w:val="auto"/>
          <w:szCs w:val="21"/>
          <w:highlight w:val="none"/>
          <w:lang w:val="en-US" w:eastAsia="zh-CN"/>
        </w:rPr>
        <w:t>4</w:t>
      </w:r>
      <w:r>
        <w:rPr>
          <w:rFonts w:ascii="宋体" w:hAnsi="宋体"/>
          <w:color w:val="auto"/>
          <w:szCs w:val="21"/>
          <w:highlight w:val="none"/>
        </w:rPr>
        <w:t>月</w:t>
      </w:r>
      <w:r>
        <w:rPr>
          <w:rFonts w:hint="eastAsia" w:ascii="宋体" w:hAnsi="宋体"/>
          <w:color w:val="auto"/>
          <w:szCs w:val="21"/>
          <w:highlight w:val="none"/>
          <w:lang w:val="en-US" w:eastAsia="zh-CN"/>
        </w:rPr>
        <w:t>27</w:t>
      </w:r>
      <w:r>
        <w:rPr>
          <w:rFonts w:ascii="宋体" w:hAnsi="宋体"/>
          <w:color w:val="auto"/>
          <w:szCs w:val="21"/>
          <w:highlight w:val="none"/>
        </w:rPr>
        <w:t>日</w:t>
      </w:r>
      <w:r>
        <w:rPr>
          <w:rFonts w:hint="eastAsia" w:ascii="宋体" w:hAnsi="宋体"/>
          <w:color w:val="auto"/>
          <w:szCs w:val="21"/>
          <w:highlight w:val="none"/>
          <w:lang w:val="en-US" w:eastAsia="zh-CN"/>
        </w:rPr>
        <w:t>9</w:t>
      </w:r>
      <w:r>
        <w:rPr>
          <w:rFonts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0</w:t>
      </w:r>
      <w:r>
        <w:rPr>
          <w:rFonts w:ascii="宋体" w:hAnsi="宋体"/>
          <w:color w:val="auto"/>
          <w:szCs w:val="21"/>
          <w:highlight w:val="none"/>
        </w:rPr>
        <w:t>（北京时间）</w:t>
      </w:r>
    </w:p>
    <w:p w14:paraId="05DB13E3">
      <w:pPr>
        <w:wordWrap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开标地点（网址）：</w:t>
      </w:r>
      <w:r>
        <w:rPr>
          <w:rFonts w:hint="eastAsia" w:ascii="宋体" w:hAnsi="宋体"/>
          <w:color w:val="auto"/>
          <w:szCs w:val="21"/>
          <w:highlight w:val="none"/>
        </w:rPr>
        <w:t>宁波市鄞州区公共资源交易中心（鄞州区蕙江路567号，鄞州区行政服务中心5楼，具体开标厅号见大厅大屏幕）开标室。（</w:t>
      </w:r>
      <w:r>
        <w:rPr>
          <w:rFonts w:ascii="宋体" w:hAnsi="宋体"/>
          <w:color w:val="auto"/>
          <w:szCs w:val="21"/>
          <w:highlight w:val="none"/>
        </w:rPr>
        <w:t>政府采购云平台</w:t>
      </w:r>
      <w:r>
        <w:rPr>
          <w:rFonts w:hint="eastAsia" w:ascii="宋体" w:hAnsi="宋体"/>
          <w:color w:val="auto"/>
          <w:szCs w:val="21"/>
          <w:highlight w:val="none"/>
        </w:rPr>
        <w:t>https://www.zcygov.cn/）</w:t>
      </w:r>
    </w:p>
    <w:p w14:paraId="2355B232">
      <w:pPr>
        <w:wordWrap w:val="0"/>
        <w:spacing w:line="360" w:lineRule="auto"/>
        <w:rPr>
          <w:rFonts w:ascii="宋体" w:hAnsi="宋体"/>
          <w:b/>
          <w:color w:val="auto"/>
          <w:szCs w:val="21"/>
          <w:highlight w:val="none"/>
        </w:rPr>
      </w:pPr>
      <w:r>
        <w:rPr>
          <w:rFonts w:hint="eastAsia" w:ascii="宋体" w:hAnsi="宋体"/>
          <w:b/>
          <w:color w:val="auto"/>
          <w:szCs w:val="21"/>
          <w:highlight w:val="none"/>
        </w:rPr>
        <w:t>五、公告期限</w:t>
      </w:r>
    </w:p>
    <w:p w14:paraId="52A0EF19">
      <w:pPr>
        <w:wordWrap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自本公告发布之日起5个工作日。</w:t>
      </w:r>
    </w:p>
    <w:p w14:paraId="19F7B140">
      <w:pPr>
        <w:wordWrap w:val="0"/>
        <w:spacing w:line="360" w:lineRule="auto"/>
        <w:rPr>
          <w:rFonts w:ascii="宋体" w:hAnsi="宋体"/>
          <w:b/>
          <w:color w:val="auto"/>
          <w:szCs w:val="21"/>
          <w:highlight w:val="none"/>
        </w:rPr>
      </w:pPr>
      <w:r>
        <w:rPr>
          <w:rFonts w:hint="eastAsia" w:ascii="宋体" w:hAnsi="宋体"/>
          <w:b/>
          <w:color w:val="auto"/>
          <w:szCs w:val="21"/>
          <w:highlight w:val="none"/>
        </w:rPr>
        <w:t>六、其他补充事宜</w:t>
      </w:r>
    </w:p>
    <w:p w14:paraId="7A6FE2E5">
      <w:pPr>
        <w:pStyle w:val="42"/>
        <w:wordWrap w:val="0"/>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45E3E37">
      <w:pPr>
        <w:pStyle w:val="42"/>
        <w:wordWrap w:val="0"/>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89C8A4E">
      <w:pPr>
        <w:wordWrap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40790C3">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其他事项：(1)单位负责人为同一人或者存在直接控股、管理关系的不同供应商，不得参加同一标项号的投标。(2)为本项目提供整体设计、规范编制或者项目管理、监理、检测等服务的供应商，不得再参加本项目的投标。(3)落实的政策：《关于促进残疾人就业政府采购政策的通知》（财库[2017]141号）、《政府采购促进中小企业发展管理办法》（财库〔2020〕46号）、《关于政府采购支持监狱企业发展有关问题的通知》(财库[2014]68号)、《关于环境标志产品政府采购实施的意见》（财库〔2006〕90号、《节能产品政府采购实施意见》的通知（财库〔2004〕185号）。</w:t>
      </w:r>
    </w:p>
    <w:p w14:paraId="6CBB2DC9">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.供应商应于提交投标文件截止时间前将电子投标文件上传到政府采购云平台（www.zcygov.cn），并</w:t>
      </w:r>
      <w:r>
        <w:rPr>
          <w:rFonts w:hint="eastAsia" w:ascii="宋体" w:hAnsi="宋体"/>
          <w:color w:val="auto"/>
          <w:szCs w:val="21"/>
          <w:highlight w:val="none"/>
        </w:rPr>
        <w:t>需在</w:t>
      </w:r>
      <w:r>
        <w:rPr>
          <w:rFonts w:ascii="宋体" w:hAnsi="宋体"/>
          <w:color w:val="auto"/>
          <w:szCs w:val="21"/>
          <w:highlight w:val="none"/>
        </w:rPr>
        <w:t>提交投标文件截止时间前，将以U盘存储的电子备份投标文件密封后送至开标地点：</w:t>
      </w:r>
      <w:r>
        <w:rPr>
          <w:rFonts w:hint="eastAsia" w:ascii="宋体" w:hAnsi="宋体"/>
          <w:color w:val="auto"/>
          <w:szCs w:val="21"/>
          <w:highlight w:val="none"/>
        </w:rPr>
        <w:t>宁波市鄞州区公共资源交易中心（鄞州区蕙江路567号，鄞州区行政服务中心5楼，具体开标厅号见大厅大屏幕）</w:t>
      </w:r>
      <w:r>
        <w:rPr>
          <w:rFonts w:ascii="宋体" w:hAnsi="宋体"/>
          <w:color w:val="auto"/>
          <w:szCs w:val="21"/>
          <w:highlight w:val="none"/>
        </w:rPr>
        <w:t>。</w:t>
      </w:r>
    </w:p>
    <w:p w14:paraId="1AD608CB">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.开标时间后</w:t>
      </w:r>
      <w:r>
        <w:rPr>
          <w:rFonts w:hint="eastAsia" w:ascii="宋体" w:hAnsi="宋体"/>
          <w:color w:val="auto"/>
          <w:szCs w:val="21"/>
          <w:highlight w:val="none"/>
        </w:rPr>
        <w:t>3</w:t>
      </w:r>
      <w:r>
        <w:rPr>
          <w:rFonts w:ascii="宋体" w:hAnsi="宋体"/>
          <w:color w:val="auto"/>
          <w:szCs w:val="21"/>
          <w:highlight w:val="none"/>
        </w:rPr>
        <w:t>0</w:t>
      </w:r>
      <w:r>
        <w:rPr>
          <w:rFonts w:hint="eastAsia" w:ascii="宋体" w:hAnsi="宋体"/>
          <w:color w:val="auto"/>
          <w:szCs w:val="21"/>
          <w:highlight w:val="none"/>
        </w:rPr>
        <w:t>分钟</w:t>
      </w:r>
      <w:r>
        <w:rPr>
          <w:rFonts w:ascii="宋体" w:hAnsi="宋体"/>
          <w:color w:val="auto"/>
          <w:szCs w:val="21"/>
          <w:highlight w:val="none"/>
        </w:rPr>
        <w:t>内供应商可以登录政府采购云平台（www.zcygov.cn），用“项目采购-开标评标”功能进行解密投标文件。供应商按时在线解密投标文件的，以在线解密的投标文件作为评审依据，若供应商在规定时间内无法解密或解密失败，则以备份电子投标文件作为评审依据（若备份电子投标文件与政采云平台上传的投标文件被识别为不一致，仍以备份电子投标文件作为评审依据）。无论是否启用备份电子投标文件，不退还供应商。</w:t>
      </w:r>
    </w:p>
    <w:p w14:paraId="5C93D2AB">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.本项目实行网上投标，采用电子投标文件。若供应商参与投标，自行承担投标一切费用。</w:t>
      </w:r>
    </w:p>
    <w:p w14:paraId="1E105533">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开标前准备：各供应商应在投标截止时间前确保成为浙江政府采购网正式注册入库供应商，并完成CA数字证书办理。因未注册入库、未办理CA数字证书等原因造成无法投标或投标失败等后果由供应商自行承担。供应商CA申领操作指南（help.zcygov.cn/web/site_2/2018/11-29/2452.html），完成CA数字证书办理预计一周左右，请供应商自行把握时间。</w:t>
      </w:r>
    </w:p>
    <w:p w14:paraId="33DC9F31">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投标文件制作：（1）应按照本项目采购文件和政府采购云平台的要求编制、加密并递交投标文件。供应商在使用系统进行投标的过程中遇到涉及平台使用的任何问题，可致电政府采购云平台技术支持热线咨询，联系方式：</w:t>
      </w:r>
      <w:r>
        <w:rPr>
          <w:rFonts w:hint="eastAsia" w:ascii="宋体" w:hAnsi="宋体"/>
          <w:color w:val="auto"/>
          <w:szCs w:val="21"/>
          <w:highlight w:val="none"/>
        </w:rPr>
        <w:t>95763</w:t>
      </w:r>
      <w:r>
        <w:rPr>
          <w:rFonts w:ascii="宋体" w:hAnsi="宋体"/>
          <w:color w:val="auto"/>
          <w:szCs w:val="21"/>
          <w:highlight w:val="none"/>
        </w:rPr>
        <w:t>。（2）供应商通过政府采购云平台电子投标工具制作投标文件。电子投标工具请供应商自行前往浙江政府采购网下载并安装（zfcg.czt.zj.gov.cn/bidClientTemplate/2019-05-27/12946.html）。供应商投标文件制作及电子交易操作指南详见：</w:t>
      </w:r>
      <w:r>
        <w:rPr>
          <w:rFonts w:hint="eastAsia" w:ascii="宋体" w:hAnsi="宋体"/>
          <w:color w:val="auto"/>
          <w:szCs w:val="21"/>
          <w:highlight w:val="none"/>
        </w:rPr>
        <w:t>①</w:t>
      </w:r>
      <w:r>
        <w:rPr>
          <w:rFonts w:ascii="宋体" w:hAnsi="宋体"/>
          <w:color w:val="auto"/>
          <w:szCs w:val="21"/>
          <w:highlight w:val="none"/>
        </w:rPr>
        <w:t>政府采购项目电子交易管理操作指南（视频）：service.zcygov.cn/#/knowledges/CW1EtGwBFdiHxlNd6I3m/7GyLXW0BXgMSmLUuYuPM（电脑登录账号观看）；</w:t>
      </w:r>
      <w:r>
        <w:rPr>
          <w:rFonts w:hint="eastAsia" w:ascii="宋体" w:hAnsi="宋体"/>
          <w:color w:val="auto"/>
          <w:szCs w:val="21"/>
          <w:highlight w:val="none"/>
        </w:rPr>
        <w:t>②</w:t>
      </w:r>
      <w:r>
        <w:rPr>
          <w:rFonts w:ascii="宋体" w:hAnsi="宋体"/>
          <w:color w:val="auto"/>
          <w:szCs w:val="21"/>
          <w:highlight w:val="none"/>
        </w:rPr>
        <w:t>政府采购项目电子交易管理操作指南（文本）：service.zcygov.cn/#/knowledges/CW1EtGwBFdiHxlNd6I3m/6IMVAG0BFdiHxlNdQ8Na（电脑登录账号浏览）。（3）以U盘存储的电子备份投标文件1份，即按“项目采购-电子招投标操作指南”制作的电子备份文件，以用于异常情况处理。</w:t>
      </w:r>
    </w:p>
    <w:p w14:paraId="6E1D9EBF">
      <w:pPr>
        <w:wordWrap w:val="0"/>
        <w:spacing w:line="360" w:lineRule="auto"/>
        <w:rPr>
          <w:rFonts w:ascii="宋体" w:hAnsi="宋体"/>
          <w:b/>
          <w:color w:val="auto"/>
          <w:szCs w:val="21"/>
          <w:highlight w:val="none"/>
        </w:rPr>
      </w:pPr>
      <w:r>
        <w:rPr>
          <w:rFonts w:hint="eastAsia" w:ascii="宋体" w:hAnsi="宋体"/>
          <w:b/>
          <w:color w:val="auto"/>
          <w:szCs w:val="21"/>
          <w:highlight w:val="none"/>
        </w:rPr>
        <w:t>七、对本次采购提出询问、质疑、投诉，请按以下方式联系</w:t>
      </w:r>
    </w:p>
    <w:p w14:paraId="5F48FCC7">
      <w:pPr>
        <w:wordWrap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1.采购人信息</w:t>
      </w:r>
    </w:p>
    <w:p w14:paraId="45FC1EBA">
      <w:pPr>
        <w:wordWrap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宁波市鄞州区市政设施保障中心</w:t>
      </w:r>
    </w:p>
    <w:p w14:paraId="2117114A">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val="en-US" w:eastAsia="zh-CN"/>
        </w:rPr>
        <w:t>宁波市</w:t>
      </w:r>
      <w:r>
        <w:rPr>
          <w:rFonts w:hint="eastAsia" w:ascii="宋体" w:hAnsi="宋体"/>
          <w:color w:val="auto"/>
          <w:szCs w:val="21"/>
          <w:highlight w:val="none"/>
        </w:rPr>
        <w:t>鄞州区惠风东路278号</w:t>
      </w:r>
    </w:p>
    <w:p w14:paraId="24B094E7">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传真：/</w:t>
      </w:r>
    </w:p>
    <w:p w14:paraId="670DA7D7">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项目联系人（询问）：郭老师</w:t>
      </w:r>
    </w:p>
    <w:p w14:paraId="5AFC23C1">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项目联系方式（询问）：0574-89583570</w:t>
      </w:r>
    </w:p>
    <w:p w14:paraId="047C94CF">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质疑联系人：应老师</w:t>
      </w:r>
    </w:p>
    <w:p w14:paraId="5F3385F1">
      <w:pPr>
        <w:wordWrap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质疑联系方式：0574-89296868</w:t>
      </w:r>
    </w:p>
    <w:p w14:paraId="29D5AA5B">
      <w:pPr>
        <w:wordWrap w:val="0"/>
        <w:spacing w:line="360" w:lineRule="auto"/>
        <w:ind w:firstLine="420" w:firstLineChars="200"/>
        <w:rPr>
          <w:rFonts w:ascii="宋体" w:hAnsi="宋体"/>
          <w:color w:val="auto"/>
          <w:szCs w:val="21"/>
          <w:highlight w:val="none"/>
        </w:rPr>
      </w:pPr>
      <w:r>
        <w:rPr>
          <w:rFonts w:ascii="宋体" w:hAnsi="宋体"/>
          <w:color w:val="auto"/>
          <w:szCs w:val="21"/>
          <w:highlight w:val="none"/>
        </w:rPr>
        <w:t>2.采购代理机构信息</w:t>
      </w:r>
    </w:p>
    <w:p w14:paraId="202F827D">
      <w:pPr>
        <w:wordWrap w:val="0"/>
        <w:spacing w:line="360" w:lineRule="auto"/>
        <w:ind w:firstLine="420" w:firstLineChars="200"/>
        <w:rPr>
          <w:rFonts w:ascii="宋体" w:hAnsi="宋体"/>
          <w:color w:val="auto"/>
          <w:szCs w:val="21"/>
          <w:highlight w:val="none"/>
        </w:rPr>
      </w:pPr>
      <w:r>
        <w:rPr>
          <w:rFonts w:ascii="宋体" w:hAnsi="宋体"/>
          <w:color w:val="auto"/>
          <w:szCs w:val="21"/>
          <w:highlight w:val="none"/>
        </w:rPr>
        <w:t>名称：宁波市国际招标有限公司</w:t>
      </w:r>
    </w:p>
    <w:p w14:paraId="45C18733">
      <w:pPr>
        <w:wordWrap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地址：宁波市江北区环城北路西段207弄19号世茂茂悦商业中心1号楼八楼</w:t>
      </w:r>
    </w:p>
    <w:p w14:paraId="6E554ABB">
      <w:pPr>
        <w:wordWrap w:val="0"/>
        <w:spacing w:line="360" w:lineRule="auto"/>
        <w:ind w:firstLine="420" w:firstLineChars="200"/>
        <w:rPr>
          <w:rFonts w:ascii="宋体" w:hAnsi="宋体"/>
          <w:color w:val="auto"/>
          <w:szCs w:val="21"/>
          <w:highlight w:val="none"/>
        </w:rPr>
      </w:pPr>
      <w:r>
        <w:rPr>
          <w:rFonts w:ascii="宋体" w:hAnsi="宋体"/>
          <w:color w:val="auto"/>
          <w:szCs w:val="21"/>
          <w:highlight w:val="none"/>
        </w:rPr>
        <w:t>传真：</w:t>
      </w:r>
      <w:r>
        <w:rPr>
          <w:rFonts w:ascii="宋体" w:hAnsi="宋体" w:cs="宋体"/>
          <w:color w:val="auto"/>
          <w:kern w:val="0"/>
          <w:szCs w:val="21"/>
          <w:highlight w:val="none"/>
        </w:rPr>
        <w:t>/</w:t>
      </w:r>
    </w:p>
    <w:p w14:paraId="61EABD9E">
      <w:pPr>
        <w:wordWrap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项目联系人（询问）：</w:t>
      </w:r>
      <w:r>
        <w:rPr>
          <w:rFonts w:hint="eastAsia" w:ascii="宋体" w:hAnsi="宋体" w:cs="宋体"/>
          <w:color w:val="auto"/>
          <w:kern w:val="0"/>
          <w:szCs w:val="21"/>
          <w:highlight w:val="none"/>
        </w:rPr>
        <w:t>翁伟冬、</w:t>
      </w:r>
      <w:r>
        <w:rPr>
          <w:rFonts w:hint="eastAsia" w:ascii="宋体" w:hAnsi="宋体" w:cs="宋体"/>
          <w:color w:val="auto"/>
          <w:kern w:val="0"/>
          <w:szCs w:val="21"/>
          <w:highlight w:val="none"/>
          <w:lang w:eastAsia="zh-CN"/>
        </w:rPr>
        <w:t>陆岚彬</w:t>
      </w:r>
      <w:r>
        <w:rPr>
          <w:rFonts w:hint="eastAsia" w:ascii="宋体" w:hAnsi="宋体" w:cs="宋体"/>
          <w:color w:val="auto"/>
          <w:kern w:val="0"/>
          <w:szCs w:val="21"/>
          <w:highlight w:val="none"/>
        </w:rPr>
        <w:t>、陈琴、</w:t>
      </w:r>
      <w:r>
        <w:rPr>
          <w:rFonts w:ascii="宋体" w:hAnsi="宋体" w:cs="宋体"/>
          <w:color w:val="auto"/>
          <w:kern w:val="0"/>
          <w:szCs w:val="21"/>
          <w:highlight w:val="none"/>
        </w:rPr>
        <w:t>严锋</w:t>
      </w:r>
    </w:p>
    <w:p w14:paraId="54ABE950">
      <w:pPr>
        <w:wordWrap w:val="0"/>
        <w:spacing w:line="360" w:lineRule="auto"/>
        <w:ind w:firstLine="420" w:firstLineChars="200"/>
        <w:rPr>
          <w:rFonts w:ascii="宋体" w:hAnsi="宋体"/>
          <w:color w:val="auto"/>
          <w:szCs w:val="21"/>
          <w:highlight w:val="none"/>
        </w:rPr>
      </w:pPr>
      <w:r>
        <w:rPr>
          <w:rFonts w:ascii="宋体" w:hAnsi="宋体"/>
          <w:color w:val="auto"/>
          <w:szCs w:val="21"/>
          <w:highlight w:val="none"/>
        </w:rPr>
        <w:t>项目联系方式（询问）：</w:t>
      </w:r>
      <w:r>
        <w:rPr>
          <w:rFonts w:ascii="宋体" w:hAnsi="宋体" w:cs="Arial"/>
          <w:color w:val="auto"/>
          <w:szCs w:val="21"/>
          <w:highlight w:val="none"/>
        </w:rPr>
        <w:t>0574-</w:t>
      </w:r>
      <w:r>
        <w:rPr>
          <w:rFonts w:hint="eastAsia" w:ascii="宋体" w:hAnsi="宋体" w:cs="Arial"/>
          <w:color w:val="auto"/>
          <w:szCs w:val="21"/>
          <w:highlight w:val="none"/>
        </w:rPr>
        <w:t>87386413</w:t>
      </w:r>
    </w:p>
    <w:p w14:paraId="480B95DE">
      <w:pPr>
        <w:wordWrap w:val="0"/>
        <w:spacing w:line="360" w:lineRule="auto"/>
        <w:ind w:firstLine="420" w:firstLineChars="200"/>
        <w:rPr>
          <w:rFonts w:ascii="宋体" w:hAnsi="宋体"/>
          <w:color w:val="auto"/>
          <w:szCs w:val="21"/>
          <w:highlight w:val="none"/>
        </w:rPr>
      </w:pPr>
      <w:r>
        <w:rPr>
          <w:rFonts w:ascii="宋体" w:hAnsi="宋体"/>
          <w:color w:val="auto"/>
          <w:szCs w:val="21"/>
          <w:highlight w:val="none"/>
        </w:rPr>
        <w:t>质疑联系人：</w:t>
      </w:r>
      <w:r>
        <w:rPr>
          <w:rFonts w:hint="eastAsia" w:ascii="宋体" w:hAnsi="宋体" w:cs="宋体"/>
          <w:color w:val="auto"/>
          <w:kern w:val="0"/>
          <w:szCs w:val="21"/>
          <w:highlight w:val="none"/>
        </w:rPr>
        <w:t>章海波</w:t>
      </w:r>
    </w:p>
    <w:p w14:paraId="13B39FEB">
      <w:pPr>
        <w:wordWrap w:val="0"/>
        <w:spacing w:line="360" w:lineRule="auto"/>
        <w:ind w:firstLine="420" w:firstLineChars="200"/>
        <w:rPr>
          <w:rFonts w:ascii="宋体" w:hAnsi="宋体"/>
          <w:color w:val="auto"/>
          <w:szCs w:val="21"/>
          <w:highlight w:val="none"/>
        </w:rPr>
      </w:pPr>
      <w:r>
        <w:rPr>
          <w:rFonts w:ascii="宋体" w:hAnsi="宋体"/>
          <w:color w:val="auto"/>
          <w:szCs w:val="21"/>
          <w:highlight w:val="none"/>
        </w:rPr>
        <w:t>质疑联系方式：</w:t>
      </w:r>
      <w:r>
        <w:rPr>
          <w:rFonts w:ascii="宋体" w:hAnsi="宋体" w:cs="Arial"/>
          <w:color w:val="auto"/>
          <w:szCs w:val="21"/>
          <w:highlight w:val="none"/>
        </w:rPr>
        <w:t>0574-</w:t>
      </w:r>
      <w:r>
        <w:rPr>
          <w:rFonts w:hint="eastAsia" w:ascii="宋体" w:hAnsi="宋体" w:cs="Arial"/>
          <w:color w:val="auto"/>
          <w:szCs w:val="21"/>
          <w:highlight w:val="none"/>
        </w:rPr>
        <w:t>87495260</w:t>
      </w:r>
    </w:p>
    <w:p w14:paraId="5FF9AF9E">
      <w:pPr>
        <w:wordWrap w:val="0"/>
        <w:spacing w:line="360" w:lineRule="auto"/>
        <w:ind w:firstLine="420" w:firstLineChars="200"/>
        <w:rPr>
          <w:rFonts w:ascii="宋体" w:hAnsi="宋体"/>
          <w:color w:val="auto"/>
          <w:szCs w:val="21"/>
          <w:highlight w:val="none"/>
        </w:rPr>
      </w:pPr>
      <w:r>
        <w:rPr>
          <w:rFonts w:ascii="宋体" w:hAnsi="宋体"/>
          <w:color w:val="auto"/>
          <w:szCs w:val="21"/>
          <w:highlight w:val="none"/>
        </w:rPr>
        <w:t>3.同级政府采购监督管理部门</w:t>
      </w:r>
    </w:p>
    <w:p w14:paraId="676BDE47">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名称：</w:t>
      </w:r>
      <w:r>
        <w:rPr>
          <w:rFonts w:ascii="宋体" w:hAnsi="宋体" w:cs="Calibri"/>
          <w:color w:val="auto"/>
          <w:szCs w:val="21"/>
          <w:highlight w:val="none"/>
        </w:rPr>
        <w:t>宁波市鄞州区政府采购管理办公室</w:t>
      </w:r>
    </w:p>
    <w:p w14:paraId="01316B4D">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地址：</w:t>
      </w:r>
      <w:r>
        <w:rPr>
          <w:rFonts w:ascii="宋体" w:hAnsi="宋体" w:cs="Calibri"/>
          <w:color w:val="auto"/>
          <w:szCs w:val="21"/>
          <w:highlight w:val="none"/>
        </w:rPr>
        <w:t>宁波市鄞州区民惠东路16号</w:t>
      </w:r>
    </w:p>
    <w:p w14:paraId="19CB1C9F">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传真：/</w:t>
      </w:r>
    </w:p>
    <w:p w14:paraId="66FA07FD">
      <w:pPr>
        <w:wordWrap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联系人：</w:t>
      </w:r>
      <w:r>
        <w:rPr>
          <w:rFonts w:ascii="宋体" w:hAnsi="宋体" w:cs="Calibri"/>
          <w:color w:val="auto"/>
          <w:szCs w:val="21"/>
          <w:highlight w:val="none"/>
        </w:rPr>
        <w:t>郑老师</w:t>
      </w:r>
    </w:p>
    <w:p w14:paraId="522DA0D8">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监督投诉电话：</w:t>
      </w:r>
      <w:r>
        <w:rPr>
          <w:rFonts w:ascii="宋体" w:hAnsi="宋体"/>
          <w:color w:val="auto"/>
          <w:szCs w:val="21"/>
          <w:highlight w:val="none"/>
        </w:rPr>
        <w:t>0574-89295894</w:t>
      </w:r>
    </w:p>
    <w:p w14:paraId="6992D34A">
      <w:pPr>
        <w:wordWrap w:val="0"/>
        <w:spacing w:line="360" w:lineRule="auto"/>
        <w:ind w:firstLine="420" w:firstLineChars="200"/>
        <w:rPr>
          <w:rFonts w:ascii="宋体" w:hAnsi="宋体"/>
          <w:color w:val="auto"/>
          <w:szCs w:val="21"/>
          <w:highlight w:val="none"/>
        </w:rPr>
      </w:pPr>
      <w:r>
        <w:rPr>
          <w:rFonts w:ascii="宋体" w:hAnsi="宋体"/>
          <w:color w:val="auto"/>
          <w:szCs w:val="21"/>
          <w:highlight w:val="none"/>
        </w:rPr>
        <w:t>若对项目采购电子交易系统操作有疑问，可登录政采云（https://www.zcygov.cn/），点击右侧咨询小采，获取采小蜜智能服务管家帮助，或拨打政采云服务热线</w:t>
      </w:r>
      <w:r>
        <w:rPr>
          <w:rFonts w:hint="eastAsia" w:ascii="宋体" w:hAnsi="宋体"/>
          <w:color w:val="auto"/>
          <w:szCs w:val="21"/>
          <w:highlight w:val="none"/>
        </w:rPr>
        <w:t>95763</w:t>
      </w:r>
      <w:r>
        <w:rPr>
          <w:rFonts w:ascii="宋体" w:hAnsi="宋体"/>
          <w:color w:val="auto"/>
          <w:szCs w:val="21"/>
          <w:highlight w:val="none"/>
        </w:rPr>
        <w:t>获取热线服务帮助。</w:t>
      </w:r>
    </w:p>
    <w:p w14:paraId="1758613D">
      <w:pPr>
        <w:wordWrap w:val="0"/>
        <w:spacing w:line="360" w:lineRule="auto"/>
        <w:ind w:firstLine="420" w:firstLineChars="200"/>
        <w:rPr>
          <w:rFonts w:hint="eastAsia"/>
          <w:color w:val="auto"/>
          <w:highlight w:val="none"/>
        </w:rPr>
      </w:pPr>
      <w:r>
        <w:rPr>
          <w:rFonts w:ascii="宋体" w:hAnsi="宋体"/>
          <w:color w:val="auto"/>
          <w:szCs w:val="21"/>
          <w:highlight w:val="none"/>
        </w:rPr>
        <w:t>CA问题联系电话（人工）：汇信CA 400-888-4636；天谷CA 400-087-8198。</w:t>
      </w:r>
    </w:p>
    <w:p w14:paraId="08508BD6">
      <w:pPr>
        <w:widowControl/>
        <w:wordWrap w:val="0"/>
        <w:spacing w:line="400" w:lineRule="exact"/>
        <w:ind w:firstLine="420" w:firstLineChars="200"/>
        <w:rPr>
          <w:rFonts w:ascii="宋体" w:hAnsi="宋体" w:cs="宋体"/>
          <w:color w:val="auto"/>
          <w:kern w:val="0"/>
          <w:szCs w:val="21"/>
          <w:highlight w:val="none"/>
        </w:rPr>
        <w:sectPr>
          <w:footerReference r:id="rId7" w:type="default"/>
          <w:pgSz w:w="11907" w:h="16840"/>
          <w:pgMar w:top="1440" w:right="1080" w:bottom="1440" w:left="1080" w:header="284" w:footer="703" w:gutter="0"/>
          <w:pgNumType w:start="1"/>
          <w:cols w:space="720" w:num="1"/>
          <w:docGrid w:linePitch="285" w:charSpace="0"/>
        </w:sectPr>
      </w:pPr>
    </w:p>
    <w:p w14:paraId="4147FE2A">
      <w:pPr>
        <w:wordWrap w:val="0"/>
        <w:spacing w:line="400" w:lineRule="exact"/>
        <w:jc w:val="center"/>
        <w:outlineLvl w:val="0"/>
        <w:rPr>
          <w:rFonts w:ascii="宋体" w:hAnsi="宋体"/>
          <w:b/>
          <w:color w:val="auto"/>
          <w:sz w:val="32"/>
          <w:highlight w:val="none"/>
        </w:rPr>
      </w:pPr>
      <w:bookmarkStart w:id="3" w:name="_Toc135513210"/>
      <w:r>
        <w:rPr>
          <w:rFonts w:hint="eastAsia" w:ascii="宋体" w:hAnsi="宋体"/>
          <w:b/>
          <w:color w:val="auto"/>
          <w:sz w:val="32"/>
          <w:highlight w:val="none"/>
        </w:rPr>
        <w:t>第二章</w:t>
      </w:r>
      <w:r>
        <w:rPr>
          <w:rFonts w:ascii="宋体" w:hAnsi="宋体"/>
          <w:b/>
          <w:color w:val="auto"/>
          <w:sz w:val="32"/>
          <w:highlight w:val="none"/>
        </w:rPr>
        <w:t xml:space="preserve">  </w:t>
      </w:r>
      <w:r>
        <w:rPr>
          <w:rFonts w:hint="eastAsia" w:ascii="宋体" w:hAnsi="宋体"/>
          <w:b/>
          <w:color w:val="auto"/>
          <w:sz w:val="32"/>
          <w:highlight w:val="none"/>
        </w:rPr>
        <w:t>投标须知</w:t>
      </w:r>
      <w:bookmarkEnd w:id="3"/>
    </w:p>
    <w:p w14:paraId="3769577E">
      <w:pPr>
        <w:wordWrap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一、适用范围</w:t>
      </w:r>
    </w:p>
    <w:p w14:paraId="448A0389">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本采购文件仅适用于本采购项目所叙述的货物和服务的招标、评标、定标、验收、合同履约、付款等（法律、法规另有规定的，从其规定）。</w:t>
      </w:r>
    </w:p>
    <w:p w14:paraId="267CBF01">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二、定义</w:t>
      </w:r>
    </w:p>
    <w:p w14:paraId="72BFE0C0">
      <w:pPr>
        <w:wordWrap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、“采购人”系指</w:t>
      </w:r>
      <w:r>
        <w:rPr>
          <w:rFonts w:hint="eastAsia" w:ascii="宋体" w:hAnsi="宋体"/>
          <w:color w:val="auto"/>
          <w:szCs w:val="21"/>
          <w:highlight w:val="none"/>
          <w:lang w:eastAsia="zh-CN"/>
        </w:rPr>
        <w:t>宁波市鄞州区市政设施保障中心</w:t>
      </w:r>
      <w:r>
        <w:rPr>
          <w:rFonts w:hint="eastAsia" w:ascii="宋体" w:hAnsi="宋体"/>
          <w:color w:val="auto"/>
          <w:szCs w:val="21"/>
          <w:highlight w:val="none"/>
        </w:rPr>
        <w:t>。</w:t>
      </w:r>
    </w:p>
    <w:p w14:paraId="43E0DF09">
      <w:pPr>
        <w:wordWrap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、“代理机构”系指宁波市国际招标有限公司。</w:t>
      </w:r>
    </w:p>
    <w:p w14:paraId="75E4DDEC">
      <w:pPr>
        <w:wordWrap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、“供应商”系指向采购人提交投标文件的投标</w:t>
      </w:r>
      <w:r>
        <w:rPr>
          <w:rFonts w:ascii="宋体" w:hAnsi="宋体"/>
          <w:color w:val="auto"/>
          <w:szCs w:val="21"/>
          <w:highlight w:val="none"/>
        </w:rPr>
        <w:t>人</w:t>
      </w:r>
      <w:r>
        <w:rPr>
          <w:rFonts w:hint="eastAsia" w:ascii="宋体" w:hAnsi="宋体"/>
          <w:color w:val="auto"/>
          <w:szCs w:val="21"/>
          <w:highlight w:val="none"/>
        </w:rPr>
        <w:t>。</w:t>
      </w:r>
    </w:p>
    <w:p w14:paraId="07FEA202">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4、“货物”系指供方按采购文件规定承担的设备、备品备件供货等</w:t>
      </w:r>
      <w:r>
        <w:rPr>
          <w:rFonts w:ascii="宋体" w:hAnsi="宋体"/>
          <w:color w:val="auto"/>
          <w:szCs w:val="21"/>
          <w:highlight w:val="none"/>
        </w:rPr>
        <w:t>。</w:t>
      </w:r>
    </w:p>
    <w:p w14:paraId="4B24A818">
      <w:pPr>
        <w:wordWrap w:val="0"/>
        <w:snapToGrid w:val="0"/>
        <w:spacing w:line="360" w:lineRule="auto"/>
        <w:ind w:firstLine="420" w:firstLineChars="200"/>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服务</w:t>
      </w:r>
      <w:r>
        <w:rPr>
          <w:rFonts w:hint="eastAsia" w:ascii="宋体" w:hAnsi="宋体"/>
          <w:color w:val="auto"/>
          <w:szCs w:val="21"/>
          <w:highlight w:val="none"/>
        </w:rPr>
        <w:t>”系指</w:t>
      </w:r>
      <w:r>
        <w:rPr>
          <w:rFonts w:hint="eastAsia" w:ascii="宋体" w:hAnsi="宋体"/>
          <w:color w:val="auto"/>
          <w:szCs w:val="21"/>
          <w:highlight w:val="none"/>
          <w:lang w:val="en-US" w:eastAsia="zh-CN"/>
        </w:rPr>
        <w:t>供方</w:t>
      </w:r>
      <w:r>
        <w:rPr>
          <w:rFonts w:hint="eastAsia" w:ascii="宋体" w:hAnsi="宋体"/>
          <w:color w:val="auto"/>
          <w:szCs w:val="21"/>
          <w:highlight w:val="none"/>
        </w:rPr>
        <w:t>按采购文件规定，须承担的</w:t>
      </w:r>
      <w:r>
        <w:rPr>
          <w:rFonts w:hint="eastAsia" w:ascii="宋体" w:hAnsi="宋体"/>
          <w:color w:val="auto"/>
          <w:szCs w:val="21"/>
          <w:highlight w:val="none"/>
          <w:lang w:val="en-US" w:eastAsia="zh-CN"/>
        </w:rPr>
        <w:t>道路桥梁日常养护服务及其他相关</w:t>
      </w:r>
      <w:r>
        <w:rPr>
          <w:rFonts w:hint="eastAsia" w:ascii="宋体" w:hAnsi="宋体"/>
          <w:color w:val="auto"/>
          <w:szCs w:val="21"/>
          <w:highlight w:val="none"/>
        </w:rPr>
        <w:t>义务。</w:t>
      </w:r>
    </w:p>
    <w:p w14:paraId="1D2F80AB">
      <w:pPr>
        <w:wordWrap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ascii="宋体" w:hAnsi="宋体"/>
          <w:color w:val="auto"/>
          <w:szCs w:val="21"/>
          <w:highlight w:val="none"/>
        </w:rPr>
        <w:t>“项目”系指投标人按采购文件规定向采购人提供的产品和服务。</w:t>
      </w:r>
    </w:p>
    <w:p w14:paraId="53EEDE73">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、“同级政府采购监管部门”系指</w:t>
      </w:r>
      <w:r>
        <w:rPr>
          <w:rFonts w:hint="eastAsia" w:ascii="宋体" w:hAnsi="宋体" w:cs="Calibri"/>
          <w:color w:val="auto"/>
          <w:szCs w:val="21"/>
          <w:highlight w:val="none"/>
        </w:rPr>
        <w:t>宁波市鄞州区政府采购管理办公室</w:t>
      </w:r>
      <w:r>
        <w:rPr>
          <w:rFonts w:hint="eastAsia" w:ascii="宋体" w:hAnsi="宋体"/>
          <w:color w:val="auto"/>
          <w:kern w:val="10"/>
          <w:szCs w:val="21"/>
          <w:highlight w:val="none"/>
          <w:lang w:val="zh-CN"/>
        </w:rPr>
        <w:t>。</w:t>
      </w:r>
    </w:p>
    <w:p w14:paraId="4E5BF40F">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、“★”系指实质性响应条款。</w:t>
      </w:r>
    </w:p>
    <w:p w14:paraId="4BC7DD90">
      <w:pPr>
        <w:wordWrap w:val="0"/>
        <w:spacing w:line="36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三、供应商的资格要求</w:t>
      </w:r>
    </w:p>
    <w:p w14:paraId="36DA3FAC">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详见采购公告。</w:t>
      </w:r>
    </w:p>
    <w:p w14:paraId="5960613E">
      <w:pPr>
        <w:wordWrap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四、其他</w:t>
      </w:r>
      <w:r>
        <w:rPr>
          <w:rFonts w:ascii="宋体" w:hAnsi="宋体"/>
          <w:b/>
          <w:color w:val="auto"/>
          <w:szCs w:val="21"/>
          <w:highlight w:val="none"/>
        </w:rPr>
        <w:t>说明</w:t>
      </w:r>
    </w:p>
    <w:p w14:paraId="4A30A2ED">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（一）投标费用</w:t>
      </w:r>
    </w:p>
    <w:p w14:paraId="2ACE18D0">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无论投标过程和结果如何，供应商自行承担与投标有关的全部费用。</w:t>
      </w:r>
    </w:p>
    <w:p w14:paraId="25C30A6D">
      <w:pPr>
        <w:wordWrap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（二）关于分公司投标</w:t>
      </w:r>
    </w:p>
    <w:p w14:paraId="3FA395E2">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仅</w:t>
      </w:r>
      <w:r>
        <w:rPr>
          <w:rFonts w:ascii="宋体" w:hAnsi="宋体"/>
          <w:color w:val="auto"/>
          <w:szCs w:val="21"/>
          <w:highlight w:val="none"/>
        </w:rPr>
        <w:t>允许</w:t>
      </w:r>
      <w:r>
        <w:rPr>
          <w:rFonts w:hint="eastAsia" w:ascii="宋体" w:hAnsi="宋体"/>
          <w:color w:val="auto"/>
          <w:szCs w:val="21"/>
          <w:highlight w:val="none"/>
        </w:rPr>
        <w:t>银行、保险、石油石化、电力、电信、移动、联通等行业分公司投标，但需提供具有法人资格的总公司的营业执照原件扫描件及授权书，授权书须加盖总公司公章。</w:t>
      </w:r>
    </w:p>
    <w:p w14:paraId="1CB723AB">
      <w:pPr>
        <w:wordWrap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（三）关于知识产权</w:t>
      </w:r>
    </w:p>
    <w:p w14:paraId="63D2D6CE">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人必须保证，采购人在中华人民共和国境内使用投标货物、资料、技术、服务或其任何一部分时，享有不受限制的无偿使用权，如有第三方向采购人提出侵犯其专利权、商标权或其它知识产权的主张，该责任应由投标人承担。</w:t>
      </w:r>
    </w:p>
    <w:p w14:paraId="3D4360DF">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2、投标报价应包含所有应向所有权人支付的专利权、商标权或其它知识产权的一切相关费用。</w:t>
      </w:r>
    </w:p>
    <w:p w14:paraId="5C9CEAEA">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3、系统软件、通用软件必须是具有在中国境内的合法使用权或版权的正版软件，涉及到第三方提出侵权或知识产权的起诉及支付版税等费用由投标人承担所有责任及费用。</w:t>
      </w:r>
    </w:p>
    <w:p w14:paraId="05ACC457">
      <w:pPr>
        <w:wordWrap w:val="0"/>
        <w:spacing w:line="360" w:lineRule="auto"/>
        <w:ind w:firstLine="422" w:firstLineChars="200"/>
        <w:jc w:val="left"/>
        <w:rPr>
          <w:rFonts w:ascii="宋体" w:hAnsi="宋体"/>
          <w:b/>
          <w:color w:val="auto"/>
          <w:szCs w:val="21"/>
          <w:highlight w:val="none"/>
        </w:rPr>
      </w:pPr>
      <w:bookmarkStart w:id="4" w:name="_Toc23497307"/>
      <w:bookmarkStart w:id="5" w:name="_Toc17707916"/>
      <w:bookmarkStart w:id="6" w:name="_Toc460857903"/>
      <w:r>
        <w:rPr>
          <w:rFonts w:ascii="宋体" w:hAnsi="宋体"/>
          <w:b/>
          <w:color w:val="auto"/>
          <w:szCs w:val="21"/>
          <w:highlight w:val="none"/>
        </w:rPr>
        <w:t>（</w:t>
      </w:r>
      <w:r>
        <w:rPr>
          <w:rFonts w:hint="eastAsia" w:ascii="宋体" w:hAnsi="宋体"/>
          <w:b/>
          <w:color w:val="auto"/>
          <w:szCs w:val="21"/>
          <w:highlight w:val="none"/>
        </w:rPr>
        <w:t>四</w:t>
      </w:r>
      <w:r>
        <w:rPr>
          <w:rFonts w:ascii="宋体" w:hAnsi="宋体"/>
          <w:b/>
          <w:color w:val="auto"/>
          <w:szCs w:val="21"/>
          <w:highlight w:val="none"/>
        </w:rPr>
        <w:t>）联合体投标</w:t>
      </w:r>
      <w:bookmarkEnd w:id="4"/>
      <w:bookmarkEnd w:id="5"/>
      <w:bookmarkEnd w:id="6"/>
    </w:p>
    <w:p w14:paraId="23D9021B">
      <w:pPr>
        <w:wordWrap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本项目不接受联合体投标。</w:t>
      </w:r>
    </w:p>
    <w:p w14:paraId="0528A1C2">
      <w:pPr>
        <w:wordWrap w:val="0"/>
        <w:spacing w:line="360" w:lineRule="auto"/>
        <w:ind w:firstLine="422" w:firstLineChars="200"/>
        <w:jc w:val="left"/>
        <w:rPr>
          <w:rFonts w:ascii="宋体" w:hAnsi="宋体"/>
          <w:b/>
          <w:color w:val="auto"/>
          <w:szCs w:val="21"/>
          <w:highlight w:val="none"/>
        </w:rPr>
      </w:pPr>
      <w:bookmarkStart w:id="7" w:name="_Toc17707917"/>
      <w:bookmarkStart w:id="8" w:name="_Toc460857904"/>
      <w:bookmarkStart w:id="9" w:name="_Toc23497308"/>
      <w:r>
        <w:rPr>
          <w:rFonts w:ascii="宋体" w:hAnsi="宋体"/>
          <w:b/>
          <w:color w:val="auto"/>
          <w:szCs w:val="21"/>
          <w:highlight w:val="none"/>
        </w:rPr>
        <w:t>（</w:t>
      </w:r>
      <w:r>
        <w:rPr>
          <w:rFonts w:hint="eastAsia" w:ascii="宋体" w:hAnsi="宋体"/>
          <w:b/>
          <w:color w:val="auto"/>
          <w:szCs w:val="21"/>
          <w:highlight w:val="none"/>
        </w:rPr>
        <w:t>五</w:t>
      </w:r>
      <w:r>
        <w:rPr>
          <w:rFonts w:ascii="宋体" w:hAnsi="宋体"/>
          <w:b/>
          <w:color w:val="auto"/>
          <w:szCs w:val="21"/>
          <w:highlight w:val="none"/>
        </w:rPr>
        <w:t>）转包与分包</w:t>
      </w:r>
      <w:bookmarkEnd w:id="7"/>
      <w:bookmarkEnd w:id="8"/>
      <w:bookmarkEnd w:id="9"/>
    </w:p>
    <w:p w14:paraId="657C87CD">
      <w:pPr>
        <w:wordWrap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本项目不允许转包</w:t>
      </w:r>
      <w:r>
        <w:rPr>
          <w:rFonts w:hint="eastAsia" w:ascii="宋体" w:hAnsi="宋体"/>
          <w:color w:val="auto"/>
          <w:szCs w:val="21"/>
          <w:highlight w:val="none"/>
        </w:rPr>
        <w:t>，未经采购人同意，不允许分包</w:t>
      </w:r>
      <w:r>
        <w:rPr>
          <w:rFonts w:ascii="宋体" w:hAnsi="宋体"/>
          <w:color w:val="auto"/>
          <w:szCs w:val="21"/>
          <w:highlight w:val="none"/>
        </w:rPr>
        <w:t>。</w:t>
      </w:r>
    </w:p>
    <w:p w14:paraId="0591F5D3">
      <w:pPr>
        <w:wordWrap w:val="0"/>
        <w:spacing w:line="360" w:lineRule="auto"/>
        <w:ind w:firstLine="422" w:firstLineChars="200"/>
        <w:jc w:val="left"/>
        <w:rPr>
          <w:rFonts w:ascii="宋体" w:hAnsi="宋体"/>
          <w:b/>
          <w:color w:val="auto"/>
          <w:szCs w:val="21"/>
          <w:highlight w:val="none"/>
        </w:rPr>
      </w:pPr>
      <w:bookmarkStart w:id="10" w:name="_Toc460416601"/>
      <w:bookmarkStart w:id="11" w:name="_Toc460416650"/>
      <w:bookmarkStart w:id="12" w:name="_Toc23497309"/>
      <w:bookmarkStart w:id="13" w:name="_Toc460857905"/>
      <w:bookmarkStart w:id="14" w:name="_Toc17707918"/>
      <w:bookmarkStart w:id="15" w:name="_Toc460416345"/>
      <w:r>
        <w:rPr>
          <w:rFonts w:ascii="宋体" w:hAnsi="宋体"/>
          <w:b/>
          <w:color w:val="auto"/>
          <w:szCs w:val="21"/>
          <w:highlight w:val="none"/>
        </w:rPr>
        <w:t>（</w:t>
      </w:r>
      <w:r>
        <w:rPr>
          <w:rFonts w:hint="eastAsia" w:ascii="宋体" w:hAnsi="宋体"/>
          <w:b/>
          <w:color w:val="auto"/>
          <w:szCs w:val="21"/>
          <w:highlight w:val="none"/>
        </w:rPr>
        <w:t>六</w:t>
      </w:r>
      <w:r>
        <w:rPr>
          <w:rFonts w:ascii="宋体" w:hAnsi="宋体"/>
          <w:b/>
          <w:color w:val="auto"/>
          <w:szCs w:val="21"/>
          <w:highlight w:val="none"/>
        </w:rPr>
        <w:t>）特别说明</w:t>
      </w:r>
      <w:bookmarkEnd w:id="10"/>
      <w:bookmarkEnd w:id="11"/>
      <w:bookmarkEnd w:id="12"/>
      <w:bookmarkEnd w:id="13"/>
      <w:bookmarkEnd w:id="14"/>
      <w:bookmarkEnd w:id="15"/>
    </w:p>
    <w:p w14:paraId="0AA6C3E3">
      <w:pPr>
        <w:wordWrap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w:t>
      </w:r>
      <w:r>
        <w:rPr>
          <w:rFonts w:ascii="宋体" w:hAnsi="宋体"/>
          <w:color w:val="auto"/>
          <w:szCs w:val="21"/>
          <w:highlight w:val="none"/>
        </w:rPr>
        <w:t>投标人应仔细阅读采购文件的所有内容，按照采购文件的要求提交投标文件，并对所提供的全部资料的真实性承担法律责任。</w:t>
      </w:r>
    </w:p>
    <w:p w14:paraId="098BD00F">
      <w:pPr>
        <w:wordWrap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w:t>
      </w:r>
      <w:r>
        <w:rPr>
          <w:rFonts w:ascii="宋体" w:hAnsi="宋体"/>
          <w:color w:val="auto"/>
          <w:szCs w:val="21"/>
          <w:highlight w:val="none"/>
        </w:rPr>
        <w:t>投标人在投标活动中提供任何虚假材料，其投标无效，并报监管部门查处；中标后发现的,中标人须依照《中华人民共和国消费者权益保护法》第</w:t>
      </w:r>
      <w:r>
        <w:rPr>
          <w:rFonts w:hint="eastAsia" w:ascii="宋体" w:hAnsi="宋体"/>
          <w:color w:val="auto"/>
          <w:szCs w:val="21"/>
          <w:highlight w:val="none"/>
        </w:rPr>
        <w:t>55</w:t>
      </w:r>
      <w:r>
        <w:rPr>
          <w:rFonts w:ascii="宋体" w:hAnsi="宋体"/>
          <w:color w:val="auto"/>
          <w:szCs w:val="21"/>
          <w:highlight w:val="none"/>
        </w:rPr>
        <w:t>条之规定赔偿采购人，且民事赔偿并不免除违法投标人的行政与刑事责任。</w:t>
      </w:r>
    </w:p>
    <w:p w14:paraId="6C5BF32B">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★（七）合格</w:t>
      </w:r>
      <w:r>
        <w:rPr>
          <w:rFonts w:hint="eastAsia" w:ascii="宋体" w:hAnsi="宋体"/>
          <w:b/>
          <w:color w:val="auto"/>
          <w:szCs w:val="21"/>
          <w:highlight w:val="none"/>
          <w:lang w:val="en-US" w:eastAsia="zh-CN"/>
        </w:rPr>
        <w:t>服务</w:t>
      </w:r>
      <w:r>
        <w:rPr>
          <w:rFonts w:ascii="宋体" w:hAnsi="宋体"/>
          <w:b/>
          <w:color w:val="auto"/>
          <w:szCs w:val="21"/>
          <w:highlight w:val="none"/>
        </w:rPr>
        <w:t>来源：</w:t>
      </w:r>
      <w:r>
        <w:rPr>
          <w:rFonts w:hint="eastAsia" w:ascii="宋体" w:hAnsi="宋体"/>
          <w:b/>
          <w:color w:val="auto"/>
          <w:szCs w:val="21"/>
          <w:highlight w:val="none"/>
        </w:rPr>
        <w:t>本项目不</w:t>
      </w:r>
      <w:r>
        <w:rPr>
          <w:rFonts w:ascii="宋体" w:hAnsi="宋体"/>
          <w:b/>
          <w:color w:val="auto"/>
          <w:szCs w:val="21"/>
          <w:highlight w:val="none"/>
        </w:rPr>
        <w:t>允许采购</w:t>
      </w:r>
      <w:r>
        <w:rPr>
          <w:rFonts w:hint="eastAsia" w:ascii="宋体" w:hAnsi="宋体"/>
          <w:b/>
          <w:color w:val="auto"/>
          <w:szCs w:val="21"/>
          <w:highlight w:val="none"/>
        </w:rPr>
        <w:t>进口</w:t>
      </w:r>
      <w:r>
        <w:rPr>
          <w:rFonts w:hint="eastAsia" w:ascii="宋体" w:hAnsi="宋体"/>
          <w:b/>
          <w:color w:val="auto"/>
          <w:szCs w:val="21"/>
          <w:highlight w:val="none"/>
          <w:lang w:val="en-US" w:eastAsia="zh-CN"/>
        </w:rPr>
        <w:t>服务</w:t>
      </w:r>
      <w:r>
        <w:rPr>
          <w:rFonts w:hint="eastAsia" w:ascii="宋体" w:hAnsi="宋体"/>
          <w:b/>
          <w:color w:val="auto"/>
          <w:szCs w:val="21"/>
          <w:highlight w:val="none"/>
        </w:rPr>
        <w:t>。</w:t>
      </w:r>
    </w:p>
    <w:p w14:paraId="2356501C">
      <w:pPr>
        <w:wordWrap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（八）合格的投标货物或服务：</w:t>
      </w:r>
    </w:p>
    <w:p w14:paraId="6536FF8A">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1、应该是中国境内生产的货物或提供的服务。</w:t>
      </w:r>
    </w:p>
    <w:p w14:paraId="536A0A3A">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若投标货物或服务是国家实行许可证制度或生产注册证制度的产品或服务，则应具备相应有效的证书。</w:t>
      </w:r>
    </w:p>
    <w:p w14:paraId="65C80C44">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采购文件允许采购进口产品的，若投标货物是进口产品，投标人应保证所投产品为可履行合法报通关手续进入中国关境内、在中国海关完税的可合法销售的货物。</w:t>
      </w:r>
    </w:p>
    <w:p w14:paraId="51199207">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2、国家规定有标准及规范的，投标货物或服务应按有效的标准及规范执行，应符合国家及采购文件提出的有关技术、质量、安全标准。</w:t>
      </w:r>
    </w:p>
    <w:p w14:paraId="6F3A0279">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3、投标人应保证所提供的产品或服务免受第三方提出侵犯其知识产权（专利权、商标权、工业设计权及使用权等）的索赔或起诉，否则，由此可能产生的一切法律责任和经济责任均由投标人承担。</w:t>
      </w:r>
    </w:p>
    <w:p w14:paraId="4F01C293">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五、投标报价</w:t>
      </w:r>
    </w:p>
    <w:p w14:paraId="53709242">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投标报价货币为人民币，</w:t>
      </w:r>
      <w:r>
        <w:rPr>
          <w:rFonts w:hint="eastAsia" w:ascii="宋体" w:hAnsi="宋体"/>
          <w:color w:val="auto"/>
          <w:szCs w:val="21"/>
          <w:highlight w:val="none"/>
        </w:rPr>
        <w:t xml:space="preserve">按采购文件《第三章 </w:t>
      </w:r>
      <w:r>
        <w:rPr>
          <w:rFonts w:ascii="宋体" w:hAnsi="宋体"/>
          <w:color w:val="auto"/>
          <w:szCs w:val="21"/>
          <w:highlight w:val="none"/>
        </w:rPr>
        <w:t>招标需求</w:t>
      </w:r>
      <w:r>
        <w:rPr>
          <w:rFonts w:hint="eastAsia" w:ascii="宋体" w:hAnsi="宋体"/>
          <w:color w:val="auto"/>
          <w:szCs w:val="21"/>
          <w:highlight w:val="none"/>
        </w:rPr>
        <w:t>》的要求，包括完成本项目的所有费用</w:t>
      </w:r>
      <w:r>
        <w:rPr>
          <w:rFonts w:hint="eastAsia" w:ascii="宋体" w:hAnsi="宋体"/>
          <w:color w:val="auto"/>
          <w:szCs w:val="21"/>
          <w:highlight w:val="none"/>
          <w:lang w:eastAsia="zh-CN"/>
        </w:rPr>
        <w:t>，</w:t>
      </w:r>
      <w:r>
        <w:rPr>
          <w:rFonts w:hint="eastAsia" w:ascii="宋体" w:hAnsi="宋体"/>
          <w:b/>
          <w:bCs/>
          <w:color w:val="auto"/>
          <w:szCs w:val="21"/>
          <w:highlight w:val="none"/>
        </w:rPr>
        <w:t>投标</w:t>
      </w:r>
      <w:r>
        <w:rPr>
          <w:rFonts w:ascii="宋体" w:hAnsi="宋体"/>
          <w:b/>
          <w:bCs/>
          <w:color w:val="auto"/>
          <w:szCs w:val="21"/>
          <w:highlight w:val="none"/>
        </w:rPr>
        <w:t>报价</w:t>
      </w:r>
      <w:r>
        <w:rPr>
          <w:rFonts w:hint="eastAsia" w:ascii="宋体" w:hAnsi="宋体"/>
          <w:b/>
          <w:bCs/>
          <w:color w:val="auto"/>
          <w:szCs w:val="21"/>
          <w:highlight w:val="none"/>
          <w:lang w:val="en-US" w:eastAsia="zh-CN"/>
        </w:rPr>
        <w:t>时采用统一折扣</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最终合同金额包干部分按预算价×统一折扣计算，按实维修部分按审计审定金额为准</w:t>
      </w:r>
      <w:r>
        <w:rPr>
          <w:rFonts w:hint="eastAsia" w:ascii="宋体" w:hAnsi="宋体"/>
          <w:b/>
          <w:bCs/>
          <w:color w:val="auto"/>
          <w:szCs w:val="21"/>
          <w:highlight w:val="none"/>
        </w:rPr>
        <w:t>。</w:t>
      </w:r>
    </w:p>
    <w:p w14:paraId="325E0115">
      <w:pPr>
        <w:wordWrap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供应商应详细列明各分项工作相关报价及依据，未列明的相关报价应视为已包含在已列明费用的报价中，采购人将不予单独支付。</w:t>
      </w:r>
    </w:p>
    <w:p w14:paraId="3B152FF3">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投标文件的货币单位为人民币元。</w:t>
      </w:r>
    </w:p>
    <w:p w14:paraId="080F15B6">
      <w:pPr>
        <w:tabs>
          <w:tab w:val="left" w:pos="525"/>
        </w:tabs>
        <w:wordWrap w:val="0"/>
        <w:snapToGrid w:val="0"/>
        <w:spacing w:line="36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4、</w:t>
      </w:r>
      <w:r>
        <w:rPr>
          <w:rFonts w:ascii="宋体" w:hAnsi="宋体"/>
          <w:b/>
          <w:color w:val="auto"/>
          <w:szCs w:val="21"/>
          <w:highlight w:val="none"/>
        </w:rPr>
        <w:t>投标文件只允许有一个报价，有选择的或有条件的报价将不予接受。</w:t>
      </w:r>
    </w:p>
    <w:p w14:paraId="7E325BF0">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六、投标有效期</w:t>
      </w:r>
    </w:p>
    <w:p w14:paraId="438ED0D6">
      <w:pPr>
        <w:wordWrap w:val="0"/>
        <w:spacing w:line="36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、投标文件从开标之日起，投标有效期为</w:t>
      </w:r>
      <w:r>
        <w:rPr>
          <w:rFonts w:ascii="宋体" w:hAnsi="宋体"/>
          <w:color w:val="auto"/>
          <w:szCs w:val="21"/>
          <w:highlight w:val="none"/>
        </w:rPr>
        <w:t>90</w:t>
      </w:r>
      <w:r>
        <w:rPr>
          <w:rFonts w:hint="eastAsia" w:ascii="宋体" w:hAnsi="宋体"/>
          <w:color w:val="auto"/>
          <w:szCs w:val="21"/>
          <w:highlight w:val="none"/>
        </w:rPr>
        <w:t>个日历日。投标有效期不能小于采购文件的要求。</w:t>
      </w:r>
    </w:p>
    <w:p w14:paraId="07BDFF99">
      <w:pPr>
        <w:wordWrap w:val="0"/>
        <w:spacing w:line="360" w:lineRule="auto"/>
        <w:ind w:firstLine="420" w:firstLineChars="200"/>
        <w:jc w:val="left"/>
        <w:rPr>
          <w:rFonts w:ascii="宋体" w:hAnsi="宋体"/>
          <w:b/>
          <w:color w:val="auto"/>
          <w:szCs w:val="21"/>
          <w:highlight w:val="none"/>
        </w:rPr>
      </w:pPr>
      <w:r>
        <w:rPr>
          <w:rFonts w:ascii="宋体" w:hAnsi="宋体"/>
          <w:color w:val="auto"/>
          <w:szCs w:val="21"/>
          <w:highlight w:val="none"/>
        </w:rPr>
        <w:t>2</w:t>
      </w:r>
      <w:r>
        <w:rPr>
          <w:rFonts w:hint="eastAsia" w:ascii="宋体" w:hAnsi="宋体"/>
          <w:color w:val="auto"/>
          <w:szCs w:val="21"/>
          <w:highlight w:val="none"/>
        </w:rPr>
        <w:t>、特殊情况下，采购人可与供应商协商延长投标文件的有效期，这种要求和答复均以书面形式进行。</w:t>
      </w:r>
    </w:p>
    <w:p w14:paraId="07D553A1">
      <w:pPr>
        <w:wordWrap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、供应商可拒绝接受延期要求。同意延长有效期的供应商不能修改投标文件。</w:t>
      </w:r>
    </w:p>
    <w:p w14:paraId="191272B5">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七、投标文件的形式和效力</w:t>
      </w:r>
    </w:p>
    <w:p w14:paraId="6927B89F">
      <w:pPr>
        <w:wordWrap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、投标文件分为电子投标文件以及备份投标文件，备份投标文件分为以</w:t>
      </w:r>
      <w:r>
        <w:rPr>
          <w:rFonts w:hint="eastAsia" w:ascii="宋体" w:hAnsi="宋体" w:cs="宋体"/>
          <w:color w:val="auto"/>
          <w:kern w:val="0"/>
          <w:szCs w:val="21"/>
          <w:highlight w:val="none"/>
        </w:rPr>
        <w:t>U盘存储的电子</w:t>
      </w:r>
      <w:r>
        <w:rPr>
          <w:rFonts w:hint="eastAsia" w:ascii="宋体" w:hAnsi="宋体"/>
          <w:color w:val="auto"/>
          <w:szCs w:val="21"/>
          <w:highlight w:val="none"/>
        </w:rPr>
        <w:t>备份投标文件。</w:t>
      </w:r>
    </w:p>
    <w:p w14:paraId="7685A17C">
      <w:pPr>
        <w:wordWrap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、电子投标文件，按“项目采购-电子招投标操作指南”及本采购文件要求制作，并加密。</w:t>
      </w:r>
    </w:p>
    <w:p w14:paraId="66BF2E9F">
      <w:pPr>
        <w:wordWrap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、以</w:t>
      </w:r>
      <w:r>
        <w:rPr>
          <w:rFonts w:hint="eastAsia" w:ascii="宋体" w:hAnsi="宋体" w:cs="宋体"/>
          <w:color w:val="auto"/>
          <w:kern w:val="0"/>
          <w:szCs w:val="21"/>
          <w:highlight w:val="none"/>
        </w:rPr>
        <w:t>U盘存储的电子</w:t>
      </w:r>
      <w:r>
        <w:rPr>
          <w:rFonts w:hint="eastAsia" w:ascii="宋体" w:hAnsi="宋体"/>
          <w:color w:val="auto"/>
          <w:szCs w:val="21"/>
          <w:highlight w:val="none"/>
        </w:rPr>
        <w:t>备份投标文件，按“项目采购-电子招投标操作指南”制作的电子备份文件。</w:t>
      </w:r>
    </w:p>
    <w:p w14:paraId="3AA769E4">
      <w:pPr>
        <w:wordWrap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、投标文件填写字迹必须清楚、工整，对不同文字文本投标文件的解释发生异议的，以中文文本为准。</w:t>
      </w:r>
    </w:p>
    <w:p w14:paraId="3C9A0207">
      <w:pPr>
        <w:wordWrap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、投标文件的效力</w:t>
      </w:r>
    </w:p>
    <w:p w14:paraId="10E456AF">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投标文件的启用，按先后顺位分别为电子投标文件、以</w:t>
      </w:r>
      <w:r>
        <w:rPr>
          <w:rFonts w:hint="eastAsia" w:ascii="宋体" w:hAnsi="宋体" w:cs="宋体"/>
          <w:color w:val="auto"/>
          <w:kern w:val="0"/>
          <w:szCs w:val="21"/>
          <w:highlight w:val="none"/>
        </w:rPr>
        <w:t>U盘存储的电子</w:t>
      </w:r>
      <w:r>
        <w:rPr>
          <w:rFonts w:hint="eastAsia" w:ascii="宋体" w:hAnsi="宋体"/>
          <w:color w:val="auto"/>
          <w:szCs w:val="21"/>
          <w:highlight w:val="none"/>
        </w:rPr>
        <w:t>备份投标文件。在下一顺位的投标文件启用时，前一顺位的投标文件自动失效。</w:t>
      </w:r>
    </w:p>
    <w:p w14:paraId="76C69BB9">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电子投标文件未能按时解密，供应商提供了电子备份投标文件的，以电子备份投标文件作为依据，否则视为投标文件撤回。电子投标文件已按时解密的，电子备份投标文件自动失效。</w:t>
      </w:r>
    </w:p>
    <w:p w14:paraId="4E4AFD6E">
      <w:pPr>
        <w:wordWrap w:val="0"/>
        <w:spacing w:line="360" w:lineRule="auto"/>
        <w:ind w:firstLine="422" w:firstLineChars="200"/>
        <w:jc w:val="left"/>
        <w:rPr>
          <w:rFonts w:hint="eastAsia" w:ascii="宋体" w:hAnsi="宋体"/>
          <w:b/>
          <w:bCs/>
          <w:color w:val="auto"/>
          <w:szCs w:val="21"/>
          <w:highlight w:val="none"/>
        </w:rPr>
      </w:pPr>
      <w:bookmarkStart w:id="16" w:name="_Hlk23147633"/>
      <w:bookmarkStart w:id="17" w:name="_Hlk23150950"/>
      <w:r>
        <w:rPr>
          <w:rFonts w:hint="eastAsia" w:ascii="宋体" w:hAnsi="宋体"/>
          <w:b/>
          <w:bCs/>
          <w:color w:val="auto"/>
          <w:szCs w:val="21"/>
          <w:highlight w:val="none"/>
        </w:rPr>
        <w:t>八、投标文件的组成和制作</w:t>
      </w:r>
    </w:p>
    <w:p w14:paraId="0140E595">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1、投标文件的组成：</w:t>
      </w:r>
    </w:p>
    <w:p w14:paraId="0300166E">
      <w:pPr>
        <w:wordWrap w:val="0"/>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A、第一册：资格文件</w:t>
      </w:r>
    </w:p>
    <w:p w14:paraId="717FD667">
      <w:pPr>
        <w:wordWrap w:val="0"/>
        <w:spacing w:line="360" w:lineRule="auto"/>
        <w:ind w:firstLine="413" w:firstLineChars="197"/>
        <w:rPr>
          <w:rFonts w:ascii="宋体" w:hAnsi="宋体" w:cs="宋体"/>
          <w:color w:val="auto"/>
          <w:highlight w:val="none"/>
        </w:rPr>
      </w:pPr>
      <w:r>
        <w:rPr>
          <w:rFonts w:hint="eastAsia" w:ascii="宋体" w:hAnsi="宋体" w:cs="宋体"/>
          <w:color w:val="auto"/>
          <w:highlight w:val="none"/>
        </w:rPr>
        <w:t>资格文件封面</w:t>
      </w:r>
      <w:r>
        <w:rPr>
          <w:rFonts w:hint="eastAsia" w:ascii="宋体" w:hAnsi="宋体"/>
          <w:color w:val="auto"/>
          <w:szCs w:val="21"/>
          <w:highlight w:val="none"/>
        </w:rPr>
        <w:t>（格式</w:t>
      </w:r>
      <w:r>
        <w:rPr>
          <w:rFonts w:ascii="宋体" w:hAnsi="宋体"/>
          <w:color w:val="auto"/>
          <w:szCs w:val="21"/>
          <w:highlight w:val="none"/>
        </w:rPr>
        <w:t>见附件</w:t>
      </w:r>
      <w:r>
        <w:rPr>
          <w:rFonts w:hint="eastAsia" w:ascii="宋体" w:hAnsi="宋体"/>
          <w:color w:val="auto"/>
          <w:szCs w:val="21"/>
          <w:highlight w:val="none"/>
        </w:rPr>
        <w:t>）；</w:t>
      </w:r>
    </w:p>
    <w:p w14:paraId="1853A258">
      <w:pPr>
        <w:wordWrap w:val="0"/>
        <w:spacing w:line="360" w:lineRule="auto"/>
        <w:ind w:firstLine="413" w:firstLineChars="197"/>
        <w:rPr>
          <w:rFonts w:ascii="宋体" w:hAnsi="宋体" w:cs="宋体"/>
          <w:color w:val="auto"/>
          <w:highlight w:val="none"/>
        </w:rPr>
      </w:pPr>
      <w:r>
        <w:rPr>
          <w:rFonts w:hint="eastAsia" w:ascii="宋体" w:hAnsi="宋体" w:cs="宋体"/>
          <w:color w:val="auto"/>
          <w:highlight w:val="none"/>
        </w:rPr>
        <w:t>A1、关于资格的承诺函（格式见附件）；</w:t>
      </w:r>
    </w:p>
    <w:p w14:paraId="085F2ED7">
      <w:pPr>
        <w:wordWrap w:val="0"/>
        <w:spacing w:line="360" w:lineRule="auto"/>
        <w:ind w:firstLine="413" w:firstLineChars="197"/>
        <w:rPr>
          <w:rFonts w:ascii="宋体" w:hAnsi="宋体" w:cs="宋体"/>
          <w:color w:val="auto"/>
          <w:highlight w:val="none"/>
        </w:rPr>
      </w:pPr>
      <w:r>
        <w:rPr>
          <w:rFonts w:ascii="宋体" w:hAnsi="宋体" w:cs="宋体"/>
          <w:color w:val="auto"/>
          <w:highlight w:val="none"/>
        </w:rPr>
        <w:t>A</w:t>
      </w:r>
      <w:r>
        <w:rPr>
          <w:rFonts w:hint="eastAsia" w:ascii="宋体" w:hAnsi="宋体" w:cs="宋体"/>
          <w:color w:val="auto"/>
          <w:highlight w:val="none"/>
        </w:rPr>
        <w:t>2、营业执照副本（或事业法人登记证副本或其他登记证明材料）扫描件加盖投标人公章（投标人如果有名称变更的，应提供由行政主管部门出具的变更证明文件扫描件加盖投标人公章）；</w:t>
      </w:r>
    </w:p>
    <w:p w14:paraId="39FBB802">
      <w:pPr>
        <w:wordWrap w:val="0"/>
        <w:spacing w:line="360" w:lineRule="auto"/>
        <w:ind w:firstLine="413" w:firstLineChars="197"/>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A3、有效的市政公用施工总承包资质证书扫描件加盖投标人公章；</w:t>
      </w:r>
    </w:p>
    <w:p w14:paraId="1AF3FD36">
      <w:pPr>
        <w:wordWrap w:val="0"/>
        <w:spacing w:line="360" w:lineRule="auto"/>
        <w:ind w:firstLine="413" w:firstLineChars="197"/>
        <w:rPr>
          <w:rFonts w:hint="eastAsia" w:ascii="宋体" w:hAnsi="宋体" w:cs="宋体"/>
          <w:color w:val="auto"/>
          <w:highlight w:val="none"/>
        </w:rPr>
      </w:pPr>
      <w:r>
        <w:rPr>
          <w:rFonts w:ascii="宋体" w:hAnsi="宋体" w:cs="宋体"/>
          <w:color w:val="auto"/>
          <w:highlight w:val="none"/>
        </w:rPr>
        <w:t>A</w:t>
      </w:r>
      <w:r>
        <w:rPr>
          <w:rFonts w:hint="eastAsia" w:ascii="宋体" w:hAnsi="宋体" w:cs="宋体"/>
          <w:color w:val="auto"/>
          <w:highlight w:val="none"/>
          <w:lang w:val="en-US" w:eastAsia="zh-CN"/>
        </w:rPr>
        <w:t>4</w:t>
      </w:r>
      <w:r>
        <w:rPr>
          <w:rFonts w:hint="eastAsia" w:ascii="宋体" w:hAnsi="宋体" w:cs="宋体"/>
          <w:color w:val="auto"/>
          <w:highlight w:val="none"/>
        </w:rPr>
        <w:t>、</w:t>
      </w:r>
      <w:r>
        <w:rPr>
          <w:rFonts w:ascii="宋体" w:hAnsi="宋体" w:cs="宋体"/>
          <w:color w:val="auto"/>
          <w:highlight w:val="none"/>
        </w:rPr>
        <w:t>投标</w:t>
      </w:r>
      <w:r>
        <w:rPr>
          <w:rFonts w:hint="eastAsia" w:ascii="宋体" w:hAnsi="宋体" w:cs="宋体"/>
          <w:color w:val="auto"/>
          <w:highlight w:val="none"/>
        </w:rPr>
        <w:t>人</w:t>
      </w:r>
      <w:r>
        <w:rPr>
          <w:rFonts w:ascii="宋体" w:hAnsi="宋体" w:cs="宋体"/>
          <w:color w:val="auto"/>
          <w:highlight w:val="none"/>
        </w:rPr>
        <w:t>承诺书</w:t>
      </w:r>
      <w:r>
        <w:rPr>
          <w:rFonts w:hint="eastAsia" w:ascii="宋体" w:hAnsi="宋体" w:cs="宋体"/>
          <w:color w:val="auto"/>
          <w:highlight w:val="none"/>
        </w:rPr>
        <w:t>（格式见附件）；</w:t>
      </w:r>
    </w:p>
    <w:p w14:paraId="52C5E8AE">
      <w:pPr>
        <w:wordWrap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s="宋体"/>
          <w:color w:val="auto"/>
          <w:highlight w:val="none"/>
        </w:rPr>
        <w:t>投标人</w:t>
      </w:r>
      <w:r>
        <w:rPr>
          <w:rFonts w:hint="eastAsia" w:ascii="宋体" w:hAnsi="宋体"/>
          <w:color w:val="auto"/>
          <w:szCs w:val="21"/>
          <w:highlight w:val="none"/>
        </w:rPr>
        <w:t>认为需要的其他资料（如有请提供）。</w:t>
      </w:r>
    </w:p>
    <w:p w14:paraId="614B9F85">
      <w:pPr>
        <w:wordWrap w:val="0"/>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B、第二册：商务和技术文件</w:t>
      </w:r>
    </w:p>
    <w:p w14:paraId="2C4C9E74">
      <w:pPr>
        <w:wordWrap w:val="0"/>
        <w:spacing w:line="360" w:lineRule="auto"/>
        <w:ind w:firstLine="413" w:firstLineChars="197"/>
        <w:rPr>
          <w:rFonts w:ascii="宋体" w:hAnsi="宋体" w:cs="宋体"/>
          <w:color w:val="auto"/>
          <w:highlight w:val="none"/>
        </w:rPr>
      </w:pPr>
      <w:r>
        <w:rPr>
          <w:rFonts w:hint="eastAsia" w:ascii="宋体" w:hAnsi="宋体" w:cs="宋体"/>
          <w:color w:val="auto"/>
          <w:highlight w:val="none"/>
        </w:rPr>
        <w:t>商务和技术文件封面</w:t>
      </w:r>
      <w:r>
        <w:rPr>
          <w:rFonts w:hint="eastAsia" w:ascii="宋体" w:hAnsi="宋体"/>
          <w:color w:val="auto"/>
          <w:szCs w:val="21"/>
          <w:highlight w:val="none"/>
        </w:rPr>
        <w:t>（格式</w:t>
      </w:r>
      <w:r>
        <w:rPr>
          <w:rFonts w:ascii="宋体" w:hAnsi="宋体"/>
          <w:color w:val="auto"/>
          <w:szCs w:val="21"/>
          <w:highlight w:val="none"/>
        </w:rPr>
        <w:t>见附件</w:t>
      </w:r>
      <w:r>
        <w:rPr>
          <w:rFonts w:hint="eastAsia" w:ascii="宋体" w:hAnsi="宋体"/>
          <w:color w:val="auto"/>
          <w:szCs w:val="21"/>
          <w:highlight w:val="none"/>
        </w:rPr>
        <w:t>）；</w:t>
      </w:r>
    </w:p>
    <w:p w14:paraId="5246C2B4">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评分</w:t>
      </w:r>
      <w:r>
        <w:rPr>
          <w:rFonts w:ascii="宋体" w:hAnsi="宋体"/>
          <w:color w:val="auto"/>
          <w:szCs w:val="21"/>
          <w:highlight w:val="none"/>
        </w:rPr>
        <w:t>索引表</w:t>
      </w:r>
      <w:r>
        <w:rPr>
          <w:rFonts w:hint="eastAsia" w:ascii="宋体" w:hAnsi="宋体"/>
          <w:color w:val="auto"/>
          <w:szCs w:val="21"/>
          <w:highlight w:val="none"/>
        </w:rPr>
        <w:t>（格式</w:t>
      </w:r>
      <w:r>
        <w:rPr>
          <w:rFonts w:ascii="宋体" w:hAnsi="宋体"/>
          <w:color w:val="auto"/>
          <w:szCs w:val="21"/>
          <w:highlight w:val="none"/>
        </w:rPr>
        <w:t>见附件</w:t>
      </w:r>
      <w:r>
        <w:rPr>
          <w:rFonts w:hint="eastAsia" w:ascii="宋体" w:hAnsi="宋体"/>
          <w:color w:val="auto"/>
          <w:szCs w:val="21"/>
          <w:highlight w:val="none"/>
        </w:rPr>
        <w:t>）；</w:t>
      </w:r>
    </w:p>
    <w:p w14:paraId="639214CE">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B1、投标书</w:t>
      </w:r>
      <w:r>
        <w:rPr>
          <w:rFonts w:hint="eastAsia" w:ascii="宋体" w:hAnsi="宋体" w:cs="宋体"/>
          <w:color w:val="auto"/>
          <w:highlight w:val="none"/>
        </w:rPr>
        <w:t>（格式见附件）</w:t>
      </w:r>
      <w:r>
        <w:rPr>
          <w:rFonts w:hint="eastAsia" w:ascii="宋体" w:hAnsi="宋体"/>
          <w:color w:val="auto"/>
          <w:szCs w:val="21"/>
          <w:highlight w:val="none"/>
        </w:rPr>
        <w:t>；</w:t>
      </w:r>
    </w:p>
    <w:p w14:paraId="1A897AC5">
      <w:pPr>
        <w:wordWrap w:val="0"/>
        <w:spacing w:line="360" w:lineRule="auto"/>
        <w:ind w:firstLine="413" w:firstLineChars="197"/>
        <w:rPr>
          <w:rFonts w:ascii="宋体" w:hAnsi="宋体" w:cs="宋体"/>
          <w:color w:val="auto"/>
          <w:highlight w:val="none"/>
        </w:rPr>
      </w:pPr>
      <w:r>
        <w:rPr>
          <w:rFonts w:ascii="宋体" w:hAnsi="宋体" w:cs="宋体"/>
          <w:color w:val="auto"/>
          <w:highlight w:val="none"/>
        </w:rPr>
        <w:t>B2</w:t>
      </w:r>
      <w:r>
        <w:rPr>
          <w:rFonts w:hint="eastAsia" w:ascii="宋体" w:hAnsi="宋体" w:cs="宋体"/>
          <w:color w:val="auto"/>
          <w:highlight w:val="none"/>
        </w:rPr>
        <w:t>、营业执照副本（或事业法人登记证副本或其他登记证明材料）扫描件加盖供应商公章（供应商如果有名称变更的，应提供由行政主管部门出具的变更证明文件扫描件加盖供应商公章）；</w:t>
      </w:r>
    </w:p>
    <w:p w14:paraId="77BE341D">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3</w:t>
      </w:r>
      <w:r>
        <w:rPr>
          <w:rFonts w:hint="eastAsia" w:ascii="宋体" w:hAnsi="宋体"/>
          <w:color w:val="auto"/>
          <w:szCs w:val="21"/>
          <w:highlight w:val="none"/>
        </w:rPr>
        <w:t>、法定代表人身份证明</w:t>
      </w:r>
      <w:r>
        <w:rPr>
          <w:rFonts w:hint="eastAsia" w:ascii="宋体" w:hAnsi="宋体" w:cs="宋体"/>
          <w:color w:val="auto"/>
          <w:highlight w:val="none"/>
        </w:rPr>
        <w:t>（格式见附件）</w:t>
      </w:r>
      <w:r>
        <w:rPr>
          <w:rFonts w:hint="eastAsia" w:ascii="宋体" w:hAnsi="宋体"/>
          <w:color w:val="auto"/>
          <w:szCs w:val="21"/>
          <w:highlight w:val="none"/>
        </w:rPr>
        <w:t>；</w:t>
      </w:r>
    </w:p>
    <w:p w14:paraId="3AE8E659">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4</w:t>
      </w:r>
      <w:r>
        <w:rPr>
          <w:rFonts w:hint="eastAsia" w:ascii="宋体" w:hAnsi="宋体"/>
          <w:color w:val="auto"/>
          <w:szCs w:val="21"/>
          <w:highlight w:val="none"/>
        </w:rPr>
        <w:t>、法定代表人授权书（投标文件由授权代表签字的须提供）</w:t>
      </w:r>
      <w:r>
        <w:rPr>
          <w:rFonts w:hint="eastAsia" w:ascii="宋体" w:hAnsi="宋体" w:cs="宋体"/>
          <w:color w:val="auto"/>
          <w:highlight w:val="none"/>
        </w:rPr>
        <w:t>（格式见附件）</w:t>
      </w:r>
      <w:r>
        <w:rPr>
          <w:rFonts w:hint="eastAsia" w:ascii="宋体" w:hAnsi="宋体"/>
          <w:color w:val="auto"/>
          <w:szCs w:val="21"/>
          <w:highlight w:val="none"/>
        </w:rPr>
        <w:t>；</w:t>
      </w:r>
    </w:p>
    <w:p w14:paraId="1FBDD8A7">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5</w:t>
      </w:r>
      <w:r>
        <w:rPr>
          <w:rFonts w:hint="eastAsia" w:ascii="宋体" w:hAnsi="宋体"/>
          <w:color w:val="auto"/>
          <w:szCs w:val="21"/>
          <w:highlight w:val="none"/>
        </w:rPr>
        <w:t>、</w:t>
      </w:r>
      <w:r>
        <w:rPr>
          <w:rFonts w:hint="eastAsia" w:ascii="宋体" w:hAnsi="宋体" w:cs="宋体"/>
          <w:color w:val="auto"/>
          <w:highlight w:val="none"/>
        </w:rPr>
        <w:t>投标人</w:t>
      </w:r>
      <w:r>
        <w:rPr>
          <w:rFonts w:hint="eastAsia" w:ascii="宋体" w:hAnsi="宋体"/>
          <w:color w:val="auto"/>
          <w:szCs w:val="21"/>
          <w:highlight w:val="none"/>
        </w:rPr>
        <w:t>一般情况表</w:t>
      </w:r>
      <w:r>
        <w:rPr>
          <w:rFonts w:hint="eastAsia" w:ascii="宋体" w:hAnsi="宋体" w:cs="宋体"/>
          <w:color w:val="auto"/>
          <w:highlight w:val="none"/>
        </w:rPr>
        <w:t>（格式见附件）</w:t>
      </w:r>
      <w:r>
        <w:rPr>
          <w:rFonts w:hint="eastAsia" w:ascii="宋体" w:hAnsi="宋体"/>
          <w:color w:val="auto"/>
          <w:szCs w:val="21"/>
          <w:highlight w:val="none"/>
        </w:rPr>
        <w:t>；</w:t>
      </w:r>
    </w:p>
    <w:p w14:paraId="3BA0E9A8">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6</w:t>
      </w:r>
      <w:r>
        <w:rPr>
          <w:rFonts w:hint="eastAsia" w:ascii="宋体" w:hAnsi="宋体"/>
          <w:color w:val="auto"/>
          <w:szCs w:val="21"/>
          <w:highlight w:val="none"/>
        </w:rPr>
        <w:t>、商务条款响应表</w:t>
      </w:r>
      <w:r>
        <w:rPr>
          <w:rFonts w:hint="eastAsia" w:ascii="宋体" w:hAnsi="宋体" w:cs="宋体"/>
          <w:color w:val="auto"/>
          <w:highlight w:val="none"/>
        </w:rPr>
        <w:t>（格式见附件）</w:t>
      </w:r>
      <w:r>
        <w:rPr>
          <w:rFonts w:hint="eastAsia" w:ascii="宋体" w:hAnsi="宋体"/>
          <w:color w:val="auto"/>
          <w:szCs w:val="21"/>
          <w:highlight w:val="none"/>
        </w:rPr>
        <w:t>；</w:t>
      </w:r>
    </w:p>
    <w:p w14:paraId="4F8E87EE">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7</w:t>
      </w:r>
      <w:r>
        <w:rPr>
          <w:rFonts w:hint="eastAsia" w:ascii="宋体" w:hAnsi="宋体"/>
          <w:color w:val="auto"/>
          <w:szCs w:val="21"/>
          <w:highlight w:val="none"/>
        </w:rPr>
        <w:t>、技术条款响应表</w:t>
      </w:r>
      <w:r>
        <w:rPr>
          <w:rFonts w:hint="eastAsia" w:ascii="宋体" w:hAnsi="宋体" w:cs="宋体"/>
          <w:color w:val="auto"/>
          <w:highlight w:val="none"/>
        </w:rPr>
        <w:t>（格式见附件）</w:t>
      </w:r>
      <w:r>
        <w:rPr>
          <w:rFonts w:hint="eastAsia" w:ascii="宋体" w:hAnsi="宋体"/>
          <w:color w:val="auto"/>
          <w:szCs w:val="21"/>
          <w:highlight w:val="none"/>
        </w:rPr>
        <w:t>；</w:t>
      </w:r>
    </w:p>
    <w:p w14:paraId="798559B5">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8</w:t>
      </w:r>
      <w:r>
        <w:rPr>
          <w:rFonts w:hint="eastAsia" w:ascii="宋体" w:hAnsi="宋体"/>
          <w:color w:val="auto"/>
          <w:szCs w:val="21"/>
          <w:highlight w:val="none"/>
        </w:rPr>
        <w:t>、</w:t>
      </w:r>
      <w:r>
        <w:rPr>
          <w:rFonts w:hint="eastAsia" w:ascii="宋体" w:hAnsi="宋体"/>
          <w:color w:val="auto"/>
          <w:szCs w:val="21"/>
          <w:highlight w:val="none"/>
          <w:lang w:val="en-US" w:eastAsia="zh-CN"/>
        </w:rPr>
        <w:t>日常</w:t>
      </w:r>
      <w:r>
        <w:rPr>
          <w:rFonts w:hint="eastAsia" w:ascii="宋体" w:hAnsi="宋体"/>
          <w:color w:val="auto"/>
          <w:szCs w:val="21"/>
          <w:highlight w:val="none"/>
        </w:rPr>
        <w:t>养护</w:t>
      </w:r>
      <w:r>
        <w:rPr>
          <w:rFonts w:ascii="宋体" w:hAnsi="宋体"/>
          <w:color w:val="auto"/>
          <w:szCs w:val="21"/>
          <w:highlight w:val="none"/>
        </w:rPr>
        <w:t>方案</w:t>
      </w:r>
      <w:r>
        <w:rPr>
          <w:rFonts w:hint="eastAsia" w:ascii="宋体" w:hAnsi="宋体"/>
          <w:color w:val="auto"/>
          <w:szCs w:val="21"/>
          <w:highlight w:val="none"/>
        </w:rPr>
        <w:t>；</w:t>
      </w:r>
    </w:p>
    <w:p w14:paraId="74CDBFB4">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9</w:t>
      </w:r>
      <w:r>
        <w:rPr>
          <w:rFonts w:hint="eastAsia" w:ascii="宋体" w:hAnsi="宋体"/>
          <w:color w:val="auto"/>
          <w:szCs w:val="21"/>
          <w:highlight w:val="none"/>
        </w:rPr>
        <w:t>、本项目负责人简历</w:t>
      </w:r>
      <w:r>
        <w:rPr>
          <w:rFonts w:hint="eastAsia" w:ascii="宋体" w:hAnsi="宋体" w:cs="宋体"/>
          <w:color w:val="auto"/>
          <w:highlight w:val="none"/>
        </w:rPr>
        <w:t>（格式见附件）</w:t>
      </w:r>
      <w:r>
        <w:rPr>
          <w:rFonts w:hint="eastAsia" w:ascii="宋体" w:hAnsi="宋体"/>
          <w:color w:val="auto"/>
          <w:szCs w:val="21"/>
          <w:highlight w:val="none"/>
        </w:rPr>
        <w:t>；</w:t>
      </w:r>
    </w:p>
    <w:p w14:paraId="76A27485">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B10、本项目服务人员配置表</w:t>
      </w:r>
      <w:r>
        <w:rPr>
          <w:rFonts w:hint="eastAsia" w:ascii="宋体" w:hAnsi="宋体" w:cs="宋体"/>
          <w:color w:val="auto"/>
          <w:highlight w:val="none"/>
        </w:rPr>
        <w:t>（格式见附件）</w:t>
      </w:r>
      <w:r>
        <w:rPr>
          <w:rFonts w:hint="eastAsia" w:ascii="宋体" w:hAnsi="宋体"/>
          <w:color w:val="auto"/>
          <w:szCs w:val="21"/>
          <w:highlight w:val="none"/>
        </w:rPr>
        <w:t>；</w:t>
      </w:r>
    </w:p>
    <w:p w14:paraId="15A18FFE">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11</w:t>
      </w:r>
      <w:r>
        <w:rPr>
          <w:rFonts w:hint="eastAsia" w:ascii="宋体" w:hAnsi="宋体"/>
          <w:color w:val="auto"/>
          <w:szCs w:val="21"/>
          <w:highlight w:val="none"/>
        </w:rPr>
        <w:t>、本项目所需设备、工具配置表</w:t>
      </w:r>
      <w:r>
        <w:rPr>
          <w:rFonts w:hint="eastAsia" w:ascii="宋体" w:hAnsi="宋体" w:cs="宋体"/>
          <w:color w:val="auto"/>
          <w:highlight w:val="none"/>
        </w:rPr>
        <w:t>（格式见附件）</w:t>
      </w:r>
      <w:r>
        <w:rPr>
          <w:rFonts w:hint="eastAsia" w:ascii="宋体" w:hAnsi="宋体"/>
          <w:color w:val="auto"/>
          <w:szCs w:val="21"/>
          <w:highlight w:val="none"/>
        </w:rPr>
        <w:t>；</w:t>
      </w:r>
    </w:p>
    <w:p w14:paraId="2EE32E5D">
      <w:pPr>
        <w:wordWrap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B12</w:t>
      </w:r>
      <w:r>
        <w:rPr>
          <w:rFonts w:hint="eastAsia" w:ascii="宋体" w:hAnsi="宋体"/>
          <w:color w:val="auto"/>
          <w:szCs w:val="21"/>
          <w:highlight w:val="none"/>
        </w:rPr>
        <w:t>、同类项目业绩表（格式见附件）；</w:t>
      </w:r>
    </w:p>
    <w:p w14:paraId="127650CB">
      <w:pPr>
        <w:wordWrap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B13</w:t>
      </w:r>
      <w:r>
        <w:rPr>
          <w:rFonts w:hint="eastAsia" w:ascii="宋体" w:hAnsi="宋体"/>
          <w:color w:val="auto"/>
          <w:szCs w:val="21"/>
          <w:highlight w:val="none"/>
        </w:rPr>
        <w:t>、投标人声明</w:t>
      </w:r>
      <w:r>
        <w:rPr>
          <w:rFonts w:hint="eastAsia" w:ascii="宋体" w:hAnsi="宋体" w:cs="宋体"/>
          <w:color w:val="auto"/>
          <w:highlight w:val="none"/>
        </w:rPr>
        <w:t>（格式见附件）</w:t>
      </w:r>
      <w:r>
        <w:rPr>
          <w:rFonts w:hint="eastAsia" w:ascii="宋体" w:hAnsi="宋体"/>
          <w:color w:val="auto"/>
          <w:szCs w:val="21"/>
          <w:highlight w:val="none"/>
        </w:rPr>
        <w:t>；</w:t>
      </w:r>
    </w:p>
    <w:p w14:paraId="149BDE41">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14</w:t>
      </w:r>
      <w:r>
        <w:rPr>
          <w:rFonts w:hint="eastAsia" w:ascii="宋体" w:hAnsi="宋体"/>
          <w:color w:val="auto"/>
          <w:szCs w:val="21"/>
          <w:highlight w:val="none"/>
        </w:rPr>
        <w:t>、第五章“评标办法及标准”中商务和技术评分表要求提供的资料（如有请提供）；</w:t>
      </w:r>
    </w:p>
    <w:p w14:paraId="75E8C40E">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15</w:t>
      </w:r>
      <w:r>
        <w:rPr>
          <w:rFonts w:hint="eastAsia" w:ascii="宋体" w:hAnsi="宋体"/>
          <w:color w:val="auto"/>
          <w:szCs w:val="21"/>
          <w:highlight w:val="none"/>
        </w:rPr>
        <w:t>、投标人认为需要的其他资料（如有请提供）。</w:t>
      </w:r>
    </w:p>
    <w:bookmarkEnd w:id="16"/>
    <w:p w14:paraId="0BA743FC">
      <w:pPr>
        <w:wordWrap w:val="0"/>
        <w:spacing w:line="360" w:lineRule="auto"/>
        <w:ind w:firstLine="422" w:firstLineChars="200"/>
        <w:jc w:val="left"/>
        <w:rPr>
          <w:rFonts w:ascii="宋体" w:hAnsi="宋体"/>
          <w:b/>
          <w:color w:val="auto"/>
          <w:szCs w:val="21"/>
          <w:highlight w:val="none"/>
        </w:rPr>
      </w:pPr>
      <w:r>
        <w:rPr>
          <w:rFonts w:ascii="宋体" w:hAnsi="宋体"/>
          <w:b/>
          <w:color w:val="auto"/>
          <w:szCs w:val="21"/>
          <w:highlight w:val="none"/>
        </w:rPr>
        <w:t>C</w:t>
      </w:r>
      <w:r>
        <w:rPr>
          <w:rFonts w:hint="eastAsia" w:ascii="宋体" w:hAnsi="宋体"/>
          <w:b/>
          <w:color w:val="auto"/>
          <w:szCs w:val="21"/>
          <w:highlight w:val="none"/>
        </w:rPr>
        <w:t>、第三册：报价文件</w:t>
      </w:r>
    </w:p>
    <w:p w14:paraId="421F2A5D">
      <w:pPr>
        <w:wordWrap w:val="0"/>
        <w:spacing w:line="360" w:lineRule="auto"/>
        <w:ind w:firstLine="413" w:firstLineChars="197"/>
        <w:rPr>
          <w:rFonts w:ascii="宋体" w:hAnsi="宋体" w:cs="宋体"/>
          <w:color w:val="auto"/>
          <w:highlight w:val="none"/>
        </w:rPr>
      </w:pPr>
      <w:r>
        <w:rPr>
          <w:rFonts w:hint="eastAsia" w:ascii="宋体" w:hAnsi="宋体" w:cs="宋体"/>
          <w:color w:val="auto"/>
          <w:highlight w:val="none"/>
        </w:rPr>
        <w:t>报价文件封面</w:t>
      </w:r>
      <w:r>
        <w:rPr>
          <w:rFonts w:hint="eastAsia" w:ascii="宋体" w:hAnsi="宋体"/>
          <w:color w:val="auto"/>
          <w:szCs w:val="21"/>
          <w:highlight w:val="none"/>
        </w:rPr>
        <w:t>（格式</w:t>
      </w:r>
      <w:r>
        <w:rPr>
          <w:rFonts w:ascii="宋体" w:hAnsi="宋体"/>
          <w:color w:val="auto"/>
          <w:szCs w:val="21"/>
          <w:highlight w:val="none"/>
        </w:rPr>
        <w:t>见附件</w:t>
      </w:r>
      <w:r>
        <w:rPr>
          <w:rFonts w:hint="eastAsia" w:ascii="宋体" w:hAnsi="宋体"/>
          <w:color w:val="auto"/>
          <w:szCs w:val="21"/>
          <w:highlight w:val="none"/>
        </w:rPr>
        <w:t>）；</w:t>
      </w:r>
    </w:p>
    <w:p w14:paraId="70577146">
      <w:pPr>
        <w:wordWrap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C1</w:t>
      </w:r>
      <w:r>
        <w:rPr>
          <w:rFonts w:hint="eastAsia" w:ascii="宋体" w:hAnsi="宋体"/>
          <w:color w:val="auto"/>
          <w:szCs w:val="21"/>
          <w:highlight w:val="none"/>
        </w:rPr>
        <w:t>、开标一览表</w:t>
      </w:r>
      <w:r>
        <w:rPr>
          <w:rFonts w:hint="eastAsia" w:ascii="宋体" w:hAnsi="宋体" w:cs="宋体"/>
          <w:color w:val="auto"/>
          <w:highlight w:val="none"/>
        </w:rPr>
        <w:t>（格式见附件）</w:t>
      </w:r>
      <w:r>
        <w:rPr>
          <w:rFonts w:hint="eastAsia" w:ascii="宋体" w:hAnsi="宋体"/>
          <w:color w:val="auto"/>
          <w:szCs w:val="21"/>
          <w:highlight w:val="none"/>
        </w:rPr>
        <w:t>；</w:t>
      </w:r>
    </w:p>
    <w:p w14:paraId="3CD8C0E4">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C2</w:t>
      </w:r>
      <w:r>
        <w:rPr>
          <w:rFonts w:hint="eastAsia" w:ascii="宋体" w:hAnsi="宋体"/>
          <w:color w:val="auto"/>
          <w:szCs w:val="21"/>
          <w:highlight w:val="none"/>
        </w:rPr>
        <w:t>、中小企业声明函</w:t>
      </w:r>
      <w:r>
        <w:rPr>
          <w:rFonts w:hint="eastAsia" w:ascii="宋体" w:hAnsi="宋体" w:cs="宋体"/>
          <w:color w:val="auto"/>
          <w:highlight w:val="none"/>
        </w:rPr>
        <w:t>（格式见附件）</w:t>
      </w:r>
      <w:r>
        <w:rPr>
          <w:rFonts w:hint="eastAsia" w:ascii="宋体" w:hAnsi="宋体"/>
          <w:color w:val="auto"/>
          <w:szCs w:val="21"/>
          <w:highlight w:val="none"/>
        </w:rPr>
        <w:t>；</w:t>
      </w:r>
    </w:p>
    <w:p w14:paraId="55C41220">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C3</w:t>
      </w:r>
      <w:r>
        <w:rPr>
          <w:rFonts w:hint="eastAsia" w:ascii="宋体" w:hAnsi="宋体"/>
          <w:color w:val="auto"/>
          <w:szCs w:val="21"/>
          <w:highlight w:val="none"/>
        </w:rPr>
        <w:t>、残疾人福利性单位声明函</w:t>
      </w:r>
      <w:r>
        <w:rPr>
          <w:rFonts w:hint="eastAsia" w:ascii="宋体" w:hAnsi="宋体" w:cs="宋体"/>
          <w:color w:val="auto"/>
          <w:highlight w:val="none"/>
        </w:rPr>
        <w:t>（如有请提供，格式见附件）</w:t>
      </w:r>
      <w:r>
        <w:rPr>
          <w:rFonts w:hint="eastAsia" w:ascii="宋体" w:hAnsi="宋体"/>
          <w:color w:val="auto"/>
          <w:szCs w:val="21"/>
          <w:highlight w:val="none"/>
        </w:rPr>
        <w:t>；</w:t>
      </w:r>
    </w:p>
    <w:p w14:paraId="1EEF9BB6">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C4</w:t>
      </w:r>
      <w:r>
        <w:rPr>
          <w:rFonts w:hint="eastAsia" w:ascii="宋体" w:hAnsi="宋体"/>
          <w:color w:val="auto"/>
          <w:szCs w:val="21"/>
          <w:highlight w:val="none"/>
        </w:rPr>
        <w:t>、省级以上监狱管理局、戒毒管理局（含新疆生产建设兵团）出具的属于监狱企业的证明文件（如有请提供）</w:t>
      </w:r>
    </w:p>
    <w:p w14:paraId="1829BACE">
      <w:pPr>
        <w:wordWrap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lang w:val="en-US" w:eastAsia="zh-CN"/>
        </w:rPr>
        <w:t>5</w:t>
      </w:r>
      <w:r>
        <w:rPr>
          <w:rFonts w:hint="eastAsia" w:ascii="宋体" w:hAnsi="宋体"/>
          <w:color w:val="auto"/>
          <w:szCs w:val="21"/>
          <w:highlight w:val="none"/>
        </w:rPr>
        <w:t>、投标人认为需要的其他资料（如有请提供）。</w:t>
      </w:r>
    </w:p>
    <w:bookmarkEnd w:id="17"/>
    <w:p w14:paraId="51AB4780">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注</w:t>
      </w:r>
      <w:r>
        <w:rPr>
          <w:rFonts w:ascii="宋体" w:hAnsi="宋体"/>
          <w:b/>
          <w:color w:val="auto"/>
          <w:szCs w:val="21"/>
          <w:highlight w:val="none"/>
        </w:rPr>
        <w:t>：</w:t>
      </w:r>
      <w:r>
        <w:rPr>
          <w:rFonts w:hint="eastAsia" w:ascii="宋体" w:hAnsi="宋体"/>
          <w:b/>
          <w:color w:val="auto"/>
          <w:szCs w:val="21"/>
          <w:highlight w:val="none"/>
        </w:rPr>
        <w:t>供应商应对投标文件编制目录和评分索引表以方便查询。</w:t>
      </w:r>
    </w:p>
    <w:p w14:paraId="4E1C2919">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2、投标文件制作：</w:t>
      </w:r>
    </w:p>
    <w:p w14:paraId="1BF89D7C">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（1）应按照本项目采购文件和政府采购云平台的要求编制、加密并递交投标文件。供应商在使用系统进行投标的过程中遇到涉及平台使用的任何问题，可致电政府采购云平台技术支持热线咨询，联系方式：95763。</w:t>
      </w:r>
    </w:p>
    <w:p w14:paraId="37EABD1B">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（2）供应商通过政府采购云平台电子投标工具制作投标文件。电子投标工具请供应商自行前往浙江政府采购网下载并安装。</w:t>
      </w:r>
    </w:p>
    <w:p w14:paraId="319F80E0">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（3）以U盘存储的电子备份投标文件1份，即按“项目采购-电子招投标操作指南”制作的电子备份文件，以用于异常情况处理。</w:t>
      </w:r>
    </w:p>
    <w:p w14:paraId="5B7DCBD4">
      <w:pPr>
        <w:spacing w:line="360" w:lineRule="auto"/>
        <w:ind w:firstLine="420" w:firstLineChars="200"/>
        <w:jc w:val="left"/>
        <w:rPr>
          <w:rFonts w:hint="eastAsia" w:ascii="宋体" w:hAnsi="宋体"/>
          <w:b/>
          <w:color w:val="auto"/>
          <w:szCs w:val="21"/>
          <w:highlight w:val="none"/>
        </w:rPr>
      </w:pPr>
      <w:r>
        <w:rPr>
          <w:rFonts w:hint="eastAsia" w:ascii="宋体" w:hAnsi="宋体" w:cs="仿宋"/>
          <w:bCs/>
          <w:color w:val="auto"/>
          <w:szCs w:val="21"/>
          <w:highlight w:val="none"/>
        </w:rPr>
        <w:t>（4）开标前准备：各供应商应在投标截止时间前确保成为浙江政府采购网正式注册入库供应商，并完成CA数字证书办理。因未注册入库、未办理CA数字证书等原因造成无法投标或投标失败等后果由供应商自行承担。</w:t>
      </w:r>
      <w:r>
        <w:rPr>
          <w:rFonts w:hint="eastAsia" w:ascii="宋体" w:hAnsi="宋体" w:cs="仿宋"/>
          <w:b/>
          <w:bCs/>
          <w:color w:val="auto"/>
          <w:szCs w:val="21"/>
          <w:highlight w:val="none"/>
        </w:rPr>
        <w:t>完成CA数字证书办理预计一周左右，请供应商自行把握时间。</w:t>
      </w:r>
    </w:p>
    <w:p w14:paraId="0E3C9006">
      <w:pPr>
        <w:wordWrap w:val="0"/>
        <w:spacing w:line="360" w:lineRule="auto"/>
        <w:ind w:firstLine="420" w:firstLineChars="200"/>
        <w:jc w:val="left"/>
        <w:rPr>
          <w:rFonts w:ascii="宋体" w:hAnsi="宋体"/>
          <w:b/>
          <w:bCs/>
          <w:color w:val="auto"/>
          <w:szCs w:val="21"/>
          <w:highlight w:val="none"/>
        </w:rPr>
      </w:pPr>
      <w:r>
        <w:rPr>
          <w:rFonts w:ascii="宋体" w:hAnsi="宋体"/>
          <w:color w:val="auto"/>
          <w:szCs w:val="21"/>
          <w:highlight w:val="none"/>
        </w:rPr>
        <w:t>★</w:t>
      </w:r>
      <w:r>
        <w:rPr>
          <w:rFonts w:hint="eastAsia" w:ascii="宋体" w:hAnsi="宋体"/>
          <w:b/>
          <w:bCs/>
          <w:color w:val="auto"/>
          <w:szCs w:val="21"/>
          <w:highlight w:val="none"/>
        </w:rPr>
        <w:t>九、投标文件的签署盖章</w:t>
      </w:r>
    </w:p>
    <w:p w14:paraId="749ECA79">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1、采购文件第七章“附件”中标明加盖公章或签字的，加盖公章部分采用CA签章，签字部分由法定代表人或授权代表签字后扫描上传。授权代表签字的，还应附法定代表人签署的法定代表人授权书。</w:t>
      </w:r>
    </w:p>
    <w:p w14:paraId="5F46D702">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十、投标文件的密封和标记</w:t>
      </w:r>
    </w:p>
    <w:p w14:paraId="228769CB">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1、电子投标文件：供应商应根据“项目采购-电子招投标操作指南”及本采购文件规定的格式和顺序编制电子投标文件并进行关联定位。</w:t>
      </w:r>
    </w:p>
    <w:p w14:paraId="1CD77FAA">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kern w:val="0"/>
          <w:szCs w:val="21"/>
          <w:highlight w:val="none"/>
        </w:rPr>
        <w:t>以U盘存储的电子备份投标文件</w:t>
      </w:r>
      <w:r>
        <w:rPr>
          <w:rFonts w:hint="eastAsia" w:ascii="宋体" w:hAnsi="宋体"/>
          <w:b/>
          <w:color w:val="auto"/>
          <w:szCs w:val="21"/>
          <w:highlight w:val="none"/>
        </w:rPr>
        <w:t>用封袋密封后递交。</w:t>
      </w:r>
    </w:p>
    <w:p w14:paraId="5D2F3B8F">
      <w:pPr>
        <w:wordWrap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s="宋体"/>
          <w:color w:val="auto"/>
          <w:kern w:val="0"/>
          <w:szCs w:val="21"/>
          <w:highlight w:val="none"/>
        </w:rPr>
        <w:t>电子备份投标文件须在</w:t>
      </w:r>
      <w:r>
        <w:rPr>
          <w:rFonts w:hint="eastAsia" w:ascii="宋体" w:hAnsi="宋体"/>
          <w:color w:val="auto"/>
          <w:szCs w:val="21"/>
          <w:highlight w:val="none"/>
        </w:rPr>
        <w:t>封袋上分别注明：</w:t>
      </w:r>
    </w:p>
    <w:p w14:paraId="30CFB64C">
      <w:pPr>
        <w:tabs>
          <w:tab w:val="left" w:pos="900"/>
        </w:tabs>
        <w:wordWrap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）注    明：</w:t>
      </w:r>
      <w:r>
        <w:rPr>
          <w:rFonts w:hint="eastAsia" w:ascii="宋体" w:hAnsi="宋体"/>
          <w:color w:val="auto"/>
          <w:szCs w:val="21"/>
          <w:highlight w:val="none"/>
          <w:u w:val="single"/>
        </w:rPr>
        <w:t xml:space="preserve">“电子备份投标文件”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9251606">
      <w:pPr>
        <w:tabs>
          <w:tab w:val="left" w:pos="900"/>
        </w:tabs>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）采购编号：</w:t>
      </w:r>
      <w:r>
        <w:rPr>
          <w:rFonts w:hint="eastAsia" w:ascii="宋体" w:hAnsi="宋体"/>
          <w:color w:val="auto"/>
          <w:szCs w:val="21"/>
          <w:highlight w:val="none"/>
          <w:u w:val="single"/>
          <w:lang w:eastAsia="zh-CN"/>
        </w:rPr>
        <w:t>NBITC-202620214G</w:t>
      </w:r>
      <w:r>
        <w:rPr>
          <w:rFonts w:ascii="宋体" w:hAnsi="宋体"/>
          <w:color w:val="auto"/>
          <w:szCs w:val="21"/>
          <w:highlight w:val="none"/>
          <w:u w:val="single"/>
        </w:rPr>
        <w:t xml:space="preserve">                                       </w:t>
      </w:r>
      <w:r>
        <w:rPr>
          <w:rFonts w:hint="eastAsia" w:ascii="宋体" w:hAnsi="宋体"/>
          <w:color w:val="auto"/>
          <w:szCs w:val="21"/>
          <w:highlight w:val="none"/>
        </w:rPr>
        <w:t>；</w:t>
      </w:r>
    </w:p>
    <w:p w14:paraId="41D9CA36">
      <w:pPr>
        <w:tabs>
          <w:tab w:val="left" w:pos="900"/>
        </w:tabs>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）项目名称：</w:t>
      </w:r>
      <w:r>
        <w:rPr>
          <w:rFonts w:hint="eastAsia" w:ascii="宋体" w:hAnsi="宋体"/>
          <w:color w:val="auto"/>
          <w:szCs w:val="21"/>
          <w:highlight w:val="none"/>
          <w:u w:val="single"/>
          <w:lang w:eastAsia="zh-CN"/>
        </w:rPr>
        <w:t>2026年-2028年鄞州区下应、潘火、首南三街道道路桥梁日常养护项目</w:t>
      </w:r>
      <w:r>
        <w:rPr>
          <w:rFonts w:hint="eastAsia" w:ascii="宋体" w:hAnsi="宋体"/>
          <w:color w:val="auto"/>
          <w:szCs w:val="21"/>
          <w:highlight w:val="none"/>
        </w:rPr>
        <w:t>；</w:t>
      </w:r>
    </w:p>
    <w:p w14:paraId="178D3AE6">
      <w:pPr>
        <w:tabs>
          <w:tab w:val="left" w:pos="900"/>
        </w:tabs>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）所投标项（如有多个标项须填写）：</w:t>
      </w:r>
      <w:r>
        <w:rPr>
          <w:rFonts w:ascii="宋体" w:hAnsi="宋体"/>
          <w:color w:val="auto"/>
          <w:szCs w:val="21"/>
          <w:highlight w:val="none"/>
          <w:u w:val="single"/>
        </w:rPr>
        <w:t xml:space="preserve">                                  </w:t>
      </w:r>
      <w:r>
        <w:rPr>
          <w:rFonts w:hint="eastAsia" w:ascii="宋体" w:hAnsi="宋体"/>
          <w:color w:val="auto"/>
          <w:szCs w:val="21"/>
          <w:highlight w:val="none"/>
        </w:rPr>
        <w:t>；</w:t>
      </w:r>
    </w:p>
    <w:p w14:paraId="56ECECD5">
      <w:pPr>
        <w:tabs>
          <w:tab w:val="left" w:pos="900"/>
        </w:tabs>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）在</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日（规定的开标日期和时间）前不准启封；</w:t>
      </w:r>
    </w:p>
    <w:p w14:paraId="408A0C29">
      <w:pPr>
        <w:tabs>
          <w:tab w:val="left" w:pos="900"/>
        </w:tabs>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）供应商的名称：</w:t>
      </w:r>
      <w:r>
        <w:rPr>
          <w:rFonts w:ascii="宋体" w:hAnsi="宋体"/>
          <w:color w:val="auto"/>
          <w:szCs w:val="21"/>
          <w:highlight w:val="none"/>
          <w:u w:val="single"/>
        </w:rPr>
        <w:t xml:space="preserve">                                                    </w:t>
      </w:r>
      <w:r>
        <w:rPr>
          <w:rFonts w:hint="eastAsia" w:ascii="宋体" w:hAnsi="宋体"/>
          <w:color w:val="auto"/>
          <w:szCs w:val="21"/>
          <w:highlight w:val="none"/>
        </w:rPr>
        <w:t>。</w:t>
      </w:r>
    </w:p>
    <w:p w14:paraId="50349BF0">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供应商须在包封上加盖供应商公章或由其法定代表人（或授权代表）签字。</w:t>
      </w:r>
    </w:p>
    <w:p w14:paraId="5A10FF7B">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供应商未按上述要求标记的，采购人（代理机构）不承担错放或提前开封的责任。</w:t>
      </w:r>
    </w:p>
    <w:p w14:paraId="25EFE85B">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十一、投标文件的递交</w:t>
      </w:r>
    </w:p>
    <w:p w14:paraId="1F874E46">
      <w:pPr>
        <w:spacing w:line="360" w:lineRule="auto"/>
        <w:ind w:firstLine="420" w:firstLineChars="200"/>
        <w:jc w:val="left"/>
        <w:rPr>
          <w:rFonts w:ascii="宋体" w:hAnsi="宋体" w:cs="仿宋"/>
          <w:color w:val="auto"/>
          <w:kern w:val="0"/>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hint="eastAsia" w:ascii="宋体" w:hAnsi="宋体" w:cs="仿宋"/>
          <w:b/>
          <w:bCs/>
          <w:color w:val="auto"/>
          <w:kern w:val="0"/>
          <w:szCs w:val="21"/>
          <w:highlight w:val="none"/>
        </w:rPr>
        <w:t>电子投标文件：</w:t>
      </w:r>
      <w:r>
        <w:rPr>
          <w:rFonts w:hint="eastAsia" w:ascii="宋体" w:hAnsi="宋体" w:cs="仿宋"/>
          <w:color w:val="auto"/>
          <w:kern w:val="0"/>
          <w:szCs w:val="21"/>
          <w:highlight w:val="none"/>
        </w:rPr>
        <w:t>供应商应于提交投标文件截止时间前将电子投标文件（含资格文件、商务和技术文件、报价文件）上传到政府采购云平台（</w:t>
      </w:r>
      <w:r>
        <w:rPr>
          <w:rFonts w:hint="eastAsia" w:ascii="宋体" w:hAnsi="宋体"/>
          <w:color w:val="auto"/>
          <w:kern w:val="0"/>
          <w:szCs w:val="21"/>
          <w:highlight w:val="none"/>
        </w:rPr>
        <w:t>www.zcygov.cn</w:t>
      </w:r>
      <w:r>
        <w:rPr>
          <w:rFonts w:hint="eastAsia" w:ascii="宋体" w:hAnsi="宋体" w:cs="仿宋"/>
          <w:color w:val="auto"/>
          <w:kern w:val="0"/>
          <w:szCs w:val="21"/>
          <w:highlight w:val="none"/>
        </w:rPr>
        <w:t>）。</w:t>
      </w:r>
    </w:p>
    <w:p w14:paraId="049FC3BD">
      <w:pPr>
        <w:spacing w:line="360" w:lineRule="auto"/>
        <w:ind w:firstLine="422" w:firstLineChars="200"/>
        <w:jc w:val="left"/>
        <w:rPr>
          <w:rFonts w:ascii="宋体" w:hAnsi="宋体" w:cs="宋体"/>
          <w:color w:val="auto"/>
          <w:kern w:val="0"/>
          <w:szCs w:val="21"/>
          <w:highlight w:val="none"/>
        </w:rPr>
      </w:pPr>
      <w:r>
        <w:rPr>
          <w:rFonts w:hint="eastAsia" w:ascii="宋体" w:hAnsi="宋体" w:cs="仿宋"/>
          <w:b/>
          <w:bCs/>
          <w:color w:val="auto"/>
          <w:kern w:val="0"/>
          <w:szCs w:val="21"/>
          <w:highlight w:val="none"/>
        </w:rPr>
        <w:t>2、电子备份投标文件：</w:t>
      </w:r>
      <w:r>
        <w:rPr>
          <w:rFonts w:hint="eastAsia" w:ascii="宋体" w:hAnsi="宋体" w:cs="仿宋"/>
          <w:color w:val="auto"/>
          <w:kern w:val="0"/>
          <w:szCs w:val="21"/>
          <w:highlight w:val="none"/>
        </w:rPr>
        <w:t>供应商</w:t>
      </w:r>
      <w:r>
        <w:rPr>
          <w:rFonts w:hint="eastAsia" w:ascii="宋体" w:hAnsi="宋体" w:cs="仿宋"/>
          <w:color w:val="auto"/>
          <w:szCs w:val="21"/>
          <w:highlight w:val="none"/>
        </w:rPr>
        <w:t>于提交投标文件截止时间前1日，将以U盘存储的电子备份投标文件（1份，含资格文件、商务和技术文件、报价文件）密封后通过EMS等邮寄或现场递交方式送达，送达地址：宁波市国际招标有限公司（宁波市江北区环城北路西段207弄19号世茂茂悦商业中心1号楼八楼），联系方式：</w:t>
      </w:r>
      <w:r>
        <w:rPr>
          <w:rFonts w:hint="eastAsia" w:ascii="宋体" w:hAnsi="宋体" w:cs="仿宋"/>
          <w:color w:val="auto"/>
          <w:szCs w:val="21"/>
          <w:highlight w:val="none"/>
          <w:lang w:val="en-US" w:eastAsia="zh-CN"/>
        </w:rPr>
        <w:t>陆岚彬</w:t>
      </w:r>
      <w:r>
        <w:rPr>
          <w:rFonts w:hint="eastAsia" w:ascii="宋体" w:hAnsi="宋体" w:cs="仿宋"/>
          <w:color w:val="auto"/>
          <w:szCs w:val="21"/>
          <w:highlight w:val="none"/>
        </w:rPr>
        <w:t>，</w:t>
      </w:r>
      <w:r>
        <w:rPr>
          <w:rFonts w:ascii="宋体" w:hAnsi="宋体" w:cs="Arial"/>
          <w:color w:val="auto"/>
          <w:szCs w:val="21"/>
          <w:highlight w:val="none"/>
        </w:rPr>
        <w:t>0574-</w:t>
      </w:r>
      <w:r>
        <w:rPr>
          <w:rFonts w:hint="eastAsia" w:ascii="宋体" w:hAnsi="宋体" w:cs="Arial"/>
          <w:color w:val="auto"/>
          <w:szCs w:val="21"/>
          <w:highlight w:val="none"/>
        </w:rPr>
        <w:t>87386413</w:t>
      </w:r>
      <w:r>
        <w:rPr>
          <w:rFonts w:hint="eastAsia" w:ascii="宋体" w:hAnsi="宋体" w:cs="仿宋"/>
          <w:color w:val="auto"/>
          <w:szCs w:val="21"/>
          <w:highlight w:val="none"/>
        </w:rPr>
        <w:t>。供应商邮寄后须将邮件单号、联系电话发送至代理机构电子邮箱（电子邮箱：</w:t>
      </w:r>
      <w:r>
        <w:rPr>
          <w:rFonts w:ascii="宋体" w:hAnsi="宋体" w:cs="仿宋"/>
          <w:color w:val="auto"/>
          <w:szCs w:val="21"/>
          <w:highlight w:val="none"/>
        </w:rPr>
        <w:t>nbitc02@126.com</w:t>
      </w:r>
      <w:r>
        <w:rPr>
          <w:rFonts w:hint="eastAsia" w:ascii="宋体" w:hAnsi="宋体" w:cs="仿宋"/>
          <w:color w:val="auto"/>
          <w:szCs w:val="21"/>
          <w:highlight w:val="none"/>
        </w:rPr>
        <w:t>），并致电采购代理机</w:t>
      </w:r>
      <w:r>
        <w:rPr>
          <w:rFonts w:hint="eastAsia" w:ascii="宋体" w:hAnsi="宋体" w:cs="宋体"/>
          <w:color w:val="auto"/>
          <w:kern w:val="0"/>
          <w:szCs w:val="21"/>
          <w:highlight w:val="none"/>
        </w:rPr>
        <w:t>构，以便采购代理机构查询物流记录。各供应商应当确保电子备份投标文件的密封包装在邮寄过程保持完好，并在邮寄包裹上注明项目名称、项目编号。</w:t>
      </w:r>
    </w:p>
    <w:p w14:paraId="32FD22AE">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电子备份投标文件密封破损而不符合</w:t>
      </w:r>
      <w:r>
        <w:rPr>
          <w:rFonts w:hint="eastAsia" w:ascii="宋体" w:hAnsi="宋体"/>
          <w:color w:val="auto"/>
          <w:szCs w:val="21"/>
          <w:highlight w:val="none"/>
        </w:rPr>
        <w:t>采购文件</w:t>
      </w:r>
      <w:r>
        <w:rPr>
          <w:rFonts w:hint="eastAsia" w:ascii="宋体" w:hAnsi="宋体" w:cs="宋体"/>
          <w:color w:val="auto"/>
          <w:kern w:val="0"/>
          <w:szCs w:val="21"/>
          <w:highlight w:val="none"/>
        </w:rPr>
        <w:t>对电子备份投标文件的密封要求的、或电子备份投标文件未能在投标截止时间前送达的，代理机构将拒绝其电子备份投标文件。供应商自行考虑邮寄在途时间，电子备份投标文件送达时间以代理机构工作人员实际签收时间为准。</w:t>
      </w:r>
    </w:p>
    <w:p w14:paraId="767ADA7C">
      <w:pPr>
        <w:spacing w:line="360" w:lineRule="auto"/>
        <w:ind w:firstLine="420" w:firstLineChars="200"/>
        <w:jc w:val="left"/>
        <w:rPr>
          <w:rFonts w:ascii="宋体" w:hAnsi="宋体"/>
          <w:color w:val="auto"/>
          <w:szCs w:val="21"/>
          <w:highlight w:val="none"/>
          <w:lang w:val="en"/>
        </w:rPr>
      </w:pPr>
      <w:r>
        <w:rPr>
          <w:rFonts w:hint="eastAsia" w:ascii="宋体" w:hAnsi="宋体" w:cs="宋体"/>
          <w:color w:val="auto"/>
          <w:kern w:val="0"/>
          <w:szCs w:val="21"/>
          <w:highlight w:val="none"/>
        </w:rPr>
        <w:t>电子备份投标文件不强制要求提交，但因电子投标文件未能按时解密或解密失败，投标人又未提交电子备份投标文件的，将被视为投标</w:t>
      </w:r>
      <w:r>
        <w:rPr>
          <w:rFonts w:hint="eastAsia" w:ascii="宋体" w:hAnsi="宋体"/>
          <w:color w:val="auto"/>
          <w:szCs w:val="21"/>
          <w:highlight w:val="none"/>
          <w:lang w:val="en"/>
        </w:rPr>
        <w:t>文件撤回，投标无效。</w:t>
      </w:r>
    </w:p>
    <w:p w14:paraId="71311688">
      <w:pPr>
        <w:spacing w:line="360" w:lineRule="auto"/>
        <w:ind w:firstLine="420" w:firstLineChars="200"/>
        <w:jc w:val="left"/>
        <w:rPr>
          <w:rFonts w:ascii="宋体" w:hAnsi="宋体"/>
          <w:color w:val="auto"/>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ascii="宋体" w:hAnsi="宋体" w:cs="宋体"/>
          <w:color w:val="auto"/>
          <w:kern w:val="0"/>
          <w:szCs w:val="21"/>
          <w:highlight w:val="none"/>
        </w:rPr>
        <w:t>逾期送达的或者未送达指定地点的</w:t>
      </w:r>
      <w:r>
        <w:rPr>
          <w:rFonts w:hint="eastAsia" w:ascii="宋体" w:hAnsi="宋体" w:cs="宋体"/>
          <w:color w:val="auto"/>
          <w:kern w:val="0"/>
          <w:szCs w:val="21"/>
          <w:highlight w:val="none"/>
        </w:rPr>
        <w:t>电子备份投标文件</w:t>
      </w:r>
      <w:r>
        <w:rPr>
          <w:rFonts w:ascii="宋体" w:hAnsi="宋体" w:cs="宋体"/>
          <w:color w:val="auto"/>
          <w:kern w:val="0"/>
          <w:szCs w:val="21"/>
          <w:highlight w:val="none"/>
        </w:rPr>
        <w:t>的，</w:t>
      </w:r>
      <w:r>
        <w:rPr>
          <w:rFonts w:hint="eastAsia" w:ascii="宋体" w:hAnsi="宋体" w:cs="宋体"/>
          <w:color w:val="auto"/>
          <w:kern w:val="0"/>
          <w:szCs w:val="21"/>
          <w:highlight w:val="none"/>
        </w:rPr>
        <w:t>代理</w:t>
      </w:r>
      <w:r>
        <w:rPr>
          <w:rFonts w:hint="eastAsia" w:ascii="宋体" w:hAnsi="宋体"/>
          <w:color w:val="auto"/>
          <w:szCs w:val="21"/>
          <w:highlight w:val="none"/>
        </w:rPr>
        <w:t>机构</w:t>
      </w:r>
      <w:r>
        <w:rPr>
          <w:rFonts w:ascii="宋体" w:hAnsi="宋体"/>
          <w:color w:val="auto"/>
          <w:szCs w:val="21"/>
          <w:highlight w:val="none"/>
        </w:rPr>
        <w:t>不予受理。</w:t>
      </w:r>
    </w:p>
    <w:p w14:paraId="25EE3684">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、投标文件的补充、修改</w:t>
      </w:r>
    </w:p>
    <w:p w14:paraId="1EE21E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投标截止时间前，供应商可以对递交的投标文件进行补充、修改，</w:t>
      </w:r>
      <w:r>
        <w:rPr>
          <w:rFonts w:hint="eastAsia" w:ascii="宋体" w:hAnsi="宋体"/>
          <w:color w:val="auto"/>
          <w:szCs w:val="21"/>
          <w:highlight w:val="none"/>
          <w:lang w:val="en"/>
        </w:rPr>
        <w:t>补充、修改</w:t>
      </w:r>
      <w:r>
        <w:rPr>
          <w:rFonts w:hint="eastAsia" w:ascii="宋体" w:hAnsi="宋体"/>
          <w:color w:val="auto"/>
          <w:szCs w:val="21"/>
          <w:highlight w:val="none"/>
        </w:rPr>
        <w:t>电子投标文件</w:t>
      </w:r>
      <w:r>
        <w:rPr>
          <w:rFonts w:hint="eastAsia" w:ascii="宋体" w:hAnsi="宋体"/>
          <w:color w:val="auto"/>
          <w:szCs w:val="21"/>
          <w:highlight w:val="none"/>
          <w:lang w:val="en"/>
        </w:rPr>
        <w:t>的，应当先行撤回原文件，补充、修改后重新上传，电子备份投标文件也应重新制作。</w:t>
      </w:r>
      <w:r>
        <w:rPr>
          <w:rFonts w:hint="eastAsia" w:ascii="宋体" w:hAnsi="宋体"/>
          <w:color w:val="auto"/>
          <w:szCs w:val="21"/>
          <w:highlight w:val="none"/>
        </w:rPr>
        <w:t>在投标截止时间之后，供应商不得对其投标文件进行补充、修改。投标截止时间之后供应商要求撤销投标文件的，应向采购人提交正式文件。</w:t>
      </w:r>
    </w:p>
    <w:p w14:paraId="741F5D87">
      <w:pPr>
        <w:wordWrap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5、</w:t>
      </w:r>
      <w:r>
        <w:rPr>
          <w:rFonts w:ascii="宋体" w:hAnsi="宋体"/>
          <w:b/>
          <w:color w:val="auto"/>
          <w:szCs w:val="21"/>
          <w:highlight w:val="none"/>
        </w:rPr>
        <w:t>中标</w:t>
      </w:r>
      <w:r>
        <w:rPr>
          <w:rFonts w:hint="eastAsia" w:ascii="宋体" w:hAnsi="宋体"/>
          <w:b/>
          <w:color w:val="auto"/>
          <w:szCs w:val="21"/>
          <w:highlight w:val="none"/>
        </w:rPr>
        <w:t>人</w:t>
      </w:r>
      <w:r>
        <w:rPr>
          <w:rFonts w:ascii="宋体" w:hAnsi="宋体"/>
          <w:b/>
          <w:color w:val="auto"/>
          <w:szCs w:val="21"/>
          <w:highlight w:val="none"/>
        </w:rPr>
        <w:t>中标后</w:t>
      </w:r>
      <w:r>
        <w:rPr>
          <w:rFonts w:hint="eastAsia" w:ascii="宋体" w:hAnsi="宋体"/>
          <w:b/>
          <w:color w:val="auto"/>
          <w:szCs w:val="21"/>
          <w:highlight w:val="none"/>
        </w:rPr>
        <w:t>需</w:t>
      </w:r>
      <w:r>
        <w:rPr>
          <w:rFonts w:ascii="宋体" w:hAnsi="宋体"/>
          <w:b/>
          <w:color w:val="auto"/>
          <w:szCs w:val="21"/>
          <w:highlight w:val="none"/>
        </w:rPr>
        <w:t>额外提供</w:t>
      </w:r>
      <w:r>
        <w:rPr>
          <w:rFonts w:hint="eastAsia" w:ascii="宋体" w:hAnsi="宋体"/>
          <w:b/>
          <w:color w:val="auto"/>
          <w:szCs w:val="21"/>
          <w:highlight w:val="none"/>
        </w:rPr>
        <w:t>2份</w:t>
      </w:r>
      <w:r>
        <w:rPr>
          <w:rFonts w:ascii="宋体" w:hAnsi="宋体"/>
          <w:b/>
          <w:color w:val="auto"/>
          <w:szCs w:val="21"/>
          <w:highlight w:val="none"/>
        </w:rPr>
        <w:t>纸质投标文件</w:t>
      </w:r>
      <w:r>
        <w:rPr>
          <w:rFonts w:hint="eastAsia" w:ascii="宋体" w:hAnsi="宋体"/>
          <w:b/>
          <w:color w:val="auto"/>
          <w:szCs w:val="21"/>
          <w:highlight w:val="none"/>
        </w:rPr>
        <w:t>（含资格文件、商务和技术文件、报价文件）。</w:t>
      </w:r>
    </w:p>
    <w:p w14:paraId="6D589D73">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十二、开标</w:t>
      </w:r>
    </w:p>
    <w:p w14:paraId="18B9E07B">
      <w:pPr>
        <w:wordWrap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代理机构在采购文件规定的时间和地点公开开标，并邀请所有供应商的法定代表人（或授权代表）准时在线参加。供应商的法定代表人（或授权代表）不参加开标的或迟到参加开标的，视同该供应商默认开标记录，不得事后对开标过程提出任何异议。</w:t>
      </w:r>
    </w:p>
    <w:p w14:paraId="58A0B6D4">
      <w:pPr>
        <w:wordWrap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、电子投标开标及评审程序：</w:t>
      </w:r>
      <w:r>
        <w:rPr>
          <w:rFonts w:hint="eastAsia" w:ascii="宋体" w:hAnsi="宋体"/>
          <w:color w:val="auto"/>
          <w:szCs w:val="21"/>
          <w:highlight w:val="none"/>
          <w:lang w:val="en-US" w:eastAsia="zh-CN"/>
        </w:rPr>
        <w:t>一</w:t>
      </w:r>
      <w:r>
        <w:rPr>
          <w:rFonts w:hint="eastAsia" w:ascii="宋体" w:hAnsi="宋体"/>
          <w:color w:val="auto"/>
          <w:szCs w:val="21"/>
          <w:highlight w:val="none"/>
        </w:rPr>
        <w:t>阶段开标。</w:t>
      </w:r>
    </w:p>
    <w:p w14:paraId="17B5B39D">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（1）宣布开标；</w:t>
      </w:r>
    </w:p>
    <w:p w14:paraId="4D8C69A5">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（2）投标截止时间后，供应商登录</w:t>
      </w:r>
      <w:r>
        <w:rPr>
          <w:rFonts w:hint="eastAsia" w:ascii="宋体" w:hAnsi="宋体" w:cs="宋体"/>
          <w:color w:val="auto"/>
          <w:kern w:val="0"/>
          <w:szCs w:val="21"/>
          <w:highlight w:val="none"/>
        </w:rPr>
        <w:t>政府采购云平台</w:t>
      </w:r>
      <w:r>
        <w:rPr>
          <w:rFonts w:hint="eastAsia" w:ascii="宋体" w:hAnsi="宋体"/>
          <w:color w:val="auto"/>
          <w:szCs w:val="21"/>
          <w:highlight w:val="none"/>
        </w:rPr>
        <w:t>，用“项目采购-开标评标”功能对电子投标文件进行在线解密，在线解密电子投标文件时间为开标时间后半</w:t>
      </w:r>
      <w:r>
        <w:rPr>
          <w:rFonts w:ascii="宋体" w:hAnsi="宋体"/>
          <w:color w:val="auto"/>
          <w:szCs w:val="21"/>
          <w:highlight w:val="none"/>
        </w:rPr>
        <w:t>小时</w:t>
      </w:r>
      <w:r>
        <w:rPr>
          <w:rFonts w:hint="eastAsia" w:ascii="宋体" w:hAnsi="宋体"/>
          <w:color w:val="auto"/>
          <w:szCs w:val="21"/>
          <w:highlight w:val="none"/>
        </w:rPr>
        <w:t>内。</w:t>
      </w:r>
    </w:p>
    <w:p w14:paraId="4910BAF3">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）介绍开标现场的人员情况；</w:t>
      </w:r>
    </w:p>
    <w:p w14:paraId="601EC17A">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）宣读递交投标文件的供应商名单、开标纪律、应当回避的情形等注意事项；</w:t>
      </w:r>
    </w:p>
    <w:p w14:paraId="04B65D37">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）供应商签署不存在影响公平竞争的《政府采购活动现场确认声明书》；</w:t>
      </w:r>
    </w:p>
    <w:p w14:paraId="777D34FA">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）供应商代表查验投标文件密封情况；确认无误后</w:t>
      </w:r>
      <w:r>
        <w:rPr>
          <w:rFonts w:hint="eastAsia" w:ascii="宋体" w:hAnsi="宋体"/>
          <w:color w:val="auto"/>
          <w:szCs w:val="21"/>
          <w:highlight w:val="none"/>
          <w:lang w:val="en-US" w:eastAsia="zh-CN"/>
        </w:rPr>
        <w:t>开启所有</w:t>
      </w:r>
      <w:r>
        <w:rPr>
          <w:rFonts w:hint="eastAsia" w:ascii="宋体" w:hAnsi="宋体"/>
          <w:color w:val="auto"/>
          <w:szCs w:val="21"/>
          <w:highlight w:val="none"/>
        </w:rPr>
        <w:t>投标文件；</w:t>
      </w:r>
    </w:p>
    <w:p w14:paraId="099A067E">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）开标记录</w:t>
      </w:r>
      <w:r>
        <w:rPr>
          <w:rFonts w:hint="eastAsia" w:ascii="宋体" w:hAnsi="宋体"/>
          <w:color w:val="auto"/>
          <w:szCs w:val="21"/>
          <w:highlight w:val="none"/>
          <w:lang w:val="en-US" w:eastAsia="zh-CN"/>
        </w:rPr>
        <w:t>在线确认</w:t>
      </w:r>
      <w:r>
        <w:rPr>
          <w:rFonts w:hint="eastAsia" w:ascii="宋体" w:hAnsi="宋体"/>
          <w:color w:val="auto"/>
          <w:szCs w:val="21"/>
          <w:highlight w:val="none"/>
        </w:rPr>
        <w:t>；</w:t>
      </w:r>
    </w:p>
    <w:p w14:paraId="7AC87419">
      <w:pPr>
        <w:wordWrap w:val="0"/>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）开标结束</w:t>
      </w:r>
      <w:r>
        <w:rPr>
          <w:rFonts w:hint="eastAsia" w:ascii="宋体" w:hAnsi="宋体"/>
          <w:color w:val="auto"/>
          <w:szCs w:val="21"/>
          <w:highlight w:val="none"/>
          <w:lang w:eastAsia="zh-CN"/>
        </w:rPr>
        <w:t>；</w:t>
      </w:r>
    </w:p>
    <w:p w14:paraId="7F044213">
      <w:pPr>
        <w:wordWrap w:val="0"/>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评标委员会通过政采云平台对投标文件进行评审并推荐中标候选人；</w:t>
      </w:r>
    </w:p>
    <w:p w14:paraId="1F41B4C2">
      <w:pPr>
        <w:wordWrap w:val="0"/>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）在</w:t>
      </w:r>
      <w:r>
        <w:rPr>
          <w:rFonts w:hint="eastAsia" w:ascii="宋体" w:hAnsi="宋体" w:cs="宋体"/>
          <w:color w:val="auto"/>
          <w:kern w:val="0"/>
          <w:szCs w:val="21"/>
          <w:highlight w:val="none"/>
        </w:rPr>
        <w:t>政府采购云平台</w:t>
      </w:r>
      <w:r>
        <w:rPr>
          <w:rFonts w:hint="eastAsia" w:ascii="宋体" w:hAnsi="宋体"/>
          <w:color w:val="auto"/>
          <w:szCs w:val="21"/>
          <w:highlight w:val="none"/>
        </w:rPr>
        <w:t>公布中标候选人名单及采购人最终确定中标人名单的时间和公告方式等</w:t>
      </w:r>
      <w:r>
        <w:rPr>
          <w:rFonts w:hint="eastAsia" w:ascii="宋体" w:hAnsi="宋体"/>
          <w:color w:val="auto"/>
          <w:szCs w:val="21"/>
          <w:highlight w:val="none"/>
          <w:lang w:eastAsia="zh-CN"/>
        </w:rPr>
        <w:t>。</w:t>
      </w:r>
    </w:p>
    <w:p w14:paraId="59C266AC">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3、特别说明：</w:t>
      </w:r>
      <w:r>
        <w:rPr>
          <w:rFonts w:hint="eastAsia" w:ascii="宋体" w:hAnsi="宋体" w:cs="宋体"/>
          <w:color w:val="auto"/>
          <w:kern w:val="0"/>
          <w:szCs w:val="21"/>
          <w:highlight w:val="none"/>
        </w:rPr>
        <w:t>政府采购云平台</w:t>
      </w:r>
      <w:r>
        <w:rPr>
          <w:rFonts w:hint="eastAsia" w:ascii="宋体" w:hAnsi="宋体"/>
          <w:color w:val="auto"/>
          <w:szCs w:val="21"/>
          <w:highlight w:val="none"/>
        </w:rPr>
        <w:t>如对电子化开标及评审程序有调整的，按调整后的程序操作。</w:t>
      </w:r>
    </w:p>
    <w:p w14:paraId="1AE0326D">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本项目原则上采用政采云电子投标开标及评审程序，但有下情形之一的，按以下情况处理：</w:t>
      </w:r>
    </w:p>
    <w:p w14:paraId="380C4913">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）若供应商在规定时间内无法解密或解密失败，代理机构将开启上述供应商递交的</w:t>
      </w:r>
      <w:r>
        <w:rPr>
          <w:rFonts w:hint="eastAsia" w:ascii="宋体" w:hAnsi="宋体" w:cs="宋体"/>
          <w:color w:val="auto"/>
          <w:kern w:val="0"/>
          <w:szCs w:val="21"/>
          <w:highlight w:val="none"/>
        </w:rPr>
        <w:t>以U盘存储的电子备份投标文件</w:t>
      </w:r>
      <w:r>
        <w:rPr>
          <w:rFonts w:hint="eastAsia" w:ascii="宋体" w:hAnsi="宋体"/>
          <w:color w:val="auto"/>
          <w:szCs w:val="21"/>
          <w:highlight w:val="none"/>
        </w:rPr>
        <w:t>，上传至政采云平台项目采购模块，以完成开标，电子投标文件自动失效。</w:t>
      </w:r>
    </w:p>
    <w:p w14:paraId="17F8F487">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）采购过程中出现以下情形，导致电子交易平台无法正常运行，或者无法保证电子交易的公平、公正和安全时，采购人（或代理机构）可中止电子交易活动：</w:t>
      </w:r>
    </w:p>
    <w:p w14:paraId="7B6D2391">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.1</w:t>
      </w:r>
      <w:r>
        <w:rPr>
          <w:rFonts w:hint="eastAsia" w:ascii="宋体" w:hAnsi="宋体"/>
          <w:color w:val="auto"/>
          <w:szCs w:val="21"/>
          <w:highlight w:val="none"/>
        </w:rPr>
        <w:t>电子交易平台发生故障而无法登录访问的；</w:t>
      </w:r>
    </w:p>
    <w:p w14:paraId="6068D770">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.2</w:t>
      </w:r>
      <w:r>
        <w:rPr>
          <w:rFonts w:hint="eastAsia" w:ascii="宋体" w:hAnsi="宋体"/>
          <w:color w:val="auto"/>
          <w:szCs w:val="21"/>
          <w:highlight w:val="none"/>
        </w:rPr>
        <w:t>电子交易平台应用或数据库出现错误，不能进行正常操作的；</w:t>
      </w:r>
    </w:p>
    <w:p w14:paraId="17A91B03">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.3</w:t>
      </w:r>
      <w:r>
        <w:rPr>
          <w:rFonts w:hint="eastAsia" w:ascii="宋体" w:hAnsi="宋体"/>
          <w:color w:val="auto"/>
          <w:szCs w:val="21"/>
          <w:highlight w:val="none"/>
        </w:rPr>
        <w:t>电子交易平台发现严重安全漏洞，有潜在泄密危险的；</w:t>
      </w:r>
    </w:p>
    <w:p w14:paraId="5B00C288">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.4</w:t>
      </w:r>
      <w:r>
        <w:rPr>
          <w:rFonts w:hint="eastAsia" w:ascii="宋体" w:hAnsi="宋体"/>
          <w:color w:val="auto"/>
          <w:szCs w:val="21"/>
          <w:highlight w:val="none"/>
        </w:rPr>
        <w:t>病毒发作导致不能进行正常操作的；</w:t>
      </w:r>
    </w:p>
    <w:p w14:paraId="5DF620D8">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.5</w:t>
      </w:r>
      <w:r>
        <w:rPr>
          <w:rFonts w:hint="eastAsia" w:ascii="宋体" w:hAnsi="宋体"/>
          <w:color w:val="auto"/>
          <w:szCs w:val="21"/>
          <w:highlight w:val="none"/>
        </w:rPr>
        <w:t>其他无法保证电子交易的公平、公正和安全的情况。</w:t>
      </w:r>
    </w:p>
    <w:p w14:paraId="59D06D76">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出现前款规定情形，不影响采购公平、公正性的，采购人（或代理机构）可以待上述情形消除后继续组织电子交易活动。</w:t>
      </w:r>
    </w:p>
    <w:p w14:paraId="75A8ED1A">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十三、评标</w:t>
      </w:r>
    </w:p>
    <w:p w14:paraId="0D98FF42">
      <w:pPr>
        <w:wordWrap w:val="0"/>
        <w:spacing w:line="360" w:lineRule="auto"/>
        <w:ind w:firstLine="422" w:firstLineChars="200"/>
        <w:jc w:val="left"/>
        <w:rPr>
          <w:rFonts w:ascii="宋体" w:hAnsi="宋体"/>
          <w:b/>
          <w:color w:val="auto"/>
          <w:szCs w:val="21"/>
          <w:highlight w:val="none"/>
        </w:rPr>
      </w:pPr>
      <w:bookmarkStart w:id="18" w:name="_Toc17884841"/>
      <w:bookmarkStart w:id="19" w:name="_Toc460857925"/>
      <w:r>
        <w:rPr>
          <w:rFonts w:hint="eastAsia" w:ascii="宋体" w:hAnsi="宋体"/>
          <w:b/>
          <w:color w:val="auto"/>
          <w:szCs w:val="21"/>
          <w:highlight w:val="none"/>
        </w:rPr>
        <w:t>（一）组建评标委员会</w:t>
      </w:r>
      <w:bookmarkEnd w:id="18"/>
      <w:bookmarkEnd w:id="19"/>
    </w:p>
    <w:p w14:paraId="52335900">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本项目评标委员会依法组建，由采购人代表和专家组成。</w:t>
      </w:r>
    </w:p>
    <w:p w14:paraId="325DE23E">
      <w:pPr>
        <w:wordWrap w:val="0"/>
        <w:spacing w:line="360" w:lineRule="auto"/>
        <w:ind w:firstLine="422" w:firstLineChars="200"/>
        <w:jc w:val="left"/>
        <w:rPr>
          <w:rFonts w:ascii="宋体" w:hAnsi="宋体"/>
          <w:b/>
          <w:color w:val="auto"/>
          <w:szCs w:val="21"/>
          <w:highlight w:val="none"/>
        </w:rPr>
      </w:pPr>
      <w:bookmarkStart w:id="20" w:name="_Toc17884842"/>
      <w:bookmarkStart w:id="21" w:name="_Toc460857926"/>
      <w:r>
        <w:rPr>
          <w:rFonts w:hint="eastAsia" w:ascii="宋体" w:hAnsi="宋体"/>
          <w:b/>
          <w:color w:val="auto"/>
          <w:szCs w:val="21"/>
          <w:highlight w:val="none"/>
        </w:rPr>
        <w:t>（二）评标的方式</w:t>
      </w:r>
      <w:bookmarkEnd w:id="20"/>
      <w:bookmarkEnd w:id="21"/>
    </w:p>
    <w:p w14:paraId="08C6F122">
      <w:pPr>
        <w:pStyle w:val="23"/>
        <w:wordWrap w:val="0"/>
        <w:snapToGrid w:val="0"/>
        <w:spacing w:before="0" w:beforeAutospacing="0" w:after="0" w:afterAutospacing="0" w:line="360" w:lineRule="auto"/>
        <w:ind w:left="689" w:leftChars="228" w:hanging="210" w:hangingChars="100"/>
        <w:rPr>
          <w:rFonts w:hAnsi="宋体"/>
          <w:color w:val="auto"/>
          <w:sz w:val="21"/>
          <w:szCs w:val="21"/>
          <w:highlight w:val="none"/>
        </w:rPr>
      </w:pPr>
      <w:r>
        <w:rPr>
          <w:rFonts w:hint="eastAsia" w:hAnsi="宋体"/>
          <w:color w:val="auto"/>
          <w:sz w:val="21"/>
          <w:szCs w:val="21"/>
          <w:highlight w:val="none"/>
        </w:rPr>
        <w:t>本项目采用不公开方式评标，评标的依据为采购文件和投标文件。</w:t>
      </w:r>
    </w:p>
    <w:p w14:paraId="4B82E5AF">
      <w:pPr>
        <w:wordWrap w:val="0"/>
        <w:spacing w:line="360" w:lineRule="auto"/>
        <w:ind w:firstLine="422" w:firstLineChars="200"/>
        <w:jc w:val="left"/>
        <w:rPr>
          <w:rFonts w:ascii="宋体" w:hAnsi="宋体"/>
          <w:b/>
          <w:color w:val="auto"/>
          <w:szCs w:val="21"/>
          <w:highlight w:val="none"/>
        </w:rPr>
      </w:pPr>
      <w:bookmarkStart w:id="22" w:name="_Toc17884843"/>
      <w:bookmarkStart w:id="23" w:name="_Toc460857927"/>
      <w:r>
        <w:rPr>
          <w:rFonts w:hint="eastAsia" w:ascii="宋体" w:hAnsi="宋体"/>
          <w:b/>
          <w:color w:val="auto"/>
          <w:szCs w:val="21"/>
          <w:highlight w:val="none"/>
        </w:rPr>
        <w:t>（三）评标程序</w:t>
      </w:r>
      <w:bookmarkEnd w:id="22"/>
      <w:bookmarkEnd w:id="23"/>
    </w:p>
    <w:p w14:paraId="262F6710">
      <w:pPr>
        <w:wordWrap w:val="0"/>
        <w:snapToGrid w:val="0"/>
        <w:spacing w:line="360" w:lineRule="auto"/>
        <w:ind w:firstLine="413" w:firstLineChars="196"/>
        <w:jc w:val="left"/>
        <w:rPr>
          <w:rFonts w:ascii="宋体" w:hAnsi="宋体"/>
          <w:b/>
          <w:bCs/>
          <w:color w:val="auto"/>
          <w:szCs w:val="21"/>
          <w:highlight w:val="none"/>
        </w:rPr>
      </w:pPr>
      <w:r>
        <w:rPr>
          <w:rFonts w:hint="eastAsia" w:ascii="宋体" w:hAnsi="宋体"/>
          <w:b/>
          <w:bCs/>
          <w:color w:val="auto"/>
          <w:szCs w:val="21"/>
          <w:highlight w:val="none"/>
        </w:rPr>
        <w:t>1、资格审查</w:t>
      </w:r>
    </w:p>
    <w:p w14:paraId="4F1978A1">
      <w:pPr>
        <w:wordWrap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采购代理机构工作人员对投标人的资格</w:t>
      </w:r>
      <w:r>
        <w:rPr>
          <w:rFonts w:ascii="宋体" w:hAnsi="宋体"/>
          <w:color w:val="auto"/>
          <w:szCs w:val="21"/>
          <w:highlight w:val="none"/>
        </w:rPr>
        <w:t>进行审查。</w:t>
      </w:r>
    </w:p>
    <w:p w14:paraId="7993297A">
      <w:pPr>
        <w:wordWrap w:val="0"/>
        <w:snapToGrid w:val="0"/>
        <w:spacing w:line="360" w:lineRule="auto"/>
        <w:ind w:firstLine="413" w:firstLineChars="196"/>
        <w:jc w:val="left"/>
        <w:rPr>
          <w:rFonts w:ascii="宋体" w:hAnsi="宋体"/>
          <w:b/>
          <w:bCs/>
          <w:color w:val="auto"/>
          <w:szCs w:val="21"/>
          <w:highlight w:val="none"/>
        </w:rPr>
      </w:pPr>
      <w:r>
        <w:rPr>
          <w:rFonts w:hint="eastAsia" w:ascii="宋体" w:hAnsi="宋体"/>
          <w:b/>
          <w:bCs/>
          <w:color w:val="auto"/>
          <w:szCs w:val="21"/>
          <w:highlight w:val="none"/>
        </w:rPr>
        <w:t>2、符合性审查与比较</w:t>
      </w:r>
    </w:p>
    <w:p w14:paraId="34DDC2D2">
      <w:pPr>
        <w:wordWrap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（1）评标委员会审查投标文件的实质性内容是否符合采购文件的实质性要求。</w:t>
      </w:r>
    </w:p>
    <w:p w14:paraId="718BD1EC">
      <w:pPr>
        <w:wordWrap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（2）评标委员会将根据投标人的投标文件进行审查、核对,如有疑问,将对投标人进行询标，投标人要向评标委员会澄清有关问题,并最终以书面形式进行答复。</w:t>
      </w:r>
    </w:p>
    <w:p w14:paraId="7FA35DB1">
      <w:pPr>
        <w:wordWrap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投标人代表拒绝澄清或者澄清的内容改变了投标文件的实质性内容的，评标委员会有权对该投标文件作出不利于投标人的评判。</w:t>
      </w:r>
    </w:p>
    <w:p w14:paraId="4732F6CF">
      <w:pPr>
        <w:wordWrap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（3）各投标人的技术商务报价得分为所有评委的有效评分的算术平均数，由指定专人进行计算复核。</w:t>
      </w:r>
    </w:p>
    <w:p w14:paraId="586E007C">
      <w:pPr>
        <w:wordWrap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（4）采购代理机构工作人员协助评标委员会根据本项目的评分标准计算各投标人的报价得分。</w:t>
      </w:r>
    </w:p>
    <w:p w14:paraId="6EB23491">
      <w:pPr>
        <w:wordWrap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（5）评标委员会完成评标后,评委对各部分得分汇总,计算出本项目最终得分。评标委员会按评标原则推荐中标候选人同时起草评标报告。</w:t>
      </w:r>
    </w:p>
    <w:p w14:paraId="3A3F37AB">
      <w:pPr>
        <w:wordWrap w:val="0"/>
        <w:spacing w:line="360" w:lineRule="auto"/>
        <w:ind w:firstLine="422" w:firstLineChars="200"/>
        <w:jc w:val="left"/>
        <w:rPr>
          <w:rFonts w:ascii="宋体" w:hAnsi="宋体"/>
          <w:b/>
          <w:color w:val="auto"/>
          <w:szCs w:val="21"/>
          <w:highlight w:val="none"/>
        </w:rPr>
      </w:pPr>
      <w:bookmarkStart w:id="24" w:name="_Toc17884844"/>
      <w:bookmarkStart w:id="25" w:name="_Toc460857928"/>
      <w:r>
        <w:rPr>
          <w:rFonts w:hint="eastAsia" w:ascii="宋体" w:hAnsi="宋体"/>
          <w:b/>
          <w:color w:val="auto"/>
          <w:szCs w:val="21"/>
          <w:highlight w:val="none"/>
        </w:rPr>
        <w:t>（四）澄清问题的形式</w:t>
      </w:r>
      <w:bookmarkEnd w:id="24"/>
      <w:bookmarkEnd w:id="25"/>
    </w:p>
    <w:p w14:paraId="3662843E">
      <w:pPr>
        <w:widowControl/>
        <w:wordWrap w:val="0"/>
        <w:spacing w:line="360" w:lineRule="auto"/>
        <w:ind w:firstLine="420" w:firstLineChars="200"/>
        <w:jc w:val="left"/>
        <w:outlineLvl w:val="1"/>
        <w:rPr>
          <w:rFonts w:ascii="宋体" w:hAnsi="宋体"/>
          <w:color w:val="auto"/>
          <w:szCs w:val="21"/>
          <w:highlight w:val="none"/>
        </w:rPr>
      </w:pPr>
      <w:bookmarkStart w:id="26" w:name="_Toc135513211"/>
      <w:bookmarkStart w:id="27" w:name="_Toc130307163"/>
      <w:bookmarkStart w:id="28" w:name="_Toc497898868"/>
      <w:bookmarkStart w:id="29" w:name="_Toc460857930"/>
      <w:bookmarkStart w:id="30" w:name="_Toc17884845"/>
      <w:r>
        <w:rPr>
          <w:rFonts w:hint="eastAsia" w:ascii="宋体" w:hAnsi="宋体"/>
          <w:color w:val="auto"/>
          <w:szCs w:val="21"/>
          <w:highlight w:val="none"/>
        </w:rPr>
        <w:t>对于投标文件中含义不明确、同类问题表述不一致或者有明显文字和计算错误的内容，评标委员会可要求</w:t>
      </w:r>
      <w:r>
        <w:rPr>
          <w:rFonts w:ascii="宋体" w:hAnsi="宋体"/>
          <w:color w:val="auto"/>
          <w:szCs w:val="21"/>
          <w:highlight w:val="none"/>
        </w:rPr>
        <w:t>投标人</w:t>
      </w:r>
      <w:r>
        <w:rPr>
          <w:rFonts w:hint="eastAsia" w:ascii="宋体" w:hAnsi="宋体"/>
          <w:color w:val="auto"/>
          <w:szCs w:val="21"/>
          <w:highlight w:val="none"/>
        </w:rPr>
        <w:t>以书面形式作出必要的澄清、说明或者补正。</w:t>
      </w:r>
      <w:bookmarkEnd w:id="26"/>
      <w:bookmarkEnd w:id="27"/>
      <w:bookmarkEnd w:id="28"/>
    </w:p>
    <w:p w14:paraId="7CADC7FA">
      <w:pPr>
        <w:widowControl/>
        <w:wordWrap w:val="0"/>
        <w:spacing w:line="360" w:lineRule="auto"/>
        <w:ind w:firstLine="420" w:firstLineChars="200"/>
        <w:jc w:val="left"/>
        <w:outlineLvl w:val="1"/>
        <w:rPr>
          <w:rFonts w:ascii="宋体" w:hAnsi="宋体"/>
          <w:color w:val="auto"/>
          <w:szCs w:val="21"/>
          <w:highlight w:val="none"/>
        </w:rPr>
      </w:pPr>
      <w:bookmarkStart w:id="31" w:name="_Toc135513212"/>
      <w:bookmarkStart w:id="32" w:name="_Toc497898869"/>
      <w:bookmarkStart w:id="33" w:name="_Toc130307164"/>
      <w:r>
        <w:rPr>
          <w:rFonts w:ascii="宋体" w:hAnsi="宋体"/>
          <w:color w:val="auto"/>
          <w:szCs w:val="21"/>
          <w:highlight w:val="none"/>
        </w:rPr>
        <w:t>投标人</w:t>
      </w:r>
      <w:r>
        <w:rPr>
          <w:rFonts w:hint="eastAsia" w:ascii="宋体" w:hAnsi="宋体"/>
          <w:color w:val="auto"/>
          <w:szCs w:val="21"/>
          <w:highlight w:val="none"/>
        </w:rPr>
        <w:t>的澄清、说明或者补正应当采用书面形式，并加盖公章，或者由法定代表人或其授权代表签字确认，</w:t>
      </w:r>
      <w:r>
        <w:rPr>
          <w:rFonts w:ascii="宋体" w:hAnsi="宋体"/>
          <w:color w:val="auto"/>
          <w:szCs w:val="21"/>
          <w:highlight w:val="none"/>
        </w:rPr>
        <w:t>投标人</w:t>
      </w:r>
      <w:r>
        <w:rPr>
          <w:rFonts w:hint="eastAsia" w:ascii="宋体" w:hAnsi="宋体"/>
          <w:color w:val="auto"/>
          <w:szCs w:val="21"/>
          <w:highlight w:val="none"/>
        </w:rPr>
        <w:t>的澄清、说明或者补正不得超出投标文件的范围或者改变投标文件的实质性内容。</w:t>
      </w:r>
      <w:bookmarkEnd w:id="31"/>
      <w:bookmarkEnd w:id="32"/>
      <w:bookmarkEnd w:id="33"/>
    </w:p>
    <w:p w14:paraId="74B17570">
      <w:pPr>
        <w:wordWrap w:val="0"/>
        <w:spacing w:line="360" w:lineRule="auto"/>
        <w:ind w:firstLine="422" w:firstLineChars="200"/>
        <w:jc w:val="left"/>
        <w:rPr>
          <w:rFonts w:ascii="宋体" w:hAnsi="宋体"/>
          <w:b/>
          <w:color w:val="auto"/>
          <w:szCs w:val="21"/>
          <w:highlight w:val="none"/>
        </w:rPr>
      </w:pPr>
      <w:bookmarkStart w:id="34" w:name="_Toc497898870"/>
      <w:r>
        <w:rPr>
          <w:rFonts w:hint="eastAsia" w:ascii="宋体" w:hAnsi="宋体"/>
          <w:b/>
          <w:color w:val="auto"/>
          <w:szCs w:val="21"/>
          <w:highlight w:val="none"/>
        </w:rPr>
        <w:t>（五）错误修正</w:t>
      </w:r>
      <w:bookmarkEnd w:id="34"/>
    </w:p>
    <w:p w14:paraId="01938D24">
      <w:pPr>
        <w:pStyle w:val="110"/>
        <w:widowControl/>
        <w:wordWrap w:val="0"/>
        <w:spacing w:line="360" w:lineRule="auto"/>
        <w:ind w:left="689" w:leftChars="228" w:hanging="210" w:hangingChars="100"/>
        <w:jc w:val="left"/>
        <w:rPr>
          <w:rFonts w:hAnsi="宋体"/>
          <w:color w:val="auto"/>
          <w:szCs w:val="21"/>
          <w:highlight w:val="none"/>
        </w:rPr>
      </w:pPr>
      <w:r>
        <w:rPr>
          <w:rFonts w:hint="eastAsia" w:hAnsi="宋体"/>
          <w:color w:val="auto"/>
          <w:szCs w:val="21"/>
          <w:highlight w:val="none"/>
        </w:rPr>
        <w:t>投标文件报价出现前后不一致的，除采购文件另有规定外，按照下列规定修正：</w:t>
      </w:r>
    </w:p>
    <w:p w14:paraId="5A08E7C8">
      <w:pPr>
        <w:pStyle w:val="110"/>
        <w:widowControl/>
        <w:wordWrap w:val="0"/>
        <w:spacing w:line="360" w:lineRule="auto"/>
        <w:ind w:left="689" w:leftChars="228" w:hanging="210" w:hangingChars="1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）投标文件中开标一览表内容与投标文件中分项报价表内容不一致的，以开标一览表为准；</w:t>
      </w:r>
    </w:p>
    <w:p w14:paraId="2A074894">
      <w:pPr>
        <w:pStyle w:val="110"/>
        <w:widowControl/>
        <w:wordWrap w:val="0"/>
        <w:spacing w:line="360" w:lineRule="auto"/>
        <w:ind w:left="689" w:leftChars="228" w:hanging="210" w:hangingChars="1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）大写金额和小写金额不一致的，以大写金额为准；</w:t>
      </w:r>
    </w:p>
    <w:p w14:paraId="09AF5416">
      <w:pPr>
        <w:pStyle w:val="110"/>
        <w:widowControl/>
        <w:wordWrap w:val="0"/>
        <w:spacing w:line="360" w:lineRule="auto"/>
        <w:ind w:left="689" w:leftChars="228" w:hanging="210" w:hangingChars="1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）单价金额小数点或者百分比有明显错位的，以开标一览表的总价为准，并修改单价；</w:t>
      </w:r>
    </w:p>
    <w:p w14:paraId="4B999DA2">
      <w:pPr>
        <w:pStyle w:val="110"/>
        <w:widowControl/>
        <w:wordWrap w:val="0"/>
        <w:spacing w:line="360" w:lineRule="auto"/>
        <w:ind w:left="689" w:leftChars="228" w:hanging="210" w:hangingChars="1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）总价金额与按单价汇总金额不一致的，以单价金额计算结果为准；</w:t>
      </w:r>
    </w:p>
    <w:p w14:paraId="074FB498">
      <w:pPr>
        <w:wordWrap w:val="0"/>
        <w:spacing w:line="360" w:lineRule="auto"/>
        <w:ind w:firstLine="422" w:firstLineChars="200"/>
        <w:jc w:val="left"/>
        <w:rPr>
          <w:rFonts w:ascii="宋体" w:hAnsi="宋体"/>
          <w:b/>
          <w:color w:val="auto"/>
          <w:szCs w:val="21"/>
          <w:highlight w:val="none"/>
        </w:rPr>
      </w:pPr>
      <w:r>
        <w:rPr>
          <w:rFonts w:hint="eastAsia" w:ascii="宋体" w:hAnsi="宋体"/>
          <w:b/>
          <w:bCs/>
          <w:color w:val="auto"/>
          <w:szCs w:val="21"/>
          <w:highlight w:val="none"/>
        </w:rPr>
        <w:t>同时出现两种以上不一致的，按照前款规定的顺序修正。修正后的报价经</w:t>
      </w:r>
      <w:r>
        <w:rPr>
          <w:rFonts w:ascii="宋体" w:hAnsi="宋体"/>
          <w:b/>
          <w:bCs/>
          <w:color w:val="auto"/>
          <w:szCs w:val="21"/>
          <w:highlight w:val="none"/>
        </w:rPr>
        <w:t>投标人</w:t>
      </w:r>
      <w:r>
        <w:rPr>
          <w:rFonts w:hint="eastAsia" w:ascii="宋体" w:hAnsi="宋体"/>
          <w:b/>
          <w:bCs/>
          <w:color w:val="auto"/>
          <w:szCs w:val="21"/>
          <w:highlight w:val="none"/>
        </w:rPr>
        <w:t>确认后具有约束</w:t>
      </w:r>
      <w:r>
        <w:rPr>
          <w:rFonts w:hint="eastAsia" w:ascii="宋体" w:hAnsi="宋体"/>
          <w:b/>
          <w:color w:val="auto"/>
          <w:szCs w:val="21"/>
          <w:highlight w:val="none"/>
        </w:rPr>
        <w:t>力，若</w:t>
      </w:r>
      <w:r>
        <w:rPr>
          <w:rFonts w:ascii="宋体" w:hAnsi="宋体"/>
          <w:b/>
          <w:color w:val="auto"/>
          <w:szCs w:val="21"/>
          <w:highlight w:val="none"/>
        </w:rPr>
        <w:t>投标人</w:t>
      </w:r>
      <w:r>
        <w:rPr>
          <w:rFonts w:hint="eastAsia" w:ascii="宋体" w:hAnsi="宋体"/>
          <w:b/>
          <w:color w:val="auto"/>
          <w:szCs w:val="21"/>
          <w:highlight w:val="none"/>
        </w:rPr>
        <w:t>不确认的，则其投标无效。</w:t>
      </w:r>
    </w:p>
    <w:p w14:paraId="78220481">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（六）评标原则和评标办法</w:t>
      </w:r>
      <w:bookmarkEnd w:id="29"/>
      <w:bookmarkEnd w:id="30"/>
    </w:p>
    <w:p w14:paraId="71664D9E">
      <w:pPr>
        <w:pStyle w:val="23"/>
        <w:wordWrap w:val="0"/>
        <w:snapToGrid w:val="0"/>
        <w:spacing w:before="0" w:beforeAutospacing="0" w:after="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68C1387D">
      <w:pPr>
        <w:pStyle w:val="23"/>
        <w:wordWrap w:val="0"/>
        <w:snapToGrid w:val="0"/>
        <w:spacing w:before="0" w:beforeAutospacing="0" w:after="0" w:afterAutospacing="0" w:line="360" w:lineRule="auto"/>
        <w:ind w:firstLine="420" w:firstLineChars="200"/>
        <w:rPr>
          <w:rFonts w:hAnsi="宋体"/>
          <w:b w:val="0"/>
          <w:bCs/>
          <w:color w:val="auto"/>
          <w:sz w:val="21"/>
          <w:szCs w:val="21"/>
          <w:highlight w:val="none"/>
        </w:rPr>
      </w:pPr>
      <w:r>
        <w:rPr>
          <w:rFonts w:hint="eastAsia" w:hAnsi="宋体"/>
          <w:b w:val="0"/>
          <w:bCs/>
          <w:color w:val="auto"/>
          <w:sz w:val="21"/>
          <w:szCs w:val="21"/>
          <w:highlight w:val="none"/>
        </w:rPr>
        <w:t>2、评标办法。本项目评标办法是</w:t>
      </w:r>
      <w:r>
        <w:rPr>
          <w:rFonts w:hint="eastAsia" w:hAnsi="宋体"/>
          <w:b w:val="0"/>
          <w:bCs/>
          <w:color w:val="auto"/>
          <w:sz w:val="21"/>
          <w:szCs w:val="21"/>
          <w:highlight w:val="none"/>
          <w:u w:val="single"/>
        </w:rPr>
        <w:t>综合评分法</w:t>
      </w:r>
      <w:r>
        <w:rPr>
          <w:rFonts w:hint="eastAsia" w:hAnsi="宋体"/>
          <w:b w:val="0"/>
          <w:bCs/>
          <w:color w:val="auto"/>
          <w:sz w:val="21"/>
          <w:szCs w:val="21"/>
          <w:highlight w:val="none"/>
        </w:rPr>
        <w:t>，具体评标内容及评分标准等详见《第五章 评标办法及标准》。</w:t>
      </w:r>
    </w:p>
    <w:p w14:paraId="6EC55C80">
      <w:pPr>
        <w:wordWrap w:val="0"/>
        <w:spacing w:line="360" w:lineRule="auto"/>
        <w:ind w:firstLine="422" w:firstLineChars="200"/>
        <w:rPr>
          <w:rFonts w:ascii="宋体" w:hAnsi="宋体"/>
          <w:b/>
          <w:color w:val="auto"/>
          <w:szCs w:val="21"/>
          <w:highlight w:val="none"/>
        </w:rPr>
      </w:pPr>
      <w:bookmarkStart w:id="35" w:name="_Toc17884846"/>
      <w:bookmarkStart w:id="36" w:name="_Toc460857931"/>
      <w:r>
        <w:rPr>
          <w:rFonts w:hint="eastAsia" w:ascii="宋体" w:hAnsi="宋体"/>
          <w:b/>
          <w:color w:val="auto"/>
          <w:szCs w:val="21"/>
          <w:highlight w:val="none"/>
        </w:rPr>
        <w:t>十四、</w:t>
      </w:r>
      <w:bookmarkEnd w:id="35"/>
      <w:bookmarkEnd w:id="36"/>
      <w:r>
        <w:rPr>
          <w:rFonts w:hint="eastAsia" w:ascii="宋体" w:hAnsi="宋体"/>
          <w:b/>
          <w:color w:val="auto"/>
          <w:szCs w:val="21"/>
          <w:highlight w:val="none"/>
        </w:rPr>
        <w:t>项目终止</w:t>
      </w:r>
    </w:p>
    <w:p w14:paraId="652DC372">
      <w:pPr>
        <w:wordWrap w:val="0"/>
        <w:snapToGrid w:val="0"/>
        <w:spacing w:line="360" w:lineRule="auto"/>
        <w:ind w:firstLine="420" w:firstLineChars="200"/>
        <w:jc w:val="left"/>
        <w:rPr>
          <w:rFonts w:ascii="宋体" w:hAnsi="宋体"/>
          <w:color w:val="auto"/>
          <w:szCs w:val="21"/>
          <w:highlight w:val="none"/>
        </w:rPr>
      </w:pPr>
      <w:bookmarkStart w:id="37" w:name="_Toc460857932"/>
      <w:r>
        <w:rPr>
          <w:rFonts w:hint="eastAsia" w:ascii="宋体" w:hAnsi="宋体"/>
          <w:color w:val="auto"/>
          <w:szCs w:val="21"/>
          <w:highlight w:val="none"/>
        </w:rPr>
        <w:t>政府采购的国内公开招标，采购响应截止时间或评审期间，出现</w:t>
      </w:r>
      <w:r>
        <w:rPr>
          <w:rFonts w:hint="eastAsia" w:ascii="宋体" w:hAnsi="宋体"/>
          <w:color w:val="auto"/>
          <w:szCs w:val="21"/>
          <w:highlight w:val="none"/>
          <w:lang w:eastAsia="zh-CN"/>
        </w:rPr>
        <w:t>单个标项</w:t>
      </w:r>
      <w:r>
        <w:rPr>
          <w:rFonts w:hint="eastAsia" w:ascii="宋体" w:hAnsi="宋体"/>
          <w:color w:val="auto"/>
          <w:szCs w:val="21"/>
          <w:highlight w:val="none"/>
        </w:rPr>
        <w:t>参与采购响应或者对采购文件作出实质性响应的供应商不足3家的情况，本</w:t>
      </w:r>
      <w:r>
        <w:rPr>
          <w:rFonts w:hint="eastAsia" w:ascii="宋体" w:hAnsi="宋体"/>
          <w:color w:val="auto"/>
          <w:szCs w:val="21"/>
          <w:highlight w:val="none"/>
          <w:lang w:eastAsia="zh-CN"/>
        </w:rPr>
        <w:t>标项</w:t>
      </w:r>
      <w:r>
        <w:rPr>
          <w:rFonts w:hint="eastAsia" w:ascii="宋体" w:hAnsi="宋体"/>
          <w:color w:val="auto"/>
          <w:szCs w:val="21"/>
          <w:highlight w:val="none"/>
        </w:rPr>
        <w:t>终止招标。</w:t>
      </w:r>
    </w:p>
    <w:p w14:paraId="30F911A5">
      <w:pPr>
        <w:wordWrap w:val="0"/>
        <w:spacing w:line="360" w:lineRule="auto"/>
        <w:ind w:firstLine="422" w:firstLineChars="200"/>
        <w:rPr>
          <w:rFonts w:ascii="宋体" w:hAnsi="宋体"/>
          <w:b/>
          <w:color w:val="auto"/>
          <w:szCs w:val="21"/>
          <w:highlight w:val="none"/>
        </w:rPr>
      </w:pPr>
      <w:bookmarkStart w:id="38" w:name="_Toc17884847"/>
      <w:r>
        <w:rPr>
          <w:rFonts w:hint="eastAsia" w:ascii="宋体" w:hAnsi="宋体"/>
          <w:b/>
          <w:color w:val="auto"/>
          <w:szCs w:val="21"/>
          <w:highlight w:val="none"/>
        </w:rPr>
        <w:t>十五、定标</w:t>
      </w:r>
      <w:bookmarkEnd w:id="37"/>
      <w:bookmarkEnd w:id="38"/>
    </w:p>
    <w:p w14:paraId="7E02BDD1">
      <w:pPr>
        <w:wordWrap w:val="0"/>
        <w:spacing w:line="360" w:lineRule="auto"/>
        <w:ind w:firstLine="422" w:firstLineChars="200"/>
        <w:rPr>
          <w:rFonts w:ascii="宋体" w:hAnsi="宋体"/>
          <w:b/>
          <w:color w:val="auto"/>
          <w:szCs w:val="21"/>
          <w:highlight w:val="none"/>
        </w:rPr>
      </w:pPr>
      <w:bookmarkStart w:id="39" w:name="_Toc460857933"/>
      <w:bookmarkStart w:id="40" w:name="_Toc17884848"/>
      <w:r>
        <w:rPr>
          <w:rFonts w:hint="eastAsia" w:ascii="宋体" w:hAnsi="宋体"/>
          <w:b/>
          <w:color w:val="auto"/>
          <w:szCs w:val="21"/>
          <w:highlight w:val="none"/>
        </w:rPr>
        <w:t>（一）确定中标人</w:t>
      </w:r>
      <w:bookmarkEnd w:id="39"/>
      <w:bookmarkEnd w:id="40"/>
    </w:p>
    <w:p w14:paraId="0CD64A7A">
      <w:pPr>
        <w:pStyle w:val="23"/>
        <w:wordWrap w:val="0"/>
        <w:spacing w:before="0" w:beforeAutospacing="0" w:after="0" w:afterAutospacing="0" w:line="360" w:lineRule="auto"/>
        <w:ind w:firstLine="420" w:firstLineChars="200"/>
        <w:rPr>
          <w:rFonts w:hAnsi="宋体"/>
          <w:color w:val="auto"/>
          <w:sz w:val="21"/>
          <w:szCs w:val="21"/>
          <w:highlight w:val="none"/>
        </w:rPr>
      </w:pPr>
      <w:bookmarkStart w:id="41" w:name="_Toc460857934"/>
      <w:bookmarkStart w:id="42" w:name="_Toc17884849"/>
      <w:bookmarkStart w:id="43" w:name="_Toc460416359"/>
      <w:bookmarkStart w:id="44" w:name="_Toc460416664"/>
      <w:r>
        <w:rPr>
          <w:rFonts w:hint="eastAsia" w:hAnsi="宋体"/>
          <w:color w:val="auto"/>
          <w:sz w:val="21"/>
          <w:szCs w:val="21"/>
          <w:highlight w:val="none"/>
        </w:rPr>
        <w:t>1、确定中标人。本项目由评标委员会推荐中标候选人，采购人不得在评标委员会推荐的中标候选人以外确定中标人。</w:t>
      </w:r>
    </w:p>
    <w:p w14:paraId="43354763">
      <w:pPr>
        <w:pStyle w:val="23"/>
        <w:wordWrap w:val="0"/>
        <w:spacing w:before="0" w:beforeAutospacing="0" w:after="0" w:afterAutospacing="0" w:line="360" w:lineRule="auto"/>
        <w:ind w:firstLine="420" w:firstLineChars="200"/>
        <w:rPr>
          <w:rFonts w:hAnsi="宋体"/>
          <w:color w:val="auto"/>
          <w:sz w:val="21"/>
          <w:szCs w:val="21"/>
          <w:highlight w:val="none"/>
        </w:rPr>
      </w:pPr>
      <w:r>
        <w:rPr>
          <w:rFonts w:hint="eastAsia" w:hAnsi="宋体"/>
          <w:color w:val="auto"/>
          <w:sz w:val="21"/>
          <w:szCs w:val="21"/>
          <w:highlight w:val="none"/>
        </w:rPr>
        <w:t>2、采购代理机构在评标结束后2个工作日内将评标报告交采购人确认，采购人在收到评标报告之日起5个工作日内在评标报告确定的中标候选人中按顺序确定中标人，采购人在收到评标报告之日起5个工作日内未按评标报告推荐的中标候选人排序确定中标人，又不能说明合法理由的，视同按评标报告推荐的顺序确定排名第一的中标候选人为中标人。</w:t>
      </w:r>
    </w:p>
    <w:p w14:paraId="04D59F2B">
      <w:pPr>
        <w:pStyle w:val="23"/>
        <w:wordWrap w:val="0"/>
        <w:spacing w:before="0" w:beforeAutospacing="0" w:after="0" w:afterAutospacing="0" w:line="360" w:lineRule="auto"/>
        <w:ind w:firstLine="420" w:firstLineChars="200"/>
        <w:rPr>
          <w:rFonts w:hint="eastAsia"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、采购代理机构自中标人确定之日起2个工作日内，在发布招标公告的网站上对中标结果进行公示，中标结果公告期限为1个工作日；同时向中标人发出中标通知书。</w:t>
      </w:r>
    </w:p>
    <w:p w14:paraId="128B7D13">
      <w:pPr>
        <w:pStyle w:val="23"/>
        <w:wordWrap w:val="0"/>
        <w:spacing w:before="0" w:beforeAutospacing="0" w:after="0" w:afterAutospacing="0"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中标</w:t>
      </w:r>
      <w:r>
        <w:rPr>
          <w:rFonts w:hAnsi="宋体"/>
          <w:color w:val="auto"/>
          <w:sz w:val="21"/>
          <w:szCs w:val="21"/>
          <w:highlight w:val="none"/>
        </w:rPr>
        <w:t>通知书</w:t>
      </w:r>
      <w:r>
        <w:rPr>
          <w:rFonts w:hint="eastAsia" w:hAnsi="宋体"/>
          <w:color w:val="auto"/>
          <w:sz w:val="21"/>
          <w:szCs w:val="21"/>
          <w:highlight w:val="none"/>
        </w:rPr>
        <w:t>领取</w:t>
      </w:r>
      <w:r>
        <w:rPr>
          <w:rFonts w:hAnsi="宋体"/>
          <w:color w:val="auto"/>
          <w:sz w:val="21"/>
          <w:szCs w:val="21"/>
          <w:highlight w:val="none"/>
        </w:rPr>
        <w:t>方式：邮寄或</w:t>
      </w:r>
      <w:r>
        <w:rPr>
          <w:rFonts w:hint="eastAsia" w:hAnsi="宋体"/>
          <w:color w:val="auto"/>
          <w:sz w:val="21"/>
          <w:szCs w:val="21"/>
          <w:highlight w:val="none"/>
        </w:rPr>
        <w:t>现场</w:t>
      </w:r>
      <w:r>
        <w:rPr>
          <w:rFonts w:hAnsi="宋体"/>
          <w:color w:val="auto"/>
          <w:sz w:val="21"/>
          <w:szCs w:val="21"/>
          <w:highlight w:val="none"/>
        </w:rPr>
        <w:t>领取</w:t>
      </w:r>
      <w:r>
        <w:rPr>
          <w:rFonts w:hint="eastAsia" w:hAnsi="宋体"/>
          <w:color w:val="auto"/>
          <w:sz w:val="21"/>
          <w:szCs w:val="21"/>
          <w:highlight w:val="none"/>
        </w:rPr>
        <w:t>；</w:t>
      </w:r>
      <w:r>
        <w:rPr>
          <w:rFonts w:hAnsi="宋体"/>
          <w:color w:val="auto"/>
          <w:sz w:val="21"/>
          <w:szCs w:val="21"/>
          <w:highlight w:val="none"/>
        </w:rPr>
        <w:t>如需邮寄的，请把开票信息</w:t>
      </w:r>
      <w:r>
        <w:rPr>
          <w:rFonts w:hint="eastAsia" w:hAnsi="宋体"/>
          <w:color w:val="auto"/>
          <w:sz w:val="21"/>
          <w:szCs w:val="21"/>
          <w:highlight w:val="none"/>
        </w:rPr>
        <w:t>及</w:t>
      </w:r>
      <w:r>
        <w:rPr>
          <w:rFonts w:hAnsi="宋体"/>
          <w:color w:val="auto"/>
          <w:sz w:val="21"/>
          <w:szCs w:val="21"/>
          <w:highlight w:val="none"/>
        </w:rPr>
        <w:t>邮寄地址发送至采购代理机构邮箱</w:t>
      </w:r>
      <w:r>
        <w:rPr>
          <w:rFonts w:hAnsi="宋体" w:cs="仿宋"/>
          <w:color w:val="auto"/>
          <w:szCs w:val="21"/>
          <w:highlight w:val="none"/>
        </w:rPr>
        <w:t>nbitc02@126.com</w:t>
      </w:r>
      <w:r>
        <w:rPr>
          <w:rFonts w:hAnsi="宋体"/>
          <w:color w:val="auto"/>
          <w:sz w:val="21"/>
          <w:szCs w:val="21"/>
          <w:highlight w:val="none"/>
        </w:rPr>
        <w:t>。</w:t>
      </w:r>
    </w:p>
    <w:p w14:paraId="4112E592">
      <w:pPr>
        <w:pStyle w:val="23"/>
        <w:wordWrap w:val="0"/>
        <w:spacing w:before="0" w:beforeAutospacing="0" w:after="0" w:afterAutospacing="0" w:line="360" w:lineRule="auto"/>
        <w:ind w:firstLine="420" w:firstLineChars="200"/>
        <w:rPr>
          <w:rFonts w:hAnsi="宋体"/>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、凡发现中标人有下列行为之一的，将移交政府采购监督管理部门依法处理：</w:t>
      </w:r>
    </w:p>
    <w:p w14:paraId="46B828AF">
      <w:pPr>
        <w:numPr>
          <w:ilvl w:val="0"/>
          <w:numId w:val="4"/>
        </w:numPr>
        <w:wordWrap w:val="0"/>
        <w:spacing w:line="360" w:lineRule="auto"/>
        <w:rPr>
          <w:rFonts w:ascii="宋体" w:hAnsi="宋体"/>
          <w:color w:val="auto"/>
          <w:szCs w:val="21"/>
          <w:highlight w:val="none"/>
        </w:rPr>
      </w:pPr>
      <w:r>
        <w:rPr>
          <w:rFonts w:hint="eastAsia" w:ascii="宋体" w:hAnsi="宋体"/>
          <w:color w:val="auto"/>
          <w:szCs w:val="21"/>
          <w:highlight w:val="none"/>
        </w:rPr>
        <w:t>提供虚假材料谋取中标的；</w:t>
      </w:r>
    </w:p>
    <w:p w14:paraId="026D2FF9">
      <w:pPr>
        <w:numPr>
          <w:ilvl w:val="0"/>
          <w:numId w:val="4"/>
        </w:numPr>
        <w:wordWrap w:val="0"/>
        <w:spacing w:line="360" w:lineRule="auto"/>
        <w:rPr>
          <w:rFonts w:ascii="宋体" w:hAnsi="宋体"/>
          <w:color w:val="auto"/>
          <w:szCs w:val="21"/>
          <w:highlight w:val="none"/>
        </w:rPr>
      </w:pPr>
      <w:r>
        <w:rPr>
          <w:rFonts w:hint="eastAsia" w:ascii="宋体" w:hAnsi="宋体"/>
          <w:color w:val="auto"/>
          <w:szCs w:val="21"/>
          <w:highlight w:val="none"/>
        </w:rPr>
        <w:t>采取不正当手段诋毁、排挤其他</w:t>
      </w:r>
      <w:r>
        <w:rPr>
          <w:rFonts w:ascii="宋体" w:hAnsi="宋体"/>
          <w:color w:val="auto"/>
          <w:szCs w:val="21"/>
          <w:highlight w:val="none"/>
        </w:rPr>
        <w:t>投标人</w:t>
      </w:r>
      <w:r>
        <w:rPr>
          <w:rFonts w:hint="eastAsia" w:ascii="宋体" w:hAnsi="宋体"/>
          <w:color w:val="auto"/>
          <w:szCs w:val="21"/>
          <w:highlight w:val="none"/>
        </w:rPr>
        <w:t>的；</w:t>
      </w:r>
    </w:p>
    <w:p w14:paraId="6273B0A1">
      <w:pPr>
        <w:numPr>
          <w:ilvl w:val="0"/>
          <w:numId w:val="4"/>
        </w:numPr>
        <w:wordWrap w:val="0"/>
        <w:spacing w:line="360" w:lineRule="auto"/>
        <w:rPr>
          <w:rFonts w:ascii="宋体" w:hAnsi="宋体"/>
          <w:color w:val="auto"/>
          <w:szCs w:val="21"/>
          <w:highlight w:val="none"/>
        </w:rPr>
      </w:pPr>
      <w:r>
        <w:rPr>
          <w:rFonts w:hint="eastAsia" w:ascii="宋体" w:hAnsi="宋体"/>
          <w:color w:val="auto"/>
          <w:szCs w:val="21"/>
          <w:highlight w:val="none"/>
        </w:rPr>
        <w:t>与采购人、其他</w:t>
      </w:r>
      <w:r>
        <w:rPr>
          <w:rFonts w:ascii="宋体" w:hAnsi="宋体"/>
          <w:color w:val="auto"/>
          <w:szCs w:val="21"/>
          <w:highlight w:val="none"/>
        </w:rPr>
        <w:t>投标人</w:t>
      </w:r>
      <w:r>
        <w:rPr>
          <w:rFonts w:hint="eastAsia" w:ascii="宋体" w:hAnsi="宋体"/>
          <w:color w:val="auto"/>
          <w:szCs w:val="21"/>
          <w:highlight w:val="none"/>
        </w:rPr>
        <w:t>或者采购代理机构工作人员恶意串通的；</w:t>
      </w:r>
    </w:p>
    <w:p w14:paraId="4424B722">
      <w:pPr>
        <w:numPr>
          <w:ilvl w:val="0"/>
          <w:numId w:val="4"/>
        </w:numPr>
        <w:wordWrap w:val="0"/>
        <w:spacing w:line="360" w:lineRule="auto"/>
        <w:rPr>
          <w:rFonts w:ascii="宋体" w:hAnsi="宋体"/>
          <w:color w:val="auto"/>
          <w:szCs w:val="21"/>
          <w:highlight w:val="none"/>
        </w:rPr>
      </w:pPr>
      <w:r>
        <w:rPr>
          <w:rFonts w:hint="eastAsia" w:ascii="宋体" w:hAnsi="宋体"/>
          <w:color w:val="auto"/>
          <w:szCs w:val="21"/>
          <w:highlight w:val="none"/>
        </w:rPr>
        <w:t>向采购人或采购代理机构人员行贿或者提供其他不正当利益的；</w:t>
      </w:r>
    </w:p>
    <w:p w14:paraId="3A4CE09B">
      <w:pPr>
        <w:numPr>
          <w:ilvl w:val="0"/>
          <w:numId w:val="4"/>
        </w:numPr>
        <w:wordWrap w:val="0"/>
        <w:spacing w:line="360" w:lineRule="auto"/>
        <w:rPr>
          <w:rFonts w:ascii="宋体" w:hAnsi="宋体"/>
          <w:color w:val="auto"/>
          <w:szCs w:val="21"/>
          <w:highlight w:val="none"/>
        </w:rPr>
      </w:pPr>
      <w:r>
        <w:rPr>
          <w:rFonts w:hint="eastAsia" w:ascii="宋体" w:hAnsi="宋体"/>
          <w:color w:val="auto"/>
          <w:szCs w:val="21"/>
          <w:highlight w:val="none"/>
        </w:rPr>
        <w:t>拒绝有关部门监督检查或者提供虚假情况的；</w:t>
      </w:r>
    </w:p>
    <w:p w14:paraId="339BE7C7">
      <w:pPr>
        <w:numPr>
          <w:ilvl w:val="0"/>
          <w:numId w:val="4"/>
        </w:numPr>
        <w:wordWrap w:val="0"/>
        <w:spacing w:line="360" w:lineRule="auto"/>
        <w:rPr>
          <w:rFonts w:ascii="宋体" w:hAnsi="宋体"/>
          <w:color w:val="auto"/>
          <w:szCs w:val="21"/>
          <w:highlight w:val="none"/>
        </w:rPr>
      </w:pPr>
      <w:r>
        <w:rPr>
          <w:rFonts w:hint="eastAsia" w:ascii="宋体" w:hAnsi="宋体"/>
          <w:color w:val="auto"/>
          <w:szCs w:val="21"/>
          <w:highlight w:val="none"/>
        </w:rPr>
        <w:t>有法律、法规规定的其他损害采购人利益和社会公共利益情形的。</w:t>
      </w:r>
    </w:p>
    <w:p w14:paraId="3F5F972B">
      <w:pPr>
        <w:widowControl/>
        <w:wordWrap w:val="0"/>
        <w:spacing w:line="360" w:lineRule="auto"/>
        <w:ind w:firstLine="422" w:firstLineChars="200"/>
        <w:jc w:val="left"/>
        <w:outlineLvl w:val="1"/>
        <w:rPr>
          <w:rFonts w:ascii="宋体" w:hAnsi="宋体"/>
          <w:b/>
          <w:color w:val="auto"/>
          <w:szCs w:val="21"/>
          <w:highlight w:val="none"/>
        </w:rPr>
      </w:pPr>
      <w:bookmarkStart w:id="45" w:name="_Toc135513213"/>
      <w:bookmarkStart w:id="46" w:name="_Toc497898872"/>
      <w:bookmarkStart w:id="47" w:name="_Toc130307165"/>
      <w:r>
        <w:rPr>
          <w:rFonts w:hint="eastAsia" w:ascii="宋体" w:hAnsi="宋体"/>
          <w:b/>
          <w:color w:val="auto"/>
          <w:szCs w:val="21"/>
          <w:highlight w:val="none"/>
        </w:rPr>
        <w:t>十六、评标过程的监控</w:t>
      </w:r>
      <w:bookmarkEnd w:id="45"/>
      <w:bookmarkEnd w:id="46"/>
      <w:bookmarkEnd w:id="47"/>
    </w:p>
    <w:p w14:paraId="7A04D45E">
      <w:pPr>
        <w:wordWrap w:val="0"/>
        <w:snapToGrid w:val="0"/>
        <w:spacing w:line="360" w:lineRule="auto"/>
        <w:ind w:firstLine="420" w:firstLineChars="200"/>
        <w:jc w:val="left"/>
        <w:rPr>
          <w:rFonts w:ascii="宋体" w:hAnsi="宋体"/>
          <w:bCs/>
          <w:color w:val="auto"/>
          <w:szCs w:val="21"/>
          <w:highlight w:val="none"/>
        </w:rPr>
      </w:pPr>
      <w:bookmarkStart w:id="48" w:name="_Toc497898873"/>
      <w:r>
        <w:rPr>
          <w:rFonts w:hint="eastAsia" w:ascii="宋体" w:hAnsi="宋体"/>
          <w:color w:val="auto"/>
          <w:szCs w:val="21"/>
          <w:highlight w:val="none"/>
        </w:rPr>
        <w:t>本项目评标过程实行全程录音</w:t>
      </w:r>
      <w:r>
        <w:rPr>
          <w:rFonts w:hint="eastAsia" w:ascii="宋体" w:hAnsi="宋体"/>
          <w:bCs/>
          <w:color w:val="auto"/>
          <w:szCs w:val="21"/>
          <w:highlight w:val="none"/>
        </w:rPr>
        <w:t>、录像监控，</w:t>
      </w:r>
      <w:r>
        <w:rPr>
          <w:rFonts w:ascii="宋体" w:hAnsi="宋体"/>
          <w:bCs/>
          <w:color w:val="auto"/>
          <w:szCs w:val="21"/>
          <w:highlight w:val="none"/>
        </w:rPr>
        <w:t>投标人</w:t>
      </w:r>
      <w:r>
        <w:rPr>
          <w:rFonts w:hint="eastAsia" w:ascii="宋体" w:hAnsi="宋体"/>
          <w:bCs/>
          <w:color w:val="auto"/>
          <w:szCs w:val="21"/>
          <w:highlight w:val="none"/>
        </w:rPr>
        <w:t>在评标过程中所进行的试图影响评标结果的不公正活动，可能导致其投标被拒绝。</w:t>
      </w:r>
      <w:bookmarkEnd w:id="48"/>
    </w:p>
    <w:bookmarkEnd w:id="41"/>
    <w:bookmarkEnd w:id="42"/>
    <w:bookmarkEnd w:id="43"/>
    <w:bookmarkEnd w:id="44"/>
    <w:p w14:paraId="125B81AD">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十七、采购文件的澄清和修改</w:t>
      </w:r>
    </w:p>
    <w:p w14:paraId="07D72147">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b/>
          <w:color w:val="auto"/>
          <w:szCs w:val="21"/>
          <w:highlight w:val="none"/>
        </w:rPr>
        <w:t>采购人可以对已发出的采购文件进行必要的澄清或者修改，将以“更正公告”的形式发布在政采云平台，供应商应及时登录政采云平台，进行浏览并下载，未及时浏览下载的责任自负。</w:t>
      </w:r>
      <w:r>
        <w:rPr>
          <w:rFonts w:hint="eastAsia" w:ascii="宋体" w:hAnsi="宋体"/>
          <w:color w:val="auto"/>
          <w:szCs w:val="21"/>
          <w:highlight w:val="none"/>
        </w:rPr>
        <w:t>澄清或者修改的内容可能影响投标文件编制的，采购人应当在投标截止时间至少15日前，不足15日的，采购人应当顺延提交投标文件的截止时间；澄清或者修改的内容不影响投标文件编制的，则不受15日的期限限制。澄清或者修改的内容为采购文件的组成部分，对所有供应商具有约束力。</w:t>
      </w:r>
    </w:p>
    <w:p w14:paraId="30E763BB">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十八、对供应商质疑的有关规定:</w:t>
      </w:r>
    </w:p>
    <w:p w14:paraId="03F42FE8">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供应商认为采购文件、采购过程、中标或者成交结果使自己的权益受到损害的，可以在知道或者应知其权益受到损害之日起7个工作日内，以书面形式向采购人、代理机构提出质疑。供应商应当在法定质疑期内一次性提出针对招标公告、采购文件、开标评标、采购结果等同一采购程序环节的质疑，第二次提出的质疑视为质疑无效，采购人、代理机构将不予受理（对于采购人、代理机构作出的澄清或者修改的内容提出质疑的除外）。</w:t>
      </w:r>
    </w:p>
    <w:p w14:paraId="1DA59A00">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供应商知道或者应知其权益受到损害之日，是指：</w:t>
      </w:r>
    </w:p>
    <w:p w14:paraId="4A15F855">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（1）对可以质疑的采购文件提出质疑的，为获取采购文件之日；获取采购文件时采购公告期限已届满的，为采购公告期限届满之日；</w:t>
      </w:r>
    </w:p>
    <w:p w14:paraId="42AE2CD1">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（2）对采购过程中开标、资格审查、符合性审查和评审等环节提出质疑的，为各采购程序环节结束之日；</w:t>
      </w:r>
    </w:p>
    <w:p w14:paraId="1BCB197F">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（3）对中标或者成交结果提出质疑的，为中标或者成交结果公告期限届满之日；</w:t>
      </w:r>
    </w:p>
    <w:p w14:paraId="69781E40">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（4）采购文件、采购过程、中标或者成交结果发生澄清、修改、更正的，对经澄清、修改、更正的部分内容提出质疑的，为通知送达供应商之日或者澄清公告、更正公告发布之日。</w:t>
      </w:r>
    </w:p>
    <w:p w14:paraId="0D90667C">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提出质疑的供应商（以下简称质疑供应商）应当是参与所质疑项目（采购包）采购活动的供应商。潜在供应商已依法获取其可质疑的采购文件的，可以对该采购文件提出质疑。</w:t>
      </w:r>
    </w:p>
    <w:p w14:paraId="1480F304">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项目设立、项目预算、采购方式、组织形式、进口产品核准、采购需求调查过程、专门面向中小企业采购、合同履约等不属于可质疑事项。</w:t>
      </w:r>
    </w:p>
    <w:p w14:paraId="1882A131">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供应商提出质疑应当提交质疑函和必要的证明材料，质疑函应当以书面形式提出，质疑函格式和内容须符合财政部《质疑函范本》要求，供应商可到中国政府采购网自行下载财政部《质疑函范本》。</w:t>
      </w:r>
    </w:p>
    <w:p w14:paraId="0E57753B">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供应商质疑实行实名制，质疑函应当署名，供应商为自然人的，应当由本人签字；供应商为法人或者其他组织的，应当由法定代表人、主要负责人，或者其授权代表（指代理人）签字或者盖章，并加盖供应商公章；代理人提出质疑的，应当提交供应商签署的授权委托书；以联合体形式参加政府采购活动的，其质疑应当由组成联合体的所有供应商共同提出。</w:t>
      </w:r>
    </w:p>
    <w:p w14:paraId="42A95A9D">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供应商应当通过电子交易平台、邮寄、现场递交的方式提交质疑函，鼓励通过电子交易平台提交。通过电子交易平台提交质疑函的，提出质疑日期为质疑函在电子交易平台提交当日；通过邮寄提交质疑函的，质疑供应商应在质疑期内交邮，并承担邮寄费用，提出质疑的时间为质疑函原件交邮的时间（以邮戳时间或快递收件时间为准）；现场递交质疑函的，以采购人、代理机构出具的受理签收回执日期为准。供应商以其他方式提出的质疑不予接收。</w:t>
      </w:r>
    </w:p>
    <w:p w14:paraId="0FB723C0">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采购人、代理机构将在收到合格的质疑函后7个工作日内作出答复。</w:t>
      </w:r>
    </w:p>
    <w:p w14:paraId="0CF1081E">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供应商有下列情形之一的，质疑事项不予处理，由采购人、采购代理机构收到质疑函后七个工作日内书面通知质疑供应商：</w:t>
      </w:r>
    </w:p>
    <w:p w14:paraId="4654C4C5">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（1）潜在供应商未提供依法获取采购文件证据材料，对采购文件提出质疑的；</w:t>
      </w:r>
    </w:p>
    <w:p w14:paraId="67FB87A9">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（2）供应商未按采购人、采购代理机构要求提供项目设置的特定资格条件证明材料 ，对特定资格条件以外的采购文件内容提出质疑的 ；</w:t>
      </w:r>
    </w:p>
    <w:p w14:paraId="4730FF48">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（3）未提交投标（响应）文件，对采购过程、采购结果提出质疑的 ；</w:t>
      </w:r>
    </w:p>
    <w:p w14:paraId="620F0B28">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（4）未通过资格审查，对评审过程、采购结果提出质疑的 ；</w:t>
      </w:r>
    </w:p>
    <w:p w14:paraId="20F7B066">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（5）未通过符合性审查，对符合性审查后的评审活动、采购结果提出质疑的；</w:t>
      </w:r>
    </w:p>
    <w:p w14:paraId="34A1049F">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（6）未通过采购文件规定的方式提出质疑的；</w:t>
      </w:r>
    </w:p>
    <w:p w14:paraId="3CF10B13">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（7）提出质疑时间已超出法定质疑期的；</w:t>
      </w:r>
    </w:p>
    <w:p w14:paraId="62C92AB5">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（8）采购文件要求供应商在法定质疑期内一次性提出针对同一采购程序环节质疑，再次提出质疑的；</w:t>
      </w:r>
    </w:p>
    <w:p w14:paraId="7B09F759">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（9）质疑函未按采购人、采购代理机构要求补充完善签署、盖章、联系方式 、提交合法有效的授权委托书的；</w:t>
      </w:r>
    </w:p>
    <w:p w14:paraId="72A2EA30">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（10）质疑供应商未按照采购人、采购代理机构要求提供 属于潜在供应商或其合法权益受到损害的事实依据的；</w:t>
      </w:r>
    </w:p>
    <w:p w14:paraId="0E95D3A4">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（11）以联合体形式参加政府采购活动，联合体成员未共同提出质疑的；</w:t>
      </w:r>
    </w:p>
    <w:p w14:paraId="4FFF523C">
      <w:pPr>
        <w:wordWrap w:val="0"/>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（12）法律法规或省级以上财政部门规定的其他情形。</w:t>
      </w:r>
    </w:p>
    <w:p w14:paraId="711E7FEB">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val="en-US" w:eastAsia="zh-CN"/>
        </w:rPr>
        <w:t>采购人、代理机构接收质疑函的联系人、联系电话和通讯地址等信息详见招标公告。</w:t>
      </w:r>
    </w:p>
    <w:p w14:paraId="2F4CCC09">
      <w:pPr>
        <w:wordWrap w:val="0"/>
        <w:spacing w:line="360" w:lineRule="auto"/>
        <w:ind w:firstLine="422" w:firstLineChars="200"/>
        <w:jc w:val="left"/>
        <w:rPr>
          <w:rFonts w:hint="eastAsia" w:ascii="宋体" w:hAnsi="宋体"/>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十九、最高限价</w:t>
      </w:r>
    </w:p>
    <w:p w14:paraId="0342FD0D">
      <w:pPr>
        <w:wordWrap w:val="0"/>
        <w:spacing w:line="360" w:lineRule="auto"/>
        <w:ind w:firstLine="420" w:firstLineChars="200"/>
        <w:jc w:val="left"/>
        <w:rPr>
          <w:rFonts w:ascii="宋体" w:hAnsi="宋体"/>
          <w:color w:val="auto"/>
          <w:szCs w:val="21"/>
          <w:highlight w:val="none"/>
        </w:rPr>
      </w:pPr>
      <w:bookmarkStart w:id="49" w:name="_Hlk37142004"/>
      <w:r>
        <w:rPr>
          <w:rFonts w:hint="eastAsia" w:ascii="宋体" w:hAnsi="宋体"/>
          <w:color w:val="auto"/>
          <w:szCs w:val="21"/>
          <w:highlight w:val="none"/>
        </w:rPr>
        <w:t>本次公开招标设有最高限价详见第一章招标公告，投标价超出最高限价作无效标处理。</w:t>
      </w:r>
    </w:p>
    <w:p w14:paraId="784F288B">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二十、招标代理服务费</w:t>
      </w:r>
    </w:p>
    <w:p w14:paraId="70CBC2EF">
      <w:pPr>
        <w:wordWrap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1、向中标人收取招标服务费：本招标公司参照国家发改委发改办价格[2003]857号通知和国家计委计价格[2002]1980号文件的规定的服务招标费率标准下浮20</w:t>
      </w:r>
      <w:r>
        <w:rPr>
          <w:rFonts w:ascii="宋体" w:hAnsi="宋体"/>
          <w:color w:val="auto"/>
          <w:szCs w:val="21"/>
          <w:highlight w:val="none"/>
        </w:rPr>
        <w:t>%</w:t>
      </w:r>
      <w:r>
        <w:rPr>
          <w:rFonts w:hint="eastAsia" w:ascii="宋体" w:hAnsi="宋体"/>
          <w:color w:val="auto"/>
          <w:szCs w:val="21"/>
          <w:highlight w:val="none"/>
        </w:rPr>
        <w:t>，按照中标通知书确定的</w:t>
      </w:r>
      <w:r>
        <w:rPr>
          <w:rFonts w:hint="eastAsia" w:ascii="宋体" w:hAnsi="宋体"/>
          <w:color w:val="auto"/>
          <w:szCs w:val="21"/>
          <w:highlight w:val="none"/>
          <w:lang w:val="en-US" w:eastAsia="zh-CN"/>
        </w:rPr>
        <w:t>年度</w:t>
      </w:r>
      <w:r>
        <w:rPr>
          <w:rFonts w:hint="eastAsia" w:ascii="宋体" w:hAnsi="宋体"/>
          <w:color w:val="auto"/>
          <w:szCs w:val="21"/>
          <w:highlight w:val="none"/>
        </w:rPr>
        <w:t>中标金额向中标人收取招标服务费。</w:t>
      </w:r>
    </w:p>
    <w:p w14:paraId="2739724C">
      <w:pPr>
        <w:wordWrap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2、中标供应商应在代理机构发出中标通知书5个工作日内向本代理机构支付招标代理服务费。</w:t>
      </w:r>
    </w:p>
    <w:p w14:paraId="3DF8C1E3">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3、招标代理服务费收取银行票汇款、电汇款。</w:t>
      </w:r>
    </w:p>
    <w:p w14:paraId="531183EE">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开户银行：上海浦东发展银行江北支行</w:t>
      </w:r>
    </w:p>
    <w:p w14:paraId="253E8FB2">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账户名称：宁波市国际招标有限公司</w:t>
      </w:r>
    </w:p>
    <w:p w14:paraId="592A228E">
      <w:pPr>
        <w:wordWrap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账    号：94090154800000191</w:t>
      </w:r>
    </w:p>
    <w:p w14:paraId="4DBD2974">
      <w:pPr>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4、邮箱：</w:t>
      </w:r>
      <w:r>
        <w:rPr>
          <w:rFonts w:ascii="宋体" w:hAnsi="宋体" w:cs="仿宋"/>
          <w:color w:val="auto"/>
          <w:szCs w:val="21"/>
          <w:highlight w:val="none"/>
        </w:rPr>
        <w:t>nbitc02@126.com</w:t>
      </w:r>
    </w:p>
    <w:bookmarkEnd w:id="49"/>
    <w:p w14:paraId="401A911C">
      <w:pPr>
        <w:wordWrap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二十一、合同授予</w:t>
      </w:r>
    </w:p>
    <w:p w14:paraId="7A45FB9E">
      <w:pPr>
        <w:wordWrap w:val="0"/>
        <w:spacing w:line="360" w:lineRule="auto"/>
        <w:ind w:firstLine="422" w:firstLineChars="200"/>
        <w:rPr>
          <w:rFonts w:ascii="宋体" w:hAnsi="宋体"/>
          <w:b/>
          <w:color w:val="auto"/>
          <w:szCs w:val="21"/>
          <w:highlight w:val="none"/>
        </w:rPr>
      </w:pPr>
      <w:bookmarkStart w:id="50" w:name="_Toc460857935"/>
      <w:bookmarkStart w:id="51" w:name="_Toc17884850"/>
      <w:r>
        <w:rPr>
          <w:rFonts w:hint="eastAsia" w:ascii="宋体" w:hAnsi="宋体"/>
          <w:b/>
          <w:color w:val="auto"/>
          <w:szCs w:val="21"/>
          <w:highlight w:val="none"/>
        </w:rPr>
        <w:t>（一）签订合同</w:t>
      </w:r>
      <w:bookmarkEnd w:id="50"/>
      <w:bookmarkEnd w:id="51"/>
    </w:p>
    <w:p w14:paraId="0363CF88">
      <w:pPr>
        <w:wordWrap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1、采购人与中标人应当在中标通知书发出之日起</w:t>
      </w:r>
      <w:r>
        <w:rPr>
          <w:rFonts w:hint="eastAsia" w:ascii="宋体" w:hAnsi="宋体"/>
          <w:b/>
          <w:color w:val="auto"/>
          <w:szCs w:val="21"/>
          <w:highlight w:val="none"/>
          <w:u w:val="single"/>
        </w:rPr>
        <w:t>30</w:t>
      </w:r>
      <w:r>
        <w:rPr>
          <w:rFonts w:hint="eastAsia" w:ascii="宋体" w:hAnsi="宋体"/>
          <w:color w:val="auto"/>
          <w:szCs w:val="21"/>
          <w:highlight w:val="none"/>
        </w:rPr>
        <w:t>日内签订政府采购合同。</w:t>
      </w:r>
    </w:p>
    <w:p w14:paraId="15CBC87F">
      <w:pPr>
        <w:wordWrap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w:t>
      </w:r>
      <w:r>
        <w:rPr>
          <w:rFonts w:ascii="宋体" w:hAnsi="宋体"/>
          <w:color w:val="auto"/>
          <w:szCs w:val="21"/>
          <w:highlight w:val="none"/>
        </w:rPr>
        <w:t>签订形式：</w:t>
      </w:r>
      <w:r>
        <w:rPr>
          <w:rFonts w:hint="eastAsia" w:ascii="宋体" w:hAnsi="宋体"/>
          <w:color w:val="auto"/>
          <w:szCs w:val="21"/>
          <w:highlight w:val="none"/>
        </w:rPr>
        <w:t>允许中标供应商采购合同盖章后送达或</w:t>
      </w:r>
      <w:r>
        <w:rPr>
          <w:rFonts w:ascii="宋体" w:hAnsi="宋体"/>
          <w:color w:val="auto"/>
          <w:szCs w:val="21"/>
          <w:highlight w:val="none"/>
        </w:rPr>
        <w:t>邮寄</w:t>
      </w:r>
      <w:r>
        <w:rPr>
          <w:rFonts w:hint="eastAsia" w:ascii="宋体" w:hAnsi="宋体"/>
          <w:color w:val="auto"/>
          <w:szCs w:val="21"/>
          <w:highlight w:val="none"/>
        </w:rPr>
        <w:t>。</w:t>
      </w:r>
    </w:p>
    <w:p w14:paraId="2F01C658">
      <w:pPr>
        <w:wordWrap w:val="0"/>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应及时签订采购合同，并通过政采云平台录入公布合同信息，相关信息会自动同步到浙江政府采购网和宁波政府采购网，如有特殊原因，暂时无法签订采购合同的，可以在政采云平台提交合同缓签申请，经采购办审核确认后，该项目不列入“无感监测”统计范围（目前仍有效）。如有因为未按照采购文件和投标文件规定签订合同引发纠纷的，请第一时间联系政府采购监管部门。</w:t>
      </w:r>
    </w:p>
    <w:p w14:paraId="688923FE">
      <w:pPr>
        <w:wordWrap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二十二、特别说明</w:t>
      </w:r>
    </w:p>
    <w:p w14:paraId="44B9E357">
      <w:pPr>
        <w:wordWrap w:val="0"/>
        <w:spacing w:line="360" w:lineRule="auto"/>
        <w:ind w:firstLine="424" w:firstLineChars="202"/>
        <w:rPr>
          <w:rFonts w:ascii="宋体" w:hAnsi="宋体"/>
          <w:color w:val="auto"/>
          <w:szCs w:val="21"/>
          <w:highlight w:val="none"/>
        </w:rPr>
      </w:pPr>
      <w:bookmarkStart w:id="52" w:name="_Toc495244277"/>
      <w:bookmarkStart w:id="53" w:name="_Toc21541015"/>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执行财政部、工业和信息化部《政府采购促进中小企业发展管理办法》（财库〔2020〕46号）。政府采购活动中有关中小企业的相关规定如下：</w:t>
      </w:r>
    </w:p>
    <w:p w14:paraId="565197A6">
      <w:pPr>
        <w:wordWrap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B79EFEE">
      <w:pPr>
        <w:wordWrap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1.2</w:t>
      </w:r>
      <w:r>
        <w:rPr>
          <w:rFonts w:ascii="宋体" w:hAnsi="宋体"/>
          <w:color w:val="auto"/>
          <w:szCs w:val="21"/>
          <w:highlight w:val="none"/>
        </w:rPr>
        <w:t>在政府采购活动中，供应商提供的货物、工程或者服务符合下列情形的，享受《政府采购促进中小企业发展管理办法》规定的中小企业扶持政策：</w:t>
      </w:r>
    </w:p>
    <w:p w14:paraId="515F2A4B">
      <w:pPr>
        <w:wordWrap w:val="0"/>
        <w:spacing w:line="360" w:lineRule="auto"/>
        <w:ind w:firstLine="424" w:firstLineChars="202"/>
        <w:rPr>
          <w:rFonts w:hint="eastAsia" w:ascii="宋体" w:hAnsi="宋体"/>
          <w:color w:val="auto"/>
          <w:szCs w:val="21"/>
          <w:highlight w:val="none"/>
        </w:rPr>
      </w:pPr>
      <w:r>
        <w:rPr>
          <w:rFonts w:ascii="宋体" w:hAnsi="宋体"/>
          <w:color w:val="auto"/>
          <w:szCs w:val="21"/>
          <w:highlight w:val="none"/>
        </w:rPr>
        <w:t>（1）在货物采购项目中，货物由中小企业制造，即货物由中小企业生产且使用该中小企业商号或者注册商标；</w:t>
      </w:r>
    </w:p>
    <w:p w14:paraId="56045F0B">
      <w:pPr>
        <w:wordWrap w:val="0"/>
        <w:spacing w:line="360" w:lineRule="auto"/>
        <w:ind w:firstLine="424" w:firstLineChars="202"/>
        <w:rPr>
          <w:rFonts w:hint="eastAsia" w:ascii="宋体" w:hAnsi="宋体"/>
          <w:color w:val="auto"/>
          <w:szCs w:val="21"/>
          <w:highlight w:val="none"/>
        </w:rPr>
      </w:pPr>
      <w:r>
        <w:rPr>
          <w:rFonts w:ascii="宋体" w:hAnsi="宋体"/>
          <w:color w:val="auto"/>
          <w:szCs w:val="21"/>
          <w:highlight w:val="none"/>
        </w:rPr>
        <w:t>（2）在工程采购项目中，工程由中小企业承建，即工程施工单位为中小企业；</w:t>
      </w:r>
    </w:p>
    <w:p w14:paraId="4B1605A4">
      <w:pPr>
        <w:wordWrap w:val="0"/>
        <w:spacing w:line="360" w:lineRule="auto"/>
        <w:ind w:firstLine="424" w:firstLineChars="202"/>
        <w:rPr>
          <w:rFonts w:hint="eastAsia" w:ascii="宋体" w:hAnsi="宋体"/>
          <w:color w:val="auto"/>
          <w:szCs w:val="21"/>
          <w:highlight w:val="none"/>
        </w:rPr>
      </w:pPr>
      <w:r>
        <w:rPr>
          <w:rFonts w:ascii="宋体" w:hAnsi="宋体"/>
          <w:color w:val="auto"/>
          <w:szCs w:val="21"/>
          <w:highlight w:val="none"/>
        </w:rPr>
        <w:t>（3）在服务采购项目中，服务由中小企业承接，即提供服务的人员为中小企业依照《中华人民共和国劳动合同法》订立劳动合同的从业人员。</w:t>
      </w:r>
    </w:p>
    <w:p w14:paraId="6BBB4AD4">
      <w:pPr>
        <w:wordWrap w:val="0"/>
        <w:spacing w:line="360" w:lineRule="auto"/>
        <w:ind w:firstLine="424" w:firstLineChars="202"/>
        <w:rPr>
          <w:rFonts w:hint="eastAsia" w:ascii="宋体" w:hAnsi="宋体"/>
          <w:color w:val="auto"/>
          <w:szCs w:val="21"/>
          <w:highlight w:val="none"/>
        </w:rPr>
      </w:pPr>
      <w:r>
        <w:rPr>
          <w:rFonts w:ascii="宋体" w:hAnsi="宋体"/>
          <w:color w:val="auto"/>
          <w:szCs w:val="21"/>
          <w:highlight w:val="none"/>
        </w:rPr>
        <w:t>在货物采购项目中，供应商提供的货物既有中小企业制造货物，也有大型企业制造货物的，不享受《政府采购促进中小企业发展管理办法》规定的中小企业扶持政策。</w:t>
      </w:r>
    </w:p>
    <w:p w14:paraId="15E164AB">
      <w:pPr>
        <w:wordWrap w:val="0"/>
        <w:spacing w:line="360" w:lineRule="auto"/>
        <w:ind w:firstLine="424" w:firstLineChars="202"/>
        <w:rPr>
          <w:rFonts w:hint="eastAsia" w:ascii="宋体" w:hAnsi="宋体"/>
          <w:color w:val="auto"/>
          <w:szCs w:val="21"/>
          <w:highlight w:val="none"/>
        </w:rPr>
      </w:pPr>
      <w:r>
        <w:rPr>
          <w:rFonts w:ascii="宋体" w:hAnsi="宋体"/>
          <w:color w:val="auto"/>
          <w:szCs w:val="21"/>
          <w:highlight w:val="none"/>
        </w:rPr>
        <w:t>以联合体形式参加政府采购活动，联合体各方均为中小企业的，联合体视同中小企业。其中，联合体各方均为小微企业的，联合体视同小微企业。</w:t>
      </w:r>
    </w:p>
    <w:p w14:paraId="2A07AD20">
      <w:pPr>
        <w:wordWrap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1.3</w:t>
      </w:r>
      <w:r>
        <w:rPr>
          <w:rFonts w:ascii="宋体" w:hAnsi="宋体"/>
          <w:color w:val="auto"/>
          <w:szCs w:val="21"/>
          <w:highlight w:val="none"/>
        </w:rPr>
        <w:t>中小企业参加政府采购活动，应当出具《政府采购促进中小企业发展管理办法》规定的《中小企业声明函》（格式见本采购文件附件），否则不得享受相关中小企业扶持政策。</w:t>
      </w:r>
    </w:p>
    <w:p w14:paraId="533145F0">
      <w:pPr>
        <w:wordWrap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1.4</w:t>
      </w:r>
      <w:r>
        <w:rPr>
          <w:rFonts w:ascii="宋体" w:hAnsi="宋体"/>
          <w:color w:val="auto"/>
          <w:szCs w:val="21"/>
          <w:highlight w:val="none"/>
        </w:rPr>
        <w:t>采购活动过程中，对供应商的“中小企业”资格认定，以供应商提交的《中小企业声明函》为准，供应商必须实事求是地提交声明函，如有虚假，将依法承担法律责任。如果在采购活动过程中相关采购当事人对供应商“中小企业”资格有异议的，由货物制造商或者工程、服务供应商注册登记所在地的县级以上人民政府中小企</w:t>
      </w:r>
      <w:r>
        <w:rPr>
          <w:rFonts w:hint="eastAsia" w:ascii="宋体" w:hAnsi="宋体"/>
          <w:color w:val="auto"/>
          <w:szCs w:val="21"/>
          <w:highlight w:val="none"/>
          <w:lang w:eastAsia="zh-CN"/>
        </w:rPr>
        <w:t>采购人</w:t>
      </w:r>
      <w:r>
        <w:rPr>
          <w:rFonts w:ascii="宋体" w:hAnsi="宋体"/>
          <w:color w:val="auto"/>
          <w:szCs w:val="21"/>
          <w:highlight w:val="none"/>
        </w:rPr>
        <w:t>管部门负责认定。</w:t>
      </w:r>
    </w:p>
    <w:p w14:paraId="44BEFE27">
      <w:pPr>
        <w:wordWrap w:val="0"/>
        <w:spacing w:line="360" w:lineRule="auto"/>
        <w:ind w:firstLine="424" w:firstLineChars="202"/>
        <w:rPr>
          <w:rFonts w:hint="eastAsia" w:ascii="宋体" w:hAnsi="宋体"/>
          <w:color w:val="auto"/>
          <w:szCs w:val="21"/>
          <w:highlight w:val="none"/>
        </w:rPr>
      </w:pPr>
      <w:r>
        <w:rPr>
          <w:rFonts w:ascii="宋体" w:hAnsi="宋体"/>
          <w:color w:val="auto"/>
          <w:szCs w:val="21"/>
          <w:highlight w:val="none"/>
        </w:rPr>
        <w:t>供应商提供声明函内容不实的，属于提供虚假材料谋取中标、成交，依照《中华人民共和国政府采购法》等国家有关规定追究相应责任。</w:t>
      </w:r>
    </w:p>
    <w:p w14:paraId="7DE52D96">
      <w:pPr>
        <w:wordWrap w:val="0"/>
        <w:spacing w:line="360" w:lineRule="auto"/>
        <w:ind w:firstLine="424" w:firstLineChars="202"/>
        <w:rPr>
          <w:rFonts w:hint="eastAsia" w:ascii="宋体" w:hAnsi="宋体"/>
          <w:color w:val="auto"/>
          <w:szCs w:val="21"/>
          <w:highlight w:val="none"/>
        </w:rPr>
      </w:pPr>
      <w:r>
        <w:rPr>
          <w:rFonts w:ascii="宋体" w:hAnsi="宋体"/>
          <w:color w:val="auto"/>
          <w:szCs w:val="21"/>
          <w:highlight w:val="none"/>
        </w:rPr>
        <w:t>适用招标投标法的政府采购工程建设项目，投标人提供声明函内容不实的，属于弄虚作假骗取中标，依照《中华人民共和国招标投标法》等国家有关规定追究相应责任。</w:t>
      </w:r>
    </w:p>
    <w:p w14:paraId="19C8CFBC">
      <w:pPr>
        <w:wordWrap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1.5</w:t>
      </w:r>
      <w:r>
        <w:rPr>
          <w:rFonts w:ascii="宋体" w:hAnsi="宋体"/>
          <w:color w:val="auto"/>
          <w:szCs w:val="21"/>
          <w:highlight w:val="none"/>
        </w:rPr>
        <w:t>《中小企业声明函》由参加投标的供应商提交，如供应商为代理商，须自行采集制造商的中小企业划分类型信息填入相应栏目并对其真实性负责。</w:t>
      </w:r>
    </w:p>
    <w:p w14:paraId="0BCFA603">
      <w:pPr>
        <w:wordWrap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执行财政部、司法部《关于政府采购支持监狱企业发展有关问题的通知》。监狱企业（监狱和戒毒企业）提供自己企业的产品（服务）参加投标视同小型、微型企业，享受政府采购促进中小企业发展的政府采购政策，监狱企业参加政府采购活动时，必须提供由省级以上监狱管理局、戒毒管理局（含新疆生产建设兵团）出具的属于监狱企业的证明文件，未能提供上述证明文件的不予认可。</w:t>
      </w:r>
      <w:bookmarkEnd w:id="52"/>
      <w:bookmarkEnd w:id="53"/>
    </w:p>
    <w:p w14:paraId="6324D00E">
      <w:pPr>
        <w:wordWrap w:val="0"/>
        <w:spacing w:line="360" w:lineRule="auto"/>
        <w:ind w:firstLine="420" w:firstLineChars="200"/>
        <w:rPr>
          <w:rFonts w:ascii="宋体" w:hAnsi="宋体"/>
          <w:color w:val="auto"/>
          <w:szCs w:val="21"/>
          <w:highlight w:val="none"/>
        </w:rPr>
      </w:pPr>
      <w:bookmarkStart w:id="54" w:name="_Toc21541016"/>
      <w:r>
        <w:rPr>
          <w:rFonts w:ascii="宋体" w:hAnsi="宋体"/>
          <w:color w:val="auto"/>
          <w:szCs w:val="21"/>
          <w:highlight w:val="none"/>
        </w:rPr>
        <w:t>3</w:t>
      </w:r>
      <w:r>
        <w:rPr>
          <w:rFonts w:hint="eastAsia" w:ascii="宋体" w:hAnsi="宋体"/>
          <w:color w:val="auto"/>
          <w:szCs w:val="21"/>
          <w:highlight w:val="none"/>
        </w:rPr>
        <w:t>、执行《三部门联合发布关于促进残疾人就业政府采购政策的通知》，在政府采购活动中，残疾人福利性单位视同小型、微型企业，享受政府采购促进中小企业发展的政府采购政策，残疾人福利性单位参加政府采购活动时，应当提供《残疾人福利性单位声明函》（格式见第七章附件），并对声明的真实性负责，未能提供的不予认可。</w:t>
      </w:r>
      <w:bookmarkEnd w:id="54"/>
    </w:p>
    <w:p w14:paraId="7BD9F860">
      <w:pPr>
        <w:wordWrap w:val="0"/>
        <w:spacing w:line="360" w:lineRule="auto"/>
        <w:ind w:firstLine="420" w:firstLineChars="200"/>
        <w:rPr>
          <w:rFonts w:ascii="宋体" w:hAnsi="宋体"/>
          <w:color w:val="auto"/>
          <w:szCs w:val="21"/>
          <w:highlight w:val="none"/>
        </w:rPr>
      </w:pPr>
      <w:bookmarkStart w:id="55" w:name="_Toc21541017"/>
      <w:bookmarkStart w:id="56" w:name="_Toc419729158"/>
      <w:r>
        <w:rPr>
          <w:rFonts w:ascii="宋体" w:hAnsi="宋体"/>
          <w:color w:val="auto"/>
          <w:szCs w:val="21"/>
          <w:highlight w:val="none"/>
        </w:rPr>
        <w:t>4</w:t>
      </w:r>
      <w:r>
        <w:rPr>
          <w:rFonts w:hint="eastAsia" w:ascii="宋体" w:hAnsi="宋体"/>
          <w:color w:val="auto"/>
          <w:szCs w:val="21"/>
          <w:highlight w:val="none"/>
        </w:rPr>
        <w:t>、本项目不组织潜在供应商现场考察或者召开开标前答疑。</w:t>
      </w:r>
      <w:bookmarkEnd w:id="55"/>
    </w:p>
    <w:p w14:paraId="53150DC9">
      <w:pPr>
        <w:wordWrap w:val="0"/>
        <w:spacing w:line="360" w:lineRule="auto"/>
        <w:ind w:firstLine="420" w:firstLineChars="200"/>
        <w:rPr>
          <w:rFonts w:ascii="宋体" w:hAnsi="宋体"/>
          <w:color w:val="auto"/>
          <w:szCs w:val="21"/>
          <w:highlight w:val="none"/>
        </w:rPr>
      </w:pPr>
      <w:bookmarkStart w:id="57" w:name="_Toc21541018"/>
      <w:r>
        <w:rPr>
          <w:rFonts w:ascii="宋体" w:hAnsi="宋体"/>
          <w:color w:val="auto"/>
          <w:szCs w:val="21"/>
          <w:highlight w:val="none"/>
        </w:rPr>
        <w:t>5</w:t>
      </w:r>
      <w:r>
        <w:rPr>
          <w:rFonts w:hint="eastAsia" w:ascii="宋体" w:hAnsi="宋体"/>
          <w:color w:val="auto"/>
          <w:szCs w:val="21"/>
          <w:highlight w:val="none"/>
        </w:rPr>
        <w:t>、本文件未及事项，在签订合同时供需及使用方友好商定。</w:t>
      </w:r>
      <w:bookmarkEnd w:id="56"/>
      <w:bookmarkEnd w:id="57"/>
    </w:p>
    <w:p w14:paraId="5F361725">
      <w:pPr>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6、不同投标人的投标文件出自同一终端设备或在相同Internet主机分配地址（相同IP地址）网上报名投标的作无效标处理。</w:t>
      </w:r>
    </w:p>
    <w:p w14:paraId="5A5FCE0E">
      <w:pPr>
        <w:wordWrap w:val="0"/>
        <w:spacing w:line="360" w:lineRule="auto"/>
        <w:ind w:firstLine="420" w:firstLineChars="200"/>
        <w:rPr>
          <w:rFonts w:ascii="宋体" w:hAnsi="宋体"/>
          <w:color w:val="auto"/>
          <w:sz w:val="28"/>
          <w:szCs w:val="28"/>
          <w:highlight w:val="none"/>
        </w:rPr>
      </w:pPr>
      <w:bookmarkStart w:id="58" w:name="_Toc419729159"/>
      <w:r>
        <w:rPr>
          <w:rFonts w:hint="eastAsia" w:ascii="宋体" w:hAnsi="宋体"/>
          <w:color w:val="auto"/>
          <w:szCs w:val="21"/>
          <w:highlight w:val="none"/>
        </w:rPr>
        <w:t>7、本采购文件解释权归采购人。</w:t>
      </w:r>
      <w:bookmarkEnd w:id="58"/>
    </w:p>
    <w:p w14:paraId="09A30DFE">
      <w:pPr>
        <w:wordWrap w:val="0"/>
        <w:ind w:right="-1226" w:rightChars="-584"/>
        <w:jc w:val="center"/>
        <w:rPr>
          <w:rFonts w:ascii="宋体" w:hAnsi="宋体"/>
          <w:color w:val="auto"/>
          <w:sz w:val="28"/>
          <w:szCs w:val="28"/>
          <w:highlight w:val="none"/>
        </w:rPr>
        <w:sectPr>
          <w:headerReference r:id="rId8" w:type="default"/>
          <w:footerReference r:id="rId9" w:type="default"/>
          <w:type w:val="nextColumn"/>
          <w:pgSz w:w="11907" w:h="16840"/>
          <w:pgMar w:top="1440" w:right="1080" w:bottom="1440" w:left="1080" w:header="285" w:footer="616" w:gutter="0"/>
          <w:cols w:space="720" w:num="1"/>
          <w:docGrid w:linePitch="285" w:charSpace="0"/>
        </w:sectPr>
      </w:pPr>
    </w:p>
    <w:p w14:paraId="4561A28F">
      <w:pPr>
        <w:wordWrap w:val="0"/>
        <w:spacing w:line="360" w:lineRule="auto"/>
        <w:jc w:val="center"/>
        <w:outlineLvl w:val="0"/>
        <w:rPr>
          <w:rFonts w:hint="eastAsia" w:ascii="宋体" w:hAnsi="宋体"/>
          <w:b/>
          <w:color w:val="auto"/>
          <w:sz w:val="32"/>
          <w:highlight w:val="none"/>
        </w:rPr>
      </w:pPr>
      <w:bookmarkStart w:id="59" w:name="_Toc135513214"/>
      <w:bookmarkStart w:id="60" w:name="_Toc216662965"/>
      <w:r>
        <w:rPr>
          <w:rFonts w:hint="eastAsia" w:ascii="宋体" w:hAnsi="宋体"/>
          <w:b/>
          <w:color w:val="auto"/>
          <w:sz w:val="32"/>
          <w:highlight w:val="none"/>
        </w:rPr>
        <w:t>第三章</w:t>
      </w:r>
      <w:r>
        <w:rPr>
          <w:rFonts w:ascii="宋体" w:hAnsi="宋体"/>
          <w:b/>
          <w:color w:val="auto"/>
          <w:sz w:val="32"/>
          <w:highlight w:val="none"/>
        </w:rPr>
        <w:t xml:space="preserve">  </w:t>
      </w:r>
      <w:bookmarkEnd w:id="59"/>
      <w:r>
        <w:rPr>
          <w:rFonts w:hint="eastAsia" w:ascii="宋体" w:hAnsi="宋体"/>
          <w:b/>
          <w:color w:val="auto"/>
          <w:sz w:val="32"/>
          <w:highlight w:val="none"/>
        </w:rPr>
        <w:t>招标</w:t>
      </w:r>
      <w:r>
        <w:rPr>
          <w:rFonts w:ascii="宋体" w:hAnsi="宋体"/>
          <w:b/>
          <w:color w:val="auto"/>
          <w:sz w:val="32"/>
          <w:highlight w:val="none"/>
        </w:rPr>
        <w:t>需求</w:t>
      </w:r>
    </w:p>
    <w:p w14:paraId="7E4D9A2B">
      <w:pPr>
        <w:spacing w:line="360" w:lineRule="auto"/>
        <w:rPr>
          <w:rFonts w:hint="default" w:eastAsia="宋体"/>
          <w:b/>
          <w:color w:val="auto"/>
          <w:sz w:val="28"/>
          <w:szCs w:val="28"/>
          <w:highlight w:val="none"/>
          <w:lang w:val="en-US" w:eastAsia="zh-CN"/>
        </w:rPr>
      </w:pPr>
      <w:r>
        <w:rPr>
          <w:rFonts w:hint="eastAsia"/>
          <w:b/>
          <w:color w:val="auto"/>
          <w:sz w:val="28"/>
          <w:szCs w:val="28"/>
          <w:highlight w:val="none"/>
        </w:rPr>
        <w:t>一、</w:t>
      </w:r>
      <w:r>
        <w:rPr>
          <w:rFonts w:hint="eastAsia"/>
          <w:b/>
          <w:color w:val="auto"/>
          <w:sz w:val="28"/>
          <w:szCs w:val="28"/>
          <w:highlight w:val="none"/>
          <w:lang w:val="en-US" w:eastAsia="zh-CN"/>
        </w:rPr>
        <w:t>项目概况</w:t>
      </w:r>
    </w:p>
    <w:tbl>
      <w:tblPr>
        <w:tblStyle w:val="48"/>
        <w:tblW w:w="94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502"/>
        <w:gridCol w:w="5076"/>
        <w:gridCol w:w="2066"/>
      </w:tblGrid>
      <w:tr w14:paraId="3FD70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13" w:type="dxa"/>
            <w:noWrap w:val="0"/>
            <w:vAlign w:val="center"/>
          </w:tcPr>
          <w:p w14:paraId="57D4ACF1">
            <w:pPr>
              <w:spacing w:line="320" w:lineRule="exact"/>
              <w:jc w:val="center"/>
              <w:rPr>
                <w:rFonts w:hint="eastAsia"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标项</w:t>
            </w:r>
          </w:p>
        </w:tc>
        <w:tc>
          <w:tcPr>
            <w:tcW w:w="1502" w:type="dxa"/>
            <w:noWrap w:val="0"/>
            <w:vAlign w:val="center"/>
          </w:tcPr>
          <w:p w14:paraId="5F96CB3E">
            <w:pPr>
              <w:spacing w:line="320" w:lineRule="exact"/>
              <w:jc w:val="center"/>
              <w:rPr>
                <w:rFonts w:ascii="宋体" w:hAnsi="宋体"/>
                <w:b/>
                <w:color w:val="auto"/>
                <w:sz w:val="21"/>
                <w:szCs w:val="21"/>
                <w:highlight w:val="none"/>
              </w:rPr>
            </w:pPr>
            <w:r>
              <w:rPr>
                <w:rFonts w:ascii="宋体" w:hAnsi="宋体"/>
                <w:b/>
                <w:color w:val="auto"/>
                <w:sz w:val="21"/>
                <w:szCs w:val="21"/>
                <w:highlight w:val="none"/>
              </w:rPr>
              <w:t>项目名称</w:t>
            </w:r>
          </w:p>
        </w:tc>
        <w:tc>
          <w:tcPr>
            <w:tcW w:w="5076" w:type="dxa"/>
            <w:noWrap w:val="0"/>
            <w:vAlign w:val="center"/>
          </w:tcPr>
          <w:p w14:paraId="6351DB7B">
            <w:pPr>
              <w:spacing w:line="320" w:lineRule="exact"/>
              <w:jc w:val="center"/>
              <w:rPr>
                <w:rFonts w:ascii="宋体" w:hAnsi="宋体"/>
                <w:b/>
                <w:color w:val="auto"/>
                <w:sz w:val="21"/>
                <w:szCs w:val="21"/>
                <w:highlight w:val="none"/>
              </w:rPr>
            </w:pPr>
            <w:r>
              <w:rPr>
                <w:rFonts w:ascii="宋体" w:hAnsi="宋体"/>
                <w:b/>
                <w:color w:val="auto"/>
                <w:sz w:val="21"/>
                <w:szCs w:val="21"/>
                <w:highlight w:val="none"/>
              </w:rPr>
              <w:t>服务期限</w:t>
            </w:r>
          </w:p>
        </w:tc>
        <w:tc>
          <w:tcPr>
            <w:tcW w:w="2066" w:type="dxa"/>
            <w:noWrap w:val="0"/>
            <w:vAlign w:val="center"/>
          </w:tcPr>
          <w:p w14:paraId="05206997">
            <w:pPr>
              <w:spacing w:line="320" w:lineRule="exact"/>
              <w:jc w:val="center"/>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rPr>
              <w:t>最高限价</w:t>
            </w:r>
          </w:p>
        </w:tc>
      </w:tr>
      <w:tr w14:paraId="58C5E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813" w:type="dxa"/>
            <w:noWrap w:val="0"/>
            <w:vAlign w:val="center"/>
          </w:tcPr>
          <w:p w14:paraId="37A45099">
            <w:pPr>
              <w:spacing w:line="320" w:lineRule="exact"/>
              <w:jc w:val="center"/>
              <w:rPr>
                <w:rFonts w:ascii="宋体" w:hAnsi="宋体"/>
                <w:color w:val="auto"/>
                <w:sz w:val="21"/>
                <w:szCs w:val="21"/>
                <w:highlight w:val="none"/>
              </w:rPr>
            </w:pPr>
            <w:r>
              <w:rPr>
                <w:rFonts w:ascii="宋体" w:hAnsi="宋体"/>
                <w:color w:val="auto"/>
                <w:sz w:val="21"/>
                <w:szCs w:val="21"/>
                <w:highlight w:val="none"/>
              </w:rPr>
              <w:t>1</w:t>
            </w:r>
          </w:p>
        </w:tc>
        <w:tc>
          <w:tcPr>
            <w:tcW w:w="1502" w:type="dxa"/>
            <w:noWrap w:val="0"/>
            <w:vAlign w:val="center"/>
          </w:tcPr>
          <w:p w14:paraId="4F7827FE">
            <w:pPr>
              <w:spacing w:line="320" w:lineRule="exact"/>
              <w:jc w:val="center"/>
              <w:rPr>
                <w:rFonts w:hint="eastAsia" w:ascii="宋体" w:hAnsi="宋体" w:eastAsia="宋体"/>
                <w:color w:val="auto"/>
                <w:sz w:val="21"/>
                <w:szCs w:val="21"/>
                <w:highlight w:val="none"/>
                <w:lang w:eastAsia="zh-CN"/>
              </w:rPr>
            </w:pPr>
            <w:r>
              <w:rPr>
                <w:rFonts w:hint="eastAsia" w:ascii="宋体" w:hAnsi="宋体"/>
                <w:color w:val="auto"/>
                <w:szCs w:val="21"/>
                <w:highlight w:val="none"/>
                <w:lang w:eastAsia="zh-CN"/>
              </w:rPr>
              <w:t>2026年-2028年鄞州区下应、潘火、首南三街道道路桥梁日常养护</w:t>
            </w:r>
          </w:p>
        </w:tc>
        <w:tc>
          <w:tcPr>
            <w:tcW w:w="5076" w:type="dxa"/>
            <w:noWrap w:val="0"/>
            <w:vAlign w:val="center"/>
          </w:tcPr>
          <w:p w14:paraId="1DF52938">
            <w:pPr>
              <w:spacing w:line="320" w:lineRule="exact"/>
              <w:jc w:val="left"/>
              <w:rPr>
                <w:rFonts w:ascii="宋体" w:hAnsi="宋体"/>
                <w:color w:val="auto"/>
                <w:sz w:val="21"/>
                <w:szCs w:val="21"/>
                <w:highlight w:val="none"/>
              </w:rPr>
            </w:pPr>
            <w:r>
              <w:rPr>
                <w:rFonts w:hint="eastAsia" w:ascii="宋体" w:hAnsi="宋体"/>
                <w:color w:val="auto"/>
                <w:sz w:val="21"/>
                <w:szCs w:val="21"/>
                <w:highlight w:val="none"/>
              </w:rPr>
              <w:t>采用“1+1”模式，总期限</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年，合同一年一签；第一年合同期限暂定自202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日起至202</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日止</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下一</w:t>
            </w:r>
            <w:r>
              <w:rPr>
                <w:rFonts w:hint="eastAsia" w:ascii="宋体" w:hAnsi="宋体"/>
                <w:color w:val="auto"/>
                <w:sz w:val="21"/>
                <w:szCs w:val="21"/>
                <w:highlight w:val="none"/>
              </w:rPr>
              <w:t>年由采购人根据中标人在上一年度合同履约及养护考核等情况决定是否续签（</w:t>
            </w:r>
            <w:r>
              <w:rPr>
                <w:rFonts w:hint="eastAsia" w:ascii="宋体" w:hAnsi="宋体"/>
                <w:color w:val="auto"/>
                <w:szCs w:val="21"/>
                <w:highlight w:val="none"/>
              </w:rPr>
              <w:t>因政策调整、养护模式</w:t>
            </w:r>
            <w:r>
              <w:rPr>
                <w:rFonts w:hint="eastAsia" w:ascii="宋体" w:hAnsi="宋体"/>
                <w:color w:val="auto"/>
                <w:szCs w:val="21"/>
                <w:highlight w:val="none"/>
                <w:lang w:val="en-US" w:eastAsia="zh-CN"/>
              </w:rPr>
              <w:t>或养护经费调整</w:t>
            </w:r>
            <w:r>
              <w:rPr>
                <w:rFonts w:hint="eastAsia" w:ascii="宋体" w:hAnsi="宋体"/>
                <w:color w:val="auto"/>
                <w:szCs w:val="21"/>
                <w:highlight w:val="none"/>
              </w:rPr>
              <w:t>等</w:t>
            </w:r>
            <w:r>
              <w:rPr>
                <w:rFonts w:hint="eastAsia" w:ascii="宋体" w:hAnsi="宋体"/>
                <w:color w:val="auto"/>
                <w:szCs w:val="21"/>
                <w:highlight w:val="none"/>
                <w:lang w:val="en-US" w:eastAsia="zh-CN"/>
              </w:rPr>
              <w:t>客观情况</w:t>
            </w:r>
            <w:r>
              <w:rPr>
                <w:rFonts w:hint="eastAsia" w:ascii="宋体" w:hAnsi="宋体"/>
                <w:color w:val="auto"/>
                <w:sz w:val="21"/>
                <w:szCs w:val="21"/>
                <w:highlight w:val="none"/>
              </w:rPr>
              <w:t>需要重新进行招标的，采购人有权单方面终止合同）。</w:t>
            </w:r>
          </w:p>
        </w:tc>
        <w:tc>
          <w:tcPr>
            <w:tcW w:w="2066" w:type="dxa"/>
            <w:noWrap w:val="0"/>
            <w:vAlign w:val="center"/>
          </w:tcPr>
          <w:p w14:paraId="21993E56">
            <w:pPr>
              <w:spacing w:line="320" w:lineRule="exact"/>
              <w:jc w:val="center"/>
              <w:rPr>
                <w:rFonts w:hint="default" w:ascii="宋体" w:hAnsi="宋体" w:eastAsia="宋体"/>
                <w:color w:val="auto"/>
                <w:sz w:val="21"/>
                <w:szCs w:val="21"/>
                <w:highlight w:val="none"/>
                <w:lang w:val="en-US" w:eastAsia="zh-CN"/>
              </w:rPr>
            </w:pPr>
            <w:r>
              <w:rPr>
                <w:rFonts w:hint="eastAsia" w:ascii="宋体" w:hAnsi="宋体"/>
                <w:color w:val="auto"/>
                <w:szCs w:val="21"/>
                <w:highlight w:val="none"/>
                <w:lang w:val="en-US" w:eastAsia="zh-CN"/>
              </w:rPr>
              <w:t>670000.00</w:t>
            </w:r>
            <w:r>
              <w:rPr>
                <w:rFonts w:hint="eastAsia" w:ascii="宋体" w:hAnsi="宋体"/>
                <w:color w:val="auto"/>
                <w:sz w:val="21"/>
                <w:szCs w:val="21"/>
                <w:highlight w:val="none"/>
              </w:rPr>
              <w:t>元</w:t>
            </w:r>
            <w:r>
              <w:rPr>
                <w:rFonts w:hint="eastAsia" w:ascii="宋体" w:hAnsi="宋体"/>
                <w:color w:val="auto"/>
                <w:sz w:val="21"/>
                <w:szCs w:val="21"/>
                <w:highlight w:val="none"/>
                <w:lang w:val="en-US" w:eastAsia="zh-CN"/>
              </w:rPr>
              <w:t>/年</w:t>
            </w:r>
          </w:p>
        </w:tc>
      </w:tr>
    </w:tbl>
    <w:p w14:paraId="6F54B792">
      <w:pPr>
        <w:bidi w:val="0"/>
        <w:rPr>
          <w:highlight w:val="none"/>
        </w:rPr>
      </w:pPr>
    </w:p>
    <w:p w14:paraId="1BD1F451">
      <w:pPr>
        <w:spacing w:line="360" w:lineRule="auto"/>
        <w:rPr>
          <w:rFonts w:hint="default"/>
          <w:b/>
          <w:color w:val="auto"/>
          <w:sz w:val="28"/>
          <w:szCs w:val="28"/>
          <w:highlight w:val="none"/>
          <w:lang w:val="en-US" w:eastAsia="zh-CN"/>
        </w:rPr>
      </w:pPr>
      <w:r>
        <w:rPr>
          <w:rFonts w:hint="eastAsia"/>
          <w:b/>
          <w:color w:val="auto"/>
          <w:sz w:val="28"/>
          <w:szCs w:val="28"/>
          <w:highlight w:val="none"/>
          <w:lang w:val="en-US" w:eastAsia="zh-CN"/>
        </w:rPr>
        <w:t>二、项目内容</w:t>
      </w:r>
    </w:p>
    <w:p w14:paraId="54D3D440">
      <w:pPr>
        <w:tabs>
          <w:tab w:val="left" w:pos="0"/>
        </w:tabs>
        <w:adjustRightInd/>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1、服务内容：</w:t>
      </w:r>
    </w:p>
    <w:tbl>
      <w:tblPr>
        <w:tblStyle w:val="48"/>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4189"/>
        <w:gridCol w:w="2213"/>
        <w:gridCol w:w="2067"/>
      </w:tblGrid>
      <w:tr w14:paraId="2576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1" w:type="dxa"/>
            <w:noWrap w:val="0"/>
            <w:vAlign w:val="center"/>
          </w:tcPr>
          <w:p w14:paraId="068BD0BF">
            <w:pPr>
              <w:adjustRightInd/>
              <w:snapToGrid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项目实施类别</w:t>
            </w:r>
          </w:p>
        </w:tc>
        <w:tc>
          <w:tcPr>
            <w:tcW w:w="4189" w:type="dxa"/>
            <w:noWrap w:val="0"/>
            <w:vAlign w:val="center"/>
          </w:tcPr>
          <w:p w14:paraId="1BB46BAF">
            <w:pPr>
              <w:adjustRightInd/>
              <w:snapToGrid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主要工作流程</w:t>
            </w:r>
          </w:p>
        </w:tc>
        <w:tc>
          <w:tcPr>
            <w:tcW w:w="2213" w:type="dxa"/>
            <w:noWrap w:val="0"/>
            <w:vAlign w:val="center"/>
          </w:tcPr>
          <w:p w14:paraId="19A403FF">
            <w:pPr>
              <w:adjustRightInd/>
              <w:snapToGrid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实施频次/工作内容</w:t>
            </w:r>
          </w:p>
        </w:tc>
        <w:tc>
          <w:tcPr>
            <w:tcW w:w="2067" w:type="dxa"/>
            <w:noWrap w:val="0"/>
            <w:vAlign w:val="center"/>
          </w:tcPr>
          <w:p w14:paraId="3105EB48">
            <w:pPr>
              <w:adjustRightInd/>
              <w:snapToGrid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63D9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val="0"/>
            <w:vAlign w:val="center"/>
          </w:tcPr>
          <w:p w14:paraId="22DD4952">
            <w:pPr>
              <w:adjustRightInd/>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包干服务</w:t>
            </w:r>
          </w:p>
          <w:p w14:paraId="7B0EB91D">
            <w:pPr>
              <w:adjustRightInd/>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（包干部分）</w:t>
            </w:r>
          </w:p>
        </w:tc>
        <w:tc>
          <w:tcPr>
            <w:tcW w:w="4189" w:type="dxa"/>
            <w:noWrap w:val="0"/>
            <w:vAlign w:val="center"/>
          </w:tcPr>
          <w:p w14:paraId="52136B0F">
            <w:pPr>
              <w:adjustRightInd/>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列入养护范围内所有道路</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桥梁</w:t>
            </w:r>
            <w:r>
              <w:rPr>
                <w:rFonts w:hint="eastAsia" w:ascii="宋体" w:hAnsi="宋体" w:cs="宋体"/>
                <w:color w:val="auto"/>
                <w:szCs w:val="21"/>
                <w:highlight w:val="none"/>
              </w:rPr>
              <w:t>及其他公共区域内的市政设施设备的日常管理、巡查、围挡提标等。</w:t>
            </w:r>
          </w:p>
        </w:tc>
        <w:tc>
          <w:tcPr>
            <w:tcW w:w="2213" w:type="dxa"/>
            <w:noWrap w:val="0"/>
            <w:vAlign w:val="center"/>
          </w:tcPr>
          <w:p w14:paraId="1303C045">
            <w:pPr>
              <w:adjustRightInd/>
              <w:snapToGrid w:val="0"/>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包干服务频次：</w:t>
            </w:r>
          </w:p>
          <w:p w14:paraId="3D4AB814">
            <w:pPr>
              <w:adjustRightInd/>
              <w:snapToGrid w:val="0"/>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（1）城市道路巡查不少于1次/日。</w:t>
            </w:r>
          </w:p>
          <w:p w14:paraId="05BE0F47">
            <w:pPr>
              <w:adjustRightInd/>
              <w:snapToGrid w:val="0"/>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（2）桥梁伸缩缝保养不少于1次/月。</w:t>
            </w:r>
          </w:p>
          <w:p w14:paraId="2E2A77F2">
            <w:pPr>
              <w:adjustRightInd/>
              <w:snapToGrid w:val="0"/>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（3）桥梁排水系统保养不少于1次/月。</w:t>
            </w:r>
          </w:p>
          <w:p w14:paraId="23900151">
            <w:pPr>
              <w:adjustRightInd/>
              <w:snapToGrid w:val="0"/>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（4）桥梁栏杆清洗不少于1次/月。</w:t>
            </w:r>
          </w:p>
          <w:p w14:paraId="60F54BD0">
            <w:pPr>
              <w:adjustRightInd/>
              <w:snapToGrid w:val="0"/>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（5）防撞墙内侧保养不少于1次/月。</w:t>
            </w:r>
          </w:p>
        </w:tc>
        <w:tc>
          <w:tcPr>
            <w:tcW w:w="2067" w:type="dxa"/>
            <w:noWrap w:val="0"/>
            <w:vAlign w:val="center"/>
          </w:tcPr>
          <w:p w14:paraId="7311AFF3">
            <w:pPr>
              <w:adjustRightInd/>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包干服务费用由采购人直接支付给中标人，中标人与采购人签订合同,接受采购人管理与考核。</w:t>
            </w:r>
          </w:p>
        </w:tc>
      </w:tr>
      <w:tr w14:paraId="06D1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val="0"/>
            <w:vAlign w:val="center"/>
          </w:tcPr>
          <w:p w14:paraId="5E3B8489">
            <w:pPr>
              <w:adjustRightInd/>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日常维修</w:t>
            </w:r>
          </w:p>
          <w:p w14:paraId="60C98337">
            <w:pPr>
              <w:adjustRightInd/>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（按实部分）</w:t>
            </w:r>
          </w:p>
        </w:tc>
        <w:tc>
          <w:tcPr>
            <w:tcW w:w="4189" w:type="dxa"/>
            <w:noWrap w:val="0"/>
            <w:vAlign w:val="center"/>
          </w:tcPr>
          <w:p w14:paraId="059098D9">
            <w:pPr>
              <w:numPr>
                <w:ilvl w:val="0"/>
                <w:numId w:val="5"/>
              </w:numPr>
              <w:adjustRightInd/>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向中标人发布维修指令，或中标人在常巡查发现的病害需要进行维修(上报采购人并经采购人同意后)，进行及时的零星维修工作。单个维修项目金额原则上审计后不得超过现行区县级政府采购限额（除重大突发事件或上级部门布置的应急任务）。</w:t>
            </w:r>
          </w:p>
          <w:p w14:paraId="5D7D1F60">
            <w:pPr>
              <w:adjustRightInd/>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2、如有重大活动保障、重大抢险救灾任务的，按实结算，各标项年度最高限额20万元，超出部分由中标人自行承担。</w:t>
            </w:r>
          </w:p>
        </w:tc>
        <w:tc>
          <w:tcPr>
            <w:tcW w:w="2213" w:type="dxa"/>
            <w:noWrap w:val="0"/>
            <w:vAlign w:val="center"/>
          </w:tcPr>
          <w:p w14:paraId="4BF1C3FC">
            <w:pPr>
              <w:adjustRightInd/>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按采购人要求进行日常养护维修（隔音屏保养按实结算，计入日常养护维修费中）。</w:t>
            </w:r>
          </w:p>
        </w:tc>
        <w:tc>
          <w:tcPr>
            <w:tcW w:w="2067" w:type="dxa"/>
            <w:noWrap w:val="0"/>
            <w:vAlign w:val="center"/>
          </w:tcPr>
          <w:p w14:paraId="24157326">
            <w:pPr>
              <w:adjustRightInd/>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按实部分费用由采购人委托的保险公司支付给中标人，中标人与采购人及保险公司分别签订合同，接受采购人与保险公司的共同考核。</w:t>
            </w:r>
          </w:p>
        </w:tc>
      </w:tr>
      <w:tr w14:paraId="6723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val="0"/>
            <w:vAlign w:val="center"/>
          </w:tcPr>
          <w:p w14:paraId="07B68A07">
            <w:pPr>
              <w:adjustRightInd/>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4189" w:type="dxa"/>
            <w:noWrap w:val="0"/>
            <w:vAlign w:val="center"/>
          </w:tcPr>
          <w:p w14:paraId="500CCB92">
            <w:pPr>
              <w:adjustRightInd/>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在养护工作与维修工作实施中，鼓励新技术、新工艺、新材料、新设备的应用；移交接管前做好设施完好情况核查，并出具相关建议；按要求完成上级部门督办、布置的其他任务。文明施工按相关规定执行。</w:t>
            </w:r>
          </w:p>
        </w:tc>
        <w:tc>
          <w:tcPr>
            <w:tcW w:w="2213" w:type="dxa"/>
            <w:noWrap w:val="0"/>
            <w:vAlign w:val="center"/>
          </w:tcPr>
          <w:p w14:paraId="5C4060C9">
            <w:pPr>
              <w:adjustRightInd/>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配备一定量应急材料（快速砼、沥青冷料止水带等必要养护应急材料）。</w:t>
            </w:r>
          </w:p>
        </w:tc>
        <w:tc>
          <w:tcPr>
            <w:tcW w:w="2067" w:type="dxa"/>
            <w:noWrap w:val="0"/>
            <w:vAlign w:val="center"/>
          </w:tcPr>
          <w:p w14:paraId="1ADFACF7">
            <w:pPr>
              <w:adjustRightInd/>
              <w:snapToGrid w:val="0"/>
              <w:spacing w:line="400" w:lineRule="exact"/>
              <w:rPr>
                <w:rFonts w:hint="eastAsia" w:ascii="宋体" w:hAnsi="宋体" w:cs="宋体"/>
                <w:color w:val="auto"/>
                <w:szCs w:val="21"/>
                <w:highlight w:val="none"/>
              </w:rPr>
            </w:pPr>
          </w:p>
        </w:tc>
      </w:tr>
    </w:tbl>
    <w:p w14:paraId="28C103A9">
      <w:pPr>
        <w:bidi w:val="0"/>
        <w:rPr>
          <w:rFonts w:hint="eastAsia"/>
          <w:highlight w:val="none"/>
        </w:rPr>
      </w:pPr>
    </w:p>
    <w:p w14:paraId="0401CAF6">
      <w:pPr>
        <w:tabs>
          <w:tab w:val="left" w:pos="0"/>
        </w:tabs>
        <w:adjustRightInd/>
        <w:spacing w:line="360" w:lineRule="auto"/>
        <w:rPr>
          <w:rFonts w:hint="eastAsia" w:ascii="宋体" w:hAnsi="宋体" w:eastAsia="宋体" w:cs="宋体"/>
          <w:b w:val="0"/>
          <w:bCs w:val="0"/>
          <w:color w:val="auto"/>
          <w:kern w:val="0"/>
          <w:szCs w:val="21"/>
          <w:highlight w:val="none"/>
        </w:rPr>
      </w:pPr>
      <w:r>
        <w:rPr>
          <w:rFonts w:hint="eastAsia" w:ascii="宋体" w:hAnsi="宋体" w:eastAsia="宋体" w:cs="宋体"/>
          <w:b/>
          <w:bCs/>
          <w:color w:val="auto"/>
          <w:kern w:val="0"/>
          <w:szCs w:val="21"/>
          <w:highlight w:val="none"/>
        </w:rPr>
        <w:t>2.养护范围</w:t>
      </w:r>
      <w:r>
        <w:rPr>
          <w:rFonts w:hint="eastAsia" w:ascii="宋体" w:hAnsi="宋体" w:cs="宋体"/>
          <w:b/>
          <w:bCs/>
          <w:color w:val="auto"/>
          <w:kern w:val="0"/>
          <w:szCs w:val="21"/>
          <w:highlight w:val="none"/>
          <w:lang w:val="en-US" w:eastAsia="zh-CN"/>
        </w:rPr>
        <w:t>及清单</w:t>
      </w:r>
      <w:r>
        <w:rPr>
          <w:rFonts w:hint="eastAsia" w:ascii="宋体" w:hAnsi="宋体" w:eastAsia="宋体" w:cs="宋体"/>
          <w:b/>
          <w:bCs/>
          <w:color w:val="auto"/>
          <w:kern w:val="0"/>
          <w:szCs w:val="21"/>
          <w:highlight w:val="none"/>
        </w:rPr>
        <w:t>：</w:t>
      </w:r>
    </w:p>
    <w:p w14:paraId="5F3A3C9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详见附件清单。</w:t>
      </w:r>
    </w:p>
    <w:p w14:paraId="075B183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textAlignment w:val="auto"/>
        <w:rPr>
          <w:rFonts w:hint="eastAsia" w:cs="宋体"/>
          <w:b/>
          <w:bCs/>
          <w:color w:val="auto"/>
          <w:szCs w:val="21"/>
          <w:highlight w:val="none"/>
          <w:lang w:bidi="ar"/>
        </w:rPr>
      </w:pPr>
      <w:r>
        <w:rPr>
          <w:rFonts w:hint="eastAsia" w:cs="宋体"/>
          <w:b/>
          <w:bCs/>
          <w:color w:val="auto"/>
          <w:szCs w:val="21"/>
          <w:highlight w:val="none"/>
          <w:lang w:bidi="ar"/>
        </w:rPr>
        <w:t>备注：</w:t>
      </w:r>
    </w:p>
    <w:p w14:paraId="4359C62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textAlignment w:val="auto"/>
        <w:rPr>
          <w:rFonts w:hint="eastAsia" w:cs="宋体"/>
          <w:b/>
          <w:bCs/>
          <w:color w:val="auto"/>
          <w:szCs w:val="21"/>
          <w:highlight w:val="none"/>
          <w:lang w:bidi="ar"/>
        </w:rPr>
      </w:pPr>
      <w:r>
        <w:rPr>
          <w:rFonts w:hint="eastAsia" w:cs="宋体"/>
          <w:b/>
          <w:bCs/>
          <w:color w:val="auto"/>
          <w:szCs w:val="21"/>
          <w:highlight w:val="none"/>
          <w:lang w:eastAsia="zh-CN" w:bidi="ar"/>
        </w:rPr>
        <w:t>（</w:t>
      </w:r>
      <w:r>
        <w:rPr>
          <w:rFonts w:hint="eastAsia" w:cs="宋体"/>
          <w:b/>
          <w:bCs/>
          <w:color w:val="auto"/>
          <w:szCs w:val="21"/>
          <w:highlight w:val="none"/>
          <w:lang w:val="en-US" w:eastAsia="zh-CN" w:bidi="ar"/>
        </w:rPr>
        <w:t>1</w:t>
      </w:r>
      <w:r>
        <w:rPr>
          <w:rFonts w:hint="eastAsia" w:cs="宋体"/>
          <w:b/>
          <w:bCs/>
          <w:color w:val="auto"/>
          <w:szCs w:val="21"/>
          <w:highlight w:val="none"/>
          <w:lang w:eastAsia="zh-CN" w:bidi="ar"/>
        </w:rPr>
        <w:t>）</w:t>
      </w:r>
      <w:r>
        <w:rPr>
          <w:rFonts w:hint="eastAsia" w:cs="宋体"/>
          <w:b/>
          <w:bCs/>
          <w:color w:val="auto"/>
          <w:szCs w:val="21"/>
          <w:highlight w:val="none"/>
          <w:lang w:bidi="ar"/>
        </w:rPr>
        <w:t>设施量统计表中设施量仅供参考，具体以实际养护量为准；即本次招标范围内的市政道路及其他市政附属设施数据因城市规划建设的调整而发生数量增减、名称变更等情况，故表格数据与实际准确数量可能会有出入，各投标人在投标时应予以充分考虑，如有需要请各投标人自行组织现场踏勘，以充分了解项目实施位置、服务范围、周边情况、施工所需的进出现场的方式、手段、路径以及任何其他足以影响报价的情况，任何因忽视或误解现场或延误工期情况而导致的索赔或费用申请将不予受理。</w:t>
      </w:r>
    </w:p>
    <w:p w14:paraId="18668E2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textAlignment w:val="auto"/>
        <w:rPr>
          <w:rFonts w:cs="宋体"/>
          <w:b/>
          <w:bCs/>
          <w:color w:val="auto"/>
          <w:szCs w:val="21"/>
          <w:highlight w:val="none"/>
          <w:lang w:bidi="ar"/>
        </w:rPr>
      </w:pPr>
      <w:r>
        <w:rPr>
          <w:rFonts w:hint="eastAsia" w:cs="宋体"/>
          <w:b/>
          <w:bCs/>
          <w:color w:val="auto"/>
          <w:szCs w:val="21"/>
          <w:highlight w:val="none"/>
          <w:lang w:eastAsia="zh-CN" w:bidi="ar"/>
        </w:rPr>
        <w:t>（</w:t>
      </w:r>
      <w:r>
        <w:rPr>
          <w:rFonts w:hint="eastAsia" w:cs="宋体"/>
          <w:b/>
          <w:bCs/>
          <w:color w:val="auto"/>
          <w:szCs w:val="21"/>
          <w:highlight w:val="none"/>
          <w:lang w:bidi="ar"/>
        </w:rPr>
        <w:t>2）在合同期内，采购人新增接管路段的巡查及养护工作由中标人负责接收落实，新增巡查、日常养护的工程量在接管后按实计入，巡查、维修标准参照本项目合同，由此产生的包干项内经费不另行支付，市政道路及其他公共区域内的市政设施设备日常养护维修费用和日常维修费用按本项目中标统一折扣浮动后予以结算。</w:t>
      </w:r>
    </w:p>
    <w:p w14:paraId="7575494D">
      <w:pPr>
        <w:bidi w:val="0"/>
        <w:rPr>
          <w:highlight w:val="none"/>
        </w:rPr>
      </w:pPr>
    </w:p>
    <w:p w14:paraId="485D007F">
      <w:pPr>
        <w:widowControl/>
        <w:spacing w:line="360" w:lineRule="auto"/>
        <w:jc w:val="left"/>
        <w:rPr>
          <w:rFonts w:hint="eastAsia" w:ascii="宋体" w:hAnsi="宋体" w:eastAsia="宋体" w:cs="宋体"/>
          <w:b/>
          <w:bCs/>
          <w:snapToGrid w:val="0"/>
          <w:color w:val="auto"/>
          <w:kern w:val="0"/>
          <w:sz w:val="21"/>
          <w:szCs w:val="21"/>
          <w:highlight w:val="none"/>
          <w:lang w:val="zh-CN" w:eastAsia="zh-CN" w:bidi="ar-SA"/>
        </w:rPr>
      </w:pPr>
      <w:r>
        <w:rPr>
          <w:rFonts w:hint="eastAsia" w:ascii="宋体" w:hAnsi="宋体" w:eastAsia="宋体" w:cs="宋体"/>
          <w:b/>
          <w:bCs/>
          <w:snapToGrid w:val="0"/>
          <w:color w:val="auto"/>
          <w:kern w:val="0"/>
          <w:sz w:val="21"/>
          <w:szCs w:val="21"/>
          <w:highlight w:val="none"/>
          <w:lang w:val="zh-CN" w:eastAsia="zh-CN" w:bidi="ar-SA"/>
        </w:rPr>
        <w:t>三、养护人员</w:t>
      </w:r>
      <w:r>
        <w:rPr>
          <w:rFonts w:hint="eastAsia" w:ascii="宋体" w:hAnsi="宋体" w:cs="宋体"/>
          <w:b/>
          <w:bCs/>
          <w:snapToGrid w:val="0"/>
          <w:color w:val="auto"/>
          <w:kern w:val="0"/>
          <w:sz w:val="21"/>
          <w:szCs w:val="21"/>
          <w:highlight w:val="none"/>
          <w:lang w:val="zh-CN" w:eastAsia="zh-CN" w:bidi="ar-SA"/>
        </w:rPr>
        <w:t>、</w:t>
      </w:r>
      <w:r>
        <w:rPr>
          <w:rFonts w:hint="eastAsia" w:ascii="宋体" w:hAnsi="宋体" w:eastAsia="宋体" w:cs="宋体"/>
          <w:b/>
          <w:bCs/>
          <w:snapToGrid w:val="0"/>
          <w:color w:val="auto"/>
          <w:kern w:val="0"/>
          <w:sz w:val="21"/>
          <w:szCs w:val="21"/>
          <w:highlight w:val="none"/>
          <w:lang w:val="zh-CN" w:eastAsia="zh-CN" w:bidi="ar-SA"/>
        </w:rPr>
        <w:t>车辆等设施设备</w:t>
      </w:r>
      <w:r>
        <w:rPr>
          <w:rFonts w:hint="eastAsia" w:ascii="宋体" w:hAnsi="宋体" w:cs="宋体"/>
          <w:b/>
          <w:bCs/>
          <w:snapToGrid w:val="0"/>
          <w:color w:val="auto"/>
          <w:kern w:val="0"/>
          <w:sz w:val="21"/>
          <w:szCs w:val="21"/>
          <w:highlight w:val="none"/>
          <w:lang w:val="en-US" w:eastAsia="zh-CN" w:bidi="ar-SA"/>
        </w:rPr>
        <w:t>及养护基地</w:t>
      </w:r>
      <w:r>
        <w:rPr>
          <w:rFonts w:hint="eastAsia" w:ascii="宋体" w:hAnsi="宋体" w:eastAsia="宋体" w:cs="宋体"/>
          <w:b/>
          <w:bCs/>
          <w:snapToGrid w:val="0"/>
          <w:color w:val="auto"/>
          <w:kern w:val="0"/>
          <w:sz w:val="21"/>
          <w:szCs w:val="21"/>
          <w:highlight w:val="none"/>
          <w:lang w:val="zh-CN" w:eastAsia="zh-CN" w:bidi="ar-SA"/>
        </w:rPr>
        <w:t>配置基本要求</w:t>
      </w:r>
    </w:p>
    <w:p w14:paraId="77C4C959">
      <w:pPr>
        <w:spacing w:line="360" w:lineRule="auto"/>
        <w:ind w:firstLine="420" w:firstLineChars="200"/>
        <w:contextualSpacing/>
        <w:outlineLvl w:val="1"/>
        <w:rPr>
          <w:rFonts w:cs="宋体"/>
          <w:b/>
          <w:color w:val="auto"/>
          <w:szCs w:val="21"/>
          <w:highlight w:val="none"/>
          <w:lang w:bidi="ar"/>
        </w:rPr>
      </w:pPr>
      <w:r>
        <w:rPr>
          <w:rFonts w:hint="eastAsia"/>
          <w:color w:val="auto"/>
          <w:szCs w:val="21"/>
          <w:highlight w:val="none"/>
        </w:rPr>
        <w:t>★</w:t>
      </w:r>
      <w:r>
        <w:rPr>
          <w:rFonts w:hint="eastAsia" w:cs="宋体"/>
          <w:b/>
          <w:color w:val="auto"/>
          <w:szCs w:val="21"/>
          <w:highlight w:val="none"/>
          <w:lang w:bidi="ar"/>
        </w:rPr>
        <w:t>1、</w:t>
      </w:r>
      <w:r>
        <w:rPr>
          <w:rFonts w:hint="eastAsia" w:ascii="宋体" w:hAnsi="宋体" w:eastAsia="宋体" w:cs="宋体"/>
          <w:b/>
          <w:bCs/>
          <w:snapToGrid w:val="0"/>
          <w:color w:val="auto"/>
          <w:kern w:val="0"/>
          <w:sz w:val="21"/>
          <w:szCs w:val="21"/>
          <w:highlight w:val="none"/>
          <w:lang w:val="zh-CN" w:eastAsia="zh-CN" w:bidi="ar-SA"/>
        </w:rPr>
        <w:t>养护</w:t>
      </w:r>
      <w:r>
        <w:rPr>
          <w:rFonts w:hint="eastAsia" w:cs="宋体"/>
          <w:b/>
          <w:color w:val="auto"/>
          <w:szCs w:val="21"/>
          <w:highlight w:val="none"/>
          <w:lang w:bidi="ar"/>
        </w:rPr>
        <w:t>人员配置要求</w:t>
      </w:r>
    </w:p>
    <w:tbl>
      <w:tblPr>
        <w:tblStyle w:val="48"/>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645"/>
        <w:gridCol w:w="3780"/>
        <w:gridCol w:w="3531"/>
      </w:tblGrid>
      <w:tr w14:paraId="7518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tcBorders>
              <w:top w:val="single" w:color="auto" w:sz="4" w:space="0"/>
              <w:left w:val="single" w:color="auto" w:sz="4" w:space="0"/>
              <w:right w:val="single" w:color="auto" w:sz="4" w:space="0"/>
            </w:tcBorders>
            <w:noWrap w:val="0"/>
            <w:vAlign w:val="center"/>
          </w:tcPr>
          <w:p w14:paraId="7D0217D9">
            <w:pPr>
              <w:spacing w:line="400" w:lineRule="exact"/>
              <w:contextualSpacing/>
              <w:jc w:val="center"/>
              <w:rPr>
                <w:rFonts w:hint="eastAsia" w:ascii="宋体" w:hAnsi="宋体" w:cs="宋体"/>
                <w:bCs/>
                <w:color w:val="auto"/>
                <w:szCs w:val="21"/>
                <w:highlight w:val="none"/>
              </w:rPr>
            </w:pPr>
            <w:r>
              <w:rPr>
                <w:rFonts w:hint="eastAsia" w:ascii="宋体" w:hAnsi="宋体" w:cs="宋体"/>
                <w:bCs/>
                <w:color w:val="auto"/>
                <w:szCs w:val="21"/>
                <w:highlight w:val="none"/>
                <w:lang w:bidi="ar"/>
              </w:rPr>
              <w:t>岗位</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19A6DC41">
            <w:pPr>
              <w:spacing w:line="400" w:lineRule="exact"/>
              <w:contextualSpacing/>
              <w:jc w:val="center"/>
              <w:rPr>
                <w:rFonts w:hint="eastAsia" w:ascii="宋体" w:hAnsi="宋体" w:cs="宋体"/>
                <w:bCs/>
                <w:color w:val="auto"/>
                <w:szCs w:val="21"/>
                <w:highlight w:val="none"/>
              </w:rPr>
            </w:pPr>
            <w:r>
              <w:rPr>
                <w:rFonts w:hint="eastAsia" w:ascii="宋体" w:hAnsi="宋体" w:cs="宋体"/>
                <w:bCs/>
                <w:color w:val="auto"/>
                <w:szCs w:val="21"/>
                <w:highlight w:val="none"/>
                <w:lang w:bidi="ar"/>
              </w:rPr>
              <w:t>人数</w:t>
            </w:r>
          </w:p>
        </w:tc>
        <w:tc>
          <w:tcPr>
            <w:tcW w:w="3780" w:type="dxa"/>
            <w:tcBorders>
              <w:top w:val="single" w:color="auto" w:sz="4" w:space="0"/>
              <w:left w:val="single" w:color="auto" w:sz="4" w:space="0"/>
              <w:right w:val="single" w:color="auto" w:sz="4" w:space="0"/>
            </w:tcBorders>
            <w:noWrap w:val="0"/>
            <w:vAlign w:val="center"/>
          </w:tcPr>
          <w:p w14:paraId="01F7B91E">
            <w:pPr>
              <w:spacing w:line="400" w:lineRule="exact"/>
              <w:contextualSpacing/>
              <w:jc w:val="center"/>
              <w:rPr>
                <w:rFonts w:hint="eastAsia" w:ascii="宋体" w:hAnsi="宋体" w:cs="宋体"/>
                <w:bCs/>
                <w:color w:val="auto"/>
                <w:szCs w:val="21"/>
                <w:highlight w:val="none"/>
              </w:rPr>
            </w:pPr>
            <w:r>
              <w:rPr>
                <w:rFonts w:hint="eastAsia" w:ascii="宋体" w:hAnsi="宋体" w:cs="宋体"/>
                <w:bCs/>
                <w:color w:val="auto"/>
                <w:szCs w:val="21"/>
                <w:highlight w:val="none"/>
                <w:lang w:bidi="ar"/>
              </w:rPr>
              <w:t>任职条件</w:t>
            </w:r>
          </w:p>
        </w:tc>
        <w:tc>
          <w:tcPr>
            <w:tcW w:w="3531" w:type="dxa"/>
            <w:tcBorders>
              <w:top w:val="single" w:color="auto" w:sz="4" w:space="0"/>
              <w:left w:val="single" w:color="auto" w:sz="4" w:space="0"/>
              <w:right w:val="single" w:color="auto" w:sz="4" w:space="0"/>
            </w:tcBorders>
            <w:noWrap w:val="0"/>
            <w:vAlign w:val="center"/>
          </w:tcPr>
          <w:p w14:paraId="2E660BE9">
            <w:pPr>
              <w:spacing w:line="400" w:lineRule="exact"/>
              <w:contextualSpacing/>
              <w:jc w:val="center"/>
              <w:rPr>
                <w:rFonts w:hint="eastAsia" w:ascii="宋体" w:hAnsi="宋体" w:cs="宋体"/>
                <w:bCs/>
                <w:color w:val="auto"/>
                <w:szCs w:val="21"/>
                <w:highlight w:val="none"/>
              </w:rPr>
            </w:pPr>
            <w:r>
              <w:rPr>
                <w:rFonts w:hint="eastAsia" w:ascii="宋体" w:hAnsi="宋体" w:cs="宋体"/>
                <w:bCs/>
                <w:color w:val="auto"/>
                <w:szCs w:val="21"/>
                <w:highlight w:val="none"/>
                <w:lang w:bidi="ar"/>
              </w:rPr>
              <w:t>工作职责</w:t>
            </w:r>
          </w:p>
        </w:tc>
      </w:tr>
      <w:tr w14:paraId="0233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475" w:type="dxa"/>
            <w:tcBorders>
              <w:top w:val="single" w:color="auto" w:sz="4" w:space="0"/>
              <w:left w:val="single" w:color="auto" w:sz="4" w:space="0"/>
              <w:bottom w:val="single" w:color="auto" w:sz="4" w:space="0"/>
              <w:right w:val="single" w:color="auto" w:sz="4" w:space="0"/>
            </w:tcBorders>
            <w:noWrap w:val="0"/>
            <w:vAlign w:val="center"/>
          </w:tcPr>
          <w:p w14:paraId="4EC70A35">
            <w:pPr>
              <w:spacing w:line="400" w:lineRule="exact"/>
              <w:contextualSpacing/>
              <w:jc w:val="center"/>
              <w:rPr>
                <w:rFonts w:hint="eastAsia" w:ascii="宋体" w:hAnsi="宋体" w:cs="宋体"/>
                <w:bCs/>
                <w:color w:val="auto"/>
                <w:szCs w:val="21"/>
                <w:highlight w:val="none"/>
              </w:rPr>
            </w:pPr>
            <w:r>
              <w:rPr>
                <w:rFonts w:hint="eastAsia" w:ascii="宋体" w:hAnsi="宋体" w:cs="宋体"/>
                <w:bCs/>
                <w:color w:val="auto"/>
                <w:szCs w:val="21"/>
                <w:highlight w:val="none"/>
                <w:lang w:bidi="ar"/>
              </w:rPr>
              <w:t>项目经理</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0598FA91">
            <w:pPr>
              <w:spacing w:line="400" w:lineRule="exact"/>
              <w:contextualSpacing/>
              <w:jc w:val="center"/>
              <w:rPr>
                <w:rFonts w:hint="eastAsia" w:ascii="宋体" w:hAnsi="宋体" w:cs="宋体"/>
                <w:bCs/>
                <w:color w:val="auto"/>
                <w:szCs w:val="21"/>
                <w:highlight w:val="none"/>
              </w:rPr>
            </w:pPr>
            <w:r>
              <w:rPr>
                <w:rFonts w:hint="eastAsia" w:ascii="宋体" w:hAnsi="宋体" w:cs="宋体"/>
                <w:bCs/>
                <w:color w:val="auto"/>
                <w:szCs w:val="21"/>
                <w:highlight w:val="none"/>
                <w:lang w:bidi="ar"/>
              </w:rPr>
              <w:t>1</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531901A0">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s="宋体"/>
                <w:color w:val="auto"/>
                <w:szCs w:val="21"/>
                <w:highlight w:val="none"/>
                <w:lang w:val="en-US" w:eastAsia="zh-CN" w:bidi="ar"/>
              </w:rPr>
              <w:t>同时</w:t>
            </w:r>
            <w:r>
              <w:rPr>
                <w:rFonts w:hint="eastAsia" w:ascii="宋体" w:hAnsi="宋体" w:cs="宋体"/>
                <w:color w:val="auto"/>
                <w:szCs w:val="21"/>
                <w:highlight w:val="none"/>
                <w:lang w:bidi="ar"/>
              </w:rPr>
              <w:t>具有</w:t>
            </w:r>
            <w:r>
              <w:rPr>
                <w:rFonts w:hint="eastAsia" w:ascii="宋体" w:hAnsi="宋体" w:cs="宋体"/>
                <w:color w:val="auto"/>
                <w:szCs w:val="21"/>
                <w:highlight w:val="none"/>
              </w:rPr>
              <w:t>相关专业（市政专业）工程师（中级）技术职称和市政公用工程贰级及以上注册建造师，并且具备有效的安全生产考核合格证（B证）。</w:t>
            </w:r>
          </w:p>
          <w:p w14:paraId="5ED3E620">
            <w:pPr>
              <w:spacing w:line="400" w:lineRule="exact"/>
              <w:contextualSpacing/>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2.本项目开标日至</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年合同履约期限届满之日期间，拟派项目经理不得在其他任何在建合同项目中担任项目经理。</w:t>
            </w:r>
          </w:p>
        </w:tc>
        <w:tc>
          <w:tcPr>
            <w:tcW w:w="3531" w:type="dxa"/>
            <w:tcBorders>
              <w:top w:val="single" w:color="auto" w:sz="4" w:space="0"/>
              <w:left w:val="single" w:color="auto" w:sz="4" w:space="0"/>
              <w:bottom w:val="single" w:color="auto" w:sz="4" w:space="0"/>
              <w:right w:val="single" w:color="auto" w:sz="4" w:space="0"/>
            </w:tcBorders>
            <w:noWrap w:val="0"/>
            <w:vAlign w:val="center"/>
          </w:tcPr>
          <w:p w14:paraId="37E7D871">
            <w:pPr>
              <w:spacing w:line="400" w:lineRule="exact"/>
              <w:contextualSpacing/>
              <w:rPr>
                <w:rFonts w:hint="eastAsia" w:ascii="宋体" w:hAnsi="宋体" w:cs="宋体"/>
                <w:bCs/>
                <w:color w:val="auto"/>
                <w:szCs w:val="21"/>
                <w:highlight w:val="none"/>
              </w:rPr>
            </w:pPr>
            <w:r>
              <w:rPr>
                <w:rFonts w:hint="eastAsia" w:ascii="宋体" w:hAnsi="宋体" w:cs="宋体"/>
                <w:bCs/>
                <w:color w:val="auto"/>
                <w:szCs w:val="21"/>
                <w:highlight w:val="none"/>
                <w:lang w:bidi="ar"/>
              </w:rPr>
              <w:t>负责主持项目养护全面工作，负责对外协调、做好与采购人及其委托的第三方单位的配合工作，负责养护方案及工作计划审核，抓好项目管理、合同管理、资金管理、人员管理等。</w:t>
            </w:r>
          </w:p>
        </w:tc>
      </w:tr>
      <w:tr w14:paraId="1A52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475" w:type="dxa"/>
            <w:tcBorders>
              <w:top w:val="single" w:color="auto" w:sz="4" w:space="0"/>
              <w:left w:val="single" w:color="auto" w:sz="4" w:space="0"/>
              <w:bottom w:val="single" w:color="auto" w:sz="4" w:space="0"/>
              <w:right w:val="single" w:color="auto" w:sz="4" w:space="0"/>
            </w:tcBorders>
            <w:noWrap w:val="0"/>
            <w:vAlign w:val="center"/>
          </w:tcPr>
          <w:p w14:paraId="7F34752F">
            <w:pPr>
              <w:spacing w:line="400" w:lineRule="exact"/>
              <w:contextualSpacing/>
              <w:jc w:val="center"/>
              <w:rPr>
                <w:rFonts w:hint="eastAsia" w:ascii="宋体" w:hAnsi="宋体" w:cs="宋体"/>
                <w:bCs/>
                <w:color w:val="auto"/>
                <w:szCs w:val="21"/>
                <w:highlight w:val="none"/>
              </w:rPr>
            </w:pPr>
            <w:r>
              <w:rPr>
                <w:rFonts w:hint="eastAsia" w:ascii="宋体" w:hAnsi="宋体" w:cs="宋体"/>
                <w:color w:val="auto"/>
                <w:szCs w:val="21"/>
                <w:highlight w:val="none"/>
                <w:lang w:bidi="ar"/>
              </w:rPr>
              <w:t>技术负责人</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588F61F7">
            <w:pPr>
              <w:spacing w:line="400" w:lineRule="exact"/>
              <w:contextualSpacing/>
              <w:jc w:val="center"/>
              <w:rPr>
                <w:rFonts w:hint="eastAsia" w:ascii="宋体" w:hAnsi="宋体" w:cs="宋体"/>
                <w:bCs/>
                <w:color w:val="auto"/>
                <w:szCs w:val="21"/>
                <w:highlight w:val="none"/>
              </w:rPr>
            </w:pPr>
            <w:r>
              <w:rPr>
                <w:rFonts w:hint="eastAsia" w:ascii="宋体" w:hAnsi="宋体" w:cs="宋体"/>
                <w:bCs/>
                <w:color w:val="auto"/>
                <w:szCs w:val="21"/>
                <w:highlight w:val="none"/>
                <w:lang w:bidi="ar"/>
              </w:rPr>
              <w:t>1</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74578198">
            <w:pPr>
              <w:spacing w:line="400" w:lineRule="exact"/>
              <w:contextualSpacing/>
              <w:rPr>
                <w:rFonts w:hint="eastAsia" w:ascii="宋体" w:hAnsi="宋体" w:cs="宋体"/>
                <w:color w:val="auto"/>
                <w:szCs w:val="21"/>
                <w:highlight w:val="none"/>
                <w:lang w:bidi="ar"/>
              </w:rPr>
            </w:pPr>
            <w:r>
              <w:rPr>
                <w:rFonts w:hint="eastAsia" w:ascii="宋体" w:hAnsi="宋体" w:cs="宋体"/>
                <w:color w:val="auto"/>
                <w:szCs w:val="21"/>
                <w:highlight w:val="none"/>
                <w:lang w:bidi="ar"/>
              </w:rPr>
              <w:t>1.</w:t>
            </w:r>
            <w:r>
              <w:rPr>
                <w:rFonts w:hint="eastAsia" w:ascii="宋体" w:hAnsi="宋体" w:cs="宋体"/>
                <w:color w:val="auto"/>
                <w:szCs w:val="21"/>
                <w:highlight w:val="none"/>
                <w:lang w:val="en-US" w:eastAsia="zh-CN" w:bidi="ar"/>
              </w:rPr>
              <w:t>同时</w:t>
            </w:r>
            <w:r>
              <w:rPr>
                <w:rFonts w:hint="eastAsia" w:ascii="宋体" w:hAnsi="宋体" w:cs="宋体"/>
                <w:color w:val="auto"/>
                <w:szCs w:val="21"/>
                <w:highlight w:val="none"/>
                <w:lang w:bidi="ar"/>
              </w:rPr>
              <w:t>具有相关专业（市政专业）工程师(中级)及以上技术职称，并具有</w:t>
            </w:r>
            <w:r>
              <w:rPr>
                <w:rFonts w:hint="eastAsia" w:ascii="宋体" w:hAnsi="宋体" w:cs="宋体"/>
                <w:color w:val="auto"/>
                <w:szCs w:val="21"/>
                <w:highlight w:val="none"/>
              </w:rPr>
              <w:t>市政公用工程贰级及以上注册建造师</w:t>
            </w:r>
            <w:r>
              <w:rPr>
                <w:rFonts w:hint="eastAsia" w:ascii="宋体" w:hAnsi="宋体" w:cs="宋体"/>
                <w:color w:val="auto"/>
                <w:szCs w:val="21"/>
                <w:highlight w:val="none"/>
                <w:lang w:bidi="ar"/>
              </w:rPr>
              <w:t>。</w:t>
            </w:r>
          </w:p>
          <w:p w14:paraId="38C55E19">
            <w:pPr>
              <w:spacing w:line="400" w:lineRule="exact"/>
              <w:contextualSpacing/>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2.本项目开标日至</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年合同履约期限届满之日期间，拟派技术负责人不得在其他任何在建合同项目中担任项目经理或技术负责人。</w:t>
            </w:r>
          </w:p>
        </w:tc>
        <w:tc>
          <w:tcPr>
            <w:tcW w:w="3531" w:type="dxa"/>
            <w:tcBorders>
              <w:top w:val="single" w:color="auto" w:sz="4" w:space="0"/>
              <w:left w:val="single" w:color="auto" w:sz="4" w:space="0"/>
              <w:bottom w:val="single" w:color="auto" w:sz="4" w:space="0"/>
              <w:right w:val="single" w:color="auto" w:sz="4" w:space="0"/>
            </w:tcBorders>
            <w:noWrap w:val="0"/>
            <w:vAlign w:val="center"/>
          </w:tcPr>
          <w:p w14:paraId="4F607C87">
            <w:pPr>
              <w:spacing w:line="400" w:lineRule="exact"/>
              <w:contextualSpacing/>
              <w:rPr>
                <w:rFonts w:hint="eastAsia" w:ascii="宋体" w:hAnsi="宋体" w:cs="宋体"/>
                <w:bCs/>
                <w:color w:val="auto"/>
                <w:szCs w:val="21"/>
                <w:highlight w:val="none"/>
              </w:rPr>
            </w:pPr>
            <w:r>
              <w:rPr>
                <w:rFonts w:hint="eastAsia" w:ascii="宋体" w:hAnsi="宋体" w:cs="宋体"/>
                <w:bCs/>
                <w:color w:val="auto"/>
                <w:szCs w:val="21"/>
                <w:highlight w:val="none"/>
                <w:lang w:bidi="ar"/>
              </w:rPr>
              <w:t>负责项目技术指导，做好现场技术管理，负责各类总结、报告编制审核，编制工作计划、工作方案及养护施工方案，负责做好检查、检测及监测等数据分析评估及报告编制审核工作，做好现场技术指导及作业管理，监督考核各项工作，保证项目顺利推进。</w:t>
            </w:r>
          </w:p>
        </w:tc>
      </w:tr>
      <w:tr w14:paraId="40C7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475" w:type="dxa"/>
            <w:tcBorders>
              <w:top w:val="single" w:color="auto" w:sz="4" w:space="0"/>
              <w:left w:val="single" w:color="auto" w:sz="4" w:space="0"/>
              <w:bottom w:val="single" w:color="auto" w:sz="4" w:space="0"/>
              <w:right w:val="single" w:color="auto" w:sz="4" w:space="0"/>
            </w:tcBorders>
            <w:noWrap w:val="0"/>
            <w:vAlign w:val="center"/>
          </w:tcPr>
          <w:p w14:paraId="27346310">
            <w:pPr>
              <w:spacing w:line="400" w:lineRule="exact"/>
              <w:contextualSpacing/>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预决算人员</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2833268A">
            <w:pPr>
              <w:spacing w:line="400" w:lineRule="exact"/>
              <w:contextualSpacing/>
              <w:jc w:val="center"/>
              <w:rPr>
                <w:rFonts w:hint="eastAsia" w:ascii="宋体" w:hAnsi="宋体" w:cs="宋体"/>
                <w:bCs/>
                <w:color w:val="auto"/>
                <w:szCs w:val="21"/>
                <w:highlight w:val="none"/>
              </w:rPr>
            </w:pPr>
            <w:r>
              <w:rPr>
                <w:rFonts w:hint="eastAsia" w:ascii="宋体" w:hAnsi="宋体" w:cs="宋体"/>
                <w:bCs/>
                <w:color w:val="auto"/>
                <w:szCs w:val="21"/>
                <w:highlight w:val="none"/>
                <w:lang w:bidi="ar"/>
              </w:rPr>
              <w:t>1</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76F26F1F">
            <w:pPr>
              <w:spacing w:line="400" w:lineRule="exact"/>
              <w:contextualSpacing/>
              <w:rPr>
                <w:rFonts w:hint="eastAsia" w:ascii="宋体" w:hAnsi="宋体" w:cs="宋体"/>
                <w:color w:val="auto"/>
                <w:szCs w:val="21"/>
                <w:highlight w:val="none"/>
                <w:lang w:bidi="ar"/>
              </w:rPr>
            </w:pPr>
            <w:r>
              <w:rPr>
                <w:rFonts w:hint="eastAsia" w:ascii="宋体" w:hAnsi="宋体" w:cs="宋体"/>
                <w:bCs/>
                <w:color w:val="auto"/>
                <w:szCs w:val="21"/>
                <w:highlight w:val="none"/>
                <w:lang w:bidi="ar"/>
              </w:rPr>
              <w:t>具有</w:t>
            </w:r>
            <w:r>
              <w:rPr>
                <w:rFonts w:hint="eastAsia" w:ascii="宋体" w:hAnsi="宋体" w:cs="宋体"/>
                <w:color w:val="auto"/>
                <w:szCs w:val="21"/>
                <w:highlight w:val="none"/>
              </w:rPr>
              <w:t>贰级</w:t>
            </w:r>
            <w:r>
              <w:rPr>
                <w:rFonts w:hint="eastAsia" w:ascii="宋体" w:hAnsi="宋体" w:cs="宋体"/>
                <w:bCs/>
                <w:color w:val="auto"/>
                <w:szCs w:val="21"/>
                <w:highlight w:val="none"/>
                <w:lang w:bidi="ar"/>
              </w:rPr>
              <w:t>及以上注册造价工程师执业资格，2年相关经验。</w:t>
            </w:r>
          </w:p>
        </w:tc>
        <w:tc>
          <w:tcPr>
            <w:tcW w:w="3531" w:type="dxa"/>
            <w:tcBorders>
              <w:top w:val="single" w:color="auto" w:sz="4" w:space="0"/>
              <w:left w:val="single" w:color="auto" w:sz="4" w:space="0"/>
              <w:bottom w:val="single" w:color="auto" w:sz="4" w:space="0"/>
              <w:right w:val="single" w:color="auto" w:sz="4" w:space="0"/>
            </w:tcBorders>
            <w:noWrap w:val="0"/>
            <w:vAlign w:val="center"/>
          </w:tcPr>
          <w:p w14:paraId="0CF0D276">
            <w:pPr>
              <w:spacing w:line="400" w:lineRule="exact"/>
              <w:contextualSpacing/>
              <w:rPr>
                <w:rFonts w:hint="eastAsia" w:ascii="宋体" w:hAnsi="宋体" w:cs="宋体"/>
                <w:bCs/>
                <w:color w:val="auto"/>
                <w:szCs w:val="21"/>
                <w:highlight w:val="none"/>
              </w:rPr>
            </w:pPr>
            <w:r>
              <w:rPr>
                <w:rFonts w:hint="eastAsia" w:ascii="宋体" w:hAnsi="宋体" w:cs="宋体"/>
                <w:bCs/>
                <w:color w:val="auto"/>
                <w:szCs w:val="21"/>
                <w:highlight w:val="none"/>
              </w:rPr>
              <w:t>编制每月进度款的预算，配合审计完成审核工作。编制专项方案的预算工作。</w:t>
            </w:r>
          </w:p>
        </w:tc>
      </w:tr>
      <w:tr w14:paraId="7490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475" w:type="dxa"/>
            <w:tcBorders>
              <w:top w:val="single" w:color="auto" w:sz="4" w:space="0"/>
              <w:left w:val="single" w:color="auto" w:sz="4" w:space="0"/>
              <w:bottom w:val="single" w:color="auto" w:sz="4" w:space="0"/>
              <w:right w:val="single" w:color="auto" w:sz="4" w:space="0"/>
            </w:tcBorders>
            <w:noWrap w:val="0"/>
            <w:vAlign w:val="center"/>
          </w:tcPr>
          <w:p w14:paraId="7E509EE3">
            <w:pPr>
              <w:spacing w:line="400" w:lineRule="exact"/>
              <w:contextualSpacing/>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质量员</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3231E9CF">
            <w:pPr>
              <w:spacing w:line="400" w:lineRule="exact"/>
              <w:contextualSpacing/>
              <w:jc w:val="center"/>
              <w:rPr>
                <w:rFonts w:hint="eastAsia" w:ascii="宋体" w:hAnsi="宋体" w:cs="宋体"/>
                <w:bCs/>
                <w:color w:val="auto"/>
                <w:szCs w:val="21"/>
                <w:highlight w:val="none"/>
              </w:rPr>
            </w:pPr>
            <w:r>
              <w:rPr>
                <w:rFonts w:hint="eastAsia" w:ascii="宋体" w:hAnsi="宋体" w:cs="宋体"/>
                <w:bCs/>
                <w:color w:val="auto"/>
                <w:szCs w:val="21"/>
                <w:highlight w:val="none"/>
                <w:lang w:bidi="ar"/>
              </w:rPr>
              <w:t>1</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60B61EC3">
            <w:pPr>
              <w:spacing w:line="400" w:lineRule="exact"/>
              <w:contextualSpacing/>
              <w:rPr>
                <w:rFonts w:hint="eastAsia" w:ascii="宋体" w:hAnsi="宋体" w:cs="宋体"/>
                <w:bCs/>
                <w:color w:val="auto"/>
                <w:szCs w:val="21"/>
                <w:highlight w:val="none"/>
                <w:lang w:bidi="ar"/>
              </w:rPr>
            </w:pPr>
            <w:r>
              <w:rPr>
                <w:rFonts w:hint="eastAsia" w:ascii="宋体" w:hAnsi="宋体" w:cs="宋体"/>
                <w:color w:val="auto"/>
                <w:szCs w:val="21"/>
                <w:highlight w:val="none"/>
                <w:lang w:bidi="ar"/>
              </w:rPr>
              <w:t>具有质量员岗位证书</w:t>
            </w:r>
          </w:p>
        </w:tc>
        <w:tc>
          <w:tcPr>
            <w:tcW w:w="3531" w:type="dxa"/>
            <w:tcBorders>
              <w:top w:val="single" w:color="auto" w:sz="4" w:space="0"/>
              <w:left w:val="single" w:color="auto" w:sz="4" w:space="0"/>
              <w:bottom w:val="single" w:color="auto" w:sz="4" w:space="0"/>
              <w:right w:val="single" w:color="auto" w:sz="4" w:space="0"/>
            </w:tcBorders>
            <w:noWrap w:val="0"/>
            <w:vAlign w:val="top"/>
          </w:tcPr>
          <w:p w14:paraId="1272ABA2">
            <w:pPr>
              <w:spacing w:line="400" w:lineRule="exact"/>
              <w:contextualSpacing/>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负责编制养护施工方案，现场施工管理，主要做好质量、安全、文明及进度控制，按合同、维修任务单、专项审批方案安排施工，负责做好应急响应现场处置工作。</w:t>
            </w:r>
          </w:p>
        </w:tc>
      </w:tr>
      <w:tr w14:paraId="300A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475" w:type="dxa"/>
            <w:tcBorders>
              <w:top w:val="single" w:color="auto" w:sz="4" w:space="0"/>
              <w:left w:val="single" w:color="auto" w:sz="4" w:space="0"/>
              <w:bottom w:val="single" w:color="auto" w:sz="4" w:space="0"/>
              <w:right w:val="single" w:color="auto" w:sz="4" w:space="0"/>
            </w:tcBorders>
            <w:noWrap w:val="0"/>
            <w:vAlign w:val="center"/>
          </w:tcPr>
          <w:p w14:paraId="17A018BB">
            <w:pPr>
              <w:spacing w:line="400" w:lineRule="exact"/>
              <w:contextualSpacing/>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安全员</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6BCD967A">
            <w:pPr>
              <w:spacing w:line="400" w:lineRule="exact"/>
              <w:contextualSpacing/>
              <w:jc w:val="center"/>
              <w:rPr>
                <w:rFonts w:hint="eastAsia" w:ascii="宋体" w:hAnsi="宋体" w:cs="宋体"/>
                <w:bCs/>
                <w:color w:val="auto"/>
                <w:szCs w:val="21"/>
                <w:highlight w:val="none"/>
              </w:rPr>
            </w:pPr>
            <w:r>
              <w:rPr>
                <w:rFonts w:hint="eastAsia" w:ascii="宋体" w:hAnsi="宋体" w:cs="宋体"/>
                <w:bCs/>
                <w:color w:val="auto"/>
                <w:szCs w:val="21"/>
                <w:highlight w:val="none"/>
                <w:lang w:bidi="ar"/>
              </w:rPr>
              <w:t>1</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69303138">
            <w:pPr>
              <w:spacing w:line="400" w:lineRule="exact"/>
              <w:contextualSpacing/>
              <w:rPr>
                <w:rFonts w:hint="eastAsia" w:ascii="宋体" w:hAnsi="宋体" w:cs="宋体"/>
                <w:bCs/>
                <w:color w:val="auto"/>
                <w:szCs w:val="21"/>
                <w:highlight w:val="none"/>
                <w:lang w:bidi="ar"/>
              </w:rPr>
            </w:pPr>
            <w:r>
              <w:rPr>
                <w:rFonts w:hint="eastAsia" w:ascii="宋体" w:hAnsi="宋体" w:cs="宋体"/>
                <w:color w:val="auto"/>
                <w:szCs w:val="21"/>
                <w:highlight w:val="none"/>
                <w:lang w:bidi="ar"/>
              </w:rPr>
              <w:t>具有有效期内的安全生产考核合格证书（C证）</w:t>
            </w:r>
          </w:p>
        </w:tc>
        <w:tc>
          <w:tcPr>
            <w:tcW w:w="3531" w:type="dxa"/>
            <w:tcBorders>
              <w:top w:val="single" w:color="auto" w:sz="4" w:space="0"/>
              <w:left w:val="single" w:color="auto" w:sz="4" w:space="0"/>
              <w:bottom w:val="single" w:color="auto" w:sz="4" w:space="0"/>
              <w:right w:val="single" w:color="auto" w:sz="4" w:space="0"/>
            </w:tcBorders>
            <w:noWrap w:val="0"/>
            <w:vAlign w:val="top"/>
          </w:tcPr>
          <w:p w14:paraId="2310596D">
            <w:pPr>
              <w:spacing w:line="400" w:lineRule="exact"/>
              <w:contextualSpacing/>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负责安全方案、安全交底、安全教育以及现场安全等所有项目安全管理工作。</w:t>
            </w:r>
          </w:p>
        </w:tc>
      </w:tr>
      <w:tr w14:paraId="6BFF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475" w:type="dxa"/>
            <w:tcBorders>
              <w:top w:val="single" w:color="auto" w:sz="4" w:space="0"/>
              <w:left w:val="single" w:color="auto" w:sz="4" w:space="0"/>
              <w:bottom w:val="single" w:color="auto" w:sz="4" w:space="0"/>
              <w:right w:val="single" w:color="auto" w:sz="4" w:space="0"/>
            </w:tcBorders>
            <w:noWrap w:val="0"/>
            <w:vAlign w:val="center"/>
          </w:tcPr>
          <w:p w14:paraId="30B46B4D">
            <w:pPr>
              <w:spacing w:line="400" w:lineRule="exact"/>
              <w:contextualSpacing/>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智慧城管服务人员</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58E01914">
            <w:pPr>
              <w:spacing w:line="400" w:lineRule="exact"/>
              <w:contextualSpacing/>
              <w:jc w:val="center"/>
              <w:rPr>
                <w:rFonts w:hint="eastAsia" w:ascii="宋体" w:hAnsi="宋体" w:cs="宋体"/>
                <w:bCs/>
                <w:color w:val="auto"/>
                <w:szCs w:val="21"/>
                <w:highlight w:val="none"/>
              </w:rPr>
            </w:pPr>
            <w:r>
              <w:rPr>
                <w:rFonts w:hint="eastAsia" w:ascii="宋体" w:hAnsi="宋体" w:cs="宋体"/>
                <w:bCs/>
                <w:color w:val="auto"/>
                <w:szCs w:val="21"/>
                <w:highlight w:val="none"/>
                <w:lang w:bidi="ar"/>
              </w:rPr>
              <w:t>1</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6A550C4A">
            <w:pPr>
              <w:spacing w:line="400" w:lineRule="exact"/>
              <w:contextualSpacing/>
              <w:rPr>
                <w:rFonts w:hint="eastAsia" w:ascii="宋体" w:hAnsi="宋体" w:cs="宋体"/>
                <w:color w:val="auto"/>
                <w:szCs w:val="21"/>
                <w:highlight w:val="none"/>
                <w:lang w:bidi="ar"/>
              </w:rPr>
            </w:pPr>
            <w:r>
              <w:rPr>
                <w:rFonts w:hint="eastAsia" w:ascii="宋体" w:hAnsi="宋体" w:cs="宋体"/>
                <w:bCs/>
                <w:color w:val="auto"/>
                <w:szCs w:val="21"/>
                <w:highlight w:val="none"/>
                <w:lang w:bidi="ar"/>
              </w:rPr>
              <w:t>具备一定市政养护管理工作经验。</w:t>
            </w:r>
          </w:p>
        </w:tc>
        <w:tc>
          <w:tcPr>
            <w:tcW w:w="3531" w:type="dxa"/>
            <w:tcBorders>
              <w:top w:val="single" w:color="auto" w:sz="4" w:space="0"/>
              <w:left w:val="single" w:color="auto" w:sz="4" w:space="0"/>
              <w:bottom w:val="single" w:color="auto" w:sz="4" w:space="0"/>
              <w:right w:val="single" w:color="auto" w:sz="4" w:space="0"/>
            </w:tcBorders>
            <w:noWrap w:val="0"/>
            <w:vAlign w:val="center"/>
          </w:tcPr>
          <w:p w14:paraId="095CBE6F">
            <w:pPr>
              <w:spacing w:line="400" w:lineRule="exact"/>
              <w:contextualSpacing/>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做好智慧城管案件接收、跟踪及管理工作，配合做好其他应急响应工作，做好分析上报工作。</w:t>
            </w:r>
          </w:p>
        </w:tc>
      </w:tr>
      <w:tr w14:paraId="4E12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top w:val="single" w:color="auto" w:sz="4" w:space="0"/>
              <w:left w:val="single" w:color="auto" w:sz="4" w:space="0"/>
              <w:bottom w:val="single" w:color="auto" w:sz="4" w:space="0"/>
              <w:right w:val="single" w:color="auto" w:sz="4" w:space="0"/>
            </w:tcBorders>
            <w:noWrap w:val="0"/>
            <w:vAlign w:val="center"/>
          </w:tcPr>
          <w:p w14:paraId="43B266EA">
            <w:pPr>
              <w:spacing w:line="400" w:lineRule="exact"/>
              <w:contextualSpacing/>
              <w:jc w:val="center"/>
              <w:rPr>
                <w:rFonts w:hint="eastAsia" w:ascii="宋体" w:hAnsi="宋体" w:cs="宋体"/>
                <w:bCs/>
                <w:color w:val="auto"/>
                <w:szCs w:val="21"/>
                <w:highlight w:val="none"/>
              </w:rPr>
            </w:pPr>
            <w:r>
              <w:rPr>
                <w:rFonts w:hint="eastAsia" w:ascii="宋体" w:hAnsi="宋体" w:cs="宋体"/>
                <w:bCs/>
                <w:color w:val="auto"/>
                <w:szCs w:val="21"/>
                <w:highlight w:val="none"/>
                <w:lang w:bidi="ar"/>
              </w:rPr>
              <w:t>巡查人员</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68893388">
            <w:pPr>
              <w:spacing w:line="400" w:lineRule="exact"/>
              <w:contextualSpacing/>
              <w:jc w:val="center"/>
              <w:rPr>
                <w:rFonts w:hint="eastAsia" w:ascii="宋体" w:hAnsi="宋体" w:cs="宋体"/>
                <w:bCs/>
                <w:color w:val="auto"/>
                <w:szCs w:val="21"/>
                <w:highlight w:val="none"/>
              </w:rPr>
            </w:pPr>
            <w:r>
              <w:rPr>
                <w:rFonts w:hint="eastAsia" w:ascii="宋体" w:hAnsi="宋体" w:cs="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5266D2C4">
            <w:pPr>
              <w:spacing w:line="400" w:lineRule="exact"/>
              <w:contextualSpacing/>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具备一定市政养护管理工作经验。</w:t>
            </w:r>
          </w:p>
        </w:tc>
        <w:tc>
          <w:tcPr>
            <w:tcW w:w="3531" w:type="dxa"/>
            <w:tcBorders>
              <w:top w:val="single" w:color="auto" w:sz="4" w:space="0"/>
              <w:left w:val="single" w:color="auto" w:sz="4" w:space="0"/>
              <w:bottom w:val="single" w:color="auto" w:sz="4" w:space="0"/>
              <w:right w:val="single" w:color="auto" w:sz="4" w:space="0"/>
            </w:tcBorders>
            <w:noWrap w:val="0"/>
            <w:vAlign w:val="center"/>
          </w:tcPr>
          <w:p w14:paraId="05B6DB05">
            <w:pPr>
              <w:spacing w:line="400" w:lineRule="exact"/>
              <w:contextualSpacing/>
              <w:rPr>
                <w:rFonts w:hint="eastAsia" w:ascii="宋体" w:hAnsi="宋体" w:cs="宋体"/>
                <w:bCs/>
                <w:color w:val="auto"/>
                <w:szCs w:val="21"/>
                <w:highlight w:val="none"/>
              </w:rPr>
            </w:pPr>
            <w:r>
              <w:rPr>
                <w:rFonts w:hint="eastAsia" w:ascii="宋体" w:hAnsi="宋体" w:cs="宋体"/>
                <w:bCs/>
                <w:color w:val="auto"/>
                <w:szCs w:val="21"/>
                <w:highlight w:val="none"/>
                <w:lang w:bidi="ar"/>
              </w:rPr>
              <w:t>负责日常巡查工作。</w:t>
            </w:r>
          </w:p>
        </w:tc>
      </w:tr>
      <w:tr w14:paraId="6E7E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31" w:type="dxa"/>
            <w:gridSpan w:val="4"/>
            <w:tcBorders>
              <w:top w:val="single" w:color="auto" w:sz="4" w:space="0"/>
              <w:left w:val="single" w:color="auto" w:sz="4" w:space="0"/>
              <w:bottom w:val="single" w:color="auto" w:sz="4" w:space="0"/>
              <w:right w:val="single" w:color="auto" w:sz="4" w:space="0"/>
            </w:tcBorders>
            <w:noWrap w:val="0"/>
            <w:vAlign w:val="center"/>
          </w:tcPr>
          <w:p w14:paraId="0A7C2901">
            <w:pPr>
              <w:spacing w:line="400" w:lineRule="exact"/>
              <w:contextualSpacing/>
              <w:rPr>
                <w:rFonts w:hint="eastAsia" w:ascii="宋体" w:hAnsi="宋体" w:cs="宋体"/>
                <w:b/>
                <w:color w:val="auto"/>
                <w:szCs w:val="21"/>
                <w:highlight w:val="none"/>
                <w:lang w:bidi="ar"/>
              </w:rPr>
            </w:pPr>
            <w:r>
              <w:rPr>
                <w:rFonts w:hint="eastAsia" w:ascii="宋体" w:hAnsi="宋体" w:cs="宋体"/>
                <w:b/>
                <w:color w:val="auto"/>
                <w:szCs w:val="21"/>
                <w:highlight w:val="none"/>
                <w:lang w:bidi="ar"/>
              </w:rPr>
              <w:t>注：（1）以上人员不允许兼任，上述人员在中标通知书发出后15日内应配置完成，中标人须向采购人提供人员社保缴纳证明、人员配置清单及人员相关职称证书。</w:t>
            </w:r>
          </w:p>
          <w:p w14:paraId="431290B9">
            <w:pPr>
              <w:spacing w:line="400" w:lineRule="exact"/>
              <w:contextualSpacing/>
              <w:rPr>
                <w:rFonts w:hint="eastAsia" w:ascii="宋体" w:hAnsi="宋体" w:cs="宋体"/>
                <w:b/>
                <w:color w:val="auto"/>
                <w:szCs w:val="21"/>
                <w:highlight w:val="none"/>
                <w:lang w:bidi="ar"/>
              </w:rPr>
            </w:pPr>
            <w:r>
              <w:rPr>
                <w:rFonts w:hint="eastAsia" w:ascii="宋体" w:hAnsi="宋体" w:cs="宋体"/>
                <w:b/>
                <w:color w:val="auto"/>
                <w:szCs w:val="21"/>
                <w:highlight w:val="none"/>
                <w:lang w:bidi="ar"/>
              </w:rPr>
              <w:t>（2）服务期间，其他人员数量根据采购人要求，及时满足项目需要进行配备。</w:t>
            </w:r>
          </w:p>
        </w:tc>
      </w:tr>
    </w:tbl>
    <w:p w14:paraId="522BE793">
      <w:pPr>
        <w:bidi w:val="0"/>
        <w:rPr>
          <w:rFonts w:hint="eastAsia"/>
          <w:color w:val="auto"/>
          <w:highlight w:val="none"/>
        </w:rPr>
      </w:pPr>
    </w:p>
    <w:p w14:paraId="0609E101">
      <w:pPr>
        <w:spacing w:line="360" w:lineRule="auto"/>
        <w:ind w:firstLine="420" w:firstLineChars="200"/>
        <w:contextualSpacing/>
        <w:outlineLvl w:val="1"/>
        <w:rPr>
          <w:rFonts w:hint="default" w:ascii="宋体" w:hAnsi="宋体" w:eastAsia="宋体" w:cs="宋体"/>
          <w:b/>
          <w:bCs/>
          <w:snapToGrid w:val="0"/>
          <w:color w:val="auto"/>
          <w:kern w:val="0"/>
          <w:sz w:val="21"/>
          <w:szCs w:val="21"/>
          <w:highlight w:val="none"/>
          <w:lang w:val="en-US" w:eastAsia="zh-CN" w:bidi="ar-SA"/>
        </w:rPr>
      </w:pPr>
      <w:r>
        <w:rPr>
          <w:rFonts w:hint="eastAsia"/>
          <w:color w:val="auto"/>
          <w:szCs w:val="21"/>
          <w:highlight w:val="none"/>
        </w:rPr>
        <w:t>★</w:t>
      </w:r>
      <w:r>
        <w:rPr>
          <w:rFonts w:hint="eastAsia" w:ascii="宋体" w:hAnsi="宋体" w:eastAsia="宋体" w:cs="宋体"/>
          <w:b/>
          <w:bCs/>
          <w:snapToGrid w:val="0"/>
          <w:color w:val="auto"/>
          <w:kern w:val="0"/>
          <w:sz w:val="21"/>
          <w:szCs w:val="21"/>
          <w:highlight w:val="none"/>
          <w:lang w:val="zh-CN" w:eastAsia="zh-CN" w:bidi="ar-SA"/>
        </w:rPr>
        <w:t>2、车辆、机械</w:t>
      </w:r>
      <w:r>
        <w:rPr>
          <w:rFonts w:hint="eastAsia" w:ascii="Times New Roman" w:hAnsi="Times New Roman" w:eastAsia="宋体" w:cs="宋体"/>
          <w:b/>
          <w:color w:val="auto"/>
          <w:szCs w:val="21"/>
          <w:highlight w:val="none"/>
          <w:lang w:val="zh-CN" w:eastAsia="zh-CN" w:bidi="ar"/>
        </w:rPr>
        <w:t>设备</w:t>
      </w:r>
      <w:r>
        <w:rPr>
          <w:rFonts w:hint="eastAsia" w:ascii="宋体" w:hAnsi="宋体" w:eastAsia="宋体" w:cs="宋体"/>
          <w:b/>
          <w:bCs/>
          <w:snapToGrid w:val="0"/>
          <w:color w:val="auto"/>
          <w:kern w:val="0"/>
          <w:sz w:val="21"/>
          <w:szCs w:val="21"/>
          <w:highlight w:val="none"/>
          <w:lang w:val="zh-CN" w:eastAsia="zh-CN" w:bidi="ar-SA"/>
        </w:rPr>
        <w:t>配置</w:t>
      </w:r>
      <w:r>
        <w:rPr>
          <w:rFonts w:hint="eastAsia" w:ascii="宋体" w:hAnsi="宋体" w:cs="宋体"/>
          <w:b/>
          <w:bCs/>
          <w:snapToGrid w:val="0"/>
          <w:color w:val="auto"/>
          <w:kern w:val="0"/>
          <w:sz w:val="21"/>
          <w:szCs w:val="21"/>
          <w:highlight w:val="none"/>
          <w:lang w:val="en-US" w:eastAsia="zh-CN" w:bidi="ar-SA"/>
        </w:rPr>
        <w:t>要求</w:t>
      </w:r>
    </w:p>
    <w:tbl>
      <w:tblPr>
        <w:tblStyle w:val="48"/>
        <w:tblW w:w="52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4152"/>
        <w:gridCol w:w="3303"/>
        <w:gridCol w:w="1995"/>
      </w:tblGrid>
      <w:tr w14:paraId="2410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98" w:type="pct"/>
            <w:noWrap/>
            <w:vAlign w:val="center"/>
          </w:tcPr>
          <w:p w14:paraId="4C1D28A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1977" w:type="pct"/>
            <w:noWrap/>
            <w:vAlign w:val="center"/>
          </w:tcPr>
          <w:p w14:paraId="0F25DA8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设备名称</w:t>
            </w:r>
          </w:p>
        </w:tc>
        <w:tc>
          <w:tcPr>
            <w:tcW w:w="1573" w:type="pct"/>
            <w:noWrap/>
            <w:vAlign w:val="center"/>
          </w:tcPr>
          <w:p w14:paraId="525E329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数量</w:t>
            </w:r>
          </w:p>
        </w:tc>
        <w:tc>
          <w:tcPr>
            <w:tcW w:w="950" w:type="pct"/>
            <w:noWrap/>
            <w:vAlign w:val="center"/>
          </w:tcPr>
          <w:p w14:paraId="2DDD815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备注</w:t>
            </w:r>
          </w:p>
        </w:tc>
      </w:tr>
      <w:tr w14:paraId="44A1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98" w:type="pct"/>
            <w:noWrap/>
            <w:vAlign w:val="center"/>
          </w:tcPr>
          <w:p w14:paraId="7E5F8A1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977" w:type="pct"/>
            <w:noWrap/>
            <w:vAlign w:val="center"/>
          </w:tcPr>
          <w:p w14:paraId="3EF09B6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巡查车</w:t>
            </w:r>
          </w:p>
        </w:tc>
        <w:tc>
          <w:tcPr>
            <w:tcW w:w="1573" w:type="pct"/>
            <w:noWrap/>
            <w:vAlign w:val="center"/>
          </w:tcPr>
          <w:p w14:paraId="2EAE503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≥1辆</w:t>
            </w:r>
          </w:p>
        </w:tc>
        <w:tc>
          <w:tcPr>
            <w:tcW w:w="950" w:type="pct"/>
            <w:vMerge w:val="restart"/>
            <w:noWrap/>
            <w:vAlign w:val="center"/>
          </w:tcPr>
          <w:p w14:paraId="2E6104E9">
            <w:pPr>
              <w:jc w:val="center"/>
              <w:rPr>
                <w:rFonts w:hint="eastAsia" w:ascii="宋体" w:hAnsi="宋体" w:cs="宋体"/>
                <w:color w:val="auto"/>
                <w:szCs w:val="21"/>
                <w:highlight w:val="none"/>
              </w:rPr>
            </w:pPr>
            <w:r>
              <w:rPr>
                <w:rFonts w:hint="eastAsia" w:ascii="宋体" w:hAnsi="宋体" w:cs="宋体"/>
                <w:color w:val="auto"/>
                <w:szCs w:val="21"/>
                <w:highlight w:val="none"/>
              </w:rPr>
              <w:t>自有</w:t>
            </w:r>
          </w:p>
        </w:tc>
      </w:tr>
      <w:tr w14:paraId="20D6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98" w:type="pct"/>
            <w:noWrap/>
            <w:vAlign w:val="center"/>
          </w:tcPr>
          <w:p w14:paraId="0B5F4D69">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1977" w:type="pct"/>
            <w:noWrap/>
            <w:vAlign w:val="center"/>
          </w:tcPr>
          <w:p w14:paraId="4022222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作业车辆（其中1辆须为新能源）</w:t>
            </w:r>
          </w:p>
        </w:tc>
        <w:tc>
          <w:tcPr>
            <w:tcW w:w="1573" w:type="pct"/>
            <w:noWrap/>
            <w:vAlign w:val="center"/>
          </w:tcPr>
          <w:p w14:paraId="237F94F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≥2辆</w:t>
            </w:r>
          </w:p>
        </w:tc>
        <w:tc>
          <w:tcPr>
            <w:tcW w:w="950" w:type="pct"/>
            <w:vMerge w:val="continue"/>
            <w:noWrap/>
            <w:vAlign w:val="center"/>
          </w:tcPr>
          <w:p w14:paraId="22923507">
            <w:pPr>
              <w:jc w:val="center"/>
              <w:rPr>
                <w:rFonts w:hint="eastAsia" w:ascii="宋体" w:hAnsi="宋体" w:cs="宋体"/>
                <w:color w:val="auto"/>
                <w:szCs w:val="21"/>
                <w:highlight w:val="none"/>
              </w:rPr>
            </w:pPr>
          </w:p>
        </w:tc>
      </w:tr>
      <w:tr w14:paraId="69DB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98" w:type="pct"/>
            <w:noWrap/>
            <w:vAlign w:val="center"/>
          </w:tcPr>
          <w:p w14:paraId="466699B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977" w:type="pct"/>
            <w:noWrap/>
            <w:vAlign w:val="center"/>
          </w:tcPr>
          <w:p w14:paraId="606D82C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沥青保温车或沥青再生车</w:t>
            </w:r>
          </w:p>
        </w:tc>
        <w:tc>
          <w:tcPr>
            <w:tcW w:w="1573" w:type="pct"/>
            <w:noWrap/>
            <w:vAlign w:val="center"/>
          </w:tcPr>
          <w:p w14:paraId="5BFF0E8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≥1辆</w:t>
            </w:r>
          </w:p>
        </w:tc>
        <w:tc>
          <w:tcPr>
            <w:tcW w:w="950" w:type="pct"/>
            <w:vMerge w:val="continue"/>
            <w:noWrap/>
            <w:vAlign w:val="center"/>
          </w:tcPr>
          <w:p w14:paraId="57653AB9">
            <w:pPr>
              <w:jc w:val="center"/>
              <w:rPr>
                <w:rFonts w:hint="eastAsia" w:ascii="宋体" w:hAnsi="宋体" w:cs="宋体"/>
                <w:color w:val="auto"/>
                <w:szCs w:val="21"/>
                <w:highlight w:val="none"/>
              </w:rPr>
            </w:pPr>
          </w:p>
        </w:tc>
      </w:tr>
      <w:tr w14:paraId="5D36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98" w:type="pct"/>
            <w:noWrap/>
            <w:vAlign w:val="center"/>
          </w:tcPr>
          <w:p w14:paraId="5C32E113">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977" w:type="pct"/>
            <w:noWrap/>
            <w:vAlign w:val="center"/>
          </w:tcPr>
          <w:p w14:paraId="2293FE8E">
            <w:pPr>
              <w:keepNext w:val="0"/>
              <w:keepLines w:val="0"/>
              <w:widowControl/>
              <w:suppressLineNumbers w:val="0"/>
              <w:adjustRightInd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高压冲洗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机</w:t>
            </w:r>
          </w:p>
        </w:tc>
        <w:tc>
          <w:tcPr>
            <w:tcW w:w="1573" w:type="pct"/>
            <w:noWrap/>
            <w:vAlign w:val="center"/>
          </w:tcPr>
          <w:p w14:paraId="4084915F">
            <w:pPr>
              <w:keepNext w:val="0"/>
              <w:keepLines w:val="0"/>
              <w:widowControl/>
              <w:suppressLineNumbers w:val="0"/>
              <w:adjustRightInd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950" w:type="pct"/>
            <w:vMerge w:val="continue"/>
            <w:noWrap/>
            <w:vAlign w:val="center"/>
          </w:tcPr>
          <w:p w14:paraId="03768CC3">
            <w:pPr>
              <w:jc w:val="center"/>
              <w:rPr>
                <w:rFonts w:hint="eastAsia" w:ascii="宋体" w:hAnsi="宋体" w:cs="宋体"/>
                <w:color w:val="auto"/>
                <w:szCs w:val="21"/>
                <w:highlight w:val="none"/>
              </w:rPr>
            </w:pPr>
          </w:p>
        </w:tc>
      </w:tr>
      <w:tr w14:paraId="2634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98" w:type="pct"/>
            <w:noWrap/>
            <w:vAlign w:val="center"/>
          </w:tcPr>
          <w:p w14:paraId="27C616CC">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5</w:t>
            </w:r>
          </w:p>
        </w:tc>
        <w:tc>
          <w:tcPr>
            <w:tcW w:w="1977" w:type="pct"/>
            <w:noWrap/>
            <w:vAlign w:val="center"/>
          </w:tcPr>
          <w:p w14:paraId="4760DF4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振动平板夯</w:t>
            </w:r>
          </w:p>
        </w:tc>
        <w:tc>
          <w:tcPr>
            <w:tcW w:w="1573" w:type="pct"/>
            <w:noWrap/>
            <w:vAlign w:val="center"/>
          </w:tcPr>
          <w:p w14:paraId="7F8B55E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≥2台</w:t>
            </w:r>
          </w:p>
        </w:tc>
        <w:tc>
          <w:tcPr>
            <w:tcW w:w="950" w:type="pct"/>
            <w:vMerge w:val="continue"/>
            <w:noWrap/>
            <w:vAlign w:val="center"/>
          </w:tcPr>
          <w:p w14:paraId="41F33522">
            <w:pPr>
              <w:jc w:val="center"/>
              <w:rPr>
                <w:rFonts w:hint="eastAsia" w:ascii="宋体" w:hAnsi="宋体" w:cs="宋体"/>
                <w:color w:val="auto"/>
                <w:szCs w:val="21"/>
                <w:highlight w:val="none"/>
              </w:rPr>
            </w:pPr>
          </w:p>
        </w:tc>
      </w:tr>
      <w:tr w14:paraId="669A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98" w:type="pct"/>
            <w:noWrap/>
            <w:vAlign w:val="center"/>
          </w:tcPr>
          <w:p w14:paraId="7C8F4E4F">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6</w:t>
            </w:r>
          </w:p>
        </w:tc>
        <w:tc>
          <w:tcPr>
            <w:tcW w:w="1977" w:type="pct"/>
            <w:noWrap/>
            <w:vAlign w:val="center"/>
          </w:tcPr>
          <w:p w14:paraId="27A50B5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水泵</w:t>
            </w:r>
          </w:p>
        </w:tc>
        <w:tc>
          <w:tcPr>
            <w:tcW w:w="1573" w:type="pct"/>
            <w:noWrap/>
            <w:vAlign w:val="center"/>
          </w:tcPr>
          <w:p w14:paraId="0AA08AE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≥3台</w:t>
            </w:r>
          </w:p>
        </w:tc>
        <w:tc>
          <w:tcPr>
            <w:tcW w:w="950" w:type="pct"/>
            <w:vMerge w:val="continue"/>
            <w:noWrap/>
            <w:vAlign w:val="center"/>
          </w:tcPr>
          <w:p w14:paraId="292C413A">
            <w:pPr>
              <w:jc w:val="center"/>
              <w:rPr>
                <w:rFonts w:hint="eastAsia" w:ascii="宋体" w:hAnsi="宋体" w:cs="宋体"/>
                <w:color w:val="auto"/>
                <w:szCs w:val="21"/>
                <w:highlight w:val="none"/>
              </w:rPr>
            </w:pPr>
          </w:p>
        </w:tc>
      </w:tr>
      <w:tr w14:paraId="3976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98" w:type="pct"/>
            <w:noWrap/>
            <w:vAlign w:val="center"/>
          </w:tcPr>
          <w:p w14:paraId="122E2CF8">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7</w:t>
            </w:r>
          </w:p>
        </w:tc>
        <w:tc>
          <w:tcPr>
            <w:tcW w:w="1977" w:type="pct"/>
            <w:noWrap/>
            <w:vAlign w:val="center"/>
          </w:tcPr>
          <w:p w14:paraId="29DBD2C5">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发电机</w:t>
            </w:r>
          </w:p>
        </w:tc>
        <w:tc>
          <w:tcPr>
            <w:tcW w:w="1573" w:type="pct"/>
            <w:noWrap/>
            <w:vAlign w:val="center"/>
          </w:tcPr>
          <w:p w14:paraId="7851362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≥2台</w:t>
            </w:r>
          </w:p>
        </w:tc>
        <w:tc>
          <w:tcPr>
            <w:tcW w:w="950" w:type="pct"/>
            <w:vMerge w:val="continue"/>
            <w:noWrap/>
            <w:vAlign w:val="center"/>
          </w:tcPr>
          <w:p w14:paraId="3CB55BA5">
            <w:pPr>
              <w:jc w:val="center"/>
              <w:rPr>
                <w:rFonts w:hint="eastAsia" w:ascii="宋体" w:hAnsi="宋体" w:cs="宋体"/>
                <w:color w:val="auto"/>
                <w:szCs w:val="21"/>
                <w:highlight w:val="none"/>
              </w:rPr>
            </w:pPr>
          </w:p>
        </w:tc>
      </w:tr>
      <w:tr w14:paraId="4941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98" w:type="pct"/>
            <w:noWrap/>
            <w:vAlign w:val="center"/>
          </w:tcPr>
          <w:p w14:paraId="27B95983">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8</w:t>
            </w:r>
          </w:p>
        </w:tc>
        <w:tc>
          <w:tcPr>
            <w:tcW w:w="1977" w:type="pct"/>
            <w:noWrap/>
            <w:vAlign w:val="center"/>
          </w:tcPr>
          <w:p w14:paraId="33B17C7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热熔划线机</w:t>
            </w:r>
          </w:p>
        </w:tc>
        <w:tc>
          <w:tcPr>
            <w:tcW w:w="1573" w:type="pct"/>
            <w:noWrap/>
            <w:vAlign w:val="center"/>
          </w:tcPr>
          <w:p w14:paraId="0543303A">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≥1台</w:t>
            </w:r>
          </w:p>
        </w:tc>
        <w:tc>
          <w:tcPr>
            <w:tcW w:w="950" w:type="pct"/>
            <w:vMerge w:val="continue"/>
            <w:noWrap/>
            <w:vAlign w:val="center"/>
          </w:tcPr>
          <w:p w14:paraId="0539928F">
            <w:pPr>
              <w:widowControl/>
              <w:jc w:val="center"/>
              <w:textAlignment w:val="center"/>
              <w:rPr>
                <w:rFonts w:hint="eastAsia" w:ascii="宋体" w:hAnsi="宋体" w:cs="宋体"/>
                <w:color w:val="auto"/>
                <w:szCs w:val="21"/>
                <w:highlight w:val="none"/>
              </w:rPr>
            </w:pPr>
          </w:p>
        </w:tc>
      </w:tr>
      <w:tr w14:paraId="089D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98" w:type="pct"/>
            <w:noWrap/>
            <w:vAlign w:val="center"/>
          </w:tcPr>
          <w:p w14:paraId="2FDF863C">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9</w:t>
            </w:r>
          </w:p>
        </w:tc>
        <w:tc>
          <w:tcPr>
            <w:tcW w:w="1977" w:type="pct"/>
            <w:noWrap/>
            <w:vAlign w:val="center"/>
          </w:tcPr>
          <w:p w14:paraId="3AC0C47C">
            <w:pPr>
              <w:keepNext w:val="0"/>
              <w:keepLines w:val="0"/>
              <w:widowControl/>
              <w:suppressLineNumbers w:val="0"/>
              <w:adjustRightInd w:val="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裂缝观测仪</w:t>
            </w:r>
          </w:p>
        </w:tc>
        <w:tc>
          <w:tcPr>
            <w:tcW w:w="1573" w:type="pct"/>
            <w:noWrap/>
            <w:vAlign w:val="center"/>
          </w:tcPr>
          <w:p w14:paraId="06056D60">
            <w:pPr>
              <w:keepNext w:val="0"/>
              <w:keepLines w:val="0"/>
              <w:widowControl/>
              <w:suppressLineNumbers w:val="0"/>
              <w:adjustRightInd w:val="0"/>
              <w:jc w:val="center"/>
              <w:textAlignment w:val="center"/>
              <w:rPr>
                <w:rFonts w:hint="eastAsia" w:ascii="宋体" w:hAnsi="宋体" w:cs="宋体"/>
                <w:color w:val="auto"/>
                <w:kern w:val="0"/>
                <w:szCs w:val="21"/>
                <w:highlight w:val="none"/>
                <w:lang w:bidi="ar"/>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950" w:type="pct"/>
            <w:vMerge w:val="restart"/>
            <w:noWrap/>
            <w:vAlign w:val="center"/>
          </w:tcPr>
          <w:p w14:paraId="6D6FA78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租赁或自有</w:t>
            </w:r>
          </w:p>
        </w:tc>
      </w:tr>
      <w:tr w14:paraId="57E1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98" w:type="pct"/>
            <w:shd w:val="clear" w:color="auto" w:fill="auto"/>
            <w:noWrap/>
            <w:vAlign w:val="center"/>
          </w:tcPr>
          <w:p w14:paraId="79C08FAB">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977" w:type="pct"/>
            <w:shd w:val="clear" w:color="auto" w:fill="auto"/>
            <w:noWrap/>
            <w:vAlign w:val="center"/>
          </w:tcPr>
          <w:p w14:paraId="24A7B3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摊铺机</w:t>
            </w:r>
          </w:p>
        </w:tc>
        <w:tc>
          <w:tcPr>
            <w:tcW w:w="1573" w:type="pct"/>
            <w:shd w:val="clear" w:color="auto" w:fill="auto"/>
            <w:noWrap/>
            <w:vAlign w:val="center"/>
          </w:tcPr>
          <w:p w14:paraId="0D56C5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≥1台</w:t>
            </w:r>
          </w:p>
        </w:tc>
        <w:tc>
          <w:tcPr>
            <w:tcW w:w="950" w:type="pct"/>
            <w:vMerge w:val="continue"/>
            <w:noWrap/>
            <w:vAlign w:val="center"/>
          </w:tcPr>
          <w:p w14:paraId="1D0FFEA1">
            <w:pPr>
              <w:widowControl/>
              <w:jc w:val="center"/>
              <w:textAlignment w:val="center"/>
              <w:rPr>
                <w:rFonts w:hint="eastAsia" w:ascii="宋体" w:hAnsi="宋体" w:cs="宋体"/>
                <w:color w:val="auto"/>
                <w:szCs w:val="21"/>
                <w:highlight w:val="none"/>
              </w:rPr>
            </w:pPr>
          </w:p>
        </w:tc>
      </w:tr>
      <w:tr w14:paraId="1982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98" w:type="pct"/>
            <w:noWrap/>
            <w:vAlign w:val="center"/>
          </w:tcPr>
          <w:p w14:paraId="3595108F">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11</w:t>
            </w:r>
          </w:p>
        </w:tc>
        <w:tc>
          <w:tcPr>
            <w:tcW w:w="1977" w:type="pct"/>
            <w:noWrap/>
            <w:vAlign w:val="center"/>
          </w:tcPr>
          <w:p w14:paraId="66684E0E">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双光轮压路机</w:t>
            </w:r>
          </w:p>
        </w:tc>
        <w:tc>
          <w:tcPr>
            <w:tcW w:w="1573" w:type="pct"/>
            <w:noWrap/>
            <w:vAlign w:val="center"/>
          </w:tcPr>
          <w:p w14:paraId="1BB63524">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≥1台</w:t>
            </w:r>
          </w:p>
        </w:tc>
        <w:tc>
          <w:tcPr>
            <w:tcW w:w="950" w:type="pct"/>
            <w:vMerge w:val="continue"/>
            <w:noWrap/>
            <w:vAlign w:val="center"/>
          </w:tcPr>
          <w:p w14:paraId="31EF59A2">
            <w:pPr>
              <w:widowControl/>
              <w:jc w:val="center"/>
              <w:textAlignment w:val="center"/>
              <w:rPr>
                <w:rFonts w:hint="eastAsia" w:ascii="宋体" w:hAnsi="宋体" w:cs="宋体"/>
                <w:color w:val="auto"/>
                <w:szCs w:val="21"/>
                <w:highlight w:val="none"/>
              </w:rPr>
            </w:pPr>
          </w:p>
        </w:tc>
      </w:tr>
      <w:tr w14:paraId="4B3A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98" w:type="pct"/>
            <w:noWrap/>
            <w:vAlign w:val="center"/>
          </w:tcPr>
          <w:p w14:paraId="190A3720">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12</w:t>
            </w:r>
          </w:p>
        </w:tc>
        <w:tc>
          <w:tcPr>
            <w:tcW w:w="1977" w:type="pct"/>
            <w:noWrap/>
            <w:vAlign w:val="center"/>
          </w:tcPr>
          <w:p w14:paraId="7A12465E">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沥青混凝土铣刨机</w:t>
            </w:r>
          </w:p>
        </w:tc>
        <w:tc>
          <w:tcPr>
            <w:tcW w:w="1573" w:type="pct"/>
            <w:noWrap/>
            <w:vAlign w:val="center"/>
          </w:tcPr>
          <w:p w14:paraId="43ED7D9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≥1台</w:t>
            </w:r>
          </w:p>
        </w:tc>
        <w:tc>
          <w:tcPr>
            <w:tcW w:w="950" w:type="pct"/>
            <w:vMerge w:val="continue"/>
            <w:noWrap/>
            <w:vAlign w:val="center"/>
          </w:tcPr>
          <w:p w14:paraId="506796FA">
            <w:pPr>
              <w:widowControl/>
              <w:jc w:val="center"/>
              <w:textAlignment w:val="center"/>
              <w:rPr>
                <w:rFonts w:hint="eastAsia" w:ascii="宋体" w:hAnsi="宋体" w:cs="宋体"/>
                <w:color w:val="auto"/>
                <w:szCs w:val="21"/>
                <w:highlight w:val="none"/>
              </w:rPr>
            </w:pPr>
          </w:p>
        </w:tc>
      </w:tr>
    </w:tbl>
    <w:p w14:paraId="3617DC87">
      <w:pPr>
        <w:widowControl w:val="0"/>
        <w:autoSpaceDE w:val="0"/>
        <w:autoSpaceDN w:val="0"/>
        <w:adjustRightInd w:val="0"/>
        <w:spacing w:line="360" w:lineRule="auto"/>
        <w:ind w:firstLine="420" w:firstLineChars="200"/>
        <w:jc w:val="both"/>
        <w:rPr>
          <w:rFonts w:hint="eastAsia" w:ascii="宋体" w:hAnsi="宋体" w:cs="宋体"/>
          <w:b w:val="0"/>
          <w:bCs w:val="0"/>
          <w:snapToGrid w:val="0"/>
          <w:color w:val="auto"/>
          <w:kern w:val="0"/>
          <w:sz w:val="21"/>
          <w:szCs w:val="21"/>
          <w:highlight w:val="none"/>
          <w:lang w:val="en-US" w:eastAsia="zh-CN" w:bidi="ar-SA"/>
        </w:rPr>
      </w:pPr>
      <w:r>
        <w:rPr>
          <w:rFonts w:hint="eastAsia" w:ascii="宋体" w:hAnsi="宋体" w:cs="宋体"/>
          <w:b w:val="0"/>
          <w:bCs w:val="0"/>
          <w:snapToGrid w:val="0"/>
          <w:color w:val="auto"/>
          <w:kern w:val="0"/>
          <w:sz w:val="21"/>
          <w:szCs w:val="21"/>
          <w:highlight w:val="none"/>
          <w:lang w:val="en-US" w:eastAsia="zh-CN" w:bidi="ar-SA"/>
        </w:rPr>
        <w:t>注：1）上述设施设备在中标通知书发出后15日内，中标人须向采购人提供自有的机械设备及车辆的购买发票，招标文件中允许租赁的须提供租赁合同，租赁期限须覆盖本项目服务年限。2）服务过程中，如采购人要求新增养护设备，中标人应按采购人要求租赁或购置相应设备。3）上述人员、车辆、设备在未配齐阶段中标人必须保证正常的养护秩序。★4）供应商应自行办理所需车辆的通行相关证件。供应商必须在投标文件中承诺（采购需求响应偏离表承诺响应或无负偏离，或单独提供承诺函的，均可；否则视为无效标）。</w:t>
      </w:r>
    </w:p>
    <w:p w14:paraId="681D72BE">
      <w:pPr>
        <w:widowControl w:val="0"/>
        <w:autoSpaceDE w:val="0"/>
        <w:autoSpaceDN w:val="0"/>
        <w:adjustRightInd w:val="0"/>
        <w:spacing w:line="360" w:lineRule="auto"/>
        <w:ind w:firstLine="420" w:firstLineChars="200"/>
        <w:jc w:val="both"/>
        <w:rPr>
          <w:rFonts w:hint="eastAsia" w:ascii="宋体" w:hAnsi="宋体" w:cs="宋体"/>
          <w:b w:val="0"/>
          <w:bCs w:val="0"/>
          <w:snapToGrid w:val="0"/>
          <w:color w:val="auto"/>
          <w:kern w:val="0"/>
          <w:sz w:val="21"/>
          <w:szCs w:val="21"/>
          <w:highlight w:val="none"/>
          <w:lang w:val="en-US" w:eastAsia="zh-CN" w:bidi="ar-SA"/>
        </w:rPr>
      </w:pPr>
      <w:r>
        <w:rPr>
          <w:rFonts w:hint="eastAsia" w:ascii="宋体" w:hAnsi="宋体" w:cs="宋体"/>
          <w:b w:val="0"/>
          <w:bCs w:val="0"/>
          <w:snapToGrid w:val="0"/>
          <w:color w:val="auto"/>
          <w:kern w:val="0"/>
          <w:sz w:val="21"/>
          <w:szCs w:val="21"/>
          <w:highlight w:val="none"/>
          <w:lang w:val="en-US" w:eastAsia="zh-CN" w:bidi="ar-SA"/>
        </w:rPr>
        <w:t>3、合同履约期限内，中标人应保证沥青供货货源稳定且充足。</w:t>
      </w:r>
    </w:p>
    <w:p w14:paraId="3EA457A6">
      <w:pPr>
        <w:widowControl w:val="0"/>
        <w:autoSpaceDE w:val="0"/>
        <w:autoSpaceDN w:val="0"/>
        <w:adjustRightInd w:val="0"/>
        <w:spacing w:line="360" w:lineRule="auto"/>
        <w:ind w:firstLine="420" w:firstLineChars="200"/>
        <w:jc w:val="both"/>
        <w:rPr>
          <w:rFonts w:hint="eastAsia" w:ascii="宋体" w:hAnsi="宋体" w:cs="宋体"/>
          <w:b w:val="0"/>
          <w:bCs w:val="0"/>
          <w:snapToGrid w:val="0"/>
          <w:color w:val="auto"/>
          <w:kern w:val="0"/>
          <w:sz w:val="21"/>
          <w:szCs w:val="21"/>
          <w:highlight w:val="none"/>
          <w:lang w:val="en-US" w:eastAsia="zh-CN" w:bidi="ar-SA"/>
        </w:rPr>
      </w:pPr>
      <w:r>
        <w:rPr>
          <w:rFonts w:hint="eastAsia" w:ascii="宋体" w:hAnsi="宋体" w:cs="宋体"/>
          <w:b w:val="0"/>
          <w:bCs w:val="0"/>
          <w:snapToGrid w:val="0"/>
          <w:color w:val="auto"/>
          <w:kern w:val="0"/>
          <w:sz w:val="21"/>
          <w:szCs w:val="21"/>
          <w:highlight w:val="none"/>
          <w:lang w:val="en-US" w:eastAsia="zh-CN" w:bidi="ar-SA"/>
        </w:rPr>
        <w:t>4、中标通知书发出后15日内，拟派本项目人数或者拟投入本项目车辆装备未达到招标文件要求和投标承诺标准的；采购人将下达整改通知，同时按10000元/天·辆（台或人）进行扣罚；超要求期限（含期限最后一天）起15日内中标人未按规定整改完成的，次日起，采购人将按30000元/天·辆（台或人）进行扣罚；相关扣罚费用在服务经费中支出。</w:t>
      </w:r>
    </w:p>
    <w:p w14:paraId="2E90C1A7">
      <w:pPr>
        <w:widowControl w:val="0"/>
        <w:autoSpaceDE w:val="0"/>
        <w:autoSpaceDN w:val="0"/>
        <w:adjustRightInd w:val="0"/>
        <w:spacing w:line="360" w:lineRule="auto"/>
        <w:ind w:firstLine="420" w:firstLineChars="200"/>
        <w:jc w:val="both"/>
        <w:rPr>
          <w:rFonts w:hint="eastAsia" w:ascii="宋体" w:hAnsi="宋体" w:cs="宋体"/>
          <w:b w:val="0"/>
          <w:bCs w:val="0"/>
          <w:snapToGrid w:val="0"/>
          <w:color w:val="auto"/>
          <w:kern w:val="0"/>
          <w:sz w:val="21"/>
          <w:szCs w:val="21"/>
          <w:highlight w:val="none"/>
          <w:lang w:val="en-US" w:eastAsia="zh-CN" w:bidi="ar-SA"/>
        </w:rPr>
      </w:pPr>
      <w:r>
        <w:rPr>
          <w:rFonts w:hint="eastAsia" w:ascii="宋体" w:hAnsi="宋体" w:cs="宋体"/>
          <w:b w:val="0"/>
          <w:bCs w:val="0"/>
          <w:snapToGrid w:val="0"/>
          <w:color w:val="auto"/>
          <w:kern w:val="0"/>
          <w:sz w:val="21"/>
          <w:szCs w:val="21"/>
          <w:highlight w:val="none"/>
          <w:lang w:val="en-US" w:eastAsia="zh-CN" w:bidi="ar-SA"/>
        </w:rPr>
        <w:t>合同签订生效后30日内，中标人仍未配齐人员、车辆和设备，采购人有权终止合同。</w:t>
      </w:r>
    </w:p>
    <w:p w14:paraId="71AD8257">
      <w:pPr>
        <w:widowControl w:val="0"/>
        <w:autoSpaceDE w:val="0"/>
        <w:autoSpaceDN w:val="0"/>
        <w:adjustRightInd w:val="0"/>
        <w:spacing w:line="360" w:lineRule="auto"/>
        <w:ind w:firstLine="420" w:firstLineChars="200"/>
        <w:jc w:val="both"/>
        <w:rPr>
          <w:rFonts w:hint="eastAsia" w:ascii="宋体" w:hAnsi="宋体" w:cs="宋体"/>
          <w:b w:val="0"/>
          <w:bCs w:val="0"/>
          <w:snapToGrid w:val="0"/>
          <w:color w:val="auto"/>
          <w:kern w:val="0"/>
          <w:sz w:val="21"/>
          <w:szCs w:val="21"/>
          <w:highlight w:val="none"/>
          <w:lang w:val="en-US" w:eastAsia="zh-CN" w:bidi="ar-SA"/>
        </w:rPr>
      </w:pPr>
      <w:r>
        <w:rPr>
          <w:rFonts w:hint="eastAsia" w:ascii="宋体" w:hAnsi="宋体" w:cs="宋体"/>
          <w:b w:val="0"/>
          <w:bCs w:val="0"/>
          <w:snapToGrid w:val="0"/>
          <w:color w:val="auto"/>
          <w:kern w:val="0"/>
          <w:sz w:val="21"/>
          <w:szCs w:val="21"/>
          <w:highlight w:val="none"/>
          <w:lang w:val="en-US" w:eastAsia="zh-CN" w:bidi="ar-SA"/>
        </w:rPr>
        <w:t>5、项目部：中标人在服务期限内须有固定经营场所以及施工材料堆放场所，上述场所面积合计达1000平方米及以上，且应确保在采购人有要求时，能在30分钟内到达采购人指定的养护地点；在中标通知书发出后15日内，中标人须向采购人提供房屋产权证或租房合同或由政府部门出具的场所证明材料，租房合同期限须覆盖本项目服务年限（如出现拆迁、土地征用等特殊情况除外）。超要求期限（含期限最后一天）未完成配置的，采购人将下达整改通知，同时按10000元/天进行扣罚，相关扣罚费用在服务经费中支出。</w:t>
      </w:r>
    </w:p>
    <w:p w14:paraId="4DFF5707">
      <w:pPr>
        <w:adjustRightInd/>
        <w:spacing w:line="360" w:lineRule="auto"/>
        <w:jc w:val="left"/>
        <w:outlineLvl w:val="1"/>
        <w:rPr>
          <w:rFonts w:hint="eastAsia" w:ascii="宋体" w:hAnsi="宋体" w:cs="宋体"/>
          <w:b/>
          <w:bCs/>
          <w:color w:val="auto"/>
          <w:highlight w:val="none"/>
        </w:rPr>
      </w:pPr>
      <w:r>
        <w:rPr>
          <w:rFonts w:hint="eastAsia" w:ascii="宋体" w:hAnsi="宋体" w:cs="宋体"/>
          <w:b/>
          <w:bCs/>
          <w:color w:val="auto"/>
          <w:highlight w:val="none"/>
        </w:rPr>
        <w:t>四、详细服务要求</w:t>
      </w:r>
    </w:p>
    <w:p w14:paraId="5FD624E4">
      <w:pPr>
        <w:adjustRightInd/>
        <w:spacing w:line="360" w:lineRule="auto"/>
        <w:ind w:firstLine="422" w:firstLineChars="200"/>
        <w:jc w:val="left"/>
        <w:outlineLvl w:val="1"/>
        <w:rPr>
          <w:rFonts w:hint="eastAsia" w:ascii="宋体" w:hAnsi="宋体" w:cs="宋体"/>
          <w:b/>
          <w:bCs/>
          <w:color w:val="auto"/>
          <w:szCs w:val="21"/>
          <w:highlight w:val="none"/>
        </w:rPr>
      </w:pPr>
      <w:r>
        <w:rPr>
          <w:rFonts w:hint="eastAsia" w:ascii="宋体" w:hAnsi="宋体" w:cs="宋体"/>
          <w:b/>
          <w:bCs/>
          <w:color w:val="auto"/>
          <w:szCs w:val="21"/>
          <w:highlight w:val="none"/>
        </w:rPr>
        <w:t>1、项目管理要求</w:t>
      </w:r>
    </w:p>
    <w:p w14:paraId="635866A7">
      <w:pPr>
        <w:adjustRightInd/>
        <w:spacing w:line="360" w:lineRule="auto"/>
        <w:ind w:firstLine="420" w:firstLineChars="200"/>
        <w:jc w:val="left"/>
        <w:outlineLvl w:val="1"/>
        <w:rPr>
          <w:rFonts w:hint="eastAsia" w:ascii="宋体" w:hAnsi="宋体" w:cs="宋体"/>
          <w:color w:val="auto"/>
          <w:szCs w:val="21"/>
          <w:highlight w:val="none"/>
          <w:lang w:bidi="ar"/>
        </w:rPr>
      </w:pPr>
      <w:r>
        <w:rPr>
          <w:rFonts w:hint="eastAsia" w:ascii="宋体" w:hAnsi="宋体" w:cs="宋体"/>
          <w:color w:val="auto"/>
          <w:szCs w:val="21"/>
          <w:highlight w:val="none"/>
          <w:lang w:bidi="ar"/>
        </w:rPr>
        <w:t>1.1中标人必须按相关要求制定安全文明管理制度，项目实施期间严格按照要求做好安全文明管理工作。</w:t>
      </w:r>
    </w:p>
    <w:p w14:paraId="605DE5D0">
      <w:pPr>
        <w:adjustRightInd/>
        <w:spacing w:line="360" w:lineRule="auto"/>
        <w:ind w:firstLine="420" w:firstLineChars="200"/>
        <w:jc w:val="left"/>
        <w:outlineLvl w:val="1"/>
        <w:rPr>
          <w:rFonts w:hint="eastAsia" w:ascii="宋体" w:hAnsi="宋体" w:cs="宋体"/>
          <w:color w:val="auto"/>
          <w:szCs w:val="21"/>
          <w:highlight w:val="none"/>
          <w:lang w:bidi="ar"/>
        </w:rPr>
      </w:pPr>
      <w:r>
        <w:rPr>
          <w:rFonts w:hint="eastAsia" w:ascii="宋体" w:hAnsi="宋体" w:cs="宋体"/>
          <w:color w:val="auto"/>
          <w:szCs w:val="21"/>
          <w:highlight w:val="none"/>
          <w:lang w:bidi="ar"/>
        </w:rPr>
        <w:t>1.2建筑垃圾应及时清理，如发现未及时清理的，采购人有权做出相应扣罚。建筑垃圾未清理的，相应围挡不得拆除。</w:t>
      </w:r>
    </w:p>
    <w:p w14:paraId="658F25F8">
      <w:pPr>
        <w:adjustRightInd/>
        <w:spacing w:line="360" w:lineRule="auto"/>
        <w:ind w:firstLine="420" w:firstLineChars="200"/>
        <w:jc w:val="left"/>
        <w:outlineLvl w:val="1"/>
        <w:rPr>
          <w:rFonts w:hint="eastAsia" w:ascii="宋体" w:hAnsi="宋体" w:cs="宋体"/>
          <w:color w:val="auto"/>
          <w:szCs w:val="21"/>
          <w:highlight w:val="none"/>
          <w:lang w:bidi="ar"/>
        </w:rPr>
      </w:pPr>
      <w:r>
        <w:rPr>
          <w:rFonts w:hint="eastAsia" w:ascii="宋体" w:hAnsi="宋体" w:cs="宋体"/>
          <w:color w:val="auto"/>
          <w:szCs w:val="21"/>
          <w:highlight w:val="none"/>
          <w:lang w:bidi="ar"/>
        </w:rPr>
        <w:t>1.3采购人提出要进行整改修复的工作，中标人应按规定时间完成，未能按时完成的，采购人有权委托其他单位进行实施，费用在合同费用中扣除。</w:t>
      </w:r>
    </w:p>
    <w:p w14:paraId="04C2158D">
      <w:pPr>
        <w:adjustRightInd/>
        <w:spacing w:line="360" w:lineRule="auto"/>
        <w:ind w:firstLine="420" w:firstLineChars="200"/>
        <w:jc w:val="left"/>
        <w:outlineLvl w:val="1"/>
        <w:rPr>
          <w:rFonts w:hint="eastAsia" w:ascii="宋体" w:hAnsi="宋体" w:cs="宋体"/>
          <w:color w:val="auto"/>
          <w:szCs w:val="21"/>
          <w:highlight w:val="none"/>
          <w:lang w:bidi="ar"/>
        </w:rPr>
      </w:pPr>
      <w:r>
        <w:rPr>
          <w:rFonts w:hint="eastAsia" w:ascii="宋体" w:hAnsi="宋体" w:cs="宋体"/>
          <w:color w:val="auto"/>
          <w:szCs w:val="21"/>
          <w:highlight w:val="none"/>
          <w:lang w:bidi="ar"/>
        </w:rPr>
        <w:t>1.4中标人应与项目实施同步形成、积累、整理及保管工作进度、隐蔽工程、障碍物拆除以及所有影响工作的记录资料并整理归档提交采购人，以备查阅。</w:t>
      </w:r>
    </w:p>
    <w:p w14:paraId="3B743197">
      <w:pPr>
        <w:adjustRightInd/>
        <w:spacing w:line="360" w:lineRule="auto"/>
        <w:ind w:firstLine="420" w:firstLineChars="200"/>
        <w:jc w:val="left"/>
        <w:outlineLvl w:val="1"/>
        <w:rPr>
          <w:rFonts w:hint="eastAsia" w:ascii="宋体" w:hAnsi="宋体" w:cs="宋体"/>
          <w:color w:val="auto"/>
          <w:szCs w:val="21"/>
          <w:highlight w:val="none"/>
          <w:lang w:bidi="ar"/>
        </w:rPr>
      </w:pPr>
      <w:r>
        <w:rPr>
          <w:rFonts w:hint="eastAsia" w:ascii="宋体" w:hAnsi="宋体" w:cs="宋体"/>
          <w:color w:val="auto"/>
          <w:szCs w:val="21"/>
          <w:highlight w:val="none"/>
          <w:lang w:bidi="ar"/>
        </w:rPr>
        <w:t>1.5中标人应按要求做好本项目的开工进场工作，主要包括：项目部场地落实、设备机械车辆进驻、养护项目交底、项目部组建及人员上岗审核、设施情况普查、养护项目工作方案上报等工作内容。</w:t>
      </w:r>
    </w:p>
    <w:p w14:paraId="2B0C7051">
      <w:pPr>
        <w:adjustRightInd/>
        <w:spacing w:line="360" w:lineRule="auto"/>
        <w:ind w:firstLine="420" w:firstLineChars="200"/>
        <w:jc w:val="left"/>
        <w:outlineLvl w:val="1"/>
        <w:rPr>
          <w:rFonts w:hint="eastAsia" w:ascii="宋体" w:hAnsi="宋体" w:cs="宋体"/>
          <w:color w:val="auto"/>
          <w:szCs w:val="21"/>
          <w:highlight w:val="none"/>
          <w:lang w:bidi="ar"/>
        </w:rPr>
      </w:pPr>
      <w:r>
        <w:rPr>
          <w:rFonts w:hint="eastAsia" w:ascii="宋体" w:hAnsi="宋体" w:cs="宋体"/>
          <w:color w:val="auto"/>
          <w:szCs w:val="21"/>
          <w:highlight w:val="none"/>
          <w:lang w:bidi="ar"/>
        </w:rPr>
        <w:t>1.6中标人需按照采购文件以及合同约定组建项目部，养护项目人员、主要机械设备在正式开工前报采购人核对，项目部布置应符合相关规定并满足实际工作需求，应明确工作职责以及工作流程等并上报。</w:t>
      </w:r>
    </w:p>
    <w:p w14:paraId="37D4EBC0">
      <w:pPr>
        <w:adjustRightInd/>
        <w:spacing w:line="360" w:lineRule="auto"/>
        <w:ind w:firstLine="420" w:firstLineChars="200"/>
        <w:jc w:val="left"/>
        <w:outlineLvl w:val="1"/>
        <w:rPr>
          <w:rFonts w:hint="eastAsia" w:ascii="宋体" w:hAnsi="宋体" w:cs="宋体"/>
          <w:color w:val="auto"/>
          <w:szCs w:val="21"/>
          <w:highlight w:val="none"/>
          <w:lang w:bidi="ar"/>
        </w:rPr>
      </w:pPr>
      <w:r>
        <w:rPr>
          <w:rFonts w:hint="eastAsia" w:ascii="宋体" w:hAnsi="宋体" w:cs="宋体"/>
          <w:color w:val="auto"/>
          <w:szCs w:val="21"/>
          <w:highlight w:val="none"/>
          <w:lang w:bidi="ar"/>
        </w:rPr>
        <w:t>1.7项目开工后，中标人按要求组织人员参加进场交底和学习培训，掌握相关养护规范规程等技术资料，熟悉设施基本情况及养护要求，了解相关管理办法制度，并按要求在规定时间内完成交底和学习要求。由采购人负责对中标人进行人员上岗审核，通过审核确认具备能力条件后方可上岗，否则按照采购文件及合同约定对人员进行更换。项目主要人员如需更换或不满足要求，需通过采购人审批同意后方可更换。</w:t>
      </w:r>
    </w:p>
    <w:p w14:paraId="70B8E0DC">
      <w:pPr>
        <w:adjustRightInd/>
        <w:spacing w:line="360" w:lineRule="auto"/>
        <w:ind w:firstLine="420" w:firstLineChars="200"/>
        <w:jc w:val="left"/>
        <w:outlineLvl w:val="1"/>
        <w:rPr>
          <w:rFonts w:hint="eastAsia" w:ascii="宋体" w:hAnsi="宋体" w:cs="宋体"/>
          <w:color w:val="auto"/>
          <w:szCs w:val="21"/>
          <w:highlight w:val="none"/>
          <w:lang w:bidi="ar"/>
        </w:rPr>
      </w:pPr>
      <w:r>
        <w:rPr>
          <w:rFonts w:hint="eastAsia" w:ascii="宋体" w:hAnsi="宋体" w:cs="宋体"/>
          <w:color w:val="auto"/>
          <w:szCs w:val="21"/>
          <w:highlight w:val="none"/>
          <w:lang w:bidi="ar"/>
        </w:rPr>
        <w:t>1.8按照合同或采购人要求期限内上报年度养护维修预算和月度养护维修计划，并组织实施经采购人认定的养护维修及运行管理计划，在本合同确定的设施养护维修项目及运行管理职责内合理使用养护维修经费。</w:t>
      </w:r>
    </w:p>
    <w:p w14:paraId="5547F489">
      <w:pPr>
        <w:adjustRightInd/>
        <w:spacing w:line="360" w:lineRule="auto"/>
        <w:ind w:firstLine="420" w:firstLineChars="200"/>
        <w:jc w:val="left"/>
        <w:outlineLvl w:val="1"/>
        <w:rPr>
          <w:rFonts w:hint="eastAsia" w:ascii="宋体" w:hAnsi="宋体" w:cs="宋体"/>
          <w:color w:val="auto"/>
          <w:szCs w:val="21"/>
          <w:highlight w:val="none"/>
          <w:lang w:bidi="ar"/>
        </w:rPr>
      </w:pPr>
      <w:r>
        <w:rPr>
          <w:rFonts w:hint="eastAsia" w:ascii="宋体" w:hAnsi="宋体" w:cs="宋体"/>
          <w:color w:val="auto"/>
          <w:szCs w:val="21"/>
          <w:highlight w:val="none"/>
          <w:lang w:bidi="ar"/>
        </w:rPr>
        <w:t>1.9中标人应按要求做好养护项目的实施管理，在项目开工进场以后，按审批的工作方案和工作要求组织实施，加强现场管理，保障养护设施的运行安全以及人员作业安全，做好过程中计量验收的资料记录，配合做好考核和其他监管工作。</w:t>
      </w:r>
    </w:p>
    <w:p w14:paraId="69717DE7">
      <w:pPr>
        <w:adjustRightInd/>
        <w:spacing w:line="360" w:lineRule="auto"/>
        <w:ind w:firstLine="420" w:firstLineChars="200"/>
        <w:jc w:val="left"/>
        <w:outlineLvl w:val="1"/>
        <w:rPr>
          <w:rFonts w:hint="eastAsia" w:ascii="宋体" w:hAnsi="宋体" w:cs="宋体"/>
          <w:color w:val="auto"/>
          <w:szCs w:val="21"/>
          <w:highlight w:val="none"/>
          <w:lang w:bidi="ar"/>
        </w:rPr>
      </w:pPr>
      <w:r>
        <w:rPr>
          <w:rFonts w:hint="eastAsia" w:ascii="宋体" w:hAnsi="宋体" w:cs="宋体"/>
          <w:color w:val="auto"/>
          <w:szCs w:val="21"/>
          <w:highlight w:val="none"/>
          <w:lang w:bidi="ar"/>
        </w:rPr>
        <w:t>1.10中标人因作业需要必须办理市政道路、水上交通管制等审批手续的，采购人予以配合。</w:t>
      </w:r>
    </w:p>
    <w:p w14:paraId="4B0C65A6">
      <w:pPr>
        <w:adjustRightInd/>
        <w:spacing w:line="360" w:lineRule="auto"/>
        <w:ind w:firstLine="420" w:firstLineChars="200"/>
        <w:jc w:val="left"/>
        <w:outlineLvl w:val="1"/>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1.11合同期限内，中标人需每年适时引进1到2种经采购人认可的养护技术，为行业增色添彩行动作出引领。</w:t>
      </w:r>
    </w:p>
    <w:p w14:paraId="5E76904D">
      <w:pPr>
        <w:adjustRightInd/>
        <w:spacing w:line="360" w:lineRule="auto"/>
        <w:ind w:firstLine="422" w:firstLineChars="200"/>
        <w:jc w:val="left"/>
        <w:outlineLvl w:val="1"/>
        <w:rPr>
          <w:rFonts w:hint="eastAsia" w:ascii="宋体" w:hAnsi="宋体" w:cs="宋体"/>
          <w:b/>
          <w:bCs/>
          <w:color w:val="auto"/>
          <w:szCs w:val="21"/>
          <w:highlight w:val="none"/>
          <w:lang w:bidi="ar"/>
        </w:rPr>
      </w:pPr>
      <w:r>
        <w:rPr>
          <w:rFonts w:hint="eastAsia" w:ascii="宋体" w:hAnsi="宋体" w:cs="宋体"/>
          <w:b/>
          <w:bCs/>
          <w:color w:val="auto"/>
          <w:szCs w:val="21"/>
          <w:highlight w:val="none"/>
        </w:rPr>
        <w:t>2、</w:t>
      </w:r>
      <w:r>
        <w:rPr>
          <w:rFonts w:hint="eastAsia" w:ascii="宋体" w:hAnsi="宋体" w:cs="宋体"/>
          <w:b/>
          <w:bCs/>
          <w:color w:val="auto"/>
          <w:szCs w:val="21"/>
          <w:highlight w:val="none"/>
          <w:lang w:bidi="ar"/>
        </w:rPr>
        <w:t>养护标准</w:t>
      </w:r>
    </w:p>
    <w:p w14:paraId="6D1D3F93">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2.1《城镇道路养护技术规范》CJJ-2016</w:t>
      </w:r>
    </w:p>
    <w:p w14:paraId="72307717">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2.2</w:t>
      </w:r>
      <w:r>
        <w:rPr>
          <w:rFonts w:hint="eastAsia" w:ascii="宋体" w:hAnsi="宋体" w:eastAsia="宋体" w:cs="宋体"/>
          <w:b w:val="0"/>
          <w:bCs w:val="0"/>
          <w:color w:val="000000" w:themeColor="text1"/>
          <w:kern w:val="0"/>
          <w:szCs w:val="21"/>
          <w:highlight w:val="none"/>
          <w14:textFill>
            <w14:solidFill>
              <w14:schemeClr w14:val="tx1"/>
            </w14:solidFill>
          </w14:textFill>
        </w:rPr>
        <w:t>《城市桥梁养护技术标准》CJJ-2017</w:t>
      </w:r>
    </w:p>
    <w:p w14:paraId="0E74D094">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《城镇道路工程施工与质量验收规范》CJJ 1-2008</w:t>
      </w:r>
    </w:p>
    <w:p w14:paraId="2EBA58D1">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《公路沥青路面养护技术规范》JTG5142-2019</w:t>
      </w:r>
    </w:p>
    <w:p w14:paraId="12C2216D">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《公路沥青路面施工技术规范》JTGF40-2004</w:t>
      </w:r>
    </w:p>
    <w:p w14:paraId="420E12E8">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《公路工程施工安全技术规程》JTGF90-2015</w:t>
      </w:r>
    </w:p>
    <w:p w14:paraId="45D77466">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《公路水泥混凝土路面施工技术细则》TJG/T F30-2014</w:t>
      </w:r>
    </w:p>
    <w:p w14:paraId="549B7C18">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《公路沥青路面再生技术规范》JTG/T5521-2019</w:t>
      </w:r>
    </w:p>
    <w:p w14:paraId="24018218">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《公路水泥混凝土路面再生利用技术细则》JTG/T F31-2014</w:t>
      </w:r>
    </w:p>
    <w:p w14:paraId="666C467E">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《公路桥涵施工技术规范》JTG/T3650-2020</w:t>
      </w:r>
    </w:p>
    <w:p w14:paraId="32B19D01">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《宁波市建设工程文明施工管理规定》</w:t>
      </w:r>
    </w:p>
    <w:p w14:paraId="041CC7EF">
      <w:pPr>
        <w:tabs>
          <w:tab w:val="left" w:pos="0"/>
        </w:tabs>
        <w:adjustRightInd/>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《宁波市建设工地围挡指导及标准范例（201</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版）》</w:t>
      </w:r>
    </w:p>
    <w:p w14:paraId="46737732">
      <w:pPr>
        <w:spacing w:line="360" w:lineRule="auto"/>
        <w:ind w:firstLine="420" w:firstLineChars="200"/>
        <w:contextualSpacing/>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2.1</w:t>
      </w:r>
      <w:r>
        <w:rPr>
          <w:rFonts w:hint="eastAsia" w:ascii="宋体" w:hAnsi="宋体" w:cs="宋体"/>
          <w:bCs/>
          <w:color w:val="auto"/>
          <w:szCs w:val="21"/>
          <w:highlight w:val="none"/>
          <w:lang w:val="en-US" w:eastAsia="zh-CN" w:bidi="ar"/>
        </w:rPr>
        <w:t>3</w:t>
      </w:r>
      <w:r>
        <w:rPr>
          <w:rFonts w:hint="eastAsia" w:ascii="宋体" w:hAnsi="宋体" w:cs="宋体"/>
          <w:bCs/>
          <w:color w:val="auto"/>
          <w:szCs w:val="21"/>
          <w:highlight w:val="none"/>
          <w:lang w:bidi="ar"/>
        </w:rPr>
        <w:t>《宁波市市政设施管理条例》（2016年）；</w:t>
      </w:r>
    </w:p>
    <w:p w14:paraId="2EBD41F8">
      <w:pPr>
        <w:spacing w:line="360" w:lineRule="auto"/>
        <w:ind w:firstLine="420" w:firstLineChars="200"/>
        <w:contextualSpacing/>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2.1</w:t>
      </w:r>
      <w:r>
        <w:rPr>
          <w:rFonts w:hint="eastAsia" w:ascii="宋体" w:hAnsi="宋体" w:cs="宋体"/>
          <w:bCs/>
          <w:color w:val="auto"/>
          <w:szCs w:val="21"/>
          <w:highlight w:val="none"/>
          <w:lang w:val="en-US" w:eastAsia="zh-CN" w:bidi="ar"/>
        </w:rPr>
        <w:t>4</w:t>
      </w:r>
      <w:r>
        <w:rPr>
          <w:rFonts w:hint="eastAsia" w:ascii="宋体" w:hAnsi="宋体" w:cs="宋体"/>
          <w:bCs/>
          <w:color w:val="auto"/>
          <w:szCs w:val="21"/>
          <w:highlight w:val="none"/>
          <w:lang w:bidi="ar"/>
        </w:rPr>
        <w:t>《宁波市城市道路养护技术规程》（DB3302/T 1069-2016）；</w:t>
      </w:r>
    </w:p>
    <w:p w14:paraId="0EF9EBA4">
      <w:pPr>
        <w:adjustRightInd/>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bCs/>
          <w:color w:val="auto"/>
          <w:szCs w:val="21"/>
          <w:highlight w:val="none"/>
          <w:lang w:bidi="ar"/>
        </w:rPr>
        <w:t>2.1</w:t>
      </w:r>
      <w:r>
        <w:rPr>
          <w:rFonts w:hint="eastAsia" w:ascii="宋体" w:hAnsi="宋体" w:cs="宋体"/>
          <w:bCs/>
          <w:color w:val="auto"/>
          <w:szCs w:val="21"/>
          <w:highlight w:val="none"/>
          <w:lang w:val="en-US" w:eastAsia="zh-CN" w:bidi="ar"/>
        </w:rPr>
        <w:t>5</w:t>
      </w:r>
      <w:r>
        <w:rPr>
          <w:rFonts w:hint="eastAsia" w:ascii="宋体" w:hAnsi="宋体" w:cs="宋体"/>
          <w:bCs/>
          <w:color w:val="auto"/>
          <w:szCs w:val="21"/>
          <w:highlight w:val="none"/>
          <w:lang w:bidi="ar"/>
        </w:rPr>
        <w:t>《关于推进宁波市市政设施精细化管理工作的通知》（2020年）；</w:t>
      </w:r>
    </w:p>
    <w:p w14:paraId="7F529F78">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2.1</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国家、浙江省、宁波市及鄞州区有关政策规定以及其它采购人认可的标准及规范。</w:t>
      </w:r>
    </w:p>
    <w:p w14:paraId="6B62FEDA">
      <w:pPr>
        <w:spacing w:line="360" w:lineRule="auto"/>
        <w:ind w:firstLine="422" w:firstLineChars="200"/>
        <w:contextualSpacing/>
        <w:rPr>
          <w:rFonts w:hint="eastAsia" w:ascii="宋体" w:hAnsi="宋体" w:cs="宋体"/>
          <w:bCs/>
          <w:color w:val="auto"/>
          <w:szCs w:val="21"/>
          <w:highlight w:val="none"/>
          <w:lang w:bidi="ar"/>
        </w:rPr>
      </w:pPr>
      <w:r>
        <w:rPr>
          <w:rFonts w:hint="eastAsia" w:ascii="宋体" w:hAnsi="宋体" w:cs="宋体"/>
          <w:b/>
          <w:bCs/>
          <w:color w:val="auto"/>
          <w:kern w:val="0"/>
          <w:szCs w:val="21"/>
          <w:highlight w:val="none"/>
        </w:rPr>
        <w:t>注：本技术要求所列的规范、标准不意味着全部的或最新的，投标人必须执行国家、地方、有关机构所有相关的技术规范与标准，且确保所采用的技术规范、标准必须是国家或有关机构发布的最新版本，无论此版本在此有无提及。</w:t>
      </w:r>
    </w:p>
    <w:p w14:paraId="487AE048">
      <w:pPr>
        <w:tabs>
          <w:tab w:val="left" w:pos="0"/>
        </w:tabs>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3、技术服务要求</w:t>
      </w:r>
    </w:p>
    <w:p w14:paraId="42187F55">
      <w:pPr>
        <w:adjustRightInd/>
        <w:spacing w:line="360" w:lineRule="auto"/>
        <w:ind w:firstLine="420" w:firstLineChars="200"/>
        <w:jc w:val="left"/>
        <w:outlineLvl w:val="1"/>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3.1在合同期内，采购人新增接管路段的巡查及养护工作由中标人负责接收落实，新增巡查、日常养护的工程量在接管后下一月度按实计入，巡查、维修标准参照本项目合同，由此产生的巡查费等包干费用不另行支付，日常养护维修费用按预算定额结合中标折扣统一结算。</w:t>
      </w:r>
    </w:p>
    <w:p w14:paraId="4A51423F">
      <w:pPr>
        <w:adjustRightInd/>
        <w:spacing w:line="360" w:lineRule="auto"/>
        <w:ind w:firstLine="420" w:firstLineChars="200"/>
        <w:jc w:val="left"/>
        <w:outlineLvl w:val="1"/>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3.2为做好节假日、重要会议及活动保障、防汛防台、防雪抗冻等应急处理工作，要求中标人落实24小时值班制应急人员、车辆，以确保城区道路的安全畅通，应急时间值班人员不少于3人，应急情况处理时应保证不少于10人的抢修团队，以及备有不少于水泵</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台、发电机2台、雨衣雨鞋</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0套、应急强光手电</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0盏、扫把</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0个、沙包</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00个、编织袋500条等物资。应急人员、装备必须无条件服从市、区两级部门的统一指挥。应急演练在服务期限内至少提供1次/年。</w:t>
      </w:r>
      <w:r>
        <w:rPr>
          <w:rFonts w:hint="eastAsia" w:ascii="宋体" w:hAnsi="宋体" w:cs="宋体"/>
          <w:color w:val="auto"/>
          <w:szCs w:val="21"/>
          <w:highlight w:val="none"/>
          <w:lang w:val="en-US" w:eastAsia="zh-CN" w:bidi="ar"/>
        </w:rPr>
        <w:t>应急工作时，经采购人确认的情况下，允许中标人跨区域作业。</w:t>
      </w:r>
    </w:p>
    <w:p w14:paraId="167EF536">
      <w:pPr>
        <w:adjustRightInd/>
        <w:spacing w:line="360" w:lineRule="auto"/>
        <w:ind w:firstLine="420" w:firstLineChars="200"/>
        <w:jc w:val="left"/>
        <w:outlineLvl w:val="1"/>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3.3中标人须在养护区域内的固定办公场所应设置项目部，并安排项目经理等养护管理人员常驻项目部。采购人有权不定期巡视项目部人员到位情况，若项目经理等主要项目组成员无特殊原因不在岗的，视情况在考核中内做出相应处罚。</w:t>
      </w:r>
    </w:p>
    <w:p w14:paraId="2DDBC8E9">
      <w:pPr>
        <w:adjustRightInd/>
        <w:spacing w:line="360" w:lineRule="auto"/>
        <w:ind w:firstLine="420" w:firstLineChars="200"/>
        <w:jc w:val="left"/>
        <w:outlineLvl w:val="1"/>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3.4日常巡查要求：中标人应建立定期巡查制度，重视并做好道路</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桥梁</w:t>
      </w:r>
      <w:r>
        <w:rPr>
          <w:rFonts w:hint="eastAsia" w:ascii="宋体" w:hAnsi="宋体" w:eastAsia="宋体" w:cs="宋体"/>
          <w:color w:val="auto"/>
          <w:szCs w:val="21"/>
          <w:highlight w:val="none"/>
          <w:lang w:bidi="ar"/>
        </w:rPr>
        <w:t>的日常巡查，</w:t>
      </w:r>
      <w:r>
        <w:rPr>
          <w:rFonts w:hint="eastAsia" w:ascii="宋体" w:hAnsi="宋体" w:cs="宋体"/>
          <w:color w:val="auto"/>
          <w:szCs w:val="21"/>
          <w:highlight w:val="none"/>
          <w:lang w:val="en-US" w:eastAsia="zh-CN" w:bidi="ar"/>
        </w:rPr>
        <w:t>建立</w:t>
      </w:r>
      <w:r>
        <w:rPr>
          <w:rFonts w:hint="eastAsia" w:ascii="宋体" w:hAnsi="宋体" w:eastAsia="宋体" w:cs="宋体"/>
          <w:color w:val="auto"/>
          <w:szCs w:val="21"/>
          <w:highlight w:val="none"/>
          <w:lang w:bidi="ar"/>
        </w:rPr>
        <w:t>巡查台账。</w:t>
      </w:r>
      <w:r>
        <w:rPr>
          <w:rFonts w:hint="eastAsia" w:ascii="宋体" w:hAnsi="宋体" w:cs="宋体"/>
          <w:color w:val="000000" w:themeColor="text1"/>
          <w:sz w:val="21"/>
          <w:szCs w:val="21"/>
          <w:highlight w:val="none"/>
          <w:lang w:bidi="ar"/>
          <w14:textFill>
            <w14:solidFill>
              <w14:schemeClr w14:val="tx1"/>
            </w14:solidFill>
          </w14:textFill>
        </w:rPr>
        <w:t>区域内的道路、桥梁路面巡查不少于每日1次，桥梁</w:t>
      </w:r>
      <w:r>
        <w:rPr>
          <w:rFonts w:hint="eastAsia" w:ascii="宋体" w:hAnsi="宋体" w:cs="宋体"/>
          <w:color w:val="000000" w:themeColor="text1"/>
          <w:sz w:val="21"/>
          <w:szCs w:val="21"/>
          <w:highlight w:val="none"/>
          <w14:textFill>
            <w14:solidFill>
              <w14:schemeClr w14:val="tx1"/>
            </w14:solidFill>
          </w14:textFill>
        </w:rPr>
        <w:t>上、下部结构、桥下空间及保护区不少于1次/3天，遇台风天，雨劣气候等特殊情况时需适当增加检查频率，对桥梁桥头沉降情况做好定期观测，不少于每半年一次，并建立“桥头跳车”观测台账。</w:t>
      </w:r>
      <w:r>
        <w:rPr>
          <w:rFonts w:hint="eastAsia" w:ascii="宋体" w:hAnsi="宋体" w:cs="宋体"/>
          <w:color w:val="000000" w:themeColor="text1"/>
          <w:sz w:val="21"/>
          <w:szCs w:val="21"/>
          <w:highlight w:val="none"/>
          <w:lang w:bidi="ar"/>
          <w14:textFill>
            <w14:solidFill>
              <w14:schemeClr w14:val="tx1"/>
            </w14:solidFill>
          </w14:textFill>
        </w:rPr>
        <w:t>并根据巡查结果，提出养护维修意见，采取有效措施予以养护维修，确保路面平整整洁、设施运行状况良好。</w:t>
      </w:r>
    </w:p>
    <w:p w14:paraId="04C5D45C">
      <w:pPr>
        <w:adjustRightInd/>
        <w:spacing w:line="360" w:lineRule="auto"/>
        <w:ind w:firstLine="420" w:firstLineChars="200"/>
        <w:jc w:val="left"/>
        <w:outlineLvl w:val="1"/>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中标人有责任发现并及时制止道路占用、违章挖掘</w:t>
      </w:r>
      <w:r>
        <w:rPr>
          <w:rFonts w:hint="eastAsia" w:ascii="宋体" w:hAnsi="宋体" w:cs="宋体"/>
          <w:color w:val="auto"/>
          <w:szCs w:val="21"/>
          <w:highlight w:val="none"/>
          <w:lang w:eastAsia="zh-CN" w:bidi="ar"/>
        </w:rPr>
        <w:t>、桥下空间占用</w:t>
      </w:r>
      <w:r>
        <w:rPr>
          <w:rFonts w:hint="eastAsia" w:ascii="宋体" w:hAnsi="宋体" w:eastAsia="宋体" w:cs="宋体"/>
          <w:color w:val="auto"/>
          <w:szCs w:val="21"/>
          <w:highlight w:val="none"/>
          <w:lang w:bidi="ar"/>
        </w:rPr>
        <w:t>等道路范围内的设施，免遭人为、施工等因素导致的损坏和侵害，并做好上报及赔偿、修复的调查工作。通过多种巡查方式发现并在规定时间内消除道路坑洞、人行道破损等具有安全隐患的道路</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桥梁</w:t>
      </w:r>
      <w:r>
        <w:rPr>
          <w:rFonts w:hint="eastAsia" w:ascii="宋体" w:hAnsi="宋体" w:eastAsia="宋体" w:cs="宋体"/>
          <w:color w:val="auto"/>
          <w:szCs w:val="21"/>
          <w:highlight w:val="none"/>
          <w:lang w:bidi="ar"/>
        </w:rPr>
        <w:t>病害。在重大活动及发包方指定日期期间应增加巡逻频率，配合做好大型公共活动的服务及安全保障工作。</w:t>
      </w:r>
    </w:p>
    <w:p w14:paraId="54AB0D6B">
      <w:pPr>
        <w:adjustRightInd/>
        <w:spacing w:line="360" w:lineRule="auto"/>
        <w:ind w:firstLine="420" w:firstLineChars="200"/>
        <w:jc w:val="left"/>
        <w:outlineLvl w:val="1"/>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3.5桥梁日常保养保洁要求：</w:t>
      </w:r>
    </w:p>
    <w:p w14:paraId="401AB63C">
      <w:pPr>
        <w:adjustRightInd/>
        <w:spacing w:line="360" w:lineRule="auto"/>
        <w:ind w:firstLine="420" w:firstLineChars="200"/>
        <w:jc w:val="left"/>
        <w:outlineLvl w:val="1"/>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1）伸缩缝保养按月包干。包括定期清理、伸缩缝保养，含梳齿钢板螺帽缺失补充、拧紧、灌胶，梳齿钢板松动焊接（养护专项以外的零星小修）。应保证设施日常的清洁和完好，无松动、无破损，无垃圾、无黏土、无腐叶。保养频率不少于1次/月。</w:t>
      </w:r>
    </w:p>
    <w:p w14:paraId="46D20953">
      <w:pPr>
        <w:adjustRightInd/>
        <w:spacing w:line="360" w:lineRule="auto"/>
        <w:ind w:firstLine="420" w:firstLineChars="200"/>
        <w:jc w:val="left"/>
        <w:outlineLvl w:val="1"/>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2）排水系统保养按月包干。要求及时疏通泄水孔、泄水井、排水管等，含PVC管件更换、维修、固定（养护专项以外的零星小修）等。确保排水系统畅通、无堵塞、无积水、无破损、无松动脱落。保养频率不少于1次/月。</w:t>
      </w:r>
    </w:p>
    <w:p w14:paraId="796B7635">
      <w:pPr>
        <w:adjustRightInd/>
        <w:spacing w:line="360" w:lineRule="auto"/>
        <w:ind w:firstLine="420" w:firstLineChars="200"/>
        <w:jc w:val="left"/>
        <w:outlineLvl w:val="1"/>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（3）栏杆清洗按月包干。采用人工清洗，要求保持整洁，底梁等部位均需清洗干净。如出现污渍及时清洗。保养频率不少于1次/月。</w:t>
      </w:r>
    </w:p>
    <w:p w14:paraId="0EC74CC2">
      <w:pPr>
        <w:adjustRightInd/>
        <w:spacing w:line="360" w:lineRule="auto"/>
        <w:ind w:firstLine="420" w:firstLineChars="200"/>
        <w:jc w:val="left"/>
        <w:outlineLvl w:val="1"/>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（4）防撞墙内侧保养按月包干。内侧定期清洗，确保整洁美观，无污渍；包含擦痕修补、水渍修补（养护专项以外的零星小修），保养频率不少于1次/月。</w:t>
      </w:r>
    </w:p>
    <w:p w14:paraId="7DE76EB8">
      <w:pPr>
        <w:adjustRightInd/>
        <w:spacing w:line="360" w:lineRule="auto"/>
        <w:ind w:firstLine="420" w:firstLineChars="200"/>
        <w:jc w:val="left"/>
        <w:outlineLvl w:val="1"/>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（5）隔音屏保养按实结算，计入日常养护维修费中。按需清洗，确保整洁美观，无污渍；螺栓、卡簧、铆钉紧固及缺失修补，下罩板松动固定等。</w:t>
      </w:r>
    </w:p>
    <w:p w14:paraId="29E0936E">
      <w:pPr>
        <w:adjustRightInd/>
        <w:spacing w:line="360" w:lineRule="auto"/>
        <w:ind w:firstLine="420" w:firstLineChars="200"/>
        <w:jc w:val="left"/>
        <w:outlineLvl w:val="1"/>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w:t>
      </w:r>
      <w:r>
        <w:rPr>
          <w:rFonts w:hint="eastAsia" w:ascii="宋体" w:hAnsi="宋体" w:cs="宋体"/>
          <w:color w:val="auto"/>
          <w:szCs w:val="21"/>
          <w:highlight w:val="none"/>
          <w:lang w:val="en-US" w:eastAsia="zh-CN" w:bidi="ar"/>
        </w:rPr>
        <w:t>6</w:t>
      </w:r>
      <w:r>
        <w:rPr>
          <w:rFonts w:hint="eastAsia" w:ascii="宋体" w:hAnsi="宋体" w:eastAsia="宋体" w:cs="宋体"/>
          <w:color w:val="auto"/>
          <w:szCs w:val="21"/>
          <w:highlight w:val="none"/>
          <w:lang w:bidi="ar"/>
        </w:rPr>
        <w:t>养护要求：中标人应做好道路</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桥梁</w:t>
      </w:r>
      <w:r>
        <w:rPr>
          <w:rFonts w:hint="eastAsia" w:ascii="宋体" w:hAnsi="宋体" w:eastAsia="宋体" w:cs="宋体"/>
          <w:color w:val="auto"/>
          <w:szCs w:val="21"/>
          <w:highlight w:val="none"/>
          <w:lang w:bidi="ar"/>
        </w:rPr>
        <w:t>及其附属设施的日常养护、日常维修（零星维修和专修维修），具体包括如下：</w:t>
      </w:r>
    </w:p>
    <w:p w14:paraId="3D9151F3">
      <w:pPr>
        <w:adjustRightInd/>
        <w:spacing w:line="360" w:lineRule="auto"/>
        <w:ind w:firstLine="420" w:firstLineChars="200"/>
        <w:jc w:val="left"/>
        <w:outlineLvl w:val="1"/>
        <w:rPr>
          <w:rFonts w:hint="eastAsia" w:ascii="宋体" w:hAnsi="宋体" w:eastAsia="宋体" w:cs="宋体"/>
          <w:color w:val="auto"/>
          <w:szCs w:val="21"/>
          <w:highlight w:val="none"/>
          <w:lang w:bidi="ar"/>
        </w:rPr>
      </w:pPr>
      <w:r>
        <w:rPr>
          <w:rFonts w:hint="eastAsia" w:ascii="宋体" w:hAnsi="宋体" w:cs="宋体"/>
          <w:color w:val="auto"/>
          <w:szCs w:val="21"/>
          <w:highlight w:val="none"/>
          <w:lang w:eastAsia="zh-CN" w:bidi="ar"/>
        </w:rPr>
        <w:t>（</w:t>
      </w:r>
      <w:r>
        <w:rPr>
          <w:rFonts w:hint="eastAsia" w:ascii="宋体" w:hAnsi="宋体" w:eastAsia="宋体" w:cs="宋体"/>
          <w:color w:val="auto"/>
          <w:szCs w:val="21"/>
          <w:highlight w:val="none"/>
          <w:lang w:bidi="ar"/>
        </w:rPr>
        <w:t>1）养护合同签订后一个月内，中标人应上报年度养护方案和季度养护计划。按照采购人相关规定要求编制养护维修计划，并组织实施经采购人认定的养护维修及运行管理计划，在本合同确定的设施养护维修项目及运行管理职责内合理使用养护维修经费。</w:t>
      </w:r>
    </w:p>
    <w:p w14:paraId="4828D03D">
      <w:pPr>
        <w:adjustRightInd/>
        <w:spacing w:line="360" w:lineRule="auto"/>
        <w:ind w:firstLine="420" w:firstLineChars="200"/>
        <w:jc w:val="left"/>
        <w:outlineLvl w:val="1"/>
        <w:rPr>
          <w:rFonts w:hint="eastAsia" w:ascii="宋体" w:hAnsi="宋体" w:eastAsia="宋体" w:cs="宋体"/>
          <w:color w:val="auto"/>
          <w:szCs w:val="21"/>
          <w:highlight w:val="none"/>
          <w:lang w:bidi="ar"/>
        </w:rPr>
      </w:pPr>
      <w:r>
        <w:rPr>
          <w:rFonts w:hint="eastAsia" w:ascii="宋体" w:hAnsi="宋体" w:cs="宋体"/>
          <w:color w:val="auto"/>
          <w:szCs w:val="21"/>
          <w:highlight w:val="none"/>
          <w:lang w:eastAsia="zh-CN" w:bidi="ar"/>
        </w:rPr>
        <w:t>（</w:t>
      </w:r>
      <w:r>
        <w:rPr>
          <w:rFonts w:hint="eastAsia" w:ascii="宋体" w:hAnsi="宋体" w:eastAsia="宋体" w:cs="宋体"/>
          <w:color w:val="auto"/>
          <w:szCs w:val="21"/>
          <w:highlight w:val="none"/>
          <w:lang w:bidi="ar"/>
        </w:rPr>
        <w:t>2）对于涉及交通改道、基础保养等特殊要求的维修项目，需按采购人要求做好专项方案和计划作业书，报采购人审批。</w:t>
      </w:r>
    </w:p>
    <w:p w14:paraId="1015F2B7">
      <w:pPr>
        <w:adjustRightInd/>
        <w:spacing w:line="360" w:lineRule="auto"/>
        <w:ind w:firstLine="420" w:firstLineChars="200"/>
        <w:jc w:val="left"/>
        <w:outlineLvl w:val="1"/>
        <w:rPr>
          <w:rFonts w:hint="eastAsia" w:ascii="宋体" w:hAnsi="宋体" w:eastAsia="宋体" w:cs="宋体"/>
          <w:color w:val="auto"/>
          <w:szCs w:val="21"/>
          <w:highlight w:val="none"/>
          <w:lang w:bidi="ar"/>
        </w:rPr>
      </w:pPr>
      <w:r>
        <w:rPr>
          <w:rFonts w:hint="eastAsia" w:ascii="宋体" w:hAnsi="宋体" w:cs="宋体"/>
          <w:color w:val="auto"/>
          <w:szCs w:val="21"/>
          <w:highlight w:val="none"/>
          <w:lang w:eastAsia="zh-CN" w:bidi="ar"/>
        </w:rPr>
        <w:t>（</w:t>
      </w:r>
      <w:r>
        <w:rPr>
          <w:rFonts w:hint="eastAsia" w:ascii="宋体" w:hAnsi="宋体" w:eastAsia="宋体" w:cs="宋体"/>
          <w:color w:val="auto"/>
          <w:szCs w:val="21"/>
          <w:highlight w:val="none"/>
          <w:lang w:bidi="ar"/>
        </w:rPr>
        <w:t>3）建立健全一路一档制度，做好巡查情况报表记录，做好信息反馈工作，内业资料整洁齐全。</w:t>
      </w:r>
    </w:p>
    <w:p w14:paraId="2FBB0641">
      <w:pPr>
        <w:adjustRightInd/>
        <w:spacing w:line="360" w:lineRule="auto"/>
        <w:ind w:firstLine="420" w:firstLineChars="200"/>
        <w:jc w:val="left"/>
        <w:outlineLvl w:val="1"/>
        <w:rPr>
          <w:rFonts w:hint="eastAsia" w:ascii="宋体" w:hAnsi="宋体" w:eastAsia="宋体" w:cs="宋体"/>
          <w:color w:val="auto"/>
          <w:szCs w:val="21"/>
          <w:highlight w:val="none"/>
          <w:lang w:bidi="ar"/>
        </w:rPr>
      </w:pPr>
      <w:r>
        <w:rPr>
          <w:rFonts w:hint="eastAsia" w:ascii="宋体" w:hAnsi="宋体" w:cs="宋体"/>
          <w:color w:val="auto"/>
          <w:szCs w:val="21"/>
          <w:highlight w:val="none"/>
          <w:lang w:eastAsia="zh-CN" w:bidi="ar"/>
        </w:rPr>
        <w:t>（</w:t>
      </w:r>
      <w:r>
        <w:rPr>
          <w:rFonts w:hint="eastAsia" w:ascii="宋体" w:hAnsi="宋体" w:eastAsia="宋体" w:cs="宋体"/>
          <w:color w:val="auto"/>
          <w:szCs w:val="21"/>
          <w:highlight w:val="none"/>
          <w:lang w:bidi="ar"/>
        </w:rPr>
        <w:t>4）做好养管范围内智慧城管案件、市民信访案件中的设施维修、应急响应等现场处理工作，处置率达到100%，及时处理率达到100%，收到智慧城管案件信息后，应在平台规定时限内完成案件处置</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未及时完成的进行相应扣罚</w:t>
      </w:r>
      <w:r>
        <w:rPr>
          <w:rFonts w:hint="eastAsia" w:ascii="宋体" w:hAnsi="宋体" w:eastAsia="宋体" w:cs="宋体"/>
          <w:color w:val="auto"/>
          <w:szCs w:val="21"/>
          <w:highlight w:val="none"/>
          <w:lang w:bidi="ar"/>
        </w:rPr>
        <w:t>。</w:t>
      </w:r>
    </w:p>
    <w:p w14:paraId="0BCBFACF">
      <w:pPr>
        <w:adjustRightInd/>
        <w:spacing w:line="360" w:lineRule="auto"/>
        <w:ind w:firstLine="420" w:firstLineChars="200"/>
        <w:jc w:val="left"/>
        <w:outlineLvl w:val="1"/>
        <w:rPr>
          <w:rFonts w:hint="eastAsia" w:ascii="宋体" w:hAnsi="宋体" w:eastAsia="宋体" w:cs="宋体"/>
          <w:color w:val="auto"/>
          <w:szCs w:val="21"/>
          <w:highlight w:val="none"/>
          <w:lang w:bidi="ar"/>
        </w:rPr>
      </w:pPr>
      <w:r>
        <w:rPr>
          <w:rFonts w:hint="eastAsia" w:ascii="宋体" w:hAnsi="宋体" w:cs="宋体"/>
          <w:color w:val="auto"/>
          <w:szCs w:val="21"/>
          <w:highlight w:val="none"/>
          <w:lang w:eastAsia="zh-CN" w:bidi="ar"/>
        </w:rPr>
        <w:t>（</w:t>
      </w:r>
      <w:r>
        <w:rPr>
          <w:rFonts w:hint="eastAsia" w:ascii="宋体" w:hAnsi="宋体" w:eastAsia="宋体" w:cs="宋体"/>
          <w:color w:val="auto"/>
          <w:szCs w:val="21"/>
          <w:highlight w:val="none"/>
          <w:lang w:bidi="ar"/>
        </w:rPr>
        <w:t>5）配合采购人进行设施考核和日常安全、质量检查与考核。</w:t>
      </w:r>
    </w:p>
    <w:p w14:paraId="44233E9E">
      <w:pPr>
        <w:adjustRightInd/>
        <w:spacing w:line="360" w:lineRule="auto"/>
        <w:ind w:firstLine="420" w:firstLineChars="200"/>
        <w:jc w:val="left"/>
        <w:outlineLvl w:val="1"/>
        <w:rPr>
          <w:rFonts w:hint="eastAsia" w:ascii="宋体" w:hAnsi="宋体" w:eastAsia="宋体" w:cs="宋体"/>
          <w:color w:val="auto"/>
          <w:szCs w:val="21"/>
          <w:highlight w:val="none"/>
          <w:lang w:bidi="ar"/>
        </w:rPr>
      </w:pPr>
      <w:r>
        <w:rPr>
          <w:rFonts w:hint="eastAsia" w:ascii="宋体" w:hAnsi="宋体" w:cs="宋体"/>
          <w:color w:val="auto"/>
          <w:szCs w:val="21"/>
          <w:highlight w:val="none"/>
          <w:lang w:eastAsia="zh-CN" w:bidi="ar"/>
        </w:rPr>
        <w:t>（</w:t>
      </w:r>
      <w:r>
        <w:rPr>
          <w:rFonts w:hint="eastAsia" w:ascii="宋体" w:hAnsi="宋体" w:eastAsia="宋体" w:cs="宋体"/>
          <w:color w:val="auto"/>
          <w:szCs w:val="21"/>
          <w:highlight w:val="none"/>
          <w:lang w:bidi="ar"/>
        </w:rPr>
        <w:t>6）中标人自行办理养护工作中所需车辆的通行相关证件。</w:t>
      </w:r>
    </w:p>
    <w:p w14:paraId="05485DEE">
      <w:pPr>
        <w:widowControl/>
        <w:adjustRightInd/>
        <w:spacing w:line="360" w:lineRule="auto"/>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（7</w:t>
      </w:r>
      <w:r>
        <w:rPr>
          <w:rFonts w:ascii="宋体" w:hAnsi="宋体" w:cs="宋体"/>
          <w:color w:val="auto"/>
          <w:kern w:val="0"/>
          <w:szCs w:val="21"/>
          <w:highlight w:val="none"/>
          <w:lang w:bidi="ar"/>
        </w:rPr>
        <w:t>）巡查车辆在投入使用时应喷涂</w:t>
      </w:r>
      <w:r>
        <w:rPr>
          <w:rFonts w:hint="eastAsia" w:ascii="宋体" w:hAnsi="宋体" w:cs="宋体"/>
          <w:color w:val="auto"/>
          <w:kern w:val="0"/>
          <w:szCs w:val="21"/>
          <w:highlight w:val="none"/>
          <w:lang w:bidi="ar"/>
        </w:rPr>
        <w:t>采购人</w:t>
      </w:r>
      <w:r>
        <w:rPr>
          <w:rFonts w:ascii="宋体" w:hAnsi="宋体" w:cs="宋体"/>
          <w:color w:val="auto"/>
          <w:kern w:val="0"/>
          <w:szCs w:val="21"/>
          <w:highlight w:val="none"/>
          <w:lang w:bidi="ar"/>
        </w:rPr>
        <w:t>要求的标识，并随车附带安全警示设备，同时，为施工人员购买统一的反光背心、工作服。</w:t>
      </w:r>
    </w:p>
    <w:p w14:paraId="2EE25314">
      <w:pPr>
        <w:widowControl/>
        <w:adjustRightInd/>
        <w:spacing w:line="360" w:lineRule="auto"/>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（8</w:t>
      </w:r>
      <w:r>
        <w:rPr>
          <w:rFonts w:ascii="宋体" w:hAnsi="宋体" w:cs="宋体"/>
          <w:color w:val="auto"/>
          <w:kern w:val="0"/>
          <w:szCs w:val="21"/>
          <w:highlight w:val="none"/>
          <w:lang w:bidi="ar"/>
        </w:rPr>
        <w:t>）所有巡查及施工人员都应做到安全作业、文明作业，养护单位应全权负责一线作业人员的安全教育及安全责任，购买人身意外伤害及相关保险以保障自身权益。</w:t>
      </w:r>
    </w:p>
    <w:p w14:paraId="2F53FBA9">
      <w:pPr>
        <w:spacing w:line="360" w:lineRule="auto"/>
        <w:ind w:firstLine="422"/>
        <w:rPr>
          <w:rFonts w:hint="eastAsia" w:ascii="宋体" w:hAnsi="宋体" w:cs="宋体"/>
          <w:color w:val="auto"/>
          <w:szCs w:val="21"/>
          <w:highlight w:val="none"/>
          <w:lang w:bidi="ar"/>
        </w:rPr>
      </w:pPr>
      <w:r>
        <w:rPr>
          <w:rFonts w:hint="eastAsia" w:ascii="宋体" w:hAnsi="宋体" w:cs="宋体"/>
          <w:color w:val="auto"/>
          <w:kern w:val="0"/>
          <w:szCs w:val="21"/>
          <w:highlight w:val="none"/>
          <w:lang w:val="en-US" w:eastAsia="zh-CN" w:bidi="ar"/>
        </w:rPr>
        <w:t>（9</w:t>
      </w:r>
      <w:r>
        <w:rPr>
          <w:rFonts w:ascii="宋体" w:hAnsi="宋体" w:cs="宋体"/>
          <w:color w:val="auto"/>
          <w:kern w:val="0"/>
          <w:szCs w:val="21"/>
          <w:highlight w:val="none"/>
          <w:lang w:bidi="ar"/>
        </w:rPr>
        <w:t>）</w:t>
      </w:r>
      <w:r>
        <w:rPr>
          <w:rFonts w:hint="eastAsia" w:ascii="宋体" w:hAnsi="宋体" w:cs="宋体"/>
          <w:color w:val="auto"/>
          <w:kern w:val="0"/>
          <w:szCs w:val="21"/>
          <w:highlight w:val="none"/>
          <w:lang w:bidi="ar"/>
        </w:rPr>
        <w:t>项目经理</w:t>
      </w:r>
      <w:r>
        <w:rPr>
          <w:rFonts w:ascii="宋体" w:hAnsi="宋体" w:cs="宋体"/>
          <w:color w:val="auto"/>
          <w:kern w:val="0"/>
          <w:szCs w:val="21"/>
          <w:highlight w:val="none"/>
          <w:lang w:bidi="ar"/>
        </w:rPr>
        <w:t>不得违反本市建设行政主管部门对</w:t>
      </w:r>
      <w:r>
        <w:rPr>
          <w:rFonts w:hint="eastAsia" w:ascii="宋体" w:hAnsi="宋体" w:cs="宋体"/>
          <w:color w:val="auto"/>
          <w:kern w:val="0"/>
          <w:szCs w:val="21"/>
          <w:highlight w:val="none"/>
          <w:lang w:bidi="ar"/>
        </w:rPr>
        <w:t>项目经理</w:t>
      </w:r>
      <w:r>
        <w:rPr>
          <w:rFonts w:ascii="宋体" w:hAnsi="宋体" w:cs="宋体"/>
          <w:color w:val="auto"/>
          <w:kern w:val="0"/>
          <w:szCs w:val="21"/>
          <w:highlight w:val="none"/>
          <w:lang w:bidi="ar"/>
        </w:rPr>
        <w:t>的管理规定。未经</w:t>
      </w:r>
      <w:r>
        <w:rPr>
          <w:rFonts w:hint="eastAsia" w:ascii="宋体" w:hAnsi="宋体" w:cs="宋体"/>
          <w:color w:val="auto"/>
          <w:kern w:val="0"/>
          <w:szCs w:val="21"/>
          <w:highlight w:val="none"/>
          <w:lang w:bidi="ar"/>
        </w:rPr>
        <w:t>采购</w:t>
      </w:r>
      <w:r>
        <w:rPr>
          <w:rFonts w:ascii="宋体" w:hAnsi="宋体" w:cs="宋体"/>
          <w:color w:val="auto"/>
          <w:kern w:val="0"/>
          <w:szCs w:val="21"/>
          <w:highlight w:val="none"/>
          <w:lang w:bidi="ar"/>
        </w:rPr>
        <w:t>人书面许可，不得擅自更换人员</w:t>
      </w:r>
      <w:r>
        <w:rPr>
          <w:rFonts w:hint="eastAsia" w:ascii="宋体" w:hAnsi="宋体" w:cs="宋体"/>
          <w:color w:val="auto"/>
          <w:szCs w:val="21"/>
          <w:highlight w:val="none"/>
          <w:lang w:bidi="ar"/>
        </w:rPr>
        <w:t>。</w:t>
      </w:r>
    </w:p>
    <w:p w14:paraId="4FF519C8">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7</w:t>
      </w:r>
      <w:r>
        <w:rPr>
          <w:rFonts w:hint="eastAsia" w:ascii="宋体" w:hAnsi="宋体" w:cs="宋体"/>
          <w:color w:val="auto"/>
          <w:szCs w:val="21"/>
          <w:highlight w:val="none"/>
          <w:lang w:bidi="ar"/>
        </w:rPr>
        <w:t>安全标准</w:t>
      </w:r>
    </w:p>
    <w:p w14:paraId="025032AE">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1）突出“安全第一、预防为主”方针，贯彻工作避高峰，快速施工原则，注重安全文明施工与环境保护，根据养护工作实际情况，制定安全文明施工与环境保护具体措施，最大限度地减少对附近区域市容环卫和交通运行影响。</w:t>
      </w:r>
    </w:p>
    <w:p w14:paraId="528C144D">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（2）日常巡查、检测、维修等养护工作应做好安全防护工作，确保作业人员、设备及路过行人、车辆的安全。</w:t>
      </w:r>
    </w:p>
    <w:p w14:paraId="2EE78B47">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（3）养护作业安全设施应干净整洁，功能完善。对于破损、污染、功能缺失的养护作业安全设施应及时更新修复。</w:t>
      </w:r>
    </w:p>
    <w:p w14:paraId="53F64A91">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（4）进行养护维修作业的人员必须按规定统一着装，穿戴带有反光标志的工作套装和安全帽，高空作业必须系安全带，水上作业必须穿戴救生衣等。现场管理人员必须穿戴反光背心和安全帽。</w:t>
      </w:r>
    </w:p>
    <w:p w14:paraId="6FD5FDB1">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（5）中标人必须对作业人员进行安全教育和技术培训，严格遵守各项安全技术操作规程。</w:t>
      </w:r>
    </w:p>
    <w:p w14:paraId="4348F002">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（6）中标人应根据作业面积大小、道路交通情况，编制相应的施工组织设计、安全文明施工方案、交通组织方案等，并做好上报工作。</w:t>
      </w:r>
    </w:p>
    <w:p w14:paraId="2C0FBA50">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7）长期定点养护作业和交通流量大的道路短期定点养护作业，中标人应制定详尽的、可操作性的交通疏导方案和应急方案，并按要求向交警部门办理相关的审批手续，所发生的一切费用均由中标人自行承担。审批手续经交警部门批准后，中标人应按照审批意见及要求，设置相应的标志与设施，进行必要的安全维护，以确保作业期间的交通安全。</w:t>
      </w:r>
    </w:p>
    <w:p w14:paraId="16286F15">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（8）在养护维修作业时，应按《宁波市建设工地围挡指导及标准范例》（2018版）及现场实际情况设置养护作业安全设施，在交通繁忙路段作业或夜间大修工程作业时，中标人需指派专人负责维持交通。</w:t>
      </w:r>
    </w:p>
    <w:p w14:paraId="7605446D">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（9）养护作业人员应在批准的作业时间内进行作业，超过批准的作业时间，应事先与管理部门取得联系，得到延时施工允许后，方可继续施工。</w:t>
      </w:r>
    </w:p>
    <w:p w14:paraId="753FE513">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（10）养护维修作业的安全设施应始终处于良好的工作状态，未经允许任何人不得随意撤除或改变安全设施的位置、扩大或缩小养护维修作业控制区范围。在经批准临时占用的区域，应当按批准的占地范围和 使用性质存放、堆卸材料、机具设备并保证场地清洁、堆放有序。</w:t>
      </w:r>
    </w:p>
    <w:p w14:paraId="42969E3B">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（11）养护作业人员必须自觉遵守交通法规，应在作业维护区内施工，严禁侵占正常通行车道。严禁作业人员随意横穿马路，随意抛掷工具材料。</w:t>
      </w:r>
    </w:p>
    <w:p w14:paraId="3A750D0D">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（12）各种施工机械进场须经过安全检查，合格后方能使用。施工机械操作人员必须依照有关规定持证上岗，文明驾驶，禁止无证人员操作。</w:t>
      </w:r>
    </w:p>
    <w:p w14:paraId="46418C39">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（13）不划定作业区域的移动养护作业应设置可移动的安全标志，移动养护作业车辆不得随意停车和上下人员。</w:t>
      </w:r>
    </w:p>
    <w:p w14:paraId="0106CFDC">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（14）养护作业的安全防护工作包括交通导改、攀登作业、悬空作业、操作平台的安全防护。用电、焊接、动用明火等应符合宁波市及国家安全作业相关法律、法规的规定。</w:t>
      </w:r>
    </w:p>
    <w:p w14:paraId="35913209">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（15）夜间养护维修作业前时，应做好附近居民公告、解释工作。鼓励中标人采用新工艺、新技术，尽量减少施工噪音、粉尘等对居民的影响。</w:t>
      </w:r>
    </w:p>
    <w:p w14:paraId="78EB1072">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（16）夜间养护维修作业时，养护维修作业工作区内的照明应满足作业条件，并覆盖整个工作区域。</w:t>
      </w:r>
    </w:p>
    <w:p w14:paraId="404B105F">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（17）养护维修作业时应根据工作实际情况，了解可能涉及的各种管线和公共设施（煤气、水管、电缆、光缆、架空线等），施工期间采取相应的措施进行保护，必要时应与产权单位联系，取得配合。</w:t>
      </w:r>
    </w:p>
    <w:p w14:paraId="6D918096">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（18）养护维修作业安全文明施工具体要求包括但不限于上述内容，在养护作业时应当符合有关法律、法规、规章和标准的规定，确保作业人员和设备的安全，以及行人和通行车辆的安全与畅通。</w:t>
      </w:r>
    </w:p>
    <w:p w14:paraId="571F64C4">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8</w:t>
      </w:r>
      <w:r>
        <w:rPr>
          <w:rFonts w:hint="eastAsia" w:ascii="宋体" w:hAnsi="宋体" w:cs="宋体"/>
          <w:color w:val="auto"/>
          <w:szCs w:val="21"/>
          <w:highlight w:val="none"/>
          <w:lang w:bidi="ar"/>
        </w:rPr>
        <w:t>质量要求</w:t>
      </w:r>
    </w:p>
    <w:p w14:paraId="2B0163FF">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（1）养护维修应严格按照《城镇道路养护技术规范》及其它现行的国家或地方施工验收规范和质量评定标准进行作业。</w:t>
      </w:r>
    </w:p>
    <w:p w14:paraId="326949CE">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（2）若中标人质量不符国家、地方相关检验标准的，采购人可要求中标人无偿返工。</w:t>
      </w:r>
    </w:p>
    <w:p w14:paraId="64AFCA44">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（3）对于中标人经整改仍达不到相关检验标准的，采购人不结算该部分工程量；采购人有权邀请第三方完成以上养护维修任务，维修费由中标人支付。</w:t>
      </w:r>
    </w:p>
    <w:p w14:paraId="1C69242B">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（4）沥青用料、抽芯应符合要求，若中标人对检测结果有异议，需在15日内提出申请进行复测，复测费用由中标人承担。</w:t>
      </w:r>
    </w:p>
    <w:p w14:paraId="7BF500DA">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lang w:bidi="ar"/>
        </w:rPr>
        <w:t>4、档案资料要求</w:t>
      </w:r>
    </w:p>
    <w:p w14:paraId="48EC7279">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4.1养管工作须做好文字和影像记录（影像记录须含水印），做好台帐的整理和归档工作，建立养管工作的“追溯机制”，以备检查。</w:t>
      </w:r>
    </w:p>
    <w:p w14:paraId="13E135A0">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4.2每年对日常巡查、养护维修、清洁维护、专项维修、应急抢险、防台防汛等工作进行总结，形成年度养管报告并存档。</w:t>
      </w:r>
    </w:p>
    <w:p w14:paraId="0D95BE60">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4.3中标人应加强电子档案建立归档等，各项养护作业记录，巡检记录、计量记录等应及时整理、录入、入档。</w:t>
      </w:r>
    </w:p>
    <w:p w14:paraId="6956CF06">
      <w:pPr>
        <w:spacing w:line="360" w:lineRule="auto"/>
        <w:ind w:firstLine="422"/>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5、</w:t>
      </w:r>
      <w:r>
        <w:rPr>
          <w:rFonts w:hint="eastAsia" w:ascii="宋体" w:hAnsi="宋体" w:cs="宋体"/>
          <w:b/>
          <w:bCs/>
          <w:color w:val="auto"/>
          <w:kern w:val="0"/>
          <w:szCs w:val="21"/>
          <w:highlight w:val="none"/>
          <w:lang w:bidi="ar"/>
        </w:rPr>
        <w:t>特别要求</w:t>
      </w:r>
    </w:p>
    <w:p w14:paraId="55D881F0">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5.1招标文件“第五部分 拟签订的合同文本”包括了保险服务合同及三方合同，投标人应仔细阅读合同条款；中标人在与采购人签订养护服务合同后，还须与采购人及保险公司签订三方合同。</w:t>
      </w:r>
    </w:p>
    <w:p w14:paraId="769EC435">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5.2中标人应投保团体人身意外伤害保险（保额不低于100万/人)与建筑工程一切险（含第三者责任险每人限额不低于100万）。合同服务范围内（因战争、地震、海啸等不可抗力造成的除外）因中标人直接或间接原因发生安全事故，造成人员伤亡或财产损失的，由中标人承担相应责任，情节严重的予以追究法律责任。</w:t>
      </w:r>
    </w:p>
    <w:p w14:paraId="59135BB9">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5.3在养护工作与维修工作实施中，鼓励中标人应用新技术、新工艺、新材料、新设备；移交接管前做好设施完好情况核查，并出具相关建议。</w:t>
      </w:r>
    </w:p>
    <w:p w14:paraId="3EED5CEC">
      <w:pPr>
        <w:spacing w:line="360" w:lineRule="auto"/>
        <w:ind w:firstLine="422"/>
        <w:rPr>
          <w:rFonts w:ascii="宋体" w:hAnsi="宋体" w:cs="宋体"/>
          <w:b/>
          <w:bCs/>
          <w:color w:val="auto"/>
          <w:szCs w:val="21"/>
          <w:highlight w:val="none"/>
          <w:lang w:bidi="ar"/>
        </w:rPr>
      </w:pPr>
      <w:r>
        <w:rPr>
          <w:rFonts w:hint="eastAsia" w:ascii="宋体" w:hAnsi="宋体" w:cs="宋体"/>
          <w:b/>
          <w:bCs/>
          <w:color w:val="auto"/>
          <w:szCs w:val="21"/>
          <w:highlight w:val="none"/>
          <w:lang w:bidi="ar"/>
        </w:rPr>
        <w:t>6、费用支付</w:t>
      </w:r>
    </w:p>
    <w:p w14:paraId="6A69D93C">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本项目费用包括包干费用与日常维修费用（按实结算），包干费用由采购人支付，日常维修费用（按实结算）由采购人确定的保险公司赔付，具体方式为：</w:t>
      </w:r>
    </w:p>
    <w:p w14:paraId="7A5D4A9A">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6.1包干费用（采购人按月支付）：</w:t>
      </w:r>
    </w:p>
    <w:p w14:paraId="6838A2E6">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结算依据：以月度考核评定情况，由采购人按月结算包干费用并支付；中标人需向采购人提供月度巡查记录、月度保洁记录等相关证明材料。</w:t>
      </w:r>
    </w:p>
    <w:p w14:paraId="1FE6E1AA">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实际月度包干费用支付金额=月度包干费用-月度考核处罚-直接经济处罚。</w:t>
      </w:r>
    </w:p>
    <w:p w14:paraId="424084EE">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月度考核处罚与直接经济处罚详见“四、考核方案”。</w:t>
      </w:r>
    </w:p>
    <w:p w14:paraId="6D31ECAC">
      <w:pPr>
        <w:spacing w:line="360" w:lineRule="auto"/>
        <w:ind w:firstLine="422"/>
        <w:rPr>
          <w:rFonts w:hint="eastAsia" w:ascii="宋体" w:hAnsi="宋体" w:cs="宋体"/>
          <w:color w:val="auto"/>
          <w:szCs w:val="21"/>
          <w:highlight w:val="none"/>
          <w:lang w:bidi="ar"/>
        </w:rPr>
      </w:pPr>
      <w:r>
        <w:rPr>
          <w:rFonts w:hint="eastAsia" w:ascii="宋体" w:hAnsi="宋体" w:cs="宋体"/>
          <w:color w:val="auto"/>
          <w:szCs w:val="21"/>
          <w:highlight w:val="none"/>
          <w:lang w:bidi="ar"/>
        </w:rPr>
        <w:t>6.2日常维修费用（按实结算，保险公司按月赔付）</w:t>
      </w:r>
    </w:p>
    <w:p w14:paraId="2B3F15AA">
      <w:pPr>
        <w:spacing w:line="360" w:lineRule="auto"/>
        <w:ind w:firstLine="422"/>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1）结算依据：中标人于每周提交阶段性维修工作清单，由采购人、保险公司确认维修内容及工程量。每月月底对本月已确认清单进行汇总后，中标人于次月向保险公司提交月度结算送审材料，经审计核定后，保险公司根据保险相关赔付流程进行支付。</w:t>
      </w:r>
    </w:p>
    <w:p w14:paraId="4DCE3617">
      <w:pPr>
        <w:spacing w:line="360" w:lineRule="auto"/>
        <w:ind w:firstLine="422"/>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（2）中标人月度结算送审材料应包括以下资料（供参考，最终资料要求由甲、乙、丙三方在合同签订时协商确定）：</w:t>
      </w:r>
    </w:p>
    <w:p w14:paraId="04F82381">
      <w:pPr>
        <w:spacing w:line="360" w:lineRule="auto"/>
        <w:ind w:firstLine="422"/>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1）索赔申请书、出险通知书，损失清单（每周统计一次，每月申报时汇总）；</w:t>
      </w:r>
    </w:p>
    <w:p w14:paraId="2F7D7E7F">
      <w:pPr>
        <w:spacing w:line="360" w:lineRule="auto"/>
        <w:ind w:firstLine="422"/>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2）事故现场照片、视频记录（需要使用水印相机拍摄包括时间、定位）；</w:t>
      </w:r>
    </w:p>
    <w:p w14:paraId="265C0F0C">
      <w:pPr>
        <w:spacing w:line="360" w:lineRule="auto"/>
        <w:ind w:firstLine="422"/>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3）维修款支付报审表（含采购人、中标人、保险公司三方盖章确认）；</w:t>
      </w:r>
    </w:p>
    <w:p w14:paraId="35ACF269">
      <w:pPr>
        <w:spacing w:line="360" w:lineRule="auto"/>
        <w:ind w:firstLine="422"/>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4）维修款申报材料（维修任务单、维修记录、清理记录、审定单、增值税专用发票（按现行建筑行业一般计税税率执行））；</w:t>
      </w:r>
    </w:p>
    <w:p w14:paraId="7E6C1097">
      <w:pPr>
        <w:spacing w:line="360" w:lineRule="auto"/>
        <w:ind w:firstLine="422"/>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5）被保险人营业执照及法人身份证正反面影像（提供身份证正反面影像）。</w:t>
      </w:r>
    </w:p>
    <w:p w14:paraId="381E87A7">
      <w:pPr>
        <w:spacing w:line="360" w:lineRule="auto"/>
        <w:ind w:firstLine="422"/>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（3）零星维修工作中出现未达到质量目标或时效性等的违约情况，经采购人确认，保险公司可在维修经费结算中按标准扣除。</w:t>
      </w:r>
    </w:p>
    <w:p w14:paraId="73DCA656">
      <w:pPr>
        <w:spacing w:line="360" w:lineRule="auto"/>
        <w:ind w:firstLine="422"/>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（4）采购人在有需要时可委托专业单位对零星维修工作的质量、安全、工程量认证方面辅助管理。</w:t>
      </w:r>
    </w:p>
    <w:p w14:paraId="684EBB5A">
      <w:pPr>
        <w:spacing w:line="400" w:lineRule="exact"/>
        <w:ind w:firstLine="422" w:firstLineChars="200"/>
        <w:contextualSpacing/>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6.3实际维修费用赔付金额=审计审定金额。</w:t>
      </w:r>
    </w:p>
    <w:p w14:paraId="23D6830C">
      <w:pPr>
        <w:spacing w:line="400" w:lineRule="exact"/>
        <w:contextualSpacing/>
        <w:rPr>
          <w:rFonts w:hint="eastAsia" w:ascii="宋体" w:hAnsi="宋体" w:cs="宋体"/>
          <w:b/>
          <w:bCs/>
          <w:color w:val="auto"/>
          <w:szCs w:val="21"/>
          <w:highlight w:val="none"/>
          <w:lang w:bidi="ar"/>
        </w:rPr>
      </w:pPr>
      <w:r>
        <w:rPr>
          <w:rFonts w:hint="eastAsia" w:ascii="宋体" w:hAnsi="宋体" w:cs="宋体"/>
          <w:b/>
          <w:bCs/>
          <w:color w:val="auto"/>
          <w:szCs w:val="21"/>
          <w:highlight w:val="none"/>
          <w:lang w:val="en-US" w:eastAsia="zh-CN" w:bidi="ar"/>
        </w:rPr>
        <w:t>五</w:t>
      </w:r>
      <w:r>
        <w:rPr>
          <w:rFonts w:hint="eastAsia" w:ascii="宋体" w:hAnsi="宋体" w:cs="宋体"/>
          <w:b/>
          <w:bCs/>
          <w:color w:val="auto"/>
          <w:szCs w:val="21"/>
          <w:highlight w:val="none"/>
          <w:lang w:bidi="ar"/>
        </w:rPr>
        <w:t>、</w:t>
      </w:r>
      <w:r>
        <w:rPr>
          <w:rFonts w:hint="eastAsia" w:ascii="宋体" w:hAnsi="宋体" w:cs="宋体"/>
          <w:b/>
          <w:bCs/>
          <w:snapToGrid w:val="0"/>
          <w:color w:val="auto"/>
          <w:kern w:val="0"/>
          <w:szCs w:val="21"/>
          <w:highlight w:val="none"/>
          <w:lang w:val="zh-CN"/>
        </w:rPr>
        <w:t>考核方案（合同履行期间，如采购人对具体考核方案需要进行调整时，中标人应无条件服从，并按新考核方案执行。）及扣罚制度</w:t>
      </w:r>
    </w:p>
    <w:p w14:paraId="6C5183B4">
      <w:pPr>
        <w:autoSpaceDE w:val="0"/>
        <w:autoSpaceDN w:val="0"/>
        <w:adjustRightInd/>
        <w:spacing w:line="400" w:lineRule="exact"/>
        <w:ind w:firstLine="420" w:firstLineChars="200"/>
        <w:rPr>
          <w:rFonts w:hint="eastAsia" w:ascii="宋体" w:hAnsi="宋体" w:cs="宋体"/>
          <w:snapToGrid w:val="0"/>
          <w:color w:val="auto"/>
          <w:kern w:val="0"/>
          <w:szCs w:val="21"/>
          <w:highlight w:val="none"/>
          <w:lang w:val="zh-CN"/>
        </w:rPr>
      </w:pPr>
      <w:bookmarkStart w:id="61" w:name="_Hlk185502558"/>
      <w:r>
        <w:rPr>
          <w:rFonts w:hint="eastAsia" w:ascii="宋体" w:hAnsi="宋体" w:cs="宋体"/>
          <w:snapToGrid w:val="0"/>
          <w:color w:val="auto"/>
          <w:kern w:val="0"/>
          <w:szCs w:val="21"/>
          <w:highlight w:val="none"/>
          <w:lang w:val="zh-CN"/>
        </w:rPr>
        <w:t>1、考核方案：《市政设施养护作业综合考核评分表》，后附。</w:t>
      </w:r>
    </w:p>
    <w:p w14:paraId="6AEB640C">
      <w:pPr>
        <w:autoSpaceDE w:val="0"/>
        <w:autoSpaceDN w:val="0"/>
        <w:adjustRightInd/>
        <w:spacing w:line="400" w:lineRule="exact"/>
        <w:ind w:firstLine="420" w:firstLineChars="20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rPr>
        <w:t>1.1月度考核得分在90分及以上的为合格，月度考核得分低于90分的为不合格。</w:t>
      </w:r>
    </w:p>
    <w:p w14:paraId="16E652E4">
      <w:pPr>
        <w:autoSpaceDE w:val="0"/>
        <w:autoSpaceDN w:val="0"/>
        <w:adjustRightInd/>
        <w:spacing w:line="400" w:lineRule="exact"/>
        <w:ind w:firstLine="420" w:firstLineChars="20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rPr>
        <w:t>1.2</w:t>
      </w:r>
      <w:r>
        <w:rPr>
          <w:rFonts w:hint="eastAsia" w:ascii="宋体" w:hAnsi="宋体" w:cs="宋体"/>
          <w:snapToGrid w:val="0"/>
          <w:color w:val="auto"/>
          <w:kern w:val="0"/>
          <w:szCs w:val="21"/>
          <w:highlight w:val="none"/>
          <w:lang w:val="zh-CN"/>
        </w:rPr>
        <w:t>一年度内，月度考核得分累计三个月或连续二个月低于90分的，采购人将终止合同，</w:t>
      </w:r>
      <w:r>
        <w:rPr>
          <w:rFonts w:hint="eastAsia" w:ascii="宋体" w:hAnsi="宋体" w:cs="宋体"/>
          <w:snapToGrid w:val="0"/>
          <w:color w:val="auto"/>
          <w:szCs w:val="21"/>
          <w:highlight w:val="none"/>
          <w:lang w:val="zh-CN"/>
        </w:rPr>
        <w:t>并重新组织招投标，一切损失由该标项中标人负责。</w:t>
      </w:r>
    </w:p>
    <w:p w14:paraId="678F3F07">
      <w:pPr>
        <w:autoSpaceDE w:val="0"/>
        <w:autoSpaceDN w:val="0"/>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snapToGrid w:val="0"/>
          <w:color w:val="auto"/>
          <w:kern w:val="0"/>
          <w:szCs w:val="21"/>
          <w:highlight w:val="none"/>
        </w:rPr>
        <w:t>1.3</w:t>
      </w:r>
      <w:r>
        <w:rPr>
          <w:rFonts w:hint="eastAsia" w:ascii="宋体" w:hAnsi="宋体" w:cs="宋体"/>
          <w:snapToGrid w:val="0"/>
          <w:color w:val="auto"/>
          <w:kern w:val="0"/>
          <w:szCs w:val="21"/>
          <w:highlight w:val="none"/>
          <w:lang w:val="zh-CN"/>
        </w:rPr>
        <w:t>采购人或市、区上级领导部门检查中发现的问题双倍扣分。</w:t>
      </w:r>
    </w:p>
    <w:p w14:paraId="591510D3">
      <w:pPr>
        <w:autoSpaceDE w:val="0"/>
        <w:autoSpaceDN w:val="0"/>
        <w:adjustRightInd/>
        <w:spacing w:line="400" w:lineRule="exact"/>
        <w:ind w:firstLine="420" w:firstLineChars="200"/>
        <w:rPr>
          <w:rFonts w:hint="eastAsia"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2、扣罚制度：</w:t>
      </w:r>
    </w:p>
    <w:p w14:paraId="6E8FA166">
      <w:pPr>
        <w:pStyle w:val="17"/>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lang w:val="en-US"/>
        </w:rPr>
        <w:t>2.1月度考核得分低于90分的扣罚30000元。</w:t>
      </w:r>
    </w:p>
    <w:p w14:paraId="729D44F1">
      <w:pPr>
        <w:pStyle w:val="17"/>
        <w:spacing w:line="400" w:lineRule="exact"/>
        <w:ind w:firstLine="412" w:firstLineChars="200"/>
        <w:contextualSpacing/>
        <w:rPr>
          <w:rFonts w:hint="eastAsia" w:hAnsi="宋体" w:cs="宋体"/>
          <w:color w:val="auto"/>
          <w:sz w:val="21"/>
          <w:highlight w:val="none"/>
        </w:rPr>
      </w:pPr>
      <w:r>
        <w:rPr>
          <w:rFonts w:hint="eastAsia" w:hAnsi="宋体" w:cs="宋体"/>
          <w:color w:val="auto"/>
          <w:spacing w:val="-2"/>
          <w:sz w:val="21"/>
          <w:highlight w:val="none"/>
        </w:rPr>
        <w:t>2.2维修质量不合格的处罚办法：</w:t>
      </w:r>
      <w:r>
        <w:rPr>
          <w:rFonts w:hint="eastAsia" w:hAnsi="宋体" w:cs="宋体"/>
          <w:color w:val="auto"/>
          <w:sz w:val="21"/>
          <w:highlight w:val="none"/>
        </w:rPr>
        <w:t>若维修质量不符国家、地方相关检验标准的，由采购人责令返工的，并按考核标准进行扣罚，同一项目</w:t>
      </w:r>
      <w:r>
        <w:rPr>
          <w:rFonts w:hint="eastAsia" w:hAnsi="宋体" w:cs="宋体"/>
          <w:color w:val="auto"/>
          <w:sz w:val="21"/>
          <w:highlight w:val="none"/>
          <w:lang w:val="en-US"/>
        </w:rPr>
        <w:t>经</w:t>
      </w:r>
      <w:r>
        <w:rPr>
          <w:rFonts w:hint="eastAsia" w:hAnsi="宋体" w:cs="宋体"/>
          <w:color w:val="auto"/>
          <w:sz w:val="21"/>
          <w:highlight w:val="none"/>
        </w:rPr>
        <w:t>整改仍达不到相关检验标准的，该部分工程量不予结算；</w:t>
      </w:r>
      <w:r>
        <w:rPr>
          <w:rFonts w:hint="eastAsia" w:hAnsi="宋体" w:cs="宋体"/>
          <w:color w:val="auto"/>
          <w:sz w:val="21"/>
          <w:highlight w:val="none"/>
          <w:lang w:bidi="ar"/>
        </w:rPr>
        <w:t>采购人有权邀请第三方完成以上养护维修任务，维修费由中标人支付</w:t>
      </w:r>
      <w:r>
        <w:rPr>
          <w:rFonts w:hint="eastAsia" w:hAnsi="宋体" w:cs="宋体"/>
          <w:color w:val="auto"/>
          <w:sz w:val="21"/>
          <w:highlight w:val="none"/>
        </w:rPr>
        <w:t>。</w:t>
      </w:r>
    </w:p>
    <w:p w14:paraId="4482772D">
      <w:pPr>
        <w:pStyle w:val="17"/>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2.3检测指标不合格的处罚办法：采购人可委托第三方检测机构对中标人使用的作业材料进行不定期抽检，若发现检测指标不合格的，每发现一处扣罚</w:t>
      </w:r>
      <w:r>
        <w:rPr>
          <w:rFonts w:hint="eastAsia" w:hAnsi="宋体" w:cs="宋体"/>
          <w:color w:val="auto"/>
          <w:sz w:val="21"/>
          <w:highlight w:val="none"/>
          <w:lang w:val="en-US"/>
        </w:rPr>
        <w:t>10000元，相关抽检费用由中标人承担；如需返工的，中标人必须无条件按要求完成返工</w:t>
      </w:r>
      <w:r>
        <w:rPr>
          <w:rFonts w:hint="eastAsia" w:hAnsi="宋体" w:cs="宋体"/>
          <w:color w:val="auto"/>
          <w:sz w:val="21"/>
          <w:highlight w:val="none"/>
        </w:rPr>
        <w:t>。</w:t>
      </w:r>
    </w:p>
    <w:p w14:paraId="6B4C2AF6">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巡查未按要求的处罚办法：对于中标人未按合同要求落实巡查人员、车辆或应当安排巡查但无故未巡查的，每次扣罚4000元。未按规定巡查频率对区域内的道路进行定期巡查的，发现问题不及时的，每发现一处扣罚1000元。发生道路占用、违章挖掘等未及时上报管理部门，每发现一起扣罚1000元。</w:t>
      </w:r>
    </w:p>
    <w:p w14:paraId="198DAD9B">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2.5维修不及时的处罚办法：原则上沥青路面坑槽修补要求于24小时内完成，人行道维修要求于24小时内完成，每逾期1起，处罚1000元，处罚总额不设上限。</w:t>
      </w:r>
    </w:p>
    <w:p w14:paraId="2E26E7C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内业资料（包括道路巡视记录、市政设施维修养护任务汇总、月度市政设施维修养护结算书、月度设施维修养护计划等）不完善的处罚办法：对于中标人未按有关规定要求做好内业资料的，每发现一次处罚1000元，中标人在接到采购人提出的书面整改意见后，应于一周内完善内业资料。</w:t>
      </w:r>
    </w:p>
    <w:p w14:paraId="467CB07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2.7对于因市政设施受损被市民投诉经采购人核实确认中标人有责</w:t>
      </w:r>
      <w:r>
        <w:rPr>
          <w:rFonts w:hint="eastAsia" w:ascii="宋体" w:hAnsi="宋体" w:cs="宋体"/>
          <w:color w:val="auto"/>
          <w:szCs w:val="21"/>
          <w:highlight w:val="none"/>
          <w:lang w:val="en-US" w:eastAsia="zh-CN"/>
        </w:rPr>
        <w:t>并未及时维修</w:t>
      </w:r>
      <w:r>
        <w:rPr>
          <w:rFonts w:hint="eastAsia" w:ascii="宋体" w:hAnsi="宋体" w:cs="宋体"/>
          <w:color w:val="auto"/>
          <w:szCs w:val="21"/>
          <w:highlight w:val="none"/>
        </w:rPr>
        <w:t>的每起处罚2000元；</w:t>
      </w:r>
      <w:r>
        <w:rPr>
          <w:rFonts w:hint="eastAsia" w:ascii="宋体" w:hAnsi="宋体" w:cs="宋体"/>
          <w:color w:val="auto"/>
          <w:kern w:val="0"/>
          <w:szCs w:val="21"/>
          <w:highlight w:val="none"/>
        </w:rPr>
        <w:t>上级部门点名批评或媒体曝光或造成恶劣影响现象经采购人核实确认中标人有责的</w:t>
      </w:r>
      <w:r>
        <w:rPr>
          <w:rFonts w:hint="eastAsia" w:ascii="宋体" w:hAnsi="宋体" w:cs="宋体"/>
          <w:color w:val="auto"/>
          <w:szCs w:val="21"/>
          <w:highlight w:val="none"/>
        </w:rPr>
        <w:t>，每次扣罚20000元，且采购人有权解除合同。</w:t>
      </w:r>
    </w:p>
    <w:p w14:paraId="0D3A4FCB">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2.8中标人应及时做好智慧城管案件的处置工作，案件处置超时、返工的，每发生一起扣罚1000元。</w:t>
      </w:r>
    </w:p>
    <w:p w14:paraId="0D72D56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2.9中标人若无法满足采购人热沥青供料要求的，每次扣罚20000元。</w:t>
      </w:r>
    </w:p>
    <w:p w14:paraId="2A62F1D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2.10应急保障响应不及时的处罚办法：每次扣罚20000元，出现3次的，采购人有权解除合同。</w:t>
      </w:r>
    </w:p>
    <w:p w14:paraId="067377C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2.11因中标人有责而引起的事故，造成的采购人</w:t>
      </w:r>
      <w:r>
        <w:rPr>
          <w:rFonts w:hint="eastAsia" w:ascii="宋体" w:hAnsi="宋体" w:cs="宋体"/>
          <w:color w:val="auto"/>
          <w:szCs w:val="21"/>
          <w:highlight w:val="none"/>
          <w:lang w:val="en-US" w:eastAsia="zh-CN"/>
        </w:rPr>
        <w:t>产生</w:t>
      </w:r>
      <w:r>
        <w:rPr>
          <w:rFonts w:hint="eastAsia" w:ascii="宋体" w:hAnsi="宋体" w:cs="宋体"/>
          <w:color w:val="auto"/>
          <w:szCs w:val="21"/>
          <w:highlight w:val="none"/>
        </w:rPr>
        <w:t>其他赔偿费用的，采购人有权在每月结算养护费时进行扣罚。</w:t>
      </w:r>
    </w:p>
    <w:p w14:paraId="668A637D">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w:t>
      </w:r>
      <w:r>
        <w:rPr>
          <w:rFonts w:hint="eastAsia" w:ascii="宋体" w:hAnsi="宋体" w:cs="宋体"/>
          <w:color w:val="auto"/>
          <w:szCs w:val="21"/>
          <w:highlight w:val="none"/>
          <w:lang w:val="en-US" w:eastAsia="zh-CN"/>
        </w:rPr>
        <w:t>服务期内</w:t>
      </w:r>
      <w:r>
        <w:rPr>
          <w:rFonts w:hint="eastAsia" w:ascii="宋体" w:hAnsi="宋体" w:cs="宋体"/>
          <w:color w:val="auto"/>
          <w:szCs w:val="21"/>
          <w:highlight w:val="none"/>
        </w:rPr>
        <w:t>，项目经理/技术负责人有其他在建项目的或未经采购人同意擅自更换主要人员（项目经理</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安全员）的，一经发现扣罚</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0000元，且采购人有权解除或终止本合同，由此造成的各项损失均由中标人承担</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经采购人书面同意更换的，每次扣罚10000元</w:t>
      </w:r>
      <w:r>
        <w:rPr>
          <w:rFonts w:hint="eastAsia" w:ascii="宋体" w:hAnsi="宋体" w:cs="宋体"/>
          <w:color w:val="auto"/>
          <w:szCs w:val="21"/>
          <w:highlight w:val="none"/>
        </w:rPr>
        <w:t>。</w:t>
      </w:r>
    </w:p>
    <w:p w14:paraId="7D4285D9">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项目经理须按要求参加重要会议，500平方米及以上沥青路面、400平方米及以上水泥路面、400平方米及以上人行道项目施工期间，项目经理必须到场。因故不能到场须提前请假，无故离场按缺勤计，合同年度内允许请假3次，超过则按项目经理缺勤扣罚5000/次；安全员须做好安全技术指导和现场工作，无故缺勤离场的扣罚3000/次。</w:t>
      </w:r>
    </w:p>
    <w:p w14:paraId="6522BBB6">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2.14中标人应及时做好结算审计配合工作，因中标人原因（第三方原因、不可抗力除外）导致单个结算审计时长超过45日的扣罚3000元/次。</w:t>
      </w:r>
    </w:p>
    <w:p w14:paraId="5BF770AD">
      <w:pPr>
        <w:pStyle w:val="17"/>
        <w:spacing w:line="400" w:lineRule="exact"/>
        <w:ind w:firstLine="420" w:firstLineChars="200"/>
        <w:contextualSpacing/>
        <w:rPr>
          <w:rFonts w:hint="eastAsia" w:hAnsi="宋体" w:cs="宋体"/>
          <w:color w:val="auto"/>
          <w:sz w:val="21"/>
          <w:highlight w:val="none"/>
          <w:lang w:val="en-US"/>
        </w:rPr>
      </w:pPr>
      <w:r>
        <w:rPr>
          <w:rFonts w:hint="eastAsia" w:hAnsi="宋体" w:cs="宋体"/>
          <w:color w:val="auto"/>
          <w:sz w:val="21"/>
          <w:highlight w:val="none"/>
          <w:lang w:val="en-US"/>
        </w:rPr>
        <w:t>2.15</w:t>
      </w:r>
      <w:r>
        <w:rPr>
          <w:rFonts w:hint="eastAsia" w:hAnsi="宋体" w:cs="宋体"/>
          <w:color w:val="auto"/>
          <w:sz w:val="21"/>
          <w:highlight w:val="none"/>
        </w:rPr>
        <w:t>中标人应及时做好非机动停放区施划标线、编码工作，施划标线必须醒目、标准、清晰、顺直、均匀，标线设置合理、编码正确。未按要求实施的，每发现一次扣1000元。</w:t>
      </w:r>
    </w:p>
    <w:p w14:paraId="5581402A">
      <w:pPr>
        <w:pStyle w:val="17"/>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lang w:val="en-US"/>
        </w:rPr>
        <w:t>2.16安全生产：凡是未按有关规定做好安全文明施工的或被检查发现存在较大安全隐患的，每发现一处扣罚2000元，并承担相应的安全生产主体责任，对发现的安全问题同步进行整改闭环。</w:t>
      </w:r>
    </w:p>
    <w:bookmarkEnd w:id="61"/>
    <w:p w14:paraId="6152F550">
      <w:pPr>
        <w:pStyle w:val="17"/>
        <w:rPr>
          <w:rFonts w:hint="eastAsia" w:hAnsi="宋体" w:cs="宋体"/>
          <w:b/>
          <w:bCs/>
          <w:color w:val="auto"/>
          <w:sz w:val="21"/>
          <w:highlight w:val="none"/>
          <w:lang w:val="en-US"/>
        </w:rPr>
      </w:pPr>
    </w:p>
    <w:p w14:paraId="59659F7F">
      <w:pPr>
        <w:pStyle w:val="17"/>
        <w:rPr>
          <w:rFonts w:hint="eastAsia" w:hAnsi="宋体" w:cs="宋体"/>
          <w:b/>
          <w:bCs/>
          <w:color w:val="auto"/>
          <w:sz w:val="21"/>
          <w:highlight w:val="none"/>
          <w:lang w:val="en-US"/>
        </w:rPr>
        <w:sectPr>
          <w:headerReference r:id="rId11" w:type="first"/>
          <w:footerReference r:id="rId13" w:type="first"/>
          <w:headerReference r:id="rId10" w:type="default"/>
          <w:footerReference r:id="rId12" w:type="default"/>
          <w:pgSz w:w="11906" w:h="16838"/>
          <w:pgMar w:top="1440" w:right="1080" w:bottom="1440" w:left="1080" w:header="851" w:footer="992" w:gutter="0"/>
          <w:cols w:space="720" w:num="1"/>
          <w:titlePg/>
          <w:docGrid w:linePitch="312" w:charSpace="0"/>
        </w:sectPr>
      </w:pPr>
    </w:p>
    <w:p w14:paraId="62B112A3">
      <w:pPr>
        <w:adjustRightInd/>
        <w:spacing w:line="400" w:lineRule="exact"/>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w:t>
      </w:r>
      <w:r>
        <w:rPr>
          <w:rFonts w:hint="eastAsia" w:ascii="宋体" w:hAnsi="宋体" w:cs="宋体"/>
          <w:b/>
          <w:bCs/>
          <w:color w:val="auto"/>
          <w:sz w:val="21"/>
          <w:szCs w:val="21"/>
          <w:highlight w:val="none"/>
          <w:lang w:val="en-US" w:eastAsia="zh-CN"/>
        </w:rPr>
        <w:t>1</w:t>
      </w:r>
    </w:p>
    <w:p w14:paraId="3A1B5E4D">
      <w:pPr>
        <w:adjustRightInd/>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市政设施养护作业规范</w:t>
      </w:r>
    </w:p>
    <w:p w14:paraId="1EC4543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1、道路养护作业规范</w:t>
      </w:r>
    </w:p>
    <w:p w14:paraId="10DC875C">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1.1道路养护作业规范术语和定义</w:t>
      </w:r>
    </w:p>
    <w:p w14:paraId="2EE6948B">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1.1.1快速路——城市道路中设有中央分隔带，具有四条以上的车道，全部或部分采用立体交叉与控制出入，供车辆以较高的速度行驶的道路。</w:t>
      </w:r>
    </w:p>
    <w:p w14:paraId="5A70A338">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1.1.2主干路——在城市道路网中起骨架作用的道路。</w:t>
      </w:r>
    </w:p>
    <w:p w14:paraId="49171736">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1.1.3次干路——城市道路网中的区域性干路与主干路连接，构成完整的城市干路系统。</w:t>
      </w:r>
    </w:p>
    <w:p w14:paraId="79794799">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1.1.4支路——城市道路网中干路以外联系次干路或供区域内部使用的道路。</w:t>
      </w:r>
    </w:p>
    <w:p w14:paraId="285B4F4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1.1.5车行道——道路上供机动车行驶的部分。</w:t>
      </w:r>
    </w:p>
    <w:p w14:paraId="383DE56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1.1.6人行道——道路中用路缘石或护栏及其它类似设施加以分隔的专供行人通行的部分。</w:t>
      </w:r>
    </w:p>
    <w:p w14:paraId="75D7CD24">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1.1.7</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HYPERLINK "http://baike.baidu.com/view/1028078.htm"</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非机动车</w:t>
      </w:r>
      <w:r>
        <w:rPr>
          <w:rFonts w:hint="eastAsia" w:ascii="宋体" w:hAnsi="宋体" w:cs="宋体"/>
          <w:color w:val="auto"/>
          <w:szCs w:val="21"/>
          <w:highlight w:val="none"/>
        </w:rPr>
        <w:fldChar w:fldCharType="end"/>
      </w:r>
      <w:r>
        <w:rPr>
          <w:rFonts w:hint="eastAsia" w:ascii="宋体" w:hAnsi="宋体" w:cs="宋体"/>
          <w:color w:val="auto"/>
          <w:szCs w:val="21"/>
          <w:highlight w:val="none"/>
        </w:rPr>
        <w:t>道——是指专供以人力或者畜力为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HYPERLINK "http://baike.baidu.com/view/43111.htm"</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驱动</w:t>
      </w:r>
      <w:r>
        <w:rPr>
          <w:rFonts w:hint="eastAsia" w:ascii="宋体" w:hAnsi="宋体" w:cs="宋体"/>
          <w:color w:val="auto"/>
          <w:szCs w:val="21"/>
          <w:highlight w:val="none"/>
        </w:rPr>
        <w:fldChar w:fldCharType="end"/>
      </w:r>
      <w:r>
        <w:rPr>
          <w:rFonts w:hint="eastAsia" w:ascii="宋体" w:hAnsi="宋体" w:cs="宋体"/>
          <w:color w:val="auto"/>
          <w:szCs w:val="21"/>
          <w:highlight w:val="none"/>
        </w:rPr>
        <w:t>的</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HYPERLINK "http://baike.baidu.com/view/1028078.htm"</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非机动车</w:t>
      </w:r>
      <w:r>
        <w:rPr>
          <w:rFonts w:hint="eastAsia" w:ascii="宋体" w:hAnsi="宋体" w:cs="宋体"/>
          <w:color w:val="auto"/>
          <w:szCs w:val="21"/>
          <w:highlight w:val="none"/>
        </w:rPr>
        <w:fldChar w:fldCharType="end"/>
      </w:r>
      <w:r>
        <w:rPr>
          <w:rFonts w:hint="eastAsia" w:ascii="宋体" w:hAnsi="宋体" w:cs="宋体"/>
          <w:color w:val="auto"/>
          <w:szCs w:val="21"/>
          <w:highlight w:val="none"/>
        </w:rPr>
        <w:t>，以及虽有动力装置驱动但设计最高时速、空车</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HYPERLINK "http://baike.baidu.com/view/13930.htm"</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质量</w:t>
      </w:r>
      <w:r>
        <w:rPr>
          <w:rFonts w:hint="eastAsia" w:ascii="宋体" w:hAnsi="宋体" w:cs="宋体"/>
          <w:color w:val="auto"/>
          <w:szCs w:val="21"/>
          <w:highlight w:val="none"/>
        </w:rPr>
        <w:fldChar w:fldCharType="end"/>
      </w:r>
      <w:r>
        <w:rPr>
          <w:rFonts w:hint="eastAsia" w:ascii="宋体" w:hAnsi="宋体" w:cs="宋体"/>
          <w:color w:val="auto"/>
          <w:szCs w:val="21"/>
          <w:highlight w:val="none"/>
        </w:rPr>
        <w:t>、外形尺寸符合有关</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HYPERLINK "http://baike.baidu.com/view/8426.htm"</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国家</w:t>
      </w:r>
      <w:r>
        <w:rPr>
          <w:rFonts w:hint="eastAsia" w:ascii="宋体" w:hAnsi="宋体" w:cs="宋体"/>
          <w:color w:val="auto"/>
          <w:szCs w:val="21"/>
          <w:highlight w:val="none"/>
        </w:rPr>
        <w:fldChar w:fldCharType="end"/>
      </w:r>
      <w:r>
        <w:rPr>
          <w:rFonts w:hint="eastAsia" w:ascii="宋体" w:hAnsi="宋体" w:cs="宋体"/>
          <w:color w:val="auto"/>
          <w:szCs w:val="21"/>
          <w:highlight w:val="none"/>
        </w:rPr>
        <w:t>标准的残疾人机动轮椅车、各类设施养护机动轮车、电动自行车等行驶的车道。</w:t>
      </w:r>
    </w:p>
    <w:p w14:paraId="333E609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1.1.8分隔带——沿道路纵向设置的分隔车行道的带状设施，位于路中线位置的称中央分隔带，位于路中线两侧的称外侧分隔带。</w:t>
      </w:r>
    </w:p>
    <w:p w14:paraId="0A141A69">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1.1.9侧石——顶面高出路面的路缘石，有标定车行道范围和纵向引导排除路面水的作用。</w:t>
      </w:r>
    </w:p>
    <w:p w14:paraId="574B08D9">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1.1.10平石——铺砌在路面与立缘石之间平缘石。</w:t>
      </w:r>
    </w:p>
    <w:p w14:paraId="09A9954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1.1.11绿化带——在道路用地范围内，供绿化的条形地带。</w:t>
      </w:r>
    </w:p>
    <w:p w14:paraId="5E84483C">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1.1.12横坡——路幅和路侧带各组成部分的横向坡度，指路面、分隔带、人行道、绿化带等的横向倾斜度。以百分率表示。</w:t>
      </w:r>
    </w:p>
    <w:p w14:paraId="34A7D4CE">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1.1.13纵坡——路线纵断面上同一坡段两点间的高差与其水平距离之比，以百分率表示。</w:t>
      </w:r>
    </w:p>
    <w:p w14:paraId="3164C718">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1.1.14路基——按照线路位置和一定技术要求修筑的作为路面基础的带状构筑物。</w:t>
      </w:r>
    </w:p>
    <w:p w14:paraId="4721CAB6">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1.1.15块石路面——用石块、水泥混凝土块等铺砌而成的路面之统称。</w:t>
      </w:r>
    </w:p>
    <w:p w14:paraId="24FE8143">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1.1.16沥青路面——用沥青作结合料铺筑面层的路面之统称。</w:t>
      </w:r>
    </w:p>
    <w:p w14:paraId="19D1EEA3">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1.2基本规定</w:t>
      </w:r>
    </w:p>
    <w:p w14:paraId="6F861FEE">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1.2.1建立定期巡查制度，重视并做好道路的日常巡查。区域内的道路巡查不少于每日一次，并根据巡查结果，提出养护维修意见。</w:t>
      </w:r>
    </w:p>
    <w:p w14:paraId="4968960D">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1.2.2发现病害，根据病害特征分析其产生原因及其发展情况，并采取相应的技术措施及时维修，整改率100%。</w:t>
      </w:r>
    </w:p>
    <w:p w14:paraId="72A848E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1.2.3重视并做好城市道路的检测和评定，对使用中的道路应按《城镇道路养护技术规范》（CJJ36-2006)规定进行检查、检测和评定，掌握道路的技术状况，并制定养护计划和对策。</w:t>
      </w:r>
    </w:p>
    <w:p w14:paraId="6806384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在城市道路养护中，应加强质量管理，积极提倡采用新技术、新材料、新工艺、新设备，充分运用信息技术，提高机械化作业程度，减轻工人的劳动强度，贯彻快速处置原则，减少交通影响，确保道路养护质量。</w:t>
      </w:r>
    </w:p>
    <w:p w14:paraId="3B5DF2AC">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1.2.5为确保道路养护工作正常开展，应根据养护范围、工程量、养护要求、养护特点，配备必要养护设备及专业养护技术人员。</w:t>
      </w:r>
    </w:p>
    <w:p w14:paraId="66D553D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1.2.6道路养护作业事先应制定周密的作业计划，做好进度安排、人员组织、材料机具准备，安排好工序之间的衔接，合理地选择养护维修工艺。</w:t>
      </w:r>
    </w:p>
    <w:p w14:paraId="646EDAC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1.2.7严格控制养护的作业时段、范围，合理安排每个工作日的作业范围，做到当天作业、当天完成，工完、料清、场地清。</w:t>
      </w:r>
    </w:p>
    <w:p w14:paraId="0A6EEA36">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1.2.8城市道路的掘路，为防止掘路造成城市道路结构受损、坍塌等现象，道路修复结构强度不得低于原道路结构强度。</w:t>
      </w:r>
    </w:p>
    <w:p w14:paraId="1A308BD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1.2.9城市道路的养护作业应加强档案管理，各项作业记录、质检记录、计量记录、巡查记录等资料应及时整理、录入、归档。</w:t>
      </w:r>
    </w:p>
    <w:p w14:paraId="23A8FE0F">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1.2.10养护单位应建立养护管理技术档案，主要包括静态资料和动态资料。其中，静态资料主要是指城市道路竣工所具有的固定属性，包括道路的长度、宽度、面积、结构层情况、道路断面分隔情况、主要材料类型及材性等。动态资料主要是指在养护维修工作中道路状况的变更数据等，包括施工技术档案、检查、检测、变更及废弃等内容。</w:t>
      </w:r>
    </w:p>
    <w:p w14:paraId="2C90B83B">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建档应符合下列要求</w:t>
      </w:r>
    </w:p>
    <w:p w14:paraId="06112EF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1.2.10.1城市道路养护档案应以一条路为单位建档</w:t>
      </w:r>
    </w:p>
    <w:p w14:paraId="37865FA8">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1.2.10.2养护档案应包括下列内容：道路主要技术资料，施工竣工资料，养护技术文件，巡检、检测、测试资料，养护作业资料等技术文件及相关资料。</w:t>
      </w:r>
    </w:p>
    <w:p w14:paraId="362B392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1.2.10.3养护档案管理工作应实行电子化、数据化、利用多媒体技术，建立信息管理系统、数据库。</w:t>
      </w:r>
    </w:p>
    <w:p w14:paraId="17628F2C">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1.3沥青路面管理</w:t>
      </w:r>
    </w:p>
    <w:p w14:paraId="7AA63209">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1.3.1沥青路面养护应做好预防性、经常性养护，防治结合。</w:t>
      </w:r>
    </w:p>
    <w:p w14:paraId="48D9ED0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1.3.2沥青路面应平整、坚实，无裂缝、坑槽、碎裂、网裂、沉陷、拥包、车辙、麻面、松散、波浪、脱皮、啃边等现象。</w:t>
      </w:r>
    </w:p>
    <w:p w14:paraId="70691258">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1.3.3应加强巡路检查，掌握路面状况，及时排除有损路面的各种不良因素。</w:t>
      </w:r>
    </w:p>
    <w:p w14:paraId="57CBE9E1">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1.3.4病害维修沥青混合料出厂时应有出厂合格证明。混合料外观应拌合均匀、色泽一致，无明显油团、花白或烧焦。施工技术要求应符合《城镇道路工程施工与质量验收规范》（CJJ 1-2008）、《公路沥青路面施工技术规范》（JTG F40-2004）等相关规定。</w:t>
      </w:r>
    </w:p>
    <w:p w14:paraId="48459A6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1.3.5铺筑沥青混合料时，大气温度宜在10℃以上。低温施工时应有保证质量的相应技术措施；雨天时不得施工。</w:t>
      </w:r>
    </w:p>
    <w:p w14:paraId="74C8B0CC">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1.3.6大面积沥青路面铣刨及零星挖补旧料归堆清运，做到工完场清。</w:t>
      </w:r>
    </w:p>
    <w:p w14:paraId="059ADE0C">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1.3.7沥青路面不得采用水泥混凝土进行修补（暴雨期间除外），修补后结构层强度不低于原结构强度标准，面层应在基层质量检验合格后方可进行。</w:t>
      </w:r>
    </w:p>
    <w:p w14:paraId="780F8CA3">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1.3.8沥青路面维修时，修补面积应大于病害的实际面积，其边线及纵横缝接边应使用机械切割，做到边线齐直，并与路面中心线平行或垂直，切口垂直，地面清洁，形状方正。因基层损坏引起的路面病害，必须先处理基层，再修补面层。</w:t>
      </w:r>
    </w:p>
    <w:p w14:paraId="4689890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1.3.9挖补路面边坑时，如遇侧平石受损、松动等应一并修复；遇及因平石长距离的沉裂松动而引发路面边口损坏的，应修复平石后再修复边口处路面。</w:t>
      </w:r>
    </w:p>
    <w:p w14:paraId="6BF3F77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1.3.10凡具备铣刨机、摊铺机操作施工条件的路段，应采用机械施工，以利于快速处置与提高修补质量。</w:t>
      </w:r>
    </w:p>
    <w:p w14:paraId="55F6A10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1.3.11对于各种病害的维修，应根据季节、气温等实际情况编排养护维修时间计划，并采取相应措施。</w:t>
      </w:r>
    </w:p>
    <w:p w14:paraId="0601D11D">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1.3.12沥青路面修补质量符合下面标准。</w:t>
      </w:r>
    </w:p>
    <w:p w14:paraId="1EE5E263">
      <w:pPr>
        <w:adjustRightInd/>
        <w:spacing w:line="400" w:lineRule="exact"/>
        <w:ind w:firstLine="422" w:firstLineChars="200"/>
        <w:jc w:val="center"/>
        <w:rPr>
          <w:rFonts w:hint="eastAsia" w:ascii="宋体" w:hAnsi="宋体" w:cs="宋体"/>
          <w:color w:val="auto"/>
          <w:szCs w:val="21"/>
          <w:highlight w:val="none"/>
        </w:rPr>
      </w:pPr>
      <w:r>
        <w:rPr>
          <w:rFonts w:hint="eastAsia" w:ascii="宋体" w:hAnsi="宋体" w:cs="宋体"/>
          <w:b/>
          <w:bCs/>
          <w:color w:val="auto"/>
          <w:szCs w:val="21"/>
          <w:highlight w:val="none"/>
        </w:rPr>
        <w:t>沥青路面修补质量标准</w:t>
      </w:r>
    </w:p>
    <w:tbl>
      <w:tblPr>
        <w:tblStyle w:val="48"/>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8256"/>
      </w:tblGrid>
      <w:tr w14:paraId="0F05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3" w:type="dxa"/>
            <w:noWrap w:val="0"/>
            <w:vAlign w:val="center"/>
          </w:tcPr>
          <w:p w14:paraId="22E81930">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8256" w:type="dxa"/>
            <w:noWrap w:val="0"/>
            <w:vAlign w:val="center"/>
          </w:tcPr>
          <w:p w14:paraId="50967885">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r>
      <w:tr w14:paraId="5973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563" w:type="dxa"/>
            <w:noWrap w:val="0"/>
            <w:vAlign w:val="center"/>
          </w:tcPr>
          <w:p w14:paraId="1D774247">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切边</w:t>
            </w:r>
          </w:p>
        </w:tc>
        <w:tc>
          <w:tcPr>
            <w:tcW w:w="8256" w:type="dxa"/>
            <w:noWrap w:val="0"/>
            <w:vAlign w:val="center"/>
          </w:tcPr>
          <w:p w14:paraId="6E3929C7">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边线齐直成方形；</w:t>
            </w:r>
          </w:p>
          <w:p w14:paraId="4D0A16A8">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四周切面垂直不斜、深度≮30mm</w:t>
            </w:r>
          </w:p>
        </w:tc>
      </w:tr>
      <w:tr w14:paraId="7ED5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563" w:type="dxa"/>
            <w:noWrap w:val="0"/>
            <w:vAlign w:val="center"/>
          </w:tcPr>
          <w:p w14:paraId="566550FE">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铺筑</w:t>
            </w:r>
          </w:p>
        </w:tc>
        <w:tc>
          <w:tcPr>
            <w:tcW w:w="8256" w:type="dxa"/>
            <w:noWrap w:val="0"/>
            <w:vAlign w:val="center"/>
          </w:tcPr>
          <w:p w14:paraId="24535CC4">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1、铺筑面层应达到表面粗细均匀、密实平整；</w:t>
            </w:r>
          </w:p>
          <w:p w14:paraId="07834BB8">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2、面层铺筑厚度误差-5mm，+10mm</w:t>
            </w:r>
          </w:p>
        </w:tc>
      </w:tr>
      <w:tr w14:paraId="08A3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3" w:type="dxa"/>
            <w:noWrap w:val="0"/>
            <w:vAlign w:val="center"/>
          </w:tcPr>
          <w:p w14:paraId="2C362561">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平整度</w:t>
            </w:r>
          </w:p>
        </w:tc>
        <w:tc>
          <w:tcPr>
            <w:tcW w:w="8256" w:type="dxa"/>
            <w:noWrap w:val="0"/>
            <w:vAlign w:val="center"/>
          </w:tcPr>
          <w:p w14:paraId="7DCF5456">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路面平整，人工摊铺≯7mm，机械摊铺≯5mm</w:t>
            </w:r>
          </w:p>
        </w:tc>
      </w:tr>
      <w:tr w14:paraId="0250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563" w:type="dxa"/>
            <w:noWrap w:val="0"/>
            <w:vAlign w:val="center"/>
          </w:tcPr>
          <w:p w14:paraId="65B4C345">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接边</w:t>
            </w:r>
          </w:p>
        </w:tc>
        <w:tc>
          <w:tcPr>
            <w:tcW w:w="8256" w:type="dxa"/>
            <w:noWrap w:val="0"/>
            <w:vAlign w:val="center"/>
          </w:tcPr>
          <w:p w14:paraId="57A42104">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1、接边应平顺齐直、密实、无起壳、松散；</w:t>
            </w:r>
          </w:p>
          <w:p w14:paraId="31FBF9C2">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2、与平石相接不得低于平石，高≯5mm；</w:t>
            </w:r>
          </w:p>
          <w:p w14:paraId="32BFEA68">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3、新老接边紧密，平顺齐直，不得低于原路面，高≯5mm</w:t>
            </w:r>
          </w:p>
        </w:tc>
      </w:tr>
      <w:tr w14:paraId="295A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563" w:type="dxa"/>
            <w:noWrap w:val="0"/>
            <w:vAlign w:val="center"/>
          </w:tcPr>
          <w:p w14:paraId="2B034990">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路框差</w:t>
            </w:r>
          </w:p>
        </w:tc>
        <w:tc>
          <w:tcPr>
            <w:tcW w:w="8256" w:type="dxa"/>
            <w:noWrap w:val="0"/>
            <w:vAlign w:val="center"/>
          </w:tcPr>
          <w:p w14:paraId="111AF38C">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井框周边路面无沉陷；</w:t>
            </w:r>
          </w:p>
          <w:p w14:paraId="2158B838">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井框与路面高差≯5mm</w:t>
            </w:r>
          </w:p>
        </w:tc>
      </w:tr>
      <w:tr w14:paraId="0F5F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63" w:type="dxa"/>
            <w:noWrap w:val="0"/>
            <w:vAlign w:val="center"/>
          </w:tcPr>
          <w:p w14:paraId="2E8A3B17">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横坡度</w:t>
            </w:r>
          </w:p>
        </w:tc>
        <w:tc>
          <w:tcPr>
            <w:tcW w:w="8256" w:type="dxa"/>
            <w:noWrap w:val="0"/>
            <w:vAlign w:val="center"/>
          </w:tcPr>
          <w:p w14:paraId="197DBC0E">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横坡度与原路面横坡一致，不得有积水。</w:t>
            </w:r>
          </w:p>
        </w:tc>
      </w:tr>
    </w:tbl>
    <w:p w14:paraId="22FA969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1.4水泥混凝土路面</w:t>
      </w:r>
    </w:p>
    <w:p w14:paraId="187D495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(1)水泥混凝土路面养护应做好预防性、经常性养护。</w:t>
      </w:r>
    </w:p>
    <w:p w14:paraId="706EE29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(2)水泥混凝土路面应保持表面平整、板块完好，无积水、麻面、板角断裂、板边剥落、错台、面板沉陷、拱胀、露骨、唧泥等现象。发现病害时，应查明原因，并采取有效措施及时进行维修。</w:t>
      </w:r>
    </w:p>
    <w:p w14:paraId="6C6832B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(3)水泥混凝土路面接缝应平顺、完好，填缝料紧密无缺损、散失、脱落、挤出、老化等现象。发现病害应及时处理。</w:t>
      </w:r>
    </w:p>
    <w:p w14:paraId="2899DAA1">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(4)对主干道的养护应采用专用机械及相应的快速维修方法施工。</w:t>
      </w:r>
    </w:p>
    <w:p w14:paraId="6B9FF8A4">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(5)水泥混凝土路面养护维修采用材料，应具有足够的强度、耐久性和稳定性，养护维修的主要材料应进行试验，并应符合规范要求。</w:t>
      </w:r>
    </w:p>
    <w:p w14:paraId="48A4101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(6)水泥混凝土面层施工期间日平均气温不宜低于5℃或现场气温不宜高于30℃，雨天一般不得施工。如必须施工则按低温或高温和施工遇雨的要求，采取相应的技术措施。</w:t>
      </w:r>
    </w:p>
    <w:p w14:paraId="214BC7EF">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(7)水泥混凝土路面修补后结构层强度不低于原结构强度标准。面层应在基层质量检验合格后方可进行。</w:t>
      </w:r>
    </w:p>
    <w:p w14:paraId="50B16471">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(8)板块修补划线切边、形方面平、内实外光、接缝紧密平顺。</w:t>
      </w:r>
    </w:p>
    <w:p w14:paraId="12081B6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(9)路面出现裂缝应按照“有缝必灌，灌必达标”的原则进行路面灌缝技术措施，防止雨水渗入而破坏道路基础。</w:t>
      </w:r>
    </w:p>
    <w:p w14:paraId="4FE9C384">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(10)水泥混凝土路面养护维修工艺应按照相关工艺实施，水泥混凝土路面养护质量符合下面要求。</w:t>
      </w:r>
    </w:p>
    <w:p w14:paraId="76D08596">
      <w:pPr>
        <w:adjustRightInd/>
        <w:spacing w:line="400" w:lineRule="exact"/>
        <w:ind w:firstLine="422" w:firstLineChars="200"/>
        <w:jc w:val="center"/>
        <w:rPr>
          <w:rFonts w:hint="eastAsia" w:ascii="宋体" w:hAnsi="宋体" w:cs="宋体"/>
          <w:color w:val="auto"/>
          <w:szCs w:val="21"/>
          <w:highlight w:val="none"/>
        </w:rPr>
      </w:pPr>
      <w:r>
        <w:rPr>
          <w:rFonts w:hint="eastAsia" w:ascii="宋体" w:hAnsi="宋体" w:cs="宋体"/>
          <w:b/>
          <w:bCs/>
          <w:color w:val="auto"/>
          <w:szCs w:val="21"/>
          <w:highlight w:val="none"/>
        </w:rPr>
        <w:t>水泥混凝土道路养护质量验收标准</w:t>
      </w:r>
    </w:p>
    <w:tbl>
      <w:tblPr>
        <w:tblStyle w:val="48"/>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6585"/>
        <w:gridCol w:w="1472"/>
      </w:tblGrid>
      <w:tr w14:paraId="4D9E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665FA94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6585" w:type="dxa"/>
            <w:tcBorders>
              <w:top w:val="single" w:color="auto" w:sz="4" w:space="0"/>
              <w:left w:val="single" w:color="auto" w:sz="4" w:space="0"/>
              <w:bottom w:val="single" w:color="auto" w:sz="4" w:space="0"/>
              <w:right w:val="single" w:color="auto" w:sz="4" w:space="0"/>
            </w:tcBorders>
            <w:noWrap/>
            <w:vAlign w:val="center"/>
          </w:tcPr>
          <w:p w14:paraId="3D92EDC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规定值及允许偏差</w:t>
            </w:r>
          </w:p>
        </w:tc>
        <w:tc>
          <w:tcPr>
            <w:tcW w:w="1472" w:type="dxa"/>
            <w:tcBorders>
              <w:top w:val="single" w:color="auto" w:sz="4" w:space="0"/>
              <w:left w:val="single" w:color="auto" w:sz="4" w:space="0"/>
              <w:bottom w:val="single" w:color="auto" w:sz="4" w:space="0"/>
              <w:right w:val="single" w:color="auto" w:sz="4" w:space="0"/>
            </w:tcBorders>
            <w:noWrap/>
            <w:vAlign w:val="center"/>
          </w:tcPr>
          <w:p w14:paraId="3E8B16F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检验方法</w:t>
            </w:r>
          </w:p>
        </w:tc>
      </w:tr>
      <w:tr w14:paraId="3A8F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075ED7E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切割</w:t>
            </w:r>
          </w:p>
        </w:tc>
        <w:tc>
          <w:tcPr>
            <w:tcW w:w="6585" w:type="dxa"/>
            <w:tcBorders>
              <w:top w:val="single" w:color="auto" w:sz="4" w:space="0"/>
              <w:left w:val="single" w:color="auto" w:sz="4" w:space="0"/>
              <w:bottom w:val="single" w:color="auto" w:sz="4" w:space="0"/>
              <w:right w:val="single" w:color="auto" w:sz="4" w:space="0"/>
            </w:tcBorders>
            <w:noWrap/>
            <w:vAlign w:val="center"/>
          </w:tcPr>
          <w:p w14:paraId="3DC3181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四周切割整齐垂直，不得附有损伤碎片，切角不得小于90°</w:t>
            </w:r>
          </w:p>
        </w:tc>
        <w:tc>
          <w:tcPr>
            <w:tcW w:w="1472" w:type="dxa"/>
            <w:tcBorders>
              <w:top w:val="single" w:color="auto" w:sz="4" w:space="0"/>
              <w:left w:val="single" w:color="auto" w:sz="4" w:space="0"/>
              <w:bottom w:val="single" w:color="auto" w:sz="4" w:space="0"/>
              <w:right w:val="single" w:color="auto" w:sz="4" w:space="0"/>
            </w:tcBorders>
            <w:noWrap/>
            <w:vAlign w:val="center"/>
          </w:tcPr>
          <w:p w14:paraId="6E117AD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用尺量</w:t>
            </w:r>
          </w:p>
        </w:tc>
      </w:tr>
      <w:tr w14:paraId="71BF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43245B1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铺筑</w:t>
            </w:r>
          </w:p>
        </w:tc>
        <w:tc>
          <w:tcPr>
            <w:tcW w:w="6585" w:type="dxa"/>
            <w:tcBorders>
              <w:top w:val="single" w:color="auto" w:sz="4" w:space="0"/>
              <w:left w:val="single" w:color="auto" w:sz="4" w:space="0"/>
              <w:bottom w:val="single" w:color="auto" w:sz="4" w:space="0"/>
              <w:right w:val="single" w:color="auto" w:sz="4" w:space="0"/>
            </w:tcBorders>
            <w:noWrap/>
            <w:vAlign w:val="center"/>
          </w:tcPr>
          <w:p w14:paraId="1180906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1、抗压、抗折强度不低于原有路面强度，板厚度允许误差+10mm，-5mm；</w:t>
            </w:r>
          </w:p>
          <w:p w14:paraId="4829363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2、路面无露骨、麻面，板边蜂窝麻面不得大于3%，面层拉毛应整齐</w:t>
            </w:r>
          </w:p>
        </w:tc>
        <w:tc>
          <w:tcPr>
            <w:tcW w:w="1472" w:type="dxa"/>
            <w:tcBorders>
              <w:top w:val="single" w:color="auto" w:sz="4" w:space="0"/>
              <w:left w:val="single" w:color="auto" w:sz="4" w:space="0"/>
              <w:bottom w:val="single" w:color="auto" w:sz="4" w:space="0"/>
              <w:right w:val="single" w:color="auto" w:sz="4" w:space="0"/>
            </w:tcBorders>
            <w:noWrap/>
            <w:vAlign w:val="center"/>
          </w:tcPr>
          <w:p w14:paraId="734A97D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试块测试及用尺量</w:t>
            </w:r>
          </w:p>
        </w:tc>
      </w:tr>
      <w:tr w14:paraId="2BA6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4E0796A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平整度</w:t>
            </w:r>
          </w:p>
        </w:tc>
        <w:tc>
          <w:tcPr>
            <w:tcW w:w="6585" w:type="dxa"/>
            <w:tcBorders>
              <w:top w:val="single" w:color="auto" w:sz="4" w:space="0"/>
              <w:left w:val="single" w:color="auto" w:sz="4" w:space="0"/>
              <w:bottom w:val="single" w:color="auto" w:sz="4" w:space="0"/>
              <w:right w:val="single" w:color="auto" w:sz="4" w:space="0"/>
            </w:tcBorders>
            <w:noWrap/>
            <w:vAlign w:val="center"/>
          </w:tcPr>
          <w:p w14:paraId="5D3103C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路面平整度高差不大于3mm</w:t>
            </w:r>
          </w:p>
        </w:tc>
        <w:tc>
          <w:tcPr>
            <w:tcW w:w="1472" w:type="dxa"/>
            <w:tcBorders>
              <w:top w:val="single" w:color="auto" w:sz="4" w:space="0"/>
              <w:left w:val="single" w:color="auto" w:sz="4" w:space="0"/>
              <w:bottom w:val="single" w:color="auto" w:sz="4" w:space="0"/>
              <w:right w:val="single" w:color="auto" w:sz="4" w:space="0"/>
            </w:tcBorders>
            <w:noWrap/>
            <w:vAlign w:val="center"/>
          </w:tcPr>
          <w:p w14:paraId="4FC7326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3m直尺量</w:t>
            </w:r>
          </w:p>
        </w:tc>
      </w:tr>
      <w:tr w14:paraId="64D8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59ABB84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抗滑</w:t>
            </w:r>
          </w:p>
        </w:tc>
        <w:tc>
          <w:tcPr>
            <w:tcW w:w="6585" w:type="dxa"/>
            <w:tcBorders>
              <w:top w:val="single" w:color="auto" w:sz="4" w:space="0"/>
              <w:left w:val="single" w:color="auto" w:sz="4" w:space="0"/>
              <w:bottom w:val="single" w:color="auto" w:sz="4" w:space="0"/>
              <w:right w:val="single" w:color="auto" w:sz="4" w:space="0"/>
            </w:tcBorders>
            <w:noWrap/>
            <w:vAlign w:val="center"/>
          </w:tcPr>
          <w:p w14:paraId="0E0B2E8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抗滑值BPN≥45</w:t>
            </w:r>
          </w:p>
          <w:p w14:paraId="6A41E5A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或横向力系数SFC≥0.38</w:t>
            </w:r>
          </w:p>
        </w:tc>
        <w:tc>
          <w:tcPr>
            <w:tcW w:w="1472" w:type="dxa"/>
            <w:tcBorders>
              <w:top w:val="single" w:color="auto" w:sz="4" w:space="0"/>
              <w:left w:val="single" w:color="auto" w:sz="4" w:space="0"/>
              <w:bottom w:val="single" w:color="auto" w:sz="4" w:space="0"/>
              <w:right w:val="single" w:color="auto" w:sz="4" w:space="0"/>
            </w:tcBorders>
            <w:noWrap/>
            <w:vAlign w:val="center"/>
          </w:tcPr>
          <w:p w14:paraId="3464557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测试</w:t>
            </w:r>
          </w:p>
        </w:tc>
      </w:tr>
      <w:tr w14:paraId="670B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7B949E4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相邻板差</w:t>
            </w:r>
          </w:p>
        </w:tc>
        <w:tc>
          <w:tcPr>
            <w:tcW w:w="6585" w:type="dxa"/>
            <w:tcBorders>
              <w:top w:val="single" w:color="auto" w:sz="4" w:space="0"/>
              <w:left w:val="single" w:color="auto" w:sz="4" w:space="0"/>
              <w:bottom w:val="single" w:color="auto" w:sz="4" w:space="0"/>
              <w:right w:val="single" w:color="auto" w:sz="4" w:space="0"/>
            </w:tcBorders>
            <w:noWrap/>
            <w:vAlign w:val="center"/>
          </w:tcPr>
          <w:p w14:paraId="04A0B2D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新板块接边，高差不得大于5mm</w:t>
            </w:r>
          </w:p>
        </w:tc>
        <w:tc>
          <w:tcPr>
            <w:tcW w:w="1472" w:type="dxa"/>
            <w:tcBorders>
              <w:top w:val="single" w:color="auto" w:sz="4" w:space="0"/>
              <w:left w:val="single" w:color="auto" w:sz="4" w:space="0"/>
              <w:bottom w:val="single" w:color="auto" w:sz="4" w:space="0"/>
              <w:right w:val="single" w:color="auto" w:sz="4" w:space="0"/>
            </w:tcBorders>
            <w:noWrap/>
            <w:vAlign w:val="center"/>
          </w:tcPr>
          <w:p w14:paraId="63C4F09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1m直尺量</w:t>
            </w:r>
          </w:p>
        </w:tc>
      </w:tr>
      <w:tr w14:paraId="578E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0836BF1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伸缩缝</w:t>
            </w:r>
          </w:p>
        </w:tc>
        <w:tc>
          <w:tcPr>
            <w:tcW w:w="6585" w:type="dxa"/>
            <w:tcBorders>
              <w:top w:val="single" w:color="auto" w:sz="4" w:space="0"/>
              <w:left w:val="single" w:color="auto" w:sz="4" w:space="0"/>
              <w:bottom w:val="single" w:color="auto" w:sz="4" w:space="0"/>
              <w:right w:val="single" w:color="auto" w:sz="4" w:space="0"/>
            </w:tcBorders>
            <w:noWrap/>
            <w:vAlign w:val="center"/>
          </w:tcPr>
          <w:p w14:paraId="6B3C3E7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1、顺直，深度、宽度不得小于原规定；</w:t>
            </w:r>
          </w:p>
          <w:p w14:paraId="1FBD886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2、嵌缝密实，高差不得大于3mm</w:t>
            </w:r>
          </w:p>
        </w:tc>
        <w:tc>
          <w:tcPr>
            <w:tcW w:w="1472" w:type="dxa"/>
            <w:tcBorders>
              <w:top w:val="single" w:color="auto" w:sz="4" w:space="0"/>
              <w:left w:val="single" w:color="auto" w:sz="4" w:space="0"/>
              <w:bottom w:val="single" w:color="auto" w:sz="4" w:space="0"/>
              <w:right w:val="single" w:color="auto" w:sz="4" w:space="0"/>
            </w:tcBorders>
            <w:noWrap/>
            <w:vAlign w:val="center"/>
          </w:tcPr>
          <w:p w14:paraId="31EF7C2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1m直尺量</w:t>
            </w:r>
          </w:p>
        </w:tc>
      </w:tr>
      <w:tr w14:paraId="52FB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6CDFEC8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路框差</w:t>
            </w:r>
          </w:p>
        </w:tc>
        <w:tc>
          <w:tcPr>
            <w:tcW w:w="6585" w:type="dxa"/>
            <w:tcBorders>
              <w:top w:val="single" w:color="auto" w:sz="4" w:space="0"/>
              <w:left w:val="single" w:color="auto" w:sz="4" w:space="0"/>
              <w:bottom w:val="single" w:color="auto" w:sz="4" w:space="0"/>
              <w:right w:val="single" w:color="auto" w:sz="4" w:space="0"/>
            </w:tcBorders>
            <w:noWrap/>
            <w:vAlign w:val="center"/>
          </w:tcPr>
          <w:p w14:paraId="796156B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座框四周宜设置混凝土保护护边；</w:t>
            </w:r>
          </w:p>
          <w:p w14:paraId="0AFB926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座框或护边与路面高差不得大于3mm</w:t>
            </w:r>
          </w:p>
        </w:tc>
        <w:tc>
          <w:tcPr>
            <w:tcW w:w="1472" w:type="dxa"/>
            <w:tcBorders>
              <w:top w:val="single" w:color="auto" w:sz="4" w:space="0"/>
              <w:left w:val="single" w:color="auto" w:sz="4" w:space="0"/>
              <w:bottom w:val="single" w:color="auto" w:sz="4" w:space="0"/>
              <w:right w:val="single" w:color="auto" w:sz="4" w:space="0"/>
            </w:tcBorders>
            <w:noWrap/>
            <w:vAlign w:val="center"/>
          </w:tcPr>
          <w:p w14:paraId="0A6D151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1m直尺量</w:t>
            </w:r>
          </w:p>
        </w:tc>
      </w:tr>
      <w:tr w14:paraId="1201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0D8D45D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纵横坡度</w:t>
            </w:r>
          </w:p>
        </w:tc>
        <w:tc>
          <w:tcPr>
            <w:tcW w:w="6585" w:type="dxa"/>
            <w:tcBorders>
              <w:top w:val="single" w:color="auto" w:sz="4" w:space="0"/>
              <w:left w:val="single" w:color="auto" w:sz="4" w:space="0"/>
              <w:bottom w:val="single" w:color="auto" w:sz="4" w:space="0"/>
              <w:right w:val="single" w:color="auto" w:sz="4" w:space="0"/>
            </w:tcBorders>
            <w:noWrap/>
            <w:vAlign w:val="center"/>
          </w:tcPr>
          <w:p w14:paraId="64DCA0C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与原路面纵坡、横坡相一致，不得有积水</w:t>
            </w:r>
          </w:p>
        </w:tc>
        <w:tc>
          <w:tcPr>
            <w:tcW w:w="1472" w:type="dxa"/>
            <w:tcBorders>
              <w:top w:val="single" w:color="auto" w:sz="4" w:space="0"/>
              <w:left w:val="single" w:color="auto" w:sz="4" w:space="0"/>
              <w:bottom w:val="single" w:color="auto" w:sz="4" w:space="0"/>
              <w:right w:val="single" w:color="auto" w:sz="4" w:space="0"/>
            </w:tcBorders>
            <w:noWrap/>
            <w:vAlign w:val="center"/>
          </w:tcPr>
          <w:p w14:paraId="655C88B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目测</w:t>
            </w:r>
          </w:p>
        </w:tc>
      </w:tr>
    </w:tbl>
    <w:p w14:paraId="244915B8">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1.4块石路面管理</w:t>
      </w:r>
    </w:p>
    <w:p w14:paraId="6CC8C21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1.4.1块石类路面必须进行经常性和预防性养护。</w:t>
      </w:r>
    </w:p>
    <w:p w14:paraId="609762C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1.4.2块石铺砌路面表面应平整、稳固、抗滑，无松动、碎裂、低洼沉陷、路面隆起、坑洞、错台等现象。</w:t>
      </w:r>
    </w:p>
    <w:p w14:paraId="698A2FE1">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1.4.3块石类路面缝隙应密实、清晰、整洁。</w:t>
      </w:r>
    </w:p>
    <w:p w14:paraId="298BA3FF">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1.4.4块石类道路铺面板块的厚度及基层、粘结层的结构组合与胀缝设置应与原设计一致。</w:t>
      </w:r>
    </w:p>
    <w:p w14:paraId="2AFD9DEE">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1.4.5当基层强度不足而造成路面损坏，应清除软弱基层，换填新的基层材料再恢复面层。</w:t>
      </w:r>
    </w:p>
    <w:p w14:paraId="79E6ACB3">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1.4.6维修更换的块石材质、规格、颜色等与原路面一致。</w:t>
      </w:r>
    </w:p>
    <w:p w14:paraId="37F06E1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1.4.7块石类路面宜整块修复。</w:t>
      </w:r>
    </w:p>
    <w:p w14:paraId="55FB4A0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1.4.8块石类路面养护质量符合下面要求。</w:t>
      </w:r>
    </w:p>
    <w:p w14:paraId="51B67CB9">
      <w:pPr>
        <w:adjustRightInd/>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块石类路面养护质量标准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675"/>
      </w:tblGrid>
      <w:tr w14:paraId="425E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74950743">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6675" w:type="dxa"/>
            <w:noWrap w:val="0"/>
            <w:vAlign w:val="center"/>
          </w:tcPr>
          <w:p w14:paraId="406AEC63">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r>
      <w:tr w14:paraId="136F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8" w:type="dxa"/>
            <w:noWrap w:val="0"/>
            <w:vAlign w:val="center"/>
          </w:tcPr>
          <w:p w14:paraId="17ADA725">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平整度</w:t>
            </w:r>
          </w:p>
        </w:tc>
        <w:tc>
          <w:tcPr>
            <w:tcW w:w="6675" w:type="dxa"/>
            <w:noWrap w:val="0"/>
            <w:vAlign w:val="center"/>
          </w:tcPr>
          <w:p w14:paraId="65536293">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1、大理石、花岗石≯3mm；</w:t>
            </w:r>
          </w:p>
          <w:p w14:paraId="462D2772">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2、彩色预制块、广场砖≯5mm</w:t>
            </w:r>
          </w:p>
        </w:tc>
      </w:tr>
      <w:tr w14:paraId="3F7F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8" w:type="dxa"/>
            <w:noWrap w:val="0"/>
            <w:vAlign w:val="center"/>
          </w:tcPr>
          <w:p w14:paraId="63AD0F06">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相邻板高差</w:t>
            </w:r>
          </w:p>
        </w:tc>
        <w:tc>
          <w:tcPr>
            <w:tcW w:w="6675" w:type="dxa"/>
            <w:noWrap w:val="0"/>
            <w:vAlign w:val="center"/>
          </w:tcPr>
          <w:p w14:paraId="35796123">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1、大理石、花岗石（光面）1mm （毛面）2mm；</w:t>
            </w:r>
          </w:p>
          <w:p w14:paraId="189CB084">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2、彩色预制块、广场砖2mm</w:t>
            </w:r>
          </w:p>
        </w:tc>
      </w:tr>
      <w:tr w14:paraId="2450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8" w:type="dxa"/>
            <w:noWrap w:val="0"/>
            <w:vAlign w:val="center"/>
          </w:tcPr>
          <w:p w14:paraId="1DBBA941">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路框高差</w:t>
            </w:r>
          </w:p>
        </w:tc>
        <w:tc>
          <w:tcPr>
            <w:tcW w:w="6675" w:type="dxa"/>
            <w:noWrap w:val="0"/>
            <w:vAlign w:val="center"/>
          </w:tcPr>
          <w:p w14:paraId="088E0E67">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1、大理石、花岗石2mm；</w:t>
            </w:r>
          </w:p>
          <w:p w14:paraId="471399DE">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2、彩色预制块、广场砖3mm</w:t>
            </w:r>
          </w:p>
        </w:tc>
      </w:tr>
      <w:tr w14:paraId="4EF9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8" w:type="dxa"/>
            <w:noWrap w:val="0"/>
            <w:vAlign w:val="center"/>
          </w:tcPr>
          <w:p w14:paraId="00D0C94E">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缝宽误差</w:t>
            </w:r>
          </w:p>
        </w:tc>
        <w:tc>
          <w:tcPr>
            <w:tcW w:w="6675" w:type="dxa"/>
            <w:noWrap w:val="0"/>
            <w:vAlign w:val="center"/>
          </w:tcPr>
          <w:p w14:paraId="2918EE73">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1、大理石、花岗石≯1mm ；</w:t>
            </w:r>
          </w:p>
          <w:p w14:paraId="0D1EADEF">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2、彩色预制块、广场砖≯2mm</w:t>
            </w:r>
          </w:p>
        </w:tc>
      </w:tr>
      <w:tr w14:paraId="2E1D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8" w:type="dxa"/>
            <w:noWrap w:val="0"/>
            <w:vAlign w:val="center"/>
          </w:tcPr>
          <w:p w14:paraId="3C8991BF">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纵横缝线中心偏差</w:t>
            </w:r>
          </w:p>
        </w:tc>
        <w:tc>
          <w:tcPr>
            <w:tcW w:w="6675" w:type="dxa"/>
            <w:noWrap w:val="0"/>
            <w:vAlign w:val="center"/>
          </w:tcPr>
          <w:p w14:paraId="622732B9">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1、大理石、花岗石≯1mm</w:t>
            </w:r>
          </w:p>
          <w:p w14:paraId="47B00682">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2、彩色预制块、广场砖≯2mm</w:t>
            </w:r>
          </w:p>
        </w:tc>
      </w:tr>
    </w:tbl>
    <w:p w14:paraId="79BD6D98">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1.5侧平石管理</w:t>
      </w:r>
    </w:p>
    <w:p w14:paraId="55A2393D">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1.5.1侧平石应保持稳固、直顺，无积水、破损、残缺、歪斜等现象。</w:t>
      </w:r>
    </w:p>
    <w:p w14:paraId="265B309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更换的侧平石规格、材质应与原路侧平石一致；砼侧平石表面光洁致密，颜色一致，无蜂窝、露石、麻面、脱皮、裂缝等缺陷；石材侧平石表面均匀，外露面应平整、棱角分明，无裂缝窝坑、刀痕、风化等缺陷。</w:t>
      </w:r>
    </w:p>
    <w:p w14:paraId="0FD07B6D">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1.5.3应进行经常性保养，使侧平石处于经常性完好状态，平石保持路面的完整，侧石保持人行道的稳定，组成街沟排水性能良好。</w:t>
      </w:r>
    </w:p>
    <w:p w14:paraId="35BF9104">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1.5.4侧平石养护质量符合下面要求。</w:t>
      </w:r>
    </w:p>
    <w:p w14:paraId="3F8063FF">
      <w:pPr>
        <w:adjustRightInd/>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侧平石养护质量标准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8361"/>
      </w:tblGrid>
      <w:tr w14:paraId="7BDD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8" w:type="dxa"/>
            <w:noWrap w:val="0"/>
            <w:vAlign w:val="center"/>
          </w:tcPr>
          <w:p w14:paraId="69B596A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8361" w:type="dxa"/>
            <w:noWrap w:val="0"/>
            <w:vAlign w:val="center"/>
          </w:tcPr>
          <w:p w14:paraId="40772B0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r>
      <w:tr w14:paraId="533B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278" w:type="dxa"/>
            <w:noWrap w:val="0"/>
            <w:vAlign w:val="center"/>
          </w:tcPr>
          <w:p w14:paraId="1603687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侧石</w:t>
            </w:r>
          </w:p>
        </w:tc>
        <w:tc>
          <w:tcPr>
            <w:tcW w:w="8361" w:type="dxa"/>
            <w:noWrap w:val="0"/>
            <w:vAlign w:val="center"/>
          </w:tcPr>
          <w:p w14:paraId="6BB6FB0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1、线形顺直，正面凹凸≤ 5mm；</w:t>
            </w:r>
          </w:p>
          <w:p w14:paraId="2C21108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2、新老相邻侧石、新排侧石间连接齐平，高低差≤ 3mm；</w:t>
            </w:r>
          </w:p>
          <w:p w14:paraId="60DC821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3、缝宽均匀，勾嵌密实；</w:t>
            </w:r>
          </w:p>
          <w:p w14:paraId="089692D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4、高程符合设计要求±10mm</w:t>
            </w:r>
          </w:p>
        </w:tc>
      </w:tr>
      <w:tr w14:paraId="395E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278" w:type="dxa"/>
            <w:noWrap w:val="0"/>
            <w:vAlign w:val="center"/>
          </w:tcPr>
          <w:p w14:paraId="11AD335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平石</w:t>
            </w:r>
          </w:p>
        </w:tc>
        <w:tc>
          <w:tcPr>
            <w:tcW w:w="8361" w:type="dxa"/>
            <w:noWrap w:val="0"/>
            <w:vAlign w:val="center"/>
          </w:tcPr>
          <w:p w14:paraId="77A3AB7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1、平石与侧石错缝对中相交，与路面接边平顺，缝宽均匀，嵌缝密实，外线顺直；</w:t>
            </w:r>
          </w:p>
          <w:p w14:paraId="10D4463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2、平石不高于雨水口，落水和顺，无阻水，积水现象；</w:t>
            </w:r>
          </w:p>
          <w:p w14:paraId="7C0A849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3、新老相邻平石、新排平石间连接齐平，高低差≤ 3mm</w:t>
            </w:r>
          </w:p>
        </w:tc>
      </w:tr>
    </w:tbl>
    <w:p w14:paraId="0462D7CC">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1.6.1人行道管理</w:t>
      </w:r>
    </w:p>
    <w:p w14:paraId="6337EF43">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1.6.1应保持人行道的畅通，及时清除上面的障碍物。</w:t>
      </w:r>
    </w:p>
    <w:p w14:paraId="589D4ACC">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1.6.2人行道应经常处于完好状态，保持平整稳固，无积水、坑槽、松动、缺失、破碎、拱起、翘动和沉陷等现象。</w:t>
      </w:r>
    </w:p>
    <w:p w14:paraId="664A743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1.6.3人行道养护应协调和处理好与无障碍设施、绿化设施等公用设施关系，并应符合有关法律和规章要求。</w:t>
      </w:r>
    </w:p>
    <w:p w14:paraId="50D86934">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1.6.4人行道的翻修养护应将人行道、盲道、斜坡坡道、人行护栏、路名牌等道路设施的养护通盘考虑，处理好道面与盲道、井盖及其他设置物之间的衔接，使其和顺相连。</w:t>
      </w:r>
    </w:p>
    <w:p w14:paraId="6D91AA0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1.6.5人行道上检查井无凸起、沉陷，检查井盖无缺失。</w:t>
      </w:r>
    </w:p>
    <w:p w14:paraId="5C02A319">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1.6.6无障碍设施应设置规范、全线贯通，中间无障碍物。行进盲道、提示盲道安装正确，接茬平顺，无缺失、损坏等现象。</w:t>
      </w:r>
    </w:p>
    <w:p w14:paraId="0D52DFD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1.6.7对因基层原因产生的沉陷、破损等病害，应先处理基层，再修复面层。</w:t>
      </w:r>
    </w:p>
    <w:p w14:paraId="01B1BF03">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1.6.8更换的砌块色彩、强度、块型、尺寸均应与原面层砌块一致，且完好无损、表面平整，无缺棱、掉角、裂缝、色差、麻面等现象。</w:t>
      </w:r>
    </w:p>
    <w:p w14:paraId="1DCC99B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1.6.9人行道养护作业必须保护地下管线和公共设施的完好。</w:t>
      </w:r>
    </w:p>
    <w:p w14:paraId="5144208B">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1.6.10加强日常巡查和经常性保养，特别对商业网点、人群集散点等区域的人行道、广场应提高巡检频率，及时清除病害，保持人行道、广场功能和设施完整。 </w:t>
      </w:r>
    </w:p>
    <w:p w14:paraId="4F61D266">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1.6.11人行道养护质量符合下面要求。</w:t>
      </w:r>
    </w:p>
    <w:p w14:paraId="36B6C797">
      <w:pPr>
        <w:adjustRightInd/>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人行道养护质量标准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8235"/>
      </w:tblGrid>
      <w:tr w14:paraId="2EC7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04" w:type="dxa"/>
            <w:noWrap w:val="0"/>
            <w:vAlign w:val="center"/>
          </w:tcPr>
          <w:p w14:paraId="2EEBDFB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8235" w:type="dxa"/>
            <w:noWrap w:val="0"/>
            <w:vAlign w:val="center"/>
          </w:tcPr>
          <w:p w14:paraId="0B5CC0F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r>
      <w:tr w14:paraId="46B2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04" w:type="dxa"/>
            <w:noWrap w:val="0"/>
            <w:vAlign w:val="center"/>
          </w:tcPr>
          <w:p w14:paraId="45051CD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铺筑</w:t>
            </w:r>
          </w:p>
        </w:tc>
        <w:tc>
          <w:tcPr>
            <w:tcW w:w="8235" w:type="dxa"/>
            <w:noWrap w:val="0"/>
            <w:vAlign w:val="center"/>
          </w:tcPr>
          <w:p w14:paraId="6FDE75B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1、预制块、块石铺筑平整不摇动，缝隙饱满；</w:t>
            </w:r>
          </w:p>
          <w:p w14:paraId="335332B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2、纵横缝顺直，排列整齐，纵向偏差≤10mm</w:t>
            </w:r>
          </w:p>
        </w:tc>
      </w:tr>
      <w:tr w14:paraId="7A0D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04" w:type="dxa"/>
            <w:noWrap w:val="0"/>
            <w:vAlign w:val="center"/>
          </w:tcPr>
          <w:p w14:paraId="13440E5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平整度</w:t>
            </w:r>
          </w:p>
        </w:tc>
        <w:tc>
          <w:tcPr>
            <w:tcW w:w="8235" w:type="dxa"/>
            <w:noWrap w:val="0"/>
            <w:vAlign w:val="center"/>
          </w:tcPr>
          <w:p w14:paraId="1D7F56B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高差≯5mm</w:t>
            </w:r>
          </w:p>
        </w:tc>
      </w:tr>
      <w:tr w14:paraId="6D7C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04" w:type="dxa"/>
            <w:noWrap w:val="0"/>
            <w:vAlign w:val="center"/>
          </w:tcPr>
          <w:p w14:paraId="3C2246C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接边</w:t>
            </w:r>
          </w:p>
        </w:tc>
        <w:tc>
          <w:tcPr>
            <w:tcW w:w="8235" w:type="dxa"/>
            <w:noWrap w:val="0"/>
            <w:vAlign w:val="center"/>
          </w:tcPr>
          <w:p w14:paraId="4E9534A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新老接边齐平，高差≤5mm、人行道面高出侧石顶面5mm</w:t>
            </w:r>
          </w:p>
        </w:tc>
      </w:tr>
      <w:tr w14:paraId="0C84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04" w:type="dxa"/>
            <w:noWrap w:val="0"/>
            <w:vAlign w:val="center"/>
          </w:tcPr>
          <w:p w14:paraId="7A61095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路框差</w:t>
            </w:r>
          </w:p>
        </w:tc>
        <w:tc>
          <w:tcPr>
            <w:tcW w:w="8235" w:type="dxa"/>
            <w:noWrap w:val="0"/>
            <w:vAlign w:val="center"/>
          </w:tcPr>
          <w:p w14:paraId="64AB862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检查井及公用事业井井框与人行道高差≯5mm</w:t>
            </w:r>
          </w:p>
        </w:tc>
      </w:tr>
      <w:tr w14:paraId="4A23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04" w:type="dxa"/>
            <w:noWrap w:val="0"/>
            <w:vAlign w:val="center"/>
          </w:tcPr>
          <w:p w14:paraId="46CCF3B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横坡度</w:t>
            </w:r>
          </w:p>
        </w:tc>
        <w:tc>
          <w:tcPr>
            <w:tcW w:w="8235" w:type="dxa"/>
            <w:noWrap w:val="0"/>
            <w:vAlign w:val="center"/>
          </w:tcPr>
          <w:p w14:paraId="2ADABFE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横坡度与原路面横坡一致，不得有积水</w:t>
            </w:r>
          </w:p>
        </w:tc>
      </w:tr>
    </w:tbl>
    <w:p w14:paraId="2106C53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1.7 掘路修复 </w:t>
      </w:r>
    </w:p>
    <w:p w14:paraId="3E680113">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1.7.1掘路前应查明地下管线状况，挖槽时不得损坏原有的地下管线。</w:t>
      </w:r>
    </w:p>
    <w:p w14:paraId="5B608A7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1.7.2掘路修复所采用的基层、面层材料不应低于原结构强度，使得修复区域路基路面的整体性能不低于开挖前使用性能和服务水平。</w:t>
      </w:r>
    </w:p>
    <w:p w14:paraId="7F039A7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1.7.3掘路修复结构应按同等级别道路的新路设计结构层并按相应的施工规范要求进行。</w:t>
      </w:r>
    </w:p>
    <w:p w14:paraId="5A6D2D0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1.7.4掘路修复宜采用振动压路机或振动夯实机具，分层夯实、碾压，压实度应达到规定要求。</w:t>
      </w:r>
    </w:p>
    <w:p w14:paraId="1F5F101D">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1.7.5考虑到开挖修复区域的整体横向联系遭受破坏，要求修复区域和未开挖体之间采用阶梯式衔接，形成有效的受力整体。基层修复应在开挖沟槽两侧各加宽30~50cm，面层修复宽度应在基层两侧各加宽20cm。</w:t>
      </w:r>
    </w:p>
    <w:p w14:paraId="2B237A0E">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1.7.6掘路修复应做到快速、坚实、平整，现场清洁。对已开放交通但尚未完工的横向掘路工程，应当采取临时措施，确保机动车、非机动车和行人的通行安全。</w:t>
      </w:r>
    </w:p>
    <w:p w14:paraId="110516E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1.7.7小型掘路修复的质量要求，应符合沥青路面、水泥混凝土路面、人行道的养护质量评定标准。</w:t>
      </w:r>
    </w:p>
    <w:p w14:paraId="4A64E4D8">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1.7.8大型掘路修复的质量要求，应依据《城镇道路工程施工与质量验收规范》进行。</w:t>
      </w:r>
    </w:p>
    <w:p w14:paraId="7632E01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1.8安全作业、应急处置、文明施工管理</w:t>
      </w:r>
    </w:p>
    <w:p w14:paraId="1909A14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应认真贯彻“安全第一、预防为主”的方针，自觉遵守，严格执行国家有关劳动保护与安全生产的法律法规。建立安全管理体系，完善各项安全管理制度，落实各级安全责任制，做好日常管理工作，杜绝各类事故。</w:t>
      </w:r>
    </w:p>
    <w:p w14:paraId="091E887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1.8.2养护作业应避高峰，快速施工原则，积极推行预养护和“四新”技术，注重文明施工与环境保护，根据养护作业实际情况制定文明施工与环境保护具体措施，减少对附近区域市容环卫和交通运行影响。</w:t>
      </w:r>
    </w:p>
    <w:p w14:paraId="62EE1CA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1.8.3应建立应急防灾组织体系，建立防灾机制，落实管理责任，做好突发性事故的应急处置预案，组成与灾害防治、处置工作相适应的抢险组织联络网，积极、妥善处理突发应急事件，确保道路畅通。</w:t>
      </w:r>
    </w:p>
    <w:p w14:paraId="0E1D52AE">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1.8.4养护人员必须自觉遵守交通法规，上岗前必须进行安全教育和技术培训。进入养护作业现场内的人员应按规定统一着装，且必须穿戴具有反光功能的安全标志服和防护帽。</w:t>
      </w:r>
    </w:p>
    <w:p w14:paraId="44C28F2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1.8.5应精心组织有效的交通控制，保障措施，确保养护安全。</w:t>
      </w:r>
    </w:p>
    <w:p w14:paraId="4DAA5B31">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1.8.6养护作业现场应设置明显安全标志和采取有效的安全防护措施。</w:t>
      </w:r>
    </w:p>
    <w:p w14:paraId="64809D48">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1.8.7养护作业应按要求配备专职安全员，并有专人负责现场交通疏导。</w:t>
      </w:r>
    </w:p>
    <w:p w14:paraId="323902E9">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1.8.8养护作业人员不得在控制区外作业和活动，或将物体置于控制区以外。</w:t>
      </w:r>
    </w:p>
    <w:p w14:paraId="7BFE428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1.8.9占路维修道路时应及时报交通管理部门，交通导流方案应符合交通管理部门的有关规定。</w:t>
      </w:r>
    </w:p>
    <w:p w14:paraId="1EF744B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1.8.10养护维修作业控制区的布置和安全防范措施必须符合《城市道路养护维修作业安全技术规程》（SZ-51-2006)的要求。进入养护作业现场的作业车辆，应配置警示标志、灯具，车身两侧应注有“道路养护”字样，其规格、颜色、品种、性能应符合国家现行标准《道路作业交通安全标志》GA182及《道路交通标志和标线》GB 5768的规定。</w:t>
      </w:r>
    </w:p>
    <w:p w14:paraId="3946CCD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1.9其他管理规定</w:t>
      </w:r>
    </w:p>
    <w:p w14:paraId="2FB1F91F">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1.9.1认真落实社会投诉工作，建立24小时值班制度，落实解决各类投诉问题。</w:t>
      </w:r>
    </w:p>
    <w:p w14:paraId="37AA5F43">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1.9.2不发生有责媒体报道事件，不发生重大有责新闻曝光。</w:t>
      </w:r>
    </w:p>
    <w:p w14:paraId="7BC744BD">
      <w:pPr>
        <w:adjustRightInd/>
        <w:spacing w:line="400" w:lineRule="exact"/>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cs="宋体"/>
          <w:color w:val="auto"/>
          <w:szCs w:val="21"/>
          <w:highlight w:val="none"/>
        </w:rPr>
        <w:t>1.9.3认真完成领导或相关部门的指令性、突击性任务。</w:t>
      </w:r>
    </w:p>
    <w:p w14:paraId="54363019">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33F8EE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附件2</w:t>
      </w:r>
    </w:p>
    <w:p w14:paraId="2288E2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桥梁养护作业规范</w:t>
      </w:r>
    </w:p>
    <w:p w14:paraId="058287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3.1术语</w:t>
      </w:r>
    </w:p>
    <w:p w14:paraId="0B1931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 简支梁桥——以一端由固定支座支承，另一端由活动支座支承的梁作为上部结构主要承重构建的梁桥。</w:t>
      </w:r>
    </w:p>
    <w:p w14:paraId="5D8041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3.1.2连续梁桥——以由三个或三个以上支座支承的梁作为上部结构主要承重构件的梁桥。</w:t>
      </w:r>
    </w:p>
    <w:p w14:paraId="6E5E3B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3.1.3 上部结构——桥梁支座以上跨越桥孔部分的总称。</w:t>
      </w:r>
    </w:p>
    <w:p w14:paraId="5DF36D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3.1.4 下部结构——支承桥梁上部结构，并将其荷载传递至地基的桥墩、桥台和基础总称。</w:t>
      </w:r>
    </w:p>
    <w:p w14:paraId="45AFF7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3.1.5 桥头搭板——用与防止桥端连接部分的沉降而采取的措施。它搁置在桥台或悬臂梁板端部和填土之间，随着填土的沉降而能够转动。车辆行驶时可起到缓冲作用，即使台背填土沉降也不至于产生凹凸不平。</w:t>
      </w:r>
    </w:p>
    <w:p w14:paraId="727AD4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3.1.6桥面系——上部结构中，直接承受车辆、人群荷载并将其传递至主要承重构件的桥面构造系统，包括桥面的铺装、桥面板、纵梁、横梁、人行道等。</w:t>
      </w:r>
    </w:p>
    <w:p w14:paraId="469645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3.1.7桥面铺装——为保护桥面板和分布车轮的集中荷载，用沥青混凝土、水泥混凝土等材料铺筑在桥面板上的保护层。</w:t>
      </w:r>
    </w:p>
    <w:p w14:paraId="55CDB8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3.1.8桥面伸缩装置——为使车辆平稳的通过桥面并满足桥面变形的需要，在桥面伸缩缝处设置的各种装置的总称。</w:t>
      </w:r>
    </w:p>
    <w:p w14:paraId="6994C9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3.1.9桥面排水系统——为了迅速的排除桥面积水，防止雨水积滞于桥面并渗入梁体而影响桥梁的耐久性，在桥梁的设计时，在桥面上除设置纵横坡排水外，桥面需要设置一定数量的泻水管道，以便组成一个完整的排水系统。</w:t>
      </w:r>
    </w:p>
    <w:p w14:paraId="3FA089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3.1.10支座——设在桥梁上部结构与下部结构之间，使上部结构具有一定活动性的传力装置。</w:t>
      </w:r>
    </w:p>
    <w:p w14:paraId="53308B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3.1.11桥台——在岸边或桥孔尽端介于桥梁与路堤连接处的支撑结构物。它起着支撑上部结构和连接两岸道路同时还要挡住桥台背后填土的作用。</w:t>
      </w:r>
    </w:p>
    <w:p w14:paraId="7A9F79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3.1.12桥墩——在两孔和两孔以上的桥梁中除两端与路堤衔接的桥台外其余的中间支撑结构称为桥墩。</w:t>
      </w:r>
    </w:p>
    <w:p w14:paraId="5D25A4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3.1.13盖梁——为支承分布和传递上部结构的荷载，在排架桩墩顶部设置的横梁。</w:t>
      </w:r>
    </w:p>
    <w:p w14:paraId="56A4B9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3.1.14承台——为承受分布由墩身传递的荷载，在基桩顶部设置的联结各桩顶的钢筋混凝土平台。</w:t>
      </w:r>
    </w:p>
    <w:p w14:paraId="15FD12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3.1.15基础——将桥梁墩、台承受的各种荷载传递至地基上的构造物。</w:t>
      </w:r>
    </w:p>
    <w:p w14:paraId="4AA260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3.2基本规定</w:t>
      </w:r>
    </w:p>
    <w:p w14:paraId="786E65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 桥梁的养护包括桥梁及其附属设施的日常巡查、检测评定、养护维修工程、档案管理等内容。</w:t>
      </w:r>
    </w:p>
    <w:p w14:paraId="0AA179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3.2.2应建立定期巡查制度，重视并做好桥梁的日常巡查，区域内的城市桥梁巡查不少于每日一次。</w:t>
      </w:r>
    </w:p>
    <w:p w14:paraId="2A7430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3.2.3发现病害，根据病害特征分析其产生原因及其发展情况，随时了解桥梁的使用状况，并采取相应的技术措施及时维修，要求达到整改率100%。使其处于良好的技术状态，保证正常使用。</w:t>
      </w:r>
    </w:p>
    <w:p w14:paraId="7DBA23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3.2.4重视并做好桥梁的检测和评定，桥梁应按《城市桥梁养护技术规范》（CJJ99-2003)规定进行检查、检测和评价，全面掌握桥梁的技术状况，并制定养护计划和对策。</w:t>
      </w:r>
    </w:p>
    <w:p w14:paraId="4680A5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3.2.5城市桥梁的养护应贯彻“预防为主、防治结合”的方针，以桥梁结构安全为中心，以承重部件为重点，对桥梁进行周期性养护，提高桥梁结构的安全性和耐久性。 </w:t>
      </w:r>
    </w:p>
    <w:p w14:paraId="4609F2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3.2.6桥梁的养护作业应做到：桥梁外观整洁，桥面平整，桥头顺适，排水、伸缩缝、支座、护栏等设施完好，结构无损坏，基础无冲刷、掏空。</w:t>
      </w:r>
    </w:p>
    <w:p w14:paraId="58C92B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3.2.7桥梁的养护作业应符合下列要求：</w:t>
      </w:r>
    </w:p>
    <w:p w14:paraId="24FC99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3.2.7.1 桥梁的养护作业应根据养护范围、工程量、养护要求、养护特点，配备必要养护设备及专业养护技术人员，规范养护作业方式，强化作业现场交通安全管理。占路维修桥梁时应及时报交通管理部门，交通导流方案应符合交通管理部门的有关规定。</w:t>
      </w:r>
    </w:p>
    <w:p w14:paraId="45948A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3.2.7.2桥梁的养护作业事先应制定周密的作业计划，做好进度安排、人员组织、材料机具准备，安排好工序之间的衔接。</w:t>
      </w:r>
    </w:p>
    <w:p w14:paraId="20B359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3.2.7.3桥梁的养护作业应因地制宜、合理地选择养护维修工艺，节约资源和保护环境。</w:t>
      </w:r>
    </w:p>
    <w:p w14:paraId="7523C2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3.2.7.4桥梁养护作业应使用经检验合格的原材料、成品、半成品。</w:t>
      </w:r>
    </w:p>
    <w:p w14:paraId="459C3C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3.2.7.5操作养护作业机械人员应持证上岗，并做好机械的保养维修工作，提高机械设备的完好率和使用率。</w:t>
      </w:r>
    </w:p>
    <w:p w14:paraId="4B4419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3.2.7.6桥梁的养护作业应贯彻安全生产、文明施工的方针，制定安全技术措施，加强安全教育，严格执行安全操作规程，确保安全生产。</w:t>
      </w:r>
    </w:p>
    <w:p w14:paraId="1B05C0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3.2.7.7桥梁养护作业应加强质量管理，严格施工过程的质量控制，完善质量检查和验收制度。</w:t>
      </w:r>
    </w:p>
    <w:p w14:paraId="7D9962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3.2.7.8桥梁的养护作业完工后，应注意及时清理场地，避免杂物堆积影响行人和交通。</w:t>
      </w:r>
    </w:p>
    <w:p w14:paraId="65F059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3.2.7.9城市桥梁的养护作业应加强档案管理，实现计算机管理，各项作业记录、质检记录、计量记录等资料应及时整理、录入、归档。</w:t>
      </w:r>
    </w:p>
    <w:p w14:paraId="2A1B49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3.2.8城市桥梁养护档案应符合下列规定：</w:t>
      </w:r>
    </w:p>
    <w:p w14:paraId="7FD34D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3.2.8.1城市桥梁养护档案应以一座独立桥梁为单位建档。</w:t>
      </w:r>
    </w:p>
    <w:p w14:paraId="0BD6C8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3.2.8.2 养护档案应包括下列内容：桥梁主要技术资料，施工竣工资料，养护技术文件，巡检、检测、测试资料，养护作业资料，桥上架设管线、地下构筑物及管线穿越等技术文件及相关资料。</w:t>
      </w:r>
    </w:p>
    <w:p w14:paraId="3A690E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3.2.8.3养护档案管理工作应实行电子化、数据化、利用多媒体技术，建立信息管理系统、数据库。</w:t>
      </w:r>
    </w:p>
    <w:p w14:paraId="1D00D2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3.2.9城市桥梁的养护应鼓励新技术、新材料、新工艺、新设备的推广应用，提高养护作业机械化、自动化、信息化、智能化作业程度和技术水平，提高养护作业质量和劳动效率，降低养护工人劳动强度和作业难度。</w:t>
      </w:r>
    </w:p>
    <w:p w14:paraId="4C6A18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3.2.10 在城市桥梁上增加静荷载（构筑物、装饰灯、广告牌、各类管线、绿化设施等），必须经过验算且满足桥梁安全技术要求。</w:t>
      </w:r>
    </w:p>
    <w:p w14:paraId="0BE28E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3.2.11 对严重危及行人、车辆安全的病害或突发事件，养护单位应立即组织抢修，可后办手续。</w:t>
      </w:r>
    </w:p>
    <w:p w14:paraId="272EDE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3.3上部结构管理</w:t>
      </w:r>
    </w:p>
    <w:p w14:paraId="48F4CE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3.3.1沥青混凝土桥面铺装</w:t>
      </w:r>
    </w:p>
    <w:p w14:paraId="5930A1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3.3.1.1应保持桥面平整及时清除冰棱、积雪。</w:t>
      </w:r>
    </w:p>
    <w:p w14:paraId="4E4DA1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3.3.1.2沥青混凝土桥面应无裂缝、拥包、车辙、松散、麻面、坑槽、推移等病害。对桥梁结构变形产生的病害应进行专项维修。当损坏面积较小时，可局部修补；损坏面积较大时，可将整跨铺装层凿除，重新铺装。</w:t>
      </w:r>
    </w:p>
    <w:p w14:paraId="27D421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3.3.1.3桥面铺装维修时，应避免损坏防水层。采用铣刨机铣刨时，应严格控制铣刨深度，若铣刨后剩余的沥青混凝土厚度小于单层厚度，宜将沥青混凝土铺装层全厚度清除。</w:t>
      </w:r>
    </w:p>
    <w:p w14:paraId="5CADA5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3.3.1.4 维修后的桥面横坡和纵坡，应满足排水要求。</w:t>
      </w:r>
    </w:p>
    <w:p w14:paraId="2C5850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3.3.1.5 桥面铺装增加厚度时应进行荷载验算。</w:t>
      </w:r>
    </w:p>
    <w:p w14:paraId="2542E3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3.3.1.6 架设在桥上的管线安全保护设施应完整、有效；线杆应安全、牢固；井盖应完好。</w:t>
      </w:r>
    </w:p>
    <w:p w14:paraId="5349BF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3.3.1.7沥青混凝土桥面的养护、病害处理和修补应按</w:t>
      </w:r>
      <w:r>
        <w:rPr>
          <w:rFonts w:hint="eastAsia" w:ascii="宋体" w:hAnsi="宋体" w:cs="宋体"/>
          <w:color w:val="auto"/>
          <w:sz w:val="21"/>
          <w:szCs w:val="21"/>
          <w:highlight w:val="none"/>
          <w:lang w:val="en-US" w:eastAsia="zh-CN"/>
        </w:rPr>
        <w:t>规范</w:t>
      </w:r>
      <w:r>
        <w:rPr>
          <w:rFonts w:hint="eastAsia" w:ascii="宋体" w:hAnsi="宋体" w:eastAsia="宋体" w:cs="宋体"/>
          <w:color w:val="auto"/>
          <w:sz w:val="21"/>
          <w:szCs w:val="21"/>
          <w:highlight w:val="none"/>
          <w:lang w:val="en-US" w:eastAsia="zh-CN"/>
        </w:rPr>
        <w:t>要求进行。</w:t>
      </w:r>
    </w:p>
    <w:p w14:paraId="6530EE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3.3.1.8沥青混凝土桥面维修质量验收应符合以下要求。</w:t>
      </w:r>
    </w:p>
    <w:p w14:paraId="795581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沥青混凝土桥面维修质量验收标准</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439"/>
      </w:tblGrid>
      <w:tr w14:paraId="0F4C6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tcBorders>
              <w:top w:val="single" w:color="auto" w:sz="8" w:space="0"/>
              <w:left w:val="single" w:color="auto" w:sz="8" w:space="0"/>
              <w:bottom w:val="single" w:color="auto" w:sz="8" w:space="0"/>
              <w:right w:val="single" w:color="auto" w:sz="8" w:space="0"/>
            </w:tcBorders>
            <w:noWrap w:val="0"/>
            <w:vAlign w:val="center"/>
          </w:tcPr>
          <w:p w14:paraId="7321020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6439" w:type="dxa"/>
            <w:tcBorders>
              <w:top w:val="single" w:color="auto" w:sz="8" w:space="0"/>
              <w:left w:val="single" w:color="auto" w:sz="8" w:space="0"/>
              <w:bottom w:val="single" w:color="auto" w:sz="8" w:space="0"/>
              <w:right w:val="single" w:color="auto" w:sz="8" w:space="0"/>
            </w:tcBorders>
            <w:noWrap w:val="0"/>
            <w:vAlign w:val="center"/>
          </w:tcPr>
          <w:p w14:paraId="64F5E67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规定值及允许偏差</w:t>
            </w:r>
          </w:p>
        </w:tc>
      </w:tr>
      <w:tr w14:paraId="65897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89" w:type="dxa"/>
            <w:tcBorders>
              <w:top w:val="single" w:color="auto" w:sz="8" w:space="0"/>
              <w:left w:val="single" w:color="auto" w:sz="8" w:space="0"/>
              <w:bottom w:val="single" w:color="auto" w:sz="4" w:space="0"/>
              <w:right w:val="single" w:color="auto" w:sz="8" w:space="0"/>
            </w:tcBorders>
            <w:noWrap w:val="0"/>
            <w:vAlign w:val="center"/>
          </w:tcPr>
          <w:p w14:paraId="1B0F9C6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切凿、铣刨</w:t>
            </w:r>
          </w:p>
        </w:tc>
        <w:tc>
          <w:tcPr>
            <w:tcW w:w="6439" w:type="dxa"/>
            <w:tcBorders>
              <w:top w:val="single" w:color="auto" w:sz="8" w:space="0"/>
              <w:left w:val="single" w:color="auto" w:sz="8" w:space="0"/>
              <w:bottom w:val="single" w:color="auto" w:sz="4" w:space="0"/>
              <w:right w:val="single" w:color="auto" w:sz="8" w:space="0"/>
            </w:tcBorders>
            <w:noWrap w:val="0"/>
            <w:vAlign w:val="center"/>
          </w:tcPr>
          <w:p w14:paraId="4822879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四周切缝整齐方正；</w:t>
            </w:r>
          </w:p>
          <w:p w14:paraId="3C91F08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2.采用铣刨机或其他机械施工，边口应整齐；</w:t>
            </w:r>
          </w:p>
          <w:p w14:paraId="19ECEBC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3.基底干燥、整洁、无松动，防水层完好</w:t>
            </w:r>
          </w:p>
        </w:tc>
      </w:tr>
      <w:tr w14:paraId="3A997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tcBorders>
              <w:top w:val="single" w:color="auto" w:sz="4" w:space="0"/>
              <w:left w:val="single" w:color="auto" w:sz="8" w:space="0"/>
              <w:bottom w:val="single" w:color="auto" w:sz="4" w:space="0"/>
              <w:right w:val="single" w:color="auto" w:sz="8" w:space="0"/>
            </w:tcBorders>
            <w:noWrap w:val="0"/>
            <w:vAlign w:val="center"/>
          </w:tcPr>
          <w:p w14:paraId="49B1B5A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铺筑</w:t>
            </w:r>
          </w:p>
        </w:tc>
        <w:tc>
          <w:tcPr>
            <w:tcW w:w="6439" w:type="dxa"/>
            <w:tcBorders>
              <w:top w:val="single" w:color="auto" w:sz="4" w:space="0"/>
              <w:left w:val="single" w:color="auto" w:sz="8" w:space="0"/>
              <w:bottom w:val="single" w:color="auto" w:sz="4" w:space="0"/>
              <w:right w:val="single" w:color="auto" w:sz="8" w:space="0"/>
            </w:tcBorders>
            <w:noWrap w:val="0"/>
            <w:vAlign w:val="center"/>
          </w:tcPr>
          <w:p w14:paraId="7E862A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1.面层铺筑厚度允许偏差-5mm，+10mm；</w:t>
            </w:r>
          </w:p>
          <w:p w14:paraId="0CBC9F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2.表面粗细均匀，密实平整</w:t>
            </w:r>
          </w:p>
        </w:tc>
      </w:tr>
      <w:tr w14:paraId="4A5F9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tcBorders>
              <w:top w:val="single" w:color="auto" w:sz="4" w:space="0"/>
              <w:left w:val="single" w:color="auto" w:sz="8" w:space="0"/>
              <w:bottom w:val="single" w:color="auto" w:sz="4" w:space="0"/>
              <w:right w:val="single" w:color="auto" w:sz="8" w:space="0"/>
            </w:tcBorders>
            <w:noWrap w:val="0"/>
            <w:vAlign w:val="center"/>
          </w:tcPr>
          <w:p w14:paraId="6EB5E7B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接边</w:t>
            </w:r>
          </w:p>
        </w:tc>
        <w:tc>
          <w:tcPr>
            <w:tcW w:w="6439" w:type="dxa"/>
            <w:tcBorders>
              <w:top w:val="single" w:color="auto" w:sz="4" w:space="0"/>
              <w:left w:val="single" w:color="auto" w:sz="8" w:space="0"/>
              <w:bottom w:val="single" w:color="auto" w:sz="4" w:space="0"/>
              <w:right w:val="single" w:color="auto" w:sz="8" w:space="0"/>
            </w:tcBorders>
            <w:noWrap w:val="0"/>
            <w:vAlign w:val="center"/>
          </w:tcPr>
          <w:p w14:paraId="0E881D2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1.接边密实，无起壳、无松散；</w:t>
            </w:r>
          </w:p>
          <w:p w14:paraId="5028096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2.接边平顺齐直，与原桥面高差0～5mm；</w:t>
            </w:r>
          </w:p>
          <w:p w14:paraId="067822F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3.与平石相接不得低于平石，高≯5mm</w:t>
            </w:r>
          </w:p>
        </w:tc>
      </w:tr>
      <w:tr w14:paraId="29428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tcBorders>
              <w:top w:val="single" w:color="auto" w:sz="4" w:space="0"/>
              <w:left w:val="single" w:color="auto" w:sz="8" w:space="0"/>
              <w:bottom w:val="single" w:color="auto" w:sz="4" w:space="0"/>
              <w:right w:val="single" w:color="auto" w:sz="8" w:space="0"/>
            </w:tcBorders>
            <w:noWrap w:val="0"/>
            <w:vAlign w:val="center"/>
          </w:tcPr>
          <w:p w14:paraId="2CA2C29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平整度</w:t>
            </w:r>
          </w:p>
        </w:tc>
        <w:tc>
          <w:tcPr>
            <w:tcW w:w="6439" w:type="dxa"/>
            <w:tcBorders>
              <w:top w:val="single" w:color="auto" w:sz="4" w:space="0"/>
              <w:left w:val="single" w:color="auto" w:sz="8" w:space="0"/>
              <w:bottom w:val="single" w:color="auto" w:sz="4" w:space="0"/>
              <w:right w:val="single" w:color="auto" w:sz="8" w:space="0"/>
            </w:tcBorders>
            <w:noWrap w:val="0"/>
            <w:vAlign w:val="center"/>
          </w:tcPr>
          <w:p w14:paraId="539F3B7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人工摊铺≯7mm；机械摊铺≯5mm</w:t>
            </w:r>
          </w:p>
        </w:tc>
      </w:tr>
      <w:tr w14:paraId="2193F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tcBorders>
              <w:top w:val="single" w:color="auto" w:sz="4" w:space="0"/>
              <w:left w:val="single" w:color="auto" w:sz="8" w:space="0"/>
              <w:bottom w:val="single" w:color="auto" w:sz="8" w:space="0"/>
              <w:right w:val="single" w:color="auto" w:sz="8" w:space="0"/>
            </w:tcBorders>
            <w:noWrap w:val="0"/>
            <w:vAlign w:val="center"/>
          </w:tcPr>
          <w:p w14:paraId="0DE3769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横坡</w:t>
            </w:r>
          </w:p>
        </w:tc>
        <w:tc>
          <w:tcPr>
            <w:tcW w:w="6439" w:type="dxa"/>
            <w:tcBorders>
              <w:top w:val="single" w:color="auto" w:sz="4" w:space="0"/>
              <w:left w:val="single" w:color="auto" w:sz="8" w:space="0"/>
              <w:bottom w:val="single" w:color="auto" w:sz="8" w:space="0"/>
              <w:right w:val="single" w:color="auto" w:sz="8" w:space="0"/>
            </w:tcBorders>
            <w:noWrap w:val="0"/>
            <w:vAlign w:val="center"/>
          </w:tcPr>
          <w:p w14:paraId="66BA0B2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与原桥面平顺，横坡一致，不得有积水</w:t>
            </w:r>
          </w:p>
        </w:tc>
      </w:tr>
    </w:tbl>
    <w:p w14:paraId="4F899E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3.3.2防水层</w:t>
      </w:r>
    </w:p>
    <w:p w14:paraId="0C98A4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3.3.2.1桥面防水层应完好无损，如有损坏，应及时进行修补。防水层维修应按施工规范要求进行。</w:t>
      </w:r>
    </w:p>
    <w:p w14:paraId="2FAF64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3.3.2.2防水层维修应先处理基层混凝土，基层混凝土检验合格后方可进行防水层施工。</w:t>
      </w:r>
    </w:p>
    <w:p w14:paraId="1FA83D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3.3.2.3修补后的防水层，其防水性能、整体强度、与下层粘接强度和耐久性等指标，应满足原设计要求。</w:t>
      </w:r>
    </w:p>
    <w:p w14:paraId="1E5164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3.3.2.4防水材料的选用应满足施工环境的条件和工艺的可操作性要求。 </w:t>
      </w:r>
    </w:p>
    <w:p w14:paraId="446F50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3.3.2.5 防水层上沥青混凝土的摊铺温度应与防水卷材的耐热度相匹配，卷材防水层上沥青混凝土的摊铺温度应高于防水卷材的耐热度，但同时应小于170度；涂料防水层上沥青混凝土的摊铺温度应低于防水涂料的耐热度。</w:t>
      </w:r>
    </w:p>
    <w:p w14:paraId="23CC1E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3.3.2.6 防水层维修、更换质量符合以下表要求</w:t>
      </w:r>
    </w:p>
    <w:p w14:paraId="146E6A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防水层维修、更换质量验收标准</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6969"/>
      </w:tblGrid>
      <w:tr w14:paraId="6F67D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2264" w:type="dxa"/>
            <w:tcBorders>
              <w:top w:val="single" w:color="auto" w:sz="8" w:space="0"/>
              <w:left w:val="single" w:color="auto" w:sz="8" w:space="0"/>
              <w:bottom w:val="single" w:color="auto" w:sz="4" w:space="0"/>
              <w:right w:val="single" w:color="auto" w:sz="8" w:space="0"/>
            </w:tcBorders>
            <w:noWrap w:val="0"/>
            <w:vAlign w:val="center"/>
          </w:tcPr>
          <w:p w14:paraId="66319ED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6969" w:type="dxa"/>
            <w:tcBorders>
              <w:top w:val="single" w:color="auto" w:sz="8" w:space="0"/>
              <w:left w:val="single" w:color="auto" w:sz="8" w:space="0"/>
              <w:bottom w:val="single" w:color="auto" w:sz="4" w:space="0"/>
              <w:right w:val="single" w:color="auto" w:sz="8" w:space="0"/>
            </w:tcBorders>
            <w:noWrap w:val="0"/>
            <w:vAlign w:val="center"/>
          </w:tcPr>
          <w:p w14:paraId="673FC8B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规定值及允许偏差</w:t>
            </w:r>
          </w:p>
        </w:tc>
      </w:tr>
      <w:tr w14:paraId="72483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4" w:type="dxa"/>
            <w:tcBorders>
              <w:top w:val="single" w:color="auto" w:sz="8" w:space="0"/>
              <w:left w:val="single" w:color="auto" w:sz="8" w:space="0"/>
              <w:bottom w:val="single" w:color="auto" w:sz="4" w:space="0"/>
              <w:right w:val="single" w:color="auto" w:sz="8" w:space="0"/>
            </w:tcBorders>
            <w:noWrap w:val="0"/>
            <w:vAlign w:val="center"/>
          </w:tcPr>
          <w:p w14:paraId="12EAEDC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卷材接茬搭接宽度</w:t>
            </w:r>
          </w:p>
        </w:tc>
        <w:tc>
          <w:tcPr>
            <w:tcW w:w="6969" w:type="dxa"/>
            <w:tcBorders>
              <w:top w:val="single" w:color="auto" w:sz="8" w:space="0"/>
              <w:left w:val="single" w:color="auto" w:sz="8" w:space="0"/>
              <w:bottom w:val="single" w:color="auto" w:sz="4" w:space="0"/>
              <w:right w:val="single" w:color="auto" w:sz="8" w:space="0"/>
            </w:tcBorders>
            <w:noWrap w:val="0"/>
            <w:vAlign w:val="center"/>
          </w:tcPr>
          <w:p w14:paraId="38DBE95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不小于规定</w:t>
            </w:r>
          </w:p>
        </w:tc>
      </w:tr>
      <w:tr w14:paraId="33524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4" w:type="dxa"/>
            <w:tcBorders>
              <w:top w:val="single" w:color="auto" w:sz="4" w:space="0"/>
              <w:left w:val="single" w:color="auto" w:sz="8" w:space="0"/>
              <w:bottom w:val="single" w:color="auto" w:sz="4" w:space="0"/>
              <w:right w:val="single" w:color="auto" w:sz="8" w:space="0"/>
            </w:tcBorders>
            <w:noWrap w:val="0"/>
            <w:vAlign w:val="center"/>
          </w:tcPr>
          <w:p w14:paraId="720E560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防水涂膜厚度</w:t>
            </w:r>
          </w:p>
        </w:tc>
        <w:tc>
          <w:tcPr>
            <w:tcW w:w="6969" w:type="dxa"/>
            <w:tcBorders>
              <w:top w:val="single" w:color="auto" w:sz="4" w:space="0"/>
              <w:left w:val="single" w:color="auto" w:sz="8" w:space="0"/>
              <w:bottom w:val="single" w:color="auto" w:sz="4" w:space="0"/>
              <w:right w:val="single" w:color="auto" w:sz="8" w:space="0"/>
            </w:tcBorders>
            <w:noWrap w:val="0"/>
            <w:vAlign w:val="center"/>
          </w:tcPr>
          <w:p w14:paraId="590E9D8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符合设计要求</w:t>
            </w:r>
          </w:p>
        </w:tc>
      </w:tr>
      <w:tr w14:paraId="07EB1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264" w:type="dxa"/>
            <w:tcBorders>
              <w:top w:val="single" w:color="auto" w:sz="4" w:space="0"/>
              <w:left w:val="single" w:color="auto" w:sz="8" w:space="0"/>
              <w:right w:val="single" w:color="auto" w:sz="8" w:space="0"/>
            </w:tcBorders>
            <w:noWrap w:val="0"/>
            <w:vAlign w:val="center"/>
          </w:tcPr>
          <w:p w14:paraId="5F4C07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外观质量</w:t>
            </w:r>
          </w:p>
        </w:tc>
        <w:tc>
          <w:tcPr>
            <w:tcW w:w="6969" w:type="dxa"/>
            <w:tcBorders>
              <w:top w:val="single" w:color="auto" w:sz="4" w:space="0"/>
              <w:left w:val="single" w:color="auto" w:sz="8" w:space="0"/>
              <w:right w:val="single" w:color="auto" w:sz="8" w:space="0"/>
            </w:tcBorders>
            <w:noWrap w:val="0"/>
            <w:vAlign w:val="center"/>
          </w:tcPr>
          <w:p w14:paraId="58F4558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1.防水层、粘结层与基层之问应密贴，结合牢固；</w:t>
            </w:r>
          </w:p>
          <w:p w14:paraId="6BFEA90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2.卷材防水层表面平整，不得有空鼓、脱层、裂缝、翘边、油包、气泡和皱褶等现象；</w:t>
            </w:r>
          </w:p>
          <w:p w14:paraId="5288CC4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3.涂料防水层的厚度应均匀一致，不得有漏涂处；</w:t>
            </w:r>
          </w:p>
          <w:p w14:paraId="5E321C2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4.防水层与泄水口、伸缩缝、缘石衔接处应密封</w:t>
            </w:r>
          </w:p>
        </w:tc>
      </w:tr>
    </w:tbl>
    <w:p w14:paraId="650C05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3.3.3桥面排水设施</w:t>
      </w:r>
    </w:p>
    <w:p w14:paraId="18422C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3.3.3.1排水设施应经常性和周期性养护，保持排水设施处于良好的技术状况。</w:t>
      </w:r>
    </w:p>
    <w:p w14:paraId="045696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3.3.3.2雨水格栅发现损坏、缺失应及时更换。</w:t>
      </w:r>
    </w:p>
    <w:p w14:paraId="705291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3.3.3.3泄水孔、泄水管出现堵塞应及时清理疏通，确保排水通畅。</w:t>
      </w:r>
    </w:p>
    <w:p w14:paraId="672CA0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3.3.3.4 泄水管损坏应及时修补，接头松动或脱落应重新接上，损坏严重的应予以更换。跨河桥梁泄水管下端露出不应少于100mm，露出长度不足时，应予以接长，避免桥面水沿侧墙和腹板流淌。</w:t>
      </w:r>
    </w:p>
    <w:p w14:paraId="63D6D5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3.3.3.5 泄水管更换的质量应符合下面的要求。</w:t>
      </w:r>
    </w:p>
    <w:p w14:paraId="447676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泄水管更换质量验收标准</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
      <w:tblGrid>
        <w:gridCol w:w="2344"/>
        <w:gridCol w:w="6946"/>
      </w:tblGrid>
      <w:tr w14:paraId="72EB2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344" w:type="dxa"/>
            <w:tcBorders>
              <w:top w:val="single" w:color="auto" w:sz="8" w:space="0"/>
              <w:left w:val="single" w:color="auto" w:sz="8" w:space="0"/>
              <w:bottom w:val="single" w:color="auto" w:sz="4" w:space="0"/>
              <w:right w:val="single" w:color="auto" w:sz="8" w:space="0"/>
            </w:tcBorders>
            <w:noWrap w:val="0"/>
            <w:vAlign w:val="center"/>
          </w:tcPr>
          <w:p w14:paraId="1434BE8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6946" w:type="dxa"/>
            <w:tcBorders>
              <w:top w:val="single" w:color="auto" w:sz="8" w:space="0"/>
              <w:left w:val="single" w:color="auto" w:sz="8" w:space="0"/>
              <w:bottom w:val="single" w:color="auto" w:sz="4" w:space="0"/>
              <w:right w:val="single" w:color="auto" w:sz="8" w:space="0"/>
            </w:tcBorders>
            <w:noWrap w:val="0"/>
            <w:vAlign w:val="center"/>
          </w:tcPr>
          <w:p w14:paraId="4386D09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规定值及允许偏差</w:t>
            </w:r>
          </w:p>
        </w:tc>
      </w:tr>
      <w:tr w14:paraId="304EF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344" w:type="dxa"/>
            <w:tcBorders>
              <w:top w:val="single" w:color="auto" w:sz="8" w:space="0"/>
              <w:left w:val="single" w:color="auto" w:sz="8" w:space="0"/>
              <w:bottom w:val="single" w:color="auto" w:sz="4" w:space="0"/>
              <w:right w:val="single" w:color="auto" w:sz="8" w:space="0"/>
            </w:tcBorders>
            <w:noWrap w:val="0"/>
            <w:vAlign w:val="center"/>
          </w:tcPr>
          <w:p w14:paraId="6CA60A8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横向管道坡度</w:t>
            </w:r>
          </w:p>
        </w:tc>
        <w:tc>
          <w:tcPr>
            <w:tcW w:w="6946" w:type="dxa"/>
            <w:tcBorders>
              <w:top w:val="single" w:color="auto" w:sz="8" w:space="0"/>
              <w:left w:val="single" w:color="auto" w:sz="8" w:space="0"/>
              <w:bottom w:val="single" w:color="auto" w:sz="4" w:space="0"/>
              <w:right w:val="single" w:color="auto" w:sz="8" w:space="0"/>
            </w:tcBorders>
            <w:noWrap w:val="0"/>
            <w:vAlign w:val="center"/>
          </w:tcPr>
          <w:p w14:paraId="066F153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w:t>
            </w:r>
          </w:p>
        </w:tc>
      </w:tr>
      <w:tr w14:paraId="18C8E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344" w:type="dxa"/>
            <w:tcBorders>
              <w:top w:val="single" w:color="auto" w:sz="4" w:space="0"/>
              <w:left w:val="single" w:color="auto" w:sz="8" w:space="0"/>
              <w:bottom w:val="single" w:color="auto" w:sz="4" w:space="0"/>
              <w:right w:val="single" w:color="auto" w:sz="8" w:space="0"/>
            </w:tcBorders>
            <w:noWrap w:val="0"/>
            <w:vAlign w:val="center"/>
          </w:tcPr>
          <w:p w14:paraId="2BA7CCD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立管垂直度</w:t>
            </w:r>
          </w:p>
        </w:tc>
        <w:tc>
          <w:tcPr>
            <w:tcW w:w="6946" w:type="dxa"/>
            <w:tcBorders>
              <w:top w:val="single" w:color="auto" w:sz="4" w:space="0"/>
              <w:left w:val="single" w:color="auto" w:sz="8" w:space="0"/>
              <w:bottom w:val="single" w:color="auto" w:sz="4" w:space="0"/>
              <w:right w:val="single" w:color="auto" w:sz="8" w:space="0"/>
            </w:tcBorders>
            <w:noWrap w:val="0"/>
            <w:vAlign w:val="center"/>
          </w:tcPr>
          <w:p w14:paraId="19D87DA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r>
      <w:tr w14:paraId="572B2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344" w:type="dxa"/>
            <w:tcBorders>
              <w:top w:val="single" w:color="auto" w:sz="4" w:space="0"/>
              <w:left w:val="single" w:color="auto" w:sz="8" w:space="0"/>
              <w:bottom w:val="single" w:color="auto" w:sz="4" w:space="0"/>
              <w:right w:val="single" w:color="auto" w:sz="8" w:space="0"/>
            </w:tcBorders>
            <w:noWrap w:val="0"/>
            <w:vAlign w:val="center"/>
          </w:tcPr>
          <w:p w14:paraId="12D5B23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泄水口与桥面高程</w:t>
            </w:r>
          </w:p>
        </w:tc>
        <w:tc>
          <w:tcPr>
            <w:tcW w:w="6946" w:type="dxa"/>
            <w:tcBorders>
              <w:top w:val="single" w:color="auto" w:sz="4" w:space="0"/>
              <w:left w:val="single" w:color="auto" w:sz="8" w:space="0"/>
              <w:bottom w:val="single" w:color="auto" w:sz="4" w:space="0"/>
              <w:right w:val="single" w:color="auto" w:sz="8" w:space="0"/>
            </w:tcBorders>
            <w:noWrap w:val="0"/>
            <w:vAlign w:val="center"/>
          </w:tcPr>
          <w:p w14:paraId="55BE1AB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0，-10mm</w:t>
            </w:r>
          </w:p>
        </w:tc>
      </w:tr>
      <w:tr w14:paraId="2BAF4D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61" w:hRule="exact"/>
          <w:jc w:val="center"/>
        </w:trPr>
        <w:tc>
          <w:tcPr>
            <w:tcW w:w="2344" w:type="dxa"/>
            <w:tcBorders>
              <w:top w:val="single" w:color="auto" w:sz="4" w:space="0"/>
              <w:left w:val="single" w:color="auto" w:sz="8" w:space="0"/>
              <w:bottom w:val="single" w:color="auto" w:sz="8" w:space="0"/>
              <w:right w:val="single" w:color="auto" w:sz="8" w:space="0"/>
            </w:tcBorders>
            <w:noWrap w:val="0"/>
            <w:vAlign w:val="center"/>
          </w:tcPr>
          <w:p w14:paraId="5C3B63C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外观质量</w:t>
            </w:r>
          </w:p>
        </w:tc>
        <w:tc>
          <w:tcPr>
            <w:tcW w:w="6946" w:type="dxa"/>
            <w:tcBorders>
              <w:top w:val="single" w:color="auto" w:sz="4" w:space="0"/>
              <w:left w:val="single" w:color="auto" w:sz="8" w:space="0"/>
              <w:bottom w:val="single" w:color="auto" w:sz="8" w:space="0"/>
              <w:right w:val="single" w:color="auto" w:sz="8" w:space="0"/>
            </w:tcBorders>
            <w:noWrap w:val="0"/>
            <w:vAlign w:val="center"/>
          </w:tcPr>
          <w:p w14:paraId="6236968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桥面泄水口应低于桥面铺装层10～20mm</w:t>
            </w:r>
          </w:p>
          <w:p w14:paraId="18F8E75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泄水管安装应牢固可靠，与铺装层及防水层之间应结合密实，无渗漏现象；金属泄水管应进行防腐处理</w:t>
            </w:r>
          </w:p>
        </w:tc>
      </w:tr>
    </w:tbl>
    <w:p w14:paraId="5A2353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3.3.4伸缩装置</w:t>
      </w:r>
    </w:p>
    <w:p w14:paraId="499E68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3.3.4.1伸缩装置应平整、直顺、伸缩自如，处于良好的工作状态。有堵塞时应及时清除，出现渗漏、变形、开裂、行车异常响声、跳车时应及时维修。</w:t>
      </w:r>
    </w:p>
    <w:p w14:paraId="3888AB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3.3.4.2异型钢类伸缩缝装置的密封橡胶带（止水带），损坏后应及时更换。密封橡胶带的选择，应满足原设计的规格和性能要求。</w:t>
      </w:r>
    </w:p>
    <w:p w14:paraId="27AEB9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3.3.4.3伸缩装置出现损坏而无法修复时，应选用原规格伸缩装置产品进行整体更换，伸缩装置的更换应符合下列规定：</w:t>
      </w:r>
    </w:p>
    <w:p w14:paraId="3C5C4C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a伸缩装置应满足设计和有关技术规范的要求，具有产品合格证，并经验收合格后方可安装。</w:t>
      </w:r>
    </w:p>
    <w:p w14:paraId="557332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b伸缩缝应锚固牢靠，伸缩性能应有效。</w:t>
      </w:r>
    </w:p>
    <w:p w14:paraId="6704E8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c伸缩缝两侧混凝土的类型和强度，应满足设计要求，</w:t>
      </w:r>
    </w:p>
    <w:p w14:paraId="6D4B24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d大型伸缩缝与钢梁连接处的焊缝应做无损探伤检测，检测结果应合格。</w:t>
      </w:r>
    </w:p>
    <w:p w14:paraId="1B2AB1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e伸缩缝处不得积水。</w:t>
      </w:r>
    </w:p>
    <w:p w14:paraId="07F552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 保护带与桥面的接缝高差，对Ⅰ类养护的城市桥梁不应大于2mm，Ⅱ类桥梁不应大于3mm，</w:t>
      </w:r>
    </w:p>
    <w:p w14:paraId="078CD5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g应保证伸缩装置中间和梁头与桥台（梁端头）之间充分隔离、封闭，禁止混凝土碎块、渣土充填梁端空隙，应保证混凝土充满伸缩装置的型钢下部和后部。</w:t>
      </w:r>
    </w:p>
    <w:p w14:paraId="13571F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f混凝土达到设计强度，且伸缩装置全部安装完好后，方可恢复交通。</w:t>
      </w:r>
    </w:p>
    <w:p w14:paraId="7D1955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3.3.4.4 伸缩装置保护带应完好，不得有开裂、松散，坑洞的面积不得大于０．１ｍ２，深度不得大于２０ｍｍ。已松散和有坑洞的保护带，应及时修复。</w:t>
      </w:r>
    </w:p>
    <w:p w14:paraId="1A0D6D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3.3.4.5 在每年气温最高、最低时，应及时测量伸缩装置的间隙是否符合设计要求。</w:t>
      </w:r>
    </w:p>
    <w:p w14:paraId="579E1A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3.3.4.6伸缩装置养护维修质量符合下面标准。</w:t>
      </w:r>
    </w:p>
    <w:p w14:paraId="45808F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伸缩装置养护维修质量验收标准</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
      <w:tblGrid>
        <w:gridCol w:w="2233"/>
        <w:gridCol w:w="6218"/>
      </w:tblGrid>
      <w:tr w14:paraId="727C5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233" w:type="dxa"/>
            <w:tcBorders>
              <w:top w:val="single" w:color="auto" w:sz="8" w:space="0"/>
              <w:left w:val="single" w:color="auto" w:sz="8" w:space="0"/>
              <w:bottom w:val="single" w:color="auto" w:sz="8" w:space="0"/>
              <w:right w:val="single" w:color="auto" w:sz="8" w:space="0"/>
            </w:tcBorders>
            <w:noWrap w:val="0"/>
            <w:vAlign w:val="center"/>
          </w:tcPr>
          <w:p w14:paraId="60DC75C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6218" w:type="dxa"/>
            <w:tcBorders>
              <w:top w:val="single" w:color="auto" w:sz="8" w:space="0"/>
              <w:left w:val="single" w:color="auto" w:sz="8" w:space="0"/>
              <w:bottom w:val="single" w:color="auto" w:sz="8" w:space="0"/>
              <w:right w:val="single" w:color="auto" w:sz="8" w:space="0"/>
            </w:tcBorders>
            <w:noWrap w:val="0"/>
            <w:vAlign w:val="center"/>
          </w:tcPr>
          <w:p w14:paraId="25C3A10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规定值及允许偏差</w:t>
            </w:r>
          </w:p>
        </w:tc>
      </w:tr>
      <w:tr w14:paraId="12EED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233" w:type="dxa"/>
            <w:tcBorders>
              <w:top w:val="single" w:color="auto" w:sz="8" w:space="0"/>
              <w:left w:val="single" w:color="auto" w:sz="8" w:space="0"/>
              <w:bottom w:val="single" w:color="auto" w:sz="4" w:space="0"/>
              <w:right w:val="single" w:color="auto" w:sz="8" w:space="0"/>
            </w:tcBorders>
            <w:noWrap w:val="0"/>
            <w:vAlign w:val="center"/>
          </w:tcPr>
          <w:p w14:paraId="0DDEA5D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长度</w:t>
            </w:r>
          </w:p>
        </w:tc>
        <w:tc>
          <w:tcPr>
            <w:tcW w:w="6218" w:type="dxa"/>
            <w:tcBorders>
              <w:top w:val="single" w:color="auto" w:sz="8" w:space="0"/>
              <w:left w:val="single" w:color="auto" w:sz="8" w:space="0"/>
              <w:bottom w:val="single" w:color="auto" w:sz="4" w:space="0"/>
              <w:right w:val="single" w:color="auto" w:sz="8" w:space="0"/>
            </w:tcBorders>
            <w:noWrap w:val="0"/>
            <w:vAlign w:val="center"/>
          </w:tcPr>
          <w:p w14:paraId="392AC6A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w:t>
            </w:r>
          </w:p>
        </w:tc>
      </w:tr>
      <w:tr w14:paraId="53E197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233" w:type="dxa"/>
            <w:tcBorders>
              <w:top w:val="single" w:color="auto" w:sz="4" w:space="0"/>
              <w:left w:val="single" w:color="auto" w:sz="8" w:space="0"/>
              <w:bottom w:val="single" w:color="auto" w:sz="4" w:space="0"/>
              <w:right w:val="single" w:color="auto" w:sz="8" w:space="0"/>
            </w:tcBorders>
            <w:noWrap w:val="0"/>
            <w:vAlign w:val="center"/>
          </w:tcPr>
          <w:p w14:paraId="56057CA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缝宽</w:t>
            </w:r>
          </w:p>
        </w:tc>
        <w:tc>
          <w:tcPr>
            <w:tcW w:w="6218" w:type="dxa"/>
            <w:tcBorders>
              <w:top w:val="single" w:color="auto" w:sz="4" w:space="0"/>
              <w:left w:val="single" w:color="auto" w:sz="8" w:space="0"/>
              <w:bottom w:val="single" w:color="auto" w:sz="4" w:space="0"/>
              <w:right w:val="single" w:color="auto" w:sz="8" w:space="0"/>
            </w:tcBorders>
            <w:noWrap w:val="0"/>
            <w:vAlign w:val="center"/>
          </w:tcPr>
          <w:p w14:paraId="0E67D05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w:t>
            </w:r>
          </w:p>
        </w:tc>
      </w:tr>
      <w:tr w14:paraId="23444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233" w:type="dxa"/>
            <w:tcBorders>
              <w:top w:val="single" w:color="auto" w:sz="4" w:space="0"/>
              <w:left w:val="single" w:color="auto" w:sz="8" w:space="0"/>
              <w:bottom w:val="single" w:color="auto" w:sz="4" w:space="0"/>
              <w:right w:val="single" w:color="auto" w:sz="8" w:space="0"/>
            </w:tcBorders>
            <w:noWrap w:val="0"/>
            <w:vAlign w:val="center"/>
          </w:tcPr>
          <w:p w14:paraId="1AA2CA9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与桥面高差</w:t>
            </w:r>
          </w:p>
        </w:tc>
        <w:tc>
          <w:tcPr>
            <w:tcW w:w="6218" w:type="dxa"/>
            <w:tcBorders>
              <w:top w:val="single" w:color="auto" w:sz="4" w:space="0"/>
              <w:left w:val="single" w:color="auto" w:sz="8" w:space="0"/>
              <w:bottom w:val="single" w:color="auto" w:sz="4" w:space="0"/>
              <w:right w:val="single" w:color="auto" w:sz="8" w:space="0"/>
            </w:tcBorders>
            <w:noWrap w:val="0"/>
            <w:vAlign w:val="center"/>
          </w:tcPr>
          <w:p w14:paraId="3CE84D0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±5mm</w:t>
            </w:r>
          </w:p>
        </w:tc>
      </w:tr>
      <w:tr w14:paraId="68FEC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233" w:type="dxa"/>
            <w:tcBorders>
              <w:top w:val="single" w:color="auto" w:sz="4" w:space="0"/>
              <w:left w:val="single" w:color="auto" w:sz="8" w:space="0"/>
              <w:bottom w:val="single" w:color="auto" w:sz="4" w:space="0"/>
              <w:right w:val="single" w:color="auto" w:sz="8" w:space="0"/>
            </w:tcBorders>
            <w:noWrap w:val="0"/>
            <w:vAlign w:val="center"/>
          </w:tcPr>
          <w:p w14:paraId="21FB4C9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横向平整度</w:t>
            </w:r>
          </w:p>
        </w:tc>
        <w:tc>
          <w:tcPr>
            <w:tcW w:w="6218" w:type="dxa"/>
            <w:tcBorders>
              <w:top w:val="single" w:color="auto" w:sz="4" w:space="0"/>
              <w:left w:val="single" w:color="auto" w:sz="8" w:space="0"/>
              <w:bottom w:val="single" w:color="auto" w:sz="4" w:space="0"/>
              <w:right w:val="single" w:color="auto" w:sz="8" w:space="0"/>
            </w:tcBorders>
            <w:noWrap w:val="0"/>
            <w:vAlign w:val="center"/>
          </w:tcPr>
          <w:p w14:paraId="39430E8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≯5mm</w:t>
            </w:r>
          </w:p>
        </w:tc>
      </w:tr>
      <w:tr w14:paraId="33A82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233" w:type="dxa"/>
            <w:tcBorders>
              <w:top w:val="single" w:color="auto" w:sz="4" w:space="0"/>
              <w:left w:val="single" w:color="auto" w:sz="8" w:space="0"/>
              <w:bottom w:val="single" w:color="auto" w:sz="8" w:space="0"/>
              <w:right w:val="single" w:color="auto" w:sz="8" w:space="0"/>
            </w:tcBorders>
            <w:noWrap w:val="0"/>
            <w:vAlign w:val="center"/>
          </w:tcPr>
          <w:p w14:paraId="7062C2A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外观要求</w:t>
            </w:r>
          </w:p>
        </w:tc>
        <w:tc>
          <w:tcPr>
            <w:tcW w:w="6218" w:type="dxa"/>
            <w:tcBorders>
              <w:top w:val="single" w:color="auto" w:sz="4" w:space="0"/>
              <w:left w:val="single" w:color="auto" w:sz="8" w:space="0"/>
              <w:bottom w:val="single" w:color="auto" w:sz="8" w:space="0"/>
              <w:right w:val="single" w:color="auto" w:sz="8" w:space="0"/>
            </w:tcBorders>
            <w:noWrap w:val="0"/>
            <w:vAlign w:val="center"/>
          </w:tcPr>
          <w:p w14:paraId="353DA5C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无堵塞、渗漏、变形、开裂等现象</w:t>
            </w:r>
          </w:p>
        </w:tc>
      </w:tr>
    </w:tbl>
    <w:p w14:paraId="4440F2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3.3.5桥栏杆</w:t>
      </w:r>
    </w:p>
    <w:p w14:paraId="0D61D5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3.3.5.1栏杆的养护对象包括钢筋混凝土栏杆、钢栏杆和石材栏杆。</w:t>
      </w:r>
    </w:p>
    <w:p w14:paraId="2809ED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3.3.5.2 栏杆应保持整洁美观、完好、线条直顺、牢固完好、伸缩缝处水平构件能自由伸缩，无歪斜、扭曲变形、断裂、撞坏、松动、错位、破损、脱落、缺失、剥落、露筋、锈蚀等现象。</w:t>
      </w:r>
    </w:p>
    <w:p w14:paraId="1C74FB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3.3.5.3 及时清除与伸缩缝连接处的垃圾和杂物。</w:t>
      </w:r>
    </w:p>
    <w:p w14:paraId="538EAC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3.3.5.4 混凝土涂装层起皮、剥落应及时涂装；钢栏杆表面变色、起皮、锈蚀、剥落应及时油饰。</w:t>
      </w:r>
    </w:p>
    <w:p w14:paraId="297253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3.3.5.5 栏杆、警示标志应定期重新涂漆，保持油漆颜色鲜明。</w:t>
      </w:r>
    </w:p>
    <w:p w14:paraId="2C464D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3.3.5.6 栏杆应加强巡视检查，发现损坏、变形、丢失等病害时，应按原设计的结构、样式、颜色及时修补，如时间不足，可采用临时防护设施，采用的临时防护措施应牢固、醒目，使用时间不得超过两周。</w:t>
      </w:r>
    </w:p>
    <w:p w14:paraId="16C520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3.3.5.7更换栏杆时，宜按原栏杆恢复并符合设计要求。</w:t>
      </w:r>
    </w:p>
    <w:p w14:paraId="52A2C7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3.3.5.8 栏杆修复、更换应符合下面要求。</w:t>
      </w:r>
    </w:p>
    <w:p w14:paraId="121FF5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栏杆维修质量验收标准</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43"/>
        <w:gridCol w:w="6780"/>
      </w:tblGrid>
      <w:tr w14:paraId="5F68D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1843" w:type="dxa"/>
            <w:tcBorders>
              <w:top w:val="single" w:color="auto" w:sz="8" w:space="0"/>
              <w:left w:val="single" w:color="auto" w:sz="8" w:space="0"/>
              <w:bottom w:val="single" w:color="auto" w:sz="8" w:space="0"/>
              <w:right w:val="single" w:color="auto" w:sz="8" w:space="0"/>
            </w:tcBorders>
            <w:noWrap w:val="0"/>
            <w:vAlign w:val="center"/>
          </w:tcPr>
          <w:p w14:paraId="3E85C92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6780" w:type="dxa"/>
            <w:tcBorders>
              <w:top w:val="single" w:color="auto" w:sz="8" w:space="0"/>
              <w:left w:val="single" w:color="auto" w:sz="8" w:space="0"/>
              <w:bottom w:val="single" w:color="auto" w:sz="8" w:space="0"/>
              <w:right w:val="single" w:color="auto" w:sz="8" w:space="0"/>
            </w:tcBorders>
            <w:noWrap w:val="0"/>
            <w:vAlign w:val="center"/>
          </w:tcPr>
          <w:p w14:paraId="7E54806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质量要求及允许偏差</w:t>
            </w:r>
          </w:p>
        </w:tc>
      </w:tr>
      <w:tr w14:paraId="0B4DB9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43" w:type="dxa"/>
            <w:tcBorders>
              <w:top w:val="single" w:color="auto" w:sz="8" w:space="0"/>
              <w:left w:val="single" w:color="auto" w:sz="8" w:space="0"/>
              <w:bottom w:val="single" w:color="auto" w:sz="6" w:space="0"/>
              <w:right w:val="single" w:color="auto" w:sz="8" w:space="0"/>
            </w:tcBorders>
            <w:noWrap w:val="0"/>
            <w:vAlign w:val="center"/>
          </w:tcPr>
          <w:p w14:paraId="68E8367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切割或凿边</w:t>
            </w:r>
          </w:p>
        </w:tc>
        <w:tc>
          <w:tcPr>
            <w:tcW w:w="6780" w:type="dxa"/>
            <w:tcBorders>
              <w:top w:val="single" w:color="auto" w:sz="8" w:space="0"/>
              <w:left w:val="single" w:color="auto" w:sz="8" w:space="0"/>
              <w:bottom w:val="single" w:color="auto" w:sz="6" w:space="0"/>
              <w:right w:val="single" w:color="auto" w:sz="8" w:space="0"/>
            </w:tcBorders>
            <w:noWrap w:val="0"/>
            <w:vAlign w:val="center"/>
          </w:tcPr>
          <w:p w14:paraId="42D99E2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切割或修凿深度符合要求，边线垂直</w:t>
            </w:r>
          </w:p>
        </w:tc>
      </w:tr>
      <w:tr w14:paraId="32F8F9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43" w:type="dxa"/>
            <w:tcBorders>
              <w:top w:val="single" w:color="auto" w:sz="6" w:space="0"/>
              <w:left w:val="single" w:color="auto" w:sz="8" w:space="0"/>
              <w:bottom w:val="single" w:color="auto" w:sz="6" w:space="0"/>
              <w:right w:val="single" w:color="auto" w:sz="8" w:space="0"/>
            </w:tcBorders>
            <w:noWrap w:val="0"/>
            <w:vAlign w:val="center"/>
          </w:tcPr>
          <w:p w14:paraId="43C5F06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修补面处理</w:t>
            </w:r>
          </w:p>
        </w:tc>
        <w:tc>
          <w:tcPr>
            <w:tcW w:w="6780" w:type="dxa"/>
            <w:tcBorders>
              <w:top w:val="single" w:color="auto" w:sz="6" w:space="0"/>
              <w:left w:val="single" w:color="auto" w:sz="8" w:space="0"/>
              <w:bottom w:val="single" w:color="auto" w:sz="6" w:space="0"/>
              <w:right w:val="single" w:color="auto" w:sz="8" w:space="0"/>
            </w:tcBorders>
            <w:noWrap w:val="0"/>
            <w:vAlign w:val="center"/>
          </w:tcPr>
          <w:p w14:paraId="6195CEC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杂物清除干净；钢筋锈蚀处理彻底；丙酮清洗不遗漏</w:t>
            </w:r>
          </w:p>
        </w:tc>
      </w:tr>
      <w:tr w14:paraId="62057E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43" w:type="dxa"/>
            <w:tcBorders>
              <w:top w:val="single" w:color="auto" w:sz="6" w:space="0"/>
              <w:left w:val="single" w:color="auto" w:sz="8" w:space="0"/>
              <w:bottom w:val="single" w:color="auto" w:sz="6" w:space="0"/>
              <w:right w:val="single" w:color="auto" w:sz="8" w:space="0"/>
            </w:tcBorders>
            <w:noWrap w:val="0"/>
            <w:vAlign w:val="center"/>
          </w:tcPr>
          <w:p w14:paraId="437EDA2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修补表面</w:t>
            </w:r>
          </w:p>
        </w:tc>
        <w:tc>
          <w:tcPr>
            <w:tcW w:w="6780" w:type="dxa"/>
            <w:tcBorders>
              <w:top w:val="single" w:color="auto" w:sz="6" w:space="0"/>
              <w:left w:val="single" w:color="auto" w:sz="8" w:space="0"/>
              <w:bottom w:val="single" w:color="auto" w:sz="6" w:space="0"/>
              <w:right w:val="single" w:color="auto" w:sz="8" w:space="0"/>
            </w:tcBorders>
            <w:noWrap w:val="0"/>
            <w:vAlign w:val="center"/>
          </w:tcPr>
          <w:p w14:paraId="1027FE2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1.表面平整无细裂缝，与周边混凝土接边密实；</w:t>
            </w:r>
          </w:p>
          <w:p w14:paraId="21968E0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2.高差0，+2mm</w:t>
            </w:r>
          </w:p>
        </w:tc>
      </w:tr>
      <w:tr w14:paraId="725B4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43" w:type="dxa"/>
            <w:tcBorders>
              <w:top w:val="single" w:color="auto" w:sz="6" w:space="0"/>
              <w:left w:val="single" w:color="auto" w:sz="8" w:space="0"/>
              <w:bottom w:val="single" w:color="auto" w:sz="6" w:space="0"/>
              <w:right w:val="single" w:color="auto" w:sz="8" w:space="0"/>
            </w:tcBorders>
            <w:noWrap w:val="0"/>
            <w:vAlign w:val="center"/>
          </w:tcPr>
          <w:p w14:paraId="2AB09DD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混凝土涂装</w:t>
            </w:r>
          </w:p>
        </w:tc>
        <w:tc>
          <w:tcPr>
            <w:tcW w:w="6780" w:type="dxa"/>
            <w:tcBorders>
              <w:top w:val="single" w:color="auto" w:sz="6" w:space="0"/>
              <w:left w:val="single" w:color="auto" w:sz="8" w:space="0"/>
              <w:bottom w:val="single" w:color="auto" w:sz="6" w:space="0"/>
              <w:right w:val="single" w:color="auto" w:sz="8" w:space="0"/>
            </w:tcBorders>
            <w:noWrap w:val="0"/>
            <w:vAlign w:val="center"/>
          </w:tcPr>
          <w:p w14:paraId="509CE6E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1.涂层粘结牢固，颜色均匀一致；</w:t>
            </w:r>
          </w:p>
          <w:p w14:paraId="12BFB2D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2.涂饰均匀，无刷痕、流挂、起泡、砂眼现象；</w:t>
            </w:r>
          </w:p>
          <w:p w14:paraId="3E2639A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3.喷点疏密均匀；无漏涂、透底、起皮和掉粉现象；</w:t>
            </w:r>
          </w:p>
          <w:p w14:paraId="5F725CF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4.无泛碱、咬色现象；与其他装饰材料和结构物衔接吻合、界面清晰</w:t>
            </w:r>
          </w:p>
        </w:tc>
      </w:tr>
      <w:tr w14:paraId="7CB80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43" w:type="dxa"/>
            <w:tcBorders>
              <w:top w:val="single" w:color="auto" w:sz="6" w:space="0"/>
              <w:left w:val="single" w:color="auto" w:sz="8" w:space="0"/>
              <w:bottom w:val="single" w:color="auto" w:sz="6" w:space="0"/>
              <w:right w:val="single" w:color="auto" w:sz="8" w:space="0"/>
            </w:tcBorders>
            <w:noWrap w:val="0"/>
            <w:vAlign w:val="center"/>
          </w:tcPr>
          <w:p w14:paraId="384BF92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钢护栏油饰</w:t>
            </w:r>
          </w:p>
        </w:tc>
        <w:tc>
          <w:tcPr>
            <w:tcW w:w="6780" w:type="dxa"/>
            <w:tcBorders>
              <w:top w:val="single" w:color="auto" w:sz="6" w:space="0"/>
              <w:left w:val="single" w:color="auto" w:sz="8" w:space="0"/>
              <w:bottom w:val="single" w:color="auto" w:sz="6" w:space="0"/>
              <w:right w:val="single" w:color="auto" w:sz="8" w:space="0"/>
            </w:tcBorders>
            <w:noWrap w:val="0"/>
            <w:vAlign w:val="center"/>
          </w:tcPr>
          <w:p w14:paraId="0C84815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1.表面应平整光洁，色泽一致；</w:t>
            </w:r>
          </w:p>
          <w:p w14:paraId="65ACC76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无脱皮、漏涂、返锈、透底、流坠、皱纹、针孔、起泡、裂纹、边界不清等现象</w:t>
            </w:r>
          </w:p>
        </w:tc>
      </w:tr>
    </w:tbl>
    <w:p w14:paraId="68C77E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钢栏杆更换质量验收标准</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58"/>
        <w:gridCol w:w="6840"/>
      </w:tblGrid>
      <w:tr w14:paraId="7EE34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58" w:type="dxa"/>
            <w:tcBorders>
              <w:top w:val="single" w:color="auto" w:sz="8" w:space="0"/>
              <w:left w:val="single" w:color="auto" w:sz="8" w:space="0"/>
              <w:bottom w:val="single" w:color="auto" w:sz="8" w:space="0"/>
              <w:right w:val="single" w:color="auto" w:sz="8" w:space="0"/>
            </w:tcBorders>
            <w:noWrap w:val="0"/>
            <w:vAlign w:val="center"/>
          </w:tcPr>
          <w:p w14:paraId="0605B8A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检查项目</w:t>
            </w:r>
          </w:p>
        </w:tc>
        <w:tc>
          <w:tcPr>
            <w:tcW w:w="6840" w:type="dxa"/>
            <w:tcBorders>
              <w:top w:val="single" w:color="auto" w:sz="8" w:space="0"/>
              <w:left w:val="single" w:color="auto" w:sz="8" w:space="0"/>
              <w:bottom w:val="single" w:color="auto" w:sz="8" w:space="0"/>
              <w:right w:val="single" w:color="auto" w:sz="8" w:space="0"/>
            </w:tcBorders>
            <w:noWrap w:val="0"/>
            <w:vAlign w:val="center"/>
          </w:tcPr>
          <w:p w14:paraId="76FA2D5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规定值及允许偏差</w:t>
            </w:r>
          </w:p>
        </w:tc>
      </w:tr>
      <w:tr w14:paraId="63249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58" w:type="dxa"/>
            <w:tcBorders>
              <w:top w:val="single" w:color="auto" w:sz="8" w:space="0"/>
              <w:left w:val="single" w:color="auto" w:sz="8" w:space="0"/>
              <w:bottom w:val="single" w:color="auto" w:sz="6" w:space="0"/>
              <w:right w:val="single" w:color="auto" w:sz="8" w:space="0"/>
            </w:tcBorders>
            <w:noWrap w:val="0"/>
            <w:vAlign w:val="center"/>
          </w:tcPr>
          <w:p w14:paraId="5E7C35D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扶手直顺度</w:t>
            </w:r>
          </w:p>
        </w:tc>
        <w:tc>
          <w:tcPr>
            <w:tcW w:w="6840" w:type="dxa"/>
            <w:tcBorders>
              <w:top w:val="single" w:color="auto" w:sz="8" w:space="0"/>
              <w:left w:val="single" w:color="auto" w:sz="8" w:space="0"/>
              <w:bottom w:val="single" w:color="auto" w:sz="6" w:space="0"/>
              <w:right w:val="single" w:color="auto" w:sz="8" w:space="0"/>
            </w:tcBorders>
            <w:noWrap w:val="0"/>
            <w:vAlign w:val="center"/>
          </w:tcPr>
          <w:p w14:paraId="7E04790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≤3mm</w:t>
            </w:r>
          </w:p>
        </w:tc>
      </w:tr>
      <w:tr w14:paraId="4B84C5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58" w:type="dxa"/>
            <w:tcBorders>
              <w:top w:val="single" w:color="auto" w:sz="6" w:space="0"/>
              <w:left w:val="single" w:color="auto" w:sz="8" w:space="0"/>
              <w:bottom w:val="single" w:color="auto" w:sz="6" w:space="0"/>
              <w:right w:val="single" w:color="auto" w:sz="8" w:space="0"/>
            </w:tcBorders>
            <w:noWrap w:val="0"/>
            <w:vAlign w:val="center"/>
          </w:tcPr>
          <w:p w14:paraId="4CE0E6E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立柱垂直度</w:t>
            </w:r>
          </w:p>
        </w:tc>
        <w:tc>
          <w:tcPr>
            <w:tcW w:w="6840" w:type="dxa"/>
            <w:tcBorders>
              <w:top w:val="single" w:color="auto" w:sz="6" w:space="0"/>
              <w:left w:val="single" w:color="auto" w:sz="8" w:space="0"/>
              <w:bottom w:val="single" w:color="auto" w:sz="6" w:space="0"/>
              <w:right w:val="single" w:color="auto" w:sz="8" w:space="0"/>
            </w:tcBorders>
            <w:noWrap w:val="0"/>
            <w:vAlign w:val="center"/>
          </w:tcPr>
          <w:p w14:paraId="4BEF566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3mm</w:t>
            </w:r>
          </w:p>
        </w:tc>
      </w:tr>
      <w:tr w14:paraId="4A86F0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58" w:type="dxa"/>
            <w:tcBorders>
              <w:top w:val="single" w:color="auto" w:sz="6" w:space="0"/>
              <w:left w:val="single" w:color="auto" w:sz="8" w:space="0"/>
              <w:bottom w:val="single" w:color="auto" w:sz="6" w:space="0"/>
              <w:right w:val="single" w:color="auto" w:sz="8" w:space="0"/>
            </w:tcBorders>
            <w:noWrap w:val="0"/>
            <w:vAlign w:val="center"/>
          </w:tcPr>
          <w:p w14:paraId="4C5FE6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立柱间距</w:t>
            </w:r>
          </w:p>
        </w:tc>
        <w:tc>
          <w:tcPr>
            <w:tcW w:w="6840" w:type="dxa"/>
            <w:tcBorders>
              <w:top w:val="single" w:color="auto" w:sz="6" w:space="0"/>
              <w:left w:val="single" w:color="auto" w:sz="8" w:space="0"/>
              <w:bottom w:val="single" w:color="auto" w:sz="6" w:space="0"/>
              <w:right w:val="single" w:color="auto" w:sz="8" w:space="0"/>
            </w:tcBorders>
            <w:noWrap w:val="0"/>
            <w:vAlign w:val="center"/>
          </w:tcPr>
          <w:p w14:paraId="2FC3FA0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3mm</w:t>
            </w:r>
          </w:p>
        </w:tc>
      </w:tr>
      <w:tr w14:paraId="627073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58" w:type="dxa"/>
            <w:tcBorders>
              <w:top w:val="single" w:color="auto" w:sz="6" w:space="0"/>
              <w:left w:val="single" w:color="auto" w:sz="8" w:space="0"/>
              <w:bottom w:val="single" w:color="auto" w:sz="6" w:space="0"/>
              <w:right w:val="single" w:color="auto" w:sz="8" w:space="0"/>
            </w:tcBorders>
            <w:noWrap w:val="0"/>
            <w:vAlign w:val="center"/>
          </w:tcPr>
          <w:p w14:paraId="658C046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扶手高度</w:t>
            </w:r>
          </w:p>
        </w:tc>
        <w:tc>
          <w:tcPr>
            <w:tcW w:w="6840" w:type="dxa"/>
            <w:tcBorders>
              <w:top w:val="single" w:color="auto" w:sz="6" w:space="0"/>
              <w:left w:val="single" w:color="auto" w:sz="8" w:space="0"/>
              <w:bottom w:val="single" w:color="auto" w:sz="6" w:space="0"/>
              <w:right w:val="single" w:color="auto" w:sz="8" w:space="0"/>
            </w:tcBorders>
            <w:noWrap w:val="0"/>
            <w:vAlign w:val="center"/>
          </w:tcPr>
          <w:p w14:paraId="128D53E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3mm</w:t>
            </w:r>
          </w:p>
        </w:tc>
      </w:tr>
      <w:tr w14:paraId="1E9DCD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58" w:type="dxa"/>
            <w:tcBorders>
              <w:top w:val="single" w:color="auto" w:sz="6" w:space="0"/>
              <w:left w:val="single" w:color="auto" w:sz="8" w:space="0"/>
              <w:bottom w:val="single" w:color="auto" w:sz="6" w:space="0"/>
              <w:right w:val="single" w:color="auto" w:sz="8" w:space="0"/>
            </w:tcBorders>
            <w:noWrap w:val="0"/>
            <w:vAlign w:val="center"/>
          </w:tcPr>
          <w:p w14:paraId="35215B0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新旧连接处</w:t>
            </w:r>
          </w:p>
        </w:tc>
        <w:tc>
          <w:tcPr>
            <w:tcW w:w="6840" w:type="dxa"/>
            <w:tcBorders>
              <w:top w:val="single" w:color="auto" w:sz="6" w:space="0"/>
              <w:left w:val="single" w:color="auto" w:sz="8" w:space="0"/>
              <w:bottom w:val="single" w:color="auto" w:sz="6" w:space="0"/>
              <w:right w:val="single" w:color="auto" w:sz="8" w:space="0"/>
            </w:tcBorders>
            <w:noWrap w:val="0"/>
            <w:vAlign w:val="center"/>
          </w:tcPr>
          <w:p w14:paraId="34F4B44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顺  接</w:t>
            </w:r>
          </w:p>
        </w:tc>
      </w:tr>
      <w:tr w14:paraId="6FD8D3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58" w:type="dxa"/>
            <w:tcBorders>
              <w:top w:val="single" w:color="auto" w:sz="6" w:space="0"/>
              <w:left w:val="single" w:color="auto" w:sz="8" w:space="0"/>
              <w:bottom w:val="single" w:color="auto" w:sz="8" w:space="0"/>
              <w:right w:val="single" w:color="auto" w:sz="8" w:space="0"/>
            </w:tcBorders>
            <w:noWrap w:val="0"/>
            <w:vAlign w:val="center"/>
          </w:tcPr>
          <w:p w14:paraId="0225F9B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涂装质量</w:t>
            </w:r>
          </w:p>
        </w:tc>
        <w:tc>
          <w:tcPr>
            <w:tcW w:w="6840" w:type="dxa"/>
            <w:tcBorders>
              <w:top w:val="single" w:color="auto" w:sz="6" w:space="0"/>
              <w:left w:val="single" w:color="auto" w:sz="8" w:space="0"/>
              <w:bottom w:val="single" w:color="auto" w:sz="8" w:space="0"/>
              <w:right w:val="single" w:color="auto" w:sz="8" w:space="0"/>
            </w:tcBorders>
            <w:noWrap w:val="0"/>
            <w:vAlign w:val="center"/>
          </w:tcPr>
          <w:p w14:paraId="3B97090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按设计要求作防护处理，不漏涂、剥落</w:t>
            </w:r>
          </w:p>
        </w:tc>
      </w:tr>
    </w:tbl>
    <w:p w14:paraId="29E4E7AB">
      <w:pPr>
        <w:bidi w:val="0"/>
        <w:rPr>
          <w:rFonts w:hint="eastAsia"/>
          <w:color w:val="auto"/>
          <w:highlight w:val="none"/>
          <w:lang w:val="en-US" w:eastAsia="zh-CN"/>
        </w:rPr>
      </w:pPr>
    </w:p>
    <w:p w14:paraId="62CCAB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混凝土栏杆更换质量验收标准</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6"/>
        <w:gridCol w:w="1559"/>
        <w:gridCol w:w="5458"/>
      </w:tblGrid>
      <w:tr w14:paraId="398C7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835" w:type="dxa"/>
            <w:gridSpan w:val="2"/>
            <w:tcBorders>
              <w:top w:val="single" w:color="auto" w:sz="8" w:space="0"/>
              <w:left w:val="single" w:color="auto" w:sz="8" w:space="0"/>
              <w:bottom w:val="single" w:color="auto" w:sz="8" w:space="0"/>
              <w:right w:val="single" w:color="auto" w:sz="8" w:space="0"/>
            </w:tcBorders>
            <w:noWrap w:val="0"/>
            <w:vAlign w:val="center"/>
          </w:tcPr>
          <w:p w14:paraId="5D52FF0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5458" w:type="dxa"/>
            <w:tcBorders>
              <w:top w:val="single" w:color="auto" w:sz="8" w:space="0"/>
              <w:left w:val="single" w:color="auto" w:sz="8" w:space="0"/>
              <w:bottom w:val="single" w:color="auto" w:sz="8" w:space="0"/>
              <w:right w:val="single" w:color="auto" w:sz="8" w:space="0"/>
            </w:tcBorders>
            <w:noWrap w:val="0"/>
            <w:vAlign w:val="center"/>
          </w:tcPr>
          <w:p w14:paraId="6A35140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规定值及允许偏差</w:t>
            </w:r>
          </w:p>
        </w:tc>
      </w:tr>
      <w:tr w14:paraId="4B2E69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1276" w:type="dxa"/>
            <w:tcBorders>
              <w:top w:val="single" w:color="auto" w:sz="8" w:space="0"/>
              <w:left w:val="single" w:color="auto" w:sz="8" w:space="0"/>
              <w:bottom w:val="single" w:color="auto" w:sz="6" w:space="0"/>
              <w:right w:val="single" w:color="auto" w:sz="6" w:space="0"/>
            </w:tcBorders>
            <w:noWrap w:val="0"/>
            <w:vAlign w:val="center"/>
          </w:tcPr>
          <w:p w14:paraId="1B967FF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扶手</w:t>
            </w:r>
          </w:p>
        </w:tc>
        <w:tc>
          <w:tcPr>
            <w:tcW w:w="1559" w:type="dxa"/>
            <w:tcBorders>
              <w:top w:val="single" w:color="auto" w:sz="8" w:space="0"/>
              <w:left w:val="single" w:color="auto" w:sz="6" w:space="0"/>
              <w:bottom w:val="single" w:color="auto" w:sz="6" w:space="0"/>
              <w:right w:val="single" w:color="auto" w:sz="8" w:space="0"/>
            </w:tcBorders>
            <w:noWrap w:val="0"/>
            <w:vAlign w:val="center"/>
          </w:tcPr>
          <w:p w14:paraId="0D90695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直顺度</w:t>
            </w:r>
          </w:p>
        </w:tc>
        <w:tc>
          <w:tcPr>
            <w:tcW w:w="5458" w:type="dxa"/>
            <w:tcBorders>
              <w:top w:val="single" w:color="auto" w:sz="8" w:space="0"/>
              <w:left w:val="single" w:color="auto" w:sz="8" w:space="0"/>
              <w:bottom w:val="single" w:color="auto" w:sz="6" w:space="0"/>
              <w:right w:val="single" w:color="auto" w:sz="8" w:space="0"/>
            </w:tcBorders>
            <w:noWrap w:val="0"/>
            <w:vAlign w:val="center"/>
          </w:tcPr>
          <w:p w14:paraId="3CD31CE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4mm</w:t>
            </w:r>
          </w:p>
        </w:tc>
      </w:tr>
      <w:tr w14:paraId="3CBED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1276" w:type="dxa"/>
            <w:tcBorders>
              <w:top w:val="single" w:color="auto" w:sz="6" w:space="0"/>
              <w:left w:val="single" w:color="auto" w:sz="8" w:space="0"/>
              <w:bottom w:val="single" w:color="auto" w:sz="6" w:space="0"/>
              <w:right w:val="single" w:color="auto" w:sz="6" w:space="0"/>
            </w:tcBorders>
            <w:noWrap w:val="0"/>
            <w:vAlign w:val="center"/>
          </w:tcPr>
          <w:p w14:paraId="152F749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栏杆柱</w:t>
            </w:r>
          </w:p>
        </w:tc>
        <w:tc>
          <w:tcPr>
            <w:tcW w:w="1559" w:type="dxa"/>
            <w:tcBorders>
              <w:top w:val="single" w:color="auto" w:sz="6" w:space="0"/>
              <w:left w:val="single" w:color="auto" w:sz="6" w:space="0"/>
              <w:bottom w:val="single" w:color="auto" w:sz="6" w:space="0"/>
              <w:right w:val="single" w:color="auto" w:sz="8" w:space="0"/>
            </w:tcBorders>
            <w:noWrap w:val="0"/>
            <w:vAlign w:val="center"/>
          </w:tcPr>
          <w:p w14:paraId="36E4B81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垂直度</w:t>
            </w:r>
          </w:p>
        </w:tc>
        <w:tc>
          <w:tcPr>
            <w:tcW w:w="5458" w:type="dxa"/>
            <w:tcBorders>
              <w:top w:val="single" w:color="auto" w:sz="6" w:space="0"/>
              <w:left w:val="single" w:color="auto" w:sz="8" w:space="0"/>
              <w:bottom w:val="single" w:color="auto" w:sz="6" w:space="0"/>
              <w:right w:val="single" w:color="auto" w:sz="8" w:space="0"/>
            </w:tcBorders>
            <w:noWrap w:val="0"/>
            <w:vAlign w:val="center"/>
          </w:tcPr>
          <w:p w14:paraId="445245D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3mm</w:t>
            </w:r>
          </w:p>
        </w:tc>
      </w:tr>
      <w:tr w14:paraId="27E140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835" w:type="dxa"/>
            <w:gridSpan w:val="2"/>
            <w:tcBorders>
              <w:top w:val="single" w:color="auto" w:sz="6" w:space="0"/>
              <w:left w:val="single" w:color="auto" w:sz="8" w:space="0"/>
              <w:bottom w:val="single" w:color="auto" w:sz="6" w:space="0"/>
              <w:right w:val="single" w:color="auto" w:sz="8" w:space="0"/>
            </w:tcBorders>
            <w:noWrap w:val="0"/>
            <w:vAlign w:val="center"/>
          </w:tcPr>
          <w:p w14:paraId="50B08E8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栏杆间距</w:t>
            </w:r>
          </w:p>
        </w:tc>
        <w:tc>
          <w:tcPr>
            <w:tcW w:w="5458" w:type="dxa"/>
            <w:tcBorders>
              <w:top w:val="single" w:color="auto" w:sz="6" w:space="0"/>
              <w:left w:val="single" w:color="auto" w:sz="8" w:space="0"/>
              <w:bottom w:val="single" w:color="auto" w:sz="6" w:space="0"/>
              <w:right w:val="single" w:color="auto" w:sz="8" w:space="0"/>
            </w:tcBorders>
            <w:noWrap w:val="0"/>
            <w:vAlign w:val="center"/>
          </w:tcPr>
          <w:p w14:paraId="6DD1AD9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±3mm</w:t>
            </w:r>
          </w:p>
        </w:tc>
      </w:tr>
      <w:tr w14:paraId="3985A7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1276" w:type="dxa"/>
            <w:tcBorders>
              <w:top w:val="single" w:color="auto" w:sz="6" w:space="0"/>
              <w:left w:val="single" w:color="auto" w:sz="8" w:space="0"/>
              <w:bottom w:val="single" w:color="auto" w:sz="6" w:space="0"/>
              <w:right w:val="single" w:color="auto" w:sz="6" w:space="0"/>
            </w:tcBorders>
            <w:noWrap w:val="0"/>
            <w:vAlign w:val="center"/>
          </w:tcPr>
          <w:p w14:paraId="5667427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相邻栏杆</w:t>
            </w:r>
          </w:p>
        </w:tc>
        <w:tc>
          <w:tcPr>
            <w:tcW w:w="1559" w:type="dxa"/>
            <w:tcBorders>
              <w:top w:val="single" w:color="auto" w:sz="6" w:space="0"/>
              <w:left w:val="single" w:color="auto" w:sz="6" w:space="0"/>
              <w:bottom w:val="single" w:color="auto" w:sz="6" w:space="0"/>
              <w:right w:val="single" w:color="auto" w:sz="8" w:space="0"/>
            </w:tcBorders>
            <w:noWrap w:val="0"/>
            <w:vAlign w:val="center"/>
          </w:tcPr>
          <w:p w14:paraId="68807F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有柱</w:t>
            </w:r>
          </w:p>
        </w:tc>
        <w:tc>
          <w:tcPr>
            <w:tcW w:w="5458" w:type="dxa"/>
            <w:tcBorders>
              <w:top w:val="single" w:color="auto" w:sz="6" w:space="0"/>
              <w:left w:val="single" w:color="auto" w:sz="8" w:space="0"/>
              <w:bottom w:val="single" w:color="auto" w:sz="6" w:space="0"/>
              <w:right w:val="single" w:color="auto" w:sz="8" w:space="0"/>
            </w:tcBorders>
            <w:noWrap w:val="0"/>
            <w:vAlign w:val="center"/>
          </w:tcPr>
          <w:p w14:paraId="604602C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4mm</w:t>
            </w:r>
          </w:p>
        </w:tc>
      </w:tr>
      <w:tr w14:paraId="5C23AD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1276" w:type="dxa"/>
            <w:tcBorders>
              <w:top w:val="single" w:color="auto" w:sz="6" w:space="0"/>
              <w:left w:val="single" w:color="auto" w:sz="8" w:space="0"/>
              <w:bottom w:val="single" w:color="auto" w:sz="6" w:space="0"/>
              <w:right w:val="single" w:color="auto" w:sz="6" w:space="0"/>
            </w:tcBorders>
            <w:noWrap w:val="0"/>
            <w:vAlign w:val="center"/>
          </w:tcPr>
          <w:p w14:paraId="39DD1AC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扶手高度</w:t>
            </w:r>
          </w:p>
        </w:tc>
        <w:tc>
          <w:tcPr>
            <w:tcW w:w="1559" w:type="dxa"/>
            <w:tcBorders>
              <w:top w:val="single" w:color="auto" w:sz="6" w:space="0"/>
              <w:left w:val="single" w:color="auto" w:sz="6" w:space="0"/>
              <w:bottom w:val="single" w:color="auto" w:sz="6" w:space="0"/>
              <w:right w:val="single" w:color="auto" w:sz="8" w:space="0"/>
            </w:tcBorders>
            <w:noWrap w:val="0"/>
            <w:vAlign w:val="center"/>
          </w:tcPr>
          <w:p w14:paraId="2644FAA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无柱</w:t>
            </w:r>
          </w:p>
        </w:tc>
        <w:tc>
          <w:tcPr>
            <w:tcW w:w="5458" w:type="dxa"/>
            <w:tcBorders>
              <w:top w:val="single" w:color="auto" w:sz="6" w:space="0"/>
              <w:left w:val="single" w:color="auto" w:sz="8" w:space="0"/>
              <w:bottom w:val="single" w:color="auto" w:sz="6" w:space="0"/>
              <w:right w:val="single" w:color="auto" w:sz="8" w:space="0"/>
            </w:tcBorders>
            <w:noWrap w:val="0"/>
            <w:vAlign w:val="center"/>
          </w:tcPr>
          <w:p w14:paraId="529DEAD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2mm</w:t>
            </w:r>
          </w:p>
        </w:tc>
      </w:tr>
      <w:tr w14:paraId="45793C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835" w:type="dxa"/>
            <w:gridSpan w:val="2"/>
            <w:tcBorders>
              <w:top w:val="single" w:color="auto" w:sz="6" w:space="0"/>
              <w:left w:val="single" w:color="auto" w:sz="8" w:space="0"/>
              <w:bottom w:val="single" w:color="auto" w:sz="6" w:space="0"/>
              <w:right w:val="single" w:color="auto" w:sz="8" w:space="0"/>
            </w:tcBorders>
            <w:noWrap w:val="0"/>
            <w:vAlign w:val="center"/>
          </w:tcPr>
          <w:p w14:paraId="04C3F57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栏杆平面偏位</w:t>
            </w:r>
          </w:p>
        </w:tc>
        <w:tc>
          <w:tcPr>
            <w:tcW w:w="5458" w:type="dxa"/>
            <w:tcBorders>
              <w:top w:val="single" w:color="auto" w:sz="6" w:space="0"/>
              <w:left w:val="single" w:color="auto" w:sz="8" w:space="0"/>
              <w:bottom w:val="single" w:color="auto" w:sz="6" w:space="0"/>
              <w:right w:val="single" w:color="auto" w:sz="8" w:space="0"/>
            </w:tcBorders>
            <w:noWrap w:val="0"/>
            <w:vAlign w:val="center"/>
          </w:tcPr>
          <w:p w14:paraId="66DFE07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4mm</w:t>
            </w:r>
          </w:p>
        </w:tc>
      </w:tr>
      <w:tr w14:paraId="0EB0C2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835" w:type="dxa"/>
            <w:gridSpan w:val="2"/>
            <w:tcBorders>
              <w:top w:val="single" w:color="auto" w:sz="6" w:space="0"/>
              <w:left w:val="single" w:color="auto" w:sz="8" w:space="0"/>
              <w:bottom w:val="single" w:color="auto" w:sz="8" w:space="0"/>
              <w:right w:val="single" w:color="auto" w:sz="8" w:space="0"/>
            </w:tcBorders>
            <w:noWrap w:val="0"/>
            <w:vAlign w:val="center"/>
          </w:tcPr>
          <w:p w14:paraId="1FC1B02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外观质量</w:t>
            </w:r>
          </w:p>
        </w:tc>
        <w:tc>
          <w:tcPr>
            <w:tcW w:w="5458" w:type="dxa"/>
            <w:tcBorders>
              <w:top w:val="single" w:color="auto" w:sz="6" w:space="0"/>
              <w:left w:val="single" w:color="auto" w:sz="8" w:space="0"/>
              <w:bottom w:val="single" w:color="auto" w:sz="8" w:space="0"/>
              <w:right w:val="single" w:color="auto" w:sz="8" w:space="0"/>
            </w:tcBorders>
            <w:noWrap w:val="0"/>
            <w:vAlign w:val="center"/>
          </w:tcPr>
          <w:p w14:paraId="7B228DB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线形顺适，外表美观，不得有明显下垂和拱起</w:t>
            </w:r>
          </w:p>
        </w:tc>
      </w:tr>
    </w:tbl>
    <w:p w14:paraId="355FF9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3.3.6人行道</w:t>
      </w:r>
    </w:p>
    <w:p w14:paraId="345AC6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3.3.6.1 桥面上人行道应完好、平整，无松动、缺损等现象。</w:t>
      </w:r>
    </w:p>
    <w:p w14:paraId="77A6BE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3.3.6.2人行道范围内，因临时占用或作业而残留的堆积物、障碍物、埋置物等，应及时清理，保证行人安全通行。</w:t>
      </w:r>
    </w:p>
    <w:p w14:paraId="0B9D70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3.3.6.3缘石、栏杆底梁混凝土构件安装的线形应流畅平顺，无孔洞、露筋、蜂窝、麻面、缺棱、掉角等缺陷。</w:t>
      </w:r>
    </w:p>
    <w:p w14:paraId="16587D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3.3.6.4 人行道砌块间嵌缝料散失，应及时嵌缝，保证面层稳固。 </w:t>
      </w:r>
    </w:p>
    <w:p w14:paraId="1E1DC0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3.3.7钢筋混凝土及预应力混凝土桥梁</w:t>
      </w:r>
    </w:p>
    <w:p w14:paraId="115E10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3.3.7.1钢筋混凝土及预应力混凝土桥梁应进行经常性和周期性养护。</w:t>
      </w:r>
    </w:p>
    <w:p w14:paraId="069256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3.3.7.2桥梁养护维修时，不得擅自在钢筋混凝土、预应力混凝土构件上钻孔打眼及架设其他构件。</w:t>
      </w:r>
    </w:p>
    <w:p w14:paraId="024D48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3.3.7.3钢筋混凝土及预应力混凝土桥梁应每年清除表面污垢，梁体污垢宜用清水洗刷，不得使用腐蚀性的化学清洗剂。</w:t>
      </w:r>
    </w:p>
    <w:p w14:paraId="411078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3.3.7.4 有防腐涂层的桥梁应定期涂装；当涂装层起皮、剥落时，应及时修复。外刷涂料不得封闭裂缝、覆盖检查观测点，影响养护维修；涂刷材料不得影响构件耐久性。</w:t>
      </w:r>
    </w:p>
    <w:p w14:paraId="4EBBED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3.3.7.5梁板日常养护满足下面要求：</w:t>
      </w:r>
    </w:p>
    <w:p w14:paraId="142520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梁（板）体发现混凝土的空洞、蜂窝、麻面、表面风化、剥落等现象时，应及时将松散部位清除，再用高强度等级混凝土、水泥砂浆或其他材料进行修补。新补的混凝土应密实，与原结构应结合牢固、表面平整。新补的混凝土应实行养生。</w:t>
      </w:r>
    </w:p>
    <w:p w14:paraId="1BDFF2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b梁（板）体发现混凝土剥落、露筋等现象时，应及时清除钢筋锈迹，凿去表面松动的混凝土后进行修补。对损坏面积较大的结构，凿除混凝土后不得明显降低结构的承载力，必要时宜采用分批修补。</w:t>
      </w:r>
    </w:p>
    <w:p w14:paraId="78F57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c梁（板）体的横纵向连结件开裂、断裂、开焊时，应及时修补。</w:t>
      </w:r>
    </w:p>
    <w:p w14:paraId="465D6C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d当预应力混凝土构件锚固端的封端混凝土出现裂缝、剥落、渗漏、穿孔、预应力锚具暴露时，应及时对预应力锚具刷防锈漆，重做封端混凝土。  </w:t>
      </w:r>
    </w:p>
    <w:p w14:paraId="34D2E1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e预应力构件出现渗漏、穿孔，应采用环氧树脂或聚合物类材料进行有压封堵。</w:t>
      </w:r>
    </w:p>
    <w:p w14:paraId="2FB13C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 预应力混凝土的箱梁，应保持箱内通风，原结构无通风孔的可选择安全位置钻孔。箱梁底板出现碱迹、水迹时，应检查其内部有无存水；若箱体有水，应查明原因，维修方案经相关部门批准后，方可实施。</w:t>
      </w:r>
    </w:p>
    <w:p w14:paraId="26CEA5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g预应力孔道位置出现碱迹或水迹时，应采用安全的检测方法，确定预应力筋的腐蚀程度，经检测鉴定，预应力损失严重且无法维修的，应予以更换。 </w:t>
      </w:r>
    </w:p>
    <w:p w14:paraId="78E0B3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3.3.7.6钢筋混凝土及预应力混凝土桥梁应每年进行一次结构裂缝和表面温度裂缝的观察；结构裂缝应重点检查受拉、受剪区域，表面温度裂缝应重点检查构件的较大面。裂缝应根据裂缝类型和构件抗裂等级分别采用不同的方法处理，裂缝最大限值应符合下面的规定。</w:t>
      </w:r>
    </w:p>
    <w:p w14:paraId="3DCF37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裂缝限值</w:t>
      </w:r>
    </w:p>
    <w:tbl>
      <w:tblPr>
        <w:tblStyle w:val="48"/>
        <w:tblW w:w="89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520"/>
        <w:gridCol w:w="3292"/>
        <w:gridCol w:w="3088"/>
      </w:tblGrid>
      <w:tr w14:paraId="2FD6A2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20" w:type="dxa"/>
            <w:tcBorders>
              <w:top w:val="single" w:color="auto" w:sz="8" w:space="0"/>
              <w:left w:val="single" w:color="auto" w:sz="8" w:space="0"/>
              <w:bottom w:val="single" w:color="auto" w:sz="8" w:space="0"/>
              <w:right w:val="single" w:color="auto" w:sz="8" w:space="0"/>
            </w:tcBorders>
            <w:noWrap w:val="0"/>
            <w:vAlign w:val="center"/>
          </w:tcPr>
          <w:p w14:paraId="5E3429B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 构 类 别</w:t>
            </w:r>
          </w:p>
        </w:tc>
        <w:tc>
          <w:tcPr>
            <w:tcW w:w="3292" w:type="dxa"/>
            <w:tcBorders>
              <w:top w:val="single" w:color="auto" w:sz="8" w:space="0"/>
              <w:left w:val="single" w:color="auto" w:sz="8" w:space="0"/>
              <w:bottom w:val="single" w:color="auto" w:sz="8" w:space="0"/>
              <w:right w:val="single" w:color="auto" w:sz="8" w:space="0"/>
            </w:tcBorders>
            <w:noWrap w:val="0"/>
            <w:vAlign w:val="center"/>
          </w:tcPr>
          <w:p w14:paraId="2C38B7C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裂 缝 部 位</w:t>
            </w:r>
          </w:p>
        </w:tc>
        <w:tc>
          <w:tcPr>
            <w:tcW w:w="3088" w:type="dxa"/>
            <w:tcBorders>
              <w:top w:val="single" w:color="auto" w:sz="8" w:space="0"/>
              <w:left w:val="single" w:color="auto" w:sz="8" w:space="0"/>
              <w:bottom w:val="single" w:color="auto" w:sz="8" w:space="0"/>
              <w:right w:val="single" w:color="auto" w:sz="8" w:space="0"/>
            </w:tcBorders>
            <w:noWrap w:val="0"/>
            <w:vAlign w:val="center"/>
          </w:tcPr>
          <w:p w14:paraId="18CE94C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允许最大裂缝宽度（mm）</w:t>
            </w:r>
          </w:p>
        </w:tc>
      </w:tr>
      <w:tr w14:paraId="09E532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20" w:type="dxa"/>
            <w:vMerge w:val="restart"/>
            <w:tcBorders>
              <w:top w:val="single" w:color="auto" w:sz="8" w:space="0"/>
              <w:left w:val="single" w:color="auto" w:sz="8" w:space="0"/>
              <w:bottom w:val="single" w:color="auto" w:sz="6" w:space="0"/>
              <w:right w:val="single" w:color="auto" w:sz="8" w:space="0"/>
            </w:tcBorders>
            <w:noWrap w:val="0"/>
            <w:vAlign w:val="center"/>
          </w:tcPr>
          <w:p w14:paraId="61185E3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钢筋混凝土构件、精轧螺纹钢筋的预应力混凝土构件</w:t>
            </w:r>
          </w:p>
        </w:tc>
        <w:tc>
          <w:tcPr>
            <w:tcW w:w="3292" w:type="dxa"/>
            <w:tcBorders>
              <w:top w:val="single" w:color="auto" w:sz="8" w:space="0"/>
              <w:left w:val="single" w:color="auto" w:sz="8" w:space="0"/>
              <w:bottom w:val="single" w:color="auto" w:sz="6" w:space="0"/>
              <w:right w:val="single" w:color="auto" w:sz="8" w:space="0"/>
            </w:tcBorders>
            <w:noWrap w:val="0"/>
            <w:vAlign w:val="center"/>
          </w:tcPr>
          <w:p w14:paraId="0A9AB11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一般环境</w:t>
            </w:r>
          </w:p>
        </w:tc>
        <w:tc>
          <w:tcPr>
            <w:tcW w:w="3088" w:type="dxa"/>
            <w:tcBorders>
              <w:top w:val="single" w:color="auto" w:sz="8" w:space="0"/>
              <w:left w:val="single" w:color="auto" w:sz="8" w:space="0"/>
              <w:bottom w:val="single" w:color="auto" w:sz="6" w:space="0"/>
              <w:right w:val="single" w:color="auto" w:sz="8" w:space="0"/>
            </w:tcBorders>
            <w:noWrap w:val="0"/>
            <w:vAlign w:val="center"/>
          </w:tcPr>
          <w:p w14:paraId="6BF3FD8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0.20</w:t>
            </w:r>
          </w:p>
        </w:tc>
      </w:tr>
      <w:tr w14:paraId="59698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20" w:type="dxa"/>
            <w:vMerge w:val="continue"/>
            <w:tcBorders>
              <w:top w:val="single" w:color="auto" w:sz="8" w:space="0"/>
              <w:left w:val="single" w:color="auto" w:sz="8" w:space="0"/>
              <w:bottom w:val="single" w:color="auto" w:sz="6" w:space="0"/>
              <w:right w:val="single" w:color="auto" w:sz="8" w:space="0"/>
            </w:tcBorders>
            <w:noWrap w:val="0"/>
            <w:vAlign w:val="center"/>
          </w:tcPr>
          <w:p w14:paraId="1FD0C8A3">
            <w:pPr>
              <w:jc w:val="center"/>
              <w:rPr>
                <w:rFonts w:hint="eastAsia" w:ascii="宋体" w:hAnsi="宋体" w:eastAsia="宋体" w:cs="宋体"/>
                <w:color w:val="auto"/>
                <w:sz w:val="21"/>
                <w:szCs w:val="21"/>
                <w:highlight w:val="none"/>
                <w:lang w:val="en-US" w:eastAsia="zh-CN"/>
              </w:rPr>
            </w:pPr>
          </w:p>
        </w:tc>
        <w:tc>
          <w:tcPr>
            <w:tcW w:w="3292" w:type="dxa"/>
            <w:tcBorders>
              <w:top w:val="single" w:color="auto" w:sz="6" w:space="0"/>
              <w:left w:val="single" w:color="auto" w:sz="8" w:space="0"/>
              <w:bottom w:val="single" w:color="auto" w:sz="6" w:space="0"/>
              <w:right w:val="single" w:color="auto" w:sz="8" w:space="0"/>
            </w:tcBorders>
            <w:noWrap w:val="0"/>
            <w:vAlign w:val="center"/>
          </w:tcPr>
          <w:p w14:paraId="4038BF2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侵蚀环境</w:t>
            </w:r>
          </w:p>
        </w:tc>
        <w:tc>
          <w:tcPr>
            <w:tcW w:w="3088" w:type="dxa"/>
            <w:tcBorders>
              <w:top w:val="single" w:color="auto" w:sz="6" w:space="0"/>
              <w:left w:val="single" w:color="auto" w:sz="8" w:space="0"/>
              <w:bottom w:val="single" w:color="auto" w:sz="6" w:space="0"/>
              <w:right w:val="single" w:color="auto" w:sz="8" w:space="0"/>
            </w:tcBorders>
            <w:noWrap w:val="0"/>
            <w:vAlign w:val="center"/>
          </w:tcPr>
          <w:p w14:paraId="1BC48B9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0.15</w:t>
            </w:r>
          </w:p>
        </w:tc>
      </w:tr>
      <w:tr w14:paraId="774E5C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20" w:type="dxa"/>
            <w:vMerge w:val="restart"/>
            <w:tcBorders>
              <w:top w:val="single" w:color="auto" w:sz="6" w:space="0"/>
              <w:left w:val="single" w:color="auto" w:sz="8" w:space="0"/>
              <w:bottom w:val="single" w:color="auto" w:sz="8" w:space="0"/>
              <w:right w:val="single" w:color="auto" w:sz="8" w:space="0"/>
            </w:tcBorders>
            <w:noWrap w:val="0"/>
            <w:vAlign w:val="center"/>
          </w:tcPr>
          <w:p w14:paraId="501926C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采用钢丝和钢绞线的预应力混凝土构件</w:t>
            </w:r>
          </w:p>
        </w:tc>
        <w:tc>
          <w:tcPr>
            <w:tcW w:w="3292" w:type="dxa"/>
            <w:tcBorders>
              <w:top w:val="single" w:color="auto" w:sz="6" w:space="0"/>
              <w:left w:val="single" w:color="auto" w:sz="8" w:space="0"/>
              <w:bottom w:val="single" w:color="auto" w:sz="6" w:space="0"/>
              <w:right w:val="single" w:color="auto" w:sz="8" w:space="0"/>
            </w:tcBorders>
            <w:noWrap w:val="0"/>
            <w:vAlign w:val="center"/>
          </w:tcPr>
          <w:p w14:paraId="2A05744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一般环境</w:t>
            </w:r>
          </w:p>
        </w:tc>
        <w:tc>
          <w:tcPr>
            <w:tcW w:w="3088" w:type="dxa"/>
            <w:tcBorders>
              <w:top w:val="single" w:color="auto" w:sz="6" w:space="0"/>
              <w:left w:val="single" w:color="auto" w:sz="8" w:space="0"/>
              <w:bottom w:val="single" w:color="auto" w:sz="6" w:space="0"/>
              <w:right w:val="single" w:color="auto" w:sz="8" w:space="0"/>
            </w:tcBorders>
            <w:noWrap w:val="0"/>
            <w:vAlign w:val="center"/>
          </w:tcPr>
          <w:p w14:paraId="14A8E6E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0.10</w:t>
            </w:r>
          </w:p>
        </w:tc>
      </w:tr>
      <w:tr w14:paraId="474AE6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20" w:type="dxa"/>
            <w:vMerge w:val="continue"/>
            <w:tcBorders>
              <w:top w:val="single" w:color="auto" w:sz="6" w:space="0"/>
              <w:left w:val="single" w:color="auto" w:sz="8" w:space="0"/>
              <w:bottom w:val="single" w:color="auto" w:sz="8" w:space="0"/>
              <w:right w:val="single" w:color="auto" w:sz="8" w:space="0"/>
            </w:tcBorders>
            <w:noWrap w:val="0"/>
            <w:vAlign w:val="center"/>
          </w:tcPr>
          <w:p w14:paraId="6E987677">
            <w:pPr>
              <w:jc w:val="center"/>
              <w:rPr>
                <w:rFonts w:hint="eastAsia" w:ascii="宋体" w:hAnsi="宋体" w:eastAsia="宋体" w:cs="宋体"/>
                <w:color w:val="auto"/>
                <w:sz w:val="21"/>
                <w:szCs w:val="21"/>
                <w:highlight w:val="none"/>
                <w:lang w:val="en-US" w:eastAsia="zh-CN"/>
              </w:rPr>
            </w:pPr>
          </w:p>
        </w:tc>
        <w:tc>
          <w:tcPr>
            <w:tcW w:w="3292" w:type="dxa"/>
            <w:tcBorders>
              <w:top w:val="single" w:color="auto" w:sz="6" w:space="0"/>
              <w:left w:val="single" w:color="auto" w:sz="8" w:space="0"/>
              <w:bottom w:val="single" w:color="auto" w:sz="8" w:space="0"/>
              <w:right w:val="single" w:color="auto" w:sz="8" w:space="0"/>
            </w:tcBorders>
            <w:noWrap w:val="0"/>
            <w:vAlign w:val="center"/>
          </w:tcPr>
          <w:p w14:paraId="50D3E49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侵蚀环境</w:t>
            </w:r>
          </w:p>
        </w:tc>
        <w:tc>
          <w:tcPr>
            <w:tcW w:w="3088" w:type="dxa"/>
            <w:tcBorders>
              <w:top w:val="single" w:color="auto" w:sz="6" w:space="0"/>
              <w:left w:val="single" w:color="auto" w:sz="8" w:space="0"/>
              <w:bottom w:val="single" w:color="auto" w:sz="8" w:space="0"/>
              <w:right w:val="single" w:color="auto" w:sz="8" w:space="0"/>
            </w:tcBorders>
            <w:noWrap w:val="0"/>
            <w:vAlign w:val="center"/>
          </w:tcPr>
          <w:p w14:paraId="3C413CE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不允许</w:t>
            </w:r>
          </w:p>
        </w:tc>
      </w:tr>
    </w:tbl>
    <w:p w14:paraId="36FC3A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5C564B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3.3.8支座</w:t>
      </w:r>
    </w:p>
    <w:p w14:paraId="64BB4C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3.3.8.1 支座各部分应保持完整、清洁、有效，无开裂、变硬、老化、变形、剪切位移，破损、锈蚀等缺陷。</w:t>
      </w:r>
    </w:p>
    <w:p w14:paraId="20EA7C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3.3.8.2应加强对桥梁支座的日常巡视和定期检测，发现病害应查明原因并采取有效措施及时进行维修或更换，使支座保持良好稳定的状况。</w:t>
      </w:r>
    </w:p>
    <w:p w14:paraId="439335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3.4.2.3支座应每年检查保养一次，清除支座周围的油污、垃圾，防止积水，保证支座正常工作。</w:t>
      </w:r>
    </w:p>
    <w:p w14:paraId="15890F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3.3.8.4 对于需要更换的支座，应根据设计要求或通过设计验算确定新支座的规格、型号。</w:t>
      </w:r>
    </w:p>
    <w:p w14:paraId="472FD7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3.4桥梁下部结构管理</w:t>
      </w:r>
    </w:p>
    <w:p w14:paraId="210D5B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3.4.1桥梁墩、台</w:t>
      </w:r>
    </w:p>
    <w:p w14:paraId="2EFD3A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3.4.1.1 桥梁墩、台应定期检查，发现病害应查明原因，并观察其发展趋势采取相应对策及时维修。</w:t>
      </w:r>
    </w:p>
    <w:p w14:paraId="26D349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3.4.1.2 当墩、台裂缝超过下表（裂缝限值）限值时，应查明原因，根据损坏类型及程度，采取相应的技术措施进行维修处治。</w:t>
      </w:r>
    </w:p>
    <w:p w14:paraId="727ED4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裂缝限值</w:t>
      </w:r>
    </w:p>
    <w:tbl>
      <w:tblPr>
        <w:tblStyle w:val="48"/>
        <w:tblW w:w="95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3"/>
        <w:gridCol w:w="531"/>
        <w:gridCol w:w="2645"/>
        <w:gridCol w:w="770"/>
        <w:gridCol w:w="2606"/>
        <w:gridCol w:w="1883"/>
      </w:tblGrid>
      <w:tr w14:paraId="4079A6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23" w:type="dxa"/>
            <w:tcBorders>
              <w:top w:val="single" w:color="auto" w:sz="8" w:space="0"/>
              <w:left w:val="single" w:color="auto" w:sz="8" w:space="0"/>
              <w:bottom w:val="single" w:color="auto" w:sz="8" w:space="0"/>
              <w:right w:val="single" w:color="auto" w:sz="8" w:space="0"/>
            </w:tcBorders>
            <w:noWrap w:val="0"/>
            <w:vAlign w:val="center"/>
          </w:tcPr>
          <w:p w14:paraId="148A11F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结构类别</w:t>
            </w:r>
          </w:p>
        </w:tc>
        <w:tc>
          <w:tcPr>
            <w:tcW w:w="3946" w:type="dxa"/>
            <w:gridSpan w:val="3"/>
            <w:tcBorders>
              <w:top w:val="single" w:color="auto" w:sz="8" w:space="0"/>
              <w:left w:val="single" w:color="auto" w:sz="8" w:space="0"/>
              <w:bottom w:val="single" w:color="auto" w:sz="8" w:space="0"/>
              <w:right w:val="single" w:color="auto" w:sz="8" w:space="0"/>
            </w:tcBorders>
            <w:noWrap w:val="0"/>
            <w:vAlign w:val="center"/>
          </w:tcPr>
          <w:p w14:paraId="46ECF72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裂缝部位</w:t>
            </w:r>
          </w:p>
        </w:tc>
        <w:tc>
          <w:tcPr>
            <w:tcW w:w="2606" w:type="dxa"/>
            <w:tcBorders>
              <w:top w:val="single" w:color="auto" w:sz="8" w:space="0"/>
              <w:left w:val="single" w:color="auto" w:sz="8" w:space="0"/>
              <w:bottom w:val="single" w:color="auto" w:sz="8" w:space="0"/>
              <w:right w:val="single" w:color="auto" w:sz="8" w:space="0"/>
            </w:tcBorders>
            <w:noWrap w:val="0"/>
            <w:vAlign w:val="center"/>
          </w:tcPr>
          <w:p w14:paraId="6918A8D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允许裂缝最大宽度（mm）</w:t>
            </w:r>
          </w:p>
        </w:tc>
        <w:tc>
          <w:tcPr>
            <w:tcW w:w="1883" w:type="dxa"/>
            <w:tcBorders>
              <w:top w:val="single" w:color="auto" w:sz="8" w:space="0"/>
              <w:left w:val="single" w:color="auto" w:sz="8" w:space="0"/>
              <w:bottom w:val="single" w:color="auto" w:sz="8" w:space="0"/>
              <w:right w:val="single" w:color="auto" w:sz="8" w:space="0"/>
            </w:tcBorders>
            <w:noWrap w:val="0"/>
            <w:vAlign w:val="center"/>
          </w:tcPr>
          <w:p w14:paraId="12EA512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r>
      <w:tr w14:paraId="077CEE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23" w:type="dxa"/>
            <w:vMerge w:val="restart"/>
            <w:tcBorders>
              <w:top w:val="single" w:color="auto" w:sz="8" w:space="0"/>
              <w:left w:val="single" w:color="auto" w:sz="8" w:space="0"/>
              <w:bottom w:val="single" w:color="auto" w:sz="8" w:space="0"/>
              <w:right w:val="single" w:color="auto" w:sz="8" w:space="0"/>
            </w:tcBorders>
            <w:noWrap w:val="0"/>
            <w:vAlign w:val="center"/>
          </w:tcPr>
          <w:p w14:paraId="746653B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墩台</w:t>
            </w:r>
          </w:p>
        </w:tc>
        <w:tc>
          <w:tcPr>
            <w:tcW w:w="3946" w:type="dxa"/>
            <w:gridSpan w:val="3"/>
            <w:tcBorders>
              <w:top w:val="single" w:color="auto" w:sz="8" w:space="0"/>
              <w:left w:val="single" w:color="auto" w:sz="8" w:space="0"/>
              <w:bottom w:val="single" w:color="auto" w:sz="6" w:space="0"/>
              <w:right w:val="single" w:color="auto" w:sz="8" w:space="0"/>
            </w:tcBorders>
            <w:noWrap w:val="0"/>
            <w:vAlign w:val="center"/>
          </w:tcPr>
          <w:p w14:paraId="671D71B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墩台帽</w:t>
            </w:r>
          </w:p>
        </w:tc>
        <w:tc>
          <w:tcPr>
            <w:tcW w:w="2606" w:type="dxa"/>
            <w:tcBorders>
              <w:top w:val="single" w:color="auto" w:sz="8" w:space="0"/>
              <w:left w:val="single" w:color="auto" w:sz="8" w:space="0"/>
              <w:bottom w:val="single" w:color="auto" w:sz="6" w:space="0"/>
              <w:right w:val="single" w:color="auto" w:sz="8" w:space="0"/>
            </w:tcBorders>
            <w:noWrap w:val="0"/>
            <w:vAlign w:val="center"/>
          </w:tcPr>
          <w:p w14:paraId="6470E74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0.30</w:t>
            </w:r>
          </w:p>
        </w:tc>
        <w:tc>
          <w:tcPr>
            <w:tcW w:w="1883" w:type="dxa"/>
            <w:vMerge w:val="restart"/>
            <w:tcBorders>
              <w:top w:val="single" w:color="auto" w:sz="8" w:space="0"/>
              <w:left w:val="single" w:color="auto" w:sz="8" w:space="0"/>
              <w:bottom w:val="single" w:color="auto" w:sz="8" w:space="0"/>
              <w:right w:val="single" w:color="auto" w:sz="8" w:space="0"/>
            </w:tcBorders>
            <w:noWrap w:val="0"/>
            <w:vAlign w:val="center"/>
          </w:tcPr>
          <w:p w14:paraId="38834E9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不允许贯通墩台身</w:t>
            </w:r>
          </w:p>
          <w:p w14:paraId="462097F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截面的50%</w:t>
            </w:r>
          </w:p>
        </w:tc>
      </w:tr>
      <w:tr w14:paraId="3B5802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23" w:type="dxa"/>
            <w:vMerge w:val="continue"/>
            <w:tcBorders>
              <w:top w:val="single" w:color="auto" w:sz="8" w:space="0"/>
              <w:left w:val="single" w:color="auto" w:sz="8" w:space="0"/>
              <w:bottom w:val="single" w:color="auto" w:sz="8" w:space="0"/>
              <w:right w:val="single" w:color="auto" w:sz="8" w:space="0"/>
            </w:tcBorders>
            <w:noWrap w:val="0"/>
            <w:vAlign w:val="center"/>
          </w:tcPr>
          <w:p w14:paraId="1B98DC45">
            <w:pPr>
              <w:jc w:val="center"/>
              <w:rPr>
                <w:rFonts w:hint="eastAsia" w:ascii="宋体" w:hAnsi="宋体" w:eastAsia="宋体" w:cs="宋体"/>
                <w:color w:val="auto"/>
                <w:sz w:val="21"/>
                <w:szCs w:val="21"/>
                <w:highlight w:val="none"/>
                <w:lang w:val="en-US" w:eastAsia="zh-CN"/>
              </w:rPr>
            </w:pPr>
          </w:p>
        </w:tc>
        <w:tc>
          <w:tcPr>
            <w:tcW w:w="531" w:type="dxa"/>
            <w:vMerge w:val="restart"/>
            <w:tcBorders>
              <w:top w:val="single" w:color="auto" w:sz="6" w:space="0"/>
              <w:left w:val="single" w:color="auto" w:sz="8" w:space="0"/>
              <w:bottom w:val="single" w:color="auto" w:sz="6" w:space="0"/>
              <w:right w:val="single" w:color="auto" w:sz="4" w:space="0"/>
            </w:tcBorders>
            <w:noWrap w:val="0"/>
            <w:textDirection w:val="tbRlV"/>
            <w:vAlign w:val="center"/>
          </w:tcPr>
          <w:p w14:paraId="72907EA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墩台身</w:t>
            </w:r>
          </w:p>
        </w:tc>
        <w:tc>
          <w:tcPr>
            <w:tcW w:w="2645" w:type="dxa"/>
            <w:vMerge w:val="restart"/>
            <w:tcBorders>
              <w:top w:val="single" w:color="auto" w:sz="6" w:space="0"/>
              <w:left w:val="single" w:color="auto" w:sz="4" w:space="0"/>
              <w:bottom w:val="single" w:color="auto" w:sz="6" w:space="0"/>
              <w:right w:val="single" w:color="auto" w:sz="6" w:space="0"/>
            </w:tcBorders>
            <w:noWrap w:val="0"/>
            <w:vAlign w:val="center"/>
          </w:tcPr>
          <w:p w14:paraId="75B00F4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经常受侵蚀性环境水影响</w:t>
            </w:r>
          </w:p>
        </w:tc>
        <w:tc>
          <w:tcPr>
            <w:tcW w:w="770" w:type="dxa"/>
            <w:tcBorders>
              <w:top w:val="single" w:color="auto" w:sz="6" w:space="0"/>
              <w:left w:val="single" w:color="auto" w:sz="6" w:space="0"/>
              <w:bottom w:val="single" w:color="auto" w:sz="6" w:space="0"/>
              <w:right w:val="single" w:color="auto" w:sz="4" w:space="0"/>
            </w:tcBorders>
            <w:noWrap w:val="0"/>
            <w:vAlign w:val="center"/>
          </w:tcPr>
          <w:p w14:paraId="6B6D013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有筋</w:t>
            </w:r>
          </w:p>
        </w:tc>
        <w:tc>
          <w:tcPr>
            <w:tcW w:w="2606" w:type="dxa"/>
            <w:tcBorders>
              <w:top w:val="single" w:color="auto" w:sz="6" w:space="0"/>
              <w:left w:val="single" w:color="auto" w:sz="4" w:space="0"/>
              <w:bottom w:val="single" w:color="auto" w:sz="6" w:space="0"/>
              <w:right w:val="single" w:color="auto" w:sz="8" w:space="0"/>
            </w:tcBorders>
            <w:noWrap w:val="0"/>
            <w:vAlign w:val="center"/>
          </w:tcPr>
          <w:p w14:paraId="786F4DA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0.20</w:t>
            </w:r>
          </w:p>
        </w:tc>
        <w:tc>
          <w:tcPr>
            <w:tcW w:w="1883" w:type="dxa"/>
            <w:vMerge w:val="continue"/>
            <w:tcBorders>
              <w:top w:val="single" w:color="auto" w:sz="8" w:space="0"/>
              <w:left w:val="single" w:color="auto" w:sz="8" w:space="0"/>
              <w:bottom w:val="single" w:color="auto" w:sz="8" w:space="0"/>
              <w:right w:val="single" w:color="auto" w:sz="8" w:space="0"/>
            </w:tcBorders>
            <w:noWrap w:val="0"/>
            <w:vAlign w:val="center"/>
          </w:tcPr>
          <w:p w14:paraId="30AE01A0">
            <w:pPr>
              <w:jc w:val="center"/>
              <w:rPr>
                <w:rFonts w:hint="eastAsia" w:ascii="宋体" w:hAnsi="宋体" w:eastAsia="宋体" w:cs="宋体"/>
                <w:color w:val="auto"/>
                <w:sz w:val="21"/>
                <w:szCs w:val="21"/>
                <w:highlight w:val="none"/>
                <w:lang w:val="en-US" w:eastAsia="zh-CN"/>
              </w:rPr>
            </w:pPr>
          </w:p>
        </w:tc>
      </w:tr>
      <w:tr w14:paraId="47556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23" w:type="dxa"/>
            <w:vMerge w:val="continue"/>
            <w:tcBorders>
              <w:top w:val="single" w:color="auto" w:sz="8" w:space="0"/>
              <w:left w:val="single" w:color="auto" w:sz="8" w:space="0"/>
              <w:bottom w:val="single" w:color="auto" w:sz="8" w:space="0"/>
              <w:right w:val="single" w:color="auto" w:sz="8" w:space="0"/>
            </w:tcBorders>
            <w:noWrap w:val="0"/>
            <w:vAlign w:val="center"/>
          </w:tcPr>
          <w:p w14:paraId="5DE54C0B">
            <w:pPr>
              <w:jc w:val="center"/>
              <w:rPr>
                <w:rFonts w:hint="eastAsia" w:ascii="宋体" w:hAnsi="宋体" w:eastAsia="宋体" w:cs="宋体"/>
                <w:color w:val="auto"/>
                <w:sz w:val="21"/>
                <w:szCs w:val="21"/>
                <w:highlight w:val="none"/>
                <w:lang w:val="en-US" w:eastAsia="zh-CN"/>
              </w:rPr>
            </w:pPr>
          </w:p>
        </w:tc>
        <w:tc>
          <w:tcPr>
            <w:tcW w:w="531" w:type="dxa"/>
            <w:vMerge w:val="continue"/>
            <w:tcBorders>
              <w:top w:val="single" w:color="auto" w:sz="6" w:space="0"/>
              <w:left w:val="single" w:color="auto" w:sz="8" w:space="0"/>
              <w:bottom w:val="single" w:color="auto" w:sz="6" w:space="0"/>
              <w:right w:val="single" w:color="auto" w:sz="4" w:space="0"/>
            </w:tcBorders>
            <w:noWrap w:val="0"/>
            <w:vAlign w:val="center"/>
          </w:tcPr>
          <w:p w14:paraId="75ED0EF7">
            <w:pPr>
              <w:jc w:val="center"/>
              <w:rPr>
                <w:rFonts w:hint="eastAsia" w:ascii="宋体" w:hAnsi="宋体" w:eastAsia="宋体" w:cs="宋体"/>
                <w:color w:val="auto"/>
                <w:sz w:val="21"/>
                <w:szCs w:val="21"/>
                <w:highlight w:val="none"/>
                <w:lang w:val="en-US" w:eastAsia="zh-CN"/>
              </w:rPr>
            </w:pPr>
          </w:p>
        </w:tc>
        <w:tc>
          <w:tcPr>
            <w:tcW w:w="2645" w:type="dxa"/>
            <w:vMerge w:val="continue"/>
            <w:tcBorders>
              <w:top w:val="single" w:color="auto" w:sz="6" w:space="0"/>
              <w:left w:val="single" w:color="auto" w:sz="4" w:space="0"/>
              <w:bottom w:val="single" w:color="auto" w:sz="6" w:space="0"/>
              <w:right w:val="single" w:color="auto" w:sz="6" w:space="0"/>
            </w:tcBorders>
            <w:noWrap w:val="0"/>
            <w:vAlign w:val="center"/>
          </w:tcPr>
          <w:p w14:paraId="411EAFEC">
            <w:pPr>
              <w:jc w:val="center"/>
              <w:rPr>
                <w:rFonts w:hint="eastAsia" w:ascii="宋体" w:hAnsi="宋体" w:eastAsia="宋体" w:cs="宋体"/>
                <w:color w:val="auto"/>
                <w:sz w:val="21"/>
                <w:szCs w:val="21"/>
                <w:highlight w:val="none"/>
                <w:lang w:val="en-US" w:eastAsia="zh-CN"/>
              </w:rPr>
            </w:pPr>
          </w:p>
        </w:tc>
        <w:tc>
          <w:tcPr>
            <w:tcW w:w="770" w:type="dxa"/>
            <w:tcBorders>
              <w:top w:val="single" w:color="auto" w:sz="6" w:space="0"/>
              <w:left w:val="single" w:color="auto" w:sz="6" w:space="0"/>
              <w:bottom w:val="single" w:color="auto" w:sz="6" w:space="0"/>
              <w:right w:val="single" w:color="auto" w:sz="4" w:space="0"/>
            </w:tcBorders>
            <w:noWrap w:val="0"/>
            <w:vAlign w:val="center"/>
          </w:tcPr>
          <w:p w14:paraId="72EA14F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无筋</w:t>
            </w:r>
          </w:p>
        </w:tc>
        <w:tc>
          <w:tcPr>
            <w:tcW w:w="2606" w:type="dxa"/>
            <w:tcBorders>
              <w:top w:val="single" w:color="auto" w:sz="6" w:space="0"/>
              <w:left w:val="single" w:color="auto" w:sz="4" w:space="0"/>
              <w:bottom w:val="single" w:color="auto" w:sz="6" w:space="0"/>
              <w:right w:val="single" w:color="auto" w:sz="8" w:space="0"/>
            </w:tcBorders>
            <w:noWrap w:val="0"/>
            <w:vAlign w:val="center"/>
          </w:tcPr>
          <w:p w14:paraId="347D5AF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0.30</w:t>
            </w:r>
          </w:p>
        </w:tc>
        <w:tc>
          <w:tcPr>
            <w:tcW w:w="1883" w:type="dxa"/>
            <w:vMerge w:val="continue"/>
            <w:tcBorders>
              <w:top w:val="single" w:color="auto" w:sz="8" w:space="0"/>
              <w:left w:val="single" w:color="auto" w:sz="8" w:space="0"/>
              <w:bottom w:val="single" w:color="auto" w:sz="8" w:space="0"/>
              <w:right w:val="single" w:color="auto" w:sz="8" w:space="0"/>
            </w:tcBorders>
            <w:noWrap w:val="0"/>
            <w:vAlign w:val="center"/>
          </w:tcPr>
          <w:p w14:paraId="5CFDB55A">
            <w:pPr>
              <w:jc w:val="center"/>
              <w:rPr>
                <w:rFonts w:hint="eastAsia" w:ascii="宋体" w:hAnsi="宋体" w:eastAsia="宋体" w:cs="宋体"/>
                <w:color w:val="auto"/>
                <w:sz w:val="21"/>
                <w:szCs w:val="21"/>
                <w:highlight w:val="none"/>
                <w:lang w:val="en-US" w:eastAsia="zh-CN"/>
              </w:rPr>
            </w:pPr>
          </w:p>
        </w:tc>
      </w:tr>
      <w:tr w14:paraId="6E79D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23" w:type="dxa"/>
            <w:vMerge w:val="continue"/>
            <w:tcBorders>
              <w:top w:val="single" w:color="auto" w:sz="8" w:space="0"/>
              <w:left w:val="single" w:color="auto" w:sz="8" w:space="0"/>
              <w:bottom w:val="single" w:color="auto" w:sz="8" w:space="0"/>
              <w:right w:val="single" w:color="auto" w:sz="8" w:space="0"/>
            </w:tcBorders>
            <w:noWrap w:val="0"/>
            <w:vAlign w:val="center"/>
          </w:tcPr>
          <w:p w14:paraId="148A62E7">
            <w:pPr>
              <w:jc w:val="center"/>
              <w:rPr>
                <w:rFonts w:hint="eastAsia" w:ascii="宋体" w:hAnsi="宋体" w:eastAsia="宋体" w:cs="宋体"/>
                <w:color w:val="auto"/>
                <w:sz w:val="21"/>
                <w:szCs w:val="21"/>
                <w:highlight w:val="none"/>
                <w:lang w:val="en-US" w:eastAsia="zh-CN"/>
              </w:rPr>
            </w:pPr>
          </w:p>
        </w:tc>
        <w:tc>
          <w:tcPr>
            <w:tcW w:w="531" w:type="dxa"/>
            <w:vMerge w:val="continue"/>
            <w:tcBorders>
              <w:top w:val="single" w:color="auto" w:sz="6" w:space="0"/>
              <w:left w:val="single" w:color="auto" w:sz="8" w:space="0"/>
              <w:bottom w:val="single" w:color="auto" w:sz="6" w:space="0"/>
              <w:right w:val="single" w:color="auto" w:sz="4" w:space="0"/>
            </w:tcBorders>
            <w:noWrap w:val="0"/>
            <w:vAlign w:val="center"/>
          </w:tcPr>
          <w:p w14:paraId="0174F31A">
            <w:pPr>
              <w:jc w:val="center"/>
              <w:rPr>
                <w:rFonts w:hint="eastAsia" w:ascii="宋体" w:hAnsi="宋体" w:eastAsia="宋体" w:cs="宋体"/>
                <w:color w:val="auto"/>
                <w:sz w:val="21"/>
                <w:szCs w:val="21"/>
                <w:highlight w:val="none"/>
                <w:lang w:val="en-US" w:eastAsia="zh-CN"/>
              </w:rPr>
            </w:pPr>
          </w:p>
        </w:tc>
        <w:tc>
          <w:tcPr>
            <w:tcW w:w="2645" w:type="dxa"/>
            <w:vMerge w:val="restart"/>
            <w:tcBorders>
              <w:top w:val="single" w:color="auto" w:sz="6" w:space="0"/>
              <w:left w:val="single" w:color="auto" w:sz="4" w:space="0"/>
              <w:bottom w:val="single" w:color="auto" w:sz="6" w:space="0"/>
              <w:right w:val="single" w:color="auto" w:sz="6" w:space="0"/>
            </w:tcBorders>
            <w:noWrap w:val="0"/>
            <w:vAlign w:val="center"/>
          </w:tcPr>
          <w:p w14:paraId="5E0DD18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常年有水，但无侵蚀性影响</w:t>
            </w:r>
          </w:p>
        </w:tc>
        <w:tc>
          <w:tcPr>
            <w:tcW w:w="770" w:type="dxa"/>
            <w:tcBorders>
              <w:top w:val="single" w:color="auto" w:sz="6" w:space="0"/>
              <w:left w:val="single" w:color="auto" w:sz="6" w:space="0"/>
              <w:bottom w:val="single" w:color="auto" w:sz="6" w:space="0"/>
              <w:right w:val="single" w:color="auto" w:sz="8" w:space="0"/>
            </w:tcBorders>
            <w:noWrap w:val="0"/>
            <w:vAlign w:val="center"/>
          </w:tcPr>
          <w:p w14:paraId="245F123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有筋</w:t>
            </w:r>
          </w:p>
        </w:tc>
        <w:tc>
          <w:tcPr>
            <w:tcW w:w="2606" w:type="dxa"/>
            <w:tcBorders>
              <w:top w:val="single" w:color="auto" w:sz="6" w:space="0"/>
              <w:left w:val="single" w:color="auto" w:sz="8" w:space="0"/>
              <w:bottom w:val="single" w:color="auto" w:sz="6" w:space="0"/>
              <w:right w:val="single" w:color="auto" w:sz="8" w:space="0"/>
            </w:tcBorders>
            <w:noWrap w:val="0"/>
            <w:vAlign w:val="center"/>
          </w:tcPr>
          <w:p w14:paraId="00C3270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0.25</w:t>
            </w:r>
          </w:p>
        </w:tc>
        <w:tc>
          <w:tcPr>
            <w:tcW w:w="1883" w:type="dxa"/>
            <w:vMerge w:val="continue"/>
            <w:tcBorders>
              <w:top w:val="single" w:color="auto" w:sz="8" w:space="0"/>
              <w:left w:val="single" w:color="auto" w:sz="8" w:space="0"/>
              <w:bottom w:val="single" w:color="auto" w:sz="8" w:space="0"/>
              <w:right w:val="single" w:color="auto" w:sz="8" w:space="0"/>
            </w:tcBorders>
            <w:noWrap w:val="0"/>
            <w:vAlign w:val="center"/>
          </w:tcPr>
          <w:p w14:paraId="293C9D1A">
            <w:pPr>
              <w:jc w:val="center"/>
              <w:rPr>
                <w:rFonts w:hint="eastAsia" w:ascii="宋体" w:hAnsi="宋体" w:eastAsia="宋体" w:cs="宋体"/>
                <w:color w:val="auto"/>
                <w:sz w:val="21"/>
                <w:szCs w:val="21"/>
                <w:highlight w:val="none"/>
                <w:lang w:val="en-US" w:eastAsia="zh-CN"/>
              </w:rPr>
            </w:pPr>
          </w:p>
        </w:tc>
      </w:tr>
      <w:tr w14:paraId="113DCC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23" w:type="dxa"/>
            <w:vMerge w:val="continue"/>
            <w:tcBorders>
              <w:top w:val="single" w:color="auto" w:sz="8" w:space="0"/>
              <w:left w:val="single" w:color="auto" w:sz="8" w:space="0"/>
              <w:bottom w:val="single" w:color="auto" w:sz="8" w:space="0"/>
              <w:right w:val="single" w:color="auto" w:sz="8" w:space="0"/>
            </w:tcBorders>
            <w:noWrap w:val="0"/>
            <w:vAlign w:val="center"/>
          </w:tcPr>
          <w:p w14:paraId="3C877224">
            <w:pPr>
              <w:jc w:val="center"/>
              <w:rPr>
                <w:rFonts w:hint="eastAsia" w:ascii="宋体" w:hAnsi="宋体" w:eastAsia="宋体" w:cs="宋体"/>
                <w:color w:val="auto"/>
                <w:sz w:val="21"/>
                <w:szCs w:val="21"/>
                <w:highlight w:val="none"/>
                <w:lang w:val="en-US" w:eastAsia="zh-CN"/>
              </w:rPr>
            </w:pPr>
          </w:p>
        </w:tc>
        <w:tc>
          <w:tcPr>
            <w:tcW w:w="531" w:type="dxa"/>
            <w:vMerge w:val="continue"/>
            <w:tcBorders>
              <w:top w:val="single" w:color="auto" w:sz="6" w:space="0"/>
              <w:left w:val="single" w:color="auto" w:sz="8" w:space="0"/>
              <w:bottom w:val="single" w:color="auto" w:sz="6" w:space="0"/>
              <w:right w:val="single" w:color="auto" w:sz="4" w:space="0"/>
            </w:tcBorders>
            <w:noWrap w:val="0"/>
            <w:vAlign w:val="center"/>
          </w:tcPr>
          <w:p w14:paraId="004CAC9D">
            <w:pPr>
              <w:jc w:val="center"/>
              <w:rPr>
                <w:rFonts w:hint="eastAsia" w:ascii="宋体" w:hAnsi="宋体" w:eastAsia="宋体" w:cs="宋体"/>
                <w:color w:val="auto"/>
                <w:sz w:val="21"/>
                <w:szCs w:val="21"/>
                <w:highlight w:val="none"/>
                <w:lang w:val="en-US" w:eastAsia="zh-CN"/>
              </w:rPr>
            </w:pPr>
          </w:p>
        </w:tc>
        <w:tc>
          <w:tcPr>
            <w:tcW w:w="2645" w:type="dxa"/>
            <w:vMerge w:val="continue"/>
            <w:tcBorders>
              <w:top w:val="single" w:color="auto" w:sz="6" w:space="0"/>
              <w:left w:val="single" w:color="auto" w:sz="4" w:space="0"/>
              <w:bottom w:val="single" w:color="auto" w:sz="6" w:space="0"/>
              <w:right w:val="single" w:color="auto" w:sz="6" w:space="0"/>
            </w:tcBorders>
            <w:noWrap w:val="0"/>
            <w:vAlign w:val="center"/>
          </w:tcPr>
          <w:p w14:paraId="271AA602">
            <w:pPr>
              <w:jc w:val="center"/>
              <w:rPr>
                <w:rFonts w:hint="eastAsia" w:ascii="宋体" w:hAnsi="宋体" w:eastAsia="宋体" w:cs="宋体"/>
                <w:color w:val="auto"/>
                <w:sz w:val="21"/>
                <w:szCs w:val="21"/>
                <w:highlight w:val="none"/>
                <w:lang w:val="en-US" w:eastAsia="zh-CN"/>
              </w:rPr>
            </w:pPr>
          </w:p>
        </w:tc>
        <w:tc>
          <w:tcPr>
            <w:tcW w:w="770" w:type="dxa"/>
            <w:tcBorders>
              <w:top w:val="single" w:color="auto" w:sz="6" w:space="0"/>
              <w:left w:val="single" w:color="auto" w:sz="6" w:space="0"/>
              <w:bottom w:val="single" w:color="auto" w:sz="6" w:space="0"/>
              <w:right w:val="single" w:color="auto" w:sz="8" w:space="0"/>
            </w:tcBorders>
            <w:noWrap w:val="0"/>
            <w:vAlign w:val="center"/>
          </w:tcPr>
          <w:p w14:paraId="597D5E0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无筋</w:t>
            </w:r>
          </w:p>
        </w:tc>
        <w:tc>
          <w:tcPr>
            <w:tcW w:w="2606" w:type="dxa"/>
            <w:tcBorders>
              <w:top w:val="single" w:color="auto" w:sz="6" w:space="0"/>
              <w:left w:val="single" w:color="auto" w:sz="8" w:space="0"/>
              <w:bottom w:val="single" w:color="auto" w:sz="6" w:space="0"/>
              <w:right w:val="single" w:color="auto" w:sz="8" w:space="0"/>
            </w:tcBorders>
            <w:noWrap w:val="0"/>
            <w:vAlign w:val="center"/>
          </w:tcPr>
          <w:p w14:paraId="3FAB373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0.35</w:t>
            </w:r>
          </w:p>
        </w:tc>
        <w:tc>
          <w:tcPr>
            <w:tcW w:w="1883" w:type="dxa"/>
            <w:vMerge w:val="continue"/>
            <w:tcBorders>
              <w:top w:val="single" w:color="auto" w:sz="8" w:space="0"/>
              <w:left w:val="single" w:color="auto" w:sz="8" w:space="0"/>
              <w:bottom w:val="single" w:color="auto" w:sz="8" w:space="0"/>
              <w:right w:val="single" w:color="auto" w:sz="8" w:space="0"/>
            </w:tcBorders>
            <w:noWrap w:val="0"/>
            <w:vAlign w:val="center"/>
          </w:tcPr>
          <w:p w14:paraId="7717E1D8">
            <w:pPr>
              <w:jc w:val="center"/>
              <w:rPr>
                <w:rFonts w:hint="eastAsia" w:ascii="宋体" w:hAnsi="宋体" w:eastAsia="宋体" w:cs="宋体"/>
                <w:color w:val="auto"/>
                <w:sz w:val="21"/>
                <w:szCs w:val="21"/>
                <w:highlight w:val="none"/>
                <w:lang w:val="en-US" w:eastAsia="zh-CN"/>
              </w:rPr>
            </w:pPr>
          </w:p>
        </w:tc>
      </w:tr>
      <w:tr w14:paraId="739B4B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23" w:type="dxa"/>
            <w:vMerge w:val="continue"/>
            <w:tcBorders>
              <w:top w:val="single" w:color="auto" w:sz="8" w:space="0"/>
              <w:left w:val="single" w:color="auto" w:sz="8" w:space="0"/>
              <w:bottom w:val="single" w:color="auto" w:sz="8" w:space="0"/>
              <w:right w:val="single" w:color="auto" w:sz="8" w:space="0"/>
            </w:tcBorders>
            <w:noWrap w:val="0"/>
            <w:vAlign w:val="center"/>
          </w:tcPr>
          <w:p w14:paraId="6C748DE2">
            <w:pPr>
              <w:jc w:val="center"/>
              <w:rPr>
                <w:rFonts w:hint="eastAsia" w:ascii="宋体" w:hAnsi="宋体" w:eastAsia="宋体" w:cs="宋体"/>
                <w:color w:val="auto"/>
                <w:sz w:val="21"/>
                <w:szCs w:val="21"/>
                <w:highlight w:val="none"/>
                <w:lang w:val="en-US" w:eastAsia="zh-CN"/>
              </w:rPr>
            </w:pPr>
          </w:p>
        </w:tc>
        <w:tc>
          <w:tcPr>
            <w:tcW w:w="531" w:type="dxa"/>
            <w:vMerge w:val="continue"/>
            <w:tcBorders>
              <w:top w:val="single" w:color="auto" w:sz="6" w:space="0"/>
              <w:left w:val="single" w:color="auto" w:sz="8" w:space="0"/>
              <w:bottom w:val="single" w:color="auto" w:sz="6" w:space="0"/>
              <w:right w:val="single" w:color="auto" w:sz="4" w:space="0"/>
            </w:tcBorders>
            <w:noWrap w:val="0"/>
            <w:vAlign w:val="center"/>
          </w:tcPr>
          <w:p w14:paraId="45038E3C">
            <w:pPr>
              <w:jc w:val="center"/>
              <w:rPr>
                <w:rFonts w:hint="eastAsia" w:ascii="宋体" w:hAnsi="宋体" w:eastAsia="宋体" w:cs="宋体"/>
                <w:color w:val="auto"/>
                <w:sz w:val="21"/>
                <w:szCs w:val="21"/>
                <w:highlight w:val="none"/>
                <w:lang w:val="en-US" w:eastAsia="zh-CN"/>
              </w:rPr>
            </w:pPr>
          </w:p>
        </w:tc>
        <w:tc>
          <w:tcPr>
            <w:tcW w:w="3415" w:type="dxa"/>
            <w:gridSpan w:val="2"/>
            <w:tcBorders>
              <w:top w:val="single" w:color="auto" w:sz="6" w:space="0"/>
              <w:left w:val="single" w:color="auto" w:sz="4" w:space="0"/>
              <w:bottom w:val="single" w:color="auto" w:sz="6" w:space="0"/>
              <w:right w:val="single" w:color="auto" w:sz="8" w:space="0"/>
            </w:tcBorders>
            <w:noWrap w:val="0"/>
            <w:vAlign w:val="center"/>
          </w:tcPr>
          <w:p w14:paraId="2B98E7B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干沟或季节性有水河流</w:t>
            </w:r>
          </w:p>
        </w:tc>
        <w:tc>
          <w:tcPr>
            <w:tcW w:w="2606" w:type="dxa"/>
            <w:tcBorders>
              <w:top w:val="single" w:color="auto" w:sz="6" w:space="0"/>
              <w:left w:val="single" w:color="auto" w:sz="8" w:space="0"/>
              <w:bottom w:val="single" w:color="auto" w:sz="6" w:space="0"/>
              <w:right w:val="single" w:color="auto" w:sz="8" w:space="0"/>
            </w:tcBorders>
            <w:noWrap w:val="0"/>
            <w:vAlign w:val="center"/>
          </w:tcPr>
          <w:p w14:paraId="6AF9DEB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0.40</w:t>
            </w:r>
          </w:p>
        </w:tc>
        <w:tc>
          <w:tcPr>
            <w:tcW w:w="1883" w:type="dxa"/>
            <w:vMerge w:val="continue"/>
            <w:tcBorders>
              <w:top w:val="single" w:color="auto" w:sz="8" w:space="0"/>
              <w:left w:val="single" w:color="auto" w:sz="8" w:space="0"/>
              <w:bottom w:val="single" w:color="auto" w:sz="8" w:space="0"/>
              <w:right w:val="single" w:color="auto" w:sz="8" w:space="0"/>
            </w:tcBorders>
            <w:noWrap w:val="0"/>
            <w:vAlign w:val="center"/>
          </w:tcPr>
          <w:p w14:paraId="644AD466">
            <w:pPr>
              <w:jc w:val="center"/>
              <w:rPr>
                <w:rFonts w:hint="eastAsia" w:ascii="宋体" w:hAnsi="宋体" w:eastAsia="宋体" w:cs="宋体"/>
                <w:color w:val="auto"/>
                <w:sz w:val="21"/>
                <w:szCs w:val="21"/>
                <w:highlight w:val="none"/>
                <w:lang w:val="en-US" w:eastAsia="zh-CN"/>
              </w:rPr>
            </w:pPr>
          </w:p>
        </w:tc>
      </w:tr>
      <w:tr w14:paraId="35075B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atLeast"/>
          <w:jc w:val="center"/>
        </w:trPr>
        <w:tc>
          <w:tcPr>
            <w:tcW w:w="1123" w:type="dxa"/>
            <w:vMerge w:val="continue"/>
            <w:tcBorders>
              <w:top w:val="single" w:color="auto" w:sz="8" w:space="0"/>
              <w:left w:val="single" w:color="auto" w:sz="8" w:space="0"/>
              <w:bottom w:val="single" w:color="auto" w:sz="8" w:space="0"/>
              <w:right w:val="single" w:color="auto" w:sz="8" w:space="0"/>
            </w:tcBorders>
            <w:noWrap w:val="0"/>
            <w:vAlign w:val="center"/>
          </w:tcPr>
          <w:p w14:paraId="2E672705">
            <w:pPr>
              <w:jc w:val="center"/>
              <w:rPr>
                <w:rFonts w:hint="eastAsia" w:ascii="宋体" w:hAnsi="宋体" w:eastAsia="宋体" w:cs="宋体"/>
                <w:color w:val="auto"/>
                <w:sz w:val="21"/>
                <w:szCs w:val="21"/>
                <w:highlight w:val="none"/>
                <w:lang w:val="en-US" w:eastAsia="zh-CN"/>
              </w:rPr>
            </w:pPr>
          </w:p>
        </w:tc>
        <w:tc>
          <w:tcPr>
            <w:tcW w:w="3946" w:type="dxa"/>
            <w:gridSpan w:val="3"/>
            <w:tcBorders>
              <w:top w:val="single" w:color="auto" w:sz="6" w:space="0"/>
              <w:left w:val="single" w:color="auto" w:sz="8" w:space="0"/>
              <w:bottom w:val="single" w:color="auto" w:sz="8" w:space="0"/>
              <w:right w:val="single" w:color="auto" w:sz="8" w:space="0"/>
            </w:tcBorders>
            <w:noWrap w:val="0"/>
            <w:vAlign w:val="center"/>
          </w:tcPr>
          <w:p w14:paraId="22CCEA9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有冻结作用部分</w:t>
            </w:r>
          </w:p>
        </w:tc>
        <w:tc>
          <w:tcPr>
            <w:tcW w:w="2606" w:type="dxa"/>
            <w:tcBorders>
              <w:top w:val="single" w:color="auto" w:sz="6" w:space="0"/>
              <w:left w:val="single" w:color="auto" w:sz="8" w:space="0"/>
              <w:bottom w:val="single" w:color="auto" w:sz="8" w:space="0"/>
              <w:right w:val="single" w:color="auto" w:sz="8" w:space="0"/>
            </w:tcBorders>
            <w:noWrap w:val="0"/>
            <w:vAlign w:val="center"/>
          </w:tcPr>
          <w:p w14:paraId="5C66190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0.20</w:t>
            </w:r>
          </w:p>
        </w:tc>
        <w:tc>
          <w:tcPr>
            <w:tcW w:w="1883" w:type="dxa"/>
            <w:vMerge w:val="continue"/>
            <w:tcBorders>
              <w:top w:val="single" w:color="auto" w:sz="8" w:space="0"/>
              <w:left w:val="single" w:color="auto" w:sz="8" w:space="0"/>
              <w:bottom w:val="single" w:color="auto" w:sz="8" w:space="0"/>
              <w:right w:val="single" w:color="auto" w:sz="8" w:space="0"/>
            </w:tcBorders>
            <w:noWrap w:val="0"/>
            <w:vAlign w:val="center"/>
          </w:tcPr>
          <w:p w14:paraId="0AD649F6">
            <w:pPr>
              <w:jc w:val="center"/>
              <w:rPr>
                <w:rFonts w:hint="eastAsia" w:ascii="宋体" w:hAnsi="宋体" w:eastAsia="宋体" w:cs="宋体"/>
                <w:color w:val="auto"/>
                <w:sz w:val="21"/>
                <w:szCs w:val="21"/>
                <w:highlight w:val="none"/>
                <w:lang w:val="en-US" w:eastAsia="zh-CN"/>
              </w:rPr>
            </w:pPr>
          </w:p>
        </w:tc>
      </w:tr>
    </w:tbl>
    <w:p w14:paraId="67CA96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3.4.1.3 桩或墩台的结构强度不足或桩柱碰撞损坏时，应查明原因，进行加固处理。</w:t>
      </w:r>
    </w:p>
    <w:p w14:paraId="0E713B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3.4.1.4 墩、台应保持清洁、完好，及时清除其表面的青苔、杂草、积土和污秽。</w:t>
      </w:r>
    </w:p>
    <w:p w14:paraId="64658C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3.4.1.5 墩、台应保持结构安全。当混凝土表面发生侵蚀剥落、蜂窝麻面等病害时，应及时将其周围凿毛洗净，用水泥砂浆抹平。不易用水泥砂浆补牢的，可采用环氧树脂或其他聚合物类材料等性能较好的材料修补。</w:t>
      </w:r>
    </w:p>
    <w:p w14:paraId="5A5A7D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3.4.1.6 对设置的防撞、警示等附属设施应经常维护，保持良好的状态。</w:t>
      </w:r>
    </w:p>
    <w:p w14:paraId="76617A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3.4.1.7 锥坡应保持完好，无开裂、沉陷。</w:t>
      </w:r>
    </w:p>
    <w:p w14:paraId="399807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3.4.1.8 翼墙出现下沉、断裂或其他损坏时，应及时维修加固。</w:t>
      </w:r>
    </w:p>
    <w:p w14:paraId="5112FB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3.4.2基础</w:t>
      </w:r>
    </w:p>
    <w:p w14:paraId="4A9394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3.4.2.1桥梁的基础及地基应完整、稳定，发生水毁、冲空时应立即进行维修加固。</w:t>
      </w:r>
    </w:p>
    <w:p w14:paraId="6AA366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3.4.2.2桩基顶段在水位涨落、干湿交替变化出现冲刷磨损、颈缩、露筋，或环状冻裂，或受到污水、碱水的腐蚀，应及时修复。</w:t>
      </w:r>
    </w:p>
    <w:p w14:paraId="4149E7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3.4.2.3跨河桥梁上下游50~500m范围内的河床应稳定，并随时清理河床上的漂浮物和沉积物。不得在河床内建构筑物和挖砂、取土、采石、倾倒废弃物。</w:t>
      </w:r>
    </w:p>
    <w:p w14:paraId="76EE65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3.4.2.4若基础冲刷过深或基底局部掏空，应立即抛填块石、片石、铅丝石笼等进行维护。</w:t>
      </w:r>
    </w:p>
    <w:p w14:paraId="4FFBAD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3.4.2.5简支梁桥墩台基础的沉降和位移，超过以下容许限值或裂缝持续发展时，应采取相应措施予以加固： a墩台均匀总沉降值（不包括施工中的沉降）：20</w:t>
      </w:r>
      <w:r>
        <w:rPr>
          <w:rFonts w:hint="eastAsia" w:ascii="宋体" w:hAnsi="宋体" w:eastAsia="宋体" w:cs="宋体"/>
          <w:color w:val="auto"/>
          <w:sz w:val="21"/>
          <w:szCs w:val="21"/>
          <w:highlight w:val="none"/>
          <w:lang w:val="en-US" w:eastAsia="zh-CN"/>
        </w:rPr>
        <w:object>
          <v:shape id="_x0000_i1025" o:spt="75" type="#_x0000_t75" style="height:17.25pt;width:20.25pt;" o:ole="t" filled="f" o:preferrelative="t" stroked="f" coordsize="21600,21600">
            <v:path/>
            <v:fill on="f" focussize="0,0"/>
            <v:stroke on="f"/>
            <v:imagedata r:id="rId25" o:title=""/>
            <o:lock v:ext="edit" grouping="f" rotation="f" text="f" aspectratio="t"/>
            <w10:wrap type="none"/>
            <w10:anchorlock/>
          </v:shape>
          <o:OLEObject Type="Embed" ProgID="Equation.DSMT4" ShapeID="_x0000_i1025" DrawAspect="Content" ObjectID="_1468075725" r:id="rId24">
            <o:LockedField>false</o:LockedField>
          </o:OLEObject>
        </w:object>
      </w:r>
      <w:r>
        <w:rPr>
          <w:rFonts w:hint="eastAsia" w:ascii="宋体" w:hAnsi="宋体" w:eastAsia="宋体" w:cs="宋体"/>
          <w:color w:val="auto"/>
          <w:sz w:val="21"/>
          <w:szCs w:val="21"/>
          <w:highlight w:val="none"/>
          <w:lang w:val="en-US" w:eastAsia="zh-CN"/>
        </w:rPr>
        <w:t>(mm)。 b相邻墩台总沉降差值（不包括施工中的沉降）：10</w:t>
      </w:r>
      <w:r>
        <w:rPr>
          <w:rFonts w:hint="eastAsia" w:ascii="宋体" w:hAnsi="宋体" w:eastAsia="宋体" w:cs="宋体"/>
          <w:color w:val="auto"/>
          <w:sz w:val="21"/>
          <w:szCs w:val="21"/>
          <w:highlight w:val="none"/>
          <w:lang w:val="en-US" w:eastAsia="zh-CN"/>
        </w:rPr>
        <w:object>
          <v:shape id="_x0000_i1026" o:spt="75" type="#_x0000_t75" style="height:17.25pt;width:20.25pt;" o:ole="t" filled="f" o:preferrelative="t" stroked="f" coordsize="21600,21600">
            <v:path/>
            <v:fill on="f" focussize="0,0"/>
            <v:stroke on="f"/>
            <v:imagedata r:id="rId25" o:title=""/>
            <o:lock v:ext="edit" grouping="f" rotation="f" text="f" aspectratio="t"/>
            <w10:wrap type="none"/>
            <w10:anchorlock/>
          </v:shape>
          <o:OLEObject Type="Embed" ProgID="Equation.DSMT4" ShapeID="_x0000_i1026" DrawAspect="Content" ObjectID="_1468075726" r:id="rId26">
            <o:LockedField>false</o:LockedField>
          </o:OLEObject>
        </w:object>
      </w:r>
      <w:r>
        <w:rPr>
          <w:rFonts w:hint="eastAsia" w:ascii="宋体" w:hAnsi="宋体" w:eastAsia="宋体" w:cs="宋体"/>
          <w:color w:val="auto"/>
          <w:sz w:val="21"/>
          <w:szCs w:val="21"/>
          <w:highlight w:val="none"/>
          <w:lang w:val="en-US" w:eastAsia="zh-CN"/>
        </w:rPr>
        <w:t>(mm)。 c墩台顶面水平位移值：5</w:t>
      </w:r>
      <w:r>
        <w:rPr>
          <w:rFonts w:hint="eastAsia" w:ascii="宋体" w:hAnsi="宋体" w:eastAsia="宋体" w:cs="宋体"/>
          <w:color w:val="auto"/>
          <w:sz w:val="21"/>
          <w:szCs w:val="21"/>
          <w:highlight w:val="none"/>
          <w:lang w:val="en-US" w:eastAsia="zh-CN"/>
        </w:rPr>
        <w:object>
          <v:shape id="_x0000_i1027" o:spt="75" type="#_x0000_t75" style="height:17.25pt;width:20.25pt;" o:ole="t" filled="f" o:preferrelative="t" stroked="f" coordsize="21600,21600">
            <v:path/>
            <v:fill on="f" focussize="0,0"/>
            <v:stroke on="f"/>
            <v:imagedata r:id="rId25" o:title=""/>
            <o:lock v:ext="edit" grouping="f" rotation="f" text="f" aspectratio="t"/>
            <w10:wrap type="none"/>
            <w10:anchorlock/>
          </v:shape>
          <o:OLEObject Type="Embed" ProgID="Equation.DSMT4" ShapeID="_x0000_i1027" DrawAspect="Content" ObjectID="_1468075727" r:id="rId27">
            <o:LockedField>false</o:LockedField>
          </o:OLEObject>
        </w:object>
      </w:r>
      <w:r>
        <w:rPr>
          <w:rFonts w:hint="eastAsia" w:ascii="宋体" w:hAnsi="宋体" w:eastAsia="宋体" w:cs="宋体"/>
          <w:color w:val="auto"/>
          <w:sz w:val="21"/>
          <w:szCs w:val="21"/>
          <w:highlight w:val="none"/>
          <w:lang w:val="en-US" w:eastAsia="zh-CN"/>
        </w:rPr>
        <w:t>(mm)。</w:t>
      </w:r>
    </w:p>
    <w:p w14:paraId="2ADD5E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注：L为相邻墩台间最小跨径，以m计，跨径小于25m时仍以25m计算;桩、柱式柔性墩台的沉降，以及桩基承台上墩台顶面的水平位移值，可视具体情况确定，以保证正常使用为原则。</w:t>
      </w:r>
    </w:p>
    <w:p w14:paraId="493941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3.4.2.6当墩台变位产生的附加内力影响到桥梁的正常使用和安全时，或桥梁墩台基础自身结构出现大的缺损使承载力不够时，应进行加固处理。</w:t>
      </w:r>
    </w:p>
    <w:p w14:paraId="2782AC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3.5.附属设施管理</w:t>
      </w:r>
    </w:p>
    <w:p w14:paraId="432F4B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3.5.1桥梁的防护栏杆、隔离带等防护设施应完整、美观、有效。</w:t>
      </w:r>
    </w:p>
    <w:p w14:paraId="14DAAC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3.5.2桥头搭板下沉量不应大于保护带与桥面接缝高差的规定值。</w:t>
      </w:r>
    </w:p>
    <w:p w14:paraId="2FD315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3.5.3桥头搭板因台后填土下沉而引起的桥头跳车，应视沉降高差采取不同的维修方式。</w:t>
      </w:r>
    </w:p>
    <w:p w14:paraId="43D31F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3.5.4挡墙应坚固、耐用、完好，无下沉、开裂、脱空等现象。汛期应加强巡检，挡墙倾斜、位移、下沉超过20mm时，应进行维修加固。挡墙开裂小于3mm时，可进行封闭处理；折断时应及时加固。</w:t>
      </w:r>
    </w:p>
    <w:p w14:paraId="63AB07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3.5.5标志牌应设置规范、字迹清晰、鲜明。反光膜完整，反光效果符合设计要求。立柱式标志牌立柱垂直，牢固可靠。</w:t>
      </w:r>
    </w:p>
    <w:p w14:paraId="4BA5B0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3.5.6 标志牌应每季度清洗。发生弯折、变形、倾斜应尽快修复，损坏或丢失应及时更换或补齐。</w:t>
      </w:r>
    </w:p>
    <w:p w14:paraId="0024E3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3.5.7 防撞墙应完好，无破损、裂缝、空洞、蜂窝、麻面、起皮、松散、剥落、露筋等现象。</w:t>
      </w:r>
    </w:p>
    <w:p w14:paraId="532950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3.6安全作业、应急处置、文明施工管理</w:t>
      </w:r>
    </w:p>
    <w:p w14:paraId="60BA36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应认真贯彻“安全第一、预防为主”的方针，自觉遵守，严格执行国家有关劳动保护与安全生产的法律法规。建立安全管理体系，完善各项安全管理制度，落实各级安全责任制，做好日常管理工作，杜绝各类事故。</w:t>
      </w:r>
    </w:p>
    <w:p w14:paraId="050CA3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3.6.2应建立应急防灾组织体系，落实管理责任，做好突发性事故的应急处置预案，组成与灾害防治、处置工作相适应的抢险组织联络网，积极、妥善处理突发应急事件，确保桥梁畅通。</w:t>
      </w:r>
    </w:p>
    <w:p w14:paraId="3D4D37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3.6.3突出“以人为本”概念，贯彻作业避高峰，快速施工原则，注重文明施工与环境保护，根据养护作业实际情况，制定文明施工与环境保护具体措施，最大限度地减少对附近区域市容环卫和交通运行影响。</w:t>
      </w:r>
    </w:p>
    <w:p w14:paraId="67004C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3.6.4养护人员必须自觉遵守交通法规，上岗前必须进行安全教育和技术培训。并按规定统一着装，且必须穿戴具有反光功能的安全标志服和防护帽。</w:t>
      </w:r>
    </w:p>
    <w:p w14:paraId="40396E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3.6.5城市桥梁的日常巡查、检测、维修等养护作业应做好安全防护工作，确保作业人员、行人、车辆的安全。</w:t>
      </w:r>
    </w:p>
    <w:p w14:paraId="23F7F1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3.6.6养护单位应当在经批准的路段和时段内施工作业，并在距离施工作业地点来车方向安全距离处设置明显的安全警示标志，采取防护设施；施工作业完毕，应迅速清除道路上的障碍物，符合通行要求后，方可恢复通行。</w:t>
      </w:r>
    </w:p>
    <w:p w14:paraId="3FD258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3.6.7养护维修作业的安全设施应始终处于良好的工作状态，在未完成养护维修作业之前，任何人不得随意撤除或改变安全设施的位置、扩大或缩小作业区范围，以保证养护维修作业区安全控制的有效性。</w:t>
      </w:r>
    </w:p>
    <w:p w14:paraId="035CDF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3.6.8除流动作业外，进行占道养护时应在作业现场划出作业区，制定交通组织方案，设置相应的标志与设施，以确保作业期间的交通安全。</w:t>
      </w:r>
    </w:p>
    <w:p w14:paraId="315BBD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3.7其他管理规定</w:t>
      </w:r>
    </w:p>
    <w:p w14:paraId="5B9206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3.7.1认真落实社会投诉工作，建立24小时值班制度，落实解决各类投诉问题，</w:t>
      </w:r>
    </w:p>
    <w:p w14:paraId="34BF02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3.7.2不发生有责媒体报道事件，不发生重大有责新闻曝光。</w:t>
      </w:r>
    </w:p>
    <w:p w14:paraId="08BAE5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3.7.3认真完成领导或相关部门的指令性、突击性任务。</w:t>
      </w:r>
    </w:p>
    <w:p w14:paraId="6E6682C2">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C71F183">
      <w:pPr>
        <w:jc w:val="both"/>
        <w:rPr>
          <w:rFonts w:hint="default"/>
          <w:sz w:val="24"/>
          <w:szCs w:val="24"/>
          <w:highlight w:val="none"/>
          <w:lang w:val="en-US" w:eastAsia="zh-CN"/>
        </w:rPr>
      </w:pPr>
      <w:r>
        <w:rPr>
          <w:rFonts w:hint="eastAsia"/>
          <w:sz w:val="24"/>
          <w:szCs w:val="24"/>
          <w:highlight w:val="none"/>
          <w:lang w:val="en-US" w:eastAsia="zh-CN"/>
        </w:rPr>
        <w:t>附件2             市政设施养护作业综合考核评分表</w:t>
      </w:r>
    </w:p>
    <w:p w14:paraId="47FA13D1">
      <w:pPr>
        <w:rPr>
          <w:rFonts w:hint="default"/>
          <w:b/>
          <w:bCs/>
          <w:highlight w:val="none"/>
          <w:lang w:val="en-US" w:eastAsia="zh-CN"/>
        </w:rPr>
      </w:pPr>
    </w:p>
    <w:p w14:paraId="69C6D385">
      <w:pPr>
        <w:rPr>
          <w:rFonts w:hint="default"/>
          <w:highlight w:val="none"/>
          <w:lang w:val="en-US" w:eastAsia="zh-CN"/>
        </w:rPr>
      </w:pPr>
      <w:r>
        <w:rPr>
          <w:rFonts w:hint="default"/>
          <w:b/>
          <w:bCs/>
          <w:highlight w:val="none"/>
          <w:lang w:val="en-US" w:eastAsia="zh-CN"/>
        </w:rPr>
        <w:t>考核周期：</w:t>
      </w:r>
      <w:r>
        <w:rPr>
          <w:rFonts w:hint="default"/>
          <w:highlight w:val="none"/>
          <w:lang w:val="en-US" w:eastAsia="zh-CN"/>
        </w:rPr>
        <w:t>月度</w:t>
      </w:r>
      <w:r>
        <w:rPr>
          <w:rFonts w:hint="default"/>
          <w:highlight w:val="none"/>
          <w:lang w:val="en-US" w:eastAsia="zh-CN"/>
        </w:rPr>
        <w:br w:type="textWrapping"/>
      </w:r>
      <w:r>
        <w:rPr>
          <w:rFonts w:hint="eastAsia"/>
          <w:b/>
          <w:bCs/>
          <w:highlight w:val="none"/>
          <w:lang w:val="en-US" w:eastAsia="zh-CN"/>
        </w:rPr>
        <w:t>良好分数线：</w:t>
      </w:r>
      <w:r>
        <w:rPr>
          <w:rFonts w:hint="eastAsia"/>
          <w:highlight w:val="none"/>
          <w:lang w:val="en-US" w:eastAsia="zh-CN"/>
        </w:rPr>
        <w:t>95分及以上不罚款</w:t>
      </w:r>
    </w:p>
    <w:p w14:paraId="7F116EAA">
      <w:pPr>
        <w:rPr>
          <w:rFonts w:hint="default"/>
          <w:highlight w:val="none"/>
        </w:rPr>
      </w:pPr>
      <w:r>
        <w:rPr>
          <w:rFonts w:hint="default"/>
          <w:b/>
          <w:bCs/>
          <w:highlight w:val="none"/>
          <w:lang w:val="en-US" w:eastAsia="zh-CN"/>
        </w:rPr>
        <w:t>合格分数线：</w:t>
      </w:r>
      <w:r>
        <w:rPr>
          <w:rFonts w:hint="default"/>
          <w:highlight w:val="none"/>
          <w:lang w:val="en-US" w:eastAsia="zh-CN"/>
        </w:rPr>
        <w:t>90分（</w:t>
      </w:r>
      <w:r>
        <w:rPr>
          <w:rFonts w:hint="eastAsia"/>
          <w:highlight w:val="none"/>
          <w:lang w:val="en-US" w:eastAsia="zh-CN"/>
        </w:rPr>
        <w:t>94~90分，每扣1分罚款2000元</w:t>
      </w:r>
      <w:r>
        <w:rPr>
          <w:rFonts w:hint="default"/>
          <w:highlight w:val="none"/>
          <w:lang w:val="en-US" w:eastAsia="zh-CN"/>
        </w:rPr>
        <w:t>/月</w:t>
      </w:r>
      <w:r>
        <w:rPr>
          <w:rFonts w:hint="eastAsia"/>
          <w:highlight w:val="none"/>
          <w:lang w:val="en-US" w:eastAsia="zh-CN"/>
        </w:rPr>
        <w:t>；</w:t>
      </w:r>
      <w:r>
        <w:rPr>
          <w:rFonts w:hint="default"/>
          <w:highlight w:val="none"/>
          <w:lang w:val="en-US" w:eastAsia="zh-CN"/>
        </w:rPr>
        <w:t>&lt;90分罚款30,000元/月）</w:t>
      </w:r>
      <w:r>
        <w:rPr>
          <w:rFonts w:hint="default"/>
          <w:highlight w:val="none"/>
          <w:lang w:val="en-US" w:eastAsia="zh-CN"/>
        </w:rPr>
        <w:br w:type="textWrapping"/>
      </w:r>
      <w:r>
        <w:rPr>
          <w:rFonts w:hint="default"/>
          <w:b/>
          <w:bCs/>
          <w:highlight w:val="none"/>
          <w:lang w:val="en-US" w:eastAsia="zh-CN"/>
        </w:rPr>
        <w:t>维修质量不合格的处罚办法：</w:t>
      </w:r>
      <w:r>
        <w:rPr>
          <w:rFonts w:hint="default"/>
          <w:highlight w:val="none"/>
          <w:lang w:val="en-US" w:eastAsia="zh-CN"/>
        </w:rPr>
        <w:t>若维修质量不符国家、地方相关检验标准的，由采购人责令返工的，并按考核标准进行扣罚，同一项目经整改仍达不到相关检验标准的，该部分工程量不予结算；采购人有权邀请第三方完成以上养护维修任务，维修费由中标人支付。</w:t>
      </w:r>
      <w:r>
        <w:rPr>
          <w:rFonts w:hint="default"/>
          <w:highlight w:val="none"/>
          <w:lang w:val="en-US" w:eastAsia="zh-CN"/>
        </w:rPr>
        <w:br w:type="textWrapping"/>
      </w:r>
      <w:r>
        <w:rPr>
          <w:rFonts w:hint="default"/>
          <w:b/>
          <w:bCs/>
          <w:highlight w:val="none"/>
          <w:lang w:val="en-US" w:eastAsia="zh-CN"/>
        </w:rPr>
        <w:t>加倍处罚规则：</w:t>
      </w:r>
      <w:r>
        <w:rPr>
          <w:rFonts w:hint="default"/>
          <w:highlight w:val="none"/>
          <w:lang w:val="en-US" w:eastAsia="zh-CN"/>
        </w:rPr>
        <w:t>市/区级检查、媒体曝光、重复投诉问题 双倍扣分；限期未整改问题 双倍扣分。</w:t>
      </w:r>
    </w:p>
    <w:tbl>
      <w:tblPr>
        <w:tblStyle w:val="49"/>
        <w:tblW w:w="10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6"/>
        <w:gridCol w:w="1044"/>
        <w:gridCol w:w="2735"/>
        <w:gridCol w:w="3000"/>
        <w:gridCol w:w="2176"/>
        <w:gridCol w:w="660"/>
        <w:gridCol w:w="674"/>
      </w:tblGrid>
      <w:tr w14:paraId="5079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526" w:type="dxa"/>
            <w:shd w:val="clear" w:color="auto" w:fill="auto"/>
            <w:vAlign w:val="center"/>
          </w:tcPr>
          <w:p w14:paraId="2AD943C7">
            <w:pPr>
              <w:snapToGrid w:val="0"/>
              <w:ind w:left="0" w:leftChars="0" w:right="0" w:rightChars="0" w:firstLine="0" w:firstLineChars="0"/>
              <w:jc w:val="center"/>
              <w:rPr>
                <w:rFonts w:hint="eastAsia" w:ascii="黑体" w:hAnsi="黑体" w:eastAsia="黑体" w:cs="黑体"/>
                <w:b/>
                <w:bCs/>
                <w:highlight w:val="none"/>
                <w:vertAlign w:val="baseline"/>
                <w:lang w:eastAsia="zh-CN"/>
              </w:rPr>
            </w:pPr>
            <w:r>
              <w:rPr>
                <w:rFonts w:hint="eastAsia" w:ascii="黑体" w:hAnsi="黑体" w:eastAsia="黑体" w:cs="黑体"/>
                <w:b/>
                <w:bCs/>
                <w:highlight w:val="none"/>
                <w:vertAlign w:val="baseline"/>
                <w:lang w:eastAsia="zh-CN"/>
              </w:rPr>
              <w:t>类别</w:t>
            </w:r>
          </w:p>
        </w:tc>
        <w:tc>
          <w:tcPr>
            <w:tcW w:w="1044" w:type="dxa"/>
            <w:shd w:val="clear" w:color="auto" w:fill="auto"/>
            <w:vAlign w:val="center"/>
          </w:tcPr>
          <w:p w14:paraId="7909359F">
            <w:pPr>
              <w:snapToGrid w:val="0"/>
              <w:ind w:left="0" w:leftChars="0" w:right="0" w:rightChars="0" w:firstLine="0" w:firstLineChars="0"/>
              <w:jc w:val="center"/>
              <w:rPr>
                <w:rFonts w:hint="eastAsia" w:ascii="黑体" w:hAnsi="黑体" w:eastAsia="黑体" w:cs="黑体"/>
                <w:b/>
                <w:bCs/>
                <w:highlight w:val="none"/>
                <w:vertAlign w:val="baseline"/>
                <w:lang w:eastAsia="zh-CN"/>
              </w:rPr>
            </w:pPr>
            <w:r>
              <w:rPr>
                <w:rFonts w:hint="eastAsia" w:ascii="黑体" w:hAnsi="黑体" w:eastAsia="黑体" w:cs="黑体"/>
                <w:b/>
                <w:bCs/>
                <w:highlight w:val="none"/>
                <w:vertAlign w:val="baseline"/>
                <w:lang w:eastAsia="zh-CN"/>
              </w:rPr>
              <w:t>考核项目</w:t>
            </w:r>
          </w:p>
        </w:tc>
        <w:tc>
          <w:tcPr>
            <w:tcW w:w="2735" w:type="dxa"/>
            <w:shd w:val="clear" w:color="auto" w:fill="auto"/>
            <w:vAlign w:val="center"/>
          </w:tcPr>
          <w:p w14:paraId="710DD59D">
            <w:pPr>
              <w:snapToGrid w:val="0"/>
              <w:ind w:left="0" w:leftChars="0" w:right="0" w:rightChars="0" w:firstLine="0" w:firstLineChars="0"/>
              <w:jc w:val="center"/>
              <w:rPr>
                <w:rFonts w:hint="eastAsia" w:ascii="黑体" w:hAnsi="黑体" w:eastAsia="黑体" w:cs="黑体"/>
                <w:b/>
                <w:bCs/>
                <w:highlight w:val="none"/>
                <w:vertAlign w:val="baseline"/>
                <w:lang w:eastAsia="zh-CN"/>
              </w:rPr>
            </w:pPr>
            <w:r>
              <w:rPr>
                <w:rFonts w:hint="eastAsia" w:ascii="黑体" w:hAnsi="黑体" w:eastAsia="黑体" w:cs="黑体"/>
                <w:b/>
                <w:bCs/>
                <w:highlight w:val="none"/>
                <w:vertAlign w:val="baseline"/>
                <w:lang w:eastAsia="zh-CN"/>
              </w:rPr>
              <w:t>考核标准</w:t>
            </w:r>
          </w:p>
        </w:tc>
        <w:tc>
          <w:tcPr>
            <w:tcW w:w="3000" w:type="dxa"/>
            <w:shd w:val="clear" w:color="auto" w:fill="auto"/>
            <w:vAlign w:val="center"/>
          </w:tcPr>
          <w:p w14:paraId="65CED232">
            <w:pPr>
              <w:snapToGrid w:val="0"/>
              <w:ind w:left="0" w:leftChars="0" w:right="0" w:rightChars="0" w:firstLine="0" w:firstLineChars="0"/>
              <w:jc w:val="center"/>
              <w:rPr>
                <w:rFonts w:hint="eastAsia" w:ascii="黑体" w:hAnsi="黑体" w:eastAsia="黑体" w:cs="黑体"/>
                <w:b/>
                <w:bCs/>
                <w:highlight w:val="none"/>
                <w:vertAlign w:val="baseline"/>
              </w:rPr>
            </w:pPr>
            <w:r>
              <w:rPr>
                <w:rFonts w:hint="eastAsia" w:ascii="黑体" w:hAnsi="黑体" w:eastAsia="黑体" w:cs="黑体"/>
                <w:b/>
                <w:bCs/>
                <w:highlight w:val="none"/>
                <w:vertAlign w:val="baseline"/>
              </w:rPr>
              <w:t>扣分标准</w:t>
            </w:r>
          </w:p>
          <w:p w14:paraId="1DB4AF99">
            <w:pPr>
              <w:snapToGrid w:val="0"/>
              <w:ind w:left="0" w:leftChars="0" w:right="0" w:rightChars="0" w:firstLine="0" w:firstLineChars="0"/>
              <w:jc w:val="center"/>
              <w:rPr>
                <w:rFonts w:hint="eastAsia" w:ascii="黑体" w:hAnsi="黑体" w:eastAsia="黑体" w:cs="黑体"/>
                <w:b/>
                <w:bCs/>
                <w:highlight w:val="none"/>
                <w:vertAlign w:val="baseline"/>
              </w:rPr>
            </w:pPr>
            <w:r>
              <w:rPr>
                <w:rFonts w:hint="eastAsia" w:ascii="黑体" w:hAnsi="黑体" w:eastAsia="黑体" w:cs="黑体"/>
                <w:b/>
                <w:bCs/>
                <w:highlight w:val="none"/>
                <w:vertAlign w:val="baseline"/>
              </w:rPr>
              <w:t>(分/次·处)</w:t>
            </w:r>
          </w:p>
        </w:tc>
        <w:tc>
          <w:tcPr>
            <w:tcW w:w="2176" w:type="dxa"/>
            <w:shd w:val="clear" w:color="auto" w:fill="auto"/>
            <w:vAlign w:val="center"/>
          </w:tcPr>
          <w:p w14:paraId="267D39CE">
            <w:pPr>
              <w:snapToGrid w:val="0"/>
              <w:ind w:left="0" w:leftChars="0" w:right="0" w:rightChars="0" w:firstLine="0" w:firstLineChars="0"/>
              <w:jc w:val="center"/>
              <w:rPr>
                <w:rFonts w:hint="eastAsia" w:ascii="黑体" w:hAnsi="黑体" w:eastAsia="黑体" w:cs="黑体"/>
                <w:b/>
                <w:bCs/>
                <w:highlight w:val="none"/>
                <w:vertAlign w:val="baseline"/>
              </w:rPr>
            </w:pPr>
            <w:r>
              <w:rPr>
                <w:rFonts w:hint="eastAsia" w:ascii="黑体" w:hAnsi="黑体" w:eastAsia="黑体" w:cs="黑体"/>
                <w:b/>
                <w:bCs/>
                <w:highlight w:val="none"/>
                <w:vertAlign w:val="baseline"/>
              </w:rPr>
              <w:t>处罚标准</w:t>
            </w:r>
          </w:p>
          <w:p w14:paraId="085F9D3B">
            <w:pPr>
              <w:snapToGrid w:val="0"/>
              <w:ind w:left="0" w:leftChars="0" w:right="0" w:rightChars="0" w:firstLine="0" w:firstLineChars="0"/>
              <w:jc w:val="center"/>
              <w:rPr>
                <w:rFonts w:hint="eastAsia" w:ascii="黑体" w:hAnsi="黑体" w:eastAsia="黑体" w:cs="黑体"/>
                <w:b/>
                <w:bCs/>
                <w:highlight w:val="none"/>
                <w:vertAlign w:val="baseline"/>
              </w:rPr>
            </w:pPr>
            <w:r>
              <w:rPr>
                <w:rFonts w:hint="eastAsia" w:ascii="黑体" w:hAnsi="黑体" w:eastAsia="黑体" w:cs="黑体"/>
                <w:b/>
                <w:bCs/>
                <w:highlight w:val="none"/>
                <w:vertAlign w:val="baseline"/>
              </w:rPr>
              <w:t>(元/次·处)</w:t>
            </w:r>
          </w:p>
        </w:tc>
        <w:tc>
          <w:tcPr>
            <w:tcW w:w="660" w:type="dxa"/>
            <w:shd w:val="clear" w:color="auto" w:fill="auto"/>
            <w:vAlign w:val="center"/>
          </w:tcPr>
          <w:p w14:paraId="5108FB6E">
            <w:pPr>
              <w:snapToGrid w:val="0"/>
              <w:ind w:left="0" w:leftChars="0" w:right="0" w:rightChars="0" w:firstLine="0" w:firstLineChars="0"/>
              <w:jc w:val="center"/>
              <w:rPr>
                <w:rFonts w:hint="eastAsia" w:ascii="黑体" w:hAnsi="黑体" w:eastAsia="黑体" w:cs="黑体"/>
                <w:b/>
                <w:bCs/>
                <w:highlight w:val="none"/>
                <w:vertAlign w:val="baseline"/>
                <w:lang w:eastAsia="zh-CN"/>
              </w:rPr>
            </w:pPr>
            <w:r>
              <w:rPr>
                <w:rFonts w:hint="eastAsia" w:ascii="黑体" w:hAnsi="黑体" w:eastAsia="黑体" w:cs="黑体"/>
                <w:b/>
                <w:bCs/>
                <w:highlight w:val="none"/>
                <w:vertAlign w:val="baseline"/>
                <w:lang w:eastAsia="zh-CN"/>
              </w:rPr>
              <w:t>扣罚情况</w:t>
            </w:r>
          </w:p>
        </w:tc>
        <w:tc>
          <w:tcPr>
            <w:tcW w:w="674" w:type="dxa"/>
            <w:shd w:val="clear" w:color="auto" w:fill="auto"/>
            <w:vAlign w:val="center"/>
          </w:tcPr>
          <w:p w14:paraId="3380D18D">
            <w:pPr>
              <w:snapToGrid w:val="0"/>
              <w:ind w:left="0" w:leftChars="0" w:right="0" w:rightChars="0" w:firstLine="0" w:firstLineChars="0"/>
              <w:jc w:val="center"/>
              <w:rPr>
                <w:rFonts w:hint="eastAsia" w:ascii="黑体" w:hAnsi="黑体" w:eastAsia="黑体" w:cs="黑体"/>
                <w:b/>
                <w:bCs/>
                <w:highlight w:val="none"/>
                <w:vertAlign w:val="baseline"/>
                <w:lang w:eastAsia="zh-CN"/>
              </w:rPr>
            </w:pPr>
            <w:r>
              <w:rPr>
                <w:rFonts w:hint="eastAsia" w:ascii="黑体" w:hAnsi="黑体" w:eastAsia="黑体" w:cs="黑体"/>
                <w:b/>
                <w:bCs/>
                <w:highlight w:val="none"/>
                <w:vertAlign w:val="baseline"/>
                <w:lang w:eastAsia="zh-CN"/>
              </w:rPr>
              <w:t>备注</w:t>
            </w:r>
          </w:p>
        </w:tc>
      </w:tr>
      <w:tr w14:paraId="4748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restart"/>
            <w:shd w:val="clear" w:color="auto" w:fill="auto"/>
            <w:vAlign w:val="center"/>
          </w:tcPr>
          <w:p w14:paraId="1DCCA6F8">
            <w:pPr>
              <w:snapToGrid w:val="0"/>
              <w:ind w:left="0" w:leftChars="0" w:right="0" w:rightChars="0" w:firstLine="0" w:firstLineChars="0"/>
              <w:jc w:val="center"/>
              <w:rPr>
                <w:rFonts w:hint="eastAsia" w:ascii="Arial" w:eastAsia="宋体"/>
                <w:b/>
                <w:bCs/>
                <w:sz w:val="21"/>
                <w:highlight w:val="none"/>
                <w:vertAlign w:val="baseline"/>
                <w:lang w:eastAsia="zh-CN"/>
              </w:rPr>
            </w:pPr>
            <w:r>
              <w:rPr>
                <w:rFonts w:hint="eastAsia" w:ascii="Arial" w:eastAsia="宋体"/>
                <w:b/>
                <w:bCs/>
                <w:sz w:val="21"/>
                <w:highlight w:val="none"/>
                <w:vertAlign w:val="baseline"/>
                <w:lang w:eastAsia="zh-CN"/>
              </w:rPr>
              <w:t>一</w:t>
            </w:r>
            <w:r>
              <w:rPr>
                <w:rFonts w:ascii="Arial" w:eastAsia="宋体"/>
                <w:b/>
                <w:bCs/>
                <w:sz w:val="21"/>
                <w:highlight w:val="none"/>
                <w:vertAlign w:val="baseline"/>
              </w:rPr>
              <w:t>、组织与巡查</w:t>
            </w:r>
            <w:r>
              <w:rPr>
                <w:rFonts w:hint="eastAsia" w:ascii="Arial" w:eastAsia="宋体"/>
                <w:b/>
                <w:bCs/>
                <w:sz w:val="21"/>
                <w:highlight w:val="none"/>
                <w:vertAlign w:val="baseline"/>
                <w:lang w:eastAsia="zh-CN"/>
              </w:rPr>
              <w:t>（</w:t>
            </w:r>
            <w:r>
              <w:rPr>
                <w:rFonts w:hint="eastAsia" w:ascii="Arial" w:eastAsia="宋体"/>
                <w:b/>
                <w:bCs/>
                <w:sz w:val="21"/>
                <w:highlight w:val="none"/>
                <w:vertAlign w:val="baseline"/>
                <w:lang w:val="en-US" w:eastAsia="zh-CN"/>
              </w:rPr>
              <w:t>15分</w:t>
            </w:r>
            <w:r>
              <w:rPr>
                <w:rFonts w:hint="eastAsia" w:ascii="Arial" w:eastAsia="宋体"/>
                <w:b/>
                <w:bCs/>
                <w:sz w:val="21"/>
                <w:highlight w:val="none"/>
                <w:vertAlign w:val="baseline"/>
                <w:lang w:eastAsia="zh-CN"/>
              </w:rPr>
              <w:t>）</w:t>
            </w:r>
          </w:p>
        </w:tc>
        <w:tc>
          <w:tcPr>
            <w:tcW w:w="1044" w:type="dxa"/>
            <w:shd w:val="clear" w:color="auto" w:fill="auto"/>
            <w:vAlign w:val="center"/>
          </w:tcPr>
          <w:p w14:paraId="2D2E2208">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人员在岗</w:t>
            </w:r>
          </w:p>
          <w:p w14:paraId="76B83FBD">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（5分）</w:t>
            </w:r>
          </w:p>
        </w:tc>
        <w:tc>
          <w:tcPr>
            <w:tcW w:w="2735" w:type="dxa"/>
            <w:shd w:val="clear" w:color="auto" w:fill="auto"/>
            <w:vAlign w:val="center"/>
          </w:tcPr>
          <w:p w14:paraId="33F6C32F">
            <w:pPr>
              <w:pStyle w:val="149"/>
              <w:snapToGrid w:val="0"/>
              <w:spacing w:before="111" w:line="240" w:lineRule="auto"/>
              <w:ind w:left="0" w:leftChars="0" w:right="0" w:rightChars="0" w:firstLine="0" w:firstLineChars="0"/>
              <w:jc w:val="left"/>
              <w:rPr>
                <w:rFonts w:hint="eastAsia" w:ascii="Arial" w:eastAsia="宋体"/>
                <w:spacing w:val="9"/>
                <w:sz w:val="21"/>
                <w:highlight w:val="none"/>
                <w:lang w:eastAsia="zh-CN"/>
              </w:rPr>
            </w:pPr>
            <w:r>
              <w:rPr>
                <w:rFonts w:hint="eastAsia" w:ascii="Arial" w:eastAsia="宋体"/>
                <w:spacing w:val="9"/>
                <w:sz w:val="21"/>
                <w:highlight w:val="none"/>
                <w:lang w:eastAsia="en-US"/>
              </w:rPr>
              <w:t>合同履约期间，项目经理/技术负责人</w:t>
            </w:r>
            <w:r>
              <w:rPr>
                <w:rFonts w:hint="eastAsia" w:ascii="Arial" w:eastAsia="宋体"/>
                <w:spacing w:val="9"/>
                <w:sz w:val="21"/>
                <w:highlight w:val="none"/>
                <w:lang w:eastAsia="zh-CN"/>
              </w:rPr>
              <w:t>不得负责</w:t>
            </w:r>
            <w:r>
              <w:rPr>
                <w:rFonts w:hint="eastAsia" w:ascii="Arial" w:eastAsia="宋体"/>
                <w:spacing w:val="9"/>
                <w:sz w:val="21"/>
                <w:highlight w:val="none"/>
                <w:lang w:eastAsia="en-US"/>
              </w:rPr>
              <w:t>其他在建项目</w:t>
            </w:r>
            <w:r>
              <w:rPr>
                <w:rFonts w:hint="eastAsia" w:ascii="Arial" w:eastAsia="宋体"/>
                <w:spacing w:val="9"/>
                <w:sz w:val="21"/>
                <w:highlight w:val="none"/>
                <w:lang w:eastAsia="zh-CN"/>
              </w:rPr>
              <w:t>或擅自更换主要人员。</w:t>
            </w:r>
          </w:p>
        </w:tc>
        <w:tc>
          <w:tcPr>
            <w:tcW w:w="3000" w:type="dxa"/>
            <w:shd w:val="clear" w:color="auto" w:fill="auto"/>
            <w:vAlign w:val="center"/>
          </w:tcPr>
          <w:p w14:paraId="4D105356">
            <w:pPr>
              <w:pStyle w:val="149"/>
              <w:snapToGrid w:val="0"/>
              <w:spacing w:before="111" w:line="240" w:lineRule="auto"/>
              <w:ind w:left="0" w:leftChars="0" w:right="0" w:rightChars="0" w:firstLine="0" w:firstLineChars="0"/>
              <w:jc w:val="left"/>
              <w:rPr>
                <w:rFonts w:hint="eastAsia" w:ascii="Arial" w:eastAsia="宋体"/>
                <w:spacing w:val="9"/>
                <w:sz w:val="21"/>
                <w:highlight w:val="none"/>
                <w:lang w:val="en-US" w:eastAsia="zh-CN"/>
              </w:rPr>
            </w:pPr>
            <w:r>
              <w:rPr>
                <w:rFonts w:hint="eastAsia" w:ascii="Arial" w:eastAsia="宋体"/>
                <w:spacing w:val="9"/>
                <w:sz w:val="21"/>
                <w:highlight w:val="none"/>
                <w:lang w:eastAsia="zh-CN"/>
              </w:rPr>
              <w:t>擅自更换主要人员</w:t>
            </w:r>
            <w:r>
              <w:rPr>
                <w:rFonts w:ascii="Arial" w:eastAsia="宋体"/>
                <w:spacing w:val="9"/>
                <w:sz w:val="21"/>
                <w:highlight w:val="none"/>
              </w:rPr>
              <w:t>一次</w:t>
            </w:r>
            <w:r>
              <w:rPr>
                <w:rFonts w:hint="eastAsia" w:ascii="Arial" w:eastAsia="宋体"/>
                <w:spacing w:val="9"/>
                <w:sz w:val="21"/>
                <w:highlight w:val="none"/>
                <w:lang w:eastAsia="zh-CN"/>
              </w:rPr>
              <w:t>扣</w:t>
            </w:r>
            <w:r>
              <w:rPr>
                <w:rFonts w:hint="eastAsia" w:ascii="Arial" w:eastAsia="宋体"/>
                <w:spacing w:val="9"/>
                <w:sz w:val="21"/>
                <w:highlight w:val="none"/>
                <w:lang w:val="en-US" w:eastAsia="zh-CN"/>
              </w:rPr>
              <w:t>5分。</w:t>
            </w:r>
          </w:p>
        </w:tc>
        <w:tc>
          <w:tcPr>
            <w:tcW w:w="2176" w:type="dxa"/>
            <w:shd w:val="clear" w:color="auto" w:fill="auto"/>
            <w:vAlign w:val="center"/>
          </w:tcPr>
          <w:p w14:paraId="68C01279">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ascii="Arial" w:eastAsia="宋体"/>
                <w:spacing w:val="9"/>
                <w:sz w:val="21"/>
                <w:highlight w:val="none"/>
              </w:rPr>
              <w:t>一经发现扣罚20000元，</w:t>
            </w:r>
            <w:r>
              <w:rPr>
                <w:rFonts w:hint="eastAsia" w:ascii="Arial" w:eastAsia="宋体"/>
                <w:spacing w:val="9"/>
                <w:sz w:val="21"/>
                <w:highlight w:val="none"/>
                <w:lang w:eastAsia="zh-CN"/>
              </w:rPr>
              <w:t>情节严重</w:t>
            </w:r>
            <w:r>
              <w:rPr>
                <w:rFonts w:ascii="Arial" w:eastAsia="宋体"/>
                <w:spacing w:val="9"/>
                <w:sz w:val="21"/>
                <w:highlight w:val="none"/>
              </w:rPr>
              <w:t>可解除合同；经同意更换一次扣罚10000元</w:t>
            </w:r>
          </w:p>
        </w:tc>
        <w:tc>
          <w:tcPr>
            <w:tcW w:w="660" w:type="dxa"/>
            <w:shd w:val="clear" w:color="auto" w:fill="auto"/>
            <w:vAlign w:val="center"/>
          </w:tcPr>
          <w:p w14:paraId="322A6FBA">
            <w:pPr>
              <w:pStyle w:val="149"/>
              <w:snapToGrid w:val="0"/>
              <w:spacing w:before="111" w:line="240" w:lineRule="auto"/>
              <w:ind w:left="0" w:leftChars="0" w:right="0" w:rightChars="0" w:firstLine="0" w:firstLineChars="0"/>
              <w:jc w:val="right"/>
              <w:rPr>
                <w:rFonts w:ascii="Arial" w:eastAsia="宋体"/>
                <w:spacing w:val="9"/>
                <w:sz w:val="21"/>
                <w:highlight w:val="none"/>
              </w:rPr>
            </w:pPr>
          </w:p>
        </w:tc>
        <w:tc>
          <w:tcPr>
            <w:tcW w:w="674" w:type="dxa"/>
            <w:shd w:val="clear" w:color="auto" w:fill="auto"/>
            <w:vAlign w:val="center"/>
          </w:tcPr>
          <w:p w14:paraId="5791795D">
            <w:pPr>
              <w:pStyle w:val="149"/>
              <w:snapToGrid w:val="0"/>
              <w:spacing w:before="111" w:line="240" w:lineRule="auto"/>
              <w:ind w:left="0" w:leftChars="0" w:right="0" w:rightChars="0" w:firstLine="0" w:firstLineChars="0"/>
              <w:jc w:val="center"/>
              <w:rPr>
                <w:rFonts w:ascii="Arial" w:eastAsia="宋体"/>
                <w:spacing w:val="9"/>
                <w:sz w:val="21"/>
                <w:highlight w:val="none"/>
              </w:rPr>
            </w:pPr>
            <w:r>
              <w:rPr>
                <w:rFonts w:hint="eastAsia" w:ascii="Arial" w:eastAsia="宋体"/>
                <w:spacing w:val="8"/>
                <w:sz w:val="21"/>
                <w:highlight w:val="none"/>
                <w:lang w:val="en-US" w:eastAsia="zh-CN"/>
              </w:rPr>
              <w:t>-</w:t>
            </w:r>
          </w:p>
        </w:tc>
      </w:tr>
      <w:tr w14:paraId="6A00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0F152CA2">
            <w:pPr>
              <w:snapToGrid w:val="0"/>
              <w:ind w:left="0" w:leftChars="0" w:right="0" w:rightChars="0" w:firstLine="0" w:firstLineChars="0"/>
              <w:jc w:val="center"/>
              <w:rPr>
                <w:rFonts w:hint="eastAsia" w:ascii="Arial" w:eastAsia="宋体"/>
                <w:b/>
                <w:bCs/>
                <w:sz w:val="21"/>
                <w:highlight w:val="none"/>
                <w:vertAlign w:val="baseline"/>
                <w:lang w:eastAsia="zh-CN"/>
              </w:rPr>
            </w:pPr>
          </w:p>
        </w:tc>
        <w:tc>
          <w:tcPr>
            <w:tcW w:w="1044" w:type="dxa"/>
            <w:shd w:val="clear" w:color="auto" w:fill="auto"/>
            <w:vAlign w:val="center"/>
          </w:tcPr>
          <w:p w14:paraId="38B679E7">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会议缺席/现场缺勤</w:t>
            </w:r>
          </w:p>
          <w:p w14:paraId="53C53B98">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（2分）</w:t>
            </w:r>
          </w:p>
        </w:tc>
        <w:tc>
          <w:tcPr>
            <w:tcW w:w="2735" w:type="dxa"/>
            <w:shd w:val="clear" w:color="auto" w:fill="auto"/>
            <w:vAlign w:val="center"/>
          </w:tcPr>
          <w:p w14:paraId="69D2B4B4">
            <w:pPr>
              <w:pStyle w:val="149"/>
              <w:snapToGrid w:val="0"/>
              <w:spacing w:before="111" w:line="240" w:lineRule="auto"/>
              <w:ind w:left="0" w:leftChars="0" w:right="0" w:rightChars="0" w:firstLine="0" w:firstLineChars="0"/>
              <w:jc w:val="left"/>
              <w:rPr>
                <w:rFonts w:hint="eastAsia" w:ascii="Arial" w:eastAsia="宋体"/>
                <w:spacing w:val="9"/>
                <w:sz w:val="21"/>
                <w:highlight w:val="none"/>
                <w:lang w:eastAsia="zh-CN"/>
              </w:rPr>
            </w:pPr>
            <w:r>
              <w:rPr>
                <w:rFonts w:hint="eastAsia" w:ascii="Arial" w:eastAsia="宋体"/>
                <w:spacing w:val="9"/>
                <w:sz w:val="21"/>
                <w:highlight w:val="none"/>
                <w:lang w:eastAsia="en-US"/>
              </w:rPr>
              <w:t>项目经理须按要求参加月度例会和重要会议，500平方米及以上沥青路面、400平方米及以上水泥路面、400平方米及以上人行道项目施工期间，项目经理必须到场。因故不能到场须提前请假，无故离场按缺勤计，合同年度内允许请假3次</w:t>
            </w:r>
            <w:r>
              <w:rPr>
                <w:rFonts w:hint="eastAsia" w:ascii="Arial" w:eastAsia="宋体"/>
                <w:spacing w:val="9"/>
                <w:sz w:val="21"/>
                <w:highlight w:val="none"/>
                <w:lang w:eastAsia="zh-CN"/>
              </w:rPr>
              <w:t>；</w:t>
            </w:r>
            <w:r>
              <w:rPr>
                <w:rFonts w:hint="eastAsia" w:ascii="Arial" w:eastAsia="宋体"/>
                <w:spacing w:val="9"/>
                <w:sz w:val="21"/>
                <w:highlight w:val="none"/>
                <w:lang w:eastAsia="en-US"/>
              </w:rPr>
              <w:t>安全员须做好安全技术指导和现场工作，</w:t>
            </w:r>
            <w:r>
              <w:rPr>
                <w:rFonts w:hint="eastAsia" w:ascii="Arial" w:eastAsia="宋体"/>
                <w:spacing w:val="9"/>
                <w:sz w:val="21"/>
                <w:highlight w:val="none"/>
                <w:lang w:eastAsia="zh-CN"/>
              </w:rPr>
              <w:t>不得</w:t>
            </w:r>
            <w:r>
              <w:rPr>
                <w:rFonts w:hint="eastAsia" w:ascii="Arial" w:eastAsia="宋体"/>
                <w:spacing w:val="9"/>
                <w:sz w:val="21"/>
                <w:highlight w:val="none"/>
                <w:lang w:eastAsia="en-US"/>
              </w:rPr>
              <w:t>无故缺勤离场</w:t>
            </w:r>
            <w:r>
              <w:rPr>
                <w:rFonts w:hint="eastAsia" w:ascii="Arial" w:eastAsia="宋体"/>
                <w:spacing w:val="9"/>
                <w:sz w:val="21"/>
                <w:highlight w:val="none"/>
                <w:lang w:eastAsia="zh-CN"/>
              </w:rPr>
              <w:t>。</w:t>
            </w:r>
          </w:p>
        </w:tc>
        <w:tc>
          <w:tcPr>
            <w:tcW w:w="3000" w:type="dxa"/>
            <w:shd w:val="clear" w:color="auto" w:fill="auto"/>
            <w:vAlign w:val="center"/>
          </w:tcPr>
          <w:p w14:paraId="471CEC7A">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ascii="Arial" w:eastAsia="宋体"/>
                <w:spacing w:val="9"/>
                <w:sz w:val="21"/>
                <w:highlight w:val="none"/>
              </w:rPr>
              <w:t>项目经理超假一次扣</w:t>
            </w:r>
            <w:r>
              <w:rPr>
                <w:rFonts w:hint="eastAsia" w:ascii="Arial" w:eastAsia="宋体"/>
                <w:spacing w:val="9"/>
                <w:sz w:val="21"/>
                <w:highlight w:val="none"/>
                <w:lang w:val="en-US" w:eastAsia="zh-CN"/>
              </w:rPr>
              <w:t>2分</w:t>
            </w:r>
            <w:r>
              <w:rPr>
                <w:rFonts w:ascii="Arial" w:eastAsia="宋体"/>
                <w:spacing w:val="9"/>
                <w:sz w:val="21"/>
                <w:highlight w:val="none"/>
              </w:rPr>
              <w:t>；安全员</w:t>
            </w:r>
            <w:r>
              <w:rPr>
                <w:rFonts w:hint="eastAsia" w:ascii="Arial" w:eastAsia="宋体"/>
                <w:spacing w:val="9"/>
                <w:sz w:val="21"/>
                <w:highlight w:val="none"/>
                <w:lang w:eastAsia="en-US"/>
              </w:rPr>
              <w:t>无故缺勤离场</w:t>
            </w:r>
            <w:r>
              <w:rPr>
                <w:rFonts w:ascii="Arial" w:eastAsia="宋体"/>
                <w:spacing w:val="9"/>
                <w:sz w:val="21"/>
                <w:highlight w:val="none"/>
              </w:rPr>
              <w:t>一次扣</w:t>
            </w:r>
            <w:r>
              <w:rPr>
                <w:rFonts w:hint="eastAsia" w:ascii="Arial" w:eastAsia="宋体"/>
                <w:spacing w:val="9"/>
                <w:sz w:val="21"/>
                <w:highlight w:val="none"/>
                <w:lang w:val="en-US" w:eastAsia="zh-CN"/>
              </w:rPr>
              <w:t>1分。</w:t>
            </w:r>
          </w:p>
        </w:tc>
        <w:tc>
          <w:tcPr>
            <w:tcW w:w="2176" w:type="dxa"/>
            <w:shd w:val="clear" w:color="auto" w:fill="auto"/>
            <w:vAlign w:val="center"/>
          </w:tcPr>
          <w:p w14:paraId="3623F6A9">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ascii="Arial" w:eastAsia="宋体"/>
                <w:spacing w:val="9"/>
                <w:sz w:val="21"/>
                <w:highlight w:val="none"/>
              </w:rPr>
              <w:t>项目经理超假扣</w:t>
            </w:r>
            <w:r>
              <w:rPr>
                <w:rFonts w:hint="eastAsia" w:ascii="Arial" w:eastAsia="宋体"/>
                <w:spacing w:val="9"/>
                <w:sz w:val="21"/>
                <w:highlight w:val="none"/>
                <w:lang w:eastAsia="zh-CN"/>
              </w:rPr>
              <w:t>罚</w:t>
            </w:r>
            <w:r>
              <w:rPr>
                <w:rFonts w:ascii="Arial" w:eastAsia="宋体"/>
                <w:spacing w:val="9"/>
                <w:sz w:val="21"/>
                <w:highlight w:val="none"/>
              </w:rPr>
              <w:t>5000</w:t>
            </w:r>
            <w:r>
              <w:rPr>
                <w:rFonts w:hint="eastAsia" w:ascii="Arial" w:eastAsia="宋体"/>
                <w:spacing w:val="9"/>
                <w:sz w:val="21"/>
                <w:highlight w:val="none"/>
                <w:lang w:eastAsia="zh-CN"/>
              </w:rPr>
              <w:t>元</w:t>
            </w:r>
            <w:r>
              <w:rPr>
                <w:rFonts w:ascii="Arial" w:eastAsia="宋体"/>
                <w:spacing w:val="9"/>
                <w:sz w:val="21"/>
                <w:highlight w:val="none"/>
              </w:rPr>
              <w:t>/次；安全员</w:t>
            </w:r>
            <w:r>
              <w:rPr>
                <w:rFonts w:hint="eastAsia" w:ascii="Arial" w:eastAsia="宋体"/>
                <w:spacing w:val="9"/>
                <w:sz w:val="21"/>
                <w:highlight w:val="none"/>
                <w:lang w:eastAsia="en-US"/>
              </w:rPr>
              <w:t>无故缺勤离场</w:t>
            </w:r>
            <w:r>
              <w:rPr>
                <w:rFonts w:ascii="Arial" w:eastAsia="宋体"/>
                <w:spacing w:val="9"/>
                <w:sz w:val="21"/>
                <w:highlight w:val="none"/>
              </w:rPr>
              <w:t>扣</w:t>
            </w:r>
            <w:r>
              <w:rPr>
                <w:rFonts w:hint="eastAsia" w:ascii="Arial" w:eastAsia="宋体"/>
                <w:spacing w:val="9"/>
                <w:sz w:val="21"/>
                <w:highlight w:val="none"/>
                <w:lang w:eastAsia="zh-CN"/>
              </w:rPr>
              <w:t>罚</w:t>
            </w:r>
            <w:r>
              <w:rPr>
                <w:rFonts w:ascii="Arial" w:eastAsia="宋体"/>
                <w:spacing w:val="9"/>
                <w:sz w:val="21"/>
                <w:highlight w:val="none"/>
              </w:rPr>
              <w:t>3000</w:t>
            </w:r>
            <w:r>
              <w:rPr>
                <w:rFonts w:hint="eastAsia" w:ascii="Arial" w:eastAsia="宋体"/>
                <w:spacing w:val="9"/>
                <w:sz w:val="21"/>
                <w:highlight w:val="none"/>
                <w:lang w:eastAsia="zh-CN"/>
              </w:rPr>
              <w:t>元</w:t>
            </w:r>
            <w:r>
              <w:rPr>
                <w:rFonts w:ascii="Arial" w:eastAsia="宋体"/>
                <w:spacing w:val="9"/>
                <w:sz w:val="21"/>
                <w:highlight w:val="none"/>
              </w:rPr>
              <w:t>/次</w:t>
            </w:r>
          </w:p>
        </w:tc>
        <w:tc>
          <w:tcPr>
            <w:tcW w:w="660" w:type="dxa"/>
            <w:shd w:val="clear" w:color="auto" w:fill="auto"/>
            <w:vAlign w:val="center"/>
          </w:tcPr>
          <w:p w14:paraId="1504866B">
            <w:pPr>
              <w:pStyle w:val="149"/>
              <w:snapToGrid w:val="0"/>
              <w:spacing w:before="111" w:line="240" w:lineRule="auto"/>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36BC78DC">
            <w:pPr>
              <w:pStyle w:val="149"/>
              <w:snapToGrid w:val="0"/>
              <w:spacing w:before="111" w:line="240" w:lineRule="auto"/>
              <w:ind w:left="0" w:leftChars="0" w:right="0" w:rightChars="0" w:firstLine="0" w:firstLineChars="0"/>
              <w:jc w:val="center"/>
              <w:rPr>
                <w:rFonts w:ascii="Arial" w:eastAsia="宋体"/>
                <w:spacing w:val="9"/>
                <w:sz w:val="21"/>
                <w:highlight w:val="none"/>
              </w:rPr>
            </w:pPr>
            <w:r>
              <w:rPr>
                <w:rFonts w:hint="eastAsia" w:ascii="Arial" w:eastAsia="宋体"/>
                <w:spacing w:val="8"/>
                <w:sz w:val="21"/>
                <w:highlight w:val="none"/>
                <w:lang w:val="en-US" w:eastAsia="zh-CN"/>
              </w:rPr>
              <w:t>-</w:t>
            </w:r>
          </w:p>
        </w:tc>
      </w:tr>
      <w:tr w14:paraId="685F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2E71FB89">
            <w:pPr>
              <w:snapToGrid w:val="0"/>
              <w:ind w:left="0" w:leftChars="0" w:right="0" w:rightChars="0" w:firstLine="0" w:firstLineChars="0"/>
              <w:jc w:val="center"/>
              <w:rPr>
                <w:rFonts w:ascii="Arial" w:eastAsia="宋体"/>
                <w:b/>
                <w:bCs/>
                <w:sz w:val="21"/>
                <w:highlight w:val="none"/>
                <w:vertAlign w:val="baseline"/>
              </w:rPr>
            </w:pPr>
          </w:p>
        </w:tc>
        <w:tc>
          <w:tcPr>
            <w:tcW w:w="1044" w:type="dxa"/>
            <w:shd w:val="clear" w:color="auto" w:fill="auto"/>
            <w:vAlign w:val="center"/>
          </w:tcPr>
          <w:p w14:paraId="326351B1">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巡查落实</w:t>
            </w:r>
          </w:p>
          <w:p w14:paraId="2CC1AC24">
            <w:pPr>
              <w:snapToGrid w:val="0"/>
              <w:ind w:left="0" w:leftChars="0" w:right="0" w:rightChars="0" w:firstLine="0" w:firstLineChars="0"/>
              <w:jc w:val="center"/>
              <w:rPr>
                <w:rFonts w:hint="eastAsia" w:ascii="Arial" w:eastAsia="宋体"/>
                <w:sz w:val="21"/>
                <w:highlight w:val="none"/>
                <w:lang w:val="en-US" w:eastAsia="zh-CN"/>
              </w:rPr>
            </w:pPr>
            <w:r>
              <w:rPr>
                <w:rFonts w:hint="eastAsia" w:ascii="Arial" w:eastAsia="宋体"/>
                <w:sz w:val="21"/>
                <w:highlight w:val="none"/>
                <w:vertAlign w:val="baseline"/>
                <w:lang w:val="en-US" w:eastAsia="zh-CN"/>
              </w:rPr>
              <w:t>（4分）</w:t>
            </w:r>
          </w:p>
        </w:tc>
        <w:tc>
          <w:tcPr>
            <w:tcW w:w="2735" w:type="dxa"/>
            <w:shd w:val="clear" w:color="auto" w:fill="auto"/>
            <w:vAlign w:val="center"/>
          </w:tcPr>
          <w:p w14:paraId="5EEE7C0C">
            <w:pPr>
              <w:pStyle w:val="149"/>
              <w:snapToGrid w:val="0"/>
              <w:spacing w:before="111" w:line="240" w:lineRule="auto"/>
              <w:ind w:left="0" w:leftChars="0" w:right="0" w:rightChars="0" w:firstLine="0" w:firstLineChars="0"/>
              <w:jc w:val="left"/>
              <w:rPr>
                <w:rFonts w:hint="eastAsia" w:ascii="Arial" w:eastAsia="宋体"/>
                <w:spacing w:val="9"/>
                <w:sz w:val="21"/>
                <w:highlight w:val="none"/>
              </w:rPr>
            </w:pPr>
            <w:r>
              <w:rPr>
                <w:rFonts w:hint="eastAsia" w:ascii="Arial" w:eastAsia="宋体"/>
                <w:spacing w:val="9"/>
                <w:sz w:val="21"/>
                <w:highlight w:val="none"/>
              </w:rPr>
              <w:t>建立定期巡查制度，巡查不少于每日一次，发现问题及时整改；制定年、月度重点养护计划，并在年、月初5日前上报上年、月养护总结情况。</w:t>
            </w:r>
          </w:p>
          <w:p w14:paraId="66A9C621">
            <w:pPr>
              <w:pStyle w:val="149"/>
              <w:snapToGrid w:val="0"/>
              <w:spacing w:before="111" w:line="240" w:lineRule="auto"/>
              <w:ind w:left="0" w:leftChars="0" w:right="0" w:rightChars="0" w:firstLine="0" w:firstLineChars="0"/>
              <w:jc w:val="left"/>
              <w:rPr>
                <w:rFonts w:hint="eastAsia" w:ascii="Arial" w:eastAsia="宋体"/>
                <w:spacing w:val="9"/>
                <w:sz w:val="21"/>
                <w:highlight w:val="none"/>
              </w:rPr>
            </w:pPr>
            <w:r>
              <w:rPr>
                <w:rFonts w:hint="eastAsia" w:ascii="Arial" w:eastAsia="宋体"/>
                <w:spacing w:val="9"/>
                <w:sz w:val="21"/>
                <w:highlight w:val="none"/>
              </w:rPr>
              <w:t xml:space="preserve">2. </w:t>
            </w:r>
            <w:r>
              <w:rPr>
                <w:rFonts w:hint="eastAsia" w:ascii="Arial" w:eastAsia="宋体"/>
                <w:spacing w:val="9"/>
                <w:sz w:val="21"/>
                <w:highlight w:val="none"/>
                <w:lang w:eastAsia="zh-CN"/>
              </w:rPr>
              <w:t>不得</w:t>
            </w:r>
            <w:r>
              <w:rPr>
                <w:rFonts w:hint="eastAsia" w:ascii="Arial" w:eastAsia="宋体"/>
                <w:spacing w:val="9"/>
                <w:sz w:val="21"/>
                <w:highlight w:val="none"/>
              </w:rPr>
              <w:t>漏查明显病害（特别是桥梁隐患）。</w:t>
            </w:r>
          </w:p>
          <w:p w14:paraId="10040937">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hint="eastAsia" w:ascii="Arial" w:eastAsia="宋体"/>
                <w:spacing w:val="9"/>
                <w:sz w:val="21"/>
                <w:highlight w:val="none"/>
              </w:rPr>
              <w:t>3. 占道/挖掘/桥下占用</w:t>
            </w:r>
            <w:r>
              <w:rPr>
                <w:rFonts w:hint="eastAsia" w:ascii="Arial" w:eastAsia="宋体"/>
                <w:spacing w:val="9"/>
                <w:sz w:val="21"/>
                <w:highlight w:val="none"/>
                <w:lang w:eastAsia="zh-CN"/>
              </w:rPr>
              <w:t>需及时</w:t>
            </w:r>
            <w:r>
              <w:rPr>
                <w:rFonts w:hint="eastAsia" w:ascii="Arial" w:eastAsia="宋体"/>
                <w:spacing w:val="9"/>
                <w:sz w:val="21"/>
                <w:highlight w:val="none"/>
              </w:rPr>
              <w:t>上报。</w:t>
            </w:r>
          </w:p>
        </w:tc>
        <w:tc>
          <w:tcPr>
            <w:tcW w:w="3000" w:type="dxa"/>
            <w:shd w:val="clear" w:color="auto" w:fill="auto"/>
            <w:vAlign w:val="center"/>
          </w:tcPr>
          <w:p w14:paraId="41662087">
            <w:pPr>
              <w:pStyle w:val="149"/>
              <w:snapToGrid w:val="0"/>
              <w:spacing w:before="111" w:line="240" w:lineRule="auto"/>
              <w:ind w:left="0" w:leftChars="0" w:right="0" w:rightChars="0" w:firstLine="0" w:firstLineChars="0"/>
              <w:jc w:val="left"/>
              <w:rPr>
                <w:rFonts w:hint="eastAsia" w:ascii="Arial" w:eastAsia="宋体"/>
                <w:spacing w:val="9"/>
                <w:sz w:val="21"/>
                <w:highlight w:val="none"/>
                <w:lang w:eastAsia="zh-CN"/>
              </w:rPr>
            </w:pPr>
            <w:r>
              <w:rPr>
                <w:rFonts w:hint="eastAsia" w:ascii="Arial" w:eastAsia="宋体"/>
                <w:spacing w:val="9"/>
                <w:sz w:val="21"/>
                <w:highlight w:val="none"/>
              </w:rPr>
              <w:t>1. 未建立定期巡查制度的，扣3分；巡查次数未达到要求，每次扣2分；巡查不到位每次扣1分；发现违规问题未及时上报的每次扣1分，发现问题未及时整改，每次扣2分；未按计划实施养护的每项扣1分。报表未及时上报的，每次扣2分（当月总分中）；报表存在漏报的，每次扣1分（当月总分中），存在虚报、瞒报的，每次扣4分（当月总分中）。</w:t>
            </w:r>
          </w:p>
        </w:tc>
        <w:tc>
          <w:tcPr>
            <w:tcW w:w="2176" w:type="dxa"/>
            <w:shd w:val="clear" w:color="auto" w:fill="auto"/>
            <w:vAlign w:val="center"/>
          </w:tcPr>
          <w:p w14:paraId="2C913148">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hint="eastAsia" w:ascii="Arial" w:eastAsia="宋体"/>
                <w:spacing w:val="9"/>
                <w:sz w:val="21"/>
                <w:highlight w:val="none"/>
              </w:rPr>
              <w:t>对于中标人未按合同要求落实巡查人员、车辆或应当安排巡查但无故未巡查的，每次扣罚4000元。未按规定巡查频率对区域内的道路进行定期巡查的，发现问题不及时的，每发现一处扣罚1000元。发生道路占用、违章挖掘等未及时上报管理部门，每发现一起扣罚1000元。</w:t>
            </w:r>
          </w:p>
        </w:tc>
        <w:tc>
          <w:tcPr>
            <w:tcW w:w="660" w:type="dxa"/>
            <w:shd w:val="clear" w:color="auto" w:fill="auto"/>
            <w:vAlign w:val="center"/>
          </w:tcPr>
          <w:p w14:paraId="37DAD37A">
            <w:pPr>
              <w:pStyle w:val="149"/>
              <w:snapToGrid w:val="0"/>
              <w:spacing w:before="111" w:line="240" w:lineRule="auto"/>
              <w:ind w:left="0" w:leftChars="0" w:right="0" w:rightChars="0" w:firstLine="0" w:firstLineChars="0"/>
              <w:jc w:val="right"/>
              <w:rPr>
                <w:rFonts w:hint="eastAsia" w:ascii="Arial" w:eastAsia="宋体"/>
                <w:spacing w:val="9"/>
                <w:sz w:val="21"/>
                <w:highlight w:val="none"/>
                <w:lang w:val="en-US" w:eastAsia="zh-CN"/>
              </w:rPr>
            </w:pPr>
          </w:p>
        </w:tc>
        <w:tc>
          <w:tcPr>
            <w:tcW w:w="674" w:type="dxa"/>
            <w:shd w:val="clear" w:color="auto" w:fill="auto"/>
            <w:vAlign w:val="center"/>
          </w:tcPr>
          <w:p w14:paraId="5410EDE2">
            <w:pPr>
              <w:pStyle w:val="149"/>
              <w:snapToGrid w:val="0"/>
              <w:spacing w:before="111" w:line="240" w:lineRule="auto"/>
              <w:ind w:left="0" w:leftChars="0" w:right="0" w:rightChars="0" w:firstLine="0" w:firstLineChars="0"/>
              <w:jc w:val="center"/>
              <w:rPr>
                <w:rFonts w:ascii="Arial" w:eastAsia="宋体"/>
                <w:spacing w:val="9"/>
                <w:sz w:val="21"/>
                <w:highlight w:val="none"/>
              </w:rPr>
            </w:pPr>
            <w:r>
              <w:rPr>
                <w:rFonts w:hint="eastAsia" w:ascii="Arial" w:eastAsia="宋体"/>
                <w:spacing w:val="9"/>
                <w:sz w:val="21"/>
                <w:highlight w:val="none"/>
                <w:lang w:val="en-US" w:eastAsia="zh-CN"/>
              </w:rPr>
              <w:t>-</w:t>
            </w:r>
          </w:p>
        </w:tc>
      </w:tr>
      <w:tr w14:paraId="6F3E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0E6AEF0C">
            <w:pPr>
              <w:snapToGrid w:val="0"/>
              <w:ind w:left="0" w:leftChars="0" w:right="0" w:rightChars="0" w:firstLine="0" w:firstLineChars="0"/>
              <w:jc w:val="center"/>
              <w:rPr>
                <w:rFonts w:ascii="Arial" w:eastAsia="宋体"/>
                <w:b/>
                <w:bCs/>
                <w:sz w:val="21"/>
                <w:highlight w:val="none"/>
                <w:vertAlign w:val="baseline"/>
              </w:rPr>
            </w:pPr>
          </w:p>
        </w:tc>
        <w:tc>
          <w:tcPr>
            <w:tcW w:w="1044" w:type="dxa"/>
            <w:shd w:val="clear" w:color="auto" w:fill="auto"/>
            <w:vAlign w:val="center"/>
          </w:tcPr>
          <w:p w14:paraId="28DBA195">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内业资料</w:t>
            </w:r>
          </w:p>
          <w:p w14:paraId="3C651217">
            <w:pPr>
              <w:pStyle w:val="17"/>
              <w:snapToGrid w:val="0"/>
              <w:ind w:left="0" w:leftChars="0" w:right="0" w:rightChars="0" w:firstLine="0" w:firstLineChars="0"/>
              <w:jc w:val="center"/>
              <w:rPr>
                <w:rFonts w:hint="eastAsia" w:ascii="Arial" w:eastAsia="宋体"/>
                <w:sz w:val="21"/>
                <w:highlight w:val="none"/>
                <w:lang w:val="en-US" w:eastAsia="zh-CN"/>
              </w:rPr>
            </w:pPr>
            <w:r>
              <w:rPr>
                <w:rFonts w:hint="eastAsia" w:ascii="Arial" w:eastAsia="宋体"/>
                <w:sz w:val="21"/>
                <w:highlight w:val="none"/>
                <w:vertAlign w:val="baseline"/>
                <w:lang w:val="en-US" w:eastAsia="zh-CN"/>
              </w:rPr>
              <w:t>（2分）</w:t>
            </w:r>
          </w:p>
        </w:tc>
        <w:tc>
          <w:tcPr>
            <w:tcW w:w="2735" w:type="dxa"/>
            <w:shd w:val="clear" w:color="auto" w:fill="auto"/>
            <w:vAlign w:val="center"/>
          </w:tcPr>
          <w:p w14:paraId="0420EAF0">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hint="eastAsia" w:ascii="Arial" w:eastAsia="宋体"/>
                <w:spacing w:val="9"/>
                <w:sz w:val="21"/>
                <w:highlight w:val="none"/>
              </w:rPr>
              <w:t>加强档案管理，各项作业记录</w:t>
            </w:r>
            <w:r>
              <w:rPr>
                <w:rFonts w:hint="eastAsia" w:ascii="Arial" w:eastAsia="宋体"/>
                <w:spacing w:val="9"/>
                <w:sz w:val="21"/>
                <w:highlight w:val="none"/>
                <w:lang w:eastAsia="zh-CN"/>
              </w:rPr>
              <w:t>（道路巡视记录、市政设施维修养护任务汇总、月度市政设施维修养护结算书、月度设施维修养护计划等）</w:t>
            </w:r>
            <w:r>
              <w:rPr>
                <w:rFonts w:hint="eastAsia" w:ascii="Arial" w:eastAsia="宋体"/>
                <w:spacing w:val="9"/>
                <w:sz w:val="21"/>
                <w:highlight w:val="none"/>
              </w:rPr>
              <w:t>、质检记录、计量记录等资料应及时整理、录入、归档。</w:t>
            </w:r>
          </w:p>
        </w:tc>
        <w:tc>
          <w:tcPr>
            <w:tcW w:w="3000" w:type="dxa"/>
            <w:shd w:val="clear" w:color="auto" w:fill="auto"/>
            <w:vAlign w:val="center"/>
          </w:tcPr>
          <w:p w14:paraId="76FDC1EC">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ascii="Arial" w:eastAsia="宋体"/>
                <w:spacing w:val="9"/>
                <w:sz w:val="21"/>
                <w:highlight w:val="none"/>
              </w:rPr>
              <w:t>资料不完善</w:t>
            </w:r>
            <w:r>
              <w:rPr>
                <w:rFonts w:hint="eastAsia" w:ascii="Arial" w:eastAsia="宋体"/>
                <w:spacing w:val="9"/>
                <w:sz w:val="21"/>
                <w:highlight w:val="none"/>
                <w:lang w:eastAsia="zh-CN"/>
              </w:rPr>
              <w:t>扣</w:t>
            </w:r>
            <w:r>
              <w:rPr>
                <w:rFonts w:hint="eastAsia" w:ascii="Arial" w:eastAsia="宋体"/>
                <w:spacing w:val="9"/>
                <w:sz w:val="21"/>
                <w:highlight w:val="none"/>
                <w:lang w:val="en-US" w:eastAsia="zh-CN"/>
              </w:rPr>
              <w:t>1分</w:t>
            </w:r>
            <w:r>
              <w:rPr>
                <w:rFonts w:hint="default" w:ascii="Arial" w:eastAsia="宋体"/>
                <w:spacing w:val="9"/>
                <w:sz w:val="21"/>
                <w:highlight w:val="none"/>
              </w:rPr>
              <w:t>；弄虚作假</w:t>
            </w:r>
            <w:r>
              <w:rPr>
                <w:rFonts w:hint="eastAsia" w:ascii="Arial" w:eastAsia="宋体"/>
                <w:spacing w:val="9"/>
                <w:sz w:val="21"/>
                <w:highlight w:val="none"/>
                <w:lang w:eastAsia="zh-CN"/>
              </w:rPr>
              <w:t>扣</w:t>
            </w:r>
            <w:r>
              <w:rPr>
                <w:rFonts w:hint="eastAsia" w:ascii="Arial" w:eastAsia="宋体"/>
                <w:spacing w:val="9"/>
                <w:sz w:val="21"/>
                <w:highlight w:val="none"/>
                <w:lang w:val="en-US" w:eastAsia="zh-CN"/>
              </w:rPr>
              <w:t>5分</w:t>
            </w:r>
            <w:r>
              <w:rPr>
                <w:rFonts w:hint="default" w:ascii="Arial" w:eastAsia="宋体"/>
                <w:spacing w:val="9"/>
                <w:sz w:val="21"/>
                <w:highlight w:val="none"/>
              </w:rPr>
              <w:t>。</w:t>
            </w:r>
          </w:p>
        </w:tc>
        <w:tc>
          <w:tcPr>
            <w:tcW w:w="2176" w:type="dxa"/>
            <w:shd w:val="clear" w:color="auto" w:fill="auto"/>
            <w:vAlign w:val="center"/>
          </w:tcPr>
          <w:p w14:paraId="2ACB3F66">
            <w:pPr>
              <w:pStyle w:val="149"/>
              <w:snapToGrid w:val="0"/>
              <w:spacing w:before="111" w:line="240" w:lineRule="auto"/>
              <w:ind w:left="0" w:leftChars="0" w:right="0" w:rightChars="0" w:firstLine="0" w:firstLineChars="0"/>
              <w:jc w:val="left"/>
              <w:rPr>
                <w:rFonts w:hint="eastAsia" w:ascii="Arial" w:eastAsia="宋体"/>
                <w:spacing w:val="9"/>
                <w:sz w:val="21"/>
                <w:highlight w:val="none"/>
                <w:lang w:eastAsia="zh-CN"/>
              </w:rPr>
            </w:pPr>
            <w:r>
              <w:rPr>
                <w:rFonts w:ascii="Arial" w:eastAsia="宋体"/>
                <w:spacing w:val="9"/>
                <w:sz w:val="21"/>
                <w:highlight w:val="none"/>
              </w:rPr>
              <w:t>资料不完善</w:t>
            </w:r>
            <w:r>
              <w:rPr>
                <w:rFonts w:hint="eastAsia" w:ascii="Arial" w:eastAsia="宋体"/>
                <w:spacing w:val="9"/>
                <w:sz w:val="21"/>
                <w:highlight w:val="none"/>
                <w:lang w:val="en-US" w:eastAsia="zh-CN"/>
              </w:rPr>
              <w:t>/弄虚作假</w:t>
            </w:r>
            <w:r>
              <w:rPr>
                <w:rFonts w:ascii="Arial" w:eastAsia="宋体"/>
                <w:spacing w:val="9"/>
                <w:sz w:val="21"/>
                <w:highlight w:val="none"/>
              </w:rPr>
              <w:t>每发现一次</w:t>
            </w:r>
            <w:r>
              <w:rPr>
                <w:rFonts w:hint="eastAsia" w:ascii="Arial" w:eastAsia="宋体"/>
                <w:spacing w:val="9"/>
                <w:sz w:val="21"/>
                <w:highlight w:val="none"/>
                <w:lang w:eastAsia="zh-CN"/>
              </w:rPr>
              <w:t>扣</w:t>
            </w:r>
            <w:r>
              <w:rPr>
                <w:rFonts w:ascii="Arial" w:eastAsia="宋体"/>
                <w:spacing w:val="9"/>
                <w:sz w:val="21"/>
                <w:highlight w:val="none"/>
              </w:rPr>
              <w:t>罚1000元</w:t>
            </w:r>
            <w:r>
              <w:rPr>
                <w:rFonts w:hint="eastAsia" w:ascii="Arial" w:eastAsia="宋体"/>
                <w:spacing w:val="9"/>
                <w:sz w:val="21"/>
                <w:highlight w:val="none"/>
                <w:lang w:eastAsia="zh-CN"/>
              </w:rPr>
              <w:t>。</w:t>
            </w:r>
          </w:p>
        </w:tc>
        <w:tc>
          <w:tcPr>
            <w:tcW w:w="660" w:type="dxa"/>
            <w:shd w:val="clear" w:color="auto" w:fill="auto"/>
            <w:vAlign w:val="center"/>
          </w:tcPr>
          <w:p w14:paraId="69B5E901">
            <w:pPr>
              <w:pStyle w:val="149"/>
              <w:snapToGrid w:val="0"/>
              <w:spacing w:before="111" w:line="240" w:lineRule="auto"/>
              <w:ind w:left="0" w:leftChars="0" w:right="0" w:rightChars="0" w:firstLine="0" w:firstLineChars="0"/>
              <w:jc w:val="right"/>
              <w:rPr>
                <w:rFonts w:hint="eastAsia" w:ascii="Arial" w:eastAsia="宋体"/>
                <w:spacing w:val="9"/>
                <w:sz w:val="21"/>
                <w:highlight w:val="none"/>
                <w:lang w:val="en-US" w:eastAsia="zh-CN"/>
              </w:rPr>
            </w:pPr>
          </w:p>
        </w:tc>
        <w:tc>
          <w:tcPr>
            <w:tcW w:w="674" w:type="dxa"/>
            <w:shd w:val="clear" w:color="auto" w:fill="auto"/>
            <w:vAlign w:val="center"/>
          </w:tcPr>
          <w:p w14:paraId="43B91CFB">
            <w:pPr>
              <w:pStyle w:val="149"/>
              <w:snapToGrid w:val="0"/>
              <w:spacing w:before="111" w:line="240" w:lineRule="auto"/>
              <w:ind w:left="0" w:leftChars="0" w:right="0" w:rightChars="0" w:firstLine="0" w:firstLineChars="0"/>
              <w:jc w:val="center"/>
              <w:rPr>
                <w:rFonts w:hint="eastAsia" w:ascii="Arial" w:eastAsia="宋体"/>
                <w:spacing w:val="9"/>
                <w:sz w:val="21"/>
                <w:highlight w:val="none"/>
                <w:lang w:val="en-US" w:eastAsia="zh-CN"/>
              </w:rPr>
            </w:pPr>
          </w:p>
        </w:tc>
      </w:tr>
      <w:tr w14:paraId="0395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4F3E106A">
            <w:pPr>
              <w:snapToGrid w:val="0"/>
              <w:ind w:left="0" w:leftChars="0" w:right="0" w:rightChars="0" w:firstLine="0" w:firstLineChars="0"/>
              <w:jc w:val="center"/>
              <w:rPr>
                <w:rFonts w:ascii="Arial" w:eastAsia="宋体"/>
                <w:b/>
                <w:bCs/>
                <w:sz w:val="21"/>
                <w:highlight w:val="none"/>
                <w:vertAlign w:val="baseline"/>
              </w:rPr>
            </w:pPr>
          </w:p>
        </w:tc>
        <w:tc>
          <w:tcPr>
            <w:tcW w:w="1044" w:type="dxa"/>
            <w:shd w:val="clear" w:color="auto" w:fill="auto"/>
            <w:vAlign w:val="center"/>
          </w:tcPr>
          <w:p w14:paraId="2ECC6010">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结算审计配合</w:t>
            </w:r>
          </w:p>
          <w:p w14:paraId="45E6DC89">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（2分）</w:t>
            </w:r>
          </w:p>
        </w:tc>
        <w:tc>
          <w:tcPr>
            <w:tcW w:w="2735" w:type="dxa"/>
            <w:shd w:val="clear" w:color="auto" w:fill="auto"/>
            <w:vAlign w:val="center"/>
          </w:tcPr>
          <w:p w14:paraId="2A63812E">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hint="eastAsia" w:ascii="Arial" w:eastAsia="宋体"/>
                <w:spacing w:val="9"/>
                <w:sz w:val="21"/>
                <w:highlight w:val="none"/>
                <w:lang w:eastAsia="zh-CN"/>
              </w:rPr>
              <w:t>结算</w:t>
            </w:r>
            <w:r>
              <w:rPr>
                <w:rFonts w:ascii="Arial" w:eastAsia="宋体"/>
                <w:spacing w:val="9"/>
                <w:sz w:val="21"/>
                <w:highlight w:val="none"/>
              </w:rPr>
              <w:t>审计</w:t>
            </w:r>
            <w:r>
              <w:rPr>
                <w:rFonts w:hint="eastAsia" w:ascii="Arial" w:eastAsia="宋体"/>
                <w:spacing w:val="9"/>
                <w:sz w:val="21"/>
                <w:highlight w:val="none"/>
                <w:lang w:eastAsia="zh-CN"/>
              </w:rPr>
              <w:t>不得</w:t>
            </w:r>
            <w:r>
              <w:rPr>
                <w:rFonts w:ascii="Arial" w:eastAsia="宋体"/>
                <w:spacing w:val="9"/>
                <w:sz w:val="21"/>
                <w:highlight w:val="none"/>
              </w:rPr>
              <w:t>超45日</w:t>
            </w:r>
          </w:p>
        </w:tc>
        <w:tc>
          <w:tcPr>
            <w:tcW w:w="3000" w:type="dxa"/>
            <w:shd w:val="clear" w:color="auto" w:fill="auto"/>
            <w:vAlign w:val="center"/>
          </w:tcPr>
          <w:p w14:paraId="6218F9F4">
            <w:pPr>
              <w:pStyle w:val="149"/>
              <w:snapToGrid w:val="0"/>
              <w:spacing w:before="111" w:line="240" w:lineRule="auto"/>
              <w:ind w:left="0" w:leftChars="0" w:right="0" w:rightChars="0" w:firstLine="0" w:firstLineChars="0"/>
              <w:jc w:val="left"/>
              <w:rPr>
                <w:rFonts w:hint="eastAsia" w:ascii="Arial" w:eastAsia="宋体"/>
                <w:spacing w:val="9"/>
                <w:sz w:val="21"/>
                <w:highlight w:val="none"/>
                <w:lang w:val="en-US" w:eastAsia="zh-CN"/>
              </w:rPr>
            </w:pPr>
            <w:r>
              <w:rPr>
                <w:rFonts w:ascii="Arial" w:eastAsia="宋体"/>
                <w:spacing w:val="9"/>
                <w:sz w:val="21"/>
                <w:highlight w:val="none"/>
              </w:rPr>
              <w:t>因中标人原因导致</w:t>
            </w:r>
            <w:r>
              <w:rPr>
                <w:rFonts w:hint="eastAsia" w:ascii="Arial" w:eastAsia="宋体"/>
                <w:spacing w:val="9"/>
                <w:sz w:val="21"/>
                <w:highlight w:val="none"/>
                <w:lang w:eastAsia="zh-CN"/>
              </w:rPr>
              <w:t>一次</w:t>
            </w:r>
            <w:r>
              <w:rPr>
                <w:rFonts w:ascii="Arial" w:eastAsia="宋体"/>
                <w:spacing w:val="9"/>
                <w:sz w:val="21"/>
                <w:highlight w:val="none"/>
              </w:rPr>
              <w:t>扣</w:t>
            </w:r>
            <w:r>
              <w:rPr>
                <w:rFonts w:hint="eastAsia" w:ascii="Arial" w:eastAsia="宋体"/>
                <w:spacing w:val="9"/>
                <w:sz w:val="21"/>
                <w:highlight w:val="none"/>
                <w:lang w:val="en-US" w:eastAsia="zh-CN"/>
              </w:rPr>
              <w:t>1分</w:t>
            </w:r>
          </w:p>
        </w:tc>
        <w:tc>
          <w:tcPr>
            <w:tcW w:w="2176" w:type="dxa"/>
            <w:shd w:val="clear" w:color="auto" w:fill="auto"/>
            <w:vAlign w:val="center"/>
          </w:tcPr>
          <w:p w14:paraId="2CBA6BB3">
            <w:pPr>
              <w:pStyle w:val="149"/>
              <w:snapToGrid w:val="0"/>
              <w:spacing w:before="111" w:line="240" w:lineRule="auto"/>
              <w:ind w:left="0" w:leftChars="0" w:right="0" w:rightChars="0" w:firstLine="0" w:firstLineChars="0"/>
              <w:jc w:val="left"/>
              <w:rPr>
                <w:rFonts w:hint="eastAsia" w:ascii="Arial" w:eastAsia="宋体"/>
                <w:spacing w:val="9"/>
                <w:sz w:val="21"/>
                <w:highlight w:val="none"/>
                <w:lang w:eastAsia="zh-CN"/>
              </w:rPr>
            </w:pPr>
            <w:r>
              <w:rPr>
                <w:rFonts w:ascii="Arial" w:eastAsia="宋体"/>
                <w:spacing w:val="9"/>
                <w:sz w:val="21"/>
                <w:highlight w:val="none"/>
              </w:rPr>
              <w:t>因中标人原因导致</w:t>
            </w:r>
            <w:r>
              <w:rPr>
                <w:rFonts w:hint="eastAsia" w:ascii="Arial" w:eastAsia="宋体"/>
                <w:spacing w:val="9"/>
                <w:sz w:val="21"/>
                <w:highlight w:val="none"/>
                <w:lang w:eastAsia="zh-CN"/>
              </w:rPr>
              <w:t>一次</w:t>
            </w:r>
            <w:r>
              <w:rPr>
                <w:rFonts w:ascii="Arial" w:eastAsia="宋体"/>
                <w:spacing w:val="9"/>
                <w:sz w:val="21"/>
                <w:highlight w:val="none"/>
              </w:rPr>
              <w:t>扣罚3000元</w:t>
            </w:r>
            <w:r>
              <w:rPr>
                <w:rFonts w:hint="eastAsia" w:ascii="Arial" w:eastAsia="宋体"/>
                <w:spacing w:val="9"/>
                <w:sz w:val="21"/>
                <w:highlight w:val="none"/>
                <w:lang w:eastAsia="zh-CN"/>
              </w:rPr>
              <w:t>。</w:t>
            </w:r>
          </w:p>
        </w:tc>
        <w:tc>
          <w:tcPr>
            <w:tcW w:w="660" w:type="dxa"/>
            <w:shd w:val="clear" w:color="auto" w:fill="auto"/>
            <w:vAlign w:val="center"/>
          </w:tcPr>
          <w:p w14:paraId="162BEE3F">
            <w:pPr>
              <w:pStyle w:val="149"/>
              <w:snapToGrid w:val="0"/>
              <w:spacing w:before="111" w:line="240" w:lineRule="auto"/>
              <w:ind w:left="0" w:leftChars="0" w:right="0" w:rightChars="0" w:firstLine="0" w:firstLineChars="0"/>
              <w:jc w:val="right"/>
              <w:rPr>
                <w:rFonts w:hint="eastAsia" w:ascii="Arial" w:eastAsia="宋体"/>
                <w:spacing w:val="9"/>
                <w:sz w:val="21"/>
                <w:highlight w:val="none"/>
                <w:lang w:val="en-US" w:eastAsia="zh-CN"/>
              </w:rPr>
            </w:pPr>
          </w:p>
        </w:tc>
        <w:tc>
          <w:tcPr>
            <w:tcW w:w="674" w:type="dxa"/>
            <w:shd w:val="clear" w:color="auto" w:fill="auto"/>
            <w:vAlign w:val="center"/>
          </w:tcPr>
          <w:p w14:paraId="3F87F26C">
            <w:pPr>
              <w:pStyle w:val="149"/>
              <w:snapToGrid w:val="0"/>
              <w:spacing w:before="111" w:line="240" w:lineRule="auto"/>
              <w:ind w:left="0" w:leftChars="0" w:right="0" w:rightChars="0" w:firstLine="0" w:firstLineChars="0"/>
              <w:jc w:val="center"/>
              <w:rPr>
                <w:rFonts w:ascii="Arial" w:eastAsia="宋体"/>
                <w:spacing w:val="9"/>
                <w:sz w:val="21"/>
                <w:highlight w:val="none"/>
              </w:rPr>
            </w:pPr>
            <w:r>
              <w:rPr>
                <w:rFonts w:hint="eastAsia" w:ascii="Arial" w:eastAsia="宋体"/>
                <w:spacing w:val="9"/>
                <w:sz w:val="21"/>
                <w:highlight w:val="none"/>
                <w:lang w:val="en-US" w:eastAsia="zh-CN"/>
              </w:rPr>
              <w:t>-</w:t>
            </w:r>
          </w:p>
        </w:tc>
      </w:tr>
      <w:tr w14:paraId="6375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restart"/>
            <w:shd w:val="clear" w:color="auto" w:fill="auto"/>
            <w:vAlign w:val="center"/>
          </w:tcPr>
          <w:p w14:paraId="2CF13670">
            <w:pPr>
              <w:snapToGrid w:val="0"/>
              <w:ind w:left="0" w:leftChars="0" w:right="0" w:rightChars="0" w:firstLine="0" w:firstLineChars="0"/>
              <w:jc w:val="center"/>
              <w:rPr>
                <w:rFonts w:hint="eastAsia" w:ascii="Arial" w:eastAsia="宋体"/>
                <w:b/>
                <w:bCs/>
                <w:sz w:val="21"/>
                <w:highlight w:val="none"/>
                <w:vertAlign w:val="baseline"/>
                <w:lang w:eastAsia="zh-CN"/>
              </w:rPr>
            </w:pPr>
            <w:r>
              <w:rPr>
                <w:rFonts w:hint="eastAsia" w:ascii="Arial" w:eastAsia="宋体"/>
                <w:b/>
                <w:bCs/>
                <w:sz w:val="21"/>
                <w:highlight w:val="none"/>
                <w:vertAlign w:val="baseline"/>
                <w:lang w:val="en-US" w:eastAsia="zh-CN"/>
              </w:rPr>
              <w:t>二、道路路面养护（35分）</w:t>
            </w:r>
          </w:p>
        </w:tc>
        <w:tc>
          <w:tcPr>
            <w:tcW w:w="1044" w:type="dxa"/>
            <w:vMerge w:val="restart"/>
            <w:shd w:val="clear" w:color="auto" w:fill="auto"/>
            <w:vAlign w:val="center"/>
          </w:tcPr>
          <w:p w14:paraId="76625724">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沥青</w:t>
            </w:r>
          </w:p>
          <w:p w14:paraId="2C4A9EBA">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路面</w:t>
            </w:r>
          </w:p>
          <w:p w14:paraId="432CEC9E">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（15分）</w:t>
            </w:r>
          </w:p>
        </w:tc>
        <w:tc>
          <w:tcPr>
            <w:tcW w:w="2735" w:type="dxa"/>
            <w:shd w:val="clear" w:color="auto" w:fill="auto"/>
            <w:vAlign w:val="center"/>
          </w:tcPr>
          <w:p w14:paraId="63433BE4">
            <w:pPr>
              <w:pStyle w:val="149"/>
              <w:snapToGrid w:val="0"/>
              <w:spacing w:before="111"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9"/>
                <w:sz w:val="21"/>
                <w:highlight w:val="none"/>
              </w:rPr>
              <w:t>沥青铣刨规范，整体美观，铣刨面层深度达</w:t>
            </w:r>
            <w:r>
              <w:rPr>
                <w:rFonts w:ascii="Arial" w:eastAsia="宋体"/>
                <w:spacing w:val="8"/>
                <w:sz w:val="21"/>
                <w:highlight w:val="none"/>
              </w:rPr>
              <w:t>到要求，铣刨平整度满足要求；</w:t>
            </w:r>
          </w:p>
        </w:tc>
        <w:tc>
          <w:tcPr>
            <w:tcW w:w="3000" w:type="dxa"/>
            <w:shd w:val="clear" w:color="auto" w:fill="auto"/>
            <w:vAlign w:val="center"/>
          </w:tcPr>
          <w:p w14:paraId="054473E8">
            <w:pPr>
              <w:pStyle w:val="149"/>
              <w:snapToGrid w:val="0"/>
              <w:spacing w:before="111"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铣刨不规范、铣刨深度、基底平整度不符</w:t>
            </w:r>
            <w:r>
              <w:rPr>
                <w:rFonts w:ascii="Arial" w:eastAsia="宋体"/>
                <w:spacing w:val="7"/>
                <w:sz w:val="21"/>
                <w:highlight w:val="none"/>
              </w:rPr>
              <w:t>要求的，每发现</w:t>
            </w:r>
            <w:r>
              <w:rPr>
                <w:rFonts w:ascii="Arial" w:hAnsi="Times New Roman" w:eastAsia="宋体" w:cs="Times New Roman"/>
                <w:spacing w:val="7"/>
                <w:sz w:val="21"/>
                <w:highlight w:val="none"/>
              </w:rPr>
              <w:t>1</w:t>
            </w:r>
            <w:r>
              <w:rPr>
                <w:rFonts w:ascii="Arial" w:eastAsia="宋体"/>
                <w:spacing w:val="7"/>
                <w:sz w:val="21"/>
                <w:highlight w:val="none"/>
              </w:rPr>
              <w:t>处，扣</w:t>
            </w:r>
            <w:r>
              <w:rPr>
                <w:rFonts w:ascii="Arial" w:hAnsi="Times New Roman" w:eastAsia="宋体" w:cs="Times New Roman"/>
                <w:spacing w:val="7"/>
                <w:sz w:val="21"/>
                <w:highlight w:val="none"/>
              </w:rPr>
              <w:t>1</w:t>
            </w:r>
            <w:r>
              <w:rPr>
                <w:rFonts w:ascii="Arial" w:eastAsia="宋体"/>
                <w:spacing w:val="7"/>
                <w:sz w:val="21"/>
                <w:highlight w:val="none"/>
              </w:rPr>
              <w:t>分。</w:t>
            </w:r>
          </w:p>
        </w:tc>
        <w:tc>
          <w:tcPr>
            <w:tcW w:w="2176" w:type="dxa"/>
            <w:shd w:val="clear" w:color="auto" w:fill="auto"/>
            <w:vAlign w:val="center"/>
          </w:tcPr>
          <w:p w14:paraId="61CDC93C">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6379FD0C">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292B13D3">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0AB6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0B8B8DE3">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5C2A5A3A">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6AF609B4">
            <w:pPr>
              <w:pStyle w:val="149"/>
              <w:snapToGrid w:val="0"/>
              <w:spacing w:before="235"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8"/>
                <w:sz w:val="21"/>
                <w:highlight w:val="none"/>
              </w:rPr>
              <w:t>沥青切割方正、接边平顺，无啃边现象；</w:t>
            </w:r>
          </w:p>
        </w:tc>
        <w:tc>
          <w:tcPr>
            <w:tcW w:w="3000" w:type="dxa"/>
            <w:shd w:val="clear" w:color="auto" w:fill="auto"/>
            <w:vAlign w:val="center"/>
          </w:tcPr>
          <w:p w14:paraId="62B92690">
            <w:pPr>
              <w:pStyle w:val="149"/>
              <w:snapToGrid w:val="0"/>
              <w:spacing w:before="97"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未切割或切割不规范的，接边有啃边现象的，每发现</w:t>
            </w:r>
            <w:r>
              <w:rPr>
                <w:rFonts w:ascii="Arial" w:hAnsi="Times New Roman" w:eastAsia="宋体" w:cs="Times New Roman"/>
                <w:spacing w:val="5"/>
                <w:sz w:val="21"/>
                <w:highlight w:val="none"/>
              </w:rPr>
              <w:t>1</w:t>
            </w:r>
            <w:r>
              <w:rPr>
                <w:rFonts w:ascii="Arial" w:eastAsia="宋体"/>
                <w:spacing w:val="5"/>
                <w:sz w:val="21"/>
                <w:highlight w:val="none"/>
              </w:rPr>
              <w:t xml:space="preserve">处，扣 </w:t>
            </w:r>
            <w:r>
              <w:rPr>
                <w:rFonts w:ascii="Arial" w:hAnsi="Times New Roman" w:eastAsia="宋体" w:cs="Times New Roman"/>
                <w:spacing w:val="5"/>
                <w:sz w:val="21"/>
                <w:highlight w:val="none"/>
              </w:rPr>
              <w:t xml:space="preserve">0.2  </w:t>
            </w:r>
            <w:r>
              <w:rPr>
                <w:rFonts w:ascii="Arial" w:eastAsia="宋体"/>
                <w:spacing w:val="5"/>
                <w:sz w:val="21"/>
                <w:highlight w:val="none"/>
              </w:rPr>
              <w:t>分。</w:t>
            </w:r>
          </w:p>
        </w:tc>
        <w:tc>
          <w:tcPr>
            <w:tcW w:w="2176" w:type="dxa"/>
            <w:shd w:val="clear" w:color="auto" w:fill="auto"/>
            <w:vAlign w:val="center"/>
          </w:tcPr>
          <w:p w14:paraId="688C4937">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3F011F81">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39BCB910">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33D8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011FE5CF">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66DA5F26">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68740F81">
            <w:pPr>
              <w:pStyle w:val="149"/>
              <w:snapToGrid w:val="0"/>
              <w:spacing w:before="184"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9"/>
                <w:sz w:val="21"/>
                <w:highlight w:val="none"/>
              </w:rPr>
              <w:t>沥青摊铺前应确保基底整洁、无杂物，乳化</w:t>
            </w:r>
            <w:r>
              <w:rPr>
                <w:rFonts w:ascii="Arial" w:eastAsia="宋体"/>
                <w:spacing w:val="8"/>
                <w:sz w:val="21"/>
                <w:highlight w:val="none"/>
              </w:rPr>
              <w:t>沥青喷洒均匀、计量准确；</w:t>
            </w:r>
          </w:p>
        </w:tc>
        <w:tc>
          <w:tcPr>
            <w:tcW w:w="3000" w:type="dxa"/>
            <w:shd w:val="clear" w:color="auto" w:fill="auto"/>
            <w:vAlign w:val="center"/>
          </w:tcPr>
          <w:p w14:paraId="396D2063">
            <w:pPr>
              <w:pStyle w:val="149"/>
              <w:snapToGrid w:val="0"/>
              <w:spacing w:before="46"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沥青摊铺前，未清理基底、未喷洒乳化沥</w:t>
            </w:r>
            <w:r>
              <w:rPr>
                <w:rFonts w:ascii="Arial" w:eastAsia="宋体"/>
                <w:spacing w:val="6"/>
                <w:sz w:val="21"/>
                <w:highlight w:val="none"/>
              </w:rPr>
              <w:t>青（或喷洒不均匀的</w:t>
            </w:r>
            <w:r>
              <w:rPr>
                <w:rFonts w:ascii="Arial" w:eastAsia="宋体"/>
                <w:spacing w:val="19"/>
                <w:sz w:val="21"/>
                <w:highlight w:val="none"/>
              </w:rPr>
              <w:t>），</w:t>
            </w:r>
            <w:r>
              <w:rPr>
                <w:rFonts w:ascii="Arial" w:eastAsia="宋体"/>
                <w:spacing w:val="6"/>
                <w:sz w:val="21"/>
                <w:highlight w:val="none"/>
              </w:rPr>
              <w:t>每发现</w:t>
            </w:r>
            <w:r>
              <w:rPr>
                <w:rFonts w:ascii="Arial" w:hAnsi="Times New Roman" w:eastAsia="宋体" w:cs="Times New Roman"/>
                <w:spacing w:val="6"/>
                <w:sz w:val="21"/>
                <w:highlight w:val="none"/>
              </w:rPr>
              <w:t xml:space="preserve">1 </w:t>
            </w:r>
            <w:r>
              <w:rPr>
                <w:rFonts w:ascii="Arial" w:eastAsia="宋体"/>
                <w:spacing w:val="6"/>
                <w:sz w:val="21"/>
                <w:highlight w:val="none"/>
              </w:rPr>
              <w:t>处，</w:t>
            </w:r>
            <w:r>
              <w:rPr>
                <w:rFonts w:ascii="Arial" w:eastAsia="宋体"/>
                <w:sz w:val="21"/>
                <w:highlight w:val="none"/>
              </w:rPr>
              <w:t>扣</w:t>
            </w:r>
            <w:r>
              <w:rPr>
                <w:rFonts w:ascii="Arial" w:eastAsia="宋体"/>
                <w:spacing w:val="15"/>
                <w:sz w:val="21"/>
                <w:highlight w:val="none"/>
              </w:rPr>
              <w:t xml:space="preserve"> </w:t>
            </w:r>
            <w:r>
              <w:rPr>
                <w:rFonts w:ascii="Arial" w:hAnsi="Times New Roman" w:eastAsia="宋体" w:cs="Times New Roman"/>
                <w:sz w:val="21"/>
                <w:highlight w:val="none"/>
              </w:rPr>
              <w:t>0.2</w:t>
            </w:r>
            <w:r>
              <w:rPr>
                <w:rFonts w:ascii="Arial" w:hAnsi="Times New Roman" w:eastAsia="宋体" w:cs="Times New Roman"/>
                <w:spacing w:val="7"/>
                <w:sz w:val="21"/>
                <w:highlight w:val="none"/>
              </w:rPr>
              <w:t xml:space="preserve"> </w:t>
            </w:r>
            <w:r>
              <w:rPr>
                <w:rFonts w:ascii="Arial" w:eastAsia="宋体"/>
                <w:sz w:val="21"/>
                <w:highlight w:val="none"/>
              </w:rPr>
              <w:t>分。</w:t>
            </w:r>
          </w:p>
        </w:tc>
        <w:tc>
          <w:tcPr>
            <w:tcW w:w="2176" w:type="dxa"/>
            <w:shd w:val="clear" w:color="auto" w:fill="auto"/>
            <w:vAlign w:val="center"/>
          </w:tcPr>
          <w:p w14:paraId="0C5A764D">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66826749">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71CF7C2B">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50B2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4A687A55">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180F3B37">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24413FAB">
            <w:pPr>
              <w:pStyle w:val="149"/>
              <w:snapToGrid w:val="0"/>
              <w:spacing w:before="88"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9"/>
                <w:sz w:val="21"/>
                <w:highlight w:val="none"/>
              </w:rPr>
              <w:t>沥青摊铺平整、与井框或其它构筑物高差不</w:t>
            </w:r>
            <w:r>
              <w:rPr>
                <w:rFonts w:ascii="Arial" w:eastAsia="宋体"/>
                <w:spacing w:val="3"/>
                <w:sz w:val="21"/>
                <w:highlight w:val="none"/>
              </w:rPr>
              <w:t>大于</w:t>
            </w:r>
            <w:r>
              <w:rPr>
                <w:rFonts w:ascii="Arial" w:eastAsia="宋体"/>
                <w:spacing w:val="19"/>
                <w:sz w:val="21"/>
                <w:highlight w:val="none"/>
              </w:rPr>
              <w:t xml:space="preserve"> </w:t>
            </w:r>
            <w:r>
              <w:rPr>
                <w:rFonts w:ascii="Arial" w:hAnsi="Times New Roman" w:eastAsia="宋体" w:cs="Times New Roman"/>
                <w:spacing w:val="3"/>
                <w:sz w:val="21"/>
                <w:highlight w:val="none"/>
              </w:rPr>
              <w:t>5</w:t>
            </w:r>
            <w:r>
              <w:rPr>
                <w:rFonts w:ascii="Arial" w:hAnsi="Times New Roman" w:eastAsia="宋体" w:cs="Times New Roman"/>
                <w:sz w:val="21"/>
                <w:highlight w:val="none"/>
              </w:rPr>
              <w:t>mm</w:t>
            </w:r>
            <w:r>
              <w:rPr>
                <w:rFonts w:ascii="Arial" w:eastAsia="宋体"/>
                <w:spacing w:val="3"/>
                <w:sz w:val="21"/>
                <w:highlight w:val="none"/>
              </w:rPr>
              <w:t>；</w:t>
            </w:r>
          </w:p>
        </w:tc>
        <w:tc>
          <w:tcPr>
            <w:tcW w:w="3000" w:type="dxa"/>
            <w:shd w:val="clear" w:color="auto" w:fill="auto"/>
            <w:vAlign w:val="center"/>
          </w:tcPr>
          <w:p w14:paraId="5B437576">
            <w:pPr>
              <w:pStyle w:val="149"/>
              <w:snapToGrid w:val="0"/>
              <w:spacing w:before="58"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8"/>
                <w:sz w:val="21"/>
                <w:highlight w:val="none"/>
              </w:rPr>
              <w:t>维修后沥青路面平整度不符要求的，扣</w:t>
            </w:r>
            <w:r>
              <w:rPr>
                <w:rFonts w:ascii="Arial" w:hAnsi="Times New Roman" w:eastAsia="宋体" w:cs="Times New Roman"/>
                <w:spacing w:val="8"/>
                <w:sz w:val="21"/>
                <w:highlight w:val="none"/>
              </w:rPr>
              <w:t>1</w:t>
            </w:r>
            <w:r>
              <w:rPr>
                <w:rFonts w:ascii="Arial" w:eastAsia="宋体"/>
                <w:spacing w:val="-1"/>
                <w:sz w:val="21"/>
                <w:highlight w:val="none"/>
              </w:rPr>
              <w:t>分。</w:t>
            </w:r>
          </w:p>
        </w:tc>
        <w:tc>
          <w:tcPr>
            <w:tcW w:w="2176" w:type="dxa"/>
            <w:shd w:val="clear" w:color="auto" w:fill="auto"/>
            <w:vAlign w:val="center"/>
          </w:tcPr>
          <w:p w14:paraId="7D628BD9">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6BB01343">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4918E4BD">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6D10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26" w:type="dxa"/>
            <w:vMerge w:val="continue"/>
            <w:shd w:val="clear" w:color="auto" w:fill="auto"/>
            <w:vAlign w:val="center"/>
          </w:tcPr>
          <w:p w14:paraId="57291829">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432F9061">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1179BBA8">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rPr>
              <w:t>沥青碾压规范、压实充分，表面颗粒无松散现象；</w:t>
            </w:r>
          </w:p>
        </w:tc>
        <w:tc>
          <w:tcPr>
            <w:tcW w:w="3000" w:type="dxa"/>
            <w:shd w:val="clear" w:color="auto" w:fill="auto"/>
            <w:vAlign w:val="center"/>
          </w:tcPr>
          <w:p w14:paraId="726C4D6E">
            <w:pPr>
              <w:pStyle w:val="149"/>
              <w:snapToGrid w:val="0"/>
              <w:spacing w:before="132"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沥青压实不充分的，表面颗粒有松散现象</w:t>
            </w:r>
            <w:r>
              <w:rPr>
                <w:rFonts w:ascii="Arial" w:eastAsia="宋体"/>
                <w:spacing w:val="1"/>
                <w:sz w:val="21"/>
                <w:highlight w:val="none"/>
              </w:rPr>
              <w:t>的，每发现</w:t>
            </w:r>
            <w:r>
              <w:rPr>
                <w:rFonts w:ascii="Arial" w:hAnsi="Times New Roman" w:eastAsia="宋体" w:cs="Times New Roman"/>
                <w:spacing w:val="1"/>
                <w:sz w:val="21"/>
                <w:highlight w:val="none"/>
              </w:rPr>
              <w:t xml:space="preserve">1 </w:t>
            </w:r>
            <w:r>
              <w:rPr>
                <w:rFonts w:ascii="Arial" w:eastAsia="宋体"/>
                <w:spacing w:val="1"/>
                <w:sz w:val="21"/>
                <w:highlight w:val="none"/>
              </w:rPr>
              <w:t>处，扣</w:t>
            </w:r>
            <w:r>
              <w:rPr>
                <w:rFonts w:ascii="Arial" w:eastAsia="宋体"/>
                <w:spacing w:val="30"/>
                <w:sz w:val="21"/>
                <w:highlight w:val="none"/>
              </w:rPr>
              <w:t xml:space="preserve"> </w:t>
            </w:r>
            <w:r>
              <w:rPr>
                <w:rFonts w:ascii="Arial" w:hAnsi="Times New Roman" w:eastAsia="宋体" w:cs="Times New Roman"/>
                <w:spacing w:val="1"/>
                <w:sz w:val="21"/>
                <w:highlight w:val="none"/>
              </w:rPr>
              <w:t>1</w:t>
            </w:r>
            <w:r>
              <w:rPr>
                <w:rFonts w:ascii="Arial" w:hAnsi="Times New Roman" w:eastAsia="宋体" w:cs="Times New Roman"/>
                <w:spacing w:val="7"/>
                <w:sz w:val="21"/>
                <w:highlight w:val="none"/>
              </w:rPr>
              <w:t xml:space="preserve"> </w:t>
            </w:r>
            <w:r>
              <w:rPr>
                <w:rFonts w:ascii="Arial" w:eastAsia="宋体"/>
                <w:spacing w:val="1"/>
                <w:sz w:val="21"/>
                <w:highlight w:val="none"/>
              </w:rPr>
              <w:t>分。</w:t>
            </w:r>
          </w:p>
        </w:tc>
        <w:tc>
          <w:tcPr>
            <w:tcW w:w="2176" w:type="dxa"/>
            <w:shd w:val="clear" w:color="auto" w:fill="auto"/>
            <w:vAlign w:val="center"/>
          </w:tcPr>
          <w:p w14:paraId="04DDA815">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31F1D4AD">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6FE1E5C6">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2990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dxa"/>
            <w:vMerge w:val="continue"/>
            <w:shd w:val="clear" w:color="auto" w:fill="auto"/>
            <w:vAlign w:val="center"/>
          </w:tcPr>
          <w:p w14:paraId="425C4ACC">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101CF7A1">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34FDDC92">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rPr>
              <w:t>沥青坑槽修补须用乳化沥青作封边处理；</w:t>
            </w:r>
          </w:p>
        </w:tc>
        <w:tc>
          <w:tcPr>
            <w:tcW w:w="3000" w:type="dxa"/>
            <w:shd w:val="clear" w:color="auto" w:fill="auto"/>
            <w:vAlign w:val="center"/>
          </w:tcPr>
          <w:p w14:paraId="7236F6E8">
            <w:pPr>
              <w:pStyle w:val="149"/>
              <w:snapToGrid w:val="0"/>
              <w:spacing w:before="45"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6"/>
                <w:sz w:val="21"/>
                <w:highlight w:val="none"/>
              </w:rPr>
              <w:t>坑槽修补未作封边处理的，每发现</w:t>
            </w:r>
            <w:r>
              <w:rPr>
                <w:rFonts w:ascii="Arial" w:hAnsi="Times New Roman" w:eastAsia="宋体" w:cs="Times New Roman"/>
                <w:spacing w:val="6"/>
                <w:sz w:val="21"/>
                <w:highlight w:val="none"/>
              </w:rPr>
              <w:t>1</w:t>
            </w:r>
            <w:r>
              <w:rPr>
                <w:rFonts w:ascii="Arial" w:eastAsia="宋体"/>
                <w:spacing w:val="6"/>
                <w:sz w:val="21"/>
                <w:highlight w:val="none"/>
              </w:rPr>
              <w:t>处，</w:t>
            </w:r>
            <w:r>
              <w:rPr>
                <w:rFonts w:ascii="Arial" w:eastAsia="宋体"/>
                <w:sz w:val="21"/>
                <w:highlight w:val="none"/>
              </w:rPr>
              <w:t>扣</w:t>
            </w:r>
            <w:r>
              <w:rPr>
                <w:rFonts w:ascii="Arial" w:eastAsia="宋体"/>
                <w:spacing w:val="13"/>
                <w:sz w:val="21"/>
                <w:highlight w:val="none"/>
              </w:rPr>
              <w:t xml:space="preserve"> </w:t>
            </w:r>
            <w:r>
              <w:rPr>
                <w:rFonts w:ascii="Arial" w:hAnsi="Times New Roman" w:eastAsia="宋体" w:cs="Times New Roman"/>
                <w:sz w:val="21"/>
                <w:highlight w:val="none"/>
              </w:rPr>
              <w:t>0.5</w:t>
            </w:r>
            <w:r>
              <w:rPr>
                <w:rFonts w:ascii="Arial" w:hAnsi="Times New Roman" w:eastAsia="宋体" w:cs="Times New Roman"/>
                <w:spacing w:val="7"/>
                <w:sz w:val="21"/>
                <w:highlight w:val="none"/>
              </w:rPr>
              <w:t xml:space="preserve"> </w:t>
            </w:r>
            <w:r>
              <w:rPr>
                <w:rFonts w:ascii="Arial" w:eastAsia="宋体"/>
                <w:sz w:val="21"/>
                <w:highlight w:val="none"/>
              </w:rPr>
              <w:t>分。</w:t>
            </w:r>
          </w:p>
        </w:tc>
        <w:tc>
          <w:tcPr>
            <w:tcW w:w="2176" w:type="dxa"/>
            <w:shd w:val="clear" w:color="auto" w:fill="auto"/>
            <w:vAlign w:val="center"/>
          </w:tcPr>
          <w:p w14:paraId="5E07C889">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6932FE54">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0BF048CF">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71CB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1FD3CCE3">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3222FF26">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01E971F6">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rPr>
              <w:t>沥青路面无网裂、拥包、坑槽、沉陷、脱皮等病害；</w:t>
            </w:r>
          </w:p>
        </w:tc>
        <w:tc>
          <w:tcPr>
            <w:tcW w:w="3000" w:type="dxa"/>
            <w:shd w:val="clear" w:color="auto" w:fill="auto"/>
            <w:vAlign w:val="center"/>
          </w:tcPr>
          <w:p w14:paraId="187FE031">
            <w:pPr>
              <w:pStyle w:val="149"/>
              <w:snapToGrid w:val="0"/>
              <w:spacing w:before="49"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沥青路面维修后短期内出现网裂、拥抱、</w:t>
            </w:r>
            <w:r>
              <w:rPr>
                <w:rFonts w:ascii="Arial" w:eastAsia="宋体"/>
                <w:spacing w:val="-6"/>
                <w:sz w:val="21"/>
                <w:highlight w:val="none"/>
              </w:rPr>
              <w:t>坑槽、沉陷、脱皮等病害或有积水现象的，</w:t>
            </w:r>
            <w:r>
              <w:rPr>
                <w:rFonts w:ascii="Arial" w:eastAsia="宋体"/>
                <w:spacing w:val="3"/>
                <w:sz w:val="21"/>
                <w:highlight w:val="none"/>
              </w:rPr>
              <w:t>每处扣</w:t>
            </w:r>
            <w:r>
              <w:rPr>
                <w:rFonts w:ascii="Arial" w:hAnsi="Times New Roman" w:eastAsia="宋体" w:cs="Times New Roman"/>
                <w:spacing w:val="3"/>
                <w:sz w:val="21"/>
                <w:highlight w:val="none"/>
              </w:rPr>
              <w:t>1</w:t>
            </w:r>
            <w:r>
              <w:rPr>
                <w:rFonts w:ascii="Arial" w:eastAsia="宋体"/>
                <w:spacing w:val="3"/>
                <w:sz w:val="21"/>
                <w:highlight w:val="none"/>
              </w:rPr>
              <w:t>分。</w:t>
            </w:r>
          </w:p>
        </w:tc>
        <w:tc>
          <w:tcPr>
            <w:tcW w:w="2176" w:type="dxa"/>
            <w:shd w:val="clear" w:color="auto" w:fill="auto"/>
            <w:vAlign w:val="center"/>
          </w:tcPr>
          <w:p w14:paraId="53C166C9">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257A4304">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7BAF0F44">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3F4A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1C0D2F52">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5B8A7CBA">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25583156">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rPr>
              <w:t>沥青用料、抽芯符合要求</w:t>
            </w:r>
          </w:p>
        </w:tc>
        <w:tc>
          <w:tcPr>
            <w:tcW w:w="3000" w:type="dxa"/>
            <w:shd w:val="clear" w:color="auto" w:fill="auto"/>
            <w:vAlign w:val="center"/>
          </w:tcPr>
          <w:p w14:paraId="54E1B4CF">
            <w:pPr>
              <w:pStyle w:val="149"/>
              <w:snapToGrid w:val="0"/>
              <w:spacing w:before="86"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沥青用料、抽芯不符合要求，每发现一处</w:t>
            </w:r>
            <w:r>
              <w:rPr>
                <w:rFonts w:ascii="Arial" w:eastAsia="宋体"/>
                <w:spacing w:val="2"/>
                <w:sz w:val="21"/>
                <w:highlight w:val="none"/>
              </w:rPr>
              <w:t>扣</w:t>
            </w:r>
            <w:r>
              <w:rPr>
                <w:rFonts w:ascii="Arial" w:hAnsi="Times New Roman" w:eastAsia="宋体" w:cs="Times New Roman"/>
                <w:spacing w:val="2"/>
                <w:sz w:val="21"/>
                <w:highlight w:val="none"/>
              </w:rPr>
              <w:t>2</w:t>
            </w:r>
            <w:r>
              <w:rPr>
                <w:rFonts w:ascii="Arial" w:eastAsia="宋体"/>
                <w:spacing w:val="2"/>
                <w:sz w:val="21"/>
                <w:highlight w:val="none"/>
              </w:rPr>
              <w:t>分。</w:t>
            </w:r>
          </w:p>
        </w:tc>
        <w:tc>
          <w:tcPr>
            <w:tcW w:w="2176" w:type="dxa"/>
            <w:shd w:val="clear" w:color="auto" w:fill="auto"/>
            <w:vAlign w:val="center"/>
          </w:tcPr>
          <w:p w14:paraId="75D4CA02">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7600389A">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659ABD75">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5F76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34A79E6E">
            <w:pPr>
              <w:snapToGrid w:val="0"/>
              <w:ind w:left="0" w:leftChars="0" w:right="0" w:rightChars="0" w:firstLine="0" w:firstLineChars="0"/>
              <w:jc w:val="center"/>
              <w:rPr>
                <w:rFonts w:ascii="Arial" w:eastAsia="宋体"/>
                <w:b/>
                <w:bCs/>
                <w:sz w:val="21"/>
                <w:highlight w:val="none"/>
                <w:vertAlign w:val="baseline"/>
              </w:rPr>
            </w:pPr>
          </w:p>
        </w:tc>
        <w:tc>
          <w:tcPr>
            <w:tcW w:w="1044" w:type="dxa"/>
            <w:vMerge w:val="restart"/>
            <w:shd w:val="clear" w:color="auto" w:fill="auto"/>
            <w:vAlign w:val="center"/>
          </w:tcPr>
          <w:p w14:paraId="502939BB">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水泥</w:t>
            </w:r>
          </w:p>
          <w:p w14:paraId="69EE0888">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混土</w:t>
            </w:r>
          </w:p>
          <w:p w14:paraId="0F65FF0A">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路面</w:t>
            </w:r>
          </w:p>
          <w:p w14:paraId="1DDE5C8F">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（10分）</w:t>
            </w:r>
          </w:p>
        </w:tc>
        <w:tc>
          <w:tcPr>
            <w:tcW w:w="2735" w:type="dxa"/>
            <w:shd w:val="clear" w:color="auto" w:fill="auto"/>
            <w:vAlign w:val="center"/>
          </w:tcPr>
          <w:p w14:paraId="53FC1A2A">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rPr>
              <w:t>混凝土路面无起拱、唧泥现象；</w:t>
            </w:r>
          </w:p>
        </w:tc>
        <w:tc>
          <w:tcPr>
            <w:tcW w:w="3000" w:type="dxa"/>
            <w:shd w:val="clear" w:color="auto" w:fill="auto"/>
            <w:vAlign w:val="center"/>
          </w:tcPr>
          <w:p w14:paraId="00A1B6A5">
            <w:pPr>
              <w:pStyle w:val="149"/>
              <w:snapToGrid w:val="0"/>
              <w:spacing w:before="106"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1"/>
                <w:sz w:val="21"/>
                <w:highlight w:val="none"/>
              </w:rPr>
              <w:t>混凝土路面起拱、唧泥现象，每发现</w:t>
            </w:r>
            <w:r>
              <w:rPr>
                <w:rFonts w:ascii="Arial" w:hAnsi="Times New Roman" w:eastAsia="宋体" w:cs="Times New Roman"/>
                <w:spacing w:val="-1"/>
                <w:sz w:val="21"/>
                <w:highlight w:val="none"/>
              </w:rPr>
              <w:t>1</w:t>
            </w:r>
            <w:r>
              <w:rPr>
                <w:rFonts w:ascii="Arial" w:eastAsia="宋体"/>
                <w:spacing w:val="-1"/>
                <w:sz w:val="21"/>
                <w:highlight w:val="none"/>
              </w:rPr>
              <w:t>处，</w:t>
            </w:r>
            <w:r>
              <w:rPr>
                <w:rFonts w:ascii="Arial" w:eastAsia="宋体"/>
                <w:spacing w:val="-8"/>
                <w:sz w:val="21"/>
                <w:highlight w:val="none"/>
              </w:rPr>
              <w:t>扣</w:t>
            </w:r>
            <w:r>
              <w:rPr>
                <w:rFonts w:ascii="Arial" w:eastAsia="宋体"/>
                <w:spacing w:val="27"/>
                <w:sz w:val="21"/>
                <w:highlight w:val="none"/>
              </w:rPr>
              <w:t xml:space="preserve"> </w:t>
            </w:r>
            <w:r>
              <w:rPr>
                <w:rFonts w:ascii="Arial" w:hAnsi="Times New Roman" w:eastAsia="宋体" w:cs="Times New Roman"/>
                <w:spacing w:val="-8"/>
                <w:sz w:val="21"/>
                <w:highlight w:val="none"/>
              </w:rPr>
              <w:t>1</w:t>
            </w:r>
            <w:r>
              <w:rPr>
                <w:rFonts w:ascii="Arial" w:hAnsi="Times New Roman" w:eastAsia="宋体" w:cs="Times New Roman"/>
                <w:spacing w:val="7"/>
                <w:sz w:val="21"/>
                <w:highlight w:val="none"/>
              </w:rPr>
              <w:t xml:space="preserve"> </w:t>
            </w:r>
            <w:r>
              <w:rPr>
                <w:rFonts w:ascii="Arial" w:eastAsia="宋体"/>
                <w:spacing w:val="-8"/>
                <w:sz w:val="21"/>
                <w:highlight w:val="none"/>
              </w:rPr>
              <w:t>分。</w:t>
            </w:r>
          </w:p>
        </w:tc>
        <w:tc>
          <w:tcPr>
            <w:tcW w:w="2176" w:type="dxa"/>
            <w:shd w:val="clear" w:color="auto" w:fill="auto"/>
            <w:vAlign w:val="center"/>
          </w:tcPr>
          <w:p w14:paraId="48684952">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312D5B58">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5F1E9420">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64E1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68F31A6B">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7A16EAFC">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3B57484D">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混凝土路面填缝饱满，无严重错台现象；</w:t>
            </w:r>
          </w:p>
        </w:tc>
        <w:tc>
          <w:tcPr>
            <w:tcW w:w="3000" w:type="dxa"/>
            <w:shd w:val="clear" w:color="auto" w:fill="auto"/>
            <w:vAlign w:val="center"/>
          </w:tcPr>
          <w:p w14:paraId="712C3CB3">
            <w:pPr>
              <w:pStyle w:val="149"/>
              <w:snapToGrid w:val="0"/>
              <w:spacing w:before="80"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混凝土路面填缝料缺失的、未用热沥青灌</w:t>
            </w:r>
            <w:r>
              <w:rPr>
                <w:rFonts w:ascii="Arial" w:eastAsia="宋体"/>
                <w:spacing w:val="6"/>
                <w:sz w:val="21"/>
                <w:highlight w:val="none"/>
              </w:rPr>
              <w:t>缝的，每发现</w:t>
            </w:r>
            <w:r>
              <w:rPr>
                <w:rFonts w:ascii="Arial" w:hAnsi="Times New Roman" w:eastAsia="宋体" w:cs="Times New Roman"/>
                <w:spacing w:val="6"/>
                <w:sz w:val="21"/>
                <w:highlight w:val="none"/>
              </w:rPr>
              <w:t>1</w:t>
            </w:r>
            <w:r>
              <w:rPr>
                <w:rFonts w:ascii="Arial" w:eastAsia="宋体"/>
                <w:spacing w:val="6"/>
                <w:sz w:val="21"/>
                <w:highlight w:val="none"/>
              </w:rPr>
              <w:t xml:space="preserve">处，扣 </w:t>
            </w:r>
            <w:r>
              <w:rPr>
                <w:rFonts w:ascii="Arial" w:hAnsi="Times New Roman" w:eastAsia="宋体" w:cs="Times New Roman"/>
                <w:spacing w:val="6"/>
                <w:sz w:val="21"/>
                <w:highlight w:val="none"/>
              </w:rPr>
              <w:t>0.2</w:t>
            </w:r>
            <w:r>
              <w:rPr>
                <w:rFonts w:ascii="Arial" w:eastAsia="宋体"/>
                <w:spacing w:val="6"/>
                <w:sz w:val="21"/>
                <w:highlight w:val="none"/>
              </w:rPr>
              <w:t>分。</w:t>
            </w:r>
          </w:p>
        </w:tc>
        <w:tc>
          <w:tcPr>
            <w:tcW w:w="2176" w:type="dxa"/>
            <w:shd w:val="clear" w:color="auto" w:fill="auto"/>
            <w:vAlign w:val="center"/>
          </w:tcPr>
          <w:p w14:paraId="79C81B96">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31C4F07A">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3737631A">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491F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68A08A64">
            <w:pPr>
              <w:snapToGrid w:val="0"/>
              <w:ind w:left="0" w:leftChars="0" w:right="0" w:rightChars="0" w:firstLine="0" w:firstLineChars="0"/>
              <w:jc w:val="center"/>
              <w:rPr>
                <w:rFonts w:ascii="Arial" w:eastAsia="宋体"/>
                <w:b/>
                <w:bCs/>
                <w:sz w:val="21"/>
                <w:highlight w:val="none"/>
                <w:vertAlign w:val="baseline"/>
              </w:rPr>
            </w:pPr>
          </w:p>
        </w:tc>
        <w:tc>
          <w:tcPr>
            <w:tcW w:w="1044" w:type="dxa"/>
            <w:vMerge w:val="restart"/>
            <w:shd w:val="clear" w:color="auto" w:fill="auto"/>
            <w:vAlign w:val="center"/>
          </w:tcPr>
          <w:p w14:paraId="21C27A57">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人行道</w:t>
            </w:r>
          </w:p>
          <w:p w14:paraId="44A9F8B4">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（10分）</w:t>
            </w:r>
          </w:p>
        </w:tc>
        <w:tc>
          <w:tcPr>
            <w:tcW w:w="2735" w:type="dxa"/>
            <w:shd w:val="clear" w:color="auto" w:fill="auto"/>
            <w:vAlign w:val="center"/>
          </w:tcPr>
          <w:p w14:paraId="7B4B9111">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人行道面层砌块铺筑前应确保基底平整、无杂物；</w:t>
            </w:r>
          </w:p>
        </w:tc>
        <w:tc>
          <w:tcPr>
            <w:tcW w:w="3000" w:type="dxa"/>
            <w:shd w:val="clear" w:color="auto" w:fill="auto"/>
            <w:vAlign w:val="center"/>
          </w:tcPr>
          <w:p w14:paraId="33625C81">
            <w:pPr>
              <w:pStyle w:val="149"/>
              <w:snapToGrid w:val="0"/>
              <w:spacing w:before="112"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1"/>
                <w:sz w:val="21"/>
                <w:highlight w:val="none"/>
              </w:rPr>
              <w:t>砌块铺筑前，未清理基底的，每发现</w:t>
            </w:r>
            <w:r>
              <w:rPr>
                <w:rFonts w:ascii="Arial" w:hAnsi="Times New Roman" w:eastAsia="宋体" w:cs="Times New Roman"/>
                <w:spacing w:val="-1"/>
                <w:sz w:val="21"/>
                <w:highlight w:val="none"/>
              </w:rPr>
              <w:t>1</w:t>
            </w:r>
            <w:r>
              <w:rPr>
                <w:rFonts w:ascii="Arial" w:eastAsia="宋体"/>
                <w:spacing w:val="-1"/>
                <w:sz w:val="21"/>
                <w:highlight w:val="none"/>
              </w:rPr>
              <w:t>处，</w:t>
            </w:r>
            <w:r>
              <w:rPr>
                <w:rFonts w:ascii="Arial" w:eastAsia="宋体"/>
                <w:spacing w:val="-2"/>
                <w:sz w:val="21"/>
                <w:highlight w:val="none"/>
              </w:rPr>
              <w:t>扣</w:t>
            </w:r>
            <w:r>
              <w:rPr>
                <w:rFonts w:ascii="Arial" w:eastAsia="宋体"/>
                <w:spacing w:val="12"/>
                <w:sz w:val="21"/>
                <w:highlight w:val="none"/>
              </w:rPr>
              <w:t xml:space="preserve"> </w:t>
            </w:r>
            <w:r>
              <w:rPr>
                <w:rFonts w:ascii="Arial" w:hAnsi="Times New Roman" w:eastAsia="宋体" w:cs="Times New Roman"/>
                <w:spacing w:val="-2"/>
                <w:sz w:val="21"/>
                <w:highlight w:val="none"/>
              </w:rPr>
              <w:t>0.2</w:t>
            </w:r>
            <w:r>
              <w:rPr>
                <w:rFonts w:ascii="Arial" w:hAnsi="Times New Roman" w:eastAsia="宋体" w:cs="Times New Roman"/>
                <w:spacing w:val="6"/>
                <w:sz w:val="21"/>
                <w:highlight w:val="none"/>
              </w:rPr>
              <w:t xml:space="preserve"> </w:t>
            </w:r>
            <w:r>
              <w:rPr>
                <w:rFonts w:ascii="Arial" w:eastAsia="宋体"/>
                <w:spacing w:val="-2"/>
                <w:sz w:val="21"/>
                <w:highlight w:val="none"/>
              </w:rPr>
              <w:t>分。</w:t>
            </w:r>
          </w:p>
        </w:tc>
        <w:tc>
          <w:tcPr>
            <w:tcW w:w="2176" w:type="dxa"/>
            <w:shd w:val="clear" w:color="auto" w:fill="auto"/>
            <w:vAlign w:val="center"/>
          </w:tcPr>
          <w:p w14:paraId="7E932DD5">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2CDFFCAA">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14295FA2">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6DE4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346FB085">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0973D0C6">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53EFD4B8">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铺筑时，应确保砂浆饱满、砌块底部无脱空现象；</w:t>
            </w:r>
          </w:p>
        </w:tc>
        <w:tc>
          <w:tcPr>
            <w:tcW w:w="3000" w:type="dxa"/>
            <w:shd w:val="clear" w:color="auto" w:fill="auto"/>
            <w:vAlign w:val="center"/>
          </w:tcPr>
          <w:p w14:paraId="75039C48">
            <w:pPr>
              <w:pStyle w:val="149"/>
              <w:snapToGrid w:val="0"/>
              <w:spacing w:before="79"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铺筑时，砌块底部有脱空现象的，每发现</w:t>
            </w:r>
            <w:r>
              <w:rPr>
                <w:rFonts w:ascii="Arial" w:hAnsi="Times New Roman" w:eastAsia="宋体" w:cs="Times New Roman"/>
                <w:spacing w:val="1"/>
                <w:sz w:val="21"/>
                <w:highlight w:val="none"/>
              </w:rPr>
              <w:t>1</w:t>
            </w:r>
            <w:r>
              <w:rPr>
                <w:rFonts w:ascii="Arial" w:hAnsi="Times New Roman" w:eastAsia="宋体" w:cs="Times New Roman"/>
                <w:spacing w:val="12"/>
                <w:sz w:val="21"/>
                <w:highlight w:val="none"/>
              </w:rPr>
              <w:t xml:space="preserve">  </w:t>
            </w:r>
            <w:r>
              <w:rPr>
                <w:rFonts w:ascii="Arial" w:eastAsia="宋体"/>
                <w:spacing w:val="1"/>
                <w:sz w:val="21"/>
                <w:highlight w:val="none"/>
              </w:rPr>
              <w:t>处，扣</w:t>
            </w:r>
            <w:r>
              <w:rPr>
                <w:rFonts w:ascii="Arial" w:hAnsi="Times New Roman" w:eastAsia="宋体" w:cs="Times New Roman"/>
                <w:spacing w:val="1"/>
                <w:sz w:val="21"/>
                <w:highlight w:val="none"/>
              </w:rPr>
              <w:t>0.2</w:t>
            </w:r>
            <w:r>
              <w:rPr>
                <w:rFonts w:ascii="Arial" w:eastAsia="宋体"/>
                <w:spacing w:val="1"/>
                <w:sz w:val="21"/>
                <w:highlight w:val="none"/>
              </w:rPr>
              <w:t>分。</w:t>
            </w:r>
          </w:p>
        </w:tc>
        <w:tc>
          <w:tcPr>
            <w:tcW w:w="2176" w:type="dxa"/>
            <w:shd w:val="clear" w:color="auto" w:fill="auto"/>
            <w:vAlign w:val="center"/>
          </w:tcPr>
          <w:p w14:paraId="7547C00A">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392E0131">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6615F526">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733D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1673BA4A">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297AC88D">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2D4EA80F">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铺筑平整度满足要求，砌块间高差不得大于5mm；</w:t>
            </w:r>
          </w:p>
        </w:tc>
        <w:tc>
          <w:tcPr>
            <w:tcW w:w="3000" w:type="dxa"/>
            <w:shd w:val="clear" w:color="auto" w:fill="auto"/>
            <w:vAlign w:val="center"/>
          </w:tcPr>
          <w:p w14:paraId="143AC182">
            <w:pPr>
              <w:pStyle w:val="149"/>
              <w:snapToGrid w:val="0"/>
              <w:spacing w:before="45"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4"/>
                <w:sz w:val="21"/>
                <w:highlight w:val="none"/>
              </w:rPr>
              <w:t xml:space="preserve">砌块间高差大于 </w:t>
            </w:r>
            <w:r>
              <w:rPr>
                <w:rFonts w:ascii="Arial" w:hAnsi="Times New Roman" w:eastAsia="宋体" w:cs="Times New Roman"/>
                <w:spacing w:val="4"/>
                <w:sz w:val="21"/>
                <w:highlight w:val="none"/>
              </w:rPr>
              <w:t>5</w:t>
            </w:r>
            <w:r>
              <w:rPr>
                <w:rFonts w:ascii="Arial" w:hAnsi="Times New Roman" w:eastAsia="宋体" w:cs="Times New Roman"/>
                <w:sz w:val="21"/>
                <w:highlight w:val="none"/>
              </w:rPr>
              <w:t>mm</w:t>
            </w:r>
            <w:r>
              <w:rPr>
                <w:rFonts w:ascii="Arial" w:hAnsi="Times New Roman" w:eastAsia="宋体" w:cs="Times New Roman"/>
                <w:spacing w:val="23"/>
                <w:sz w:val="21"/>
                <w:highlight w:val="none"/>
              </w:rPr>
              <w:t xml:space="preserve">  </w:t>
            </w:r>
            <w:r>
              <w:rPr>
                <w:rFonts w:ascii="Arial" w:eastAsia="宋体"/>
                <w:spacing w:val="4"/>
                <w:sz w:val="21"/>
                <w:highlight w:val="none"/>
              </w:rPr>
              <w:t>的，每发现</w:t>
            </w:r>
            <w:r>
              <w:rPr>
                <w:rFonts w:ascii="Arial" w:hAnsi="Times New Roman" w:eastAsia="宋体" w:cs="Times New Roman"/>
                <w:spacing w:val="4"/>
                <w:sz w:val="21"/>
                <w:highlight w:val="none"/>
              </w:rPr>
              <w:t>1</w:t>
            </w:r>
            <w:r>
              <w:rPr>
                <w:rFonts w:ascii="Arial" w:eastAsia="宋体"/>
                <w:spacing w:val="4"/>
                <w:sz w:val="21"/>
                <w:highlight w:val="none"/>
              </w:rPr>
              <w:t>处，</w:t>
            </w:r>
            <w:r>
              <w:rPr>
                <w:rFonts w:ascii="Arial" w:eastAsia="宋体"/>
                <w:sz w:val="21"/>
                <w:highlight w:val="none"/>
              </w:rPr>
              <w:t>扣</w:t>
            </w:r>
            <w:r>
              <w:rPr>
                <w:rFonts w:ascii="Arial" w:eastAsia="宋体"/>
                <w:spacing w:val="13"/>
                <w:sz w:val="21"/>
                <w:highlight w:val="none"/>
              </w:rPr>
              <w:t xml:space="preserve"> </w:t>
            </w:r>
            <w:r>
              <w:rPr>
                <w:rFonts w:ascii="Arial" w:hAnsi="Times New Roman" w:eastAsia="宋体" w:cs="Times New Roman"/>
                <w:sz w:val="21"/>
                <w:highlight w:val="none"/>
              </w:rPr>
              <w:t>0.5</w:t>
            </w:r>
            <w:r>
              <w:rPr>
                <w:rFonts w:ascii="Arial" w:hAnsi="Times New Roman" w:eastAsia="宋体" w:cs="Times New Roman"/>
                <w:spacing w:val="7"/>
                <w:sz w:val="21"/>
                <w:highlight w:val="none"/>
              </w:rPr>
              <w:t xml:space="preserve">  </w:t>
            </w:r>
            <w:r>
              <w:rPr>
                <w:rFonts w:ascii="Arial" w:eastAsia="宋体"/>
                <w:sz w:val="21"/>
                <w:highlight w:val="none"/>
              </w:rPr>
              <w:t>分。</w:t>
            </w:r>
          </w:p>
        </w:tc>
        <w:tc>
          <w:tcPr>
            <w:tcW w:w="2176" w:type="dxa"/>
            <w:shd w:val="clear" w:color="auto" w:fill="auto"/>
            <w:vAlign w:val="center"/>
          </w:tcPr>
          <w:p w14:paraId="19A4E9CC">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592368D6">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79F84DC2">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61D8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6FB4E744">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6CEB2FE8">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111965E4">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与井框或其它构筑 物高差不大于5mm；</w:t>
            </w:r>
          </w:p>
        </w:tc>
        <w:tc>
          <w:tcPr>
            <w:tcW w:w="3000" w:type="dxa"/>
            <w:shd w:val="clear" w:color="auto" w:fill="auto"/>
            <w:vAlign w:val="center"/>
          </w:tcPr>
          <w:p w14:paraId="2A5C6BE3">
            <w:pPr>
              <w:pStyle w:val="149"/>
              <w:snapToGrid w:val="0"/>
              <w:spacing w:before="75"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4"/>
                <w:sz w:val="21"/>
                <w:highlight w:val="none"/>
              </w:rPr>
              <w:t>与井框或其它构筑物高差大于</w:t>
            </w:r>
            <w:r>
              <w:rPr>
                <w:rFonts w:ascii="Arial" w:hAnsi="Times New Roman" w:eastAsia="宋体" w:cs="Times New Roman"/>
                <w:spacing w:val="4"/>
                <w:sz w:val="21"/>
                <w:highlight w:val="none"/>
              </w:rPr>
              <w:t>5</w:t>
            </w:r>
            <w:r>
              <w:rPr>
                <w:rFonts w:ascii="Arial" w:hAnsi="Times New Roman" w:eastAsia="宋体" w:cs="Times New Roman"/>
                <w:sz w:val="21"/>
                <w:highlight w:val="none"/>
              </w:rPr>
              <w:t>mm</w:t>
            </w:r>
            <w:r>
              <w:rPr>
                <w:rFonts w:ascii="Arial" w:eastAsia="宋体"/>
                <w:spacing w:val="4"/>
                <w:sz w:val="21"/>
                <w:highlight w:val="none"/>
              </w:rPr>
              <w:t>的，每</w:t>
            </w:r>
            <w:r>
              <w:rPr>
                <w:rFonts w:ascii="Arial" w:eastAsia="宋体"/>
                <w:spacing w:val="5"/>
                <w:sz w:val="21"/>
                <w:highlight w:val="none"/>
              </w:rPr>
              <w:t>发现</w:t>
            </w:r>
            <w:r>
              <w:rPr>
                <w:rFonts w:ascii="Arial" w:hAnsi="Times New Roman" w:eastAsia="宋体" w:cs="Times New Roman"/>
                <w:spacing w:val="5"/>
                <w:sz w:val="21"/>
                <w:highlight w:val="none"/>
              </w:rPr>
              <w:t>1</w:t>
            </w:r>
            <w:r>
              <w:rPr>
                <w:rFonts w:ascii="Arial" w:eastAsia="宋体"/>
                <w:spacing w:val="5"/>
                <w:sz w:val="21"/>
                <w:highlight w:val="none"/>
              </w:rPr>
              <w:t>处，扣</w:t>
            </w:r>
            <w:r>
              <w:rPr>
                <w:rFonts w:ascii="Arial" w:hAnsi="Times New Roman" w:eastAsia="宋体" w:cs="Times New Roman"/>
                <w:spacing w:val="5"/>
                <w:sz w:val="21"/>
                <w:highlight w:val="none"/>
              </w:rPr>
              <w:t>0.5</w:t>
            </w:r>
            <w:r>
              <w:rPr>
                <w:rFonts w:ascii="Arial" w:eastAsia="宋体"/>
                <w:spacing w:val="5"/>
                <w:sz w:val="21"/>
                <w:highlight w:val="none"/>
              </w:rPr>
              <w:t>分。</w:t>
            </w:r>
          </w:p>
        </w:tc>
        <w:tc>
          <w:tcPr>
            <w:tcW w:w="2176" w:type="dxa"/>
            <w:shd w:val="clear" w:color="auto" w:fill="auto"/>
            <w:vAlign w:val="center"/>
          </w:tcPr>
          <w:p w14:paraId="1BAF354F">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64F27EE4">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4B0CD1E6">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59B7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6B563A82">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0F410680">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25C7B27C">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人行道砌块间填充饱满、勾缝规范；</w:t>
            </w:r>
          </w:p>
        </w:tc>
        <w:tc>
          <w:tcPr>
            <w:tcW w:w="3000" w:type="dxa"/>
            <w:shd w:val="clear" w:color="auto" w:fill="auto"/>
            <w:vAlign w:val="center"/>
          </w:tcPr>
          <w:p w14:paraId="16CF8849">
            <w:pPr>
              <w:pStyle w:val="149"/>
              <w:snapToGrid w:val="0"/>
              <w:spacing w:before="48"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9"/>
                <w:sz w:val="21"/>
                <w:highlight w:val="none"/>
              </w:rPr>
              <w:t>砌块间未填缝或勾缝不规范的，每发现</w:t>
            </w:r>
            <w:r>
              <w:rPr>
                <w:rFonts w:ascii="Arial" w:hAnsi="Times New Roman" w:eastAsia="宋体" w:cs="Times New Roman"/>
                <w:spacing w:val="9"/>
                <w:sz w:val="21"/>
                <w:highlight w:val="none"/>
              </w:rPr>
              <w:t>1</w:t>
            </w:r>
            <w:r>
              <w:rPr>
                <w:rFonts w:ascii="Arial" w:eastAsia="宋体"/>
                <w:spacing w:val="4"/>
                <w:sz w:val="21"/>
                <w:highlight w:val="none"/>
              </w:rPr>
              <w:t>处，扣</w:t>
            </w:r>
            <w:r>
              <w:rPr>
                <w:rFonts w:ascii="Arial" w:hAnsi="Times New Roman" w:eastAsia="宋体" w:cs="Times New Roman"/>
                <w:spacing w:val="4"/>
                <w:sz w:val="21"/>
                <w:highlight w:val="none"/>
              </w:rPr>
              <w:t>0.5</w:t>
            </w:r>
            <w:r>
              <w:rPr>
                <w:rFonts w:ascii="Arial" w:eastAsia="宋体"/>
                <w:spacing w:val="4"/>
                <w:sz w:val="21"/>
                <w:highlight w:val="none"/>
              </w:rPr>
              <w:t>分。</w:t>
            </w:r>
          </w:p>
        </w:tc>
        <w:tc>
          <w:tcPr>
            <w:tcW w:w="2176" w:type="dxa"/>
            <w:shd w:val="clear" w:color="auto" w:fill="auto"/>
            <w:vAlign w:val="center"/>
          </w:tcPr>
          <w:p w14:paraId="7CB15E11">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29A83271">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7E64F4EC">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75B8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7B5C7EC1">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23FE7408">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6BBF04B3">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人行道砌块无松动、碎裂、沉陷现象；</w:t>
            </w:r>
          </w:p>
        </w:tc>
        <w:tc>
          <w:tcPr>
            <w:tcW w:w="3000" w:type="dxa"/>
            <w:shd w:val="clear" w:color="auto" w:fill="auto"/>
            <w:vAlign w:val="center"/>
          </w:tcPr>
          <w:p w14:paraId="5B99EE51">
            <w:pPr>
              <w:pStyle w:val="149"/>
              <w:snapToGrid w:val="0"/>
              <w:spacing w:before="84"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维修后人行道砌块有松动、碎裂、沉陷现</w:t>
            </w:r>
            <w:r>
              <w:rPr>
                <w:rFonts w:ascii="Arial" w:eastAsia="宋体"/>
                <w:spacing w:val="6"/>
                <w:sz w:val="21"/>
                <w:highlight w:val="none"/>
              </w:rPr>
              <w:t>象的，每发现</w:t>
            </w:r>
            <w:r>
              <w:rPr>
                <w:rFonts w:ascii="Arial" w:hAnsi="Times New Roman" w:eastAsia="宋体" w:cs="Times New Roman"/>
                <w:spacing w:val="6"/>
                <w:sz w:val="21"/>
                <w:highlight w:val="none"/>
              </w:rPr>
              <w:t>1</w:t>
            </w:r>
            <w:r>
              <w:rPr>
                <w:rFonts w:ascii="Arial" w:eastAsia="宋体"/>
                <w:spacing w:val="6"/>
                <w:sz w:val="21"/>
                <w:highlight w:val="none"/>
              </w:rPr>
              <w:t xml:space="preserve">处，扣 </w:t>
            </w:r>
            <w:r>
              <w:rPr>
                <w:rFonts w:ascii="Arial" w:hAnsi="Times New Roman" w:eastAsia="宋体" w:cs="Times New Roman"/>
                <w:spacing w:val="6"/>
                <w:sz w:val="21"/>
                <w:highlight w:val="none"/>
              </w:rPr>
              <w:t>0.2</w:t>
            </w:r>
            <w:r>
              <w:rPr>
                <w:rFonts w:ascii="Arial" w:eastAsia="宋体"/>
                <w:spacing w:val="6"/>
                <w:sz w:val="21"/>
                <w:highlight w:val="none"/>
              </w:rPr>
              <w:t>分。</w:t>
            </w:r>
          </w:p>
        </w:tc>
        <w:tc>
          <w:tcPr>
            <w:tcW w:w="2176" w:type="dxa"/>
            <w:shd w:val="clear" w:color="auto" w:fill="auto"/>
            <w:vAlign w:val="center"/>
          </w:tcPr>
          <w:p w14:paraId="0869FBCB">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5D43FA10">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592B5FBC">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491E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4074F708">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10058610">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56A3064A">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砌块材料、颜色与原路面一致，不得随意使用混凝土或其它面层材料替代破损人行道；</w:t>
            </w:r>
          </w:p>
        </w:tc>
        <w:tc>
          <w:tcPr>
            <w:tcW w:w="3000" w:type="dxa"/>
            <w:shd w:val="clear" w:color="auto" w:fill="auto"/>
            <w:vAlign w:val="center"/>
          </w:tcPr>
          <w:p w14:paraId="6BDABF73">
            <w:pPr>
              <w:pStyle w:val="149"/>
              <w:snapToGrid w:val="0"/>
              <w:spacing w:before="162"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1"/>
                <w:sz w:val="21"/>
                <w:highlight w:val="none"/>
              </w:rPr>
              <w:t>修复材料与原路面不一致的，每发现</w:t>
            </w:r>
            <w:r>
              <w:rPr>
                <w:rFonts w:ascii="Arial" w:hAnsi="Times New Roman" w:eastAsia="宋体" w:cs="Times New Roman"/>
                <w:spacing w:val="-1"/>
                <w:sz w:val="21"/>
                <w:highlight w:val="none"/>
              </w:rPr>
              <w:t>1</w:t>
            </w:r>
            <w:r>
              <w:rPr>
                <w:rFonts w:ascii="Arial" w:eastAsia="宋体"/>
                <w:spacing w:val="-1"/>
                <w:sz w:val="21"/>
                <w:highlight w:val="none"/>
              </w:rPr>
              <w:t>处，</w:t>
            </w:r>
            <w:r>
              <w:rPr>
                <w:rFonts w:ascii="Arial" w:eastAsia="宋体"/>
                <w:spacing w:val="1"/>
                <w:sz w:val="21"/>
                <w:highlight w:val="none"/>
              </w:rPr>
              <w:t>扣</w:t>
            </w:r>
            <w:r>
              <w:rPr>
                <w:rFonts w:ascii="Arial" w:hAnsi="Times New Roman" w:eastAsia="宋体" w:cs="Times New Roman"/>
                <w:spacing w:val="1"/>
                <w:sz w:val="21"/>
                <w:highlight w:val="none"/>
              </w:rPr>
              <w:t>0.2</w:t>
            </w:r>
            <w:r>
              <w:rPr>
                <w:rFonts w:ascii="Arial" w:eastAsia="宋体"/>
                <w:spacing w:val="1"/>
                <w:sz w:val="21"/>
                <w:highlight w:val="none"/>
              </w:rPr>
              <w:t>分。</w:t>
            </w:r>
          </w:p>
        </w:tc>
        <w:tc>
          <w:tcPr>
            <w:tcW w:w="2176" w:type="dxa"/>
            <w:shd w:val="clear" w:color="auto" w:fill="auto"/>
            <w:vAlign w:val="center"/>
          </w:tcPr>
          <w:p w14:paraId="153FB5FA">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15F93499">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1CEACF98">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5027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717247EA">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shd w:val="clear" w:color="auto" w:fill="auto"/>
            <w:vAlign w:val="center"/>
          </w:tcPr>
          <w:p w14:paraId="38C419DD">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5C2C8A1C">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侧、平石安放顺直，灌浆饱满；</w:t>
            </w:r>
          </w:p>
        </w:tc>
        <w:tc>
          <w:tcPr>
            <w:tcW w:w="3000" w:type="dxa"/>
            <w:shd w:val="clear" w:color="auto" w:fill="auto"/>
            <w:vAlign w:val="center"/>
          </w:tcPr>
          <w:p w14:paraId="1488EA72">
            <w:pPr>
              <w:pStyle w:val="149"/>
              <w:snapToGrid w:val="0"/>
              <w:spacing w:before="20"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3"/>
                <w:sz w:val="21"/>
                <w:highlight w:val="none"/>
              </w:rPr>
              <w:t>侧、平石修复不规范的，每发现</w:t>
            </w:r>
            <w:r>
              <w:rPr>
                <w:rFonts w:ascii="Arial" w:eastAsia="宋体"/>
                <w:spacing w:val="41"/>
                <w:sz w:val="21"/>
                <w:highlight w:val="none"/>
              </w:rPr>
              <w:t xml:space="preserve"> </w:t>
            </w:r>
            <w:r>
              <w:rPr>
                <w:rFonts w:ascii="Arial" w:hAnsi="Times New Roman" w:eastAsia="宋体" w:cs="Times New Roman"/>
                <w:spacing w:val="3"/>
                <w:sz w:val="21"/>
                <w:highlight w:val="none"/>
              </w:rPr>
              <w:t>1</w:t>
            </w:r>
            <w:r>
              <w:rPr>
                <w:rFonts w:ascii="Arial" w:eastAsia="宋体"/>
                <w:spacing w:val="3"/>
                <w:sz w:val="21"/>
                <w:highlight w:val="none"/>
              </w:rPr>
              <w:t>处，扣</w:t>
            </w:r>
            <w:r>
              <w:rPr>
                <w:rFonts w:ascii="Arial" w:hAnsi="Times New Roman" w:eastAsia="宋体" w:cs="Times New Roman"/>
                <w:sz w:val="21"/>
                <w:highlight w:val="none"/>
              </w:rPr>
              <w:t>0.2</w:t>
            </w:r>
            <w:r>
              <w:rPr>
                <w:rFonts w:ascii="Arial" w:hAnsi="Times New Roman" w:eastAsia="宋体" w:cs="Times New Roman"/>
                <w:spacing w:val="8"/>
                <w:sz w:val="21"/>
                <w:highlight w:val="none"/>
              </w:rPr>
              <w:t xml:space="preserve"> </w:t>
            </w:r>
            <w:r>
              <w:rPr>
                <w:rFonts w:ascii="Arial" w:eastAsia="宋体"/>
                <w:sz w:val="21"/>
                <w:highlight w:val="none"/>
              </w:rPr>
              <w:t>分。</w:t>
            </w:r>
          </w:p>
        </w:tc>
        <w:tc>
          <w:tcPr>
            <w:tcW w:w="2176" w:type="dxa"/>
            <w:shd w:val="clear" w:color="auto" w:fill="auto"/>
            <w:vAlign w:val="center"/>
          </w:tcPr>
          <w:p w14:paraId="49DD9B80">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3FB0AF28">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4EAA892A">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5BA4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restart"/>
            <w:shd w:val="clear" w:color="auto" w:fill="auto"/>
            <w:vAlign w:val="center"/>
          </w:tcPr>
          <w:p w14:paraId="6060A7F0">
            <w:pPr>
              <w:snapToGrid w:val="0"/>
              <w:ind w:left="0" w:leftChars="0" w:right="0" w:rightChars="0" w:firstLine="0" w:firstLineChars="0"/>
              <w:jc w:val="center"/>
              <w:rPr>
                <w:rFonts w:hint="eastAsia" w:ascii="Arial" w:eastAsia="宋体"/>
                <w:b/>
                <w:bCs/>
                <w:sz w:val="21"/>
                <w:highlight w:val="none"/>
                <w:vertAlign w:val="baseline"/>
                <w:lang w:eastAsia="zh-CN"/>
              </w:rPr>
            </w:pPr>
            <w:r>
              <w:rPr>
                <w:rFonts w:hint="eastAsia" w:ascii="Arial" w:eastAsia="宋体"/>
                <w:b/>
                <w:bCs/>
                <w:sz w:val="21"/>
                <w:highlight w:val="none"/>
                <w:vertAlign w:val="baseline"/>
                <w:lang w:eastAsia="zh-CN"/>
              </w:rPr>
              <w:t>三</w:t>
            </w:r>
            <w:r>
              <w:rPr>
                <w:rFonts w:hint="eastAsia" w:ascii="Arial" w:eastAsia="宋体"/>
                <w:b/>
                <w:bCs/>
                <w:sz w:val="21"/>
                <w:highlight w:val="none"/>
                <w:vertAlign w:val="baseline"/>
              </w:rPr>
              <w:t>、桥梁养护专项</w:t>
            </w:r>
            <w:r>
              <w:rPr>
                <w:rFonts w:hint="eastAsia" w:ascii="Arial" w:eastAsia="宋体"/>
                <w:b/>
                <w:bCs/>
                <w:sz w:val="21"/>
                <w:highlight w:val="none"/>
                <w:vertAlign w:val="baseline"/>
                <w:lang w:eastAsia="zh-CN"/>
              </w:rPr>
              <w:t>（</w:t>
            </w:r>
            <w:r>
              <w:rPr>
                <w:rFonts w:hint="eastAsia" w:ascii="Arial" w:eastAsia="宋体"/>
                <w:b/>
                <w:bCs/>
                <w:sz w:val="21"/>
                <w:highlight w:val="none"/>
                <w:vertAlign w:val="baseline"/>
                <w:lang w:val="en-US" w:eastAsia="zh-CN"/>
              </w:rPr>
              <w:t>25分</w:t>
            </w:r>
            <w:r>
              <w:rPr>
                <w:rFonts w:hint="eastAsia" w:ascii="Arial" w:eastAsia="宋体"/>
                <w:b/>
                <w:bCs/>
                <w:sz w:val="21"/>
                <w:highlight w:val="none"/>
                <w:vertAlign w:val="baseline"/>
                <w:lang w:eastAsia="zh-CN"/>
              </w:rPr>
              <w:t>）</w:t>
            </w:r>
          </w:p>
        </w:tc>
        <w:tc>
          <w:tcPr>
            <w:tcW w:w="1044" w:type="dxa"/>
            <w:shd w:val="clear" w:color="auto" w:fill="auto"/>
            <w:vAlign w:val="center"/>
          </w:tcPr>
          <w:p w14:paraId="6EEA2A00">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桥面系</w:t>
            </w:r>
          </w:p>
          <w:p w14:paraId="20A489DC">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（5分）</w:t>
            </w:r>
          </w:p>
        </w:tc>
        <w:tc>
          <w:tcPr>
            <w:tcW w:w="2735" w:type="dxa"/>
            <w:shd w:val="clear" w:color="auto" w:fill="auto"/>
            <w:vAlign w:val="center"/>
          </w:tcPr>
          <w:p w14:paraId="4E36269C">
            <w:pPr>
              <w:pStyle w:val="149"/>
              <w:snapToGrid w:val="0"/>
              <w:spacing w:before="139"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9"/>
                <w:sz w:val="21"/>
                <w:highlight w:val="none"/>
              </w:rPr>
              <w:t>桥面铺装平整，无明显破损，接坡平顺，桥</w:t>
            </w:r>
            <w:r>
              <w:rPr>
                <w:rFonts w:ascii="Arial" w:eastAsia="宋体"/>
                <w:spacing w:val="7"/>
                <w:sz w:val="21"/>
                <w:highlight w:val="none"/>
              </w:rPr>
              <w:t>头无明显跳车现象；</w:t>
            </w:r>
          </w:p>
        </w:tc>
        <w:tc>
          <w:tcPr>
            <w:tcW w:w="3000" w:type="dxa"/>
            <w:shd w:val="clear" w:color="auto" w:fill="auto"/>
            <w:vAlign w:val="center"/>
          </w:tcPr>
          <w:p w14:paraId="4B89AFF6">
            <w:pPr>
              <w:pStyle w:val="149"/>
              <w:snapToGrid w:val="0"/>
              <w:spacing w:before="139"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修复标准参考道路；有明显桥头跳车现象</w:t>
            </w:r>
            <w:r>
              <w:rPr>
                <w:rFonts w:ascii="Arial" w:eastAsia="宋体"/>
                <w:spacing w:val="6"/>
                <w:sz w:val="21"/>
                <w:highlight w:val="none"/>
              </w:rPr>
              <w:t>的，每发现一处，扣</w:t>
            </w:r>
            <w:r>
              <w:rPr>
                <w:rFonts w:ascii="Arial" w:hAnsi="Times New Roman" w:eastAsia="宋体" w:cs="Times New Roman"/>
                <w:spacing w:val="6"/>
                <w:sz w:val="21"/>
                <w:highlight w:val="none"/>
              </w:rPr>
              <w:t>1</w:t>
            </w:r>
            <w:r>
              <w:rPr>
                <w:rFonts w:ascii="Arial" w:eastAsia="宋体"/>
                <w:spacing w:val="6"/>
                <w:sz w:val="21"/>
                <w:highlight w:val="none"/>
              </w:rPr>
              <w:t>分。</w:t>
            </w:r>
          </w:p>
        </w:tc>
        <w:tc>
          <w:tcPr>
            <w:tcW w:w="2176" w:type="dxa"/>
            <w:shd w:val="clear" w:color="auto" w:fill="auto"/>
            <w:vAlign w:val="center"/>
          </w:tcPr>
          <w:p w14:paraId="1C1073D0">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56A3CB96">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4FED968E">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3CD9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480E27F5">
            <w:pPr>
              <w:snapToGrid w:val="0"/>
              <w:ind w:left="0" w:leftChars="0" w:right="0" w:rightChars="0" w:firstLine="0" w:firstLineChars="0"/>
              <w:jc w:val="center"/>
              <w:rPr>
                <w:rFonts w:ascii="Arial" w:eastAsia="宋体"/>
                <w:b/>
                <w:bCs/>
                <w:sz w:val="21"/>
                <w:highlight w:val="none"/>
                <w:vertAlign w:val="baseline"/>
              </w:rPr>
            </w:pPr>
          </w:p>
        </w:tc>
        <w:tc>
          <w:tcPr>
            <w:tcW w:w="1044" w:type="dxa"/>
            <w:shd w:val="clear" w:color="auto" w:fill="auto"/>
            <w:vAlign w:val="center"/>
          </w:tcPr>
          <w:p w14:paraId="0C19FD0E">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附属设施</w:t>
            </w:r>
            <w:r>
              <w:rPr>
                <w:rFonts w:hint="eastAsia" w:ascii="Arial" w:eastAsia="宋体"/>
                <w:sz w:val="21"/>
                <w:highlight w:val="none"/>
                <w:vertAlign w:val="baseline"/>
                <w:lang w:val="en-US" w:eastAsia="zh-CN"/>
              </w:rPr>
              <w:br w:type="textWrapping"/>
            </w:r>
            <w:r>
              <w:rPr>
                <w:rFonts w:hint="eastAsia" w:ascii="Arial" w:eastAsia="宋体"/>
                <w:sz w:val="21"/>
                <w:highlight w:val="none"/>
                <w:vertAlign w:val="baseline"/>
                <w:lang w:val="en-US" w:eastAsia="zh-CN"/>
              </w:rPr>
              <w:t>(栏杆/防撞墙)</w:t>
            </w:r>
          </w:p>
          <w:p w14:paraId="4D3B5590">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（3分）</w:t>
            </w:r>
          </w:p>
        </w:tc>
        <w:tc>
          <w:tcPr>
            <w:tcW w:w="2735" w:type="dxa"/>
            <w:shd w:val="clear" w:color="auto" w:fill="auto"/>
            <w:vAlign w:val="center"/>
          </w:tcPr>
          <w:p w14:paraId="186117BF">
            <w:pPr>
              <w:pStyle w:val="149"/>
              <w:snapToGrid w:val="0"/>
              <w:spacing w:before="122"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7"/>
                <w:sz w:val="21"/>
                <w:highlight w:val="none"/>
              </w:rPr>
              <w:t>桥梁栏杆安装牢固，无断裂、缺失， 表面涂</w:t>
            </w:r>
            <w:r>
              <w:rPr>
                <w:rFonts w:ascii="Arial" w:eastAsia="宋体"/>
                <w:spacing w:val="9"/>
                <w:sz w:val="21"/>
                <w:highlight w:val="none"/>
              </w:rPr>
              <w:t>装层完好，无脱落、锈蚀等，防撞墙无明显</w:t>
            </w:r>
            <w:r>
              <w:rPr>
                <w:rFonts w:ascii="Arial" w:eastAsia="宋体"/>
                <w:spacing w:val="8"/>
                <w:sz w:val="21"/>
                <w:highlight w:val="none"/>
              </w:rPr>
              <w:t>破损、露筋、锈蚀等；</w:t>
            </w:r>
          </w:p>
        </w:tc>
        <w:tc>
          <w:tcPr>
            <w:tcW w:w="3000" w:type="dxa"/>
            <w:shd w:val="clear" w:color="auto" w:fill="auto"/>
            <w:vAlign w:val="center"/>
          </w:tcPr>
          <w:p w14:paraId="3C5F9BCB">
            <w:pPr>
              <w:pStyle w:val="149"/>
              <w:snapToGrid w:val="0"/>
              <w:spacing w:before="46" w:line="240" w:lineRule="auto"/>
              <w:ind w:left="0" w:leftChars="0" w:right="0" w:rightChars="0" w:firstLine="0" w:firstLineChars="0"/>
              <w:jc w:val="left"/>
              <w:rPr>
                <w:rFonts w:hint="eastAsia" w:ascii="Arial" w:hAnsi="宋体" w:eastAsia="宋体" w:cs="宋体"/>
                <w:kern w:val="2"/>
                <w:sz w:val="21"/>
                <w:szCs w:val="20"/>
                <w:highlight w:val="none"/>
                <w:lang w:val="en-US" w:eastAsia="zh-CN" w:bidi="ar-SA"/>
              </w:rPr>
            </w:pPr>
            <w:r>
              <w:rPr>
                <w:rFonts w:ascii="Arial" w:eastAsia="宋体"/>
                <w:spacing w:val="5"/>
                <w:sz w:val="21"/>
                <w:highlight w:val="none"/>
              </w:rPr>
              <w:t>松动或位置错动有安全隐患，钢筋外露、</w:t>
            </w:r>
            <w:r>
              <w:rPr>
                <w:rFonts w:ascii="Arial" w:eastAsia="宋体"/>
                <w:spacing w:val="3"/>
                <w:sz w:val="21"/>
                <w:highlight w:val="none"/>
              </w:rPr>
              <w:t xml:space="preserve">锈蚀比例超过 </w:t>
            </w:r>
            <w:r>
              <w:rPr>
                <w:rFonts w:ascii="Arial" w:hAnsi="Times New Roman" w:eastAsia="宋体" w:cs="Times New Roman"/>
                <w:spacing w:val="3"/>
                <w:sz w:val="21"/>
                <w:highlight w:val="none"/>
              </w:rPr>
              <w:t>5%</w:t>
            </w:r>
            <w:r>
              <w:rPr>
                <w:rFonts w:ascii="Arial" w:hAnsi="Times New Roman" w:eastAsia="宋体" w:cs="Times New Roman"/>
                <w:spacing w:val="-17"/>
                <w:sz w:val="21"/>
                <w:highlight w:val="none"/>
              </w:rPr>
              <w:t xml:space="preserve"> </w:t>
            </w:r>
            <w:r>
              <w:rPr>
                <w:rFonts w:ascii="Arial" w:eastAsia="宋体"/>
                <w:spacing w:val="3"/>
                <w:sz w:val="21"/>
                <w:highlight w:val="none"/>
              </w:rPr>
              <w:t>，新装栏杆尺寸、颜色</w:t>
            </w:r>
            <w:r>
              <w:rPr>
                <w:rFonts w:ascii="Arial" w:eastAsia="宋体"/>
                <w:spacing w:val="5"/>
                <w:sz w:val="21"/>
                <w:highlight w:val="none"/>
              </w:rPr>
              <w:t xml:space="preserve">等影响外观效果的，每发现一处，扣 </w:t>
            </w:r>
            <w:r>
              <w:rPr>
                <w:rFonts w:ascii="Arial" w:hAnsi="Times New Roman" w:eastAsia="宋体" w:cs="Times New Roman"/>
                <w:spacing w:val="5"/>
                <w:sz w:val="21"/>
                <w:highlight w:val="none"/>
              </w:rPr>
              <w:t>0.5</w:t>
            </w:r>
            <w:r>
              <w:rPr>
                <w:rFonts w:ascii="Arial" w:eastAsia="宋体"/>
                <w:sz w:val="21"/>
                <w:highlight w:val="none"/>
              </w:rPr>
              <w:t>分</w:t>
            </w:r>
            <w:r>
              <w:rPr>
                <w:rFonts w:hint="eastAsia" w:ascii="Arial" w:eastAsia="宋体"/>
                <w:sz w:val="21"/>
                <w:highlight w:val="none"/>
                <w:lang w:eastAsia="zh-CN"/>
              </w:rPr>
              <w:t>。</w:t>
            </w:r>
          </w:p>
        </w:tc>
        <w:tc>
          <w:tcPr>
            <w:tcW w:w="2176" w:type="dxa"/>
            <w:shd w:val="clear" w:color="auto" w:fill="auto"/>
            <w:vAlign w:val="center"/>
          </w:tcPr>
          <w:p w14:paraId="45FF5BF5">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477E9190">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175E9F92">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5523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405CB580">
            <w:pPr>
              <w:snapToGrid w:val="0"/>
              <w:ind w:left="0" w:leftChars="0" w:right="0" w:rightChars="0" w:firstLine="0" w:firstLineChars="0"/>
              <w:jc w:val="center"/>
              <w:rPr>
                <w:rFonts w:ascii="Arial" w:eastAsia="宋体"/>
                <w:b/>
                <w:bCs/>
                <w:sz w:val="21"/>
                <w:highlight w:val="none"/>
                <w:vertAlign w:val="baseline"/>
              </w:rPr>
            </w:pPr>
          </w:p>
        </w:tc>
        <w:tc>
          <w:tcPr>
            <w:tcW w:w="1044" w:type="dxa"/>
            <w:shd w:val="clear" w:color="auto" w:fill="auto"/>
            <w:vAlign w:val="center"/>
          </w:tcPr>
          <w:p w14:paraId="74D98161">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伸缩缝</w:t>
            </w:r>
          </w:p>
          <w:p w14:paraId="4DE9F8A7">
            <w:pPr>
              <w:snapToGrid w:val="0"/>
              <w:ind w:left="0" w:leftChars="0" w:right="0" w:rightChars="0" w:firstLine="0" w:firstLineChars="0"/>
              <w:jc w:val="center"/>
              <w:rPr>
                <w:rFonts w:hint="eastAsia" w:ascii="Arial" w:eastAsia="宋体"/>
                <w:sz w:val="21"/>
                <w:highlight w:val="none"/>
                <w:vertAlign w:val="baseline"/>
              </w:rPr>
            </w:pPr>
            <w:r>
              <w:rPr>
                <w:rFonts w:hint="eastAsia" w:ascii="Arial" w:eastAsia="宋体"/>
                <w:sz w:val="21"/>
                <w:highlight w:val="none"/>
                <w:vertAlign w:val="baseline"/>
                <w:lang w:val="en-US" w:eastAsia="zh-CN"/>
              </w:rPr>
              <w:t>（3分）</w:t>
            </w:r>
          </w:p>
        </w:tc>
        <w:tc>
          <w:tcPr>
            <w:tcW w:w="2735" w:type="dxa"/>
            <w:shd w:val="clear" w:color="auto" w:fill="auto"/>
            <w:vAlign w:val="center"/>
          </w:tcPr>
          <w:p w14:paraId="0F6CDF93">
            <w:pPr>
              <w:pStyle w:val="149"/>
              <w:snapToGrid w:val="0"/>
              <w:spacing w:before="172"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4"/>
                <w:sz w:val="21"/>
                <w:highlight w:val="none"/>
              </w:rPr>
              <w:t>伸缩缝定期保养清理，无杂物阻塞卡 死，混</w:t>
            </w:r>
            <w:r>
              <w:rPr>
                <w:rFonts w:ascii="Arial" w:eastAsia="宋体"/>
                <w:spacing w:val="2"/>
                <w:sz w:val="21"/>
                <w:highlight w:val="none"/>
              </w:rPr>
              <w:t>凝土保护带无明显碎裂破损，橡胶件无开裂、</w:t>
            </w:r>
            <w:r>
              <w:rPr>
                <w:rFonts w:ascii="Arial" w:eastAsia="宋体"/>
                <w:spacing w:val="4"/>
                <w:sz w:val="21"/>
                <w:highlight w:val="none"/>
              </w:rPr>
              <w:t>脱落、老化，联结部 件无松动、脱落、缺失或局部损伤等；</w:t>
            </w:r>
          </w:p>
        </w:tc>
        <w:tc>
          <w:tcPr>
            <w:tcW w:w="3000" w:type="dxa"/>
            <w:shd w:val="clear" w:color="auto" w:fill="auto"/>
            <w:vAlign w:val="center"/>
          </w:tcPr>
          <w:p w14:paraId="709C3E10">
            <w:pPr>
              <w:pStyle w:val="149"/>
              <w:snapToGrid w:val="0"/>
              <w:spacing w:before="13"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2"/>
                <w:sz w:val="21"/>
                <w:highlight w:val="none"/>
              </w:rPr>
              <w:t>止水带清理不干净每发现一处，扣</w:t>
            </w:r>
            <w:r>
              <w:rPr>
                <w:rFonts w:ascii="Arial" w:hAnsi="Times New Roman" w:eastAsia="宋体" w:cs="Times New Roman"/>
                <w:spacing w:val="2"/>
                <w:sz w:val="21"/>
                <w:highlight w:val="none"/>
              </w:rPr>
              <w:t>0.2</w:t>
            </w:r>
            <w:r>
              <w:rPr>
                <w:rFonts w:ascii="Arial" w:eastAsia="宋体"/>
                <w:spacing w:val="2"/>
                <w:sz w:val="21"/>
                <w:highlight w:val="none"/>
              </w:rPr>
              <w:t>分。</w:t>
            </w:r>
            <w:r>
              <w:rPr>
                <w:rFonts w:ascii="Arial" w:eastAsia="宋体"/>
                <w:spacing w:val="1"/>
                <w:sz w:val="21"/>
                <w:highlight w:val="none"/>
              </w:rPr>
              <w:t>伸缩缝松动、混凝土保护带有明显碎裂破损的，止水带开裂、脱落、老化的，联结部件松动、脱落、缺失或局部损伤等，每</w:t>
            </w:r>
            <w:r>
              <w:rPr>
                <w:rFonts w:ascii="Arial" w:eastAsia="宋体"/>
                <w:spacing w:val="3"/>
                <w:sz w:val="21"/>
                <w:highlight w:val="none"/>
              </w:rPr>
              <w:t>发现一处，扣</w:t>
            </w:r>
            <w:r>
              <w:rPr>
                <w:rFonts w:ascii="Arial" w:hAnsi="Times New Roman" w:eastAsia="宋体" w:cs="Times New Roman"/>
                <w:spacing w:val="3"/>
                <w:sz w:val="21"/>
                <w:highlight w:val="none"/>
              </w:rPr>
              <w:t>0.5</w:t>
            </w:r>
            <w:r>
              <w:rPr>
                <w:rFonts w:ascii="Arial" w:eastAsia="宋体"/>
                <w:spacing w:val="3"/>
                <w:sz w:val="21"/>
                <w:highlight w:val="none"/>
              </w:rPr>
              <w:t>分。</w:t>
            </w:r>
          </w:p>
        </w:tc>
        <w:tc>
          <w:tcPr>
            <w:tcW w:w="2176" w:type="dxa"/>
            <w:shd w:val="clear" w:color="auto" w:fill="auto"/>
            <w:vAlign w:val="center"/>
          </w:tcPr>
          <w:p w14:paraId="40E97D42">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38153D3C">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46679C09">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7373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73F9A39F">
            <w:pPr>
              <w:snapToGrid w:val="0"/>
              <w:ind w:left="0" w:leftChars="0" w:right="0" w:rightChars="0" w:firstLine="0" w:firstLineChars="0"/>
              <w:jc w:val="center"/>
              <w:rPr>
                <w:rFonts w:ascii="Arial" w:eastAsia="宋体"/>
                <w:b/>
                <w:bCs/>
                <w:sz w:val="21"/>
                <w:highlight w:val="none"/>
                <w:vertAlign w:val="baseline"/>
              </w:rPr>
            </w:pPr>
          </w:p>
        </w:tc>
        <w:tc>
          <w:tcPr>
            <w:tcW w:w="1044" w:type="dxa"/>
            <w:shd w:val="clear" w:color="auto" w:fill="auto"/>
            <w:vAlign w:val="center"/>
          </w:tcPr>
          <w:p w14:paraId="2FC9487C">
            <w:pPr>
              <w:snapToGrid w:val="0"/>
              <w:ind w:left="0" w:leftChars="0" w:right="0" w:rightChars="0" w:firstLine="0" w:firstLineChars="0"/>
              <w:jc w:val="center"/>
              <w:rPr>
                <w:rFonts w:hint="eastAsia" w:ascii="Arial" w:eastAsia="宋体"/>
                <w:sz w:val="21"/>
                <w:highlight w:val="none"/>
                <w:vertAlign w:val="baseline"/>
                <w:lang w:eastAsia="zh-CN"/>
              </w:rPr>
            </w:pPr>
            <w:r>
              <w:rPr>
                <w:rFonts w:ascii="Arial" w:eastAsia="宋体"/>
                <w:spacing w:val="9"/>
                <w:sz w:val="21"/>
                <w:highlight w:val="none"/>
              </w:rPr>
              <w:t>排水设施</w:t>
            </w:r>
            <w:r>
              <w:rPr>
                <w:rFonts w:hint="eastAsia" w:ascii="Arial" w:eastAsia="宋体"/>
                <w:spacing w:val="9"/>
                <w:sz w:val="21"/>
                <w:highlight w:val="none"/>
                <w:lang w:eastAsia="zh-CN"/>
              </w:rPr>
              <w:t>（</w:t>
            </w:r>
            <w:r>
              <w:rPr>
                <w:rFonts w:hint="eastAsia" w:ascii="Arial" w:eastAsia="宋体"/>
                <w:spacing w:val="9"/>
                <w:sz w:val="21"/>
                <w:highlight w:val="none"/>
                <w:lang w:val="en-US" w:eastAsia="zh-CN"/>
              </w:rPr>
              <w:t>3分</w:t>
            </w:r>
            <w:r>
              <w:rPr>
                <w:rFonts w:hint="eastAsia" w:ascii="Arial" w:eastAsia="宋体"/>
                <w:spacing w:val="9"/>
                <w:sz w:val="21"/>
                <w:highlight w:val="none"/>
                <w:lang w:eastAsia="zh-CN"/>
              </w:rPr>
              <w:t>）</w:t>
            </w:r>
          </w:p>
        </w:tc>
        <w:tc>
          <w:tcPr>
            <w:tcW w:w="2735" w:type="dxa"/>
            <w:shd w:val="clear" w:color="auto" w:fill="auto"/>
            <w:vAlign w:val="center"/>
          </w:tcPr>
          <w:p w14:paraId="17FCAA7E">
            <w:pPr>
              <w:pStyle w:val="149"/>
              <w:snapToGrid w:val="0"/>
              <w:spacing w:before="80"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9"/>
                <w:sz w:val="21"/>
                <w:highlight w:val="none"/>
              </w:rPr>
              <w:t>桥面排水设施良好，泄水孔无明显堵塞，桥</w:t>
            </w:r>
            <w:r>
              <w:rPr>
                <w:rFonts w:ascii="Arial" w:eastAsia="宋体"/>
                <w:spacing w:val="8"/>
                <w:sz w:val="21"/>
                <w:highlight w:val="none"/>
              </w:rPr>
              <w:t>面无积水，雨水篦子无缺损；</w:t>
            </w:r>
          </w:p>
        </w:tc>
        <w:tc>
          <w:tcPr>
            <w:tcW w:w="3000" w:type="dxa"/>
            <w:shd w:val="clear" w:color="auto" w:fill="auto"/>
            <w:vAlign w:val="center"/>
          </w:tcPr>
          <w:p w14:paraId="29E57ED1">
            <w:pPr>
              <w:pStyle w:val="149"/>
              <w:snapToGrid w:val="0"/>
              <w:spacing w:before="80"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泄水管堵塞或雨水篦子缺损的，每发现一</w:t>
            </w:r>
            <w:r>
              <w:rPr>
                <w:rFonts w:ascii="Arial" w:eastAsia="宋体"/>
                <w:spacing w:val="4"/>
                <w:sz w:val="21"/>
                <w:highlight w:val="none"/>
              </w:rPr>
              <w:t>处，扣</w:t>
            </w:r>
            <w:r>
              <w:rPr>
                <w:rFonts w:ascii="Arial" w:hAnsi="Times New Roman" w:eastAsia="宋体" w:cs="Times New Roman"/>
                <w:spacing w:val="4"/>
                <w:sz w:val="21"/>
                <w:highlight w:val="none"/>
              </w:rPr>
              <w:t>0.2</w:t>
            </w:r>
            <w:r>
              <w:rPr>
                <w:rFonts w:ascii="Arial" w:eastAsia="宋体"/>
                <w:spacing w:val="4"/>
                <w:sz w:val="21"/>
                <w:highlight w:val="none"/>
              </w:rPr>
              <w:t>分。</w:t>
            </w:r>
          </w:p>
        </w:tc>
        <w:tc>
          <w:tcPr>
            <w:tcW w:w="2176" w:type="dxa"/>
            <w:shd w:val="clear" w:color="auto" w:fill="auto"/>
            <w:vAlign w:val="center"/>
          </w:tcPr>
          <w:p w14:paraId="0AE56BDF">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5C55A683">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30533D46">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7592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7D037987">
            <w:pPr>
              <w:snapToGrid w:val="0"/>
              <w:ind w:left="0" w:leftChars="0" w:right="0" w:rightChars="0" w:firstLine="0" w:firstLineChars="0"/>
              <w:jc w:val="center"/>
              <w:rPr>
                <w:rFonts w:ascii="Arial" w:eastAsia="宋体"/>
                <w:b/>
                <w:bCs/>
                <w:sz w:val="21"/>
                <w:highlight w:val="none"/>
                <w:vertAlign w:val="baseline"/>
              </w:rPr>
            </w:pPr>
          </w:p>
        </w:tc>
        <w:tc>
          <w:tcPr>
            <w:tcW w:w="1044" w:type="dxa"/>
            <w:shd w:val="clear" w:color="auto" w:fill="auto"/>
            <w:vAlign w:val="center"/>
          </w:tcPr>
          <w:p w14:paraId="0005BA8F">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主体结构</w:t>
            </w:r>
            <w:r>
              <w:rPr>
                <w:rFonts w:hint="eastAsia" w:ascii="Arial" w:eastAsia="宋体"/>
                <w:sz w:val="21"/>
                <w:highlight w:val="none"/>
                <w:vertAlign w:val="baseline"/>
                <w:lang w:val="en-US" w:eastAsia="zh-CN"/>
              </w:rPr>
              <w:br w:type="textWrapping"/>
            </w:r>
            <w:r>
              <w:rPr>
                <w:rFonts w:hint="eastAsia" w:ascii="Arial" w:eastAsia="宋体"/>
                <w:sz w:val="21"/>
                <w:highlight w:val="none"/>
                <w:vertAlign w:val="baseline"/>
                <w:lang w:val="en-US" w:eastAsia="zh-CN"/>
              </w:rPr>
              <w:t>(梁体/支座/墩台)</w:t>
            </w:r>
          </w:p>
          <w:p w14:paraId="5FEC2CCE">
            <w:pPr>
              <w:snapToGrid w:val="0"/>
              <w:ind w:left="0" w:leftChars="0" w:right="0" w:rightChars="0" w:firstLine="0" w:firstLineChars="0"/>
              <w:jc w:val="center"/>
              <w:rPr>
                <w:rFonts w:hint="eastAsia" w:ascii="Arial" w:eastAsia="宋体"/>
                <w:sz w:val="21"/>
                <w:highlight w:val="none"/>
                <w:vertAlign w:val="baseline"/>
              </w:rPr>
            </w:pPr>
            <w:r>
              <w:rPr>
                <w:rFonts w:hint="eastAsia" w:ascii="Arial" w:eastAsia="宋体"/>
                <w:sz w:val="21"/>
                <w:highlight w:val="none"/>
                <w:vertAlign w:val="baseline"/>
                <w:lang w:val="en-US" w:eastAsia="zh-CN"/>
              </w:rPr>
              <w:t>（4分）</w:t>
            </w:r>
          </w:p>
        </w:tc>
        <w:tc>
          <w:tcPr>
            <w:tcW w:w="2735" w:type="dxa"/>
            <w:shd w:val="clear" w:color="auto" w:fill="auto"/>
            <w:vAlign w:val="center"/>
          </w:tcPr>
          <w:p w14:paraId="6E419BBC">
            <w:pPr>
              <w:pStyle w:val="149"/>
              <w:snapToGrid w:val="0"/>
              <w:spacing w:before="71"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9"/>
                <w:sz w:val="21"/>
                <w:highlight w:val="none"/>
              </w:rPr>
              <w:t>梁体结构、支座、挡墙、墩台等部位设施完</w:t>
            </w:r>
            <w:r>
              <w:rPr>
                <w:rFonts w:ascii="Arial" w:eastAsia="宋体"/>
                <w:spacing w:val="7"/>
                <w:sz w:val="21"/>
                <w:highlight w:val="none"/>
              </w:rPr>
              <w:t>好，无明显病害；</w:t>
            </w:r>
          </w:p>
        </w:tc>
        <w:tc>
          <w:tcPr>
            <w:tcW w:w="3000" w:type="dxa"/>
            <w:shd w:val="clear" w:color="auto" w:fill="auto"/>
            <w:vAlign w:val="center"/>
          </w:tcPr>
          <w:p w14:paraId="2C007C61">
            <w:pPr>
              <w:pStyle w:val="149"/>
              <w:snapToGrid w:val="0"/>
              <w:spacing w:before="39"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8"/>
                <w:sz w:val="21"/>
                <w:highlight w:val="none"/>
              </w:rPr>
              <w:t>结构部位有明显病害，每发现一处，扣</w:t>
            </w:r>
            <w:r>
              <w:rPr>
                <w:rFonts w:ascii="Arial" w:hAnsi="Times New Roman" w:eastAsia="宋体" w:cs="Times New Roman"/>
                <w:spacing w:val="8"/>
                <w:sz w:val="21"/>
                <w:highlight w:val="none"/>
              </w:rPr>
              <w:t>2</w:t>
            </w:r>
            <w:r>
              <w:rPr>
                <w:rFonts w:ascii="Arial" w:eastAsia="宋体"/>
                <w:spacing w:val="-1"/>
                <w:sz w:val="21"/>
                <w:highlight w:val="none"/>
              </w:rPr>
              <w:t>分。</w:t>
            </w:r>
          </w:p>
        </w:tc>
        <w:tc>
          <w:tcPr>
            <w:tcW w:w="2176" w:type="dxa"/>
            <w:shd w:val="clear" w:color="auto" w:fill="auto"/>
            <w:vAlign w:val="center"/>
          </w:tcPr>
          <w:p w14:paraId="68A89980">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345FF875">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15048EC2">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3027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75B97C94">
            <w:pPr>
              <w:snapToGrid w:val="0"/>
              <w:ind w:left="0" w:leftChars="0" w:right="0" w:rightChars="0" w:firstLine="0" w:firstLineChars="0"/>
              <w:jc w:val="center"/>
              <w:rPr>
                <w:rFonts w:ascii="Arial" w:eastAsia="宋体"/>
                <w:b/>
                <w:bCs/>
                <w:sz w:val="21"/>
                <w:highlight w:val="none"/>
                <w:vertAlign w:val="baseline"/>
              </w:rPr>
            </w:pPr>
          </w:p>
        </w:tc>
        <w:tc>
          <w:tcPr>
            <w:tcW w:w="1044" w:type="dxa"/>
            <w:shd w:val="clear" w:color="auto" w:fill="auto"/>
            <w:vAlign w:val="center"/>
          </w:tcPr>
          <w:p w14:paraId="3FB3C7F2">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桥下空间</w:t>
            </w:r>
          </w:p>
          <w:p w14:paraId="04B26B61">
            <w:pPr>
              <w:snapToGrid w:val="0"/>
              <w:ind w:left="0" w:leftChars="0" w:right="0" w:rightChars="0" w:firstLine="0" w:firstLineChars="0"/>
              <w:jc w:val="center"/>
              <w:rPr>
                <w:rFonts w:hint="eastAsia" w:ascii="Arial" w:eastAsia="宋体"/>
                <w:sz w:val="21"/>
                <w:highlight w:val="none"/>
                <w:vertAlign w:val="baseline"/>
              </w:rPr>
            </w:pPr>
            <w:r>
              <w:rPr>
                <w:rFonts w:hint="eastAsia" w:ascii="Arial" w:eastAsia="宋体"/>
                <w:sz w:val="21"/>
                <w:highlight w:val="none"/>
                <w:vertAlign w:val="baseline"/>
                <w:lang w:val="en-US" w:eastAsia="zh-CN"/>
              </w:rPr>
              <w:t>（4分）</w:t>
            </w:r>
          </w:p>
        </w:tc>
        <w:tc>
          <w:tcPr>
            <w:tcW w:w="2735" w:type="dxa"/>
            <w:shd w:val="clear" w:color="auto" w:fill="auto"/>
            <w:vAlign w:val="center"/>
          </w:tcPr>
          <w:p w14:paraId="0E771C2D">
            <w:pPr>
              <w:pStyle w:val="149"/>
              <w:snapToGrid w:val="0"/>
              <w:spacing w:before="210"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8"/>
                <w:sz w:val="21"/>
                <w:highlight w:val="none"/>
              </w:rPr>
              <w:t>桥下空间使用规范合理，随桥管线规范。</w:t>
            </w:r>
          </w:p>
        </w:tc>
        <w:tc>
          <w:tcPr>
            <w:tcW w:w="3000" w:type="dxa"/>
            <w:shd w:val="clear" w:color="auto" w:fill="auto"/>
            <w:vAlign w:val="center"/>
          </w:tcPr>
          <w:p w14:paraId="0C3ED052">
            <w:pPr>
              <w:pStyle w:val="149"/>
              <w:snapToGrid w:val="0"/>
              <w:spacing w:before="71"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6"/>
                <w:sz w:val="21"/>
                <w:highlight w:val="none"/>
              </w:rPr>
              <w:t>桥下空间、随桥管线杂乱，有安全隐患的，</w:t>
            </w:r>
            <w:r>
              <w:rPr>
                <w:rFonts w:ascii="Arial" w:eastAsia="宋体"/>
                <w:spacing w:val="4"/>
                <w:sz w:val="21"/>
                <w:highlight w:val="none"/>
              </w:rPr>
              <w:t>每发现一处，扣</w:t>
            </w:r>
            <w:r>
              <w:rPr>
                <w:rFonts w:ascii="Arial" w:hAnsi="Times New Roman" w:eastAsia="宋体" w:cs="Times New Roman"/>
                <w:spacing w:val="4"/>
                <w:sz w:val="21"/>
                <w:highlight w:val="none"/>
              </w:rPr>
              <w:t>1</w:t>
            </w:r>
            <w:r>
              <w:rPr>
                <w:rFonts w:ascii="Arial" w:eastAsia="宋体"/>
                <w:spacing w:val="4"/>
                <w:sz w:val="21"/>
                <w:highlight w:val="none"/>
              </w:rPr>
              <w:t>分。</w:t>
            </w:r>
          </w:p>
        </w:tc>
        <w:tc>
          <w:tcPr>
            <w:tcW w:w="2176" w:type="dxa"/>
            <w:shd w:val="clear" w:color="auto" w:fill="auto"/>
            <w:vAlign w:val="center"/>
          </w:tcPr>
          <w:p w14:paraId="303FF0A0">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3D04DF3A">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12AD8F43">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317C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6782290C">
            <w:pPr>
              <w:snapToGrid w:val="0"/>
              <w:ind w:left="0" w:leftChars="0" w:right="0" w:rightChars="0" w:firstLine="0" w:firstLineChars="0"/>
              <w:jc w:val="center"/>
              <w:rPr>
                <w:rFonts w:ascii="Arial" w:eastAsia="宋体"/>
                <w:b/>
                <w:bCs/>
                <w:sz w:val="21"/>
                <w:highlight w:val="none"/>
                <w:vertAlign w:val="baseline"/>
              </w:rPr>
            </w:pPr>
          </w:p>
        </w:tc>
        <w:tc>
          <w:tcPr>
            <w:tcW w:w="1044" w:type="dxa"/>
            <w:shd w:val="clear" w:color="auto" w:fill="auto"/>
            <w:vAlign w:val="center"/>
          </w:tcPr>
          <w:p w14:paraId="0D452060">
            <w:pPr>
              <w:snapToGrid w:val="0"/>
              <w:ind w:left="0" w:leftChars="0" w:right="0" w:rightChars="0" w:firstLine="0" w:firstLineChars="0"/>
              <w:jc w:val="center"/>
              <w:rPr>
                <w:rFonts w:ascii="Arial" w:eastAsia="宋体"/>
                <w:spacing w:val="8"/>
                <w:sz w:val="21"/>
                <w:highlight w:val="none"/>
              </w:rPr>
            </w:pPr>
            <w:r>
              <w:rPr>
                <w:rFonts w:ascii="Arial" w:eastAsia="宋体"/>
                <w:spacing w:val="8"/>
                <w:sz w:val="21"/>
                <w:highlight w:val="none"/>
              </w:rPr>
              <w:t>安全防护设施</w:t>
            </w:r>
          </w:p>
          <w:p w14:paraId="51903627">
            <w:pPr>
              <w:snapToGrid w:val="0"/>
              <w:ind w:left="0" w:leftChars="0" w:right="0" w:rightChars="0" w:firstLine="0" w:firstLineChars="0"/>
              <w:jc w:val="center"/>
              <w:rPr>
                <w:rFonts w:hint="eastAsia" w:ascii="Arial" w:eastAsia="宋体"/>
                <w:sz w:val="21"/>
                <w:highlight w:val="none"/>
                <w:vertAlign w:val="baseline"/>
                <w:lang w:eastAsia="zh-CN"/>
              </w:rPr>
            </w:pPr>
            <w:r>
              <w:rPr>
                <w:rFonts w:hint="eastAsia" w:ascii="Arial" w:eastAsia="宋体"/>
                <w:spacing w:val="8"/>
                <w:sz w:val="21"/>
                <w:highlight w:val="none"/>
                <w:lang w:eastAsia="zh-CN"/>
              </w:rPr>
              <w:t>（</w:t>
            </w:r>
            <w:r>
              <w:rPr>
                <w:rFonts w:hint="eastAsia" w:ascii="Arial" w:eastAsia="宋体"/>
                <w:spacing w:val="8"/>
                <w:sz w:val="21"/>
                <w:highlight w:val="none"/>
                <w:lang w:val="en-US" w:eastAsia="zh-CN"/>
              </w:rPr>
              <w:t>3分</w:t>
            </w:r>
            <w:r>
              <w:rPr>
                <w:rFonts w:hint="eastAsia" w:ascii="Arial" w:eastAsia="宋体"/>
                <w:spacing w:val="8"/>
                <w:sz w:val="21"/>
                <w:highlight w:val="none"/>
                <w:lang w:eastAsia="zh-CN"/>
              </w:rPr>
              <w:t>）</w:t>
            </w:r>
          </w:p>
        </w:tc>
        <w:tc>
          <w:tcPr>
            <w:tcW w:w="2735" w:type="dxa"/>
            <w:shd w:val="clear" w:color="auto" w:fill="auto"/>
            <w:vAlign w:val="center"/>
          </w:tcPr>
          <w:p w14:paraId="03C02EBA">
            <w:pPr>
              <w:pStyle w:val="149"/>
              <w:snapToGrid w:val="0"/>
              <w:spacing w:before="150"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8"/>
                <w:sz w:val="21"/>
                <w:highlight w:val="none"/>
              </w:rPr>
              <w:t>桥梁铭牌、限载牌等安全防护设施完好；</w:t>
            </w:r>
          </w:p>
        </w:tc>
        <w:tc>
          <w:tcPr>
            <w:tcW w:w="3000" w:type="dxa"/>
            <w:shd w:val="clear" w:color="auto" w:fill="auto"/>
            <w:vAlign w:val="center"/>
          </w:tcPr>
          <w:p w14:paraId="3484FF50">
            <w:pPr>
              <w:pStyle w:val="149"/>
              <w:snapToGrid w:val="0"/>
              <w:spacing w:before="118"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4"/>
                <w:position w:val="1"/>
                <w:sz w:val="21"/>
                <w:highlight w:val="none"/>
              </w:rPr>
              <w:t>附属设施缺损的，每发现一处，扣</w:t>
            </w:r>
            <w:r>
              <w:rPr>
                <w:rFonts w:ascii="Arial" w:hAnsi="Times New Roman" w:eastAsia="宋体" w:cs="Times New Roman"/>
                <w:spacing w:val="-4"/>
                <w:position w:val="1"/>
                <w:sz w:val="21"/>
                <w:highlight w:val="none"/>
              </w:rPr>
              <w:t xml:space="preserve">0.2  </w:t>
            </w:r>
            <w:r>
              <w:rPr>
                <w:rFonts w:ascii="Arial" w:eastAsia="宋体"/>
                <w:spacing w:val="-4"/>
                <w:position w:val="1"/>
                <w:sz w:val="21"/>
                <w:highlight w:val="none"/>
              </w:rPr>
              <w:t>分。</w:t>
            </w:r>
          </w:p>
        </w:tc>
        <w:tc>
          <w:tcPr>
            <w:tcW w:w="2176" w:type="dxa"/>
            <w:shd w:val="clear" w:color="auto" w:fill="auto"/>
            <w:vAlign w:val="center"/>
          </w:tcPr>
          <w:p w14:paraId="09C0C18C">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shd w:val="clear" w:color="auto" w:fill="auto"/>
            <w:vAlign w:val="center"/>
          </w:tcPr>
          <w:p w14:paraId="66E947C3">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2C92B742">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41F4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restart"/>
            <w:shd w:val="clear" w:color="auto" w:fill="auto"/>
            <w:vAlign w:val="center"/>
          </w:tcPr>
          <w:p w14:paraId="4D0A95A6">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b/>
                <w:bCs/>
                <w:sz w:val="21"/>
                <w:highlight w:val="none"/>
                <w:vertAlign w:val="baseline"/>
                <w:lang w:val="en-US" w:eastAsia="zh-CN"/>
              </w:rPr>
              <w:t>巡查情况（7分）</w:t>
            </w:r>
          </w:p>
        </w:tc>
        <w:tc>
          <w:tcPr>
            <w:tcW w:w="1044" w:type="dxa"/>
            <w:shd w:val="clear" w:color="auto" w:fill="auto"/>
            <w:vAlign w:val="center"/>
          </w:tcPr>
          <w:p w14:paraId="290FB42F">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沥青路面病害发现</w:t>
            </w:r>
          </w:p>
          <w:p w14:paraId="2AF911FF">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2"/>
                <w:sz w:val="21"/>
                <w:highlight w:val="none"/>
                <w:lang w:eastAsia="zh-CN"/>
              </w:rPr>
              <w:t>（</w:t>
            </w:r>
            <w:r>
              <w:rPr>
                <w:rFonts w:hint="eastAsia" w:ascii="Arial" w:eastAsia="宋体"/>
                <w:spacing w:val="2"/>
                <w:sz w:val="21"/>
                <w:highlight w:val="none"/>
                <w:lang w:val="en-US" w:eastAsia="zh-CN"/>
              </w:rPr>
              <w:t>3分</w:t>
            </w:r>
            <w:r>
              <w:rPr>
                <w:rFonts w:hint="eastAsia" w:ascii="Arial" w:eastAsia="宋体"/>
                <w:spacing w:val="2"/>
                <w:sz w:val="21"/>
                <w:highlight w:val="none"/>
                <w:lang w:eastAsia="zh-CN"/>
              </w:rPr>
              <w:t>）</w:t>
            </w:r>
          </w:p>
        </w:tc>
        <w:tc>
          <w:tcPr>
            <w:tcW w:w="2735" w:type="dxa"/>
            <w:shd w:val="clear" w:color="auto" w:fill="auto"/>
            <w:vAlign w:val="center"/>
          </w:tcPr>
          <w:p w14:paraId="7E80262A">
            <w:pPr>
              <w:pStyle w:val="149"/>
              <w:snapToGrid w:val="0"/>
              <w:spacing w:before="216" w:line="240" w:lineRule="auto"/>
              <w:ind w:left="0" w:leftChars="0" w:right="0" w:rightChars="0" w:firstLine="0" w:firstLineChars="0"/>
              <w:jc w:val="left"/>
              <w:rPr>
                <w:rFonts w:hint="eastAsia" w:ascii="Arial" w:eastAsia="宋体"/>
                <w:spacing w:val="8"/>
                <w:sz w:val="21"/>
                <w:highlight w:val="none"/>
                <w:lang w:val="en-US" w:eastAsia="zh-CN"/>
              </w:rPr>
            </w:pPr>
            <w:r>
              <w:rPr>
                <w:rFonts w:ascii="Arial" w:eastAsia="宋体"/>
                <w:spacing w:val="2"/>
                <w:sz w:val="21"/>
                <w:highlight w:val="none"/>
              </w:rPr>
              <w:t>沥青路面无拥包、坑槽、沉陷、脱皮等病害；</w:t>
            </w:r>
          </w:p>
        </w:tc>
        <w:tc>
          <w:tcPr>
            <w:tcW w:w="3000" w:type="dxa"/>
            <w:shd w:val="clear" w:color="auto" w:fill="auto"/>
            <w:vAlign w:val="center"/>
          </w:tcPr>
          <w:p w14:paraId="547E7F3D">
            <w:pPr>
              <w:pStyle w:val="149"/>
              <w:snapToGrid w:val="0"/>
              <w:spacing w:before="77" w:line="240" w:lineRule="auto"/>
              <w:ind w:left="0" w:leftChars="0" w:right="0" w:rightChars="0" w:firstLine="0" w:firstLineChars="0"/>
              <w:jc w:val="left"/>
              <w:rPr>
                <w:rFonts w:hint="eastAsia" w:ascii="Arial" w:eastAsia="宋体"/>
                <w:spacing w:val="8"/>
                <w:sz w:val="21"/>
                <w:highlight w:val="none"/>
                <w:lang w:val="en-US" w:eastAsia="zh-CN"/>
              </w:rPr>
            </w:pPr>
            <w:r>
              <w:rPr>
                <w:rFonts w:ascii="Arial" w:eastAsia="宋体"/>
                <w:spacing w:val="5"/>
                <w:sz w:val="21"/>
                <w:highlight w:val="none"/>
              </w:rPr>
              <w:t>巡查过程中未发现沥青路面拥抱、坑槽、沉陷、脱皮等病害，每处扣</w:t>
            </w:r>
            <w:r>
              <w:rPr>
                <w:rFonts w:ascii="Arial" w:hAnsi="Times New Roman" w:eastAsia="宋体" w:cs="Times New Roman"/>
                <w:spacing w:val="5"/>
                <w:sz w:val="21"/>
                <w:highlight w:val="none"/>
              </w:rPr>
              <w:t>0.2</w:t>
            </w:r>
            <w:r>
              <w:rPr>
                <w:rFonts w:ascii="Arial" w:eastAsia="宋体"/>
                <w:spacing w:val="5"/>
                <w:sz w:val="21"/>
                <w:highlight w:val="none"/>
              </w:rPr>
              <w:t>分。</w:t>
            </w:r>
          </w:p>
        </w:tc>
        <w:tc>
          <w:tcPr>
            <w:tcW w:w="2176" w:type="dxa"/>
            <w:shd w:val="clear" w:color="auto" w:fill="auto"/>
            <w:vAlign w:val="center"/>
          </w:tcPr>
          <w:p w14:paraId="39CBF249">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w:t>
            </w:r>
          </w:p>
        </w:tc>
        <w:tc>
          <w:tcPr>
            <w:tcW w:w="660" w:type="dxa"/>
            <w:shd w:val="clear" w:color="auto" w:fill="auto"/>
            <w:vAlign w:val="center"/>
          </w:tcPr>
          <w:p w14:paraId="1CC9A75C">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18BED627">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696B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550E411A">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1D2A347E">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人行道病害发现</w:t>
            </w:r>
          </w:p>
          <w:p w14:paraId="52BB64A3">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（2分）</w:t>
            </w:r>
          </w:p>
        </w:tc>
        <w:tc>
          <w:tcPr>
            <w:tcW w:w="2735" w:type="dxa"/>
            <w:shd w:val="clear" w:color="auto" w:fill="auto"/>
            <w:vAlign w:val="center"/>
          </w:tcPr>
          <w:p w14:paraId="223BFA70">
            <w:pPr>
              <w:pStyle w:val="149"/>
              <w:snapToGrid w:val="0"/>
              <w:spacing w:before="188" w:line="240" w:lineRule="auto"/>
              <w:ind w:left="0" w:leftChars="0" w:right="0" w:rightChars="0" w:firstLine="0" w:firstLineChars="0"/>
              <w:jc w:val="left"/>
              <w:rPr>
                <w:rFonts w:hint="eastAsia" w:ascii="Arial" w:eastAsia="宋体"/>
                <w:spacing w:val="8"/>
                <w:sz w:val="21"/>
                <w:highlight w:val="none"/>
                <w:lang w:val="en-US" w:eastAsia="zh-CN"/>
              </w:rPr>
            </w:pPr>
            <w:r>
              <w:rPr>
                <w:rFonts w:ascii="Arial" w:eastAsia="宋体"/>
                <w:spacing w:val="9"/>
                <w:sz w:val="21"/>
                <w:highlight w:val="none"/>
              </w:rPr>
              <w:t>人行道砌块无松动、碎裂、沉陷、缺失、砌</w:t>
            </w:r>
            <w:r>
              <w:rPr>
                <w:rFonts w:ascii="Arial" w:eastAsia="宋体"/>
                <w:spacing w:val="5"/>
                <w:sz w:val="21"/>
                <w:highlight w:val="none"/>
              </w:rPr>
              <w:t>块高差大于</w:t>
            </w:r>
            <w:r>
              <w:rPr>
                <w:rFonts w:ascii="Arial" w:eastAsia="宋体"/>
                <w:spacing w:val="36"/>
                <w:sz w:val="21"/>
                <w:highlight w:val="none"/>
              </w:rPr>
              <w:t xml:space="preserve"> </w:t>
            </w:r>
            <w:r>
              <w:rPr>
                <w:rFonts w:ascii="Arial" w:hAnsi="Times New Roman" w:eastAsia="宋体" w:cs="Times New Roman"/>
                <w:spacing w:val="5"/>
                <w:sz w:val="21"/>
                <w:highlight w:val="none"/>
              </w:rPr>
              <w:t>1</w:t>
            </w:r>
            <w:r>
              <w:rPr>
                <w:rFonts w:ascii="Arial" w:hAnsi="Times New Roman" w:eastAsia="宋体" w:cs="Times New Roman"/>
                <w:sz w:val="21"/>
                <w:highlight w:val="none"/>
              </w:rPr>
              <w:t>cm</w:t>
            </w:r>
            <w:r>
              <w:rPr>
                <w:rFonts w:ascii="Arial" w:eastAsia="宋体"/>
                <w:spacing w:val="5"/>
                <w:sz w:val="21"/>
                <w:highlight w:val="none"/>
              </w:rPr>
              <w:t>现象；</w:t>
            </w:r>
          </w:p>
        </w:tc>
        <w:tc>
          <w:tcPr>
            <w:tcW w:w="3000" w:type="dxa"/>
            <w:shd w:val="clear" w:color="auto" w:fill="auto"/>
            <w:vAlign w:val="center"/>
          </w:tcPr>
          <w:p w14:paraId="54D85FD8">
            <w:pPr>
              <w:pStyle w:val="149"/>
              <w:snapToGrid w:val="0"/>
              <w:spacing w:before="46" w:line="240" w:lineRule="auto"/>
              <w:ind w:left="0" w:leftChars="0" w:right="0" w:rightChars="0" w:firstLine="0" w:firstLineChars="0"/>
              <w:jc w:val="left"/>
              <w:rPr>
                <w:rFonts w:hint="eastAsia" w:ascii="Arial" w:eastAsia="宋体"/>
                <w:spacing w:val="8"/>
                <w:sz w:val="21"/>
                <w:highlight w:val="none"/>
                <w:lang w:val="en-US" w:eastAsia="zh-CN"/>
              </w:rPr>
            </w:pPr>
            <w:r>
              <w:rPr>
                <w:rFonts w:ascii="Arial" w:eastAsia="宋体"/>
                <w:spacing w:val="5"/>
                <w:sz w:val="21"/>
                <w:highlight w:val="none"/>
              </w:rPr>
              <w:t>巡查过程中未发现人行道砌块有松动、碎</w:t>
            </w:r>
            <w:r>
              <w:rPr>
                <w:rFonts w:ascii="Arial" w:eastAsia="宋体"/>
                <w:spacing w:val="8"/>
                <w:sz w:val="21"/>
                <w:highlight w:val="none"/>
              </w:rPr>
              <w:t>裂、沉陷、缺失、砌块高差大于</w:t>
            </w:r>
            <w:r>
              <w:rPr>
                <w:rFonts w:ascii="Arial" w:hAnsi="Times New Roman" w:eastAsia="宋体" w:cs="Times New Roman"/>
                <w:spacing w:val="8"/>
                <w:sz w:val="21"/>
                <w:highlight w:val="none"/>
              </w:rPr>
              <w:t>1</w:t>
            </w:r>
            <w:r>
              <w:rPr>
                <w:rFonts w:ascii="Arial" w:hAnsi="Times New Roman" w:eastAsia="宋体" w:cs="Times New Roman"/>
                <w:sz w:val="21"/>
                <w:highlight w:val="none"/>
              </w:rPr>
              <w:t>cm</w:t>
            </w:r>
            <w:r>
              <w:rPr>
                <w:rFonts w:ascii="Arial" w:eastAsia="宋体"/>
                <w:spacing w:val="8"/>
                <w:sz w:val="21"/>
                <w:highlight w:val="none"/>
              </w:rPr>
              <w:t>现象</w:t>
            </w:r>
            <w:r>
              <w:rPr>
                <w:rFonts w:ascii="Arial" w:eastAsia="宋体"/>
                <w:spacing w:val="5"/>
                <w:sz w:val="21"/>
                <w:highlight w:val="none"/>
              </w:rPr>
              <w:t xml:space="preserve">的，每处扣 </w:t>
            </w:r>
            <w:r>
              <w:rPr>
                <w:rFonts w:ascii="Arial" w:hAnsi="Times New Roman" w:eastAsia="宋体" w:cs="Times New Roman"/>
                <w:spacing w:val="5"/>
                <w:sz w:val="21"/>
                <w:highlight w:val="none"/>
              </w:rPr>
              <w:t>0.1</w:t>
            </w:r>
            <w:r>
              <w:rPr>
                <w:rFonts w:ascii="Arial" w:hAnsi="Times New Roman" w:eastAsia="宋体" w:cs="Times New Roman"/>
                <w:spacing w:val="7"/>
                <w:sz w:val="21"/>
                <w:highlight w:val="none"/>
              </w:rPr>
              <w:t xml:space="preserve"> </w:t>
            </w:r>
            <w:r>
              <w:rPr>
                <w:rFonts w:ascii="Arial" w:eastAsia="宋体"/>
                <w:spacing w:val="5"/>
                <w:sz w:val="21"/>
                <w:highlight w:val="none"/>
              </w:rPr>
              <w:t>分。</w:t>
            </w:r>
          </w:p>
        </w:tc>
        <w:tc>
          <w:tcPr>
            <w:tcW w:w="2176" w:type="dxa"/>
            <w:shd w:val="clear" w:color="auto" w:fill="auto"/>
            <w:vAlign w:val="center"/>
          </w:tcPr>
          <w:p w14:paraId="0BB7BE11">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w:t>
            </w:r>
          </w:p>
        </w:tc>
        <w:tc>
          <w:tcPr>
            <w:tcW w:w="660" w:type="dxa"/>
            <w:shd w:val="clear" w:color="auto" w:fill="auto"/>
            <w:vAlign w:val="center"/>
          </w:tcPr>
          <w:p w14:paraId="273A8A90">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7A6DC9F9">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19CD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1A2EFAE4">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32D26E7C">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防撞墩、隔离栏等设施设施</w:t>
            </w:r>
          </w:p>
          <w:p w14:paraId="300AC7B4">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（2分）</w:t>
            </w:r>
          </w:p>
        </w:tc>
        <w:tc>
          <w:tcPr>
            <w:tcW w:w="2735" w:type="dxa"/>
            <w:shd w:val="clear" w:color="auto" w:fill="auto"/>
            <w:vAlign w:val="center"/>
          </w:tcPr>
          <w:p w14:paraId="5DDCD0AF">
            <w:pPr>
              <w:pStyle w:val="149"/>
              <w:snapToGrid w:val="0"/>
              <w:spacing w:before="229" w:line="240" w:lineRule="auto"/>
              <w:ind w:left="0" w:leftChars="0" w:right="0" w:rightChars="0" w:firstLine="0" w:firstLineChars="0"/>
              <w:jc w:val="left"/>
              <w:rPr>
                <w:rFonts w:hint="eastAsia" w:ascii="Arial" w:eastAsia="宋体"/>
                <w:spacing w:val="8"/>
                <w:sz w:val="21"/>
                <w:highlight w:val="none"/>
                <w:lang w:val="en-US" w:eastAsia="zh-CN"/>
              </w:rPr>
            </w:pPr>
            <w:r>
              <w:rPr>
                <w:rFonts w:ascii="Arial" w:eastAsia="宋体"/>
                <w:spacing w:val="8"/>
                <w:sz w:val="21"/>
                <w:highlight w:val="none"/>
              </w:rPr>
              <w:t>防撞墩、隔离</w:t>
            </w:r>
            <w:r>
              <w:rPr>
                <w:rFonts w:hint="eastAsia" w:ascii="Arial" w:eastAsia="宋体"/>
                <w:spacing w:val="8"/>
                <w:sz w:val="21"/>
                <w:highlight w:val="none"/>
                <w:lang w:eastAsia="zh-CN"/>
              </w:rPr>
              <w:t>栏等市政</w:t>
            </w:r>
            <w:r>
              <w:rPr>
                <w:rFonts w:ascii="Arial" w:eastAsia="宋体"/>
                <w:spacing w:val="8"/>
                <w:sz w:val="21"/>
                <w:highlight w:val="none"/>
              </w:rPr>
              <w:t>设施完整、美观、无病害</w:t>
            </w:r>
          </w:p>
        </w:tc>
        <w:tc>
          <w:tcPr>
            <w:tcW w:w="3000" w:type="dxa"/>
            <w:shd w:val="clear" w:color="auto" w:fill="auto"/>
            <w:vAlign w:val="center"/>
          </w:tcPr>
          <w:p w14:paraId="60D4127D">
            <w:pPr>
              <w:pStyle w:val="149"/>
              <w:snapToGrid w:val="0"/>
              <w:spacing w:before="90" w:line="240" w:lineRule="auto"/>
              <w:ind w:left="0" w:leftChars="0" w:right="0" w:rightChars="0" w:firstLine="0" w:firstLineChars="0"/>
              <w:jc w:val="left"/>
              <w:rPr>
                <w:rFonts w:hint="eastAsia" w:ascii="Arial" w:eastAsia="宋体"/>
                <w:spacing w:val="8"/>
                <w:sz w:val="21"/>
                <w:highlight w:val="none"/>
                <w:lang w:val="en-US" w:eastAsia="zh-CN"/>
              </w:rPr>
            </w:pPr>
            <w:r>
              <w:rPr>
                <w:rFonts w:ascii="Arial" w:eastAsia="宋体"/>
                <w:spacing w:val="1"/>
                <w:sz w:val="21"/>
                <w:highlight w:val="none"/>
              </w:rPr>
              <w:t>巡查过程中未发现防撞墩松动、缺失，或</w:t>
            </w:r>
            <w:r>
              <w:rPr>
                <w:rFonts w:ascii="Arial" w:eastAsia="宋体"/>
                <w:sz w:val="21"/>
                <w:highlight w:val="none"/>
              </w:rPr>
              <w:t>反光标志破损影响安全的，每处扣</w:t>
            </w:r>
            <w:r>
              <w:rPr>
                <w:rFonts w:ascii="Arial" w:hAnsi="Times New Roman" w:eastAsia="宋体" w:cs="Times New Roman"/>
                <w:sz w:val="21"/>
                <w:highlight w:val="none"/>
              </w:rPr>
              <w:t>0.</w:t>
            </w:r>
            <w:r>
              <w:rPr>
                <w:rFonts w:ascii="Arial" w:hAnsi="Times New Roman" w:eastAsia="宋体" w:cs="Times New Roman"/>
                <w:spacing w:val="-8"/>
                <w:sz w:val="21"/>
                <w:highlight w:val="none"/>
              </w:rPr>
              <w:t xml:space="preserve"> </w:t>
            </w:r>
            <w:r>
              <w:rPr>
                <w:rFonts w:ascii="Arial" w:hAnsi="Times New Roman" w:eastAsia="宋体" w:cs="Times New Roman"/>
                <w:sz w:val="21"/>
                <w:highlight w:val="none"/>
              </w:rPr>
              <w:t>1</w:t>
            </w:r>
            <w:r>
              <w:rPr>
                <w:rFonts w:ascii="Arial" w:eastAsia="宋体"/>
                <w:sz w:val="21"/>
                <w:highlight w:val="none"/>
              </w:rPr>
              <w:t>分。</w:t>
            </w:r>
          </w:p>
        </w:tc>
        <w:tc>
          <w:tcPr>
            <w:tcW w:w="2176" w:type="dxa"/>
            <w:shd w:val="clear" w:color="auto" w:fill="auto"/>
            <w:vAlign w:val="center"/>
          </w:tcPr>
          <w:p w14:paraId="384BBE6C">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w:t>
            </w:r>
          </w:p>
        </w:tc>
        <w:tc>
          <w:tcPr>
            <w:tcW w:w="660" w:type="dxa"/>
            <w:shd w:val="clear" w:color="auto" w:fill="auto"/>
            <w:vAlign w:val="center"/>
          </w:tcPr>
          <w:p w14:paraId="666E3013">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3DD3EEBA">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7E6B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restart"/>
            <w:shd w:val="clear" w:color="auto" w:fill="auto"/>
            <w:vAlign w:val="center"/>
          </w:tcPr>
          <w:p w14:paraId="4637540C">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b/>
                <w:bCs/>
                <w:sz w:val="21"/>
                <w:highlight w:val="none"/>
                <w:vertAlign w:val="baseline"/>
                <w:lang w:val="en-US" w:eastAsia="zh-CN"/>
              </w:rPr>
              <w:t>其他/综合（18分）</w:t>
            </w:r>
          </w:p>
        </w:tc>
        <w:tc>
          <w:tcPr>
            <w:tcW w:w="1044" w:type="dxa"/>
            <w:shd w:val="clear" w:color="auto" w:fill="auto"/>
            <w:vAlign w:val="center"/>
          </w:tcPr>
          <w:p w14:paraId="47C44D14">
            <w:pPr>
              <w:snapToGrid w:val="0"/>
              <w:ind w:left="0" w:leftChars="0" w:right="0" w:rightChars="0" w:firstLine="0" w:firstLineChars="0"/>
              <w:jc w:val="center"/>
              <w:rPr>
                <w:rFonts w:hint="eastAsia" w:ascii="Arial" w:eastAsia="宋体" w:hAnsiTheme="minorHAnsi" w:cstheme="minorBidi"/>
                <w:spacing w:val="8"/>
                <w:kern w:val="2"/>
                <w:sz w:val="21"/>
                <w:szCs w:val="24"/>
                <w:highlight w:val="none"/>
                <w:lang w:val="en-US" w:eastAsia="zh-CN" w:bidi="ar-SA"/>
              </w:rPr>
            </w:pPr>
            <w:r>
              <w:rPr>
                <w:rFonts w:hint="eastAsia" w:ascii="Arial" w:eastAsia="宋体"/>
                <w:spacing w:val="8"/>
                <w:sz w:val="21"/>
                <w:highlight w:val="none"/>
                <w:lang w:val="en-US" w:eastAsia="zh-CN"/>
              </w:rPr>
              <w:t>智慧城管案件处理（2分）</w:t>
            </w:r>
          </w:p>
        </w:tc>
        <w:tc>
          <w:tcPr>
            <w:tcW w:w="2735" w:type="dxa"/>
            <w:shd w:val="clear" w:color="auto" w:fill="auto"/>
            <w:vAlign w:val="center"/>
          </w:tcPr>
          <w:p w14:paraId="6164D8A3">
            <w:pPr>
              <w:pStyle w:val="149"/>
              <w:snapToGrid w:val="0"/>
              <w:spacing w:before="150" w:line="240" w:lineRule="auto"/>
              <w:ind w:left="0" w:leftChars="0" w:right="0" w:rightChars="0" w:firstLine="0" w:firstLineChars="0"/>
              <w:jc w:val="left"/>
              <w:rPr>
                <w:rFonts w:hint="eastAsia" w:ascii="Arial" w:hAnsi="宋体" w:eastAsia="宋体" w:cs="宋体"/>
                <w:spacing w:val="8"/>
                <w:kern w:val="2"/>
                <w:sz w:val="21"/>
                <w:szCs w:val="20"/>
                <w:highlight w:val="none"/>
                <w:lang w:val="en-US" w:eastAsia="zh-CN" w:bidi="ar-SA"/>
              </w:rPr>
            </w:pPr>
            <w:r>
              <w:rPr>
                <w:rFonts w:hint="eastAsia" w:ascii="Arial" w:eastAsia="宋体"/>
                <w:spacing w:val="8"/>
                <w:sz w:val="21"/>
                <w:highlight w:val="none"/>
                <w:lang w:val="en-US" w:eastAsia="zh-CN"/>
              </w:rPr>
              <w:t>按要求做好智慧城管案件处理</w:t>
            </w:r>
          </w:p>
        </w:tc>
        <w:tc>
          <w:tcPr>
            <w:tcW w:w="3000" w:type="dxa"/>
            <w:shd w:val="clear" w:color="auto" w:fill="auto"/>
            <w:vAlign w:val="center"/>
          </w:tcPr>
          <w:p w14:paraId="466ED889">
            <w:pPr>
              <w:pStyle w:val="149"/>
              <w:snapToGrid w:val="0"/>
              <w:spacing w:before="150" w:line="240" w:lineRule="auto"/>
              <w:ind w:left="0" w:leftChars="0" w:right="0" w:rightChars="0" w:firstLine="0" w:firstLineChars="0"/>
              <w:jc w:val="left"/>
              <w:rPr>
                <w:rFonts w:hint="eastAsia" w:ascii="Arial" w:hAnsi="宋体" w:eastAsia="宋体" w:cs="宋体"/>
                <w:spacing w:val="8"/>
                <w:kern w:val="2"/>
                <w:sz w:val="21"/>
                <w:szCs w:val="20"/>
                <w:highlight w:val="none"/>
                <w:lang w:val="en-US" w:eastAsia="zh-CN" w:bidi="ar-SA"/>
              </w:rPr>
            </w:pPr>
            <w:r>
              <w:rPr>
                <w:rFonts w:hint="eastAsia" w:ascii="Arial" w:eastAsia="宋体"/>
                <w:spacing w:val="8"/>
                <w:sz w:val="21"/>
                <w:highlight w:val="none"/>
                <w:lang w:val="en-US" w:eastAsia="zh-CN"/>
              </w:rPr>
              <w:t>智慧城管扣分案件，经核实有责的，每起扣 0.4 分。因施工单位原因处置率、及时处理率每下降1% ，扣1分。</w:t>
            </w:r>
          </w:p>
        </w:tc>
        <w:tc>
          <w:tcPr>
            <w:tcW w:w="2176" w:type="dxa"/>
            <w:shd w:val="clear" w:color="auto" w:fill="auto"/>
            <w:vAlign w:val="center"/>
          </w:tcPr>
          <w:p w14:paraId="601B6BCD">
            <w:pPr>
              <w:pStyle w:val="149"/>
              <w:snapToGrid w:val="0"/>
              <w:spacing w:before="150" w:line="240" w:lineRule="auto"/>
              <w:ind w:left="0" w:leftChars="0" w:right="0" w:rightChars="0" w:firstLine="0" w:firstLineChars="0"/>
              <w:jc w:val="left"/>
              <w:rPr>
                <w:rFonts w:hint="eastAsia" w:ascii="Arial" w:hAnsi="宋体" w:eastAsia="宋体" w:cs="宋体"/>
                <w:spacing w:val="8"/>
                <w:kern w:val="2"/>
                <w:sz w:val="21"/>
                <w:szCs w:val="20"/>
                <w:highlight w:val="none"/>
                <w:lang w:val="en-US" w:eastAsia="zh-CN" w:bidi="ar-SA"/>
              </w:rPr>
            </w:pPr>
            <w:r>
              <w:rPr>
                <w:rFonts w:hint="eastAsia" w:ascii="Arial" w:eastAsia="宋体"/>
                <w:spacing w:val="8"/>
                <w:sz w:val="21"/>
                <w:highlight w:val="none"/>
                <w:lang w:val="en-US" w:eastAsia="zh-CN"/>
              </w:rPr>
              <w:t>-</w:t>
            </w:r>
          </w:p>
        </w:tc>
        <w:tc>
          <w:tcPr>
            <w:tcW w:w="660" w:type="dxa"/>
            <w:shd w:val="clear" w:color="auto" w:fill="auto"/>
            <w:vAlign w:val="center"/>
          </w:tcPr>
          <w:p w14:paraId="376F31CC">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5647F2FA">
            <w:pPr>
              <w:snapToGrid w:val="0"/>
              <w:ind w:left="0" w:leftChars="0" w:right="0" w:rightChars="0" w:firstLine="0" w:firstLineChars="0"/>
              <w:jc w:val="center"/>
              <w:rPr>
                <w:rFonts w:hint="eastAsia" w:ascii="Arial" w:eastAsia="宋体" w:hAnsiTheme="minorHAnsi" w:cstheme="minorBidi"/>
                <w:kern w:val="2"/>
                <w:sz w:val="21"/>
                <w:szCs w:val="24"/>
                <w:highlight w:val="none"/>
                <w:vertAlign w:val="baseline"/>
                <w:lang w:val="en-US" w:eastAsia="zh-CN" w:bidi="ar-SA"/>
              </w:rPr>
            </w:pPr>
            <w:r>
              <w:rPr>
                <w:rFonts w:hint="eastAsia" w:ascii="Arial" w:eastAsia="宋体"/>
                <w:spacing w:val="8"/>
                <w:sz w:val="21"/>
                <w:highlight w:val="none"/>
                <w:lang w:val="en-US" w:eastAsia="zh-CN"/>
              </w:rPr>
              <w:t>-</w:t>
            </w:r>
          </w:p>
        </w:tc>
      </w:tr>
      <w:tr w14:paraId="43C9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5B968372">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19961022">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维修时限（坑槽/抢修/人行道）（2分）</w:t>
            </w:r>
          </w:p>
        </w:tc>
        <w:tc>
          <w:tcPr>
            <w:tcW w:w="2735" w:type="dxa"/>
            <w:shd w:val="clear" w:color="auto" w:fill="auto"/>
            <w:vAlign w:val="center"/>
          </w:tcPr>
          <w:p w14:paraId="3F8A865B">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原则上沥青路面坑槽修补、桥梁应急抢修要求于24小时内完成，人行道维修要求于48小时内完成。</w:t>
            </w:r>
          </w:p>
        </w:tc>
        <w:tc>
          <w:tcPr>
            <w:tcW w:w="3000" w:type="dxa"/>
            <w:shd w:val="clear" w:color="auto" w:fill="auto"/>
            <w:vAlign w:val="center"/>
          </w:tcPr>
          <w:p w14:paraId="0CB9B336">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每逾期1起，扣0.2分。其余维修项目未按期完成，每逾期一起，扣0.4分。</w:t>
            </w:r>
          </w:p>
        </w:tc>
        <w:tc>
          <w:tcPr>
            <w:tcW w:w="2176" w:type="dxa"/>
            <w:shd w:val="clear" w:color="auto" w:fill="auto"/>
            <w:vAlign w:val="center"/>
          </w:tcPr>
          <w:p w14:paraId="32275C15">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每逾期1起，扣罚1000元，扣罚总额不设上限。</w:t>
            </w:r>
          </w:p>
        </w:tc>
        <w:tc>
          <w:tcPr>
            <w:tcW w:w="660" w:type="dxa"/>
            <w:shd w:val="clear" w:color="auto" w:fill="auto"/>
            <w:vAlign w:val="center"/>
          </w:tcPr>
          <w:p w14:paraId="2CE5005F">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02B0FD46">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5B87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7D818452">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73AB4B29">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文明施工、安全施工（4分）</w:t>
            </w:r>
          </w:p>
        </w:tc>
        <w:tc>
          <w:tcPr>
            <w:tcW w:w="2735" w:type="dxa"/>
            <w:shd w:val="clear" w:color="auto" w:fill="auto"/>
            <w:vAlign w:val="center"/>
          </w:tcPr>
          <w:p w14:paraId="2AC2F1B7">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承包人应按有关规定做好文明施工、安全施工。</w:t>
            </w:r>
          </w:p>
        </w:tc>
        <w:tc>
          <w:tcPr>
            <w:tcW w:w="3000" w:type="dxa"/>
            <w:shd w:val="clear" w:color="auto" w:fill="auto"/>
            <w:vAlign w:val="center"/>
          </w:tcPr>
          <w:p w14:paraId="322875C0">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ascii="Arial" w:eastAsia="宋体"/>
                <w:spacing w:val="7"/>
                <w:sz w:val="21"/>
                <w:highlight w:val="none"/>
              </w:rPr>
              <w:t xml:space="preserve">每发现一起，扣 </w:t>
            </w:r>
            <w:r>
              <w:rPr>
                <w:rFonts w:ascii="Arial" w:hAnsi="Times New Roman" w:eastAsia="宋体" w:cs="Times New Roman"/>
                <w:spacing w:val="7"/>
                <w:sz w:val="21"/>
                <w:highlight w:val="none"/>
              </w:rPr>
              <w:t xml:space="preserve">0.4 </w:t>
            </w:r>
            <w:r>
              <w:rPr>
                <w:rFonts w:ascii="Arial" w:eastAsia="宋体"/>
                <w:spacing w:val="7"/>
                <w:sz w:val="21"/>
                <w:highlight w:val="none"/>
              </w:rPr>
              <w:t>分；因野蛮施工造</w:t>
            </w:r>
            <w:r>
              <w:rPr>
                <w:rFonts w:ascii="Arial" w:eastAsia="宋体"/>
                <w:spacing w:val="9"/>
                <w:sz w:val="21"/>
                <w:highlight w:val="none"/>
              </w:rPr>
              <w:t>成不良社会影响的，扣</w:t>
            </w:r>
            <w:r>
              <w:rPr>
                <w:rFonts w:ascii="Arial" w:hAnsi="Times New Roman" w:eastAsia="宋体" w:cs="Times New Roman"/>
                <w:spacing w:val="9"/>
                <w:sz w:val="21"/>
                <w:highlight w:val="none"/>
              </w:rPr>
              <w:t>2</w:t>
            </w:r>
            <w:r>
              <w:rPr>
                <w:rFonts w:ascii="Arial" w:eastAsia="宋体"/>
                <w:spacing w:val="9"/>
                <w:sz w:val="21"/>
                <w:highlight w:val="none"/>
              </w:rPr>
              <w:t>分；造成安全生</w:t>
            </w:r>
            <w:r>
              <w:rPr>
                <w:rFonts w:ascii="Arial" w:eastAsia="宋体"/>
                <w:spacing w:val="8"/>
                <w:sz w:val="21"/>
                <w:highlight w:val="none"/>
              </w:rPr>
              <w:t>产事故的，扣</w:t>
            </w:r>
            <w:r>
              <w:rPr>
                <w:rFonts w:ascii="Arial" w:hAnsi="Times New Roman" w:eastAsia="宋体" w:cs="Times New Roman"/>
                <w:spacing w:val="8"/>
                <w:sz w:val="21"/>
                <w:highlight w:val="none"/>
              </w:rPr>
              <w:t>4</w:t>
            </w:r>
            <w:r>
              <w:rPr>
                <w:rFonts w:ascii="Arial" w:eastAsia="宋体"/>
                <w:spacing w:val="8"/>
                <w:sz w:val="21"/>
                <w:highlight w:val="none"/>
              </w:rPr>
              <w:t>分</w:t>
            </w:r>
            <w:r>
              <w:rPr>
                <w:rFonts w:hint="eastAsia" w:ascii="Arial" w:eastAsia="宋体"/>
                <w:spacing w:val="8"/>
                <w:sz w:val="21"/>
                <w:highlight w:val="none"/>
                <w:lang w:eastAsia="zh-CN"/>
              </w:rPr>
              <w:t>。</w:t>
            </w:r>
          </w:p>
        </w:tc>
        <w:tc>
          <w:tcPr>
            <w:tcW w:w="2176" w:type="dxa"/>
            <w:shd w:val="clear" w:color="auto" w:fill="auto"/>
            <w:vAlign w:val="center"/>
          </w:tcPr>
          <w:p w14:paraId="4E118D74">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未按有关规定做好安全文明施工的或被检查发现存在较大安全隐患的，每发现一处扣罚2000元，并承担相应的安全生产主体责任，对发现的安全问题同步进行整改闭环。</w:t>
            </w:r>
          </w:p>
        </w:tc>
        <w:tc>
          <w:tcPr>
            <w:tcW w:w="660" w:type="dxa"/>
            <w:shd w:val="clear" w:color="auto" w:fill="auto"/>
            <w:vAlign w:val="center"/>
          </w:tcPr>
          <w:p w14:paraId="2D0FF3A5">
            <w:pPr>
              <w:snapToGrid w:val="0"/>
              <w:ind w:left="0" w:leftChars="0" w:right="0" w:rightChars="0" w:firstLine="0" w:firstLineChars="0"/>
              <w:jc w:val="right"/>
              <w:rPr>
                <w:rFonts w:hint="eastAsia" w:ascii="Arial" w:hAnsi="宋体" w:eastAsia="宋体" w:cs="宋体"/>
                <w:spacing w:val="8"/>
                <w:kern w:val="2"/>
                <w:sz w:val="21"/>
                <w:szCs w:val="20"/>
                <w:highlight w:val="none"/>
                <w:lang w:val="en-US" w:eastAsia="zh-CN" w:bidi="ar-SA"/>
              </w:rPr>
            </w:pPr>
          </w:p>
        </w:tc>
        <w:tc>
          <w:tcPr>
            <w:tcW w:w="674" w:type="dxa"/>
            <w:shd w:val="clear" w:color="auto" w:fill="auto"/>
            <w:vAlign w:val="center"/>
          </w:tcPr>
          <w:p w14:paraId="3084600C">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hAnsi="宋体" w:eastAsia="宋体" w:cs="宋体"/>
                <w:spacing w:val="8"/>
                <w:kern w:val="2"/>
                <w:sz w:val="21"/>
                <w:szCs w:val="20"/>
                <w:highlight w:val="none"/>
                <w:lang w:val="en-US" w:eastAsia="zh-CN" w:bidi="ar-SA"/>
              </w:rPr>
              <w:t>较大事故可解约</w:t>
            </w:r>
          </w:p>
        </w:tc>
      </w:tr>
      <w:tr w14:paraId="35CE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1ED482C6">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0C5F1C03">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检测指标不合格</w:t>
            </w:r>
          </w:p>
          <w:p w14:paraId="471DB06F">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（2分）</w:t>
            </w:r>
          </w:p>
        </w:tc>
        <w:tc>
          <w:tcPr>
            <w:tcW w:w="2735" w:type="dxa"/>
            <w:shd w:val="clear" w:color="auto" w:fill="auto"/>
            <w:vAlign w:val="center"/>
          </w:tcPr>
          <w:p w14:paraId="71B674E7">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采购人可委托第三方检测机构对中标人使用的作业材料进行不定期抽检</w:t>
            </w:r>
          </w:p>
        </w:tc>
        <w:tc>
          <w:tcPr>
            <w:tcW w:w="3000" w:type="dxa"/>
            <w:shd w:val="clear" w:color="auto" w:fill="auto"/>
            <w:vAlign w:val="center"/>
          </w:tcPr>
          <w:p w14:paraId="3821585B">
            <w:pPr>
              <w:pStyle w:val="149"/>
              <w:snapToGrid w:val="0"/>
              <w:spacing w:before="150" w:line="240" w:lineRule="auto"/>
              <w:ind w:left="0" w:leftChars="0" w:right="0" w:rightChars="0" w:firstLine="0" w:firstLineChars="0"/>
              <w:jc w:val="left"/>
              <w:rPr>
                <w:rFonts w:hint="default" w:ascii="Arial" w:eastAsia="宋体"/>
                <w:spacing w:val="8"/>
                <w:sz w:val="21"/>
                <w:highlight w:val="none"/>
                <w:lang w:val="en-US" w:eastAsia="zh-CN"/>
              </w:rPr>
            </w:pPr>
            <w:r>
              <w:rPr>
                <w:rFonts w:hint="eastAsia" w:ascii="Arial" w:eastAsia="宋体"/>
                <w:spacing w:val="8"/>
                <w:sz w:val="21"/>
                <w:highlight w:val="none"/>
                <w:lang w:val="en-US" w:eastAsia="zh-CN"/>
              </w:rPr>
              <w:t>若发现检测指标不合格的，每发现一处扣2分。</w:t>
            </w:r>
          </w:p>
        </w:tc>
        <w:tc>
          <w:tcPr>
            <w:tcW w:w="2176" w:type="dxa"/>
            <w:shd w:val="clear" w:color="auto" w:fill="auto"/>
            <w:vAlign w:val="center"/>
          </w:tcPr>
          <w:p w14:paraId="3B381A51">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若发现检测指标不合格的，每发现一处扣罚10000元，相关抽检费用由中标人承担；如需返工的，中标人必须无条件按要求完成返工。</w:t>
            </w:r>
          </w:p>
        </w:tc>
        <w:tc>
          <w:tcPr>
            <w:tcW w:w="660" w:type="dxa"/>
            <w:shd w:val="clear" w:color="auto" w:fill="auto"/>
            <w:vAlign w:val="center"/>
          </w:tcPr>
          <w:p w14:paraId="0A18B5B0">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5A3983BE">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3352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12146538">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0E937F68">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上级批评/媒体曝光/恶劣影响（2分）</w:t>
            </w:r>
          </w:p>
        </w:tc>
        <w:tc>
          <w:tcPr>
            <w:tcW w:w="2735" w:type="dxa"/>
            <w:shd w:val="clear" w:color="auto" w:fill="auto"/>
            <w:vAlign w:val="center"/>
          </w:tcPr>
          <w:p w14:paraId="2D6E6C19">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避免因市政设施受损引起的事故、投诉和媒体曝光。</w:t>
            </w:r>
          </w:p>
        </w:tc>
        <w:tc>
          <w:tcPr>
            <w:tcW w:w="3000" w:type="dxa"/>
            <w:shd w:val="clear" w:color="auto" w:fill="auto"/>
            <w:vAlign w:val="center"/>
          </w:tcPr>
          <w:p w14:paraId="78DD0B5A">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因市政设施受损造成事故或被市民投诉确认有责，每起扣0.4分，媒体曝光或造成恶劣影响，第一次扣1分，第二次扣2分，第三次扣4分，依次类推。</w:t>
            </w:r>
          </w:p>
        </w:tc>
        <w:tc>
          <w:tcPr>
            <w:tcW w:w="2176" w:type="dxa"/>
            <w:shd w:val="clear" w:color="auto" w:fill="auto"/>
            <w:vAlign w:val="center"/>
          </w:tcPr>
          <w:p w14:paraId="68B60F25">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p>
        </w:tc>
        <w:tc>
          <w:tcPr>
            <w:tcW w:w="660" w:type="dxa"/>
            <w:shd w:val="clear" w:color="auto" w:fill="auto"/>
            <w:vAlign w:val="center"/>
          </w:tcPr>
          <w:p w14:paraId="3F045089">
            <w:pPr>
              <w:snapToGrid w:val="0"/>
              <w:ind w:left="0" w:leftChars="0" w:right="0" w:rightChars="0" w:firstLine="0" w:firstLineChars="0"/>
              <w:jc w:val="right"/>
              <w:rPr>
                <w:rFonts w:hint="eastAsia" w:ascii="Arial" w:hAnsi="宋体" w:eastAsia="宋体" w:cs="宋体"/>
                <w:spacing w:val="9"/>
                <w:kern w:val="2"/>
                <w:sz w:val="21"/>
                <w:szCs w:val="20"/>
                <w:highlight w:val="none"/>
                <w:lang w:val="en-US" w:eastAsia="zh-CN" w:bidi="ar-SA"/>
              </w:rPr>
            </w:pPr>
          </w:p>
        </w:tc>
        <w:tc>
          <w:tcPr>
            <w:tcW w:w="674" w:type="dxa"/>
            <w:shd w:val="clear" w:color="auto" w:fill="auto"/>
            <w:vAlign w:val="center"/>
          </w:tcPr>
          <w:p w14:paraId="65FC72CA">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hAnsi="宋体" w:eastAsia="宋体" w:cs="宋体"/>
                <w:spacing w:val="9"/>
                <w:kern w:val="2"/>
                <w:sz w:val="21"/>
                <w:szCs w:val="20"/>
                <w:highlight w:val="none"/>
                <w:lang w:val="en-US" w:eastAsia="zh-CN" w:bidi="ar-SA"/>
              </w:rPr>
              <w:t>重大曝光可解约</w:t>
            </w:r>
          </w:p>
        </w:tc>
      </w:tr>
      <w:tr w14:paraId="24F3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3DE1CCFE">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50C1927E">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热沥青供料要求</w:t>
            </w:r>
          </w:p>
          <w:p w14:paraId="216C8D55">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（2分）</w:t>
            </w:r>
          </w:p>
        </w:tc>
        <w:tc>
          <w:tcPr>
            <w:tcW w:w="2735" w:type="dxa"/>
            <w:shd w:val="clear" w:color="auto" w:fill="auto"/>
            <w:vAlign w:val="center"/>
          </w:tcPr>
          <w:p w14:paraId="578F66E8">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需满足要求</w:t>
            </w:r>
          </w:p>
        </w:tc>
        <w:tc>
          <w:tcPr>
            <w:tcW w:w="3000" w:type="dxa"/>
            <w:shd w:val="clear" w:color="auto" w:fill="auto"/>
            <w:vAlign w:val="center"/>
          </w:tcPr>
          <w:p w14:paraId="0BB850F8">
            <w:pPr>
              <w:pStyle w:val="149"/>
              <w:snapToGrid w:val="0"/>
              <w:spacing w:before="150" w:line="240" w:lineRule="auto"/>
              <w:ind w:left="0" w:leftChars="0" w:right="0" w:rightChars="0" w:firstLine="0" w:firstLineChars="0"/>
              <w:jc w:val="left"/>
              <w:rPr>
                <w:rFonts w:hint="default" w:ascii="Arial" w:eastAsia="宋体"/>
                <w:spacing w:val="8"/>
                <w:sz w:val="21"/>
                <w:highlight w:val="none"/>
                <w:lang w:val="en-US" w:eastAsia="zh-CN"/>
              </w:rPr>
            </w:pPr>
            <w:r>
              <w:rPr>
                <w:rFonts w:hint="eastAsia" w:ascii="Arial" w:eastAsia="宋体"/>
                <w:spacing w:val="8"/>
                <w:sz w:val="21"/>
                <w:highlight w:val="none"/>
                <w:lang w:val="en-US" w:eastAsia="zh-CN"/>
              </w:rPr>
              <w:t>未按要求提供每次扣2分。</w:t>
            </w:r>
          </w:p>
        </w:tc>
        <w:tc>
          <w:tcPr>
            <w:tcW w:w="2176" w:type="dxa"/>
            <w:shd w:val="clear" w:color="auto" w:fill="auto"/>
            <w:vAlign w:val="center"/>
          </w:tcPr>
          <w:p w14:paraId="60DEE599">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未按要求提供每次扣罚20000元。</w:t>
            </w:r>
          </w:p>
        </w:tc>
        <w:tc>
          <w:tcPr>
            <w:tcW w:w="660" w:type="dxa"/>
            <w:shd w:val="clear" w:color="auto" w:fill="auto"/>
            <w:vAlign w:val="center"/>
          </w:tcPr>
          <w:p w14:paraId="1BA0E6A5">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611F4756">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52F0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4FB5B41F">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2E07B559">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应急保障响应</w:t>
            </w:r>
          </w:p>
          <w:p w14:paraId="4236DF82">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（2分）</w:t>
            </w:r>
          </w:p>
        </w:tc>
        <w:tc>
          <w:tcPr>
            <w:tcW w:w="2735" w:type="dxa"/>
            <w:shd w:val="clear" w:color="auto" w:fill="auto"/>
            <w:vAlign w:val="center"/>
          </w:tcPr>
          <w:p w14:paraId="7D14C527">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响应需及时</w:t>
            </w:r>
          </w:p>
        </w:tc>
        <w:tc>
          <w:tcPr>
            <w:tcW w:w="3000" w:type="dxa"/>
            <w:shd w:val="clear" w:color="auto" w:fill="auto"/>
            <w:vAlign w:val="center"/>
          </w:tcPr>
          <w:p w14:paraId="66EB4656">
            <w:pPr>
              <w:pStyle w:val="149"/>
              <w:snapToGrid w:val="0"/>
              <w:spacing w:before="150" w:line="240" w:lineRule="auto"/>
              <w:ind w:left="0" w:leftChars="0" w:right="0" w:rightChars="0" w:firstLine="0" w:firstLineChars="0"/>
              <w:jc w:val="left"/>
              <w:rPr>
                <w:rFonts w:hint="default" w:ascii="Arial" w:eastAsia="宋体"/>
                <w:spacing w:val="8"/>
                <w:sz w:val="21"/>
                <w:highlight w:val="none"/>
                <w:lang w:val="en-US" w:eastAsia="zh-CN"/>
              </w:rPr>
            </w:pPr>
            <w:r>
              <w:rPr>
                <w:rFonts w:hint="eastAsia" w:ascii="Arial" w:eastAsia="宋体"/>
                <w:spacing w:val="8"/>
                <w:sz w:val="21"/>
                <w:highlight w:val="none"/>
                <w:lang w:val="en-US" w:eastAsia="zh-CN"/>
              </w:rPr>
              <w:t>未及时响应每次扣2分。</w:t>
            </w:r>
          </w:p>
        </w:tc>
        <w:tc>
          <w:tcPr>
            <w:tcW w:w="2176" w:type="dxa"/>
            <w:shd w:val="clear" w:color="auto" w:fill="auto"/>
            <w:vAlign w:val="center"/>
          </w:tcPr>
          <w:p w14:paraId="2C2F8B6F">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未及时响应每次扣罚20000元。</w:t>
            </w:r>
          </w:p>
        </w:tc>
        <w:tc>
          <w:tcPr>
            <w:tcW w:w="660" w:type="dxa"/>
            <w:shd w:val="clear" w:color="auto" w:fill="auto"/>
            <w:vAlign w:val="center"/>
          </w:tcPr>
          <w:p w14:paraId="198EC5DD">
            <w:pPr>
              <w:pStyle w:val="149"/>
              <w:snapToGrid w:val="0"/>
              <w:spacing w:before="111" w:line="240" w:lineRule="auto"/>
              <w:ind w:left="0" w:leftChars="0" w:right="0" w:rightChars="0" w:firstLine="0" w:firstLineChars="0"/>
              <w:jc w:val="right"/>
              <w:rPr>
                <w:rFonts w:hint="eastAsia" w:ascii="Arial" w:eastAsia="宋体"/>
                <w:spacing w:val="9"/>
                <w:sz w:val="21"/>
                <w:highlight w:val="none"/>
                <w:lang w:val="en-US" w:eastAsia="zh-CN"/>
              </w:rPr>
            </w:pPr>
          </w:p>
        </w:tc>
        <w:tc>
          <w:tcPr>
            <w:tcW w:w="674" w:type="dxa"/>
            <w:shd w:val="clear" w:color="auto" w:fill="auto"/>
            <w:vAlign w:val="center"/>
          </w:tcPr>
          <w:p w14:paraId="6F7A62E8">
            <w:pPr>
              <w:pStyle w:val="149"/>
              <w:snapToGrid w:val="0"/>
              <w:spacing w:before="111" w:line="240" w:lineRule="auto"/>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9"/>
                <w:sz w:val="21"/>
                <w:highlight w:val="none"/>
                <w:lang w:val="en-US" w:eastAsia="zh-CN"/>
              </w:rPr>
              <w:t>出现3次有权</w:t>
            </w:r>
            <w:r>
              <w:rPr>
                <w:rFonts w:hint="eastAsia" w:ascii="Arial" w:hAnsi="宋体" w:eastAsia="宋体" w:cs="宋体"/>
                <w:spacing w:val="9"/>
                <w:kern w:val="2"/>
                <w:sz w:val="21"/>
                <w:szCs w:val="20"/>
                <w:highlight w:val="none"/>
                <w:lang w:val="en-US" w:eastAsia="zh-CN" w:bidi="ar-SA"/>
              </w:rPr>
              <w:t>解约</w:t>
            </w:r>
          </w:p>
        </w:tc>
      </w:tr>
      <w:tr w14:paraId="2523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71EC6678">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6907CD40">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事故赔偿费用</w:t>
            </w:r>
          </w:p>
          <w:p w14:paraId="047B9377">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（1分）</w:t>
            </w:r>
          </w:p>
        </w:tc>
        <w:tc>
          <w:tcPr>
            <w:tcW w:w="2735" w:type="dxa"/>
            <w:shd w:val="clear" w:color="auto" w:fill="auto"/>
            <w:vAlign w:val="center"/>
          </w:tcPr>
          <w:p w14:paraId="1B03B891">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因中标人有责而引起的事故，造成的采购人其他赔偿费用的</w:t>
            </w:r>
          </w:p>
        </w:tc>
        <w:tc>
          <w:tcPr>
            <w:tcW w:w="3000" w:type="dxa"/>
            <w:shd w:val="clear" w:color="auto" w:fill="auto"/>
            <w:vAlign w:val="center"/>
          </w:tcPr>
          <w:p w14:paraId="28054148">
            <w:pPr>
              <w:pStyle w:val="149"/>
              <w:snapToGrid w:val="0"/>
              <w:spacing w:before="150" w:line="240" w:lineRule="auto"/>
              <w:ind w:left="0" w:leftChars="0" w:right="0" w:rightChars="0" w:firstLine="0" w:firstLineChars="0"/>
              <w:jc w:val="left"/>
              <w:rPr>
                <w:rFonts w:hint="default" w:ascii="Arial" w:eastAsia="宋体"/>
                <w:spacing w:val="8"/>
                <w:sz w:val="21"/>
                <w:highlight w:val="none"/>
                <w:lang w:val="en-US" w:eastAsia="zh-CN"/>
              </w:rPr>
            </w:pPr>
            <w:r>
              <w:rPr>
                <w:rFonts w:hint="eastAsia" w:ascii="Arial" w:eastAsia="宋体"/>
                <w:spacing w:val="8"/>
                <w:sz w:val="21"/>
                <w:highlight w:val="none"/>
                <w:lang w:val="en-US" w:eastAsia="zh-CN"/>
              </w:rPr>
              <w:t>因中标人有责而引起的事故每次扣1分。</w:t>
            </w:r>
          </w:p>
        </w:tc>
        <w:tc>
          <w:tcPr>
            <w:tcW w:w="2176" w:type="dxa"/>
            <w:shd w:val="clear" w:color="auto" w:fill="auto"/>
            <w:vAlign w:val="center"/>
          </w:tcPr>
          <w:p w14:paraId="10E77118">
            <w:pPr>
              <w:pStyle w:val="149"/>
              <w:snapToGrid w:val="0"/>
              <w:spacing w:before="150" w:line="240" w:lineRule="auto"/>
              <w:ind w:left="0" w:leftChars="0" w:right="0" w:rightChars="0" w:firstLine="0" w:firstLineChars="0"/>
              <w:jc w:val="left"/>
              <w:rPr>
                <w:rFonts w:hint="default" w:ascii="Arial" w:eastAsia="宋体"/>
                <w:spacing w:val="8"/>
                <w:sz w:val="21"/>
                <w:highlight w:val="none"/>
                <w:lang w:val="en-US" w:eastAsia="zh-CN"/>
              </w:rPr>
            </w:pPr>
            <w:r>
              <w:rPr>
                <w:rFonts w:hint="eastAsia" w:ascii="Arial" w:eastAsia="宋体"/>
                <w:spacing w:val="8"/>
                <w:sz w:val="21"/>
                <w:highlight w:val="none"/>
                <w:lang w:val="en-US" w:eastAsia="zh-CN"/>
              </w:rPr>
              <w:t>在每月结算养护费中进行扣罚.</w:t>
            </w:r>
          </w:p>
        </w:tc>
        <w:tc>
          <w:tcPr>
            <w:tcW w:w="660" w:type="dxa"/>
            <w:shd w:val="clear" w:color="auto" w:fill="auto"/>
            <w:vAlign w:val="center"/>
          </w:tcPr>
          <w:p w14:paraId="595A419E">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3684F8AB">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09E2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shd w:val="clear" w:color="auto" w:fill="auto"/>
            <w:vAlign w:val="center"/>
          </w:tcPr>
          <w:p w14:paraId="5FD2FB09">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4ABEC499">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非机动车停放区标线/编码</w:t>
            </w:r>
          </w:p>
          <w:p w14:paraId="3CD30F80">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（1分）</w:t>
            </w:r>
          </w:p>
        </w:tc>
        <w:tc>
          <w:tcPr>
            <w:tcW w:w="2735" w:type="dxa"/>
            <w:shd w:val="clear" w:color="auto" w:fill="auto"/>
            <w:vAlign w:val="center"/>
          </w:tcPr>
          <w:p w14:paraId="37CE88D3">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中标人应及时做好非机动停放区施划标线、编码工作，施划标线必须醒目、标准、清晰、顺直、均匀，标线设置合理、编码正确。</w:t>
            </w:r>
          </w:p>
        </w:tc>
        <w:tc>
          <w:tcPr>
            <w:tcW w:w="3000" w:type="dxa"/>
            <w:shd w:val="clear" w:color="auto" w:fill="auto"/>
            <w:vAlign w:val="center"/>
          </w:tcPr>
          <w:p w14:paraId="47288C91">
            <w:pPr>
              <w:pStyle w:val="149"/>
              <w:snapToGrid w:val="0"/>
              <w:spacing w:before="150" w:line="240" w:lineRule="auto"/>
              <w:ind w:left="0" w:leftChars="0" w:right="0" w:rightChars="0" w:firstLine="0" w:firstLineChars="0"/>
              <w:jc w:val="left"/>
              <w:rPr>
                <w:rFonts w:hint="default" w:ascii="Arial" w:eastAsia="宋体"/>
                <w:spacing w:val="8"/>
                <w:sz w:val="21"/>
                <w:highlight w:val="none"/>
                <w:lang w:val="en-US" w:eastAsia="zh-CN"/>
              </w:rPr>
            </w:pPr>
            <w:r>
              <w:rPr>
                <w:rFonts w:hint="eastAsia" w:ascii="Arial" w:eastAsia="宋体"/>
                <w:spacing w:val="8"/>
                <w:sz w:val="21"/>
                <w:highlight w:val="none"/>
                <w:lang w:val="en-US" w:eastAsia="zh-CN"/>
              </w:rPr>
              <w:t>未按要求实施的，每发现一次扣0.1分。</w:t>
            </w:r>
          </w:p>
        </w:tc>
        <w:tc>
          <w:tcPr>
            <w:tcW w:w="2176" w:type="dxa"/>
            <w:shd w:val="clear" w:color="auto" w:fill="auto"/>
            <w:vAlign w:val="center"/>
          </w:tcPr>
          <w:p w14:paraId="2A3B2D1C">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未按要求实施的，每发现一次扣1000元。</w:t>
            </w:r>
          </w:p>
        </w:tc>
        <w:tc>
          <w:tcPr>
            <w:tcW w:w="660" w:type="dxa"/>
            <w:shd w:val="clear" w:color="auto" w:fill="auto"/>
            <w:vAlign w:val="center"/>
          </w:tcPr>
          <w:p w14:paraId="668D01F0">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shd w:val="clear" w:color="auto" w:fill="auto"/>
            <w:vAlign w:val="center"/>
          </w:tcPr>
          <w:p w14:paraId="106F5BC4">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7F38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15" w:type="dxa"/>
            <w:gridSpan w:val="7"/>
            <w:shd w:val="clear" w:color="auto" w:fill="auto"/>
            <w:vAlign w:val="center"/>
          </w:tcPr>
          <w:p w14:paraId="37AFD0E4">
            <w:pPr>
              <w:snapToGrid w:val="0"/>
              <w:ind w:left="0" w:leftChars="0" w:right="0" w:rightChars="0" w:firstLine="0" w:firstLineChars="0"/>
              <w:jc w:val="center"/>
              <w:rPr>
                <w:rFonts w:hint="eastAsia" w:asciiTheme="minorHAnsi" w:hAnsiTheme="minorHAnsi" w:eastAsiaTheme="minorEastAsia" w:cstheme="minorBidi"/>
                <w:spacing w:val="8"/>
                <w:kern w:val="2"/>
                <w:sz w:val="21"/>
                <w:szCs w:val="24"/>
                <w:highlight w:val="none"/>
                <w:lang w:val="en-US" w:eastAsia="zh-CN" w:bidi="ar-SA"/>
              </w:rPr>
            </w:pPr>
            <w:r>
              <w:rPr>
                <w:rFonts w:hint="eastAsia" w:ascii="Times New Roman" w:hAnsi="Times New Roman" w:cs="仿宋"/>
                <w:color w:val="auto"/>
                <w:szCs w:val="21"/>
                <w:highlight w:val="none"/>
              </w:rPr>
              <w:t>考核得分：                         养护单位（签章）：</w:t>
            </w:r>
          </w:p>
        </w:tc>
      </w:tr>
      <w:tr w14:paraId="436B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15" w:type="dxa"/>
            <w:gridSpan w:val="7"/>
            <w:shd w:val="clear" w:color="auto" w:fill="auto"/>
            <w:vAlign w:val="center"/>
          </w:tcPr>
          <w:p w14:paraId="15A67537">
            <w:pPr>
              <w:snapToGrid w:val="0"/>
              <w:ind w:left="0" w:leftChars="0" w:right="0" w:rightChars="0" w:firstLine="0" w:firstLineChars="0"/>
              <w:jc w:val="center"/>
              <w:rPr>
                <w:rFonts w:hint="eastAsia" w:asciiTheme="minorHAnsi" w:hAnsiTheme="minorHAnsi" w:eastAsiaTheme="minorEastAsia" w:cstheme="minorBidi"/>
                <w:spacing w:val="8"/>
                <w:kern w:val="2"/>
                <w:sz w:val="21"/>
                <w:szCs w:val="24"/>
                <w:highlight w:val="none"/>
                <w:lang w:val="en-US" w:eastAsia="zh-CN" w:bidi="ar-SA"/>
              </w:rPr>
            </w:pPr>
            <w:r>
              <w:rPr>
                <w:rFonts w:hint="eastAsia" w:ascii="Times New Roman" w:hAnsi="Times New Roman" w:cs="仿宋"/>
                <w:color w:val="auto"/>
                <w:szCs w:val="21"/>
                <w:highlight w:val="none"/>
              </w:rPr>
              <w:t>考核情况：</w:t>
            </w:r>
          </w:p>
        </w:tc>
      </w:tr>
      <w:tr w14:paraId="6CD4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15" w:type="dxa"/>
            <w:gridSpan w:val="7"/>
            <w:shd w:val="clear" w:color="auto" w:fill="auto"/>
            <w:vAlign w:val="center"/>
          </w:tcPr>
          <w:p w14:paraId="4C130326">
            <w:pPr>
              <w:snapToGrid w:val="0"/>
              <w:ind w:left="0" w:leftChars="0" w:right="0" w:rightChars="0" w:firstLine="0" w:firstLineChars="0"/>
              <w:jc w:val="center"/>
              <w:rPr>
                <w:rFonts w:hint="eastAsia" w:asciiTheme="minorHAnsi" w:hAnsiTheme="minorHAnsi" w:eastAsiaTheme="minorEastAsia" w:cstheme="minorBidi"/>
                <w:spacing w:val="8"/>
                <w:kern w:val="2"/>
                <w:sz w:val="21"/>
                <w:szCs w:val="24"/>
                <w:highlight w:val="none"/>
                <w:lang w:val="en-US" w:eastAsia="zh-CN" w:bidi="ar-SA"/>
              </w:rPr>
            </w:pPr>
            <w:r>
              <w:rPr>
                <w:rFonts w:hint="eastAsia" w:ascii="Times New Roman" w:hAnsi="Times New Roman" w:cs="仿宋"/>
                <w:color w:val="auto"/>
                <w:szCs w:val="21"/>
                <w:highlight w:val="none"/>
              </w:rPr>
              <w:t>考核人员（签章）：</w:t>
            </w:r>
          </w:p>
        </w:tc>
      </w:tr>
    </w:tbl>
    <w:p w14:paraId="306E125A">
      <w:pPr>
        <w:spacing w:line="360" w:lineRule="auto"/>
        <w:ind w:firstLine="420" w:firstLineChars="200"/>
        <w:rPr>
          <w:color w:val="auto"/>
          <w:highlight w:val="none"/>
        </w:rPr>
      </w:pPr>
    </w:p>
    <w:p w14:paraId="7B173FDE">
      <w:pPr>
        <w:pStyle w:val="17"/>
        <w:rPr>
          <w:highlight w:val="none"/>
        </w:rPr>
      </w:pPr>
    </w:p>
    <w:p w14:paraId="414A6E81">
      <w:pPr>
        <w:spacing w:line="360" w:lineRule="auto"/>
        <w:rPr>
          <w:rFonts w:hAnsi="宋体"/>
          <w:color w:val="auto"/>
          <w:sz w:val="24"/>
          <w:szCs w:val="24"/>
          <w:highlight w:val="none"/>
        </w:rPr>
        <w:sectPr>
          <w:headerReference r:id="rId14" w:type="default"/>
          <w:footerReference r:id="rId15" w:type="default"/>
          <w:pgSz w:w="11907" w:h="16840"/>
          <w:pgMar w:top="1440" w:right="1080" w:bottom="1440" w:left="1080" w:header="284" w:footer="420" w:gutter="0"/>
          <w:cols w:space="720" w:num="1"/>
          <w:docGrid w:linePitch="285" w:charSpace="0"/>
        </w:sectPr>
      </w:pPr>
    </w:p>
    <w:p w14:paraId="74A50E54">
      <w:pPr>
        <w:wordWrap w:val="0"/>
        <w:spacing w:line="360" w:lineRule="auto"/>
        <w:jc w:val="center"/>
        <w:outlineLvl w:val="0"/>
        <w:rPr>
          <w:rFonts w:hint="eastAsia" w:ascii="宋体" w:hAnsi="宋体"/>
          <w:b/>
          <w:color w:val="auto"/>
          <w:sz w:val="32"/>
          <w:highlight w:val="none"/>
        </w:rPr>
      </w:pPr>
      <w:bookmarkStart w:id="62" w:name="_Toc135513218"/>
      <w:r>
        <w:rPr>
          <w:rFonts w:hint="eastAsia" w:ascii="宋体" w:hAnsi="宋体"/>
          <w:b/>
          <w:color w:val="auto"/>
          <w:sz w:val="32"/>
          <w:highlight w:val="none"/>
        </w:rPr>
        <w:t>第四章</w:t>
      </w:r>
      <w:r>
        <w:rPr>
          <w:rFonts w:ascii="宋体" w:hAnsi="宋体"/>
          <w:b/>
          <w:color w:val="auto"/>
          <w:sz w:val="32"/>
          <w:highlight w:val="none"/>
        </w:rPr>
        <w:t xml:space="preserve">  </w:t>
      </w:r>
      <w:r>
        <w:rPr>
          <w:rFonts w:hint="eastAsia" w:ascii="宋体" w:hAnsi="宋体"/>
          <w:b/>
          <w:color w:val="auto"/>
          <w:sz w:val="32"/>
          <w:highlight w:val="none"/>
        </w:rPr>
        <w:t>商务条款</w:t>
      </w:r>
      <w:bookmarkEnd w:id="62"/>
    </w:p>
    <w:tbl>
      <w:tblPr>
        <w:tblStyle w:val="48"/>
        <w:tblW w:w="9773" w:type="dxa"/>
        <w:tblInd w:w="108"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826"/>
        <w:gridCol w:w="8947"/>
      </w:tblGrid>
      <w:tr w14:paraId="32843B01">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156" w:hRule="atLeast"/>
        </w:trPr>
        <w:tc>
          <w:tcPr>
            <w:tcW w:w="826" w:type="dxa"/>
            <w:noWrap w:val="0"/>
            <w:vAlign w:val="center"/>
          </w:tcPr>
          <w:p w14:paraId="1C86EC3A">
            <w:pPr>
              <w:wordWrap w:val="0"/>
              <w:autoSpaceDE w:val="0"/>
              <w:autoSpaceDN w:val="0"/>
              <w:adjustRightInd w:val="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8947" w:type="dxa"/>
            <w:noWrap w:val="0"/>
            <w:vAlign w:val="center"/>
          </w:tcPr>
          <w:p w14:paraId="5809501B">
            <w:pPr>
              <w:wordWrap w:val="0"/>
              <w:autoSpaceDE w:val="0"/>
              <w:autoSpaceDN w:val="0"/>
              <w:adjustRightInd w:val="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内</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容</w:t>
            </w:r>
          </w:p>
        </w:tc>
      </w:tr>
      <w:tr w14:paraId="573C002A">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26" w:type="dxa"/>
            <w:noWrap w:val="0"/>
            <w:vAlign w:val="center"/>
          </w:tcPr>
          <w:p w14:paraId="5B6F5775">
            <w:pPr>
              <w:wordWrap w:val="0"/>
              <w:jc w:val="center"/>
              <w:rPr>
                <w:rFonts w:hint="eastAsia" w:ascii="宋体" w:hAnsi="宋体"/>
                <w:color w:val="auto"/>
                <w:sz w:val="24"/>
                <w:szCs w:val="24"/>
                <w:highlight w:val="none"/>
              </w:rPr>
            </w:pPr>
            <w:r>
              <w:rPr>
                <w:rFonts w:ascii="宋体" w:hAnsi="宋体"/>
                <w:color w:val="auto"/>
                <w:sz w:val="24"/>
                <w:szCs w:val="24"/>
                <w:highlight w:val="none"/>
              </w:rPr>
              <w:t>1</w:t>
            </w:r>
          </w:p>
        </w:tc>
        <w:tc>
          <w:tcPr>
            <w:tcW w:w="8947" w:type="dxa"/>
            <w:noWrap w:val="0"/>
            <w:vAlign w:val="center"/>
          </w:tcPr>
          <w:p w14:paraId="1F2620F4">
            <w:pPr>
              <w:wordWrap w:val="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履约</w:t>
            </w:r>
            <w:r>
              <w:rPr>
                <w:rFonts w:ascii="宋体" w:hAnsi="宋体"/>
                <w:color w:val="auto"/>
                <w:sz w:val="24"/>
                <w:szCs w:val="24"/>
                <w:highlight w:val="none"/>
              </w:rPr>
              <w:t>保证金：</w:t>
            </w:r>
            <w:r>
              <w:rPr>
                <w:rFonts w:hint="eastAsia" w:ascii="宋体" w:hAnsi="宋体"/>
                <w:color w:val="auto"/>
                <w:sz w:val="24"/>
                <w:szCs w:val="24"/>
                <w:highlight w:val="none"/>
                <w:lang w:val="en-US" w:eastAsia="zh-CN"/>
              </w:rPr>
              <w:t>无</w:t>
            </w:r>
          </w:p>
        </w:tc>
      </w:tr>
      <w:tr w14:paraId="321F5F7A">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26" w:type="dxa"/>
            <w:noWrap w:val="0"/>
            <w:vAlign w:val="center"/>
          </w:tcPr>
          <w:p w14:paraId="78CCC943">
            <w:pPr>
              <w:wordWrap w:val="0"/>
              <w:jc w:val="center"/>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p>
        </w:tc>
        <w:tc>
          <w:tcPr>
            <w:tcW w:w="8947" w:type="dxa"/>
            <w:noWrap w:val="0"/>
            <w:vAlign w:val="center"/>
          </w:tcPr>
          <w:p w14:paraId="3504C4A2">
            <w:pPr>
              <w:pStyle w:val="12"/>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结算依据与</w:t>
            </w:r>
            <w:r>
              <w:rPr>
                <w:rFonts w:hint="eastAsia" w:ascii="宋体" w:hAnsi="宋体" w:eastAsia="宋体" w:cs="宋体"/>
                <w:color w:val="auto"/>
                <w:sz w:val="21"/>
                <w:szCs w:val="21"/>
                <w:highlight w:val="none"/>
              </w:rPr>
              <w:t>付款方式：</w:t>
            </w:r>
          </w:p>
          <w:p w14:paraId="49AA5F5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日常</w:t>
            </w:r>
            <w:r>
              <w:rPr>
                <w:rFonts w:hint="eastAsia" w:ascii="宋体" w:hAnsi="宋体" w:eastAsia="宋体" w:cs="宋体"/>
                <w:color w:val="auto"/>
                <w:sz w:val="21"/>
                <w:szCs w:val="21"/>
                <w:highlight w:val="none"/>
                <w:lang w:bidi="ar"/>
              </w:rPr>
              <w:t>养护</w:t>
            </w:r>
            <w:r>
              <w:rPr>
                <w:rFonts w:hint="eastAsia" w:ascii="宋体" w:hAnsi="宋体" w:cs="宋体"/>
                <w:color w:val="auto"/>
                <w:sz w:val="21"/>
                <w:szCs w:val="21"/>
                <w:highlight w:val="none"/>
                <w:lang w:val="en-US" w:eastAsia="zh-CN" w:bidi="ar"/>
              </w:rPr>
              <w:t>费用（包干费用，由采购人按月支付）</w:t>
            </w:r>
            <w:r>
              <w:rPr>
                <w:rFonts w:hint="eastAsia" w:ascii="宋体" w:hAnsi="宋体" w:eastAsia="宋体" w:cs="宋体"/>
                <w:color w:val="auto"/>
                <w:sz w:val="21"/>
                <w:szCs w:val="21"/>
                <w:highlight w:val="none"/>
                <w:lang w:bidi="ar"/>
              </w:rPr>
              <w:t>：以月度考核评定</w:t>
            </w:r>
            <w:r>
              <w:rPr>
                <w:rFonts w:hint="eastAsia" w:ascii="宋体" w:hAnsi="宋体" w:eastAsia="宋体" w:cs="宋体"/>
                <w:color w:val="auto"/>
                <w:sz w:val="21"/>
                <w:szCs w:val="21"/>
                <w:highlight w:val="none"/>
                <w:lang w:val="en-US" w:eastAsia="zh-CN" w:bidi="ar"/>
              </w:rPr>
              <w:t>情况，</w:t>
            </w:r>
            <w:r>
              <w:rPr>
                <w:rFonts w:hint="eastAsia" w:ascii="宋体" w:hAnsi="宋体" w:eastAsia="宋体" w:cs="宋体"/>
                <w:color w:val="auto"/>
                <w:sz w:val="21"/>
                <w:szCs w:val="21"/>
                <w:highlight w:val="none"/>
                <w:lang w:bidi="ar"/>
              </w:rPr>
              <w:t>按月</w:t>
            </w:r>
            <w:r>
              <w:rPr>
                <w:rFonts w:hint="eastAsia" w:ascii="宋体" w:hAnsi="宋体" w:eastAsia="宋体" w:cs="宋体"/>
                <w:color w:val="auto"/>
                <w:sz w:val="21"/>
                <w:szCs w:val="21"/>
                <w:highlight w:val="none"/>
                <w:lang w:val="en-US" w:eastAsia="zh-CN" w:bidi="ar"/>
              </w:rPr>
              <w:t>结算</w:t>
            </w:r>
            <w:r>
              <w:rPr>
                <w:rFonts w:hint="eastAsia" w:ascii="宋体" w:hAnsi="宋体" w:eastAsia="宋体" w:cs="宋体"/>
                <w:color w:val="auto"/>
                <w:sz w:val="21"/>
                <w:szCs w:val="21"/>
                <w:highlight w:val="none"/>
                <w:lang w:bidi="ar"/>
              </w:rPr>
              <w:t>日常管理巡查养护经费</w:t>
            </w:r>
            <w:r>
              <w:rPr>
                <w:rFonts w:hint="eastAsia" w:ascii="宋体" w:hAnsi="宋体" w:eastAsia="宋体" w:cs="宋体"/>
                <w:color w:val="auto"/>
                <w:sz w:val="21"/>
                <w:szCs w:val="21"/>
                <w:highlight w:val="none"/>
                <w:lang w:eastAsia="zh-CN" w:bidi="ar"/>
              </w:rPr>
              <w:t>；</w:t>
            </w:r>
          </w:p>
          <w:p w14:paraId="752BB4E5">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hAnsi="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eastAsia="zh-CN" w:bidi="ar"/>
              </w:rPr>
              <w:t>.</w:t>
            </w:r>
            <w:r>
              <w:rPr>
                <w:rFonts w:hint="eastAsia" w:hAnsi="宋体" w:cs="宋体"/>
                <w:color w:val="auto"/>
                <w:sz w:val="21"/>
                <w:szCs w:val="21"/>
                <w:highlight w:val="none"/>
                <w:lang w:val="en-US" w:eastAsia="zh-CN" w:bidi="ar"/>
              </w:rPr>
              <w:t>零星</w:t>
            </w:r>
            <w:r>
              <w:rPr>
                <w:rFonts w:hint="eastAsia" w:ascii="宋体" w:hAnsi="宋体" w:eastAsia="宋体" w:cs="宋体"/>
                <w:color w:val="auto"/>
                <w:sz w:val="21"/>
                <w:szCs w:val="21"/>
                <w:highlight w:val="none"/>
                <w:lang w:val="en-US" w:eastAsia="zh-CN" w:bidi="ar"/>
              </w:rPr>
              <w:t>维修</w:t>
            </w:r>
            <w:r>
              <w:rPr>
                <w:rFonts w:hint="eastAsia" w:hAnsi="宋体" w:cs="宋体"/>
                <w:color w:val="auto"/>
                <w:sz w:val="21"/>
                <w:szCs w:val="21"/>
                <w:highlight w:val="none"/>
                <w:lang w:val="en-US" w:eastAsia="zh-CN" w:bidi="ar"/>
              </w:rPr>
              <w:t>费用（按实结算，由保险公司按月赔付）：中标人根据采购人及保险公司确认的维修工程量清单编制结算资料，并上报采购人，采购人委托造价咨询单位进行审计。保险公司根据审计报告的金额，通过保险相关赔付流程按月赔付。</w:t>
            </w:r>
          </w:p>
          <w:p w14:paraId="343EBB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color w:val="auto"/>
                <w:sz w:val="21"/>
                <w:szCs w:val="21"/>
                <w:highlight w:val="none"/>
                <w:lang w:val="en-US" w:eastAsia="zh-CN"/>
              </w:rPr>
            </w:pPr>
            <w:r>
              <w:rPr>
                <w:rFonts w:hint="eastAsia" w:ascii="宋体" w:hAnsi="宋体" w:cs="宋体"/>
                <w:b/>
                <w:bCs/>
                <w:color w:val="auto"/>
                <w:sz w:val="21"/>
                <w:szCs w:val="21"/>
                <w:highlight w:val="none"/>
                <w:lang w:val="en-US" w:eastAsia="zh-CN" w:bidi="ar"/>
              </w:rPr>
              <w:t>备注：具体约定详见招标需求“9、费用支付”。</w:t>
            </w:r>
          </w:p>
        </w:tc>
      </w:tr>
      <w:tr w14:paraId="2AF4173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26" w:type="dxa"/>
            <w:noWrap w:val="0"/>
            <w:vAlign w:val="center"/>
          </w:tcPr>
          <w:p w14:paraId="60378FE5">
            <w:pPr>
              <w:wordWrap w:val="0"/>
              <w:jc w:val="center"/>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p>
        </w:tc>
        <w:tc>
          <w:tcPr>
            <w:tcW w:w="8947" w:type="dxa"/>
            <w:noWrap w:val="0"/>
            <w:vAlign w:val="center"/>
          </w:tcPr>
          <w:p w14:paraId="479F4FEF">
            <w:pPr>
              <w:pStyle w:val="2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cs="宋体"/>
                <w:color w:val="auto"/>
                <w:sz w:val="21"/>
                <w:szCs w:val="21"/>
                <w:highlight w:val="none"/>
                <w:lang w:val="en-US" w:eastAsia="zh-CN" w:bidi="ar"/>
              </w:rPr>
            </w:pPr>
            <w:r>
              <w:rPr>
                <w:rFonts w:hint="eastAsia" w:cs="宋体"/>
                <w:color w:val="auto"/>
                <w:sz w:val="21"/>
                <w:szCs w:val="21"/>
                <w:highlight w:val="none"/>
                <w:lang w:val="en-US" w:eastAsia="zh-CN" w:bidi="ar"/>
              </w:rPr>
              <w:t>服务期限：采用“1+1”模式，总期限2年，合同一年一签；第一年合同期限暂定自2026年7月1日起至2027年6月30日止，后两年由采购人根据中标人在上一年度合同履约及养护考核等情况决定是否续签（若因政策调整、养护模式或养护经费调整等客观情况需要重新进行招标的，采购人有权单方面终止合同）。</w:t>
            </w:r>
          </w:p>
        </w:tc>
      </w:tr>
      <w:tr w14:paraId="5A9F2023">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26" w:type="dxa"/>
            <w:noWrap w:val="0"/>
            <w:vAlign w:val="center"/>
          </w:tcPr>
          <w:p w14:paraId="08353FDE">
            <w:pPr>
              <w:wordWrap w:val="0"/>
              <w:jc w:val="center"/>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p>
        </w:tc>
        <w:tc>
          <w:tcPr>
            <w:tcW w:w="8947" w:type="dxa"/>
            <w:noWrap w:val="0"/>
            <w:vAlign w:val="center"/>
          </w:tcPr>
          <w:p w14:paraId="67B38231">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保修期：</w:t>
            </w:r>
          </w:p>
          <w:p w14:paraId="5147B71F">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沥青坑槽修补保修期（面积≤5m2）为自通过验收合格之日起不少于6个月，人行道维修、沥青路面摊铺、及其它维修项目保修期自该项维修通过现场验收之日起不少于1年。（人行道如能提供人为破坏依据或道路因不适应现有交通量、载重量增长的需要及结构严重损坏等路段，经采购人同意可适当缩短保修期。）</w:t>
            </w:r>
          </w:p>
          <w:p w14:paraId="36AB66C8">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保修期内针对相同破损位置的重复修复不计入结算金额；应采购人要求实施的大面积沥青铣刨摊铺、人行道专项维修导致的该范围内的零星维修在保修期内重复修复的，不做核减。坑槽修复宜优先使用热料，并使用沥青保温车或沥青再生车。修补沥青坑槽时，因天气等特殊因素影响造成中标人无法按相关标准进行修复的，允许中标人用冷材料直接填补以作应急处理(临时处理费用参照沥青坑槽修补单价的一半进行结算；短期内同一地点重复用冷材料直接填补作应急处理的，只计算1次费用)，但应在天气好转后48小时内完成二次修复工作（已列入大面积维修计划的，经采购人同意可暂缓二次修复）。在春节、专项检查等沥青厂统一停工期间，允许采用冷材料切割修补(临时处理费用参照沥青坑槽修补单价的一半进行结算)。气温低于10℃时，应使用保温车等设备进行坑槽热料修补。</w:t>
            </w:r>
          </w:p>
          <w:p w14:paraId="025E6210">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已维修的设施因施工不当、质量不符要求、或是在合同履约期间、保修期内再次受损的，由中标人负责保修，对于中标人拒不整改、或是整改后仍达不到相关标准的，采购人有权向中标人扣罚该部分工程量的相应费用。</w:t>
            </w:r>
          </w:p>
        </w:tc>
      </w:tr>
      <w:tr w14:paraId="06DE8C6C">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636" w:hRule="atLeast"/>
        </w:trPr>
        <w:tc>
          <w:tcPr>
            <w:tcW w:w="826" w:type="dxa"/>
            <w:noWrap w:val="0"/>
            <w:vAlign w:val="center"/>
          </w:tcPr>
          <w:p w14:paraId="187B7EBB">
            <w:pPr>
              <w:wordWrap w:val="0"/>
              <w:jc w:val="center"/>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p>
        </w:tc>
        <w:tc>
          <w:tcPr>
            <w:tcW w:w="8947" w:type="dxa"/>
            <w:noWrap w:val="0"/>
            <w:vAlign w:val="center"/>
          </w:tcPr>
          <w:p w14:paraId="6BE02065">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日常养护维修组价原则</w:t>
            </w:r>
          </w:p>
          <w:p w14:paraId="59318A85">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1、定额套用：</w:t>
            </w:r>
          </w:p>
          <w:p w14:paraId="5E301DF3">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定额套用《浙江省市政设施养护维修定额》（2018版）及省市现行有关计价规定的，综合费用按相应工程中值取费，施工组织措施费中提前竣工增加费不计，其余施工组织措施费按相应中值计取，规费、税金按相关规定计取。若有关营改增后发布的相关文件，按新文件执行。</w:t>
            </w:r>
          </w:p>
          <w:p w14:paraId="35011A64">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沥青路面连续维修面积在400m2（含）以上或水泥混凝土路面连续维修面积在200m2（含）以上或人行道连续维修面积在200m2（含）以上或彩色沥青（含陶颗粒、sp材料）路面连续维修面积在200m2（含）以上的维修工程采用《浙江省市政工程预算定额》(2018版)等计价依据。按《关于颁发浙江省建设工程计价依据（2018版）的通知》浙建建﹝2018﹞61号文件规定执行，综合费用按相应工程三类中值取费，增值税税率按照《关于增值税调整后我省建设工程计价依据增值税税率及有关计价调整的通知》浙建建发〔2019〕92号。施工组织措施费中提前竣工增加费不计，其余施工组织措施费按相应中值计取。</w:t>
            </w:r>
          </w:p>
          <w:p w14:paraId="4EEDC4E6">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2、若合同期间颁发新定额、计价时，则按新颁发的规定执行。</w:t>
            </w:r>
          </w:p>
          <w:p w14:paraId="709E2F76">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3、材料价格按以下排序计入：</w:t>
            </w:r>
          </w:p>
          <w:p w14:paraId="45184C5C">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材料价格参照《宁波建设工程造价信息》（综合版）施工当月的材料价格；《宁波建设工程造价信息》（综合版）中未列材料参照《浙江造价信息》（施工当月正刊）。明确《宁波建设工程造价信息》（建材商情版）和浙江建设工程造价信息网页资料的《价格信息》（简称“省副刊”）不能作为结算依据；</w:t>
            </w:r>
          </w:p>
          <w:p w14:paraId="3A1774ED">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（2）无信息价材料根据市场询价进行组价，最终以第三方审计单位审核价格为准；</w:t>
            </w:r>
          </w:p>
          <w:p w14:paraId="32BE5238">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（3）其它有关规定。</w:t>
            </w:r>
          </w:p>
          <w:p w14:paraId="557BB430">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4、机械价格指数和人工价格：参照《宁波市建设工程造价信息》（施工当月综合版）。</w:t>
            </w:r>
          </w:p>
          <w:p w14:paraId="054BA884">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5、垃圾、余土及废渣外运(包括装、运输费及处置费等所有费用)工程量按实计取，要求中标人按规定规范外运、处置,否则，由此产生的一切问题及责任均由中标人自行承担。</w:t>
            </w:r>
          </w:p>
          <w:p w14:paraId="1EB96CF1">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保修期内针对相同破损位置的重复修复不计入结算金额。修补沥青坑槽时，因天气因素影响造成中标人无法按相关标准进行修复的，允许中标人用冷料直接填补作临时处理(临时处理费用参照沥青坑槽修补单价的一半进行结算；短期内同一地点重复用冷材料直接填补作应急处理的，只计算1次费用)，但应在天气好转后48小时内完成两次标准修复工作，且所用围护不计。</w:t>
            </w:r>
          </w:p>
          <w:p w14:paraId="2F524202">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7、无定额组价的项目单价根据市场询价进行组价，最终以第三方审计单位审核价格为准，且在计量单明确。</w:t>
            </w:r>
          </w:p>
          <w:p w14:paraId="617D427D">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8、若设施量增加或减少时，按实结算，中标折扣及包干费用将不作调整，中标人须无条件服从。</w:t>
            </w:r>
          </w:p>
          <w:p w14:paraId="53AF07E3">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9、安全文明施工费：安全文明施工费按实结算，应采购人要求提标的施工作业围护费一次性包干，不再单独计算。</w:t>
            </w:r>
          </w:p>
          <w:p w14:paraId="21E28827">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10、安全文明施工及围挡要求：</w:t>
            </w:r>
          </w:p>
          <w:p w14:paraId="72459692">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根据《宁波市建设工程文明施工管理规定》、《宁波市建设工地围挡指导及标准范例（201</w:t>
            </w:r>
            <w:r>
              <w:rPr>
                <w:rFonts w:hint="eastAsia"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val="en-US" w:eastAsia="zh-CN" w:bidi="ar"/>
              </w:rPr>
              <w:t>版）》的要求进行人行道、机动车道等养护作业。围挡材料根据采购人要求确定，包括不少于600米的硬质围挡和满足施工要求的反光锥、连接杆、导改牌、警示灯等。人行道养护作业时长超过6小时的，必须使用1.2米高的铁制硬质围挡，并配合使用导改牌、警示灯，确保养护作业与行人安全；机动车道养护作业推荐使用反光锥、连接杆，并配合使用导改牌、警示灯，且做好防撞措施，确保养护作业与机动车安全。</w:t>
            </w:r>
          </w:p>
        </w:tc>
      </w:tr>
      <w:tr w14:paraId="08ABE886">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108" w:type="dxa"/>
            <w:bottom w:w="0" w:type="dxa"/>
            <w:right w:w="108" w:type="dxa"/>
          </w:tblCellMar>
        </w:tblPrEx>
        <w:trPr>
          <w:trHeight w:val="636" w:hRule="atLeast"/>
        </w:trPr>
        <w:tc>
          <w:tcPr>
            <w:tcW w:w="826" w:type="dxa"/>
            <w:noWrap w:val="0"/>
            <w:vAlign w:val="center"/>
          </w:tcPr>
          <w:p w14:paraId="0DBF4CBA">
            <w:pPr>
              <w:wordWrap w:val="0"/>
              <w:jc w:val="center"/>
              <w:rPr>
                <w:rFonts w:hint="eastAsia"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w:t>
            </w:r>
            <w:r>
              <w:rPr>
                <w:rFonts w:hint="eastAsia" w:ascii="宋体" w:hAnsi="宋体"/>
                <w:color w:val="auto"/>
                <w:sz w:val="24"/>
                <w:szCs w:val="24"/>
                <w:highlight w:val="none"/>
                <w:lang w:val="en-US" w:eastAsia="zh-CN"/>
              </w:rPr>
              <w:t>6</w:t>
            </w:r>
          </w:p>
        </w:tc>
        <w:tc>
          <w:tcPr>
            <w:tcW w:w="8947" w:type="dxa"/>
            <w:noWrap w:val="0"/>
            <w:vAlign w:val="center"/>
          </w:tcPr>
          <w:p w14:paraId="3BB296EF">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合同终止：</w:t>
            </w:r>
          </w:p>
          <w:p w14:paraId="6774D754">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1.中标人在合同有效期内，不得以任何理由终止合同，确有特殊情况的，须提前两个月向采购人提出书面申请，经采购人同意后，方可终止合同。</w:t>
            </w:r>
          </w:p>
          <w:p w14:paraId="3882E620">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2.服务期间如出现下列情形之一的，一经发现采购人有权单方解除合同，并由中标人承担由此造成的一切损失及赔偿。</w:t>
            </w:r>
          </w:p>
          <w:p w14:paraId="13DDBA3B">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（1）采购文件中实质性条款未按投标承诺内容执行或不服从采购人要求。</w:t>
            </w:r>
          </w:p>
          <w:p w14:paraId="474142E0">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（2）出现重大违规、违法行为或其他造成恶劣影响。</w:t>
            </w:r>
          </w:p>
          <w:p w14:paraId="0015D2B9">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（3）活动期间出现重大事故或造成严重社会负面影响。</w:t>
            </w:r>
          </w:p>
          <w:p w14:paraId="3ED7524F">
            <w:pPr>
              <w:pStyle w:val="23"/>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3、按实际考核情况确认是否终止合同。</w:t>
            </w:r>
          </w:p>
        </w:tc>
      </w:tr>
    </w:tbl>
    <w:p w14:paraId="2368E139">
      <w:pPr>
        <w:pStyle w:val="12"/>
        <w:wordWrap w:val="0"/>
        <w:ind w:firstLine="536"/>
        <w:rPr>
          <w:rFonts w:hint="eastAsia"/>
          <w:color w:val="auto"/>
          <w:highlight w:val="none"/>
        </w:rPr>
      </w:pPr>
    </w:p>
    <w:p w14:paraId="2BC30ED1">
      <w:pPr>
        <w:pStyle w:val="12"/>
        <w:wordWrap w:val="0"/>
        <w:ind w:firstLine="536"/>
        <w:rPr>
          <w:color w:val="auto"/>
          <w:highlight w:val="none"/>
        </w:rPr>
        <w:sectPr>
          <w:pgSz w:w="11907" w:h="16840"/>
          <w:pgMar w:top="1440" w:right="1080" w:bottom="1440" w:left="1080" w:header="284" w:footer="420" w:gutter="0"/>
          <w:cols w:space="720" w:num="1"/>
          <w:docGrid w:linePitch="285" w:charSpace="0"/>
        </w:sectPr>
      </w:pPr>
    </w:p>
    <w:bookmarkEnd w:id="60"/>
    <w:p w14:paraId="2B1805B6">
      <w:pPr>
        <w:wordWrap w:val="0"/>
        <w:spacing w:line="400" w:lineRule="exact"/>
        <w:jc w:val="center"/>
        <w:outlineLvl w:val="0"/>
        <w:rPr>
          <w:rFonts w:ascii="宋体" w:hAnsi="宋体"/>
          <w:b/>
          <w:color w:val="auto"/>
          <w:sz w:val="32"/>
          <w:highlight w:val="none"/>
        </w:rPr>
      </w:pPr>
      <w:bookmarkStart w:id="63" w:name="_Toc135513219"/>
      <w:r>
        <w:rPr>
          <w:rFonts w:hint="eastAsia" w:ascii="宋体" w:hAnsi="宋体"/>
          <w:b/>
          <w:color w:val="auto"/>
          <w:sz w:val="32"/>
          <w:highlight w:val="none"/>
        </w:rPr>
        <w:t>第五章</w:t>
      </w:r>
      <w:r>
        <w:rPr>
          <w:rFonts w:ascii="宋体" w:hAnsi="宋体"/>
          <w:b/>
          <w:color w:val="auto"/>
          <w:sz w:val="32"/>
          <w:highlight w:val="none"/>
        </w:rPr>
        <w:t xml:space="preserve">  </w:t>
      </w:r>
      <w:r>
        <w:rPr>
          <w:rFonts w:hint="eastAsia" w:ascii="宋体" w:hAnsi="宋体"/>
          <w:b/>
          <w:color w:val="auto"/>
          <w:sz w:val="32"/>
          <w:highlight w:val="none"/>
        </w:rPr>
        <w:t>评标办法及标准</w:t>
      </w:r>
      <w:bookmarkEnd w:id="63"/>
    </w:p>
    <w:p w14:paraId="2E3DA74D">
      <w:pPr>
        <w:wordWrap w:val="0"/>
        <w:spacing w:line="400" w:lineRule="exact"/>
        <w:jc w:val="left"/>
        <w:rPr>
          <w:rFonts w:ascii="宋体" w:hAnsi="宋体"/>
          <w:b/>
          <w:color w:val="auto"/>
          <w:szCs w:val="21"/>
          <w:highlight w:val="none"/>
        </w:rPr>
      </w:pPr>
      <w:r>
        <w:rPr>
          <w:rFonts w:hint="eastAsia" w:ascii="宋体" w:hAnsi="宋体"/>
          <w:b/>
          <w:color w:val="auto"/>
          <w:szCs w:val="21"/>
          <w:highlight w:val="none"/>
        </w:rPr>
        <w:t>一、评标办法</w:t>
      </w:r>
    </w:p>
    <w:p w14:paraId="660F7C2F">
      <w:pPr>
        <w:wordWrap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本项目评标采用综合评分法。</w:t>
      </w:r>
    </w:p>
    <w:p w14:paraId="68B6E598">
      <w:pPr>
        <w:wordWrap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综合评分法：采用百分制，总分</w:t>
      </w:r>
      <w:r>
        <w:rPr>
          <w:rFonts w:ascii="宋体" w:hAnsi="宋体"/>
          <w:color w:val="auto"/>
          <w:szCs w:val="21"/>
          <w:highlight w:val="none"/>
        </w:rPr>
        <w:t>100</w:t>
      </w:r>
      <w:r>
        <w:rPr>
          <w:rFonts w:hint="eastAsia" w:ascii="宋体" w:hAnsi="宋体"/>
          <w:color w:val="auto"/>
          <w:szCs w:val="21"/>
          <w:highlight w:val="none"/>
        </w:rPr>
        <w:t>分。供应商的综合得分为商务和技术得分与报价得分之和。按综合得分由高到低的排序，推荐中标候选人。若供应商的综合得分相等，则投标报价低者列前；得分且投标报价相同的并列。</w:t>
      </w:r>
    </w:p>
    <w:p w14:paraId="1714522C">
      <w:pPr>
        <w:wordWrap w:val="0"/>
        <w:spacing w:line="400" w:lineRule="exact"/>
        <w:ind w:firstLine="420" w:firstLineChars="200"/>
        <w:jc w:val="left"/>
        <w:rPr>
          <w:rFonts w:hint="eastAsia" w:ascii="宋体" w:hAnsi="宋体" w:cs="宋体"/>
          <w:color w:val="auto"/>
          <w:highlight w:val="none"/>
        </w:rPr>
      </w:pPr>
      <w:r>
        <w:rPr>
          <w:rFonts w:ascii="宋体" w:hAnsi="宋体"/>
          <w:color w:val="auto"/>
          <w:szCs w:val="21"/>
          <w:highlight w:val="none"/>
        </w:rPr>
        <w:t>1.3</w:t>
      </w:r>
      <w:r>
        <w:rPr>
          <w:rFonts w:hint="eastAsia" w:ascii="宋体" w:hAnsi="宋体" w:cs="宋体"/>
          <w:color w:val="auto"/>
          <w:highlight w:val="none"/>
        </w:rPr>
        <w:t>本项目需要落实的政府采购政策：《关于促进残疾人就业政府采购政策的通知》（财库[2017]141号）、《政府采购促进中小企业发展管理办法》（财库〔2020〕46号）、《关于政府采购支持监狱企业发展有关问题的通知》（财库[2014]68号）。</w:t>
      </w:r>
    </w:p>
    <w:p w14:paraId="4FB560FF">
      <w:pPr>
        <w:wordWrap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1.4本次采购为</w:t>
      </w:r>
      <w:r>
        <w:rPr>
          <w:rFonts w:hint="eastAsia" w:ascii="宋体" w:hAnsi="宋体"/>
          <w:color w:val="auto"/>
          <w:szCs w:val="21"/>
          <w:highlight w:val="none"/>
          <w:lang w:val="en-US" w:eastAsia="zh-CN"/>
        </w:rPr>
        <w:t>非</w:t>
      </w:r>
      <w:r>
        <w:rPr>
          <w:rFonts w:ascii="宋体" w:hAnsi="宋体"/>
          <w:color w:val="auto"/>
          <w:szCs w:val="21"/>
          <w:highlight w:val="none"/>
        </w:rPr>
        <w:t>专门面向</w:t>
      </w:r>
      <w:r>
        <w:rPr>
          <w:rFonts w:hint="eastAsia" w:ascii="宋体" w:hAnsi="宋体"/>
          <w:color w:val="auto"/>
          <w:szCs w:val="21"/>
          <w:highlight w:val="none"/>
        </w:rPr>
        <w:t>中小</w:t>
      </w:r>
      <w:r>
        <w:rPr>
          <w:rFonts w:ascii="宋体" w:hAnsi="宋体"/>
          <w:color w:val="auto"/>
          <w:szCs w:val="21"/>
          <w:highlight w:val="none"/>
        </w:rPr>
        <w:t>企业，采购标的对应的中小企业划分标准所属行业</w:t>
      </w:r>
      <w:r>
        <w:rPr>
          <w:rFonts w:hint="eastAsia" w:ascii="宋体" w:hAnsi="宋体"/>
          <w:color w:val="auto"/>
          <w:szCs w:val="21"/>
          <w:highlight w:val="none"/>
        </w:rPr>
        <w:t>为</w:t>
      </w:r>
      <w:r>
        <w:rPr>
          <w:rFonts w:ascii="宋体" w:hAnsi="宋体"/>
          <w:color w:val="auto"/>
          <w:szCs w:val="21"/>
          <w:highlight w:val="none"/>
        </w:rPr>
        <w:t>：</w:t>
      </w:r>
      <w:r>
        <w:rPr>
          <w:rFonts w:hint="eastAsia" w:ascii="宋体" w:hAnsi="宋体"/>
          <w:b/>
          <w:color w:val="auto"/>
          <w:szCs w:val="21"/>
          <w:highlight w:val="none"/>
          <w:u w:val="single"/>
        </w:rPr>
        <w:t>其他未列明行业</w:t>
      </w:r>
      <w:r>
        <w:rPr>
          <w:rFonts w:ascii="宋体" w:hAnsi="宋体"/>
          <w:color w:val="auto"/>
          <w:szCs w:val="21"/>
          <w:highlight w:val="none"/>
        </w:rPr>
        <w:t>。</w:t>
      </w:r>
      <w:r>
        <w:rPr>
          <w:rFonts w:hint="eastAsia" w:ascii="宋体" w:hAnsi="宋体"/>
          <w:color w:val="auto"/>
          <w:szCs w:val="21"/>
          <w:highlight w:val="none"/>
        </w:rPr>
        <w:t>本次评标将对中小企业声明函满足招标文件要求的小微企业的价格给予10%的扣除，用扣除后的价格参与评审。价格扣除只用于评审过程，如中标，中标价格仍按照其投标价格进行公示。</w:t>
      </w:r>
    </w:p>
    <w:p w14:paraId="2046FD67">
      <w:pPr>
        <w:wordWrap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本项目将对节能产品、环境标志产品给予政策性因素技术加分，投标产品如属于节能产品、环境标志产品的，供应商须提供由国家确定的认证机构出具的、处于有效期之内的节能产品、环境标志产品认证证书，未按要求提供认证证书或认证证书与中国政府采购网（www.ccgp.gov.cn）节能产品、环境标志产品查询结果不相符的评标委员会将不予认可，不得享受技术加分。由多个产品集成的项目（标项），必须所有产品符合上述要求才能享受技术加分。</w:t>
      </w:r>
      <w:r>
        <w:rPr>
          <w:rFonts w:hint="eastAsia" w:ascii="宋体" w:hAnsi="宋体"/>
          <w:b/>
          <w:bCs/>
          <w:color w:val="auto"/>
          <w:szCs w:val="21"/>
          <w:highlight w:val="none"/>
        </w:rPr>
        <w:t>（本项目不适用）</w:t>
      </w:r>
    </w:p>
    <w:p w14:paraId="4BFEC18D">
      <w:pPr>
        <w:wordWrap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6评标委员会成员对需要共同认定的事项存在争议的，应当按照少数服从多数的原则作出结论。</w:t>
      </w:r>
    </w:p>
    <w:p w14:paraId="03D97FD8">
      <w:pPr>
        <w:wordWrap w:val="0"/>
        <w:spacing w:line="400" w:lineRule="exact"/>
        <w:jc w:val="left"/>
        <w:rPr>
          <w:rFonts w:ascii="宋体" w:hAnsi="宋体"/>
          <w:b/>
          <w:bCs/>
          <w:color w:val="auto"/>
          <w:szCs w:val="21"/>
          <w:highlight w:val="none"/>
        </w:rPr>
      </w:pPr>
      <w:r>
        <w:rPr>
          <w:rFonts w:hint="eastAsia" w:ascii="宋体" w:hAnsi="宋体"/>
          <w:color w:val="auto"/>
          <w:szCs w:val="21"/>
          <w:highlight w:val="none"/>
        </w:rPr>
        <w:t>二、</w:t>
      </w:r>
      <w:r>
        <w:rPr>
          <w:rFonts w:hint="eastAsia" w:ascii="宋体" w:hAnsi="宋体"/>
          <w:b/>
          <w:bCs/>
          <w:color w:val="auto"/>
          <w:szCs w:val="21"/>
          <w:highlight w:val="none"/>
        </w:rPr>
        <w:t>评标程序</w:t>
      </w:r>
    </w:p>
    <w:p w14:paraId="32352B2A">
      <w:pPr>
        <w:wordWrap w:val="0"/>
        <w:spacing w:line="400" w:lineRule="exact"/>
        <w:ind w:firstLine="420" w:firstLineChars="200"/>
        <w:rPr>
          <w:rFonts w:ascii="宋体" w:hAnsi="宋体"/>
          <w:b/>
          <w:color w:val="auto"/>
          <w:szCs w:val="21"/>
          <w:highlight w:val="none"/>
        </w:rPr>
      </w:pPr>
      <w:r>
        <w:rPr>
          <w:rFonts w:ascii="宋体" w:hAnsi="宋体"/>
          <w:color w:val="auto"/>
          <w:szCs w:val="21"/>
          <w:highlight w:val="none"/>
        </w:rPr>
        <w:t>2.1</w:t>
      </w:r>
      <w:r>
        <w:rPr>
          <w:rFonts w:hint="eastAsia" w:ascii="宋体" w:hAnsi="宋体"/>
          <w:color w:val="auto"/>
          <w:szCs w:val="21"/>
          <w:highlight w:val="none"/>
        </w:rPr>
        <w:t>初步审查：包含资格性审查和符合性审查。资格性审查是指采购人或代理机构根据“附表</w:t>
      </w:r>
      <w:r>
        <w:rPr>
          <w:rFonts w:ascii="宋体" w:hAnsi="宋体"/>
          <w:color w:val="auto"/>
          <w:szCs w:val="21"/>
          <w:highlight w:val="none"/>
        </w:rPr>
        <w:t>1</w:t>
      </w:r>
      <w:r>
        <w:rPr>
          <w:rFonts w:hint="eastAsia" w:ascii="宋体" w:hAnsi="宋体"/>
          <w:color w:val="auto"/>
          <w:szCs w:val="21"/>
          <w:highlight w:val="none"/>
        </w:rPr>
        <w:t>资格性审查表”的要求对投标文件逐一进行评审。符合性审查是指评标委员会根据“附表</w:t>
      </w:r>
      <w:r>
        <w:rPr>
          <w:rFonts w:ascii="宋体" w:hAnsi="宋体"/>
          <w:color w:val="auto"/>
          <w:szCs w:val="21"/>
          <w:highlight w:val="none"/>
        </w:rPr>
        <w:t>2</w:t>
      </w:r>
      <w:r>
        <w:rPr>
          <w:rFonts w:hint="eastAsia" w:ascii="宋体" w:hAnsi="宋体"/>
          <w:color w:val="auto"/>
          <w:szCs w:val="21"/>
          <w:highlight w:val="none"/>
        </w:rPr>
        <w:t>符合性审查表（商务和技术文件）”的要求对投标文件逐一进行评审。</w:t>
      </w:r>
      <w:r>
        <w:rPr>
          <w:rFonts w:hint="eastAsia" w:ascii="宋体" w:hAnsi="宋体"/>
          <w:b/>
          <w:color w:val="auto"/>
          <w:szCs w:val="21"/>
          <w:highlight w:val="none"/>
        </w:rPr>
        <w:t>资格性审查和符合性审查中，有任意一项审查结论不合格的，作无效标处理。</w:t>
      </w:r>
    </w:p>
    <w:p w14:paraId="1CA26536">
      <w:pPr>
        <w:wordWrap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lang w:val="zh-CN"/>
        </w:rPr>
        <w:t>比较与评价：</w:t>
      </w:r>
      <w:r>
        <w:rPr>
          <w:rFonts w:hint="eastAsia" w:ascii="宋体" w:hAnsi="宋体"/>
          <w:color w:val="auto"/>
          <w:szCs w:val="21"/>
          <w:highlight w:val="none"/>
        </w:rPr>
        <w:t>评标委员会根据“附表</w:t>
      </w:r>
      <w:r>
        <w:rPr>
          <w:rFonts w:ascii="宋体" w:hAnsi="宋体"/>
          <w:color w:val="auto"/>
          <w:szCs w:val="21"/>
          <w:highlight w:val="none"/>
        </w:rPr>
        <w:t>3</w:t>
      </w:r>
      <w:r>
        <w:rPr>
          <w:rFonts w:hint="eastAsia" w:ascii="宋体" w:hAnsi="宋体"/>
          <w:color w:val="auto"/>
          <w:szCs w:val="21"/>
          <w:highlight w:val="none"/>
        </w:rPr>
        <w:t>商务和技术评分表”的要求，</w:t>
      </w:r>
      <w:r>
        <w:rPr>
          <w:rFonts w:hint="eastAsia" w:ascii="宋体" w:hAnsi="宋体"/>
          <w:color w:val="auto"/>
          <w:szCs w:val="21"/>
          <w:highlight w:val="none"/>
          <w:lang w:val="zh-CN"/>
        </w:rPr>
        <w:t>对照投标文件的应答进行比较，判定其偏差性质和程度，</w:t>
      </w:r>
      <w:r>
        <w:rPr>
          <w:rFonts w:hint="eastAsia" w:ascii="宋体" w:hAnsi="宋体"/>
          <w:color w:val="auto"/>
          <w:szCs w:val="21"/>
          <w:highlight w:val="none"/>
        </w:rPr>
        <w:t>由评标委员会成员在分值范围内自行评分。供应商商务和技术得分为各评标委员会成员有效评分的算术平均值（小数点后保留二位数）。</w:t>
      </w:r>
    </w:p>
    <w:p w14:paraId="32A964C9">
      <w:pPr>
        <w:wordWrap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评委依法独立评审，并对评审意见承担个人责任。对明显畸高、畸低的评分（其主观分偏离平均分30%以上的），评标委员会主任委员提醒相关评审人员进行复核或书面说明理由。评委对需要共同认定的事项存在争议的，按照少数服从多数的原则做出结论。持不同意见的评委应当在评审报告上签署不同意见并说明理由，否则视为同意。</w:t>
      </w:r>
    </w:p>
    <w:p w14:paraId="5DE57783">
      <w:pPr>
        <w:wordWrap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3在评标过程中，发现的价格计算错误按下述原则修正：</w:t>
      </w:r>
    </w:p>
    <w:p w14:paraId="7F629026">
      <w:pPr>
        <w:wordWrap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）投标文件中开标一览表内容与投标文件中分项报价表内容不一致的，以开标一览表为准；</w:t>
      </w:r>
    </w:p>
    <w:p w14:paraId="344B81AC">
      <w:pPr>
        <w:wordWrap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）大写金额和小写金额不一致的，以大写金额为准；</w:t>
      </w:r>
    </w:p>
    <w:p w14:paraId="73B4DF9E">
      <w:pPr>
        <w:wordWrap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）单价金额小数点或者百分比有明显错位的，以开标一览表的总价为准，并修改单价；</w:t>
      </w:r>
    </w:p>
    <w:p w14:paraId="0A4A48C9">
      <w:pPr>
        <w:wordWrap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）总价金额与按单价汇总金额不一致的，以单价金额计算结果为准；</w:t>
      </w:r>
    </w:p>
    <w:p w14:paraId="56DC4D1D">
      <w:pPr>
        <w:wordWrap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同时出现两种以上不一致的，按照前款规定的顺序修正。修正后的报价经投标人确认后具有约束力，若投标人不确认的，则其投标无效。</w:t>
      </w:r>
    </w:p>
    <w:p w14:paraId="7D5AC5FA">
      <w:pPr>
        <w:wordWrap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注：投标文件中开标一览表内容与政采云系统“开标一览表”中录入的内容不一致的，以投标文件中开标一览表为准。</w:t>
      </w:r>
    </w:p>
    <w:p w14:paraId="76A3F53A">
      <w:pPr>
        <w:wordWrap w:val="0"/>
        <w:spacing w:line="400" w:lineRule="exact"/>
        <w:ind w:firstLine="420" w:firstLineChars="200"/>
        <w:jc w:val="left"/>
        <w:rPr>
          <w:rFonts w:ascii="宋体" w:hAnsi="宋体"/>
          <w:color w:val="auto"/>
          <w:highlight w:val="none"/>
        </w:rPr>
      </w:pPr>
      <w:r>
        <w:rPr>
          <w:rFonts w:ascii="宋体" w:hAnsi="宋体"/>
          <w:color w:val="auto"/>
          <w:szCs w:val="21"/>
          <w:highlight w:val="none"/>
        </w:rPr>
        <w:t>2.2.3</w:t>
      </w:r>
      <w:r>
        <w:rPr>
          <w:rFonts w:hint="eastAsia" w:ascii="宋体" w:hAnsi="宋体"/>
          <w:color w:val="auto"/>
          <w:highlight w:val="none"/>
        </w:rPr>
        <w:t>提供相同品牌产品且通过资格性审查、符合性审查的不同供应商参加同一标项投标的，按一家供应商计算，评审后综合得分最高的同品牌供应商获得中标</w:t>
      </w:r>
      <w:r>
        <w:rPr>
          <w:rFonts w:hint="eastAsia" w:ascii="宋体" w:hAnsi="宋体"/>
          <w:color w:val="auto"/>
          <w:szCs w:val="21"/>
          <w:highlight w:val="none"/>
        </w:rPr>
        <w:t>候选</w:t>
      </w:r>
      <w:r>
        <w:rPr>
          <w:rFonts w:hint="eastAsia" w:ascii="宋体" w:hAnsi="宋体"/>
          <w:color w:val="auto"/>
          <w:highlight w:val="none"/>
        </w:rPr>
        <w:t>人推荐资格；综合得分相同的，由评标委员会采取随机抽取方式确定，其他同品牌供应商不作为中标候选人。</w:t>
      </w:r>
    </w:p>
    <w:p w14:paraId="75AFC4DA">
      <w:pPr>
        <w:spacing w:line="400" w:lineRule="exact"/>
        <w:ind w:firstLine="420" w:firstLineChars="200"/>
        <w:rPr>
          <w:rFonts w:hint="eastAsia" w:ascii="宋体" w:hAnsi="宋体" w:cs="Arial"/>
          <w:color w:val="auto"/>
          <w:szCs w:val="21"/>
          <w:highlight w:val="none"/>
        </w:rPr>
      </w:pPr>
      <w:r>
        <w:rPr>
          <w:rFonts w:ascii="宋体" w:hAnsi="宋体" w:cs="Arial"/>
          <w:color w:val="auto"/>
          <w:szCs w:val="21"/>
          <w:highlight w:val="none"/>
        </w:rPr>
        <w:t>非单一产品采购项目，投标人使用相同制造产品作为其项目的一部分，</w:t>
      </w:r>
      <w:r>
        <w:rPr>
          <w:rFonts w:hint="eastAsia" w:ascii="宋体" w:hAnsi="宋体" w:cs="Arial"/>
          <w:color w:val="auto"/>
          <w:szCs w:val="21"/>
          <w:highlight w:val="none"/>
        </w:rPr>
        <w:t>多家投标人提供核心产品品牌有相同的，</w:t>
      </w:r>
      <w:r>
        <w:rPr>
          <w:rFonts w:ascii="宋体" w:hAnsi="宋体" w:cs="Arial"/>
          <w:color w:val="auto"/>
          <w:szCs w:val="21"/>
          <w:highlight w:val="none"/>
        </w:rPr>
        <w:t>按一家投标人认定。</w:t>
      </w:r>
    </w:p>
    <w:p w14:paraId="21AD04BB">
      <w:pPr>
        <w:wordWrap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2.2.4</w:t>
      </w:r>
      <w:r>
        <w:rPr>
          <w:rFonts w:hint="eastAsia" w:ascii="宋体" w:hAnsi="宋体"/>
          <w:color w:val="auto"/>
          <w:szCs w:val="21"/>
          <w:highlight w:val="none"/>
        </w:rPr>
        <w:t>报价</w:t>
      </w:r>
      <w:r>
        <w:rPr>
          <w:rFonts w:ascii="宋体" w:hAnsi="宋体"/>
          <w:color w:val="auto"/>
          <w:szCs w:val="21"/>
          <w:highlight w:val="none"/>
        </w:rPr>
        <w:t>文件</w:t>
      </w:r>
      <w:r>
        <w:rPr>
          <w:rFonts w:hint="eastAsia" w:ascii="宋体" w:hAnsi="宋体"/>
          <w:color w:val="auto"/>
          <w:szCs w:val="21"/>
          <w:highlight w:val="none"/>
        </w:rPr>
        <w:t>符合性审查：评标委员会根据“附表</w:t>
      </w:r>
      <w:r>
        <w:rPr>
          <w:rFonts w:ascii="宋体" w:hAnsi="宋体"/>
          <w:color w:val="auto"/>
          <w:szCs w:val="21"/>
          <w:highlight w:val="none"/>
        </w:rPr>
        <w:t>4</w:t>
      </w:r>
      <w:r>
        <w:rPr>
          <w:rFonts w:hint="eastAsia" w:ascii="宋体" w:hAnsi="宋体"/>
          <w:color w:val="auto"/>
          <w:szCs w:val="21"/>
          <w:highlight w:val="none"/>
        </w:rPr>
        <w:t>符合性审查表（报价文件）”的要求对投标文件逐一进行评审。</w:t>
      </w:r>
      <w:r>
        <w:rPr>
          <w:rFonts w:hint="eastAsia" w:ascii="宋体" w:hAnsi="宋体"/>
          <w:b/>
          <w:color w:val="auto"/>
          <w:szCs w:val="21"/>
          <w:highlight w:val="none"/>
        </w:rPr>
        <w:t>符合性审查中，有任意一项审查结论不合格的，作无效标处理。</w:t>
      </w:r>
    </w:p>
    <w:p w14:paraId="7E164181">
      <w:pPr>
        <w:wordWrap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2.2.5</w:t>
      </w:r>
      <w:r>
        <w:rPr>
          <w:rFonts w:hint="eastAsia" w:ascii="宋体" w:hAnsi="宋体"/>
          <w:color w:val="auto"/>
          <w:szCs w:val="21"/>
          <w:highlight w:val="none"/>
        </w:rPr>
        <w:t>评标委员会根据“附表</w:t>
      </w:r>
      <w:r>
        <w:rPr>
          <w:rFonts w:ascii="宋体" w:hAnsi="宋体"/>
          <w:color w:val="auto"/>
          <w:szCs w:val="21"/>
          <w:highlight w:val="none"/>
        </w:rPr>
        <w:t>5</w:t>
      </w:r>
      <w:r>
        <w:rPr>
          <w:rFonts w:hint="eastAsia" w:ascii="宋体" w:hAnsi="宋体"/>
          <w:color w:val="auto"/>
          <w:szCs w:val="21"/>
          <w:highlight w:val="none"/>
        </w:rPr>
        <w:t>价格评分表”的规定，计算供应商报价得分（小数点后保留二位数）。</w:t>
      </w:r>
    </w:p>
    <w:p w14:paraId="51859C24">
      <w:pPr>
        <w:wordWrap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2.2.6</w:t>
      </w:r>
      <w:r>
        <w:rPr>
          <w:rFonts w:hint="eastAsia" w:ascii="宋体" w:hAnsi="宋体"/>
          <w:color w:val="auto"/>
          <w:szCs w:val="21"/>
          <w:highlight w:val="none"/>
        </w:rPr>
        <w:t>综合评估：供应商的综合得分为商务和技术得分与报价得分之和。</w:t>
      </w:r>
    </w:p>
    <w:p w14:paraId="1CEC1F61">
      <w:pPr>
        <w:wordWrap w:val="0"/>
        <w:spacing w:line="400" w:lineRule="exact"/>
        <w:ind w:firstLine="422" w:firstLineChars="200"/>
        <w:jc w:val="left"/>
        <w:rPr>
          <w:rFonts w:hint="eastAsia" w:ascii="宋体" w:hAnsi="宋体"/>
          <w:b/>
          <w:color w:val="auto"/>
          <w:szCs w:val="21"/>
          <w:highlight w:val="none"/>
        </w:rPr>
      </w:pPr>
      <w:r>
        <w:rPr>
          <w:rFonts w:ascii="宋体" w:hAnsi="宋体"/>
          <w:b/>
          <w:color w:val="auto"/>
          <w:szCs w:val="21"/>
          <w:highlight w:val="none"/>
        </w:rPr>
        <w:t>2.2.7推荐中标候选人：根据</w:t>
      </w:r>
      <w:r>
        <w:rPr>
          <w:rFonts w:hint="eastAsia" w:ascii="宋体" w:hAnsi="宋体"/>
          <w:b/>
          <w:color w:val="auto"/>
          <w:szCs w:val="21"/>
          <w:highlight w:val="none"/>
        </w:rPr>
        <w:t>投标人</w:t>
      </w:r>
      <w:r>
        <w:rPr>
          <w:rFonts w:ascii="宋体" w:hAnsi="宋体"/>
          <w:b/>
          <w:color w:val="auto"/>
          <w:szCs w:val="21"/>
          <w:highlight w:val="none"/>
        </w:rPr>
        <w:t>综合得分由高到低进行排序，</w:t>
      </w:r>
      <w:r>
        <w:rPr>
          <w:rFonts w:hint="eastAsia" w:ascii="宋体" w:hAnsi="宋体"/>
          <w:color w:val="auto"/>
          <w:szCs w:val="21"/>
          <w:highlight w:val="none"/>
        </w:rPr>
        <w:t>向采购人推荐中标候选人，</w:t>
      </w:r>
      <w:r>
        <w:rPr>
          <w:rFonts w:hint="eastAsia" w:ascii="宋体" w:hAnsi="宋体" w:cs="宋体"/>
          <w:color w:val="auto"/>
          <w:kern w:val="0"/>
          <w:szCs w:val="21"/>
          <w:highlight w:val="none"/>
        </w:rPr>
        <w:t>得分最高的为第一中标候选人</w:t>
      </w:r>
      <w:r>
        <w:rPr>
          <w:rFonts w:ascii="宋体" w:hAnsi="宋体"/>
          <w:b/>
          <w:color w:val="auto"/>
          <w:szCs w:val="21"/>
          <w:highlight w:val="none"/>
        </w:rPr>
        <w:t>。若供应商的综合得分相等，则投标报价低者列前，</w:t>
      </w:r>
      <w:r>
        <w:rPr>
          <w:rFonts w:hint="eastAsia" w:ascii="宋体" w:hAnsi="宋体"/>
          <w:b/>
          <w:color w:val="auto"/>
          <w:szCs w:val="21"/>
          <w:highlight w:val="none"/>
        </w:rPr>
        <w:t>得分且投标报价相同的并列。</w:t>
      </w:r>
    </w:p>
    <w:p w14:paraId="67EAE9AA">
      <w:pPr>
        <w:wordWrap w:val="0"/>
        <w:spacing w:line="400" w:lineRule="exact"/>
        <w:ind w:firstLine="422" w:firstLineChars="200"/>
        <w:jc w:val="left"/>
        <w:rPr>
          <w:rFonts w:ascii="宋体" w:hAnsi="宋体"/>
          <w:b/>
          <w:color w:val="auto"/>
          <w:szCs w:val="21"/>
          <w:highlight w:val="none"/>
        </w:rPr>
      </w:pPr>
      <w:r>
        <w:rPr>
          <w:rFonts w:ascii="宋体" w:hAnsi="宋体"/>
          <w:b/>
          <w:color w:val="auto"/>
          <w:szCs w:val="21"/>
          <w:highlight w:val="none"/>
        </w:rPr>
        <w:t>2.3</w:t>
      </w:r>
      <w:r>
        <w:rPr>
          <w:rFonts w:hint="eastAsia" w:ascii="宋体" w:hAnsi="宋体"/>
          <w:b/>
          <w:color w:val="auto"/>
          <w:szCs w:val="21"/>
          <w:highlight w:val="none"/>
        </w:rPr>
        <w:t>确定中标人</w:t>
      </w:r>
    </w:p>
    <w:p w14:paraId="22C5C137">
      <w:pPr>
        <w:wordWrap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评标委员会按综合得分由高到低的排序，向采购人推荐中标候选人，</w:t>
      </w:r>
      <w:r>
        <w:rPr>
          <w:rFonts w:hint="eastAsia" w:ascii="宋体" w:hAnsi="宋体" w:cs="宋体"/>
          <w:color w:val="auto"/>
          <w:kern w:val="0"/>
          <w:szCs w:val="21"/>
          <w:highlight w:val="none"/>
        </w:rPr>
        <w:t>得分最高的为第一中标候选人</w:t>
      </w:r>
      <w:r>
        <w:rPr>
          <w:rFonts w:hint="eastAsia" w:ascii="宋体" w:hAnsi="宋体"/>
          <w:color w:val="auto"/>
          <w:szCs w:val="21"/>
          <w:highlight w:val="none"/>
        </w:rPr>
        <w:t>。代理机构应当自评审结束之日起</w:t>
      </w:r>
      <w:r>
        <w:rPr>
          <w:rFonts w:ascii="宋体" w:hAnsi="宋体"/>
          <w:color w:val="auto"/>
          <w:szCs w:val="21"/>
          <w:highlight w:val="none"/>
        </w:rPr>
        <w:t>2</w:t>
      </w:r>
      <w:r>
        <w:rPr>
          <w:rFonts w:hint="eastAsia" w:ascii="宋体" w:hAnsi="宋体"/>
          <w:color w:val="auto"/>
          <w:szCs w:val="21"/>
          <w:highlight w:val="none"/>
        </w:rPr>
        <w:t>个工作日内将评审报告送交采购人。采购人应当自收到评审报告之日起</w:t>
      </w:r>
      <w:r>
        <w:rPr>
          <w:rFonts w:ascii="宋体" w:hAnsi="宋体"/>
          <w:color w:val="auto"/>
          <w:szCs w:val="21"/>
          <w:highlight w:val="none"/>
        </w:rPr>
        <w:t>5</w:t>
      </w:r>
      <w:r>
        <w:rPr>
          <w:rFonts w:hint="eastAsia" w:ascii="宋体" w:hAnsi="宋体"/>
          <w:color w:val="auto"/>
          <w:szCs w:val="21"/>
          <w:highlight w:val="none"/>
        </w:rPr>
        <w:t>个工作日内在评审报告推荐的中标候选人中按顺序确定1名中标人。中标人因不可抗力或者自身原因不能履行政府采购合同的，采购人可以按照</w:t>
      </w:r>
      <w:r>
        <w:rPr>
          <w:rFonts w:hint="eastAsia" w:ascii="宋体" w:hAnsi="宋体" w:cs="宋体"/>
          <w:bCs/>
          <w:color w:val="auto"/>
          <w:kern w:val="0"/>
          <w:szCs w:val="21"/>
          <w:highlight w:val="none"/>
        </w:rPr>
        <w:t>评审结果排名先后替补，确定</w:t>
      </w:r>
      <w:r>
        <w:rPr>
          <w:rFonts w:hint="eastAsia" w:ascii="宋体" w:hAnsi="宋体"/>
          <w:color w:val="auto"/>
          <w:szCs w:val="21"/>
          <w:highlight w:val="none"/>
        </w:rPr>
        <w:t>下一个中标候选人为中标人或重新招标。</w:t>
      </w:r>
    </w:p>
    <w:p w14:paraId="4445B2C6">
      <w:pPr>
        <w:wordWrap w:val="0"/>
        <w:spacing w:line="400" w:lineRule="exact"/>
        <w:jc w:val="left"/>
        <w:rPr>
          <w:rFonts w:ascii="宋体" w:hAnsi="宋体"/>
          <w:b/>
          <w:color w:val="auto"/>
          <w:szCs w:val="21"/>
          <w:highlight w:val="none"/>
        </w:rPr>
      </w:pPr>
      <w:r>
        <w:rPr>
          <w:rFonts w:hint="eastAsia" w:ascii="宋体" w:hAnsi="宋体"/>
          <w:b/>
          <w:color w:val="auto"/>
          <w:szCs w:val="21"/>
          <w:highlight w:val="none"/>
        </w:rPr>
        <w:t>三、投标的澄清</w:t>
      </w:r>
    </w:p>
    <w:p w14:paraId="2EC06C90">
      <w:pPr>
        <w:wordWrap w:val="0"/>
        <w:spacing w:line="400" w:lineRule="exact"/>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评标委员会在对投标文件的有效性、完整性和响应程度进行审查时，可以要求供应商对投标文件中含义不明确、同类问题表述不一致或者有明显文字和计算错误的内容等做出必要的澄清。供应商的澄清不得超出投标文件的范围或者改变投标文件的实质性内容。</w:t>
      </w:r>
    </w:p>
    <w:p w14:paraId="02ADF02F">
      <w:pPr>
        <w:wordWrap w:val="0"/>
        <w:spacing w:line="400" w:lineRule="exact"/>
        <w:ind w:firstLine="420" w:firstLineChars="200"/>
        <w:rPr>
          <w:rFonts w:hint="eastAsia" w:ascii="宋体" w:hAnsi="宋体" w:cs="宋体"/>
          <w:color w:val="auto"/>
          <w:highlight w:val="none"/>
        </w:rPr>
      </w:pPr>
      <w:r>
        <w:rPr>
          <w:rFonts w:ascii="宋体" w:hAnsi="宋体" w:cs="宋体"/>
          <w:color w:val="auto"/>
          <w:highlight w:val="none"/>
        </w:rPr>
        <w:t>3.2</w:t>
      </w:r>
      <w:r>
        <w:rPr>
          <w:rFonts w:hint="eastAsia" w:ascii="宋体" w:hAnsi="宋体" w:cs="宋体"/>
          <w:color w:val="auto"/>
          <w:highlight w:val="none"/>
        </w:rPr>
        <w:t>政采云具体操作如下：</w:t>
      </w:r>
    </w:p>
    <w:p w14:paraId="64A09E3E">
      <w:pPr>
        <w:wordWrap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在评审过程中，如评标委员会对投标文件有疑问，由评标委员会组长将问题汇总后发函，或由采购代理机构代替发起。供应商在截止时间前，予以回复。此回复将作为投标文件内容的一部分，具有相应的法律效力。</w:t>
      </w:r>
    </w:p>
    <w:p w14:paraId="3B1F455F">
      <w:pPr>
        <w:wordWrap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路径：用户中心—项目采购—询标澄清</w:t>
      </w:r>
    </w:p>
    <w:p w14:paraId="3E328A0F">
      <w:pPr>
        <w:wordWrap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（1）政采云平台通过待办事项和短信提醒供应商在截止时间前完成澄清。</w:t>
      </w:r>
    </w:p>
    <w:p w14:paraId="470A4DC9">
      <w:pPr>
        <w:wordWrap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（2）供应商在“询标澄清-待办理”标签页下选择状态为“待澄清”的项目，点击操作栏【澄清】。</w:t>
      </w:r>
    </w:p>
    <w:p w14:paraId="0EDA4B44">
      <w:pPr>
        <w:wordWrap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（3）查看函内容，在澄清截止时间前上传澄清文件并对澄清文件进行签章。（注：澄清文件必须以PDF格式上传，文件大小：50M）</w:t>
      </w:r>
    </w:p>
    <w:p w14:paraId="3A7C9A4F">
      <w:pPr>
        <w:wordWrap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（4）签章完成，文件名称处显示“已签章”，供应商可“撤回签章”修改澄清函和“查看文件”。</w:t>
      </w:r>
    </w:p>
    <w:p w14:paraId="0376943D">
      <w:pPr>
        <w:wordWrap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5）确认澄清文件内容后，点击右上角【提交】；（注：供应商未对澄清文件签章，提交时，弹框提醒“澄清文件未签章，请进行签章操作”，如遇CA突发情况无法签章，供应商可点击【放弃签章并提交】提交澄清文件；反之则签章后再提交。）</w:t>
      </w:r>
    </w:p>
    <w:p w14:paraId="0F27D0C2">
      <w:pPr>
        <w:wordWrap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（6）完成状态：供应商澄清文件提交成功后，在“询标澄清-全部”标签页下显示状态为“已澄清”。</w:t>
      </w:r>
    </w:p>
    <w:p w14:paraId="173A017C">
      <w:pPr>
        <w:wordWrap w:val="0"/>
        <w:spacing w:line="400" w:lineRule="exact"/>
        <w:ind w:firstLine="420" w:firstLineChars="200"/>
        <w:rPr>
          <w:rFonts w:ascii="宋体" w:hAnsi="宋体" w:cs="宋体"/>
          <w:color w:val="auto"/>
          <w:highlight w:val="none"/>
        </w:rPr>
      </w:pPr>
      <w:r>
        <w:rPr>
          <w:rFonts w:ascii="宋体" w:hAnsi="宋体" w:cs="宋体"/>
          <w:color w:val="auto"/>
          <w:highlight w:val="none"/>
        </w:rPr>
        <w:t>3.3</w:t>
      </w:r>
      <w:r>
        <w:rPr>
          <w:rFonts w:hint="eastAsia" w:ascii="宋体" w:hAnsi="宋体" w:cs="宋体"/>
          <w:color w:val="auto"/>
          <w:highlight w:val="none"/>
        </w:rPr>
        <w:t>开标现场，供应商安排</w:t>
      </w:r>
      <w:r>
        <w:rPr>
          <w:rFonts w:hint="eastAsia" w:ascii="宋体" w:hAnsi="宋体"/>
          <w:color w:val="auto"/>
          <w:szCs w:val="21"/>
          <w:highlight w:val="none"/>
        </w:rPr>
        <w:t>法定代表人或授权代表到场的，则由</w:t>
      </w:r>
      <w:r>
        <w:rPr>
          <w:rFonts w:hint="eastAsia" w:ascii="宋体" w:hAnsi="宋体" w:cs="宋体"/>
          <w:color w:val="auto"/>
          <w:highlight w:val="none"/>
        </w:rPr>
        <w:t>评标委员会组长将问题汇总后向供应商发出书面“采购响应文件问题澄清通知”，供应商应对需要澄清的问题作书面回答，该书面澄清应当由</w:t>
      </w:r>
      <w:r>
        <w:rPr>
          <w:rFonts w:hint="eastAsia" w:ascii="宋体" w:hAnsi="宋体"/>
          <w:color w:val="auto"/>
          <w:szCs w:val="21"/>
          <w:highlight w:val="none"/>
        </w:rPr>
        <w:t>供应商的法定代表人或授权代表签字</w:t>
      </w:r>
      <w:r>
        <w:rPr>
          <w:rFonts w:hint="eastAsia" w:ascii="宋体" w:hAnsi="宋体" w:cs="宋体"/>
          <w:color w:val="auto"/>
          <w:highlight w:val="none"/>
        </w:rPr>
        <w:t>或者加盖供应商公章。书面澄清将作为投标文件内容的一部分，具有相应的法律效力。</w:t>
      </w:r>
    </w:p>
    <w:p w14:paraId="5FD1E285">
      <w:pPr>
        <w:wordWrap w:val="0"/>
        <w:spacing w:line="400" w:lineRule="exact"/>
        <w:ind w:firstLine="420" w:firstLineChars="200"/>
        <w:jc w:val="left"/>
        <w:rPr>
          <w:rFonts w:ascii="宋体" w:hAnsi="宋体" w:cs="宋体"/>
          <w:color w:val="auto"/>
          <w:highlight w:val="none"/>
        </w:rPr>
      </w:pPr>
      <w:r>
        <w:rPr>
          <w:rFonts w:ascii="宋体" w:hAnsi="宋体" w:cs="宋体"/>
          <w:color w:val="auto"/>
          <w:highlight w:val="none"/>
        </w:rPr>
        <w:t>3.4</w:t>
      </w:r>
      <w:r>
        <w:rPr>
          <w:rFonts w:hint="eastAsia" w:ascii="宋体" w:hAnsi="宋体" w:cs="宋体"/>
          <w:color w:val="auto"/>
          <w:highlight w:val="none"/>
        </w:rPr>
        <w:t>供应商未在截止时间前完成澄清，将被视作自动放弃。</w:t>
      </w:r>
    </w:p>
    <w:p w14:paraId="5A3391A5">
      <w:pPr>
        <w:wordWrap w:val="0"/>
        <w:spacing w:line="400" w:lineRule="exact"/>
        <w:jc w:val="left"/>
        <w:rPr>
          <w:rFonts w:ascii="宋体" w:hAnsi="宋体"/>
          <w:color w:val="auto"/>
          <w:szCs w:val="21"/>
          <w:highlight w:val="none"/>
        </w:rPr>
      </w:pPr>
      <w:r>
        <w:rPr>
          <w:rFonts w:hint="eastAsia" w:ascii="宋体" w:hAnsi="宋体"/>
          <w:b/>
          <w:color w:val="auto"/>
          <w:szCs w:val="21"/>
          <w:highlight w:val="none"/>
        </w:rPr>
        <w:t>四、特别声明：价格是评标的重要因素之一，但最低价不是中标的唯一依据。</w:t>
      </w:r>
    </w:p>
    <w:p w14:paraId="5F15BC14">
      <w:pPr>
        <w:wordWrap w:val="0"/>
        <w:spacing w:line="400" w:lineRule="exact"/>
        <w:jc w:val="left"/>
        <w:rPr>
          <w:rFonts w:ascii="宋体" w:hAnsi="宋体"/>
          <w:b/>
          <w:color w:val="auto"/>
          <w:szCs w:val="21"/>
          <w:highlight w:val="none"/>
        </w:rPr>
      </w:pPr>
      <w:r>
        <w:rPr>
          <w:rFonts w:hint="eastAsia" w:ascii="宋体" w:hAnsi="宋体"/>
          <w:b/>
          <w:color w:val="auto"/>
          <w:szCs w:val="21"/>
          <w:highlight w:val="none"/>
        </w:rPr>
        <w:t>五、重新招标</w:t>
      </w:r>
    </w:p>
    <w:p w14:paraId="66F5D82D">
      <w:pPr>
        <w:wordWrap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有下列情形之一的，采购人将重新招标：</w:t>
      </w:r>
    </w:p>
    <w:p w14:paraId="0D0C6229">
      <w:pPr>
        <w:wordWrap w:val="0"/>
        <w:spacing w:line="400" w:lineRule="exact"/>
        <w:ind w:firstLine="420" w:firstLineChars="200"/>
        <w:rPr>
          <w:rFonts w:ascii="宋体" w:hAnsi="宋体"/>
          <w:color w:val="auto"/>
          <w:szCs w:val="21"/>
          <w:highlight w:val="none"/>
        </w:rPr>
      </w:pPr>
      <w:r>
        <w:rPr>
          <w:rFonts w:ascii="宋体" w:hAnsi="宋体"/>
          <w:color w:val="auto"/>
          <w:szCs w:val="21"/>
          <w:highlight w:val="none"/>
        </w:rPr>
        <w:t>5.1</w:t>
      </w:r>
      <w:r>
        <w:rPr>
          <w:rFonts w:hint="eastAsia" w:ascii="宋体" w:hAnsi="宋体"/>
          <w:color w:val="auto"/>
          <w:szCs w:val="21"/>
          <w:highlight w:val="none"/>
        </w:rPr>
        <w:t>投标截止时间止，</w:t>
      </w:r>
      <w:r>
        <w:rPr>
          <w:rFonts w:hint="eastAsia" w:ascii="宋体" w:hAnsi="宋体"/>
          <w:color w:val="auto"/>
          <w:szCs w:val="21"/>
          <w:highlight w:val="none"/>
          <w:lang w:eastAsia="zh-CN"/>
        </w:rPr>
        <w:t>单个标项</w:t>
      </w:r>
      <w:r>
        <w:rPr>
          <w:rFonts w:hint="eastAsia" w:ascii="宋体" w:hAnsi="宋体"/>
          <w:color w:val="auto"/>
          <w:szCs w:val="21"/>
          <w:highlight w:val="none"/>
        </w:rPr>
        <w:t>供应商少于</w:t>
      </w:r>
      <w:r>
        <w:rPr>
          <w:rFonts w:ascii="宋体" w:hAnsi="宋体"/>
          <w:color w:val="auto"/>
          <w:szCs w:val="21"/>
          <w:highlight w:val="none"/>
        </w:rPr>
        <w:t>3</w:t>
      </w:r>
      <w:r>
        <w:rPr>
          <w:rFonts w:hint="eastAsia" w:ascii="宋体" w:hAnsi="宋体"/>
          <w:color w:val="auto"/>
          <w:szCs w:val="21"/>
          <w:highlight w:val="none"/>
        </w:rPr>
        <w:t>个的；</w:t>
      </w:r>
    </w:p>
    <w:p w14:paraId="5C682253">
      <w:pPr>
        <w:wordWrap w:val="0"/>
        <w:spacing w:line="400" w:lineRule="exact"/>
        <w:ind w:firstLine="420" w:firstLineChars="200"/>
        <w:rPr>
          <w:rFonts w:ascii="宋体" w:hAnsi="宋体"/>
          <w:color w:val="auto"/>
          <w:szCs w:val="21"/>
          <w:highlight w:val="none"/>
        </w:rPr>
      </w:pPr>
      <w:r>
        <w:rPr>
          <w:rFonts w:ascii="宋体" w:hAnsi="宋体"/>
          <w:color w:val="auto"/>
          <w:szCs w:val="21"/>
          <w:highlight w:val="none"/>
        </w:rPr>
        <w:t>5.2</w:t>
      </w:r>
      <w:r>
        <w:rPr>
          <w:rFonts w:hint="eastAsia" w:ascii="宋体" w:hAnsi="宋体"/>
          <w:color w:val="auto"/>
          <w:szCs w:val="21"/>
          <w:highlight w:val="none"/>
        </w:rPr>
        <w:t>评标委员会评标过程中，</w:t>
      </w:r>
      <w:r>
        <w:rPr>
          <w:rFonts w:hint="eastAsia" w:ascii="宋体" w:hAnsi="宋体"/>
          <w:color w:val="auto"/>
          <w:szCs w:val="21"/>
          <w:highlight w:val="none"/>
          <w:lang w:eastAsia="zh-CN"/>
        </w:rPr>
        <w:t>单个标项</w:t>
      </w:r>
      <w:r>
        <w:rPr>
          <w:rFonts w:hint="eastAsia" w:ascii="宋体" w:hAnsi="宋体"/>
          <w:color w:val="auto"/>
          <w:szCs w:val="21"/>
          <w:highlight w:val="none"/>
        </w:rPr>
        <w:t>有效供应商少于</w:t>
      </w:r>
      <w:r>
        <w:rPr>
          <w:rFonts w:ascii="宋体" w:hAnsi="宋体"/>
          <w:color w:val="auto"/>
          <w:szCs w:val="21"/>
          <w:highlight w:val="none"/>
        </w:rPr>
        <w:t>3</w:t>
      </w:r>
      <w:r>
        <w:rPr>
          <w:rFonts w:hint="eastAsia" w:ascii="宋体" w:hAnsi="宋体"/>
          <w:color w:val="auto"/>
          <w:szCs w:val="21"/>
          <w:highlight w:val="none"/>
        </w:rPr>
        <w:t>个的；</w:t>
      </w:r>
    </w:p>
    <w:p w14:paraId="6762236A">
      <w:pPr>
        <w:widowControl/>
        <w:wordWrap w:val="0"/>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5.3</w:t>
      </w:r>
      <w:r>
        <w:rPr>
          <w:rFonts w:hint="eastAsia" w:ascii="宋体" w:hAnsi="宋体"/>
          <w:color w:val="auto"/>
          <w:szCs w:val="21"/>
          <w:highlight w:val="none"/>
        </w:rPr>
        <w:t>评标委员会发现采购文件存在歧义、重大缺陷导致评标工作无法进行，或者采购文件内容违反国家有关强制性规定的，应当停止评标工作，与采购人或者代理机构沟通并作书面记录。采购人或者代理机构确认后，应当修改采购文件，重新组织招标活动。</w:t>
      </w:r>
    </w:p>
    <w:p w14:paraId="19D68611">
      <w:pPr>
        <w:wordWrap w:val="0"/>
        <w:spacing w:line="400" w:lineRule="exact"/>
        <w:rPr>
          <w:rFonts w:hint="eastAsia" w:ascii="宋体" w:hAnsi="宋体"/>
          <w:color w:val="auto"/>
          <w:szCs w:val="21"/>
          <w:highlight w:val="none"/>
        </w:rPr>
      </w:pPr>
      <w:r>
        <w:rPr>
          <w:rFonts w:ascii="宋体" w:hAnsi="宋体"/>
          <w:color w:val="auto"/>
          <w:sz w:val="24"/>
          <w:szCs w:val="24"/>
          <w:highlight w:val="none"/>
        </w:rPr>
        <w:br w:type="page"/>
      </w:r>
      <w:r>
        <w:rPr>
          <w:rFonts w:hint="eastAsia" w:ascii="宋体" w:hAnsi="宋体"/>
          <w:color w:val="auto"/>
          <w:szCs w:val="21"/>
          <w:highlight w:val="none"/>
        </w:rPr>
        <w:t>附表</w:t>
      </w:r>
      <w:r>
        <w:rPr>
          <w:rFonts w:ascii="宋体" w:hAnsi="宋体"/>
          <w:color w:val="auto"/>
          <w:szCs w:val="21"/>
          <w:highlight w:val="none"/>
        </w:rPr>
        <w:t>1</w:t>
      </w:r>
      <w:r>
        <w:rPr>
          <w:rFonts w:hint="eastAsia" w:ascii="宋体" w:hAnsi="宋体"/>
          <w:color w:val="auto"/>
          <w:szCs w:val="21"/>
          <w:highlight w:val="none"/>
        </w:rPr>
        <w:t>：</w:t>
      </w:r>
    </w:p>
    <w:p w14:paraId="1D119DF2">
      <w:pPr>
        <w:wordWrap w:val="0"/>
        <w:spacing w:line="400" w:lineRule="exact"/>
        <w:jc w:val="center"/>
        <w:rPr>
          <w:rFonts w:ascii="宋体" w:hAnsi="宋体"/>
          <w:b/>
          <w:color w:val="auto"/>
          <w:sz w:val="24"/>
          <w:szCs w:val="21"/>
          <w:highlight w:val="none"/>
        </w:rPr>
      </w:pPr>
      <w:r>
        <w:rPr>
          <w:rFonts w:hint="eastAsia" w:ascii="宋体" w:hAnsi="宋体"/>
          <w:b/>
          <w:color w:val="auto"/>
          <w:sz w:val="24"/>
          <w:szCs w:val="21"/>
          <w:highlight w:val="none"/>
        </w:rPr>
        <w:t>资格性审查表</w:t>
      </w:r>
    </w:p>
    <w:tbl>
      <w:tblPr>
        <w:tblStyle w:val="48"/>
        <w:tblW w:w="100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312"/>
        <w:gridCol w:w="6056"/>
      </w:tblGrid>
      <w:tr w14:paraId="63535B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0"/>
            <w:vAlign w:val="center"/>
          </w:tcPr>
          <w:p w14:paraId="1A3548A7">
            <w:pPr>
              <w:wordWrap w:val="0"/>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3312" w:type="dxa"/>
            <w:noWrap w:val="0"/>
            <w:vAlign w:val="center"/>
          </w:tcPr>
          <w:p w14:paraId="3CFFA9DA">
            <w:pPr>
              <w:wordWrap w:val="0"/>
              <w:spacing w:line="400" w:lineRule="exact"/>
              <w:jc w:val="center"/>
              <w:rPr>
                <w:rFonts w:ascii="宋体" w:hAnsi="宋体"/>
                <w:b/>
                <w:color w:val="auto"/>
                <w:szCs w:val="21"/>
                <w:highlight w:val="none"/>
              </w:rPr>
            </w:pPr>
            <w:r>
              <w:rPr>
                <w:rFonts w:hint="eastAsia" w:ascii="宋体" w:hAnsi="宋体"/>
                <w:b/>
                <w:color w:val="auto"/>
                <w:szCs w:val="21"/>
                <w:highlight w:val="none"/>
              </w:rPr>
              <w:t>要求说明</w:t>
            </w:r>
          </w:p>
        </w:tc>
        <w:tc>
          <w:tcPr>
            <w:tcW w:w="6056" w:type="dxa"/>
            <w:noWrap w:val="0"/>
            <w:vAlign w:val="center"/>
          </w:tcPr>
          <w:p w14:paraId="42475B7B">
            <w:pPr>
              <w:wordWrap w:val="0"/>
              <w:spacing w:line="400" w:lineRule="exact"/>
              <w:jc w:val="center"/>
              <w:rPr>
                <w:rFonts w:ascii="宋体" w:hAnsi="宋体"/>
                <w:b/>
                <w:color w:val="auto"/>
                <w:szCs w:val="21"/>
                <w:highlight w:val="none"/>
              </w:rPr>
            </w:pPr>
            <w:r>
              <w:rPr>
                <w:rFonts w:hint="eastAsia" w:ascii="宋体" w:hAnsi="宋体"/>
                <w:b/>
                <w:color w:val="auto"/>
                <w:szCs w:val="21"/>
                <w:highlight w:val="none"/>
              </w:rPr>
              <w:t>审查要求</w:t>
            </w:r>
          </w:p>
        </w:tc>
      </w:tr>
      <w:tr w14:paraId="763CB8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0"/>
            <w:vAlign w:val="center"/>
          </w:tcPr>
          <w:p w14:paraId="5409D6E2">
            <w:pPr>
              <w:wordWrap w:val="0"/>
              <w:spacing w:line="400" w:lineRule="exact"/>
              <w:jc w:val="center"/>
              <w:rPr>
                <w:rFonts w:ascii="宋体" w:hAnsi="宋体"/>
                <w:color w:val="auto"/>
                <w:szCs w:val="21"/>
                <w:highlight w:val="none"/>
              </w:rPr>
            </w:pPr>
            <w:r>
              <w:rPr>
                <w:rFonts w:ascii="宋体" w:hAnsi="宋体"/>
                <w:color w:val="auto"/>
                <w:szCs w:val="21"/>
                <w:highlight w:val="none"/>
              </w:rPr>
              <w:t>1</w:t>
            </w:r>
          </w:p>
        </w:tc>
        <w:tc>
          <w:tcPr>
            <w:tcW w:w="3312" w:type="dxa"/>
            <w:noWrap w:val="0"/>
            <w:vAlign w:val="center"/>
          </w:tcPr>
          <w:p w14:paraId="08B74795">
            <w:pPr>
              <w:wordWrap w:val="0"/>
              <w:spacing w:line="360" w:lineRule="exact"/>
              <w:rPr>
                <w:rFonts w:ascii="宋体" w:hAnsi="宋体"/>
                <w:color w:val="auto"/>
                <w:highlight w:val="none"/>
              </w:rPr>
            </w:pPr>
            <w:r>
              <w:rPr>
                <w:rFonts w:hint="eastAsia" w:ascii="宋体" w:hAnsi="宋体" w:cs="仿宋"/>
                <w:color w:val="auto"/>
                <w:highlight w:val="none"/>
              </w:rPr>
              <w:t>满足《中华人民共和国政府采购法》第二十二条规定；未被“信用中国”（</w:t>
            </w:r>
            <w:r>
              <w:rPr>
                <w:rFonts w:ascii="宋体" w:hAnsi="宋体" w:cs="仿宋"/>
                <w:color w:val="auto"/>
                <w:highlight w:val="none"/>
              </w:rPr>
              <w:t>www.creditchina.gov.cn)</w:t>
            </w:r>
            <w:r>
              <w:rPr>
                <w:rFonts w:hint="eastAsia" w:ascii="宋体" w:hAnsi="宋体" w:cs="仿宋"/>
                <w:color w:val="auto"/>
                <w:highlight w:val="none"/>
              </w:rPr>
              <w:t>、中国政府采购网（</w:t>
            </w:r>
            <w:r>
              <w:rPr>
                <w:rFonts w:ascii="宋体" w:hAnsi="宋体" w:cs="仿宋"/>
                <w:color w:val="auto"/>
                <w:highlight w:val="none"/>
              </w:rPr>
              <w:t>www.ccgp.gov.cn</w:t>
            </w:r>
            <w:r>
              <w:rPr>
                <w:rFonts w:hint="eastAsia" w:ascii="宋体" w:hAnsi="宋体" w:cs="仿宋"/>
                <w:color w:val="auto"/>
                <w:highlight w:val="none"/>
              </w:rPr>
              <w:t>）列入失信被执行人、重大税收违法案件当事人名单</w:t>
            </w:r>
            <w:r>
              <w:rPr>
                <w:rFonts w:hint="eastAsia" w:ascii="宋体" w:hAnsi="宋体"/>
                <w:color w:val="auto"/>
                <w:szCs w:val="21"/>
                <w:highlight w:val="none"/>
              </w:rPr>
              <w:t>（重大税收违法失信主体）</w:t>
            </w:r>
            <w:r>
              <w:rPr>
                <w:rFonts w:hint="eastAsia" w:ascii="宋体" w:hAnsi="宋体" w:cs="仿宋"/>
                <w:color w:val="auto"/>
                <w:highlight w:val="none"/>
              </w:rPr>
              <w:t>、政府采购严重违法失信行为记录名单。</w:t>
            </w:r>
          </w:p>
        </w:tc>
        <w:tc>
          <w:tcPr>
            <w:tcW w:w="6056" w:type="dxa"/>
            <w:noWrap w:val="0"/>
            <w:vAlign w:val="center"/>
          </w:tcPr>
          <w:p w14:paraId="689EB3DD">
            <w:pPr>
              <w:wordWrap w:val="0"/>
              <w:spacing w:line="400" w:lineRule="exact"/>
              <w:jc w:val="left"/>
              <w:rPr>
                <w:rFonts w:hint="eastAsia" w:ascii="宋体" w:hAnsi="宋体"/>
                <w:color w:val="auto"/>
                <w:highlight w:val="none"/>
              </w:rPr>
            </w:pPr>
            <w:r>
              <w:rPr>
                <w:rFonts w:hint="eastAsia" w:ascii="宋体" w:hAnsi="宋体"/>
                <w:color w:val="auto"/>
                <w:highlight w:val="none"/>
              </w:rPr>
              <w:t>A1、关于资格的承诺函；</w:t>
            </w:r>
          </w:p>
          <w:p w14:paraId="241E0825">
            <w:pPr>
              <w:wordWrap w:val="0"/>
              <w:spacing w:line="400" w:lineRule="exact"/>
              <w:jc w:val="left"/>
              <w:rPr>
                <w:rFonts w:hint="eastAsia" w:ascii="宋体" w:hAnsi="宋体"/>
                <w:color w:val="auto"/>
                <w:highlight w:val="none"/>
              </w:rPr>
            </w:pPr>
            <w:r>
              <w:rPr>
                <w:rFonts w:hint="eastAsia" w:ascii="宋体" w:hAnsi="宋体"/>
                <w:color w:val="auto"/>
                <w:highlight w:val="none"/>
              </w:rPr>
              <w:t>A2、营业执照副本（或事业法人登记证副本或其他登记证明材料）扫描件加盖投标人公章（投标人如果有名称变更的，应提供由行政主管部门出具的变更证明文件扫描件加盖投标人公章）；</w:t>
            </w:r>
          </w:p>
          <w:p w14:paraId="28D6F152">
            <w:pPr>
              <w:wordWrap w:val="0"/>
              <w:spacing w:line="400" w:lineRule="exact"/>
              <w:jc w:val="left"/>
              <w:rPr>
                <w:rFonts w:hint="eastAsia" w:ascii="宋体" w:hAnsi="宋体"/>
                <w:color w:val="auto"/>
                <w:highlight w:val="none"/>
              </w:rPr>
            </w:pPr>
            <w:r>
              <w:rPr>
                <w:rFonts w:hint="eastAsia" w:ascii="宋体" w:hAnsi="宋体"/>
                <w:color w:val="auto"/>
                <w:highlight w:val="none"/>
              </w:rPr>
              <w:t>A3、投标人承诺书；</w:t>
            </w:r>
          </w:p>
          <w:p w14:paraId="6E87412B">
            <w:pPr>
              <w:wordWrap w:val="0"/>
              <w:spacing w:line="400" w:lineRule="exact"/>
              <w:jc w:val="left"/>
              <w:rPr>
                <w:rFonts w:hint="eastAsia" w:ascii="宋体" w:hAnsi="宋体"/>
                <w:color w:val="auto"/>
                <w:highlight w:val="none"/>
              </w:rPr>
            </w:pPr>
            <w:r>
              <w:rPr>
                <w:rFonts w:hint="eastAsia" w:ascii="宋体" w:hAnsi="宋体"/>
                <w:color w:val="auto"/>
                <w:highlight w:val="none"/>
              </w:rPr>
              <w:t>未被“信用中国”（</w:t>
            </w:r>
            <w:r>
              <w:rPr>
                <w:rFonts w:ascii="宋体" w:hAnsi="宋体"/>
                <w:color w:val="auto"/>
                <w:highlight w:val="none"/>
              </w:rPr>
              <w:t>www.creditchina.gov.cn)</w:t>
            </w:r>
            <w:r>
              <w:rPr>
                <w:rFonts w:hint="eastAsia" w:ascii="宋体" w:hAnsi="宋体"/>
                <w:color w:val="auto"/>
                <w:highlight w:val="none"/>
              </w:rPr>
              <w:t>、中国政府采购网（</w:t>
            </w:r>
            <w:r>
              <w:rPr>
                <w:rFonts w:ascii="宋体" w:hAnsi="宋体"/>
                <w:color w:val="auto"/>
                <w:highlight w:val="none"/>
              </w:rPr>
              <w:t>www.ccgp.gov.cn</w:t>
            </w:r>
            <w:r>
              <w:rPr>
                <w:rFonts w:hint="eastAsia" w:ascii="宋体" w:hAnsi="宋体"/>
                <w:color w:val="auto"/>
                <w:highlight w:val="none"/>
              </w:rPr>
              <w:t>）列入失信被执行人、重大税收违法案件当事人名单</w:t>
            </w:r>
            <w:r>
              <w:rPr>
                <w:rFonts w:hint="eastAsia" w:ascii="宋体" w:hAnsi="宋体"/>
                <w:color w:val="auto"/>
                <w:szCs w:val="21"/>
                <w:highlight w:val="none"/>
              </w:rPr>
              <w:t>（重大税收违法失信主体）</w:t>
            </w:r>
            <w:r>
              <w:rPr>
                <w:rFonts w:hint="eastAsia" w:ascii="宋体" w:hAnsi="宋体"/>
                <w:color w:val="auto"/>
                <w:highlight w:val="none"/>
              </w:rPr>
              <w:t>、政府采购严重违法失信行为记录名单。</w:t>
            </w:r>
          </w:p>
        </w:tc>
      </w:tr>
      <w:tr w14:paraId="382F5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0"/>
            <w:vAlign w:val="center"/>
          </w:tcPr>
          <w:p w14:paraId="363323C9">
            <w:pPr>
              <w:wordWrap w:val="0"/>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3312" w:type="dxa"/>
            <w:noWrap w:val="0"/>
            <w:vAlign w:val="center"/>
          </w:tcPr>
          <w:p w14:paraId="1D32F43C">
            <w:pPr>
              <w:wordWrap w:val="0"/>
              <w:spacing w:line="360" w:lineRule="exact"/>
              <w:rPr>
                <w:rFonts w:hint="eastAsia" w:ascii="宋体" w:hAnsi="宋体" w:cs="仿宋"/>
                <w:color w:val="auto"/>
                <w:highlight w:val="none"/>
              </w:rPr>
            </w:pPr>
            <w:r>
              <w:rPr>
                <w:rFonts w:hint="eastAsia" w:ascii="宋体" w:hAnsi="宋体" w:cs="仿宋"/>
                <w:color w:val="auto"/>
                <w:highlight w:val="none"/>
              </w:rPr>
              <w:t>投标人具有市政公用工程施工</w:t>
            </w:r>
            <w:r>
              <w:rPr>
                <w:rFonts w:hint="eastAsia" w:ascii="宋体" w:hAnsi="宋体" w:cs="仿宋"/>
                <w:color w:val="auto"/>
                <w:highlight w:val="none"/>
                <w:lang w:eastAsia="zh-CN"/>
              </w:rPr>
              <w:t>总承包三级</w:t>
            </w:r>
            <w:r>
              <w:rPr>
                <w:rFonts w:hint="eastAsia" w:ascii="宋体" w:hAnsi="宋体" w:cs="仿宋"/>
                <w:color w:val="auto"/>
                <w:highlight w:val="none"/>
              </w:rPr>
              <w:t>及以上资质</w:t>
            </w:r>
          </w:p>
        </w:tc>
        <w:tc>
          <w:tcPr>
            <w:tcW w:w="6056" w:type="dxa"/>
            <w:noWrap w:val="0"/>
            <w:vAlign w:val="center"/>
          </w:tcPr>
          <w:p w14:paraId="4A899058">
            <w:pPr>
              <w:wordWrap w:val="0"/>
              <w:spacing w:line="400" w:lineRule="exact"/>
              <w:jc w:val="left"/>
              <w:rPr>
                <w:rFonts w:hint="default" w:ascii="宋体" w:hAnsi="宋体" w:eastAsia="宋体"/>
                <w:color w:val="auto"/>
                <w:highlight w:val="none"/>
                <w:lang w:val="en-US" w:eastAsia="zh-CN"/>
              </w:rPr>
            </w:pPr>
            <w:r>
              <w:rPr>
                <w:rFonts w:hint="eastAsia" w:ascii="宋体" w:hAnsi="宋体"/>
                <w:color w:val="auto"/>
                <w:highlight w:val="none"/>
                <w:lang w:val="en-US" w:eastAsia="zh-CN"/>
              </w:rPr>
              <w:t>提供有效的资质证书扫描件加盖投标人公章。</w:t>
            </w:r>
          </w:p>
        </w:tc>
      </w:tr>
      <w:tr w14:paraId="421F2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0"/>
            <w:vAlign w:val="center"/>
          </w:tcPr>
          <w:p w14:paraId="4DF88E2F">
            <w:pPr>
              <w:wordWrap w:val="0"/>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3312" w:type="dxa"/>
            <w:noWrap w:val="0"/>
            <w:vAlign w:val="center"/>
          </w:tcPr>
          <w:p w14:paraId="25DC4F09">
            <w:pPr>
              <w:spacing w:line="400" w:lineRule="exact"/>
              <w:jc w:val="left"/>
              <w:rPr>
                <w:rFonts w:hint="eastAsia" w:ascii="宋体" w:hAnsi="宋体"/>
                <w:color w:val="auto"/>
                <w:szCs w:val="21"/>
                <w:highlight w:val="none"/>
              </w:rPr>
            </w:pPr>
            <w:r>
              <w:rPr>
                <w:rFonts w:hint="eastAsia" w:ascii="宋体" w:hAnsi="宋体" w:cs="宋体"/>
                <w:color w:val="auto"/>
                <w:szCs w:val="21"/>
                <w:highlight w:val="none"/>
              </w:rPr>
              <w:t>本项目不接受联合体投标。</w:t>
            </w:r>
          </w:p>
        </w:tc>
        <w:tc>
          <w:tcPr>
            <w:tcW w:w="6056" w:type="dxa"/>
            <w:noWrap w:val="0"/>
            <w:vAlign w:val="center"/>
          </w:tcPr>
          <w:p w14:paraId="0F621F62">
            <w:pPr>
              <w:spacing w:line="400" w:lineRule="exact"/>
              <w:jc w:val="left"/>
              <w:rPr>
                <w:rFonts w:ascii="宋体" w:hAnsi="宋体"/>
                <w:color w:val="auto"/>
                <w:highlight w:val="none"/>
              </w:rPr>
            </w:pPr>
            <w:r>
              <w:rPr>
                <w:rFonts w:hint="eastAsia" w:ascii="宋体" w:hAnsi="宋体" w:cs="宋体"/>
                <w:color w:val="auto"/>
                <w:szCs w:val="21"/>
                <w:highlight w:val="none"/>
              </w:rPr>
              <w:t>投标人非联合体投标。</w:t>
            </w:r>
          </w:p>
        </w:tc>
      </w:tr>
      <w:tr w14:paraId="530AB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2" w:type="dxa"/>
            <w:gridSpan w:val="2"/>
            <w:noWrap w:val="0"/>
            <w:vAlign w:val="center"/>
          </w:tcPr>
          <w:p w14:paraId="205F6FE4">
            <w:pPr>
              <w:wordWrap w:val="0"/>
              <w:spacing w:line="400" w:lineRule="exact"/>
              <w:jc w:val="center"/>
              <w:rPr>
                <w:rFonts w:ascii="宋体" w:hAnsi="宋体"/>
                <w:color w:val="auto"/>
                <w:highlight w:val="none"/>
              </w:rPr>
            </w:pPr>
            <w:r>
              <w:rPr>
                <w:rFonts w:hint="eastAsia" w:ascii="宋体" w:hAnsi="宋体"/>
                <w:b/>
                <w:color w:val="auto"/>
                <w:szCs w:val="21"/>
                <w:highlight w:val="none"/>
              </w:rPr>
              <w:t>资格性审查结论</w:t>
            </w:r>
          </w:p>
        </w:tc>
        <w:tc>
          <w:tcPr>
            <w:tcW w:w="6056" w:type="dxa"/>
            <w:noWrap w:val="0"/>
            <w:vAlign w:val="center"/>
          </w:tcPr>
          <w:p w14:paraId="625DF274">
            <w:pPr>
              <w:wordWrap w:val="0"/>
              <w:spacing w:line="400" w:lineRule="exact"/>
              <w:jc w:val="center"/>
              <w:rPr>
                <w:rFonts w:ascii="宋体" w:hAnsi="宋体"/>
                <w:color w:val="auto"/>
                <w:szCs w:val="21"/>
                <w:highlight w:val="none"/>
              </w:rPr>
            </w:pPr>
          </w:p>
        </w:tc>
      </w:tr>
    </w:tbl>
    <w:p w14:paraId="0C378D5F">
      <w:pPr>
        <w:wordWrap w:val="0"/>
        <w:spacing w:line="320" w:lineRule="exact"/>
        <w:rPr>
          <w:rFonts w:hint="eastAsia" w:ascii="宋体" w:hAnsi="宋体"/>
          <w:b/>
          <w:color w:val="auto"/>
          <w:highlight w:val="none"/>
        </w:rPr>
      </w:pPr>
      <w:r>
        <w:rPr>
          <w:rFonts w:hint="eastAsia" w:ascii="宋体" w:hAnsi="宋体"/>
          <w:b/>
          <w:color w:val="auto"/>
          <w:highlight w:val="none"/>
        </w:rPr>
        <w:t>注：</w:t>
      </w:r>
      <w:r>
        <w:rPr>
          <w:rFonts w:ascii="宋体" w:hAnsi="宋体"/>
          <w:b/>
          <w:color w:val="auto"/>
          <w:highlight w:val="none"/>
        </w:rPr>
        <w:t>1</w:t>
      </w:r>
      <w:r>
        <w:rPr>
          <w:rFonts w:hint="eastAsia" w:ascii="宋体" w:hAnsi="宋体"/>
          <w:b/>
          <w:color w:val="auto"/>
          <w:highlight w:val="none"/>
        </w:rPr>
        <w:t>、上述资格证明文件未按采购文件要求附入投标文件中的，资格性审查不合格。</w:t>
      </w:r>
    </w:p>
    <w:p w14:paraId="6CD736BE">
      <w:pPr>
        <w:wordWrap w:val="0"/>
        <w:spacing w:line="320" w:lineRule="exact"/>
        <w:ind w:firstLine="517" w:firstLineChars="245"/>
        <w:rPr>
          <w:rFonts w:ascii="宋体" w:hAnsi="宋体"/>
          <w:b/>
          <w:color w:val="auto"/>
          <w:highlight w:val="none"/>
        </w:rPr>
      </w:pPr>
      <w:r>
        <w:rPr>
          <w:rFonts w:ascii="宋体" w:hAnsi="宋体"/>
          <w:b/>
          <w:color w:val="auto"/>
          <w:highlight w:val="none"/>
        </w:rPr>
        <w:t>2</w:t>
      </w:r>
      <w:r>
        <w:rPr>
          <w:rFonts w:hint="eastAsia" w:ascii="宋体" w:hAnsi="宋体"/>
          <w:b/>
          <w:color w:val="auto"/>
          <w:highlight w:val="none"/>
        </w:rPr>
        <w:t>、上述审查项目中，任意一项不符合的，资格性审查不合格。</w:t>
      </w:r>
    </w:p>
    <w:p w14:paraId="20FFF7B6">
      <w:pPr>
        <w:wordWrap w:val="0"/>
        <w:spacing w:line="320" w:lineRule="exact"/>
        <w:ind w:firstLine="517" w:firstLineChars="245"/>
        <w:rPr>
          <w:rFonts w:hint="eastAsia" w:ascii="宋体" w:hAnsi="宋体"/>
          <w:b/>
          <w:color w:val="auto"/>
          <w:highlight w:val="none"/>
        </w:rPr>
      </w:pPr>
      <w:r>
        <w:rPr>
          <w:rFonts w:ascii="宋体" w:hAnsi="宋体"/>
          <w:b/>
          <w:color w:val="auto"/>
          <w:highlight w:val="none"/>
        </w:rPr>
        <w:t>3</w:t>
      </w:r>
      <w:r>
        <w:rPr>
          <w:rFonts w:hint="eastAsia" w:ascii="宋体" w:hAnsi="宋体"/>
          <w:b/>
          <w:color w:val="auto"/>
          <w:highlight w:val="none"/>
        </w:rPr>
        <w:t>、依法免税或不需要缴纳社保的供应商，应提供相应文件证明其依法免税或不需要缴纳社保。</w:t>
      </w:r>
    </w:p>
    <w:p w14:paraId="5E521C5A">
      <w:pPr>
        <w:wordWrap w:val="0"/>
        <w:spacing w:line="320" w:lineRule="exact"/>
        <w:ind w:firstLine="517" w:firstLineChars="245"/>
        <w:rPr>
          <w:rFonts w:hint="eastAsia" w:ascii="宋体" w:hAnsi="宋体"/>
          <w:b/>
          <w:color w:val="auto"/>
          <w:highlight w:val="none"/>
        </w:rPr>
      </w:pPr>
      <w:r>
        <w:rPr>
          <w:rFonts w:ascii="宋体" w:hAnsi="宋体"/>
          <w:b/>
          <w:color w:val="auto"/>
          <w:highlight w:val="none"/>
        </w:rPr>
        <w:t>4</w:t>
      </w:r>
      <w:r>
        <w:rPr>
          <w:rFonts w:hint="eastAsia" w:ascii="宋体" w:hAnsi="宋体"/>
          <w:b/>
          <w:color w:val="auto"/>
          <w:highlight w:val="none"/>
        </w:rPr>
        <w:t>、采购人、代理机构将于开标当天通过“信用中国”网站查询供应商失信被执行人、重大税收违法案件当事人信用记录，通过中国政府采购网查询供应商政府采购严重违法失信行为信用记录。若供应商被列入失信被执行人、重大税收违法案件当事人名单</w:t>
      </w:r>
      <w:r>
        <w:rPr>
          <w:rFonts w:hint="eastAsia" w:ascii="宋体" w:hAnsi="宋体"/>
          <w:b/>
          <w:color w:val="auto"/>
          <w:szCs w:val="21"/>
          <w:highlight w:val="none"/>
        </w:rPr>
        <w:t>（重大税收违法失信主体）</w:t>
      </w:r>
      <w:r>
        <w:rPr>
          <w:rFonts w:hint="eastAsia" w:ascii="宋体" w:hAnsi="宋体"/>
          <w:b/>
          <w:color w:val="auto"/>
          <w:highlight w:val="none"/>
        </w:rPr>
        <w:t>、政府采购严重违法失信行为记录名单，其资格审查为不合格，其投标将被认定为无效投标。</w:t>
      </w:r>
    </w:p>
    <w:p w14:paraId="03591B07">
      <w:pPr>
        <w:wordWrap w:val="0"/>
        <w:spacing w:line="320" w:lineRule="exact"/>
        <w:ind w:firstLine="517" w:firstLineChars="245"/>
        <w:rPr>
          <w:rFonts w:ascii="宋体" w:hAnsi="宋体"/>
          <w:b/>
          <w:color w:val="auto"/>
          <w:highlight w:val="none"/>
        </w:rPr>
      </w:pPr>
      <w:r>
        <w:rPr>
          <w:rFonts w:hint="eastAsia" w:ascii="宋体" w:hAnsi="宋体"/>
          <w:b/>
          <w:color w:val="auto"/>
          <w:highlight w:val="none"/>
        </w:rPr>
        <w:t>若在开标当天因不可抗力事件导致无法查询且一时无法恢复查询的，可在中标公示期间对中标候选人进行事后查询。中标候选人被列入失信被执行人、重大税收违法案件当事人名单</w:t>
      </w:r>
      <w:r>
        <w:rPr>
          <w:rFonts w:hint="eastAsia" w:ascii="宋体" w:hAnsi="宋体"/>
          <w:b/>
          <w:color w:val="auto"/>
          <w:szCs w:val="21"/>
          <w:highlight w:val="none"/>
        </w:rPr>
        <w:t>（重大税收违法失信主体）</w:t>
      </w:r>
      <w:r>
        <w:rPr>
          <w:rFonts w:hint="eastAsia" w:ascii="宋体" w:hAnsi="宋体"/>
          <w:b/>
          <w:color w:val="auto"/>
          <w:highlight w:val="none"/>
        </w:rPr>
        <w:t>、政府采购严重违法失信行为记录名单的，采购人将依法取消其中标资格。</w:t>
      </w:r>
    </w:p>
    <w:p w14:paraId="7BC944F3">
      <w:pPr>
        <w:wordWrap w:val="0"/>
        <w:spacing w:line="400" w:lineRule="exact"/>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附表</w:t>
      </w:r>
      <w:r>
        <w:rPr>
          <w:rFonts w:ascii="宋体" w:hAnsi="宋体"/>
          <w:color w:val="auto"/>
          <w:szCs w:val="21"/>
          <w:highlight w:val="none"/>
        </w:rPr>
        <w:t>2</w:t>
      </w:r>
      <w:r>
        <w:rPr>
          <w:rFonts w:hint="eastAsia" w:ascii="宋体" w:hAnsi="宋体"/>
          <w:color w:val="auto"/>
          <w:szCs w:val="21"/>
          <w:highlight w:val="none"/>
        </w:rPr>
        <w:t>：</w:t>
      </w:r>
    </w:p>
    <w:p w14:paraId="3D397847">
      <w:pPr>
        <w:widowControl/>
        <w:wordWrap w:val="0"/>
        <w:snapToGrid w:val="0"/>
        <w:spacing w:line="560" w:lineRule="exact"/>
        <w:jc w:val="center"/>
        <w:rPr>
          <w:rFonts w:ascii="宋体" w:hAnsi="宋体"/>
          <w:b/>
          <w:color w:val="auto"/>
          <w:szCs w:val="21"/>
          <w:highlight w:val="none"/>
        </w:rPr>
      </w:pPr>
      <w:r>
        <w:rPr>
          <w:rFonts w:hint="eastAsia" w:ascii="宋体" w:hAnsi="宋体"/>
          <w:b/>
          <w:color w:val="auto"/>
          <w:szCs w:val="21"/>
          <w:highlight w:val="none"/>
        </w:rPr>
        <w:t>符合性审查表（</w:t>
      </w:r>
      <w:r>
        <w:rPr>
          <w:rFonts w:hint="eastAsia" w:ascii="宋体" w:hAnsi="宋体"/>
          <w:b/>
          <w:bCs/>
          <w:color w:val="auto"/>
          <w:szCs w:val="21"/>
          <w:highlight w:val="none"/>
        </w:rPr>
        <w:t>商务和技术文件</w:t>
      </w:r>
      <w:r>
        <w:rPr>
          <w:rFonts w:hint="eastAsia" w:ascii="宋体" w:hAnsi="宋体"/>
          <w:b/>
          <w:color w:val="auto"/>
          <w:szCs w:val="21"/>
          <w:highlight w:val="none"/>
        </w:rPr>
        <w:t>）</w:t>
      </w:r>
    </w:p>
    <w:tbl>
      <w:tblPr>
        <w:tblStyle w:val="48"/>
        <w:tblW w:w="971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4316"/>
        <w:gridCol w:w="4565"/>
      </w:tblGrid>
      <w:tr w14:paraId="0D39DC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noWrap w:val="0"/>
            <w:vAlign w:val="center"/>
          </w:tcPr>
          <w:p w14:paraId="2B3E52EB">
            <w:pPr>
              <w:wordWrap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4316" w:type="dxa"/>
            <w:noWrap w:val="0"/>
            <w:vAlign w:val="center"/>
          </w:tcPr>
          <w:p w14:paraId="54EEAF96">
            <w:pPr>
              <w:wordWrap w:val="0"/>
              <w:snapToGrid w:val="0"/>
              <w:jc w:val="center"/>
              <w:rPr>
                <w:rFonts w:ascii="宋体" w:hAnsi="宋体"/>
                <w:b/>
                <w:color w:val="auto"/>
                <w:szCs w:val="21"/>
                <w:highlight w:val="none"/>
              </w:rPr>
            </w:pPr>
            <w:r>
              <w:rPr>
                <w:rFonts w:hint="eastAsia" w:ascii="宋体" w:hAnsi="宋体"/>
                <w:b/>
                <w:color w:val="auto"/>
                <w:szCs w:val="21"/>
                <w:highlight w:val="none"/>
              </w:rPr>
              <w:t>要求说明</w:t>
            </w:r>
          </w:p>
        </w:tc>
        <w:tc>
          <w:tcPr>
            <w:tcW w:w="4565" w:type="dxa"/>
            <w:noWrap w:val="0"/>
            <w:vAlign w:val="center"/>
          </w:tcPr>
          <w:p w14:paraId="2AFC2271">
            <w:pPr>
              <w:wordWrap w:val="0"/>
              <w:snapToGrid w:val="0"/>
              <w:jc w:val="center"/>
              <w:rPr>
                <w:rFonts w:ascii="宋体" w:hAnsi="宋体"/>
                <w:b/>
                <w:color w:val="auto"/>
                <w:szCs w:val="21"/>
                <w:highlight w:val="none"/>
              </w:rPr>
            </w:pPr>
            <w:r>
              <w:rPr>
                <w:rFonts w:hint="eastAsia" w:ascii="宋体" w:hAnsi="宋体"/>
                <w:b/>
                <w:color w:val="auto"/>
                <w:szCs w:val="21"/>
                <w:highlight w:val="none"/>
              </w:rPr>
              <w:t>审查要求</w:t>
            </w:r>
          </w:p>
        </w:tc>
      </w:tr>
      <w:tr w14:paraId="79FF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noWrap w:val="0"/>
            <w:vAlign w:val="center"/>
          </w:tcPr>
          <w:p w14:paraId="46174190">
            <w:pPr>
              <w:wordWrap w:val="0"/>
              <w:snapToGrid w:val="0"/>
              <w:jc w:val="center"/>
              <w:rPr>
                <w:rFonts w:ascii="宋体" w:hAnsi="宋体"/>
                <w:color w:val="auto"/>
                <w:szCs w:val="21"/>
                <w:highlight w:val="none"/>
              </w:rPr>
            </w:pPr>
            <w:r>
              <w:rPr>
                <w:rFonts w:ascii="宋体" w:hAnsi="宋体"/>
                <w:color w:val="auto"/>
                <w:szCs w:val="21"/>
                <w:highlight w:val="none"/>
              </w:rPr>
              <w:t>1</w:t>
            </w:r>
          </w:p>
        </w:tc>
        <w:tc>
          <w:tcPr>
            <w:tcW w:w="4316" w:type="dxa"/>
            <w:noWrap w:val="0"/>
            <w:vAlign w:val="center"/>
          </w:tcPr>
          <w:p w14:paraId="4DB34D13">
            <w:pPr>
              <w:wordWrap w:val="0"/>
              <w:snapToGrid w:val="0"/>
              <w:rPr>
                <w:rFonts w:ascii="宋体" w:hAnsi="宋体"/>
                <w:color w:val="auto"/>
                <w:szCs w:val="21"/>
                <w:highlight w:val="none"/>
              </w:rPr>
            </w:pPr>
            <w:r>
              <w:rPr>
                <w:rFonts w:hint="eastAsia" w:ascii="宋体" w:hAnsi="宋体"/>
                <w:color w:val="auto"/>
                <w:szCs w:val="21"/>
                <w:highlight w:val="none"/>
              </w:rPr>
              <w:t>投标有效期：符合第二章“投标须知”中“六、投标有效期”条款1的要求。</w:t>
            </w:r>
          </w:p>
        </w:tc>
        <w:tc>
          <w:tcPr>
            <w:tcW w:w="4565" w:type="dxa"/>
            <w:noWrap w:val="0"/>
            <w:vAlign w:val="center"/>
          </w:tcPr>
          <w:p w14:paraId="673CA38F">
            <w:pPr>
              <w:wordWrap w:val="0"/>
              <w:snapToGrid w:val="0"/>
              <w:rPr>
                <w:rFonts w:ascii="宋体" w:hAnsi="宋体"/>
                <w:color w:val="auto"/>
                <w:szCs w:val="21"/>
                <w:highlight w:val="none"/>
              </w:rPr>
            </w:pPr>
            <w:r>
              <w:rPr>
                <w:rFonts w:hint="eastAsia" w:ascii="宋体" w:hAnsi="宋体"/>
                <w:color w:val="auto"/>
                <w:szCs w:val="21"/>
                <w:highlight w:val="none"/>
              </w:rPr>
              <w:t>提供“投标书”</w:t>
            </w:r>
            <w:r>
              <w:rPr>
                <w:rFonts w:hint="eastAsia" w:ascii="宋体" w:hAnsi="宋体" w:cs="宋体"/>
                <w:color w:val="auto"/>
                <w:szCs w:val="21"/>
                <w:highlight w:val="none"/>
              </w:rPr>
              <w:t>。</w:t>
            </w:r>
          </w:p>
        </w:tc>
      </w:tr>
      <w:tr w14:paraId="2F0B22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noWrap w:val="0"/>
            <w:vAlign w:val="center"/>
          </w:tcPr>
          <w:p w14:paraId="47E1C07A">
            <w:pPr>
              <w:wordWrap w:val="0"/>
              <w:snapToGrid w:val="0"/>
              <w:jc w:val="center"/>
              <w:rPr>
                <w:rFonts w:ascii="宋体" w:hAnsi="宋体"/>
                <w:color w:val="auto"/>
                <w:szCs w:val="21"/>
                <w:highlight w:val="none"/>
              </w:rPr>
            </w:pPr>
            <w:r>
              <w:rPr>
                <w:rFonts w:ascii="宋体" w:hAnsi="宋体"/>
                <w:color w:val="auto"/>
                <w:szCs w:val="21"/>
                <w:highlight w:val="none"/>
              </w:rPr>
              <w:t>2</w:t>
            </w:r>
          </w:p>
        </w:tc>
        <w:tc>
          <w:tcPr>
            <w:tcW w:w="4316" w:type="dxa"/>
            <w:noWrap w:val="0"/>
            <w:vAlign w:val="center"/>
          </w:tcPr>
          <w:p w14:paraId="6292A7A8">
            <w:pPr>
              <w:wordWrap w:val="0"/>
              <w:snapToGrid w:val="0"/>
              <w:rPr>
                <w:rFonts w:ascii="宋体" w:hAnsi="宋体"/>
                <w:color w:val="auto"/>
                <w:szCs w:val="21"/>
                <w:highlight w:val="none"/>
              </w:rPr>
            </w:pPr>
            <w:r>
              <w:rPr>
                <w:rFonts w:hint="eastAsia" w:ascii="宋体" w:hAnsi="宋体"/>
                <w:color w:val="auto"/>
                <w:szCs w:val="21"/>
                <w:highlight w:val="none"/>
              </w:rPr>
              <w:t>法定代表人身份证明、法定代表人授权书。</w:t>
            </w:r>
          </w:p>
        </w:tc>
        <w:tc>
          <w:tcPr>
            <w:tcW w:w="4565" w:type="dxa"/>
            <w:noWrap w:val="0"/>
            <w:vAlign w:val="center"/>
          </w:tcPr>
          <w:p w14:paraId="509974EB">
            <w:pPr>
              <w:wordWrap w:val="0"/>
              <w:snapToGrid w:val="0"/>
              <w:rPr>
                <w:rFonts w:ascii="宋体" w:hAnsi="宋体"/>
                <w:color w:val="auto"/>
                <w:szCs w:val="21"/>
                <w:highlight w:val="none"/>
              </w:rPr>
            </w:pPr>
            <w:r>
              <w:rPr>
                <w:rFonts w:hint="eastAsia" w:ascii="宋体" w:hAnsi="宋体"/>
                <w:color w:val="auto"/>
                <w:szCs w:val="21"/>
                <w:highlight w:val="none"/>
              </w:rPr>
              <w:t>（1）投标文件由法定代表人签字的，提供“法定代表人身份证明”</w:t>
            </w:r>
            <w:r>
              <w:rPr>
                <w:rFonts w:hint="eastAsia" w:ascii="宋体" w:hAnsi="宋体" w:cs="宋体"/>
                <w:color w:val="auto"/>
                <w:szCs w:val="21"/>
                <w:highlight w:val="none"/>
              </w:rPr>
              <w:t>。</w:t>
            </w:r>
          </w:p>
          <w:p w14:paraId="6B5AD4B9">
            <w:pPr>
              <w:wordWrap w:val="0"/>
              <w:snapToGrid w:val="0"/>
              <w:rPr>
                <w:rFonts w:ascii="宋体" w:hAnsi="宋体"/>
                <w:color w:val="auto"/>
                <w:szCs w:val="21"/>
                <w:highlight w:val="none"/>
              </w:rPr>
            </w:pPr>
            <w:r>
              <w:rPr>
                <w:rFonts w:hint="eastAsia" w:ascii="宋体" w:hAnsi="宋体"/>
                <w:color w:val="auto"/>
                <w:szCs w:val="21"/>
                <w:highlight w:val="none"/>
              </w:rPr>
              <w:t>（2）投标文件由授权代表签字的，提供“法定代表人身份证明”和“法定代表人授权书”，并提供社保部门出具的供应商单位为授权代表缴纳社保的证明资料复印件。</w:t>
            </w:r>
          </w:p>
        </w:tc>
      </w:tr>
      <w:tr w14:paraId="703F0F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noWrap w:val="0"/>
            <w:vAlign w:val="center"/>
          </w:tcPr>
          <w:p w14:paraId="4196288E">
            <w:pPr>
              <w:wordWrap w:val="0"/>
              <w:snapToGrid w:val="0"/>
              <w:jc w:val="center"/>
              <w:rPr>
                <w:rFonts w:ascii="宋体" w:hAnsi="宋体"/>
                <w:color w:val="auto"/>
                <w:szCs w:val="21"/>
                <w:highlight w:val="none"/>
              </w:rPr>
            </w:pPr>
            <w:r>
              <w:rPr>
                <w:rFonts w:hint="eastAsia" w:ascii="宋体" w:hAnsi="宋体"/>
                <w:color w:val="auto"/>
                <w:szCs w:val="21"/>
                <w:highlight w:val="none"/>
              </w:rPr>
              <w:t>3</w:t>
            </w:r>
          </w:p>
        </w:tc>
        <w:tc>
          <w:tcPr>
            <w:tcW w:w="4316" w:type="dxa"/>
            <w:noWrap w:val="0"/>
            <w:vAlign w:val="center"/>
          </w:tcPr>
          <w:p w14:paraId="3A972A57">
            <w:pPr>
              <w:wordWrap w:val="0"/>
              <w:snapToGrid w:val="0"/>
              <w:rPr>
                <w:rFonts w:hint="eastAsia" w:ascii="宋体" w:hAnsi="宋体"/>
                <w:color w:val="auto"/>
                <w:szCs w:val="21"/>
                <w:highlight w:val="none"/>
              </w:rPr>
            </w:pPr>
            <w:r>
              <w:rPr>
                <w:rFonts w:hint="eastAsia" w:ascii="宋体" w:hAnsi="宋体"/>
                <w:color w:val="auto"/>
                <w:szCs w:val="21"/>
                <w:highlight w:val="none"/>
              </w:rPr>
              <w:t>符合第二章“投标须知”中“九、投标文件的签署盖章”条款1的要求。</w:t>
            </w:r>
          </w:p>
        </w:tc>
        <w:tc>
          <w:tcPr>
            <w:tcW w:w="4565" w:type="dxa"/>
            <w:noWrap w:val="0"/>
            <w:vAlign w:val="center"/>
          </w:tcPr>
          <w:p w14:paraId="39B3181E">
            <w:pPr>
              <w:wordWrap w:val="0"/>
              <w:snapToGrid w:val="0"/>
              <w:rPr>
                <w:rFonts w:hint="eastAsia" w:ascii="宋体" w:hAnsi="宋体"/>
                <w:color w:val="auto"/>
                <w:szCs w:val="21"/>
                <w:highlight w:val="none"/>
              </w:rPr>
            </w:pPr>
            <w:r>
              <w:rPr>
                <w:rFonts w:hint="eastAsia" w:ascii="宋体" w:hAnsi="宋体"/>
                <w:color w:val="auto"/>
                <w:szCs w:val="21"/>
                <w:highlight w:val="none"/>
              </w:rPr>
              <w:t>投标文件的签署盖章。</w:t>
            </w:r>
          </w:p>
        </w:tc>
      </w:tr>
      <w:tr w14:paraId="627F84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noWrap w:val="0"/>
            <w:vAlign w:val="center"/>
          </w:tcPr>
          <w:p w14:paraId="6944562F">
            <w:pPr>
              <w:wordWrap w:val="0"/>
              <w:snapToGrid w:val="0"/>
              <w:jc w:val="center"/>
              <w:rPr>
                <w:rFonts w:ascii="宋体" w:hAnsi="宋体"/>
                <w:color w:val="auto"/>
                <w:szCs w:val="21"/>
                <w:highlight w:val="none"/>
              </w:rPr>
            </w:pPr>
            <w:r>
              <w:rPr>
                <w:rFonts w:hint="eastAsia" w:ascii="宋体" w:hAnsi="宋体"/>
                <w:color w:val="auto"/>
                <w:szCs w:val="21"/>
                <w:highlight w:val="none"/>
              </w:rPr>
              <w:t>4</w:t>
            </w:r>
          </w:p>
        </w:tc>
        <w:tc>
          <w:tcPr>
            <w:tcW w:w="4316" w:type="dxa"/>
            <w:noWrap w:val="0"/>
            <w:vAlign w:val="center"/>
          </w:tcPr>
          <w:p w14:paraId="6C2DEA93">
            <w:pPr>
              <w:wordWrap w:val="0"/>
              <w:snapToGrid w:val="0"/>
              <w:rPr>
                <w:rFonts w:ascii="宋体" w:hAnsi="宋体"/>
                <w:color w:val="auto"/>
                <w:szCs w:val="21"/>
                <w:highlight w:val="none"/>
              </w:rPr>
            </w:pPr>
            <w:r>
              <w:rPr>
                <w:rFonts w:hint="eastAsia" w:ascii="宋体" w:hAnsi="宋体"/>
                <w:color w:val="auto"/>
                <w:szCs w:val="21"/>
                <w:highlight w:val="none"/>
              </w:rPr>
              <w:t>对同个标项不允许提供两个投标方案。</w:t>
            </w:r>
          </w:p>
        </w:tc>
        <w:tc>
          <w:tcPr>
            <w:tcW w:w="4565" w:type="dxa"/>
            <w:noWrap w:val="0"/>
            <w:vAlign w:val="center"/>
          </w:tcPr>
          <w:p w14:paraId="7BD76F93">
            <w:pPr>
              <w:wordWrap w:val="0"/>
              <w:snapToGrid w:val="0"/>
              <w:rPr>
                <w:rFonts w:hint="eastAsia" w:ascii="宋体" w:hAnsi="宋体"/>
                <w:color w:val="auto"/>
                <w:szCs w:val="21"/>
                <w:highlight w:val="none"/>
              </w:rPr>
            </w:pPr>
            <w:r>
              <w:rPr>
                <w:rFonts w:hint="eastAsia" w:ascii="宋体" w:hAnsi="宋体"/>
                <w:color w:val="auto"/>
                <w:szCs w:val="21"/>
                <w:highlight w:val="none"/>
              </w:rPr>
              <w:t>是否有两个投标方案。</w:t>
            </w:r>
          </w:p>
        </w:tc>
      </w:tr>
      <w:tr w14:paraId="486EA2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noWrap w:val="0"/>
            <w:vAlign w:val="center"/>
          </w:tcPr>
          <w:p w14:paraId="278D6005">
            <w:pPr>
              <w:wordWrap w:val="0"/>
              <w:snapToGrid w:val="0"/>
              <w:jc w:val="center"/>
              <w:rPr>
                <w:rFonts w:ascii="宋体" w:hAnsi="宋体"/>
                <w:color w:val="auto"/>
                <w:szCs w:val="21"/>
                <w:highlight w:val="none"/>
              </w:rPr>
            </w:pPr>
            <w:r>
              <w:rPr>
                <w:rFonts w:hint="eastAsia" w:ascii="宋体" w:hAnsi="宋体"/>
                <w:color w:val="auto"/>
                <w:szCs w:val="21"/>
                <w:highlight w:val="none"/>
              </w:rPr>
              <w:t>5</w:t>
            </w:r>
          </w:p>
        </w:tc>
        <w:tc>
          <w:tcPr>
            <w:tcW w:w="4316" w:type="dxa"/>
            <w:noWrap w:val="0"/>
            <w:vAlign w:val="center"/>
          </w:tcPr>
          <w:p w14:paraId="57849C0C">
            <w:pPr>
              <w:wordWrap w:val="0"/>
              <w:snapToGrid w:val="0"/>
              <w:rPr>
                <w:rFonts w:ascii="宋体" w:hAnsi="宋体"/>
                <w:color w:val="auto"/>
                <w:szCs w:val="21"/>
                <w:highlight w:val="none"/>
              </w:rPr>
            </w:pPr>
            <w:r>
              <w:rPr>
                <w:rFonts w:hint="eastAsia" w:ascii="宋体" w:hAnsi="宋体"/>
                <w:color w:val="auto"/>
                <w:szCs w:val="21"/>
                <w:highlight w:val="none"/>
              </w:rPr>
              <w:t>供应商不得在投标活动中提供任何虚假材料或从事其他违法活动的。</w:t>
            </w:r>
          </w:p>
        </w:tc>
        <w:tc>
          <w:tcPr>
            <w:tcW w:w="4565" w:type="dxa"/>
            <w:noWrap w:val="0"/>
            <w:vAlign w:val="center"/>
          </w:tcPr>
          <w:p w14:paraId="5C906DF2">
            <w:pPr>
              <w:wordWrap w:val="0"/>
              <w:snapToGrid w:val="0"/>
              <w:rPr>
                <w:rFonts w:hint="eastAsia" w:ascii="宋体" w:hAnsi="宋体"/>
                <w:color w:val="auto"/>
                <w:szCs w:val="21"/>
                <w:highlight w:val="none"/>
              </w:rPr>
            </w:pPr>
            <w:r>
              <w:rPr>
                <w:rFonts w:hint="eastAsia" w:ascii="宋体" w:hAnsi="宋体"/>
                <w:color w:val="auto"/>
                <w:szCs w:val="21"/>
                <w:highlight w:val="none"/>
              </w:rPr>
              <w:t>不得提供任何虚假材料或从事其他违法活动。</w:t>
            </w:r>
          </w:p>
        </w:tc>
      </w:tr>
      <w:tr w14:paraId="34BE1C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dxa"/>
            <w:noWrap w:val="0"/>
            <w:vAlign w:val="center"/>
          </w:tcPr>
          <w:p w14:paraId="777A327C">
            <w:pPr>
              <w:wordWrap w:val="0"/>
              <w:snapToGrid w:val="0"/>
              <w:jc w:val="center"/>
              <w:rPr>
                <w:rFonts w:ascii="宋体" w:hAnsi="宋体"/>
                <w:color w:val="auto"/>
                <w:szCs w:val="21"/>
                <w:highlight w:val="none"/>
              </w:rPr>
            </w:pPr>
            <w:r>
              <w:rPr>
                <w:rFonts w:hint="eastAsia" w:ascii="宋体" w:hAnsi="宋体"/>
                <w:color w:val="auto"/>
                <w:szCs w:val="21"/>
                <w:highlight w:val="none"/>
              </w:rPr>
              <w:t>6</w:t>
            </w:r>
          </w:p>
        </w:tc>
        <w:tc>
          <w:tcPr>
            <w:tcW w:w="4316" w:type="dxa"/>
            <w:noWrap w:val="0"/>
            <w:vAlign w:val="center"/>
          </w:tcPr>
          <w:p w14:paraId="11AAC6D2">
            <w:pPr>
              <w:wordWrap w:val="0"/>
              <w:snapToGrid w:val="0"/>
              <w:rPr>
                <w:rFonts w:ascii="宋体" w:hAnsi="宋体"/>
                <w:color w:val="auto"/>
                <w:szCs w:val="21"/>
                <w:highlight w:val="none"/>
              </w:rPr>
            </w:pPr>
            <w:r>
              <w:rPr>
                <w:rFonts w:hint="eastAsia" w:ascii="宋体" w:hAnsi="宋体"/>
                <w:color w:val="auto"/>
                <w:szCs w:val="21"/>
                <w:highlight w:val="none"/>
              </w:rPr>
              <w:t>评标委员会经过审查，认定供应商虚假应标、串通投标的，有下列情形之一的，视为供应商串通投标：</w:t>
            </w:r>
          </w:p>
          <w:p w14:paraId="35E1845A">
            <w:pPr>
              <w:widowControl/>
              <w:wordWrap w:val="0"/>
              <w:snapToGrid w:val="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）不同供应商的投标文件由同一单位或者个人编制；</w:t>
            </w:r>
          </w:p>
          <w:p w14:paraId="0C485339">
            <w:pPr>
              <w:widowControl/>
              <w:wordWrap w:val="0"/>
              <w:snapToGrid w:val="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）不同供应商委托同一单位或者个人办理投标事宜；</w:t>
            </w:r>
          </w:p>
          <w:p w14:paraId="4B7D0AEA">
            <w:pPr>
              <w:widowControl/>
              <w:wordWrap w:val="0"/>
              <w:snapToGrid w:val="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）不同供应商的投标文件载明的项目管理成员或者联系人员为同一人；</w:t>
            </w:r>
          </w:p>
          <w:p w14:paraId="781F0998">
            <w:pPr>
              <w:widowControl/>
              <w:wordWrap w:val="0"/>
              <w:snapToGrid w:val="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）不同供应商的投标文件异常一致或者投标报价呈规律性差异；</w:t>
            </w:r>
          </w:p>
          <w:p w14:paraId="39CDEFFD">
            <w:pPr>
              <w:widowControl/>
              <w:wordWrap w:val="0"/>
              <w:snapToGrid w:val="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）不同供应商的投标文件相互混装。</w:t>
            </w:r>
          </w:p>
        </w:tc>
        <w:tc>
          <w:tcPr>
            <w:tcW w:w="4565" w:type="dxa"/>
            <w:noWrap w:val="0"/>
            <w:vAlign w:val="center"/>
          </w:tcPr>
          <w:p w14:paraId="57C452FC">
            <w:pPr>
              <w:wordWrap w:val="0"/>
              <w:snapToGrid w:val="0"/>
              <w:rPr>
                <w:rFonts w:hint="eastAsia" w:ascii="宋体" w:hAnsi="宋体"/>
                <w:color w:val="auto"/>
                <w:szCs w:val="21"/>
                <w:highlight w:val="none"/>
              </w:rPr>
            </w:pPr>
            <w:r>
              <w:rPr>
                <w:rFonts w:hint="eastAsia" w:ascii="宋体" w:hAnsi="宋体"/>
                <w:color w:val="auto"/>
                <w:szCs w:val="21"/>
                <w:highlight w:val="none"/>
              </w:rPr>
              <w:t>不得有所述情形。</w:t>
            </w:r>
          </w:p>
        </w:tc>
      </w:tr>
      <w:tr w14:paraId="096B90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32" w:type="dxa"/>
            <w:noWrap w:val="0"/>
            <w:vAlign w:val="center"/>
          </w:tcPr>
          <w:p w14:paraId="13019B0B">
            <w:pPr>
              <w:wordWrap w:val="0"/>
              <w:snapToGrid w:val="0"/>
              <w:jc w:val="center"/>
              <w:rPr>
                <w:rFonts w:ascii="宋体" w:hAnsi="宋体"/>
                <w:color w:val="auto"/>
                <w:szCs w:val="21"/>
                <w:highlight w:val="none"/>
              </w:rPr>
            </w:pPr>
            <w:r>
              <w:rPr>
                <w:rFonts w:hint="eastAsia" w:ascii="宋体" w:hAnsi="宋体"/>
                <w:color w:val="auto"/>
                <w:szCs w:val="21"/>
                <w:highlight w:val="none"/>
              </w:rPr>
              <w:t>7</w:t>
            </w:r>
          </w:p>
        </w:tc>
        <w:tc>
          <w:tcPr>
            <w:tcW w:w="4316" w:type="dxa"/>
            <w:noWrap w:val="0"/>
            <w:vAlign w:val="center"/>
          </w:tcPr>
          <w:p w14:paraId="3AFFB7D0">
            <w:pPr>
              <w:wordWrap w:val="0"/>
              <w:snapToGrid w:val="0"/>
              <w:rPr>
                <w:rFonts w:ascii="宋体" w:hAnsi="宋体"/>
                <w:color w:val="auto"/>
                <w:szCs w:val="21"/>
                <w:highlight w:val="none"/>
              </w:rPr>
            </w:pPr>
            <w:r>
              <w:rPr>
                <w:rFonts w:hint="eastAsia" w:ascii="宋体" w:hAnsi="宋体"/>
                <w:color w:val="auto"/>
                <w:szCs w:val="21"/>
                <w:highlight w:val="none"/>
              </w:rPr>
              <w:t>符合法律、法规和采购文件中规定的其他实质性要求（实质性要求采购文件中“</w:t>
            </w:r>
            <w:r>
              <w:rPr>
                <w:rFonts w:hint="eastAsia" w:ascii="宋体" w:hAnsi="宋体"/>
                <w:b/>
                <w:color w:val="auto"/>
                <w:sz w:val="24"/>
                <w:highlight w:val="none"/>
              </w:rPr>
              <w:t>★</w:t>
            </w:r>
            <w:r>
              <w:rPr>
                <w:rFonts w:hint="eastAsia" w:ascii="宋体" w:hAnsi="宋体"/>
                <w:color w:val="auto"/>
                <w:szCs w:val="21"/>
                <w:highlight w:val="none"/>
              </w:rPr>
              <w:t>”标记）</w:t>
            </w:r>
          </w:p>
        </w:tc>
        <w:tc>
          <w:tcPr>
            <w:tcW w:w="4565" w:type="dxa"/>
            <w:noWrap w:val="0"/>
            <w:vAlign w:val="center"/>
          </w:tcPr>
          <w:p w14:paraId="7FC05FBF">
            <w:pPr>
              <w:wordWrap w:val="0"/>
              <w:snapToGrid w:val="0"/>
              <w:rPr>
                <w:rFonts w:hint="eastAsia" w:ascii="宋体" w:hAnsi="宋体"/>
                <w:color w:val="auto"/>
                <w:szCs w:val="21"/>
                <w:highlight w:val="none"/>
              </w:rPr>
            </w:pPr>
            <w:r>
              <w:rPr>
                <w:rFonts w:hint="eastAsia" w:ascii="宋体" w:hAnsi="宋体"/>
                <w:color w:val="auto"/>
                <w:szCs w:val="21"/>
                <w:highlight w:val="none"/>
              </w:rPr>
              <w:t>符合所述要求。</w:t>
            </w:r>
          </w:p>
        </w:tc>
      </w:tr>
      <w:tr w14:paraId="7BFC9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8" w:type="dxa"/>
            <w:gridSpan w:val="2"/>
            <w:noWrap w:val="0"/>
            <w:vAlign w:val="center"/>
          </w:tcPr>
          <w:p w14:paraId="7E77A969">
            <w:pPr>
              <w:wordWrap w:val="0"/>
              <w:snapToGrid w:val="0"/>
              <w:jc w:val="center"/>
              <w:rPr>
                <w:rFonts w:ascii="宋体" w:hAnsi="宋体"/>
                <w:color w:val="auto"/>
                <w:szCs w:val="21"/>
                <w:highlight w:val="none"/>
              </w:rPr>
            </w:pPr>
            <w:r>
              <w:rPr>
                <w:rFonts w:hint="eastAsia" w:ascii="宋体" w:hAnsi="宋体"/>
                <w:b/>
                <w:color w:val="auto"/>
                <w:szCs w:val="21"/>
                <w:highlight w:val="none"/>
              </w:rPr>
              <w:t>符合性审查结论</w:t>
            </w:r>
          </w:p>
        </w:tc>
        <w:tc>
          <w:tcPr>
            <w:tcW w:w="4565" w:type="dxa"/>
            <w:noWrap w:val="0"/>
            <w:vAlign w:val="center"/>
          </w:tcPr>
          <w:p w14:paraId="63978500">
            <w:pPr>
              <w:wordWrap w:val="0"/>
              <w:snapToGrid w:val="0"/>
              <w:rPr>
                <w:rFonts w:ascii="宋体" w:hAnsi="宋体"/>
                <w:color w:val="auto"/>
                <w:szCs w:val="21"/>
                <w:highlight w:val="none"/>
              </w:rPr>
            </w:pPr>
          </w:p>
        </w:tc>
      </w:tr>
    </w:tbl>
    <w:p w14:paraId="18F43A5E">
      <w:pPr>
        <w:wordWrap w:val="0"/>
        <w:spacing w:line="400" w:lineRule="exact"/>
        <w:rPr>
          <w:rFonts w:hint="eastAsia" w:ascii="宋体" w:hAnsi="宋体"/>
          <w:b/>
          <w:color w:val="auto"/>
          <w:highlight w:val="none"/>
        </w:rPr>
      </w:pPr>
      <w:r>
        <w:rPr>
          <w:rFonts w:hint="eastAsia" w:ascii="宋体" w:hAnsi="宋体"/>
          <w:b/>
          <w:color w:val="auto"/>
          <w:highlight w:val="none"/>
        </w:rPr>
        <w:t>注：上述审查项目中，任意一项不符合的，符合性审查不合格。</w:t>
      </w:r>
    </w:p>
    <w:p w14:paraId="0EB3880E">
      <w:pPr>
        <w:wordWrap w:val="0"/>
        <w:spacing w:line="400" w:lineRule="exact"/>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附表</w:t>
      </w:r>
      <w:r>
        <w:rPr>
          <w:rFonts w:ascii="宋体" w:hAnsi="宋体"/>
          <w:color w:val="auto"/>
          <w:szCs w:val="21"/>
          <w:highlight w:val="none"/>
        </w:rPr>
        <w:t>3</w:t>
      </w:r>
      <w:r>
        <w:rPr>
          <w:rFonts w:hint="eastAsia" w:ascii="宋体" w:hAnsi="宋体"/>
          <w:color w:val="auto"/>
          <w:szCs w:val="21"/>
          <w:highlight w:val="none"/>
        </w:rPr>
        <w:t>：</w:t>
      </w:r>
    </w:p>
    <w:p w14:paraId="174F9E11">
      <w:pPr>
        <w:spacing w:line="400" w:lineRule="exact"/>
        <w:jc w:val="center"/>
        <w:rPr>
          <w:rFonts w:hint="eastAsia" w:ascii="宋体" w:hAnsi="宋体" w:eastAsia="宋体"/>
          <w:b/>
          <w:color w:val="auto"/>
          <w:szCs w:val="21"/>
          <w:highlight w:val="none"/>
          <w:lang w:eastAsia="zh-CN"/>
        </w:rPr>
      </w:pPr>
      <w:bookmarkStart w:id="64" w:name="OLE_LINK2"/>
      <w:r>
        <w:rPr>
          <w:rFonts w:hint="eastAsia" w:ascii="宋体" w:hAnsi="宋体"/>
          <w:b/>
          <w:color w:val="auto"/>
          <w:szCs w:val="21"/>
          <w:highlight w:val="none"/>
        </w:rPr>
        <w:t>商务和技术评分表</w:t>
      </w:r>
    </w:p>
    <w:tbl>
      <w:tblPr>
        <w:tblStyle w:val="48"/>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640"/>
        <w:gridCol w:w="920"/>
        <w:gridCol w:w="5009"/>
        <w:gridCol w:w="2607"/>
        <w:gridCol w:w="640"/>
        <w:gridCol w:w="640"/>
      </w:tblGrid>
      <w:tr w14:paraId="01A2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7" w:hRule="atLeast"/>
          <w:jc w:val="center"/>
        </w:trPr>
        <w:tc>
          <w:tcPr>
            <w:tcW w:w="640" w:type="dxa"/>
            <w:shd w:val="clear" w:color="auto" w:fill="FFFFFF"/>
            <w:noWrap w:val="0"/>
            <w:vAlign w:val="center"/>
          </w:tcPr>
          <w:p w14:paraId="67E4AAE6">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评分项目</w:t>
            </w:r>
          </w:p>
        </w:tc>
        <w:tc>
          <w:tcPr>
            <w:tcW w:w="8536" w:type="dxa"/>
            <w:gridSpan w:val="3"/>
            <w:shd w:val="clear" w:color="auto" w:fill="FFFFFF"/>
            <w:noWrap w:val="0"/>
            <w:vAlign w:val="center"/>
          </w:tcPr>
          <w:p w14:paraId="1D1DC42B">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评分标准</w:t>
            </w:r>
          </w:p>
        </w:tc>
        <w:tc>
          <w:tcPr>
            <w:tcW w:w="640" w:type="dxa"/>
            <w:shd w:val="clear" w:color="auto" w:fill="FFFFFF"/>
            <w:noWrap w:val="0"/>
            <w:vAlign w:val="center"/>
          </w:tcPr>
          <w:p w14:paraId="6B09EB97">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分值</w:t>
            </w:r>
          </w:p>
        </w:tc>
        <w:tc>
          <w:tcPr>
            <w:tcW w:w="640" w:type="dxa"/>
            <w:shd w:val="clear" w:color="auto" w:fill="FFFFFF"/>
            <w:noWrap w:val="0"/>
            <w:vAlign w:val="center"/>
          </w:tcPr>
          <w:p w14:paraId="1966F40C">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29D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0" w:type="dxa"/>
            <w:vMerge w:val="restart"/>
            <w:shd w:val="clear" w:color="auto" w:fill="FFFFFF"/>
            <w:noWrap w:val="0"/>
            <w:vAlign w:val="center"/>
          </w:tcPr>
          <w:p w14:paraId="70FC5D0D">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资信技术分</w:t>
            </w:r>
          </w:p>
          <w:p w14:paraId="4DA624B5">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80分</w:t>
            </w:r>
          </w:p>
        </w:tc>
        <w:tc>
          <w:tcPr>
            <w:tcW w:w="920" w:type="dxa"/>
            <w:shd w:val="clear" w:color="auto" w:fill="FFFFFF"/>
            <w:noWrap w:val="0"/>
            <w:vAlign w:val="center"/>
          </w:tcPr>
          <w:p w14:paraId="6B311A82">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1、项目了解程度（5分）</w:t>
            </w:r>
          </w:p>
        </w:tc>
        <w:tc>
          <w:tcPr>
            <w:tcW w:w="7616" w:type="dxa"/>
            <w:gridSpan w:val="2"/>
            <w:shd w:val="clear" w:color="auto" w:fill="FFFFFF"/>
            <w:noWrap w:val="0"/>
            <w:vAlign w:val="center"/>
          </w:tcPr>
          <w:p w14:paraId="2ADDFB3B">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根据投标人针对标项涉及到的市政道路设施现场实际情况的了解和调研的程度进行评议：</w:t>
            </w:r>
          </w:p>
          <w:p w14:paraId="5C4E6418">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了解程度高，切合本标段，得5分；</w:t>
            </w:r>
          </w:p>
          <w:p w14:paraId="02552B93">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了解程度较高，较切合本标段，得4.5分；</w:t>
            </w:r>
          </w:p>
          <w:p w14:paraId="0542646C">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了解程度尚可，切合度尚可，得4分；</w:t>
            </w:r>
          </w:p>
          <w:p w14:paraId="6874CB39">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了解程度一般，切合度一般，得3.5分；</w:t>
            </w:r>
          </w:p>
          <w:p w14:paraId="53127AA2">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了解程度低，欠切合，得3分；</w:t>
            </w:r>
          </w:p>
          <w:p w14:paraId="39D8DD13">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了解程度不足，不切合，得2分；</w:t>
            </w:r>
          </w:p>
          <w:p w14:paraId="264FD9D1">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未提供的不得分。</w:t>
            </w:r>
          </w:p>
        </w:tc>
        <w:tc>
          <w:tcPr>
            <w:tcW w:w="640" w:type="dxa"/>
            <w:shd w:val="clear" w:color="auto" w:fill="FFFFFF"/>
            <w:noWrap w:val="0"/>
            <w:vAlign w:val="center"/>
          </w:tcPr>
          <w:p w14:paraId="1ABC9CDB">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40" w:type="dxa"/>
            <w:shd w:val="clear" w:color="auto" w:fill="FFFFFF"/>
            <w:noWrap w:val="0"/>
            <w:vAlign w:val="center"/>
          </w:tcPr>
          <w:p w14:paraId="596F0EBD">
            <w:pPr>
              <w:widowControl/>
              <w:adjustRightInd/>
              <w:spacing w:line="400" w:lineRule="exact"/>
              <w:contextualSpacing/>
              <w:jc w:val="center"/>
              <w:rPr>
                <w:rFonts w:ascii="宋体" w:hAnsi="宋体" w:cs="宋体"/>
                <w:color w:val="auto"/>
                <w:szCs w:val="21"/>
                <w:highlight w:val="none"/>
              </w:rPr>
            </w:pPr>
            <w:r>
              <w:rPr>
                <w:rFonts w:hint="eastAsia" w:ascii="宋体" w:hAnsi="宋体" w:cs="宋体"/>
                <w:color w:val="auto"/>
                <w:szCs w:val="21"/>
                <w:highlight w:val="none"/>
              </w:rPr>
              <w:t>主观分</w:t>
            </w:r>
          </w:p>
        </w:tc>
      </w:tr>
      <w:tr w14:paraId="674E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Merge w:val="continue"/>
            <w:shd w:val="clear" w:color="auto" w:fill="FFFFFF"/>
            <w:noWrap w:val="0"/>
            <w:vAlign w:val="center"/>
          </w:tcPr>
          <w:p w14:paraId="55C5278C">
            <w:pPr>
              <w:widowControl/>
              <w:adjustRightInd/>
              <w:spacing w:line="400" w:lineRule="exact"/>
              <w:contextualSpacing/>
              <w:jc w:val="center"/>
              <w:rPr>
                <w:rFonts w:hint="eastAsia" w:ascii="宋体" w:hAnsi="宋体" w:cs="宋体"/>
                <w:color w:val="auto"/>
                <w:szCs w:val="21"/>
                <w:highlight w:val="none"/>
              </w:rPr>
            </w:pPr>
          </w:p>
        </w:tc>
        <w:tc>
          <w:tcPr>
            <w:tcW w:w="920" w:type="dxa"/>
            <w:vMerge w:val="restart"/>
            <w:shd w:val="clear" w:color="auto" w:fill="FFFFFF"/>
            <w:noWrap w:val="0"/>
            <w:vAlign w:val="center"/>
          </w:tcPr>
          <w:p w14:paraId="60725EA0">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bidi="ar"/>
              </w:rPr>
              <w:t>项目实施方案</w:t>
            </w:r>
            <w:r>
              <w:rPr>
                <w:rFonts w:hint="eastAsia" w:ascii="宋体" w:hAnsi="宋体" w:cs="宋体"/>
                <w:color w:val="auto"/>
                <w:szCs w:val="21"/>
                <w:highlight w:val="none"/>
              </w:rPr>
              <w:t>（44分）</w:t>
            </w:r>
          </w:p>
        </w:tc>
        <w:tc>
          <w:tcPr>
            <w:tcW w:w="7616" w:type="dxa"/>
            <w:gridSpan w:val="2"/>
            <w:shd w:val="clear" w:color="auto" w:fill="FFFFFF"/>
            <w:noWrap w:val="0"/>
            <w:vAlign w:val="center"/>
          </w:tcPr>
          <w:p w14:paraId="1AF8B5AE">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（1）巡查方案（5分）：根据投标人针对标段内市政道路及其他附属设施日常管理巡查方案进行评议：</w:t>
            </w:r>
          </w:p>
          <w:p w14:paraId="4CE50CCD">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巡查方案规范、针对性及操作性强的，得5分；</w:t>
            </w:r>
          </w:p>
          <w:p w14:paraId="46E3EA28">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巡查方案比较规范、针对性及操作性较强的，得4.5分；</w:t>
            </w:r>
          </w:p>
          <w:p w14:paraId="60360515">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巡查方案规范性尚可、针对性及操作性尚可的得4分；</w:t>
            </w:r>
          </w:p>
          <w:p w14:paraId="0826B665">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巡查方案基本规范、针对性及操作性一般的得3分；</w:t>
            </w:r>
          </w:p>
          <w:p w14:paraId="7224C6F6">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巡查方案欠规范、针对性及操作性不强的得2分；</w:t>
            </w:r>
          </w:p>
          <w:p w14:paraId="31F50C19">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未提供的不得分。</w:t>
            </w:r>
          </w:p>
        </w:tc>
        <w:tc>
          <w:tcPr>
            <w:tcW w:w="640" w:type="dxa"/>
            <w:shd w:val="clear" w:color="auto" w:fill="FFFFFF"/>
            <w:noWrap w:val="0"/>
            <w:vAlign w:val="center"/>
          </w:tcPr>
          <w:p w14:paraId="5D50480A">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40" w:type="dxa"/>
            <w:shd w:val="clear" w:color="auto" w:fill="FFFFFF"/>
            <w:noWrap w:val="0"/>
            <w:vAlign w:val="center"/>
          </w:tcPr>
          <w:p w14:paraId="5DA0DB9C">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4795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Merge w:val="continue"/>
            <w:shd w:val="clear" w:color="auto" w:fill="FFFFFF"/>
            <w:noWrap w:val="0"/>
            <w:vAlign w:val="center"/>
          </w:tcPr>
          <w:p w14:paraId="6570272C">
            <w:pPr>
              <w:widowControl/>
              <w:adjustRightInd/>
              <w:spacing w:line="400" w:lineRule="exact"/>
              <w:contextualSpacing/>
              <w:jc w:val="center"/>
              <w:rPr>
                <w:rFonts w:hint="eastAsia" w:ascii="宋体" w:hAnsi="宋体" w:cs="宋体"/>
                <w:color w:val="auto"/>
                <w:szCs w:val="21"/>
                <w:highlight w:val="none"/>
              </w:rPr>
            </w:pPr>
          </w:p>
        </w:tc>
        <w:tc>
          <w:tcPr>
            <w:tcW w:w="920" w:type="dxa"/>
            <w:vMerge w:val="continue"/>
            <w:shd w:val="clear" w:color="auto" w:fill="FFFFFF"/>
            <w:noWrap w:val="0"/>
            <w:vAlign w:val="center"/>
          </w:tcPr>
          <w:p w14:paraId="30097110">
            <w:pPr>
              <w:widowControl/>
              <w:adjustRightInd/>
              <w:spacing w:line="400" w:lineRule="exact"/>
              <w:contextualSpacing/>
              <w:rPr>
                <w:rFonts w:hint="eastAsia" w:ascii="宋体" w:hAnsi="宋体" w:cs="宋体"/>
                <w:color w:val="auto"/>
                <w:szCs w:val="21"/>
                <w:highlight w:val="none"/>
              </w:rPr>
            </w:pPr>
          </w:p>
        </w:tc>
        <w:tc>
          <w:tcPr>
            <w:tcW w:w="7616" w:type="dxa"/>
            <w:gridSpan w:val="2"/>
            <w:shd w:val="clear" w:color="auto" w:fill="FFFFFF"/>
            <w:noWrap w:val="0"/>
            <w:vAlign w:val="center"/>
          </w:tcPr>
          <w:p w14:paraId="34449B1A">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（2）日常养护方案（5分）：评标委员会对供应商提供的市政道路设施保养方案进行综合评议：</w:t>
            </w:r>
          </w:p>
          <w:p w14:paraId="307C5B8C">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设施保养方案内容齐全，各设施的保养流程科学合理、可操作性强的，得5分；</w:t>
            </w:r>
          </w:p>
          <w:p w14:paraId="5737E4B0">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设施保养方案内容较齐全，各设施的保养流程比较合理、可操作性较强的，得4.5分；</w:t>
            </w:r>
          </w:p>
          <w:p w14:paraId="79AC31CC">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设施保养方案内容基本齐全，各设施的保养流程合理性与可操作性尚可，得4分。</w:t>
            </w:r>
          </w:p>
          <w:p w14:paraId="589AE587">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设施保养方案内容不够齐全，各设施的保养流程合理性与可操作性一般，得3分。</w:t>
            </w:r>
          </w:p>
          <w:p w14:paraId="1B0E5C28">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设施保养方案内容有欠缺，各设施的保养流程合理性与可操作性不足，得2分。</w:t>
            </w:r>
          </w:p>
          <w:p w14:paraId="67DDF194">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未提供的不得分。</w:t>
            </w:r>
          </w:p>
        </w:tc>
        <w:tc>
          <w:tcPr>
            <w:tcW w:w="640" w:type="dxa"/>
            <w:shd w:val="clear" w:color="auto" w:fill="FFFFFF"/>
            <w:noWrap w:val="0"/>
            <w:vAlign w:val="center"/>
          </w:tcPr>
          <w:p w14:paraId="1F4F0D56">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40" w:type="dxa"/>
            <w:shd w:val="clear" w:color="auto" w:fill="FFFFFF"/>
            <w:noWrap w:val="0"/>
            <w:vAlign w:val="center"/>
          </w:tcPr>
          <w:p w14:paraId="29A70859">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48F1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Merge w:val="continue"/>
            <w:shd w:val="clear" w:color="auto" w:fill="FFFFFF"/>
            <w:noWrap w:val="0"/>
            <w:vAlign w:val="center"/>
          </w:tcPr>
          <w:p w14:paraId="659D0B0B">
            <w:pPr>
              <w:widowControl/>
              <w:adjustRightInd/>
              <w:spacing w:line="400" w:lineRule="exact"/>
              <w:contextualSpacing/>
              <w:rPr>
                <w:rFonts w:hint="eastAsia" w:ascii="宋体" w:hAnsi="宋体" w:cs="宋体"/>
                <w:color w:val="auto"/>
                <w:szCs w:val="21"/>
                <w:highlight w:val="none"/>
              </w:rPr>
            </w:pPr>
          </w:p>
        </w:tc>
        <w:tc>
          <w:tcPr>
            <w:tcW w:w="920" w:type="dxa"/>
            <w:vMerge w:val="continue"/>
            <w:shd w:val="clear" w:color="auto" w:fill="FFFFFF"/>
            <w:noWrap w:val="0"/>
            <w:vAlign w:val="center"/>
          </w:tcPr>
          <w:p w14:paraId="711430F3">
            <w:pPr>
              <w:adjustRightInd/>
              <w:spacing w:line="400" w:lineRule="exact"/>
              <w:contextualSpacing/>
              <w:rPr>
                <w:rFonts w:hint="eastAsia" w:ascii="宋体" w:hAnsi="宋体" w:cs="宋体"/>
                <w:color w:val="auto"/>
                <w:szCs w:val="21"/>
                <w:highlight w:val="none"/>
              </w:rPr>
            </w:pPr>
          </w:p>
        </w:tc>
        <w:tc>
          <w:tcPr>
            <w:tcW w:w="7616" w:type="dxa"/>
            <w:gridSpan w:val="2"/>
            <w:shd w:val="clear" w:color="auto" w:fill="FFFFFF"/>
            <w:noWrap w:val="0"/>
            <w:vAlign w:val="center"/>
          </w:tcPr>
          <w:p w14:paraId="6A8FCC64">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（3）维修施工方案（5分）：根据投标人提供的针对标段所覆盖的所有沥青路面维修、砼路面及人行道维修、路缘石及平石的维修更换及其他市政附属设施的维修施工方案等情况进行评议：</w:t>
            </w:r>
          </w:p>
          <w:p w14:paraId="0C946A50">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维修施工方案针对性强，实施工序安排合理，得5分；</w:t>
            </w:r>
          </w:p>
          <w:p w14:paraId="0F5294DC">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维修施工方案针对性较强，实施工序安排比较合理，得4.5分；</w:t>
            </w:r>
          </w:p>
          <w:p w14:paraId="41D7C83C">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维修施工方案针对性尚可，实施工序安排尚可，得4分；</w:t>
            </w:r>
          </w:p>
          <w:p w14:paraId="17731A39">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维修施工方案针对性一般，实施工序安排合理性一般，得3分；</w:t>
            </w:r>
          </w:p>
          <w:p w14:paraId="2A67F466">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维修施工方案针对性不足，实施工序安排不够合理，得2分；</w:t>
            </w:r>
          </w:p>
          <w:p w14:paraId="0BCC936B">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未提供的不得分。</w:t>
            </w:r>
          </w:p>
        </w:tc>
        <w:tc>
          <w:tcPr>
            <w:tcW w:w="640" w:type="dxa"/>
            <w:shd w:val="clear" w:color="auto" w:fill="FFFFFF"/>
            <w:noWrap w:val="0"/>
            <w:vAlign w:val="center"/>
          </w:tcPr>
          <w:p w14:paraId="56C0C71E">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40" w:type="dxa"/>
            <w:shd w:val="clear" w:color="auto" w:fill="FFFFFF"/>
            <w:noWrap w:val="0"/>
            <w:vAlign w:val="center"/>
          </w:tcPr>
          <w:p w14:paraId="0ABA3A93">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4861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Merge w:val="continue"/>
            <w:shd w:val="clear" w:color="auto" w:fill="FFFFFF"/>
            <w:noWrap w:val="0"/>
            <w:vAlign w:val="center"/>
          </w:tcPr>
          <w:p w14:paraId="25078553">
            <w:pPr>
              <w:widowControl/>
              <w:adjustRightInd/>
              <w:spacing w:line="400" w:lineRule="exact"/>
              <w:contextualSpacing/>
              <w:rPr>
                <w:rFonts w:hint="eastAsia" w:ascii="宋体" w:hAnsi="宋体" w:cs="宋体"/>
                <w:color w:val="auto"/>
                <w:szCs w:val="21"/>
                <w:highlight w:val="none"/>
              </w:rPr>
            </w:pPr>
          </w:p>
        </w:tc>
        <w:tc>
          <w:tcPr>
            <w:tcW w:w="920" w:type="dxa"/>
            <w:vMerge w:val="continue"/>
            <w:shd w:val="clear" w:color="auto" w:fill="FFFFFF"/>
            <w:noWrap w:val="0"/>
            <w:vAlign w:val="center"/>
          </w:tcPr>
          <w:p w14:paraId="41892747">
            <w:pPr>
              <w:adjustRightInd/>
              <w:spacing w:line="400" w:lineRule="exact"/>
              <w:contextualSpacing/>
              <w:rPr>
                <w:rFonts w:hint="eastAsia" w:ascii="宋体" w:hAnsi="宋体" w:cs="宋体"/>
                <w:color w:val="auto"/>
                <w:szCs w:val="21"/>
                <w:highlight w:val="none"/>
              </w:rPr>
            </w:pPr>
          </w:p>
        </w:tc>
        <w:tc>
          <w:tcPr>
            <w:tcW w:w="7616" w:type="dxa"/>
            <w:gridSpan w:val="2"/>
            <w:shd w:val="clear" w:color="auto" w:fill="FFFFFF"/>
            <w:noWrap w:val="0"/>
            <w:vAlign w:val="center"/>
          </w:tcPr>
          <w:p w14:paraId="69587977">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（4）保洁作业方案（4分）：评标委员会对供应商提供的保洁作业方案进行评议</w:t>
            </w:r>
          </w:p>
          <w:p w14:paraId="5E6DEE72">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保洁作业方案内容齐全，且有科学合理的作业计划，可操作性强，得4分；</w:t>
            </w:r>
          </w:p>
          <w:p w14:paraId="4F0A67C6">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保洁作业方案内容比较齐全，作业计划比较合理，可操作性比较强的，得3.5分；</w:t>
            </w:r>
          </w:p>
          <w:p w14:paraId="7750C76C">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保洁作业方案内容齐全性尚可，作业计划合理性尚可，可操作性尚可的，得3分；</w:t>
            </w:r>
          </w:p>
          <w:p w14:paraId="402DD344">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保洁作业方案内容基本齐全，作业计划合理性一般，可操作性一般的，得2分；</w:t>
            </w:r>
          </w:p>
          <w:p w14:paraId="31146FC8">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保洁作业方案内容有不齐全或作业计划有欠缺的，得1分。</w:t>
            </w:r>
          </w:p>
          <w:p w14:paraId="3875A9EA">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未提供方案的不得分。</w:t>
            </w:r>
          </w:p>
        </w:tc>
        <w:tc>
          <w:tcPr>
            <w:tcW w:w="640" w:type="dxa"/>
            <w:shd w:val="clear" w:color="auto" w:fill="FFFFFF"/>
            <w:noWrap w:val="0"/>
            <w:vAlign w:val="center"/>
          </w:tcPr>
          <w:p w14:paraId="6FF62048">
            <w:pPr>
              <w:widowControl/>
              <w:adjustRightInd/>
              <w:spacing w:line="400" w:lineRule="exact"/>
              <w:contextualSpacing/>
              <w:jc w:val="center"/>
              <w:rPr>
                <w:rFonts w:ascii="宋体" w:hAnsi="宋体" w:cs="宋体"/>
                <w:color w:val="auto"/>
                <w:szCs w:val="21"/>
                <w:highlight w:val="none"/>
              </w:rPr>
            </w:pPr>
            <w:r>
              <w:rPr>
                <w:rFonts w:hint="eastAsia" w:ascii="宋体" w:hAnsi="宋体" w:cs="宋体"/>
                <w:color w:val="auto"/>
                <w:szCs w:val="21"/>
                <w:highlight w:val="none"/>
              </w:rPr>
              <w:t>4</w:t>
            </w:r>
          </w:p>
        </w:tc>
        <w:tc>
          <w:tcPr>
            <w:tcW w:w="640" w:type="dxa"/>
            <w:shd w:val="clear" w:color="auto" w:fill="FFFFFF"/>
            <w:noWrap w:val="0"/>
            <w:vAlign w:val="center"/>
          </w:tcPr>
          <w:p w14:paraId="20ECBC9F">
            <w:pPr>
              <w:widowControl/>
              <w:adjustRightInd/>
              <w:spacing w:line="400" w:lineRule="exact"/>
              <w:contextualSpacing/>
              <w:jc w:val="center"/>
              <w:rPr>
                <w:rFonts w:ascii="宋体" w:hAnsi="宋体" w:cs="宋体"/>
                <w:color w:val="auto"/>
                <w:szCs w:val="21"/>
                <w:highlight w:val="none"/>
              </w:rPr>
            </w:pPr>
            <w:r>
              <w:rPr>
                <w:rFonts w:hint="eastAsia" w:ascii="宋体" w:hAnsi="宋体" w:cs="宋体"/>
                <w:color w:val="auto"/>
                <w:szCs w:val="21"/>
                <w:highlight w:val="none"/>
              </w:rPr>
              <w:t>主观分</w:t>
            </w:r>
          </w:p>
        </w:tc>
      </w:tr>
      <w:tr w14:paraId="63CA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Merge w:val="continue"/>
            <w:shd w:val="clear" w:color="auto" w:fill="FFFFFF"/>
            <w:noWrap w:val="0"/>
            <w:vAlign w:val="center"/>
          </w:tcPr>
          <w:p w14:paraId="7B405396">
            <w:pPr>
              <w:widowControl/>
              <w:adjustRightInd/>
              <w:spacing w:line="400" w:lineRule="exact"/>
              <w:contextualSpacing/>
              <w:rPr>
                <w:rFonts w:hint="eastAsia" w:ascii="宋体" w:hAnsi="宋体" w:cs="宋体"/>
                <w:color w:val="auto"/>
                <w:szCs w:val="21"/>
                <w:highlight w:val="none"/>
              </w:rPr>
            </w:pPr>
          </w:p>
        </w:tc>
        <w:tc>
          <w:tcPr>
            <w:tcW w:w="920" w:type="dxa"/>
            <w:vMerge w:val="continue"/>
            <w:shd w:val="clear" w:color="auto" w:fill="FFFFFF"/>
            <w:noWrap w:val="0"/>
            <w:vAlign w:val="center"/>
          </w:tcPr>
          <w:p w14:paraId="723FC7C1">
            <w:pPr>
              <w:adjustRightInd/>
              <w:spacing w:line="400" w:lineRule="exact"/>
              <w:contextualSpacing/>
              <w:rPr>
                <w:rFonts w:hint="eastAsia" w:ascii="宋体" w:hAnsi="宋体" w:cs="宋体"/>
                <w:color w:val="auto"/>
                <w:szCs w:val="21"/>
                <w:highlight w:val="none"/>
              </w:rPr>
            </w:pPr>
          </w:p>
        </w:tc>
        <w:tc>
          <w:tcPr>
            <w:tcW w:w="7616" w:type="dxa"/>
            <w:gridSpan w:val="2"/>
            <w:shd w:val="clear" w:color="auto" w:fill="FFFFFF"/>
            <w:noWrap w:val="0"/>
            <w:vAlign w:val="center"/>
          </w:tcPr>
          <w:p w14:paraId="24ACEB2A">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（5）安全文明施工（4分）：根据投标人针对本项目提供的安全文明施工方案进行评议：</w:t>
            </w:r>
          </w:p>
          <w:p w14:paraId="718E3D53">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安全文明目标要求明确，保障方案内容详尽，得4分；</w:t>
            </w:r>
          </w:p>
          <w:p w14:paraId="18CD5CAC">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安全文明目标要求较明确，保障方案内容较详尽，得3.5分；</w:t>
            </w:r>
          </w:p>
          <w:p w14:paraId="4611913A">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安全文明目标要求明确性尚可，保障方案内容详尽程度尚可，得3分；</w:t>
            </w:r>
          </w:p>
          <w:p w14:paraId="6246325E">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安全文明目标要求明确性一般，保障方案内容详尽程度一般，得2分；</w:t>
            </w:r>
          </w:p>
          <w:p w14:paraId="223D8A32">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安全文明目标要求欠明确，保障方案内容欠详尽，得1分；</w:t>
            </w:r>
          </w:p>
          <w:p w14:paraId="01A190F1">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未提供的不得分。</w:t>
            </w:r>
          </w:p>
        </w:tc>
        <w:tc>
          <w:tcPr>
            <w:tcW w:w="640" w:type="dxa"/>
            <w:shd w:val="clear" w:color="auto" w:fill="FFFFFF"/>
            <w:noWrap w:val="0"/>
            <w:vAlign w:val="center"/>
          </w:tcPr>
          <w:p w14:paraId="01AC1A63">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640" w:type="dxa"/>
            <w:shd w:val="clear" w:color="auto" w:fill="FFFFFF"/>
            <w:noWrap w:val="0"/>
            <w:vAlign w:val="center"/>
          </w:tcPr>
          <w:p w14:paraId="53100378">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010D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Merge w:val="continue"/>
            <w:shd w:val="clear" w:color="auto" w:fill="FFFFFF"/>
            <w:noWrap w:val="0"/>
            <w:vAlign w:val="center"/>
          </w:tcPr>
          <w:p w14:paraId="454A7559">
            <w:pPr>
              <w:widowControl/>
              <w:adjustRightInd/>
              <w:spacing w:line="400" w:lineRule="exact"/>
              <w:contextualSpacing/>
              <w:rPr>
                <w:rFonts w:hint="eastAsia" w:ascii="宋体" w:hAnsi="宋体" w:cs="宋体"/>
                <w:color w:val="auto"/>
                <w:szCs w:val="21"/>
                <w:highlight w:val="none"/>
              </w:rPr>
            </w:pPr>
          </w:p>
        </w:tc>
        <w:tc>
          <w:tcPr>
            <w:tcW w:w="920" w:type="dxa"/>
            <w:vMerge w:val="continue"/>
            <w:shd w:val="clear" w:color="auto" w:fill="FFFFFF"/>
            <w:noWrap w:val="0"/>
            <w:vAlign w:val="center"/>
          </w:tcPr>
          <w:p w14:paraId="0433CA77">
            <w:pPr>
              <w:adjustRightInd/>
              <w:spacing w:line="400" w:lineRule="exact"/>
              <w:contextualSpacing/>
              <w:rPr>
                <w:rFonts w:hint="eastAsia" w:ascii="宋体" w:hAnsi="宋体" w:cs="宋体"/>
                <w:color w:val="auto"/>
                <w:szCs w:val="21"/>
                <w:highlight w:val="none"/>
              </w:rPr>
            </w:pPr>
          </w:p>
        </w:tc>
        <w:tc>
          <w:tcPr>
            <w:tcW w:w="7616" w:type="dxa"/>
            <w:gridSpan w:val="2"/>
            <w:shd w:val="clear" w:color="auto" w:fill="FFFFFF"/>
            <w:noWrap w:val="0"/>
            <w:vAlign w:val="center"/>
          </w:tcPr>
          <w:p w14:paraId="0BBE81D0">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（6）临时交通组织方案（4分）：根据投标人针对本项目提供的养护维修期间交通组织方案措施进行评议：</w:t>
            </w:r>
          </w:p>
          <w:p w14:paraId="638E3C29">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临时交通组织方案针对性强，现场人员与标识配置合理，得4分；</w:t>
            </w:r>
          </w:p>
          <w:p w14:paraId="55A007DC">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临时交通组织方案针对性较强，现场人员与标识配置比较合理，得3.5分；</w:t>
            </w:r>
          </w:p>
          <w:p w14:paraId="6481AF3A">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临时交通组织方案针对性尚可，现场人员与标识配置尚可，得3分；</w:t>
            </w:r>
          </w:p>
          <w:p w14:paraId="1D7DF455">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临时交通组织方案针对性一般，现场人员与标识配置合理性一般，得2分；</w:t>
            </w:r>
          </w:p>
          <w:p w14:paraId="33880D82">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临时交通组织方案针对性不足，现场人员与标识配置不够合理，得1分；</w:t>
            </w:r>
          </w:p>
          <w:p w14:paraId="45C697D7">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未提供的不得分。</w:t>
            </w:r>
          </w:p>
        </w:tc>
        <w:tc>
          <w:tcPr>
            <w:tcW w:w="640" w:type="dxa"/>
            <w:shd w:val="clear" w:color="auto" w:fill="FFFFFF"/>
            <w:noWrap w:val="0"/>
            <w:vAlign w:val="center"/>
          </w:tcPr>
          <w:p w14:paraId="74FA87DE">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640" w:type="dxa"/>
            <w:shd w:val="clear" w:color="auto" w:fill="FFFFFF"/>
            <w:noWrap w:val="0"/>
            <w:vAlign w:val="center"/>
          </w:tcPr>
          <w:p w14:paraId="382DC547">
            <w:pPr>
              <w:widowControl/>
              <w:adjustRightInd/>
              <w:spacing w:line="400" w:lineRule="exact"/>
              <w:contextualSpacing/>
              <w:jc w:val="center"/>
              <w:rPr>
                <w:rFonts w:ascii="宋体" w:hAnsi="宋体" w:cs="宋体"/>
                <w:color w:val="auto"/>
                <w:szCs w:val="21"/>
                <w:highlight w:val="none"/>
              </w:rPr>
            </w:pPr>
            <w:r>
              <w:rPr>
                <w:rFonts w:hint="eastAsia" w:ascii="宋体" w:hAnsi="宋体" w:cs="宋体"/>
                <w:color w:val="auto"/>
                <w:szCs w:val="21"/>
                <w:highlight w:val="none"/>
              </w:rPr>
              <w:t>主观分</w:t>
            </w:r>
          </w:p>
        </w:tc>
      </w:tr>
      <w:tr w14:paraId="70AF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Merge w:val="continue"/>
            <w:shd w:val="clear" w:color="auto" w:fill="FFFFFF"/>
            <w:noWrap w:val="0"/>
            <w:vAlign w:val="center"/>
          </w:tcPr>
          <w:p w14:paraId="479A5B08">
            <w:pPr>
              <w:widowControl/>
              <w:adjustRightInd/>
              <w:spacing w:line="400" w:lineRule="exact"/>
              <w:contextualSpacing/>
              <w:rPr>
                <w:rFonts w:hint="eastAsia" w:ascii="宋体" w:hAnsi="宋体" w:cs="宋体"/>
                <w:color w:val="auto"/>
                <w:szCs w:val="21"/>
                <w:highlight w:val="none"/>
              </w:rPr>
            </w:pPr>
          </w:p>
        </w:tc>
        <w:tc>
          <w:tcPr>
            <w:tcW w:w="920" w:type="dxa"/>
            <w:vMerge w:val="continue"/>
            <w:shd w:val="clear" w:color="auto" w:fill="FFFFFF"/>
            <w:noWrap w:val="0"/>
            <w:vAlign w:val="center"/>
          </w:tcPr>
          <w:p w14:paraId="1F8FD03D">
            <w:pPr>
              <w:adjustRightInd/>
              <w:spacing w:line="400" w:lineRule="exact"/>
              <w:contextualSpacing/>
              <w:rPr>
                <w:rFonts w:hint="eastAsia" w:ascii="宋体" w:hAnsi="宋体" w:cs="宋体"/>
                <w:color w:val="auto"/>
                <w:szCs w:val="21"/>
                <w:highlight w:val="none"/>
              </w:rPr>
            </w:pPr>
          </w:p>
        </w:tc>
        <w:tc>
          <w:tcPr>
            <w:tcW w:w="7616" w:type="dxa"/>
            <w:gridSpan w:val="2"/>
            <w:shd w:val="clear" w:color="auto" w:fill="FFFFFF"/>
            <w:noWrap w:val="0"/>
            <w:vAlign w:val="center"/>
          </w:tcPr>
          <w:p w14:paraId="7B8F1DC8">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（7）应急保障方案（4分）：针对项目期间可能发生的突发情况应对保障措施（包括检评活动保障、防汛防台、防雪抗冻、重大节日活动等）进行评议：</w:t>
            </w:r>
          </w:p>
          <w:p w14:paraId="367D7AE0">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应急保障方案合理完善、反应时间迅速、解决方案可行性强，得4分；</w:t>
            </w:r>
          </w:p>
          <w:p w14:paraId="12F8FE59">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应急保障方案较合理完善、反应时间较迅速、解决方案较可行，得3.5分；</w:t>
            </w:r>
          </w:p>
          <w:p w14:paraId="09B46021">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应急保障方案效果尚可、反应时间较快、解决方案尚可，得3分；</w:t>
            </w:r>
          </w:p>
          <w:p w14:paraId="07DC2161">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应急保障方案效果、反应时间、解决方案一般，得2分；</w:t>
            </w:r>
          </w:p>
          <w:p w14:paraId="1D272C7D">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应急保障方案有纰漏、反应时间较慢、解决方案效果不佳的得1分；</w:t>
            </w:r>
          </w:p>
          <w:p w14:paraId="59180227">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未提供的不得分。</w:t>
            </w:r>
          </w:p>
        </w:tc>
        <w:tc>
          <w:tcPr>
            <w:tcW w:w="640" w:type="dxa"/>
            <w:shd w:val="clear" w:color="auto" w:fill="FFFFFF"/>
            <w:noWrap w:val="0"/>
            <w:vAlign w:val="center"/>
          </w:tcPr>
          <w:p w14:paraId="6086CA73">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640" w:type="dxa"/>
            <w:shd w:val="clear" w:color="auto" w:fill="FFFFFF"/>
            <w:noWrap w:val="0"/>
            <w:vAlign w:val="center"/>
          </w:tcPr>
          <w:p w14:paraId="771F2E60">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0AC4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Merge w:val="continue"/>
            <w:shd w:val="clear" w:color="auto" w:fill="FFFFFF"/>
            <w:noWrap w:val="0"/>
            <w:vAlign w:val="center"/>
          </w:tcPr>
          <w:p w14:paraId="1B958B0E">
            <w:pPr>
              <w:widowControl/>
              <w:adjustRightInd/>
              <w:spacing w:line="400" w:lineRule="exact"/>
              <w:contextualSpacing/>
              <w:rPr>
                <w:rFonts w:hint="eastAsia" w:ascii="宋体" w:hAnsi="宋体" w:cs="宋体"/>
                <w:color w:val="auto"/>
                <w:szCs w:val="21"/>
                <w:highlight w:val="none"/>
              </w:rPr>
            </w:pPr>
          </w:p>
        </w:tc>
        <w:tc>
          <w:tcPr>
            <w:tcW w:w="920" w:type="dxa"/>
            <w:vMerge w:val="continue"/>
            <w:shd w:val="clear" w:color="auto" w:fill="FFFFFF"/>
            <w:noWrap w:val="0"/>
            <w:vAlign w:val="center"/>
          </w:tcPr>
          <w:p w14:paraId="5859B194">
            <w:pPr>
              <w:adjustRightInd/>
              <w:spacing w:line="400" w:lineRule="exact"/>
              <w:contextualSpacing/>
              <w:rPr>
                <w:rFonts w:hint="eastAsia" w:ascii="宋体" w:hAnsi="宋体" w:cs="宋体"/>
                <w:color w:val="auto"/>
                <w:szCs w:val="21"/>
                <w:highlight w:val="none"/>
              </w:rPr>
            </w:pPr>
          </w:p>
        </w:tc>
        <w:tc>
          <w:tcPr>
            <w:tcW w:w="7616" w:type="dxa"/>
            <w:gridSpan w:val="2"/>
            <w:shd w:val="clear" w:color="auto" w:fill="FFFFFF"/>
            <w:noWrap w:val="0"/>
            <w:vAlign w:val="center"/>
          </w:tcPr>
          <w:p w14:paraId="6BAE8C6B">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（8）项目质量保障方案（5分）：根据投标人提供的针对本项目提供的项目质量保障方案综合评议：</w:t>
            </w:r>
          </w:p>
          <w:p w14:paraId="12B014B1">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质量目标要求明确，保障措施内容详尽，得5分；</w:t>
            </w:r>
          </w:p>
          <w:p w14:paraId="5F182B6D">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质量目标要求较明确，保障方案内容较详尽，得4.5分；</w:t>
            </w:r>
          </w:p>
          <w:p w14:paraId="301A7FC1">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质量目标要求明确性尚可，保障方案内容详尽程度尚可，得4分；</w:t>
            </w:r>
          </w:p>
          <w:p w14:paraId="054F267C">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质量目标要求明确性一般，障方案内容详尽程度一般，得3分；</w:t>
            </w:r>
          </w:p>
          <w:p w14:paraId="333B9015">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质量目标要求欠明确，保障方案内容欠详尽，得2分；</w:t>
            </w:r>
          </w:p>
          <w:p w14:paraId="1F1C0B46">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未提供的不得分。</w:t>
            </w:r>
          </w:p>
        </w:tc>
        <w:tc>
          <w:tcPr>
            <w:tcW w:w="640" w:type="dxa"/>
            <w:shd w:val="clear" w:color="auto" w:fill="FFFFFF"/>
            <w:noWrap w:val="0"/>
            <w:vAlign w:val="center"/>
          </w:tcPr>
          <w:p w14:paraId="4177F166">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40" w:type="dxa"/>
            <w:shd w:val="clear" w:color="auto" w:fill="FFFFFF"/>
            <w:noWrap w:val="0"/>
            <w:vAlign w:val="center"/>
          </w:tcPr>
          <w:p w14:paraId="23F536F5">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09B0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Merge w:val="continue"/>
            <w:shd w:val="clear" w:color="auto" w:fill="FFFFFF"/>
            <w:noWrap w:val="0"/>
            <w:vAlign w:val="center"/>
          </w:tcPr>
          <w:p w14:paraId="5CC28B8F">
            <w:pPr>
              <w:widowControl/>
              <w:adjustRightInd/>
              <w:spacing w:line="400" w:lineRule="exact"/>
              <w:contextualSpacing/>
              <w:rPr>
                <w:rFonts w:hint="eastAsia" w:ascii="宋体" w:hAnsi="宋体" w:cs="宋体"/>
                <w:color w:val="auto"/>
                <w:szCs w:val="21"/>
                <w:highlight w:val="none"/>
              </w:rPr>
            </w:pPr>
          </w:p>
        </w:tc>
        <w:tc>
          <w:tcPr>
            <w:tcW w:w="920" w:type="dxa"/>
            <w:vMerge w:val="continue"/>
            <w:shd w:val="clear" w:color="auto" w:fill="FFFFFF"/>
            <w:noWrap w:val="0"/>
            <w:vAlign w:val="center"/>
          </w:tcPr>
          <w:p w14:paraId="7D89EF86">
            <w:pPr>
              <w:adjustRightInd/>
              <w:spacing w:line="400" w:lineRule="exact"/>
              <w:contextualSpacing/>
              <w:rPr>
                <w:rFonts w:hint="eastAsia" w:ascii="宋体" w:hAnsi="宋体" w:cs="宋体"/>
                <w:color w:val="auto"/>
                <w:szCs w:val="21"/>
                <w:highlight w:val="none"/>
              </w:rPr>
            </w:pPr>
          </w:p>
        </w:tc>
        <w:tc>
          <w:tcPr>
            <w:tcW w:w="7616" w:type="dxa"/>
            <w:gridSpan w:val="2"/>
            <w:shd w:val="clear" w:color="auto" w:fill="FFFFFF"/>
            <w:noWrap w:val="0"/>
            <w:vAlign w:val="center"/>
          </w:tcPr>
          <w:p w14:paraId="162DC826">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（9）内部管理方案（4分）：根据投标人针对本项目制定的内部管理制度进行评议（包含档案管理制度、内部考核制度、奖惩制度等）：</w:t>
            </w:r>
          </w:p>
          <w:p w14:paraId="22E60795">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内部管理制度全面，切实可行，得4分；</w:t>
            </w:r>
          </w:p>
          <w:p w14:paraId="32F639F8">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内部管理制度较全面、较可行，得3.5分；</w:t>
            </w:r>
          </w:p>
          <w:p w14:paraId="3A3B04DC">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内部管理制度全面性尚可、可行性尚可，得3分；</w:t>
            </w:r>
          </w:p>
          <w:p w14:paraId="332E2A96">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内部管理制度全面性一般、可行性一般，得2分；</w:t>
            </w:r>
          </w:p>
          <w:p w14:paraId="0971EA99">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内部管理制度不够全面、不够可行，得1分；</w:t>
            </w:r>
          </w:p>
          <w:p w14:paraId="2A9D88B2">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未提供的不得分。</w:t>
            </w:r>
          </w:p>
        </w:tc>
        <w:tc>
          <w:tcPr>
            <w:tcW w:w="640" w:type="dxa"/>
            <w:shd w:val="clear" w:color="auto" w:fill="FFFFFF"/>
            <w:noWrap w:val="0"/>
            <w:vAlign w:val="center"/>
          </w:tcPr>
          <w:p w14:paraId="390B4FA6">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640" w:type="dxa"/>
            <w:shd w:val="clear" w:color="auto" w:fill="FFFFFF"/>
            <w:noWrap w:val="0"/>
            <w:vAlign w:val="center"/>
          </w:tcPr>
          <w:p w14:paraId="057422FB">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0E47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Merge w:val="continue"/>
            <w:shd w:val="clear" w:color="auto" w:fill="FFFFFF"/>
            <w:noWrap w:val="0"/>
            <w:vAlign w:val="center"/>
          </w:tcPr>
          <w:p w14:paraId="1CFE449F">
            <w:pPr>
              <w:widowControl/>
              <w:adjustRightInd/>
              <w:spacing w:line="400" w:lineRule="exact"/>
              <w:contextualSpacing/>
              <w:rPr>
                <w:rFonts w:hint="eastAsia" w:ascii="宋体" w:hAnsi="宋体" w:cs="宋体"/>
                <w:color w:val="auto"/>
                <w:szCs w:val="21"/>
                <w:highlight w:val="none"/>
              </w:rPr>
            </w:pPr>
          </w:p>
        </w:tc>
        <w:tc>
          <w:tcPr>
            <w:tcW w:w="920" w:type="dxa"/>
            <w:vMerge w:val="continue"/>
            <w:shd w:val="clear" w:color="auto" w:fill="FFFFFF"/>
            <w:noWrap w:val="0"/>
            <w:vAlign w:val="center"/>
          </w:tcPr>
          <w:p w14:paraId="27BC4C8A">
            <w:pPr>
              <w:adjustRightInd/>
              <w:spacing w:line="400" w:lineRule="exact"/>
              <w:contextualSpacing/>
              <w:rPr>
                <w:rFonts w:hint="eastAsia" w:ascii="宋体" w:hAnsi="宋体" w:cs="宋体"/>
                <w:color w:val="auto"/>
                <w:szCs w:val="21"/>
                <w:highlight w:val="none"/>
              </w:rPr>
            </w:pPr>
          </w:p>
        </w:tc>
        <w:tc>
          <w:tcPr>
            <w:tcW w:w="7616" w:type="dxa"/>
            <w:gridSpan w:val="2"/>
            <w:shd w:val="clear" w:color="auto" w:fill="FFFFFF"/>
            <w:noWrap w:val="0"/>
            <w:vAlign w:val="center"/>
          </w:tcPr>
          <w:p w14:paraId="7E5213A0">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（10）养护技术（4分）：根据投标人提供的针对本项目拟采用的应用四新技术（新技术、新工艺、新材料、新设备）的建议进行评议：</w:t>
            </w:r>
          </w:p>
          <w:p w14:paraId="1AFE28A5">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四新技术应用建议符合项目实际情况，对项目实施有明显帮助的，得4分；</w:t>
            </w:r>
          </w:p>
          <w:p w14:paraId="3FA73A7E">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四新技术应用建议与项目实际情况关联度较好，对项目实施有一定帮助的，得3.5分；</w:t>
            </w:r>
          </w:p>
          <w:p w14:paraId="642CF2EC">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四新技术应用建议与项目实际情况关联度尚可，对项目实施有基本帮助的，得3分；</w:t>
            </w:r>
          </w:p>
          <w:p w14:paraId="2C407212">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四新技术应用符合项目建议与实际情况关联度一般，对项目实施帮助不够明显的，得2分。</w:t>
            </w:r>
          </w:p>
          <w:p w14:paraId="5F3A969C">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四新技术应用符合项目建议与实际情况关联度不高，对项目实施难以有帮助的，1分。</w:t>
            </w:r>
          </w:p>
          <w:p w14:paraId="55DA8604">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未提供方案的不得分。</w:t>
            </w:r>
          </w:p>
        </w:tc>
        <w:tc>
          <w:tcPr>
            <w:tcW w:w="640" w:type="dxa"/>
            <w:shd w:val="clear" w:color="auto" w:fill="FFFFFF"/>
            <w:noWrap w:val="0"/>
            <w:vAlign w:val="center"/>
          </w:tcPr>
          <w:p w14:paraId="67474A00">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640" w:type="dxa"/>
            <w:shd w:val="clear" w:color="auto" w:fill="FFFFFF"/>
            <w:noWrap w:val="0"/>
            <w:vAlign w:val="center"/>
          </w:tcPr>
          <w:p w14:paraId="36CAD0E3">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4CF7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0" w:type="dxa"/>
            <w:vMerge w:val="continue"/>
            <w:shd w:val="clear" w:color="auto" w:fill="FFFFFF"/>
            <w:noWrap w:val="0"/>
            <w:vAlign w:val="center"/>
          </w:tcPr>
          <w:p w14:paraId="41A29AD7">
            <w:pPr>
              <w:widowControl/>
              <w:adjustRightInd/>
              <w:spacing w:line="400" w:lineRule="exact"/>
              <w:contextualSpacing/>
              <w:jc w:val="left"/>
              <w:rPr>
                <w:rFonts w:hint="eastAsia" w:ascii="宋体" w:hAnsi="宋体" w:cs="宋体"/>
                <w:color w:val="auto"/>
                <w:szCs w:val="21"/>
                <w:highlight w:val="none"/>
              </w:rPr>
            </w:pPr>
          </w:p>
        </w:tc>
        <w:tc>
          <w:tcPr>
            <w:tcW w:w="920" w:type="dxa"/>
            <w:shd w:val="clear" w:color="auto" w:fill="FFFFFF"/>
            <w:noWrap w:val="0"/>
            <w:vAlign w:val="center"/>
          </w:tcPr>
          <w:p w14:paraId="5886A700">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3、重难点分析及相应的解决方法、措施（4分）</w:t>
            </w:r>
          </w:p>
        </w:tc>
        <w:tc>
          <w:tcPr>
            <w:tcW w:w="7616" w:type="dxa"/>
            <w:gridSpan w:val="2"/>
            <w:shd w:val="clear" w:color="auto" w:fill="FFFFFF"/>
            <w:noWrap w:val="0"/>
            <w:vAlign w:val="center"/>
          </w:tcPr>
          <w:p w14:paraId="0348AC15">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评标委员会对供应商针对本项目道路现状及养护重、难点分析进行评议（4分）：</w:t>
            </w:r>
          </w:p>
          <w:p w14:paraId="4B2F1A97">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重难点分析切合本项目、解决方法及措施可行，得4分；</w:t>
            </w:r>
          </w:p>
          <w:p w14:paraId="0E1AB2C8">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重难点分析较切合本项目、解决方法及措施较可行，得3.5分；</w:t>
            </w:r>
          </w:p>
          <w:p w14:paraId="69C0B4B6">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重难点分析较切合度尚可、解决方法及措施可行性尚可，得3分；</w:t>
            </w:r>
          </w:p>
          <w:p w14:paraId="65DEC763">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重难点分析切合度一般、解决方法及措施可行性一般，得2分；</w:t>
            </w:r>
          </w:p>
          <w:p w14:paraId="0918BA04">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重难点分析欠切合、解决方法及措施欠可行，得1分；</w:t>
            </w:r>
          </w:p>
          <w:p w14:paraId="18FD2AD0">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未提供的不得分。</w:t>
            </w:r>
          </w:p>
        </w:tc>
        <w:tc>
          <w:tcPr>
            <w:tcW w:w="640" w:type="dxa"/>
            <w:shd w:val="clear" w:color="auto" w:fill="FFFFFF"/>
            <w:noWrap w:val="0"/>
            <w:vAlign w:val="center"/>
          </w:tcPr>
          <w:p w14:paraId="5649546E">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640" w:type="dxa"/>
            <w:shd w:val="clear" w:color="auto" w:fill="FFFFFF"/>
            <w:noWrap w:val="0"/>
            <w:vAlign w:val="center"/>
          </w:tcPr>
          <w:p w14:paraId="0F28F824">
            <w:pPr>
              <w:widowControl/>
              <w:adjustRightInd/>
              <w:spacing w:line="400" w:lineRule="exact"/>
              <w:contextualSpacing/>
              <w:jc w:val="center"/>
              <w:rPr>
                <w:rFonts w:ascii="宋体" w:hAnsi="宋体" w:cs="宋体"/>
                <w:color w:val="auto"/>
                <w:szCs w:val="21"/>
                <w:highlight w:val="none"/>
              </w:rPr>
            </w:pPr>
            <w:r>
              <w:rPr>
                <w:rFonts w:hint="eastAsia" w:ascii="宋体" w:hAnsi="宋体" w:cs="宋体"/>
                <w:color w:val="auto"/>
                <w:szCs w:val="21"/>
                <w:highlight w:val="none"/>
              </w:rPr>
              <w:t>主观分</w:t>
            </w:r>
          </w:p>
        </w:tc>
      </w:tr>
      <w:tr w14:paraId="7405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0" w:type="dxa"/>
            <w:vMerge w:val="continue"/>
            <w:shd w:val="clear" w:color="auto" w:fill="FFFFFF"/>
            <w:noWrap w:val="0"/>
            <w:vAlign w:val="center"/>
          </w:tcPr>
          <w:p w14:paraId="58D5893F">
            <w:pPr>
              <w:widowControl/>
              <w:adjustRightInd/>
              <w:spacing w:line="400" w:lineRule="exact"/>
              <w:contextualSpacing/>
              <w:jc w:val="left"/>
              <w:rPr>
                <w:rFonts w:hint="eastAsia" w:ascii="宋体" w:hAnsi="宋体" w:cs="宋体"/>
                <w:color w:val="auto"/>
                <w:szCs w:val="21"/>
                <w:highlight w:val="none"/>
              </w:rPr>
            </w:pPr>
          </w:p>
        </w:tc>
        <w:tc>
          <w:tcPr>
            <w:tcW w:w="920" w:type="dxa"/>
            <w:shd w:val="clear" w:color="auto" w:fill="FFFFFF"/>
            <w:noWrap w:val="0"/>
            <w:vAlign w:val="center"/>
          </w:tcPr>
          <w:p w14:paraId="0A9514B4">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4、服务便捷性（5分）</w:t>
            </w:r>
          </w:p>
        </w:tc>
        <w:tc>
          <w:tcPr>
            <w:tcW w:w="7616" w:type="dxa"/>
            <w:gridSpan w:val="2"/>
            <w:shd w:val="clear" w:color="auto" w:fill="FFFFFF"/>
            <w:noWrap w:val="0"/>
            <w:vAlign w:val="center"/>
          </w:tcPr>
          <w:p w14:paraId="2C2B3845">
            <w:pPr>
              <w:adjustRightInd/>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根据投标人提供的服务的便捷性和服务响应速度等内容进行评议（5分）：</w:t>
            </w:r>
          </w:p>
          <w:p w14:paraId="2290D278">
            <w:pPr>
              <w:adjustRightInd/>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服务便捷程度高、响应速度快的得5分；</w:t>
            </w:r>
          </w:p>
          <w:p w14:paraId="5F0020C4">
            <w:pPr>
              <w:adjustRightInd/>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服务相对便捷，响应速度相对较快的得4.5分；</w:t>
            </w:r>
          </w:p>
          <w:p w14:paraId="0122590E">
            <w:pPr>
              <w:adjustRightInd/>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服务便捷程度尚可但基本能保障项目服务需求的得4分；</w:t>
            </w:r>
          </w:p>
          <w:p w14:paraId="6B0FA575">
            <w:pPr>
              <w:adjustRightInd/>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服务便捷程度一般但基本能保障项目服务需求的得3.5分；</w:t>
            </w:r>
          </w:p>
          <w:p w14:paraId="1EE4C647">
            <w:pPr>
              <w:adjustRightInd/>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服务便捷程度欠佳但基本能保障项目服务需求的得3分；</w:t>
            </w:r>
          </w:p>
          <w:p w14:paraId="24FBD9BB">
            <w:pPr>
              <w:adjustRightInd/>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服务便捷性低、服务质量保障较差，机构设置不稳定的得2分。</w:t>
            </w:r>
          </w:p>
          <w:p w14:paraId="7D237972">
            <w:pPr>
              <w:adjustRightInd/>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未提供的不得分。</w:t>
            </w:r>
          </w:p>
          <w:p w14:paraId="7C82669E">
            <w:pPr>
              <w:adjustRightInd/>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注：投标文件中提供：如自有服务场所，提供房产证复印件加盖投标人公章；如租赁，提供租赁合同复印件加盖投标人公章。</w:t>
            </w:r>
          </w:p>
        </w:tc>
        <w:tc>
          <w:tcPr>
            <w:tcW w:w="640" w:type="dxa"/>
            <w:shd w:val="clear" w:color="auto" w:fill="FFFFFF"/>
            <w:noWrap w:val="0"/>
            <w:vAlign w:val="center"/>
          </w:tcPr>
          <w:p w14:paraId="73D783AA">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40" w:type="dxa"/>
            <w:shd w:val="clear" w:color="auto" w:fill="FFFFFF"/>
            <w:noWrap w:val="0"/>
            <w:vAlign w:val="center"/>
          </w:tcPr>
          <w:p w14:paraId="5AF0AF19">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9E7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vMerge w:val="continue"/>
            <w:shd w:val="clear" w:color="auto" w:fill="FFFFFF"/>
            <w:noWrap w:val="0"/>
            <w:vAlign w:val="center"/>
          </w:tcPr>
          <w:p w14:paraId="4D04BC0A">
            <w:pPr>
              <w:widowControl/>
              <w:adjustRightInd/>
              <w:spacing w:line="400" w:lineRule="exact"/>
              <w:contextualSpacing/>
              <w:jc w:val="left"/>
              <w:rPr>
                <w:rFonts w:hint="eastAsia" w:ascii="宋体" w:hAnsi="宋体" w:cs="宋体"/>
                <w:color w:val="auto"/>
                <w:szCs w:val="21"/>
                <w:highlight w:val="none"/>
              </w:rPr>
            </w:pPr>
          </w:p>
        </w:tc>
        <w:tc>
          <w:tcPr>
            <w:tcW w:w="920" w:type="dxa"/>
            <w:shd w:val="clear" w:color="auto" w:fill="FFFFFF"/>
            <w:noWrap w:val="0"/>
            <w:vAlign w:val="center"/>
          </w:tcPr>
          <w:p w14:paraId="40F70A42">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5、设备设施（5分）</w:t>
            </w:r>
          </w:p>
        </w:tc>
        <w:tc>
          <w:tcPr>
            <w:tcW w:w="7616" w:type="dxa"/>
            <w:gridSpan w:val="2"/>
            <w:shd w:val="clear" w:color="auto" w:fill="FFFFFF"/>
            <w:noWrap w:val="0"/>
            <w:vAlign w:val="center"/>
          </w:tcPr>
          <w:p w14:paraId="1D40AF9B">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针对投标人机械、车辆、设备管理方案的配置方案、管理计划进行评议：</w:t>
            </w:r>
          </w:p>
          <w:p w14:paraId="11BA398B">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配置方案内容清晰、管理计划可行，得5分；</w:t>
            </w:r>
          </w:p>
          <w:p w14:paraId="3B5168F6">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配置方案内容较清晰、管理计划较可行，得4.5分；</w:t>
            </w:r>
          </w:p>
          <w:p w14:paraId="3A4578A4">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配置方案内容清晰度尚可、管理计划可行性尚可，得4分；</w:t>
            </w:r>
          </w:p>
          <w:p w14:paraId="1760E5F0">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配置方案内容清晰度一般、管理计划可行性一般，得3.5分；</w:t>
            </w:r>
          </w:p>
          <w:p w14:paraId="2EF61D46">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配置方案内容欠清晰、管理计划欠可行，得3分；</w:t>
            </w:r>
          </w:p>
          <w:p w14:paraId="16C27E4D">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配置方案内容不够清晰、管理计划不够可行，得2分；</w:t>
            </w:r>
          </w:p>
          <w:p w14:paraId="46A026B0">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未提供的不得分。</w:t>
            </w:r>
          </w:p>
        </w:tc>
        <w:tc>
          <w:tcPr>
            <w:tcW w:w="640" w:type="dxa"/>
            <w:shd w:val="clear" w:color="auto" w:fill="FFFFFF"/>
            <w:noWrap w:val="0"/>
            <w:vAlign w:val="center"/>
          </w:tcPr>
          <w:p w14:paraId="051197C1">
            <w:pPr>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40" w:type="dxa"/>
            <w:shd w:val="clear" w:color="auto" w:fill="FFFFFF"/>
            <w:noWrap w:val="0"/>
            <w:vAlign w:val="center"/>
          </w:tcPr>
          <w:p w14:paraId="3A76FEB4">
            <w:pPr>
              <w:adjustRightInd/>
              <w:spacing w:line="400" w:lineRule="exact"/>
              <w:contextualSpacing/>
              <w:jc w:val="center"/>
              <w:rPr>
                <w:rFonts w:ascii="宋体" w:hAnsi="宋体" w:cs="宋体"/>
                <w:color w:val="auto"/>
                <w:szCs w:val="21"/>
                <w:highlight w:val="none"/>
              </w:rPr>
            </w:pPr>
            <w:r>
              <w:rPr>
                <w:rFonts w:hint="eastAsia" w:ascii="宋体" w:hAnsi="宋体" w:cs="宋体"/>
                <w:color w:val="auto"/>
                <w:szCs w:val="21"/>
                <w:highlight w:val="none"/>
              </w:rPr>
              <w:t>主观分</w:t>
            </w:r>
          </w:p>
        </w:tc>
      </w:tr>
      <w:tr w14:paraId="1719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vMerge w:val="continue"/>
            <w:shd w:val="clear" w:color="auto" w:fill="FFFFFF"/>
            <w:noWrap w:val="0"/>
            <w:vAlign w:val="center"/>
          </w:tcPr>
          <w:p w14:paraId="7F37FD02">
            <w:pPr>
              <w:widowControl/>
              <w:adjustRightInd/>
              <w:spacing w:line="400" w:lineRule="exact"/>
              <w:contextualSpacing/>
              <w:jc w:val="left"/>
              <w:rPr>
                <w:rFonts w:hint="eastAsia" w:ascii="宋体" w:hAnsi="宋体" w:cs="宋体"/>
                <w:color w:val="auto"/>
                <w:szCs w:val="21"/>
                <w:highlight w:val="none"/>
              </w:rPr>
            </w:pPr>
          </w:p>
        </w:tc>
        <w:tc>
          <w:tcPr>
            <w:tcW w:w="920" w:type="dxa"/>
            <w:vMerge w:val="restart"/>
            <w:shd w:val="clear" w:color="auto" w:fill="FFFFFF"/>
            <w:noWrap w:val="0"/>
            <w:vAlign w:val="center"/>
          </w:tcPr>
          <w:p w14:paraId="18B4ECAF">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6、拟投入人员情况（12分）</w:t>
            </w:r>
          </w:p>
        </w:tc>
        <w:tc>
          <w:tcPr>
            <w:tcW w:w="7616" w:type="dxa"/>
            <w:gridSpan w:val="2"/>
            <w:shd w:val="clear" w:color="auto" w:fill="FFFFFF"/>
            <w:noWrap w:val="0"/>
            <w:vAlign w:val="center"/>
          </w:tcPr>
          <w:p w14:paraId="0A6CC7FC">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1）针对本项目拟配备项目组人员方案的岗位设置、专业水平、经验进行评议（5分）：</w:t>
            </w:r>
          </w:p>
          <w:p w14:paraId="48829106">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岗位配置合理、专业水平强，得5分；</w:t>
            </w:r>
          </w:p>
          <w:p w14:paraId="281D1F35">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岗位配置较合理、专业水平较强，得4.5分；</w:t>
            </w:r>
          </w:p>
          <w:p w14:paraId="16F4A088">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岗位配置合理性尚可、专业水平尚可，得4分；</w:t>
            </w:r>
          </w:p>
          <w:p w14:paraId="507917BE">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岗位配置合理性一般、专业水平一般，得3.5分；</w:t>
            </w:r>
          </w:p>
          <w:p w14:paraId="49D5E0E9">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岗位配置欠合理、专业水平欠缺，得3分；</w:t>
            </w:r>
          </w:p>
          <w:p w14:paraId="7902455E">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岗位配置不够合理、专业水平不强，得2分；</w:t>
            </w:r>
          </w:p>
          <w:p w14:paraId="400EF1C1">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未提供的不得分。</w:t>
            </w:r>
          </w:p>
        </w:tc>
        <w:tc>
          <w:tcPr>
            <w:tcW w:w="640" w:type="dxa"/>
            <w:shd w:val="clear" w:color="auto" w:fill="FFFFFF"/>
            <w:noWrap w:val="0"/>
            <w:vAlign w:val="center"/>
          </w:tcPr>
          <w:p w14:paraId="59E7AFEC">
            <w:pPr>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40" w:type="dxa"/>
            <w:shd w:val="clear" w:color="auto" w:fill="FFFFFF"/>
            <w:noWrap w:val="0"/>
            <w:vAlign w:val="center"/>
          </w:tcPr>
          <w:p w14:paraId="6F4323D6">
            <w:pPr>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4F2B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vMerge w:val="continue"/>
            <w:shd w:val="clear" w:color="auto" w:fill="FFFFFF"/>
            <w:noWrap w:val="0"/>
            <w:vAlign w:val="center"/>
          </w:tcPr>
          <w:p w14:paraId="28099E9D">
            <w:pPr>
              <w:widowControl/>
              <w:adjustRightInd/>
              <w:spacing w:line="400" w:lineRule="exact"/>
              <w:contextualSpacing/>
              <w:jc w:val="left"/>
              <w:rPr>
                <w:rFonts w:hint="eastAsia" w:ascii="宋体" w:hAnsi="宋体" w:cs="宋体"/>
                <w:color w:val="auto"/>
                <w:szCs w:val="21"/>
                <w:highlight w:val="none"/>
              </w:rPr>
            </w:pPr>
          </w:p>
        </w:tc>
        <w:tc>
          <w:tcPr>
            <w:tcW w:w="920" w:type="dxa"/>
            <w:vMerge w:val="continue"/>
            <w:shd w:val="clear" w:color="auto" w:fill="FFFFFF"/>
            <w:noWrap w:val="0"/>
            <w:vAlign w:val="center"/>
          </w:tcPr>
          <w:p w14:paraId="71836FF5">
            <w:pPr>
              <w:widowControl/>
              <w:adjustRightInd/>
              <w:spacing w:line="400" w:lineRule="exact"/>
              <w:contextualSpacing/>
              <w:rPr>
                <w:rFonts w:hint="eastAsia" w:ascii="宋体" w:hAnsi="宋体" w:cs="宋体"/>
                <w:color w:val="auto"/>
                <w:szCs w:val="21"/>
                <w:highlight w:val="none"/>
              </w:rPr>
            </w:pPr>
          </w:p>
        </w:tc>
        <w:tc>
          <w:tcPr>
            <w:tcW w:w="7616" w:type="dxa"/>
            <w:gridSpan w:val="2"/>
            <w:shd w:val="clear" w:color="auto" w:fill="FFFFFF"/>
            <w:noWrap w:val="0"/>
            <w:vAlign w:val="center"/>
          </w:tcPr>
          <w:p w14:paraId="0C753F6A">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2）根据投标人针对本项目的人员培训方案、合同执行期间的人员数量保障方案、人员安全保障措施、人员管理规范等进行评议（5分）：</w:t>
            </w:r>
          </w:p>
          <w:p w14:paraId="769DD767">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培训、保障方案全面，安全保障措施、管理规范可行，得5分；</w:t>
            </w:r>
          </w:p>
          <w:p w14:paraId="7F926657">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培训、保障方案较全面、安全保障措施、管理规范较可行，得4.5分；</w:t>
            </w:r>
          </w:p>
          <w:p w14:paraId="1E6BEFB3">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培训、保障方案全面性尚可、安全保障措施、管理规范可行性尚可，得4分；</w:t>
            </w:r>
          </w:p>
          <w:p w14:paraId="68977EF6">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培训、保障方案全面性一般、安全保障措施、管理规范可行性一般，得3.5分；</w:t>
            </w:r>
          </w:p>
          <w:p w14:paraId="41F1465A">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培训、保障方案欠全面、安全保障措施、管理规范欠可行，得3分；</w:t>
            </w:r>
          </w:p>
          <w:p w14:paraId="39C1FA5E">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培训、保障方案不够全面、安全保障措施、管理规范不够可行，得2分；</w:t>
            </w:r>
          </w:p>
          <w:p w14:paraId="263FF582">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未提供的不得分。</w:t>
            </w:r>
          </w:p>
        </w:tc>
        <w:tc>
          <w:tcPr>
            <w:tcW w:w="640" w:type="dxa"/>
            <w:shd w:val="clear" w:color="auto" w:fill="FFFFFF"/>
            <w:noWrap w:val="0"/>
            <w:vAlign w:val="center"/>
          </w:tcPr>
          <w:p w14:paraId="620F91FF">
            <w:pPr>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40" w:type="dxa"/>
            <w:shd w:val="clear" w:color="auto" w:fill="FFFFFF"/>
            <w:noWrap w:val="0"/>
            <w:vAlign w:val="center"/>
          </w:tcPr>
          <w:p w14:paraId="79197722">
            <w:pPr>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044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40" w:type="dxa"/>
            <w:vMerge w:val="continue"/>
            <w:shd w:val="clear" w:color="auto" w:fill="FFFFFF"/>
            <w:noWrap w:val="0"/>
            <w:vAlign w:val="center"/>
          </w:tcPr>
          <w:p w14:paraId="00F1BCFC">
            <w:pPr>
              <w:widowControl/>
              <w:adjustRightInd/>
              <w:spacing w:line="400" w:lineRule="exact"/>
              <w:contextualSpacing/>
              <w:jc w:val="left"/>
              <w:rPr>
                <w:rFonts w:hint="eastAsia" w:ascii="宋体" w:hAnsi="宋体" w:cs="宋体"/>
                <w:color w:val="auto"/>
                <w:szCs w:val="21"/>
                <w:highlight w:val="none"/>
              </w:rPr>
            </w:pPr>
          </w:p>
        </w:tc>
        <w:tc>
          <w:tcPr>
            <w:tcW w:w="920" w:type="dxa"/>
            <w:vMerge w:val="continue"/>
            <w:shd w:val="clear" w:color="auto" w:fill="FFFFFF"/>
            <w:noWrap w:val="0"/>
            <w:vAlign w:val="center"/>
          </w:tcPr>
          <w:p w14:paraId="74FD0728">
            <w:pPr>
              <w:widowControl/>
              <w:adjustRightInd/>
              <w:spacing w:line="400" w:lineRule="exact"/>
              <w:contextualSpacing/>
              <w:rPr>
                <w:rFonts w:hint="eastAsia" w:ascii="宋体" w:hAnsi="宋体" w:cs="宋体"/>
                <w:color w:val="auto"/>
                <w:szCs w:val="21"/>
                <w:highlight w:val="none"/>
              </w:rPr>
            </w:pPr>
          </w:p>
        </w:tc>
        <w:tc>
          <w:tcPr>
            <w:tcW w:w="5009" w:type="dxa"/>
            <w:vMerge w:val="restart"/>
            <w:shd w:val="clear" w:color="auto" w:fill="FFFFFF"/>
            <w:noWrap w:val="0"/>
            <w:vAlign w:val="center"/>
          </w:tcPr>
          <w:p w14:paraId="08231A5E">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）投标人拟派项目经理情况（</w:t>
            </w:r>
            <w:r>
              <w:rPr>
                <w:rFonts w:ascii="宋体" w:hAnsi="宋体" w:cs="宋体"/>
                <w:color w:val="auto"/>
                <w:szCs w:val="21"/>
                <w:highlight w:val="none"/>
              </w:rPr>
              <w:t>2</w:t>
            </w:r>
            <w:r>
              <w:rPr>
                <w:rFonts w:hint="eastAsia" w:ascii="宋体" w:hAnsi="宋体" w:cs="宋体"/>
                <w:color w:val="auto"/>
                <w:szCs w:val="21"/>
                <w:highlight w:val="none"/>
              </w:rPr>
              <w:t>分）：注：1）投标文件中提供职称证书复印件加盖公章。2）项目技术负责人和项目经理不能为同一人，若为同一人的，本项不得分。3）投标文件中提供职称证书复印件加盖公章以及投标人为上述项目经理缴纳的由社保部门出具的近开标日3个月的有效社保证明复印件加盖公章。</w:t>
            </w:r>
          </w:p>
        </w:tc>
        <w:tc>
          <w:tcPr>
            <w:tcW w:w="2607" w:type="dxa"/>
            <w:shd w:val="clear" w:color="auto" w:fill="FFFFFF"/>
            <w:noWrap w:val="0"/>
            <w:vAlign w:val="center"/>
          </w:tcPr>
          <w:p w14:paraId="10606327">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1）拟派项目经理具有市政相关专业高级工程师及以上职称的得1分。</w:t>
            </w:r>
          </w:p>
        </w:tc>
        <w:tc>
          <w:tcPr>
            <w:tcW w:w="640" w:type="dxa"/>
            <w:shd w:val="clear" w:color="auto" w:fill="FFFFFF"/>
            <w:noWrap w:val="0"/>
            <w:vAlign w:val="center"/>
          </w:tcPr>
          <w:p w14:paraId="51FB6771">
            <w:pPr>
              <w:adjustRightInd/>
              <w:spacing w:line="400" w:lineRule="exact"/>
              <w:contextualSpacing/>
              <w:jc w:val="center"/>
              <w:rPr>
                <w:rFonts w:ascii="宋体" w:hAnsi="宋体" w:cs="宋体"/>
                <w:color w:val="auto"/>
                <w:szCs w:val="21"/>
                <w:highlight w:val="none"/>
              </w:rPr>
            </w:pPr>
            <w:r>
              <w:rPr>
                <w:rFonts w:hint="eastAsia" w:ascii="宋体" w:hAnsi="宋体" w:cs="宋体"/>
                <w:color w:val="auto"/>
                <w:szCs w:val="21"/>
                <w:highlight w:val="none"/>
              </w:rPr>
              <w:t>1</w:t>
            </w:r>
          </w:p>
        </w:tc>
        <w:tc>
          <w:tcPr>
            <w:tcW w:w="640" w:type="dxa"/>
            <w:vMerge w:val="restart"/>
            <w:shd w:val="clear" w:color="auto" w:fill="FFFFFF"/>
            <w:noWrap w:val="0"/>
            <w:vAlign w:val="center"/>
          </w:tcPr>
          <w:p w14:paraId="23A4B59A">
            <w:pPr>
              <w:adjustRightInd/>
              <w:spacing w:line="400" w:lineRule="exact"/>
              <w:contextualSpacing/>
              <w:jc w:val="center"/>
              <w:rPr>
                <w:rFonts w:ascii="宋体" w:hAnsi="宋体" w:cs="宋体"/>
                <w:color w:val="auto"/>
                <w:szCs w:val="21"/>
                <w:highlight w:val="none"/>
              </w:rPr>
            </w:pPr>
            <w:r>
              <w:rPr>
                <w:rFonts w:hint="eastAsia" w:ascii="宋体" w:hAnsi="宋体" w:cs="宋体"/>
                <w:color w:val="auto"/>
                <w:szCs w:val="21"/>
                <w:highlight w:val="none"/>
              </w:rPr>
              <w:t>客观分</w:t>
            </w:r>
          </w:p>
        </w:tc>
      </w:tr>
      <w:tr w14:paraId="1A78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40" w:type="dxa"/>
            <w:vMerge w:val="continue"/>
            <w:shd w:val="clear" w:color="auto" w:fill="FFFFFF"/>
            <w:noWrap w:val="0"/>
            <w:vAlign w:val="center"/>
          </w:tcPr>
          <w:p w14:paraId="11818863">
            <w:pPr>
              <w:adjustRightInd/>
              <w:spacing w:line="400" w:lineRule="exact"/>
              <w:jc w:val="left"/>
              <w:rPr>
                <w:color w:val="auto"/>
                <w:highlight w:val="none"/>
              </w:rPr>
            </w:pPr>
          </w:p>
        </w:tc>
        <w:tc>
          <w:tcPr>
            <w:tcW w:w="920" w:type="dxa"/>
            <w:vMerge w:val="continue"/>
            <w:shd w:val="clear" w:color="auto" w:fill="FFFFFF"/>
            <w:noWrap w:val="0"/>
            <w:vAlign w:val="center"/>
          </w:tcPr>
          <w:p w14:paraId="6B4F6260">
            <w:pPr>
              <w:adjustRightInd/>
              <w:spacing w:line="400" w:lineRule="exact"/>
              <w:jc w:val="left"/>
              <w:rPr>
                <w:color w:val="auto"/>
                <w:highlight w:val="none"/>
              </w:rPr>
            </w:pPr>
          </w:p>
        </w:tc>
        <w:tc>
          <w:tcPr>
            <w:tcW w:w="5009" w:type="dxa"/>
            <w:vMerge w:val="continue"/>
            <w:shd w:val="clear" w:color="auto" w:fill="FFFFFF"/>
            <w:noWrap w:val="0"/>
            <w:vAlign w:val="center"/>
          </w:tcPr>
          <w:p w14:paraId="429AF76F">
            <w:pPr>
              <w:adjustRightInd/>
              <w:spacing w:line="400" w:lineRule="exact"/>
              <w:jc w:val="left"/>
              <w:rPr>
                <w:color w:val="auto"/>
                <w:highlight w:val="none"/>
              </w:rPr>
            </w:pPr>
          </w:p>
        </w:tc>
        <w:tc>
          <w:tcPr>
            <w:tcW w:w="2607" w:type="dxa"/>
            <w:shd w:val="clear" w:color="auto" w:fill="FFFFFF"/>
            <w:noWrap w:val="0"/>
            <w:vAlign w:val="center"/>
          </w:tcPr>
          <w:p w14:paraId="78020776">
            <w:pPr>
              <w:adjustRightInd/>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2）拟派项目经理为市政公用工程一级注册建造师的得1分。</w:t>
            </w:r>
          </w:p>
        </w:tc>
        <w:tc>
          <w:tcPr>
            <w:tcW w:w="640" w:type="dxa"/>
            <w:shd w:val="clear" w:color="auto" w:fill="FFFFFF"/>
            <w:noWrap w:val="0"/>
            <w:vAlign w:val="center"/>
          </w:tcPr>
          <w:p w14:paraId="032CAA4C">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40" w:type="dxa"/>
            <w:vMerge w:val="continue"/>
            <w:shd w:val="clear" w:color="auto" w:fill="FFFFFF"/>
            <w:noWrap w:val="0"/>
            <w:vAlign w:val="center"/>
          </w:tcPr>
          <w:p w14:paraId="5F783F7F">
            <w:pPr>
              <w:adjustRightInd/>
              <w:spacing w:line="400" w:lineRule="exact"/>
              <w:jc w:val="left"/>
              <w:rPr>
                <w:rFonts w:hint="eastAsia" w:ascii="宋体" w:hAnsi="宋体" w:cs="宋体"/>
                <w:color w:val="auto"/>
                <w:szCs w:val="21"/>
                <w:highlight w:val="none"/>
              </w:rPr>
            </w:pPr>
          </w:p>
        </w:tc>
      </w:tr>
      <w:tr w14:paraId="04A7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vMerge w:val="continue"/>
            <w:shd w:val="clear" w:color="auto" w:fill="FFFFFF"/>
            <w:noWrap w:val="0"/>
            <w:vAlign w:val="center"/>
          </w:tcPr>
          <w:p w14:paraId="3D28787F">
            <w:pPr>
              <w:widowControl/>
              <w:adjustRightInd/>
              <w:spacing w:line="400" w:lineRule="exact"/>
              <w:contextualSpacing/>
              <w:jc w:val="left"/>
              <w:rPr>
                <w:rFonts w:hint="eastAsia" w:ascii="宋体" w:hAnsi="宋体" w:cs="宋体"/>
                <w:color w:val="auto"/>
                <w:szCs w:val="21"/>
                <w:highlight w:val="none"/>
              </w:rPr>
            </w:pPr>
          </w:p>
        </w:tc>
        <w:tc>
          <w:tcPr>
            <w:tcW w:w="920" w:type="dxa"/>
            <w:shd w:val="clear" w:color="auto" w:fill="FFFFFF"/>
            <w:noWrap w:val="0"/>
            <w:vAlign w:val="center"/>
          </w:tcPr>
          <w:p w14:paraId="42046011">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7、体系认证（3分）</w:t>
            </w:r>
          </w:p>
        </w:tc>
        <w:tc>
          <w:tcPr>
            <w:tcW w:w="7616" w:type="dxa"/>
            <w:gridSpan w:val="2"/>
            <w:shd w:val="clear" w:color="auto" w:fill="FFFFFF"/>
            <w:noWrap w:val="0"/>
            <w:vAlign w:val="center"/>
          </w:tcPr>
          <w:p w14:paraId="30D7F0C8">
            <w:pPr>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投标人具有有效的质量管理体系认证证书的得1分，具有有效的环境管理体系认证证书的得1分，具有有效的职业健康安全管理体系认证证书的得1分，满分3分。注：投标文件中提供上述证书复印件加盖公章，未提供或提供无效的不得分。</w:t>
            </w:r>
          </w:p>
        </w:tc>
        <w:tc>
          <w:tcPr>
            <w:tcW w:w="640" w:type="dxa"/>
            <w:shd w:val="clear" w:color="auto" w:fill="FFFFFF"/>
            <w:noWrap w:val="0"/>
            <w:vAlign w:val="center"/>
          </w:tcPr>
          <w:p w14:paraId="3B921C87">
            <w:pPr>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640" w:type="dxa"/>
            <w:shd w:val="clear" w:color="auto" w:fill="FFFFFF"/>
            <w:noWrap w:val="0"/>
            <w:vAlign w:val="center"/>
          </w:tcPr>
          <w:p w14:paraId="3FB618D1">
            <w:pPr>
              <w:adjustRightInd/>
              <w:spacing w:line="400" w:lineRule="exact"/>
              <w:contextualSpacing/>
              <w:jc w:val="center"/>
              <w:rPr>
                <w:rFonts w:ascii="宋体" w:hAnsi="宋体" w:cs="宋体"/>
                <w:color w:val="auto"/>
                <w:szCs w:val="21"/>
                <w:highlight w:val="none"/>
              </w:rPr>
            </w:pPr>
            <w:r>
              <w:rPr>
                <w:rFonts w:hint="eastAsia" w:ascii="宋体" w:hAnsi="宋体" w:cs="宋体"/>
                <w:color w:val="auto"/>
                <w:szCs w:val="21"/>
                <w:highlight w:val="none"/>
              </w:rPr>
              <w:t>客观分</w:t>
            </w:r>
          </w:p>
        </w:tc>
      </w:tr>
      <w:tr w14:paraId="4918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0" w:type="dxa"/>
            <w:vMerge w:val="continue"/>
            <w:shd w:val="clear" w:color="auto" w:fill="FFFFFF"/>
            <w:noWrap w:val="0"/>
            <w:vAlign w:val="center"/>
          </w:tcPr>
          <w:p w14:paraId="67894CA2">
            <w:pPr>
              <w:widowControl/>
              <w:adjustRightInd/>
              <w:spacing w:line="400" w:lineRule="exact"/>
              <w:contextualSpacing/>
              <w:jc w:val="left"/>
              <w:rPr>
                <w:rFonts w:hint="eastAsia" w:ascii="宋体" w:hAnsi="宋体" w:cs="宋体"/>
                <w:color w:val="auto"/>
                <w:szCs w:val="21"/>
                <w:highlight w:val="none"/>
              </w:rPr>
            </w:pPr>
          </w:p>
        </w:tc>
        <w:tc>
          <w:tcPr>
            <w:tcW w:w="920" w:type="dxa"/>
            <w:shd w:val="clear" w:color="auto" w:fill="FFFFFF"/>
            <w:noWrap w:val="0"/>
            <w:vAlign w:val="center"/>
          </w:tcPr>
          <w:p w14:paraId="06D23A5A">
            <w:pPr>
              <w:widowControl/>
              <w:numPr>
                <w:ilvl w:val="0"/>
                <w:numId w:val="6"/>
              </w:numPr>
              <w:adjustRightInd/>
              <w:spacing w:line="400" w:lineRule="exact"/>
              <w:contextualSpacing/>
              <w:rPr>
                <w:rFonts w:hint="eastAsia" w:ascii="宋体" w:hAnsi="宋体" w:cs="宋体"/>
                <w:color w:val="auto"/>
                <w:szCs w:val="21"/>
                <w:highlight w:val="none"/>
              </w:rPr>
            </w:pPr>
            <w:bookmarkStart w:id="65" w:name="_Hlk80887742"/>
            <w:r>
              <w:rPr>
                <w:rFonts w:hint="eastAsia" w:ascii="宋体" w:hAnsi="宋体" w:cs="宋体"/>
                <w:color w:val="auto"/>
                <w:szCs w:val="21"/>
                <w:highlight w:val="none"/>
              </w:rPr>
              <w:t>业绩</w:t>
            </w:r>
          </w:p>
          <w:p w14:paraId="078431E2">
            <w:pPr>
              <w:widowControl/>
              <w:adjustRightInd/>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（2分）</w:t>
            </w:r>
            <w:bookmarkEnd w:id="65"/>
          </w:p>
        </w:tc>
        <w:tc>
          <w:tcPr>
            <w:tcW w:w="7616" w:type="dxa"/>
            <w:gridSpan w:val="2"/>
            <w:shd w:val="clear" w:color="auto" w:fill="FFFFFF"/>
            <w:noWrap w:val="0"/>
            <w:vAlign w:val="center"/>
          </w:tcPr>
          <w:p w14:paraId="0D98231B">
            <w:pPr>
              <w:adjustRightInd/>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年01月01日至今（以合同签订日期为准），供应商具有市政设施养护（合同内容必须包含市政道路</w:t>
            </w:r>
            <w:r>
              <w:rPr>
                <w:rFonts w:hint="eastAsia" w:ascii="宋体" w:hAnsi="宋体" w:cs="宋体"/>
                <w:color w:val="auto"/>
                <w:szCs w:val="21"/>
                <w:highlight w:val="none"/>
                <w:lang w:val="en-US" w:eastAsia="zh-CN"/>
              </w:rPr>
              <w:t>或桥梁</w:t>
            </w:r>
            <w:r>
              <w:rPr>
                <w:rFonts w:hint="eastAsia" w:ascii="宋体" w:hAnsi="宋体" w:cs="宋体"/>
                <w:color w:val="auto"/>
                <w:szCs w:val="21"/>
                <w:highlight w:val="none"/>
              </w:rPr>
              <w:t>，否则不予计分）业绩或具有市政道路</w:t>
            </w:r>
            <w:r>
              <w:rPr>
                <w:rFonts w:hint="eastAsia" w:ascii="宋体" w:hAnsi="宋体" w:cs="宋体"/>
                <w:color w:val="auto"/>
                <w:szCs w:val="21"/>
                <w:highlight w:val="none"/>
                <w:lang w:val="en-US" w:eastAsia="zh-CN"/>
              </w:rPr>
              <w:t>或桥梁</w:t>
            </w:r>
            <w:r>
              <w:rPr>
                <w:rFonts w:hint="eastAsia" w:ascii="宋体" w:hAnsi="宋体" w:cs="宋体"/>
                <w:color w:val="auto"/>
                <w:szCs w:val="21"/>
                <w:highlight w:val="none"/>
              </w:rPr>
              <w:t>建设项目施工业绩，每有1个得0.5分。本项最多得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分。注：1）投标文件中同时提供合同复印件、中标/成交通知书复印件，否则不得分。2）同一轮招标周期内同一项目（</w:t>
            </w:r>
            <w:r>
              <w:rPr>
                <w:rFonts w:hint="eastAsia" w:ascii="宋体" w:hAnsi="宋体" w:cs="宋体"/>
                <w:color w:val="auto"/>
                <w:szCs w:val="21"/>
                <w:highlight w:val="none"/>
                <w:lang w:val="en-US" w:eastAsia="zh-CN"/>
              </w:rPr>
              <w:t>标项</w:t>
            </w:r>
            <w:r>
              <w:rPr>
                <w:rFonts w:hint="eastAsia" w:ascii="宋体" w:hAnsi="宋体" w:cs="宋体"/>
                <w:color w:val="auto"/>
                <w:szCs w:val="21"/>
                <w:highlight w:val="none"/>
              </w:rPr>
              <w:t>）的合同只能按一个合同认定，不累计计算，供应商提供的项目业绩为联合体业绩的不得分。</w:t>
            </w:r>
          </w:p>
        </w:tc>
        <w:tc>
          <w:tcPr>
            <w:tcW w:w="640" w:type="dxa"/>
            <w:shd w:val="clear" w:color="auto" w:fill="FFFFFF"/>
            <w:noWrap w:val="0"/>
            <w:vAlign w:val="center"/>
          </w:tcPr>
          <w:p w14:paraId="71A71EDE">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40" w:type="dxa"/>
            <w:shd w:val="clear" w:color="auto" w:fill="FFFFFF"/>
            <w:noWrap w:val="0"/>
            <w:vAlign w:val="center"/>
          </w:tcPr>
          <w:p w14:paraId="711BC1C2">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bl>
    <w:p w14:paraId="45C0233B">
      <w:pPr>
        <w:wordWrap w:val="0"/>
        <w:spacing w:line="400" w:lineRule="exact"/>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、各评委成员自行按以上参考分值评分，评分小数点后保留二位数。</w:t>
      </w:r>
    </w:p>
    <w:p w14:paraId="3D0E3EE4">
      <w:pPr>
        <w:wordWrap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、表内要求提供的资料，未按要求提供的均不得分。</w:t>
      </w:r>
    </w:p>
    <w:bookmarkEnd w:id="64"/>
    <w:p w14:paraId="76E8A4F3">
      <w:pPr>
        <w:wordWrap w:val="0"/>
        <w:spacing w:line="240" w:lineRule="auto"/>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附表</w:t>
      </w:r>
      <w:r>
        <w:rPr>
          <w:rFonts w:ascii="宋体" w:hAnsi="宋体"/>
          <w:color w:val="auto"/>
          <w:szCs w:val="21"/>
          <w:highlight w:val="none"/>
        </w:rPr>
        <w:t>4</w:t>
      </w:r>
    </w:p>
    <w:p w14:paraId="4622D20B">
      <w:pPr>
        <w:widowControl/>
        <w:wordWrap w:val="0"/>
        <w:snapToGrid w:val="0"/>
        <w:spacing w:line="240" w:lineRule="auto"/>
        <w:jc w:val="center"/>
        <w:rPr>
          <w:rFonts w:ascii="宋体" w:hAnsi="宋体"/>
          <w:b/>
          <w:color w:val="auto"/>
          <w:sz w:val="24"/>
          <w:szCs w:val="21"/>
          <w:highlight w:val="none"/>
        </w:rPr>
      </w:pPr>
      <w:r>
        <w:rPr>
          <w:rFonts w:hint="eastAsia" w:ascii="宋体" w:hAnsi="宋体"/>
          <w:b/>
          <w:color w:val="auto"/>
          <w:sz w:val="24"/>
          <w:szCs w:val="21"/>
          <w:highlight w:val="none"/>
        </w:rPr>
        <w:t>符合性审查表（</w:t>
      </w:r>
      <w:r>
        <w:rPr>
          <w:rFonts w:hint="eastAsia" w:ascii="宋体" w:hAnsi="宋体"/>
          <w:b/>
          <w:bCs/>
          <w:color w:val="auto"/>
          <w:sz w:val="24"/>
          <w:szCs w:val="21"/>
          <w:highlight w:val="none"/>
        </w:rPr>
        <w:t>报价文件</w:t>
      </w:r>
      <w:r>
        <w:rPr>
          <w:rFonts w:hint="eastAsia" w:ascii="宋体" w:hAnsi="宋体"/>
          <w:b/>
          <w:color w:val="auto"/>
          <w:sz w:val="24"/>
          <w:szCs w:val="21"/>
          <w:highlight w:val="none"/>
        </w:rPr>
        <w:t>）</w:t>
      </w:r>
    </w:p>
    <w:tbl>
      <w:tblPr>
        <w:tblStyle w:val="48"/>
        <w:tblW w:w="941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921"/>
        <w:gridCol w:w="3774"/>
      </w:tblGrid>
      <w:tr w14:paraId="65D4B8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0"/>
            <w:vAlign w:val="top"/>
          </w:tcPr>
          <w:p w14:paraId="49D762BC">
            <w:pPr>
              <w:wordWrap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4921" w:type="dxa"/>
            <w:noWrap w:val="0"/>
            <w:vAlign w:val="center"/>
          </w:tcPr>
          <w:p w14:paraId="259C6166">
            <w:pPr>
              <w:wordWrap w:val="0"/>
              <w:snapToGrid w:val="0"/>
              <w:jc w:val="center"/>
              <w:rPr>
                <w:rFonts w:ascii="宋体" w:hAnsi="宋体"/>
                <w:b/>
                <w:color w:val="auto"/>
                <w:szCs w:val="21"/>
                <w:highlight w:val="none"/>
              </w:rPr>
            </w:pPr>
            <w:r>
              <w:rPr>
                <w:rFonts w:hint="eastAsia" w:ascii="宋体" w:hAnsi="宋体"/>
                <w:b/>
                <w:color w:val="auto"/>
                <w:szCs w:val="21"/>
                <w:highlight w:val="none"/>
              </w:rPr>
              <w:t>要求说明</w:t>
            </w:r>
          </w:p>
        </w:tc>
        <w:tc>
          <w:tcPr>
            <w:tcW w:w="3774" w:type="dxa"/>
            <w:noWrap w:val="0"/>
            <w:vAlign w:val="center"/>
          </w:tcPr>
          <w:p w14:paraId="05D94F5E">
            <w:pPr>
              <w:wordWrap w:val="0"/>
              <w:snapToGrid w:val="0"/>
              <w:jc w:val="center"/>
              <w:rPr>
                <w:rFonts w:ascii="宋体" w:hAnsi="宋体"/>
                <w:b/>
                <w:color w:val="auto"/>
                <w:szCs w:val="21"/>
                <w:highlight w:val="none"/>
              </w:rPr>
            </w:pPr>
            <w:r>
              <w:rPr>
                <w:rFonts w:hint="eastAsia" w:ascii="宋体" w:hAnsi="宋体"/>
                <w:b/>
                <w:color w:val="auto"/>
                <w:szCs w:val="21"/>
                <w:highlight w:val="none"/>
              </w:rPr>
              <w:t>审查要求</w:t>
            </w:r>
          </w:p>
        </w:tc>
      </w:tr>
      <w:tr w14:paraId="67133E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0"/>
            <w:vAlign w:val="center"/>
          </w:tcPr>
          <w:p w14:paraId="3BEB3B54">
            <w:pPr>
              <w:wordWrap w:val="0"/>
              <w:snapToGrid w:val="0"/>
              <w:jc w:val="center"/>
              <w:rPr>
                <w:rFonts w:ascii="宋体" w:hAnsi="宋体"/>
                <w:color w:val="auto"/>
                <w:szCs w:val="21"/>
                <w:highlight w:val="none"/>
              </w:rPr>
            </w:pPr>
            <w:r>
              <w:rPr>
                <w:rFonts w:ascii="宋体" w:hAnsi="宋体"/>
                <w:color w:val="auto"/>
                <w:szCs w:val="21"/>
                <w:highlight w:val="none"/>
              </w:rPr>
              <w:t>1</w:t>
            </w:r>
          </w:p>
        </w:tc>
        <w:tc>
          <w:tcPr>
            <w:tcW w:w="4921" w:type="dxa"/>
            <w:noWrap w:val="0"/>
            <w:vAlign w:val="center"/>
          </w:tcPr>
          <w:p w14:paraId="10C0B516">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未采用人民币报价或者未按照采购文件标明的币种报价的；</w:t>
            </w:r>
          </w:p>
        </w:tc>
        <w:tc>
          <w:tcPr>
            <w:tcW w:w="3774" w:type="dxa"/>
            <w:noWrap w:val="0"/>
            <w:vAlign w:val="center"/>
          </w:tcPr>
          <w:p w14:paraId="16329554">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不得有所述情形。</w:t>
            </w:r>
          </w:p>
        </w:tc>
      </w:tr>
      <w:tr w14:paraId="1D8C5E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0"/>
            <w:vAlign w:val="center"/>
          </w:tcPr>
          <w:p w14:paraId="3CD2B970">
            <w:pPr>
              <w:wordWrap w:val="0"/>
              <w:snapToGrid w:val="0"/>
              <w:jc w:val="center"/>
              <w:rPr>
                <w:rFonts w:ascii="宋体" w:hAnsi="宋体"/>
                <w:color w:val="auto"/>
                <w:szCs w:val="21"/>
                <w:highlight w:val="none"/>
              </w:rPr>
            </w:pPr>
            <w:r>
              <w:rPr>
                <w:rFonts w:hint="eastAsia" w:ascii="宋体" w:hAnsi="宋体"/>
                <w:color w:val="auto"/>
                <w:szCs w:val="21"/>
                <w:highlight w:val="none"/>
              </w:rPr>
              <w:t>2</w:t>
            </w:r>
          </w:p>
        </w:tc>
        <w:tc>
          <w:tcPr>
            <w:tcW w:w="4921" w:type="dxa"/>
            <w:noWrap w:val="0"/>
            <w:vAlign w:val="center"/>
          </w:tcPr>
          <w:p w14:paraId="7DC0BF56">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对同个标项不允许提供两个及以上投标方案。</w:t>
            </w:r>
          </w:p>
        </w:tc>
        <w:tc>
          <w:tcPr>
            <w:tcW w:w="3774" w:type="dxa"/>
            <w:noWrap w:val="0"/>
            <w:vAlign w:val="center"/>
          </w:tcPr>
          <w:p w14:paraId="11839AC4">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是否有两个及</w:t>
            </w:r>
            <w:r>
              <w:rPr>
                <w:rFonts w:ascii="宋体" w:hAnsi="宋体"/>
                <w:color w:val="auto"/>
                <w:szCs w:val="21"/>
                <w:highlight w:val="none"/>
              </w:rPr>
              <w:t>以上</w:t>
            </w:r>
            <w:r>
              <w:rPr>
                <w:rFonts w:hint="eastAsia" w:ascii="宋体" w:hAnsi="宋体"/>
                <w:color w:val="auto"/>
                <w:szCs w:val="21"/>
                <w:highlight w:val="none"/>
              </w:rPr>
              <w:t>投标方案。</w:t>
            </w:r>
          </w:p>
        </w:tc>
      </w:tr>
      <w:tr w14:paraId="1434F3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0"/>
            <w:vAlign w:val="center"/>
          </w:tcPr>
          <w:p w14:paraId="51E5B67F">
            <w:pPr>
              <w:wordWrap w:val="0"/>
              <w:snapToGrid w:val="0"/>
              <w:jc w:val="center"/>
              <w:rPr>
                <w:rFonts w:hint="eastAsia" w:ascii="宋体" w:hAnsi="宋体"/>
                <w:color w:val="auto"/>
                <w:szCs w:val="21"/>
                <w:highlight w:val="none"/>
              </w:rPr>
            </w:pPr>
            <w:r>
              <w:rPr>
                <w:rFonts w:hint="eastAsia" w:ascii="宋体" w:hAnsi="宋体"/>
                <w:color w:val="auto"/>
                <w:szCs w:val="21"/>
                <w:highlight w:val="none"/>
              </w:rPr>
              <w:t>3</w:t>
            </w:r>
          </w:p>
        </w:tc>
        <w:tc>
          <w:tcPr>
            <w:tcW w:w="4921" w:type="dxa"/>
            <w:noWrap w:val="0"/>
            <w:vAlign w:val="center"/>
          </w:tcPr>
          <w:p w14:paraId="51540BDE">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投标报价中出现缺项、漏项的；</w:t>
            </w:r>
          </w:p>
        </w:tc>
        <w:tc>
          <w:tcPr>
            <w:tcW w:w="3774" w:type="dxa"/>
            <w:noWrap w:val="0"/>
            <w:vAlign w:val="center"/>
          </w:tcPr>
          <w:p w14:paraId="29F0A24C">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不得有所述情形。</w:t>
            </w:r>
          </w:p>
        </w:tc>
      </w:tr>
      <w:tr w14:paraId="4B1522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0"/>
            <w:vAlign w:val="center"/>
          </w:tcPr>
          <w:p w14:paraId="0E8F1800">
            <w:pPr>
              <w:wordWrap w:val="0"/>
              <w:snapToGrid w:val="0"/>
              <w:jc w:val="center"/>
              <w:rPr>
                <w:rFonts w:hint="eastAsia" w:ascii="宋体" w:hAnsi="宋体"/>
                <w:color w:val="auto"/>
                <w:szCs w:val="21"/>
                <w:highlight w:val="none"/>
              </w:rPr>
            </w:pPr>
            <w:r>
              <w:rPr>
                <w:rFonts w:hint="eastAsia" w:ascii="宋体" w:hAnsi="宋体"/>
                <w:color w:val="auto"/>
                <w:szCs w:val="21"/>
                <w:highlight w:val="none"/>
              </w:rPr>
              <w:t>4</w:t>
            </w:r>
          </w:p>
        </w:tc>
        <w:tc>
          <w:tcPr>
            <w:tcW w:w="4921" w:type="dxa"/>
            <w:noWrap w:val="0"/>
            <w:vAlign w:val="center"/>
          </w:tcPr>
          <w:p w14:paraId="76EC3F7A">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本次公开招标设有最高限价（详见第一章招标公告），投标价超出最高限价作无效标处理。</w:t>
            </w:r>
          </w:p>
        </w:tc>
        <w:tc>
          <w:tcPr>
            <w:tcW w:w="3774" w:type="dxa"/>
            <w:noWrap w:val="0"/>
            <w:vAlign w:val="center"/>
          </w:tcPr>
          <w:p w14:paraId="714BAB63">
            <w:pPr>
              <w:keepNext w:val="0"/>
              <w:keepLines w:val="0"/>
              <w:pageBreakBefore w:val="0"/>
              <w:widowControl w:val="0"/>
              <w:kinsoku/>
              <w:wordWrap w:val="0"/>
              <w:overflowPunct/>
              <w:topLinePunct w:val="0"/>
              <w:autoSpaceDE/>
              <w:autoSpaceDN/>
              <w:bidi w:val="0"/>
              <w:adjustRightInd/>
              <w:spacing w:line="240" w:lineRule="exact"/>
              <w:textAlignment w:val="auto"/>
              <w:rPr>
                <w:rFonts w:ascii="宋体" w:hAnsi="宋体"/>
                <w:color w:val="auto"/>
                <w:szCs w:val="21"/>
                <w:highlight w:val="none"/>
              </w:rPr>
            </w:pPr>
            <w:r>
              <w:rPr>
                <w:rFonts w:hint="eastAsia" w:ascii="宋体" w:hAnsi="宋体"/>
                <w:color w:val="auto"/>
                <w:szCs w:val="21"/>
                <w:highlight w:val="none"/>
              </w:rPr>
              <w:t>提供“开标一览表”</w:t>
            </w:r>
            <w:r>
              <w:rPr>
                <w:rFonts w:hint="eastAsia" w:ascii="宋体" w:hAnsi="宋体" w:cs="宋体"/>
                <w:color w:val="auto"/>
                <w:szCs w:val="21"/>
                <w:highlight w:val="none"/>
              </w:rPr>
              <w:t>。</w:t>
            </w:r>
          </w:p>
        </w:tc>
      </w:tr>
      <w:tr w14:paraId="5520D3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shd w:val="clear" w:color="auto" w:fill="auto"/>
            <w:noWrap w:val="0"/>
            <w:vAlign w:val="center"/>
          </w:tcPr>
          <w:p w14:paraId="4A44E1E1">
            <w:pPr>
              <w:wordWrap w:val="0"/>
              <w:snapToGrid w:val="0"/>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5</w:t>
            </w:r>
          </w:p>
        </w:tc>
        <w:tc>
          <w:tcPr>
            <w:tcW w:w="4921" w:type="dxa"/>
            <w:noWrap w:val="0"/>
            <w:vAlign w:val="center"/>
          </w:tcPr>
          <w:p w14:paraId="2C35E526">
            <w:pPr>
              <w:keepNext w:val="0"/>
              <w:keepLines w:val="0"/>
              <w:pageBreakBefore w:val="0"/>
              <w:widowControl w:val="0"/>
              <w:kinsoku/>
              <w:wordWrap/>
              <w:overflowPunct/>
              <w:topLinePunct w:val="0"/>
              <w:autoSpaceDE/>
              <w:autoSpaceDN/>
              <w:bidi w:val="0"/>
              <w:adjustRightInd/>
              <w:spacing w:line="240" w:lineRule="exact"/>
              <w:ind w:right="0" w:rightChars="0"/>
              <w:jc w:val="left"/>
              <w:textAlignment w:val="auto"/>
              <w:rPr>
                <w:rFonts w:hint="eastAsia" w:ascii="宋体" w:hAnsi="宋体"/>
                <w:color w:val="auto"/>
                <w:szCs w:val="21"/>
                <w:highlight w:val="none"/>
              </w:rPr>
            </w:pPr>
            <w:r>
              <w:rPr>
                <w:rFonts w:hint="eastAsia" w:ascii="宋体" w:hAnsi="宋体"/>
                <w:color w:val="auto"/>
                <w:szCs w:val="21"/>
                <w:highlight w:val="none"/>
              </w:rPr>
              <w:t>异常低价投标审查</w:t>
            </w:r>
          </w:p>
        </w:tc>
        <w:tc>
          <w:tcPr>
            <w:tcW w:w="3774" w:type="dxa"/>
            <w:noWrap w:val="0"/>
            <w:vAlign w:val="center"/>
          </w:tcPr>
          <w:p w14:paraId="550F2ED2">
            <w:pPr>
              <w:keepNext w:val="0"/>
              <w:keepLines w:val="0"/>
              <w:pageBreakBefore w:val="0"/>
              <w:widowControl w:val="0"/>
              <w:kinsoku/>
              <w:overflowPunct/>
              <w:topLinePunct w:val="0"/>
              <w:autoSpaceDE/>
              <w:autoSpaceDN/>
              <w:bidi w:val="0"/>
              <w:adjustRightInd/>
              <w:spacing w:line="240" w:lineRule="exact"/>
              <w:jc w:val="both"/>
              <w:textAlignment w:val="auto"/>
              <w:rPr>
                <w:rFonts w:hint="eastAsia" w:ascii="宋体" w:hAnsi="宋体"/>
                <w:color w:val="auto"/>
                <w:szCs w:val="21"/>
                <w:highlight w:val="none"/>
              </w:rPr>
            </w:pPr>
            <w:r>
              <w:rPr>
                <w:rFonts w:hint="eastAsia" w:ascii="宋体" w:hAnsi="宋体"/>
                <w:color w:val="auto"/>
                <w:szCs w:val="21"/>
                <w:highlight w:val="none"/>
              </w:rPr>
              <w:t>符合</w:t>
            </w:r>
            <w:r>
              <w:rPr>
                <w:rFonts w:hint="eastAsia" w:ascii="宋体" w:hAnsi="宋体"/>
                <w:color w:val="auto"/>
                <w:szCs w:val="21"/>
                <w:highlight w:val="none"/>
                <w:lang w:val="en-US" w:eastAsia="zh-CN"/>
              </w:rPr>
              <w:t>备注</w:t>
            </w:r>
            <w:r>
              <w:rPr>
                <w:rFonts w:hint="eastAsia" w:ascii="宋体" w:hAnsi="宋体"/>
                <w:color w:val="auto"/>
                <w:szCs w:val="21"/>
                <w:highlight w:val="none"/>
              </w:rPr>
              <w:t>要求。</w:t>
            </w:r>
          </w:p>
        </w:tc>
      </w:tr>
      <w:tr w14:paraId="0D5AF6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shd w:val="clear" w:color="auto" w:fill="auto"/>
            <w:noWrap w:val="0"/>
            <w:vAlign w:val="center"/>
          </w:tcPr>
          <w:p w14:paraId="797AF898">
            <w:pPr>
              <w:wordWrap w:val="0"/>
              <w:snapToGrid w:val="0"/>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6</w:t>
            </w:r>
          </w:p>
        </w:tc>
        <w:tc>
          <w:tcPr>
            <w:tcW w:w="4921" w:type="dxa"/>
            <w:noWrap w:val="0"/>
            <w:vAlign w:val="center"/>
          </w:tcPr>
          <w:p w14:paraId="73CB3C63">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符合第二章“投标须知”中“九、投标文件的签署盖章”条款1的要求。</w:t>
            </w:r>
          </w:p>
        </w:tc>
        <w:tc>
          <w:tcPr>
            <w:tcW w:w="3774" w:type="dxa"/>
            <w:noWrap w:val="0"/>
            <w:vAlign w:val="center"/>
          </w:tcPr>
          <w:p w14:paraId="5B232791">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投标文件的签署盖章。</w:t>
            </w:r>
          </w:p>
        </w:tc>
      </w:tr>
      <w:tr w14:paraId="0FC2AB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shd w:val="clear" w:color="auto" w:fill="auto"/>
            <w:noWrap w:val="0"/>
            <w:vAlign w:val="center"/>
          </w:tcPr>
          <w:p w14:paraId="13C34C12">
            <w:pPr>
              <w:wordWrap w:val="0"/>
              <w:snapToGrid w:val="0"/>
              <w:jc w:val="center"/>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7</w:t>
            </w:r>
          </w:p>
        </w:tc>
        <w:tc>
          <w:tcPr>
            <w:tcW w:w="4921" w:type="dxa"/>
            <w:noWrap w:val="0"/>
            <w:vAlign w:val="center"/>
          </w:tcPr>
          <w:p w14:paraId="3CCAAADF">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评标委员会经过审查，认定供应商虚假应标、串通投标的，有下列情形之一的，视为供应商串通投标：</w:t>
            </w:r>
          </w:p>
          <w:p w14:paraId="64C78A03">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（1）不同供应商的投标文件由同一单位或者个人编制；</w:t>
            </w:r>
          </w:p>
          <w:p w14:paraId="7946515D">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（2）不同供应商委托同一单位或者个人办理投标事宜；</w:t>
            </w:r>
          </w:p>
          <w:p w14:paraId="5354C643">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（3）不同供应商的投标文件载明的项目管理成员或者联系人员为同一人；</w:t>
            </w:r>
          </w:p>
          <w:p w14:paraId="3E079863">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（4）不同供应商的投标文件异常一致或者投标报价呈规律性差异；</w:t>
            </w:r>
          </w:p>
          <w:p w14:paraId="328EC0E3">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（5）不同供应商的投标文件相互混装。</w:t>
            </w:r>
          </w:p>
        </w:tc>
        <w:tc>
          <w:tcPr>
            <w:tcW w:w="3774" w:type="dxa"/>
            <w:noWrap w:val="0"/>
            <w:vAlign w:val="center"/>
          </w:tcPr>
          <w:p w14:paraId="355641A0">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不得有所述情形。</w:t>
            </w:r>
          </w:p>
        </w:tc>
      </w:tr>
      <w:tr w14:paraId="60E78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0"/>
            <w:vAlign w:val="center"/>
          </w:tcPr>
          <w:p w14:paraId="4C850C4F">
            <w:pPr>
              <w:wordWrap w:val="0"/>
              <w:snapToGrid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c>
          <w:tcPr>
            <w:tcW w:w="4921" w:type="dxa"/>
            <w:noWrap w:val="0"/>
            <w:vAlign w:val="center"/>
          </w:tcPr>
          <w:p w14:paraId="5F25FA4A">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法律、法规和采购文件规定的其他无效情形。</w:t>
            </w:r>
          </w:p>
        </w:tc>
        <w:tc>
          <w:tcPr>
            <w:tcW w:w="3774" w:type="dxa"/>
            <w:noWrap w:val="0"/>
            <w:vAlign w:val="center"/>
          </w:tcPr>
          <w:p w14:paraId="2C09D5F9">
            <w:pPr>
              <w:keepNext w:val="0"/>
              <w:keepLines w:val="0"/>
              <w:pageBreakBefore w:val="0"/>
              <w:widowControl w:val="0"/>
              <w:kinsoku/>
              <w:wordWrap w:val="0"/>
              <w:overflowPunct/>
              <w:topLinePunct w:val="0"/>
              <w:autoSpaceDE/>
              <w:autoSpaceDN/>
              <w:bidi w:val="0"/>
              <w:adjustRightInd/>
              <w:snapToGrid w:val="0"/>
              <w:spacing w:line="240" w:lineRule="exact"/>
              <w:textAlignment w:val="auto"/>
              <w:rPr>
                <w:rFonts w:hint="eastAsia" w:ascii="宋体" w:hAnsi="宋体"/>
                <w:color w:val="auto"/>
                <w:szCs w:val="21"/>
                <w:highlight w:val="none"/>
              </w:rPr>
            </w:pPr>
            <w:r>
              <w:rPr>
                <w:rFonts w:hint="eastAsia" w:ascii="宋体" w:hAnsi="宋体"/>
                <w:color w:val="auto"/>
                <w:szCs w:val="21"/>
                <w:highlight w:val="none"/>
              </w:rPr>
              <w:t>不得有所述情形。</w:t>
            </w:r>
          </w:p>
        </w:tc>
      </w:tr>
      <w:tr w14:paraId="27CAB3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641" w:type="dxa"/>
            <w:gridSpan w:val="2"/>
            <w:noWrap w:val="0"/>
            <w:vAlign w:val="center"/>
          </w:tcPr>
          <w:p w14:paraId="5BA03036">
            <w:pPr>
              <w:wordWrap w:val="0"/>
              <w:snapToGrid w:val="0"/>
              <w:jc w:val="center"/>
              <w:rPr>
                <w:rFonts w:ascii="宋体" w:hAnsi="宋体"/>
                <w:color w:val="auto"/>
                <w:szCs w:val="21"/>
                <w:highlight w:val="none"/>
              </w:rPr>
            </w:pPr>
            <w:r>
              <w:rPr>
                <w:rFonts w:hint="eastAsia" w:ascii="宋体" w:hAnsi="宋体"/>
                <w:b/>
                <w:color w:val="auto"/>
                <w:szCs w:val="21"/>
                <w:highlight w:val="none"/>
              </w:rPr>
              <w:t>符合性审查结论</w:t>
            </w:r>
          </w:p>
        </w:tc>
        <w:tc>
          <w:tcPr>
            <w:tcW w:w="3774" w:type="dxa"/>
            <w:noWrap w:val="0"/>
            <w:vAlign w:val="center"/>
          </w:tcPr>
          <w:p w14:paraId="4EC63CBC">
            <w:pPr>
              <w:wordWrap w:val="0"/>
              <w:snapToGrid w:val="0"/>
              <w:rPr>
                <w:rFonts w:ascii="宋体" w:hAnsi="宋体"/>
                <w:color w:val="auto"/>
                <w:szCs w:val="21"/>
                <w:highlight w:val="none"/>
              </w:rPr>
            </w:pPr>
          </w:p>
        </w:tc>
      </w:tr>
    </w:tbl>
    <w:p w14:paraId="461235CC">
      <w:pPr>
        <w:keepNext w:val="0"/>
        <w:keepLines w:val="0"/>
        <w:pageBreakBefore w:val="0"/>
        <w:widowControl w:val="0"/>
        <w:kinsoku/>
        <w:wordWrap/>
        <w:overflowPunct/>
        <w:topLinePunct w:val="0"/>
        <w:autoSpaceDE/>
        <w:autoSpaceDN/>
        <w:bidi w:val="0"/>
        <w:adjustRightInd/>
        <w:snapToGrid/>
        <w:spacing w:line="300" w:lineRule="exact"/>
        <w:ind w:firstLine="437"/>
        <w:textAlignment w:val="auto"/>
        <w:rPr>
          <w:rFonts w:hint="eastAsia" w:cs="Times New Roman" w:asciiTheme="minorEastAsia" w:hAnsiTheme="minorEastAsia" w:eastAsiaTheme="minorEastAsia"/>
          <w:color w:val="auto"/>
          <w:highlight w:val="none"/>
        </w:rPr>
      </w:pPr>
      <w:r>
        <w:rPr>
          <w:rFonts w:hint="eastAsia" w:ascii="宋体" w:hAnsi="宋体"/>
          <w:b/>
          <w:color w:val="auto"/>
          <w:highlight w:val="none"/>
        </w:rPr>
        <w:t>注：上述审查项目中，任意一项不符合的，符合性审查不合格。</w:t>
      </w:r>
      <w:r>
        <w:rPr>
          <w:rFonts w:hint="eastAsia" w:cs="Times New Roman" w:asciiTheme="minorEastAsia" w:hAnsiTheme="minorEastAsia" w:eastAsiaTheme="minorEastAsia"/>
          <w:b/>
          <w:bCs/>
          <w:color w:val="auto"/>
          <w:highlight w:val="none"/>
        </w:rPr>
        <w:t>价格评审中出现下列情形之一的，评标委员会应当启动异常低价投标审查程序：</w:t>
      </w:r>
    </w:p>
    <w:p w14:paraId="037F371B">
      <w:pPr>
        <w:keepNext w:val="0"/>
        <w:keepLines w:val="0"/>
        <w:pageBreakBefore w:val="0"/>
        <w:widowControl w:val="0"/>
        <w:kinsoku/>
        <w:overflowPunct/>
        <w:topLinePunct w:val="0"/>
        <w:autoSpaceDE/>
        <w:autoSpaceDN/>
        <w:bidi w:val="0"/>
        <w:adjustRightInd/>
        <w:snapToGrid/>
        <w:spacing w:line="280" w:lineRule="exact"/>
        <w:ind w:firstLine="437"/>
        <w:textAlignment w:val="auto"/>
        <w:rPr>
          <w:rFonts w:hint="eastAsia"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lang w:val="en-US" w:eastAsia="zh-CN"/>
        </w:rPr>
        <w:t>1.</w:t>
      </w:r>
      <w:r>
        <w:rPr>
          <w:rFonts w:hint="eastAsia" w:cs="Times New Roman" w:asciiTheme="minorEastAsia" w:hAnsiTheme="minorEastAsia" w:eastAsiaTheme="minorEastAsia"/>
          <w:color w:val="auto"/>
          <w:highlight w:val="none"/>
        </w:rPr>
        <w:t>投标报价低于全部通过符合性审查供应商投标报价平均值50%的，即投标报价&lt;全部通过符合性审查供应商投标报价平均值×50%；</w:t>
      </w:r>
    </w:p>
    <w:p w14:paraId="1BCEF2BB">
      <w:pPr>
        <w:keepNext w:val="0"/>
        <w:keepLines w:val="0"/>
        <w:pageBreakBefore w:val="0"/>
        <w:widowControl w:val="0"/>
        <w:kinsoku/>
        <w:overflowPunct/>
        <w:topLinePunct w:val="0"/>
        <w:autoSpaceDE/>
        <w:autoSpaceDN/>
        <w:bidi w:val="0"/>
        <w:adjustRightInd/>
        <w:snapToGrid/>
        <w:spacing w:line="280" w:lineRule="exact"/>
        <w:ind w:firstLine="437"/>
        <w:textAlignment w:val="auto"/>
        <w:rPr>
          <w:rFonts w:hint="eastAsia"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lang w:val="en-US" w:eastAsia="zh-CN"/>
        </w:rPr>
        <w:t>2.</w:t>
      </w:r>
      <w:r>
        <w:rPr>
          <w:rFonts w:hint="eastAsia" w:cs="Times New Roman" w:asciiTheme="minorEastAsia" w:hAnsiTheme="minorEastAsia" w:eastAsiaTheme="minorEastAsia"/>
          <w:color w:val="auto"/>
          <w:highlight w:val="none"/>
        </w:rPr>
        <w:t>投标报价低于通过符合性审查的次低报价供应商投标报价50%的，即投标报价&lt;通过符合性审查的次低报价供应商投标报价×50%；</w:t>
      </w:r>
    </w:p>
    <w:p w14:paraId="099DE45A">
      <w:pPr>
        <w:keepNext w:val="0"/>
        <w:keepLines w:val="0"/>
        <w:pageBreakBefore w:val="0"/>
        <w:widowControl w:val="0"/>
        <w:kinsoku/>
        <w:overflowPunct/>
        <w:topLinePunct w:val="0"/>
        <w:autoSpaceDE/>
        <w:autoSpaceDN/>
        <w:bidi w:val="0"/>
        <w:adjustRightInd/>
        <w:snapToGrid/>
        <w:spacing w:line="280" w:lineRule="exact"/>
        <w:ind w:firstLine="437"/>
        <w:textAlignment w:val="auto"/>
        <w:rPr>
          <w:rFonts w:hint="eastAsia"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lang w:val="en-US" w:eastAsia="zh-CN"/>
        </w:rPr>
        <w:t>3.</w:t>
      </w:r>
      <w:r>
        <w:rPr>
          <w:rFonts w:hint="eastAsia" w:cs="Times New Roman" w:asciiTheme="minorEastAsia" w:hAnsiTheme="minorEastAsia" w:eastAsiaTheme="minorEastAsia"/>
          <w:color w:val="auto"/>
          <w:highlight w:val="none"/>
        </w:rPr>
        <w:t>投标报价低于采购项目最高限价45%的，即投标报价&lt;采购项目最高限价×45%；</w:t>
      </w:r>
    </w:p>
    <w:p w14:paraId="0EAC2957">
      <w:pPr>
        <w:keepNext w:val="0"/>
        <w:keepLines w:val="0"/>
        <w:pageBreakBefore w:val="0"/>
        <w:widowControl w:val="0"/>
        <w:kinsoku/>
        <w:overflowPunct/>
        <w:topLinePunct w:val="0"/>
        <w:autoSpaceDE/>
        <w:autoSpaceDN/>
        <w:bidi w:val="0"/>
        <w:adjustRightInd/>
        <w:snapToGrid/>
        <w:spacing w:line="280" w:lineRule="exact"/>
        <w:ind w:firstLine="437"/>
        <w:textAlignment w:val="auto"/>
        <w:rPr>
          <w:rFonts w:hint="eastAsia"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lang w:val="en-US" w:eastAsia="zh-CN"/>
        </w:rPr>
        <w:t>4.</w:t>
      </w:r>
      <w:r>
        <w:rPr>
          <w:rFonts w:hint="eastAsia" w:cs="Times New Roman" w:asciiTheme="minorEastAsia" w:hAnsiTheme="minorEastAsia" w:eastAsiaTheme="minorEastAsia"/>
          <w:color w:val="auto"/>
          <w:highlight w:val="none"/>
        </w:rPr>
        <w:t>评标委员会基于专业判断，认为供应商报价过低，有可能影响产品质量或者不能诚信履约的其他情形。</w:t>
      </w:r>
    </w:p>
    <w:p w14:paraId="5919BFAE">
      <w:pPr>
        <w:keepNext w:val="0"/>
        <w:keepLines w:val="0"/>
        <w:pageBreakBefore w:val="0"/>
        <w:widowControl w:val="0"/>
        <w:kinsoku/>
        <w:overflowPunct/>
        <w:topLinePunct w:val="0"/>
        <w:autoSpaceDE/>
        <w:autoSpaceDN/>
        <w:bidi w:val="0"/>
        <w:adjustRightInd/>
        <w:snapToGrid/>
        <w:spacing w:line="280" w:lineRule="exact"/>
        <w:ind w:firstLine="437"/>
        <w:textAlignment w:val="auto"/>
        <w:rPr>
          <w:rFonts w:hint="eastAsia"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lang w:val="en-US" w:eastAsia="zh-CN"/>
        </w:rPr>
        <w:t>5.</w:t>
      </w:r>
      <w:r>
        <w:rPr>
          <w:rFonts w:hint="eastAsia" w:cs="Times New Roman" w:asciiTheme="minorEastAsia" w:hAnsiTheme="minorEastAsia" w:eastAsiaTheme="minorEastAsia"/>
          <w:color w:val="auto"/>
          <w:highlight w:val="none"/>
        </w:rPr>
        <w:t>评标委员会认为投标人的报价明显低于其他通过符合性审查投标人的报价，有可能影响产品质量或者不能诚信履约的。</w:t>
      </w:r>
    </w:p>
    <w:p w14:paraId="0BC2EB66">
      <w:pPr>
        <w:keepNext w:val="0"/>
        <w:keepLines w:val="0"/>
        <w:pageBreakBefore w:val="0"/>
        <w:widowControl w:val="0"/>
        <w:kinsoku/>
        <w:wordWrap w:val="0"/>
        <w:overflowPunct/>
        <w:topLinePunct w:val="0"/>
        <w:autoSpaceDE/>
        <w:autoSpaceDN/>
        <w:bidi w:val="0"/>
        <w:adjustRightInd/>
        <w:snapToGrid/>
        <w:spacing w:line="280" w:lineRule="exact"/>
        <w:textAlignment w:val="auto"/>
        <w:rPr>
          <w:rFonts w:hint="eastAsia" w:ascii="宋体" w:hAnsi="宋体"/>
          <w:b/>
          <w:color w:val="auto"/>
          <w:highlight w:val="none"/>
        </w:rPr>
      </w:pPr>
      <w:r>
        <w:rPr>
          <w:rFonts w:hint="eastAsia" w:cs="Times New Roman" w:asciiTheme="minorEastAsia" w:hAnsiTheme="minorEastAsia" w:eastAsiaTheme="minorEastAsia"/>
          <w:color w:val="auto"/>
          <w:highlight w:val="none"/>
        </w:rPr>
        <w:t>评标委员会启动异常低价投标审查后，属于前述第1项至第5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投标供应商不能提供书面说明、证明材料，或者提供的书面说明、证明材料不能证明其报价合理性的，评标委员会应当将其作为无效投标处理。</w:t>
      </w:r>
    </w:p>
    <w:p w14:paraId="3C6F17B1">
      <w:pPr>
        <w:wordWrap w:val="0"/>
        <w:spacing w:line="400" w:lineRule="exact"/>
        <w:rPr>
          <w:rFonts w:ascii="宋体" w:hAnsi="宋体"/>
          <w:color w:val="auto"/>
          <w:szCs w:val="21"/>
          <w:highlight w:val="none"/>
        </w:rPr>
      </w:pPr>
      <w:r>
        <w:rPr>
          <w:rFonts w:ascii="宋体" w:hAnsi="宋体"/>
          <w:b/>
          <w:color w:val="auto"/>
          <w:szCs w:val="21"/>
          <w:highlight w:val="none"/>
        </w:rPr>
        <w:br w:type="page"/>
      </w:r>
      <w:r>
        <w:rPr>
          <w:rFonts w:hint="eastAsia" w:ascii="宋体" w:hAnsi="宋体"/>
          <w:color w:val="auto"/>
          <w:szCs w:val="21"/>
          <w:highlight w:val="none"/>
        </w:rPr>
        <w:t>附表</w:t>
      </w:r>
      <w:r>
        <w:rPr>
          <w:rFonts w:ascii="宋体" w:hAnsi="宋体"/>
          <w:color w:val="auto"/>
          <w:szCs w:val="21"/>
          <w:highlight w:val="none"/>
        </w:rPr>
        <w:t>5</w:t>
      </w:r>
    </w:p>
    <w:p w14:paraId="0E465619">
      <w:pPr>
        <w:widowControl/>
        <w:wordWrap w:val="0"/>
        <w:snapToGrid w:val="0"/>
        <w:spacing w:line="560" w:lineRule="exact"/>
        <w:jc w:val="center"/>
        <w:rPr>
          <w:rFonts w:ascii="宋体" w:hAnsi="宋体"/>
          <w:b/>
          <w:color w:val="auto"/>
          <w:szCs w:val="21"/>
          <w:highlight w:val="none"/>
        </w:rPr>
      </w:pPr>
      <w:r>
        <w:rPr>
          <w:rFonts w:hint="eastAsia" w:ascii="宋体" w:hAnsi="宋体"/>
          <w:b/>
          <w:color w:val="auto"/>
          <w:szCs w:val="21"/>
          <w:highlight w:val="none"/>
        </w:rPr>
        <w:t>价格评分表</w:t>
      </w:r>
    </w:p>
    <w:tbl>
      <w:tblPr>
        <w:tblStyle w:val="48"/>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7851"/>
        <w:gridCol w:w="1066"/>
      </w:tblGrid>
      <w:tr w14:paraId="6600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8552" w:type="dxa"/>
            <w:gridSpan w:val="2"/>
            <w:tcBorders>
              <w:top w:val="double" w:color="auto" w:sz="4" w:space="0"/>
              <w:left w:val="double" w:color="auto" w:sz="4" w:space="0"/>
              <w:tl2br w:val="single" w:color="000000" w:sz="4" w:space="0"/>
            </w:tcBorders>
            <w:noWrap w:val="0"/>
            <w:vAlign w:val="top"/>
          </w:tcPr>
          <w:p w14:paraId="5DE30DFB">
            <w:pPr>
              <w:wordWrap w:val="0"/>
              <w:spacing w:line="320" w:lineRule="exact"/>
              <w:ind w:right="420" w:firstLine="4410" w:firstLineChars="2100"/>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w:t>
            </w:r>
          </w:p>
          <w:p w14:paraId="1995B6D8">
            <w:pPr>
              <w:wordWrap w:val="0"/>
              <w:spacing w:line="320" w:lineRule="exact"/>
              <w:rPr>
                <w:rFonts w:ascii="宋体" w:hAnsi="宋体"/>
                <w:color w:val="auto"/>
                <w:szCs w:val="21"/>
                <w:highlight w:val="none"/>
                <w:lang w:val="ru-RU"/>
              </w:rPr>
            </w:pPr>
            <w:r>
              <w:rPr>
                <w:rFonts w:hint="eastAsia" w:ascii="宋体" w:hAnsi="宋体"/>
                <w:color w:val="auto"/>
                <w:szCs w:val="21"/>
                <w:highlight w:val="none"/>
              </w:rPr>
              <w:t>分值</w:t>
            </w:r>
          </w:p>
        </w:tc>
        <w:tc>
          <w:tcPr>
            <w:tcW w:w="1066" w:type="dxa"/>
            <w:tcBorders>
              <w:top w:val="double" w:color="auto" w:sz="4" w:space="0"/>
              <w:right w:val="double" w:color="auto" w:sz="4" w:space="0"/>
            </w:tcBorders>
            <w:noWrap w:val="0"/>
            <w:vAlign w:val="center"/>
          </w:tcPr>
          <w:p w14:paraId="23EA01D0">
            <w:pPr>
              <w:wordWrap w:val="0"/>
              <w:spacing w:line="320" w:lineRule="exact"/>
              <w:jc w:val="center"/>
              <w:rPr>
                <w:rFonts w:hint="eastAsia" w:ascii="宋体" w:hAnsi="宋体"/>
                <w:color w:val="auto"/>
                <w:szCs w:val="21"/>
                <w:highlight w:val="none"/>
                <w:lang w:val="ru-RU"/>
              </w:rPr>
            </w:pPr>
            <w:r>
              <w:rPr>
                <w:rFonts w:hint="eastAsia" w:ascii="宋体" w:hAnsi="宋体"/>
                <w:color w:val="auto"/>
                <w:szCs w:val="21"/>
                <w:highlight w:val="none"/>
                <w:lang w:val="ru-RU"/>
              </w:rPr>
              <w:t>分值</w:t>
            </w:r>
          </w:p>
        </w:tc>
      </w:tr>
      <w:tr w14:paraId="356E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701" w:type="dxa"/>
            <w:tcBorders>
              <w:left w:val="double" w:color="auto" w:sz="4" w:space="0"/>
            </w:tcBorders>
            <w:noWrap w:val="0"/>
            <w:vAlign w:val="center"/>
          </w:tcPr>
          <w:p w14:paraId="5C8BF42A">
            <w:pPr>
              <w:widowControl/>
              <w:adjustRightInd/>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价格分</w:t>
            </w:r>
          </w:p>
          <w:p w14:paraId="286F61B9">
            <w:pPr>
              <w:widowControl/>
              <w:adjustRightInd/>
              <w:spacing w:line="400" w:lineRule="exact"/>
              <w:contextualSpacing/>
              <w:jc w:val="center"/>
              <w:rPr>
                <w:rFonts w:ascii="宋体" w:hAnsi="宋体"/>
                <w:color w:val="auto"/>
                <w:szCs w:val="21"/>
                <w:highlight w:val="none"/>
              </w:rPr>
            </w:pPr>
            <w:r>
              <w:rPr>
                <w:rFonts w:hint="eastAsia" w:ascii="宋体" w:hAnsi="宋体" w:cs="宋体"/>
                <w:color w:val="auto"/>
                <w:szCs w:val="21"/>
                <w:highlight w:val="none"/>
              </w:rPr>
              <w:t>（20分）</w:t>
            </w:r>
          </w:p>
        </w:tc>
        <w:tc>
          <w:tcPr>
            <w:tcW w:w="7851" w:type="dxa"/>
            <w:noWrap w:val="0"/>
            <w:vAlign w:val="center"/>
          </w:tcPr>
          <w:p w14:paraId="4983F2BE">
            <w:pPr>
              <w:widowControl/>
              <w:adjustRightInd/>
              <w:spacing w:line="400" w:lineRule="exact"/>
              <w:contextualSpacing/>
              <w:rPr>
                <w:rFonts w:hint="eastAsia" w:ascii="宋体" w:hAnsi="宋体" w:cs="宋体"/>
                <w:color w:val="auto"/>
                <w:szCs w:val="21"/>
                <w:highlight w:val="none"/>
                <w:lang w:val="zh-CN"/>
              </w:rPr>
            </w:pPr>
            <w:r>
              <w:rPr>
                <w:rFonts w:hint="eastAsia" w:ascii="宋体" w:hAnsi="宋体" w:cs="宋体"/>
                <w:color w:val="auto"/>
                <w:szCs w:val="21"/>
                <w:highlight w:val="none"/>
                <w:lang w:val="zh-CN"/>
              </w:rPr>
              <w:t>评标基准价指的是满足采购文件要求且最低的参与评审的价格，参与评审的价格为投标报价-小微企业价格扣除优惠值（如有），评标基准价的得满分</w:t>
            </w:r>
            <w:r>
              <w:rPr>
                <w:rFonts w:hint="eastAsia" w:ascii="宋体" w:hAnsi="宋体" w:cs="宋体"/>
                <w:color w:val="auto"/>
                <w:szCs w:val="21"/>
                <w:highlight w:val="none"/>
              </w:rPr>
              <w:t>20</w:t>
            </w:r>
            <w:r>
              <w:rPr>
                <w:rFonts w:hint="eastAsia" w:ascii="宋体" w:hAnsi="宋体" w:cs="宋体"/>
                <w:color w:val="auto"/>
                <w:szCs w:val="21"/>
                <w:highlight w:val="none"/>
                <w:lang w:val="zh-CN"/>
              </w:rPr>
              <w:t>分。</w:t>
            </w:r>
          </w:p>
          <w:p w14:paraId="0AF9EC48">
            <w:pPr>
              <w:widowControl/>
              <w:adjustRightInd/>
              <w:spacing w:line="400" w:lineRule="exact"/>
              <w:contextualSpacing/>
              <w:rPr>
                <w:rFonts w:hint="eastAsia" w:ascii="宋体" w:hAnsi="宋体" w:cs="宋体"/>
                <w:color w:val="auto"/>
                <w:szCs w:val="21"/>
                <w:highlight w:val="none"/>
                <w:lang w:val="zh-CN"/>
              </w:rPr>
            </w:pPr>
            <w:r>
              <w:rPr>
                <w:rFonts w:hint="eastAsia" w:ascii="宋体" w:hAnsi="宋体" w:cs="宋体"/>
                <w:color w:val="auto"/>
                <w:szCs w:val="21"/>
                <w:highlight w:val="none"/>
                <w:lang w:val="zh-CN"/>
              </w:rPr>
              <w:t>其他供应商的价格分按照下列公式计算：</w:t>
            </w:r>
          </w:p>
          <w:p w14:paraId="5D12D833">
            <w:pPr>
              <w:widowControl/>
              <w:adjustRightInd/>
              <w:spacing w:line="400" w:lineRule="exact"/>
              <w:contextualSpacing/>
              <w:rPr>
                <w:rFonts w:hint="eastAsia" w:ascii="宋体" w:hAnsi="宋体" w:cs="宋体"/>
                <w:color w:val="auto"/>
                <w:szCs w:val="21"/>
                <w:highlight w:val="none"/>
                <w:lang w:val="zh-CN"/>
              </w:rPr>
            </w:pPr>
            <w:r>
              <w:rPr>
                <w:rFonts w:hint="eastAsia" w:ascii="宋体" w:hAnsi="宋体" w:cs="宋体"/>
                <w:color w:val="auto"/>
                <w:szCs w:val="21"/>
                <w:highlight w:val="none"/>
                <w:lang w:val="zh-CN"/>
              </w:rPr>
              <w:t>价格分=（评标基准价/各供应商参与评审的价格）×</w:t>
            </w:r>
            <w:r>
              <w:rPr>
                <w:rFonts w:hint="eastAsia" w:ascii="宋体" w:hAnsi="宋体" w:cs="宋体"/>
                <w:color w:val="auto"/>
                <w:szCs w:val="21"/>
                <w:highlight w:val="none"/>
              </w:rPr>
              <w:t>20</w:t>
            </w:r>
            <w:r>
              <w:rPr>
                <w:rFonts w:hint="eastAsia" w:ascii="宋体" w:hAnsi="宋体" w:cs="宋体"/>
                <w:color w:val="auto"/>
                <w:szCs w:val="21"/>
                <w:highlight w:val="none"/>
                <w:lang w:val="zh-CN"/>
              </w:rPr>
              <w:t>％×100。</w:t>
            </w:r>
          </w:p>
          <w:p w14:paraId="6F9BF591">
            <w:pPr>
              <w:widowControl/>
              <w:adjustRightInd/>
              <w:spacing w:line="400" w:lineRule="exact"/>
              <w:contextualSpacing/>
              <w:rPr>
                <w:rFonts w:hint="eastAsia" w:ascii="宋体" w:hAnsi="宋体"/>
                <w:color w:val="auto"/>
                <w:szCs w:val="21"/>
                <w:highlight w:val="none"/>
              </w:rPr>
            </w:pPr>
            <w:r>
              <w:rPr>
                <w:rFonts w:hint="eastAsia" w:ascii="宋体" w:hAnsi="宋体" w:cs="宋体"/>
                <w:color w:val="auto"/>
                <w:szCs w:val="21"/>
                <w:highlight w:val="none"/>
                <w:lang w:val="zh-CN"/>
              </w:rPr>
              <w:t>注：价格得分小数点后保留2位数。</w:t>
            </w:r>
          </w:p>
        </w:tc>
        <w:tc>
          <w:tcPr>
            <w:tcW w:w="1066" w:type="dxa"/>
            <w:tcBorders>
              <w:right w:val="double" w:color="auto" w:sz="4" w:space="0"/>
            </w:tcBorders>
            <w:noWrap w:val="0"/>
            <w:vAlign w:val="center"/>
          </w:tcPr>
          <w:p w14:paraId="33F65430">
            <w:pPr>
              <w:widowControl/>
              <w:adjustRightInd/>
              <w:spacing w:line="400" w:lineRule="exact"/>
              <w:contextualSpacing/>
              <w:jc w:val="center"/>
              <w:rPr>
                <w:rFonts w:hint="default" w:ascii="宋体" w:hAnsi="宋体" w:eastAsia="宋体"/>
                <w:color w:val="auto"/>
                <w:szCs w:val="21"/>
                <w:highlight w:val="none"/>
                <w:lang w:val="en-US" w:eastAsia="zh-CN"/>
              </w:rPr>
            </w:pPr>
            <w:r>
              <w:rPr>
                <w:rFonts w:hint="eastAsia" w:ascii="宋体" w:hAnsi="宋体" w:cs="宋体"/>
                <w:color w:val="auto"/>
                <w:szCs w:val="21"/>
                <w:highlight w:val="none"/>
              </w:rPr>
              <w:t>20</w:t>
            </w:r>
          </w:p>
        </w:tc>
      </w:tr>
      <w:tr w14:paraId="5F04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52" w:type="dxa"/>
            <w:gridSpan w:val="2"/>
            <w:tcBorders>
              <w:left w:val="double" w:color="auto" w:sz="4" w:space="0"/>
              <w:bottom w:val="double" w:color="auto" w:sz="4" w:space="0"/>
            </w:tcBorders>
            <w:noWrap w:val="0"/>
            <w:vAlign w:val="center"/>
          </w:tcPr>
          <w:p w14:paraId="7752A16F">
            <w:pPr>
              <w:wordWrap w:val="0"/>
              <w:jc w:val="center"/>
              <w:rPr>
                <w:rFonts w:ascii="宋体" w:hAnsi="宋体"/>
                <w:color w:val="auto"/>
                <w:szCs w:val="21"/>
                <w:highlight w:val="none"/>
              </w:rPr>
            </w:pPr>
            <w:r>
              <w:rPr>
                <w:rFonts w:hint="eastAsia" w:ascii="宋体" w:hAnsi="宋体"/>
                <w:color w:val="auto"/>
                <w:szCs w:val="21"/>
                <w:highlight w:val="none"/>
              </w:rPr>
              <w:t>报价得分（</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c>
          <w:tcPr>
            <w:tcW w:w="1066" w:type="dxa"/>
            <w:tcBorders>
              <w:bottom w:val="double" w:color="auto" w:sz="4" w:space="0"/>
              <w:right w:val="double" w:color="auto" w:sz="4" w:space="0"/>
            </w:tcBorders>
            <w:noWrap w:val="0"/>
            <w:vAlign w:val="center"/>
          </w:tcPr>
          <w:p w14:paraId="144842C1">
            <w:pPr>
              <w:wordWrap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r>
    </w:tbl>
    <w:p w14:paraId="6DFE8F08">
      <w:pPr>
        <w:wordWrap w:val="0"/>
        <w:spacing w:line="400" w:lineRule="exact"/>
        <w:rPr>
          <w:rFonts w:ascii="宋体" w:hAnsi="宋体"/>
          <w:color w:val="auto"/>
          <w:sz w:val="28"/>
          <w:szCs w:val="28"/>
          <w:highlight w:val="none"/>
        </w:rPr>
      </w:pPr>
    </w:p>
    <w:p w14:paraId="6CF4F32B">
      <w:pPr>
        <w:wordWrap w:val="0"/>
        <w:spacing w:line="400" w:lineRule="exact"/>
        <w:jc w:val="center"/>
        <w:outlineLvl w:val="0"/>
        <w:rPr>
          <w:rFonts w:hint="eastAsia" w:ascii="宋体" w:hAnsi="宋体"/>
          <w:b/>
          <w:color w:val="auto"/>
          <w:sz w:val="32"/>
          <w:highlight w:val="none"/>
        </w:rPr>
      </w:pPr>
      <w:r>
        <w:rPr>
          <w:rFonts w:ascii="宋体" w:hAnsi="宋体"/>
          <w:b/>
          <w:color w:val="auto"/>
          <w:sz w:val="32"/>
          <w:highlight w:val="none"/>
        </w:rPr>
        <w:br w:type="page"/>
      </w:r>
      <w:bookmarkStart w:id="66" w:name="_Toc135513220"/>
      <w:r>
        <w:rPr>
          <w:rFonts w:hint="eastAsia" w:ascii="宋体" w:hAnsi="宋体"/>
          <w:b/>
          <w:color w:val="auto"/>
          <w:sz w:val="32"/>
          <w:highlight w:val="none"/>
        </w:rPr>
        <w:t>第六章</w:t>
      </w:r>
      <w:r>
        <w:rPr>
          <w:rFonts w:ascii="宋体" w:hAnsi="宋体"/>
          <w:b/>
          <w:color w:val="auto"/>
          <w:sz w:val="32"/>
          <w:highlight w:val="none"/>
        </w:rPr>
        <w:t xml:space="preserve">  </w:t>
      </w:r>
      <w:r>
        <w:rPr>
          <w:rFonts w:hint="eastAsia" w:ascii="宋体" w:hAnsi="宋体"/>
          <w:b/>
          <w:color w:val="auto"/>
          <w:sz w:val="32"/>
          <w:highlight w:val="none"/>
        </w:rPr>
        <w:t>采购合同</w:t>
      </w:r>
      <w:bookmarkEnd w:id="66"/>
      <w:r>
        <w:rPr>
          <w:rFonts w:hint="eastAsia" w:ascii="宋体" w:hAnsi="宋体"/>
          <w:b/>
          <w:color w:val="auto"/>
          <w:sz w:val="32"/>
          <w:highlight w:val="none"/>
        </w:rPr>
        <w:t>（参考式样）</w:t>
      </w:r>
    </w:p>
    <w:p w14:paraId="7DAAB88B">
      <w:pPr>
        <w:rPr>
          <w:rFonts w:hint="eastAsia"/>
          <w:color w:val="auto"/>
          <w:highlight w:val="none"/>
        </w:rPr>
      </w:pPr>
    </w:p>
    <w:p w14:paraId="2C18FD7B">
      <w:pPr>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zh-CN" w:eastAsia="zh-CN"/>
        </w:rPr>
        <w:t>2026年-2028年鄞州区下应、潘火、首南三街道道路桥梁日常养护</w:t>
      </w:r>
      <w:r>
        <w:rPr>
          <w:rFonts w:hint="eastAsia" w:ascii="宋体" w:hAnsi="宋体" w:eastAsia="宋体" w:cs="Times New Roman"/>
          <w:color w:val="auto"/>
          <w:sz w:val="24"/>
          <w:szCs w:val="24"/>
          <w:highlight w:val="none"/>
          <w:lang w:eastAsia="zh-CN"/>
        </w:rPr>
        <w:t>合同</w:t>
      </w:r>
    </w:p>
    <w:p w14:paraId="33A1C4BD">
      <w:pPr>
        <w:bidi w:val="0"/>
        <w:rPr>
          <w:rFonts w:hint="eastAsia"/>
          <w:color w:val="auto"/>
          <w:highlight w:val="none"/>
          <w:lang w:val="en-US" w:eastAsia="zh-CN"/>
        </w:rPr>
      </w:pPr>
    </w:p>
    <w:p w14:paraId="498EAC47">
      <w:pPr>
        <w:keepNext w:val="0"/>
        <w:keepLines w:val="0"/>
        <w:pageBreakBefore w:val="0"/>
        <w:kinsoku/>
        <w:wordWrap/>
        <w:overflowPunct/>
        <w:topLinePunct w:val="0"/>
        <w:bidi w:val="0"/>
        <w:adjustRightInd/>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（以下简称甲方）</w:t>
      </w:r>
    </w:p>
    <w:p w14:paraId="24C1408E">
      <w:pPr>
        <w:keepNext w:val="0"/>
        <w:keepLines w:val="0"/>
        <w:pageBreakBefore w:val="0"/>
        <w:kinsoku/>
        <w:wordWrap/>
        <w:overflowPunct/>
        <w:topLinePunct w:val="0"/>
        <w:bidi w:val="0"/>
        <w:adjustRightInd/>
        <w:snapToGri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（以下简称乙方）</w:t>
      </w:r>
    </w:p>
    <w:p w14:paraId="33CBB381">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根据</w:t>
      </w:r>
      <w:r>
        <w:rPr>
          <w:rFonts w:hint="eastAsia" w:ascii="宋体" w:hAnsi="宋体" w:eastAsia="宋体" w:cs="宋体"/>
          <w:color w:val="auto"/>
          <w:sz w:val="21"/>
          <w:szCs w:val="21"/>
          <w:highlight w:val="none"/>
        </w:rPr>
        <w:t>《中华人民共和国民法典》</w:t>
      </w:r>
      <w:r>
        <w:rPr>
          <w:rFonts w:hint="eastAsia" w:ascii="宋体" w:hAnsi="宋体" w:eastAsia="宋体" w:cs="宋体"/>
          <w:snapToGrid w:val="0"/>
          <w:color w:val="auto"/>
          <w:sz w:val="21"/>
          <w:szCs w:val="21"/>
          <w:highlight w:val="none"/>
        </w:rPr>
        <w:t>等有关法律法规精神，</w:t>
      </w:r>
      <w:r>
        <w:rPr>
          <w:rFonts w:hint="eastAsia" w:ascii="宋体" w:hAnsi="宋体" w:eastAsia="宋体" w:cs="宋体"/>
          <w:color w:val="auto"/>
          <w:sz w:val="21"/>
          <w:szCs w:val="21"/>
          <w:highlight w:val="none"/>
        </w:rPr>
        <w:t>甲、乙双方根据</w:t>
      </w:r>
      <w:r>
        <w:rPr>
          <w:rFonts w:hint="eastAsia" w:ascii="宋体" w:hAnsi="宋体" w:cs="宋体"/>
          <w:color w:val="auto"/>
          <w:sz w:val="21"/>
          <w:szCs w:val="21"/>
          <w:highlight w:val="none"/>
          <w:lang w:val="en-US" w:eastAsia="zh-CN"/>
        </w:rPr>
        <w:t>2026年-2028年鄞州区下应、潘火、首南三街道道路桥梁日常养护项目</w:t>
      </w:r>
      <w:r>
        <w:rPr>
          <w:rFonts w:hint="eastAsia" w:ascii="宋体" w:hAnsi="宋体" w:eastAsia="宋体" w:cs="宋体"/>
          <w:color w:val="auto"/>
          <w:sz w:val="21"/>
          <w:szCs w:val="21"/>
          <w:highlight w:val="none"/>
        </w:rPr>
        <w:t>（招标编号：</w:t>
      </w:r>
      <w:r>
        <w:rPr>
          <w:rFonts w:hint="eastAsia" w:ascii="宋体" w:hAnsi="宋体" w:cs="宋体"/>
          <w:color w:val="auto"/>
          <w:sz w:val="21"/>
          <w:szCs w:val="21"/>
          <w:highlight w:val="none"/>
          <w:lang w:val="en-US" w:eastAsia="zh-CN"/>
        </w:rPr>
        <w:t>NBITC-202620214G</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公开招投标的结果，</w:t>
      </w:r>
      <w:r>
        <w:rPr>
          <w:rFonts w:hint="eastAsia" w:ascii="宋体" w:hAnsi="宋体" w:eastAsia="宋体" w:cs="宋体"/>
          <w:snapToGrid w:val="0"/>
          <w:color w:val="auto"/>
          <w:sz w:val="21"/>
          <w:szCs w:val="21"/>
          <w:highlight w:val="none"/>
        </w:rPr>
        <w:t>经协商达成以下条款</w:t>
      </w:r>
      <w:r>
        <w:rPr>
          <w:rFonts w:hint="eastAsia" w:ascii="宋体" w:hAnsi="宋体" w:eastAsia="宋体" w:cs="宋体"/>
          <w:color w:val="auto"/>
          <w:sz w:val="21"/>
          <w:szCs w:val="21"/>
          <w:highlight w:val="none"/>
        </w:rPr>
        <w:t>，根据相关规定订立本合同。</w:t>
      </w:r>
    </w:p>
    <w:p w14:paraId="231AB1E7">
      <w:pPr>
        <w:keepNext w:val="0"/>
        <w:keepLines w:val="0"/>
        <w:pageBreakBefore w:val="0"/>
        <w:kinsoku/>
        <w:wordWrap/>
        <w:overflowPunct/>
        <w:topLinePunct w:val="0"/>
        <w:bidi w:val="0"/>
        <w:adjustRightInd/>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一、项目名称、</w:t>
      </w:r>
      <w:r>
        <w:rPr>
          <w:rFonts w:hint="eastAsia" w:ascii="宋体" w:hAnsi="宋体" w:eastAsia="宋体" w:cs="宋体"/>
          <w:b/>
          <w:color w:val="auto"/>
          <w:sz w:val="21"/>
          <w:szCs w:val="21"/>
          <w:highlight w:val="none"/>
          <w:lang w:eastAsia="zh-CN"/>
        </w:rPr>
        <w:t>合同履约期限</w:t>
      </w:r>
      <w:r>
        <w:rPr>
          <w:rFonts w:hint="eastAsia" w:ascii="宋体" w:hAnsi="宋体" w:eastAsia="宋体" w:cs="宋体"/>
          <w:b/>
          <w:color w:val="auto"/>
          <w:sz w:val="21"/>
          <w:szCs w:val="21"/>
          <w:highlight w:val="none"/>
        </w:rPr>
        <w:t>、服务内容</w:t>
      </w:r>
    </w:p>
    <w:p w14:paraId="2B16FB73">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1、项目名称：</w:t>
      </w:r>
      <w:r>
        <w:rPr>
          <w:rFonts w:hint="eastAsia" w:ascii="宋体" w:hAnsi="宋体" w:cs="宋体"/>
          <w:color w:val="auto"/>
          <w:sz w:val="21"/>
          <w:szCs w:val="21"/>
          <w:highlight w:val="none"/>
          <w:lang w:eastAsia="zh-CN"/>
        </w:rPr>
        <w:t>2026年-2028年鄞州区下应、潘火、首南三街道道路桥梁日常养护项目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 xml:space="preserve">标项  </w:t>
      </w:r>
      <w:r>
        <w:rPr>
          <w:rFonts w:hint="eastAsia" w:ascii="宋体" w:hAnsi="宋体" w:eastAsia="宋体" w:cs="宋体"/>
          <w:color w:val="auto"/>
          <w:sz w:val="21"/>
          <w:szCs w:val="21"/>
          <w:highlight w:val="none"/>
          <w:lang w:val="zh-CN" w:eastAsia="zh-CN"/>
        </w:rPr>
        <w:t>）</w:t>
      </w:r>
    </w:p>
    <w:p w14:paraId="69A3C47C">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合同履约期限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采用“1+1”模式，总期限</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年，合同一年一签；</w:t>
      </w:r>
      <w:r>
        <w:rPr>
          <w:rFonts w:hint="eastAsia" w:ascii="宋体" w:hAnsi="宋体" w:eastAsia="宋体" w:cs="宋体"/>
          <w:color w:val="auto"/>
          <w:sz w:val="21"/>
          <w:szCs w:val="21"/>
          <w:highlight w:val="none"/>
        </w:rPr>
        <w:t>第一阶段自合同签订之日起1年，即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r>
        <w:rPr>
          <w:rFonts w:hint="eastAsia" w:ascii="宋体" w:hAnsi="宋体" w:cs="宋体"/>
          <w:color w:val="auto"/>
          <w:sz w:val="21"/>
          <w:szCs w:val="21"/>
          <w:highlight w:val="none"/>
          <w:lang w:val="en-US" w:eastAsia="zh-CN"/>
        </w:rPr>
        <w:t>下一</w:t>
      </w:r>
      <w:r>
        <w:rPr>
          <w:rFonts w:hint="eastAsia" w:ascii="宋体" w:hAnsi="宋体" w:eastAsia="宋体" w:cs="宋体"/>
          <w:color w:val="auto"/>
          <w:sz w:val="21"/>
          <w:szCs w:val="21"/>
          <w:highlight w:val="none"/>
        </w:rPr>
        <w:t>年由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在上一年度合同履约及养护考核等情况决定是否续签（若因政策调整、养护模式或养护经费调整等客观情况需要重新进行招标的，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有权单方面终止合同）。</w:t>
      </w:r>
    </w:p>
    <w:p w14:paraId="52C28AFE">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3、本项目服务范围：</w:t>
      </w:r>
      <w:r>
        <w:rPr>
          <w:rFonts w:hint="eastAsia" w:ascii="宋体" w:hAnsi="宋体" w:cs="宋体"/>
          <w:color w:val="auto"/>
          <w:sz w:val="21"/>
          <w:szCs w:val="21"/>
          <w:highlight w:val="none"/>
          <w:lang w:eastAsia="zh-CN"/>
        </w:rPr>
        <w:t>鄞州区下应、潘火、首南三街道道路桥梁日常养护，</w:t>
      </w:r>
      <w:r>
        <w:rPr>
          <w:rFonts w:hint="eastAsia" w:ascii="宋体" w:hAnsi="宋体" w:cs="宋体"/>
          <w:color w:val="auto"/>
          <w:sz w:val="21"/>
          <w:szCs w:val="21"/>
          <w:highlight w:val="none"/>
          <w:lang w:val="en-US" w:eastAsia="zh-CN"/>
        </w:rPr>
        <w:t>具体详见招标文件。</w:t>
      </w:r>
    </w:p>
    <w:p w14:paraId="11297552">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4、服务内容：</w:t>
      </w:r>
    </w:p>
    <w:p w14:paraId="7CEA7CD2">
      <w:pPr>
        <w:adjustRightInd/>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w:t>
      </w:r>
      <w:r>
        <w:rPr>
          <w:rFonts w:hint="eastAsia" w:ascii="宋体" w:hAnsi="宋体"/>
          <w:color w:val="auto"/>
          <w:szCs w:val="21"/>
          <w:highlight w:val="none"/>
        </w:rPr>
        <w:t>日常养护维修</w:t>
      </w:r>
      <w:r>
        <w:rPr>
          <w:rFonts w:hint="eastAsia" w:ascii="宋体" w:hAnsi="宋体" w:cs="宋体"/>
          <w:color w:val="auto"/>
          <w:szCs w:val="21"/>
          <w:highlight w:val="none"/>
        </w:rPr>
        <w:t>组价原则：</w:t>
      </w:r>
    </w:p>
    <w:p w14:paraId="385B02CE">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ascii="宋体" w:hAnsi="宋体" w:cs="宋体"/>
          <w:bCs/>
          <w:color w:val="auto"/>
          <w:szCs w:val="21"/>
          <w:highlight w:val="none"/>
        </w:rPr>
        <w:t>.1</w:t>
      </w:r>
      <w:r>
        <w:rPr>
          <w:rFonts w:hint="eastAsia" w:ascii="宋体" w:hAnsi="宋体" w:cs="宋体"/>
          <w:bCs/>
          <w:color w:val="auto"/>
          <w:szCs w:val="21"/>
          <w:highlight w:val="none"/>
        </w:rPr>
        <w:t>定额套用：</w:t>
      </w:r>
    </w:p>
    <w:p w14:paraId="2E3C64B2">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定额套用《浙江省市政设施养护维修定额》（2018版）及省市现行有关计价规定的，综合费用按相应工程中值取费，施工组织措施费中提前竣工增加费不计，其余施工组织措施费按相应中值计取，规费、税金按相关规定计取。若有关营改增后发布的相关文件，按新文件执行。</w:t>
      </w:r>
    </w:p>
    <w:p w14:paraId="004F347B">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（2）沥青路面连续维修面积在400m</w:t>
      </w:r>
      <w:r>
        <w:rPr>
          <w:rFonts w:hint="eastAsia" w:ascii="宋体" w:hAnsi="宋体" w:cs="宋体"/>
          <w:bCs/>
          <w:color w:val="auto"/>
          <w:szCs w:val="21"/>
          <w:highlight w:val="none"/>
          <w:vertAlign w:val="superscript"/>
        </w:rPr>
        <w:t>2</w:t>
      </w:r>
      <w:r>
        <w:rPr>
          <w:rFonts w:hint="eastAsia" w:ascii="宋体" w:hAnsi="宋体" w:cs="宋体"/>
          <w:bCs/>
          <w:color w:val="auto"/>
          <w:szCs w:val="21"/>
          <w:highlight w:val="none"/>
        </w:rPr>
        <w:t>（含）以上或水泥混凝土路面连续维修面积在200m2（含）以上或人行道连续维修面积在200m</w:t>
      </w:r>
      <w:r>
        <w:rPr>
          <w:rFonts w:hint="eastAsia" w:ascii="宋体" w:hAnsi="宋体" w:cs="宋体"/>
          <w:bCs/>
          <w:color w:val="auto"/>
          <w:szCs w:val="21"/>
          <w:highlight w:val="none"/>
          <w:vertAlign w:val="superscript"/>
        </w:rPr>
        <w:t>2</w:t>
      </w:r>
      <w:r>
        <w:rPr>
          <w:rFonts w:hint="eastAsia" w:ascii="宋体" w:hAnsi="宋体" w:cs="宋体"/>
          <w:bCs/>
          <w:color w:val="auto"/>
          <w:szCs w:val="21"/>
          <w:highlight w:val="none"/>
        </w:rPr>
        <w:t>（含）以上或彩色沥青（含陶颗粒、sp材料）路面连续维修面积在200m</w:t>
      </w:r>
      <w:r>
        <w:rPr>
          <w:rFonts w:hint="eastAsia" w:ascii="宋体" w:hAnsi="宋体" w:cs="宋体"/>
          <w:bCs/>
          <w:color w:val="auto"/>
          <w:szCs w:val="21"/>
          <w:highlight w:val="none"/>
          <w:vertAlign w:val="superscript"/>
        </w:rPr>
        <w:t>2</w:t>
      </w:r>
      <w:r>
        <w:rPr>
          <w:rFonts w:hint="eastAsia" w:ascii="宋体" w:hAnsi="宋体" w:cs="宋体"/>
          <w:bCs/>
          <w:color w:val="auto"/>
          <w:szCs w:val="21"/>
          <w:highlight w:val="none"/>
        </w:rPr>
        <w:t>（含）以上的维修工程采用《浙江省市政工程预算定额》(2018版)等计价依据。按《关于颁发浙江省建设工程计价依据（2018版）的通知》浙建建﹝2018﹞61号文件规定执行，综合费用按相应工程三类中值取费，增值税税率按照《关于增值税调整后我省建设工程计价依据增值税税率及有关计价调整的通知》浙建建发〔2019〕92号。施工组织措施费中提前竣工增加费不计，其余施工组织措施费按相应中值计取。</w:t>
      </w:r>
    </w:p>
    <w:p w14:paraId="22C75D12">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5</w:t>
      </w:r>
      <w:r>
        <w:rPr>
          <w:rFonts w:ascii="宋体" w:hAnsi="宋体" w:cs="宋体"/>
          <w:bCs/>
          <w:color w:val="auto"/>
          <w:szCs w:val="21"/>
          <w:highlight w:val="none"/>
        </w:rPr>
        <w:t>.2</w:t>
      </w:r>
      <w:r>
        <w:rPr>
          <w:rFonts w:hint="eastAsia" w:ascii="宋体" w:hAnsi="宋体" w:cs="宋体"/>
          <w:bCs/>
          <w:color w:val="auto"/>
          <w:szCs w:val="21"/>
          <w:highlight w:val="none"/>
        </w:rPr>
        <w:t>若合同期间颁发新定额、计价时，则按新颁发的规定执行。</w:t>
      </w:r>
    </w:p>
    <w:p w14:paraId="777C5FAB">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5</w:t>
      </w:r>
      <w:r>
        <w:rPr>
          <w:rFonts w:ascii="宋体" w:hAnsi="宋体" w:cs="宋体"/>
          <w:bCs/>
          <w:color w:val="auto"/>
          <w:szCs w:val="21"/>
          <w:highlight w:val="none"/>
        </w:rPr>
        <w:t>.3</w:t>
      </w:r>
      <w:r>
        <w:rPr>
          <w:rFonts w:hint="eastAsia" w:ascii="宋体" w:hAnsi="宋体" w:cs="宋体"/>
          <w:bCs/>
          <w:color w:val="auto"/>
          <w:szCs w:val="21"/>
          <w:highlight w:val="none"/>
        </w:rPr>
        <w:t>材料价格按以下排序计入：</w:t>
      </w:r>
    </w:p>
    <w:p w14:paraId="7B5FE5A1">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材料价格参照《宁波建设工程造价信息》（综合版）施工当月的材料价格；《宁波建设工程造价信息》（综合版）中未列材料参照《浙江造价信息》（施工当月正刊）。明确《宁波建设工程造价信息》（建材商情版）和浙江建设工程造价信息网页资料的《价格信息》（简称“省副刊”）不能作为结算依据；</w:t>
      </w:r>
    </w:p>
    <w:p w14:paraId="4EDE845F">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（2）无信息价材料根据市场询价进行组价，最终以第三方审计单位审核价格为准；</w:t>
      </w:r>
    </w:p>
    <w:p w14:paraId="703036B4">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（3）其它有关规定。</w:t>
      </w:r>
    </w:p>
    <w:p w14:paraId="6EADAF36">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5</w:t>
      </w:r>
      <w:r>
        <w:rPr>
          <w:rFonts w:ascii="宋体" w:hAnsi="宋体" w:cs="宋体"/>
          <w:bCs/>
          <w:color w:val="auto"/>
          <w:szCs w:val="21"/>
          <w:highlight w:val="none"/>
        </w:rPr>
        <w:t>.4</w:t>
      </w:r>
      <w:r>
        <w:rPr>
          <w:rFonts w:hint="eastAsia" w:ascii="宋体" w:hAnsi="宋体" w:cs="宋体"/>
          <w:bCs/>
          <w:color w:val="auto"/>
          <w:szCs w:val="21"/>
          <w:highlight w:val="none"/>
        </w:rPr>
        <w:t>机械价格指数和人工价格：参照《宁波市建设工程造价信息》（施工当月综合版）。</w:t>
      </w:r>
    </w:p>
    <w:p w14:paraId="69BCBE34">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5</w:t>
      </w:r>
      <w:r>
        <w:rPr>
          <w:rFonts w:ascii="宋体" w:hAnsi="宋体" w:cs="宋体"/>
          <w:bCs/>
          <w:color w:val="auto"/>
          <w:szCs w:val="21"/>
          <w:highlight w:val="none"/>
        </w:rPr>
        <w:t>.5</w:t>
      </w:r>
      <w:r>
        <w:rPr>
          <w:rFonts w:hint="eastAsia" w:ascii="宋体" w:hAnsi="宋体" w:cs="宋体"/>
          <w:bCs/>
          <w:color w:val="auto"/>
          <w:szCs w:val="21"/>
          <w:highlight w:val="none"/>
        </w:rPr>
        <w:t>垃圾、余土及废渣外运(包括装、运输费及处置费等所有费用)工程量按实计取，要求乙方按规定规范外运、处置,否则，由此产生的一切问题及责任均由乙方自行承担。</w:t>
      </w:r>
    </w:p>
    <w:p w14:paraId="39282118">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5</w:t>
      </w:r>
      <w:r>
        <w:rPr>
          <w:rFonts w:ascii="宋体" w:hAnsi="宋体" w:cs="宋体"/>
          <w:bCs/>
          <w:color w:val="auto"/>
          <w:szCs w:val="21"/>
          <w:highlight w:val="none"/>
        </w:rPr>
        <w:t>.6</w:t>
      </w:r>
      <w:r>
        <w:rPr>
          <w:rFonts w:hint="eastAsia" w:ascii="宋体" w:hAnsi="宋体" w:cs="宋体"/>
          <w:bCs/>
          <w:color w:val="auto"/>
          <w:szCs w:val="21"/>
          <w:highlight w:val="none"/>
        </w:rPr>
        <w:t>保修期内针对相同破损位置的重复修复不计入结算金额。修补沥青坑槽时，因天气因素影响造成乙方无法按相关标准进行修复的，允许乙方用冷料直接填补作临时处理(临时处理费用参照沥青坑槽修补单价的一半进行结算；短期内同一地点重复用冷材料直接填补作应急处理的，只计算1次费用)，但应在天气好转后48小时内完成两次标准修复工作，且所用围护不计。</w:t>
      </w:r>
    </w:p>
    <w:p w14:paraId="331D19F5">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5</w:t>
      </w:r>
      <w:r>
        <w:rPr>
          <w:rFonts w:ascii="宋体" w:hAnsi="宋体" w:cs="宋体"/>
          <w:bCs/>
          <w:color w:val="auto"/>
          <w:szCs w:val="21"/>
          <w:highlight w:val="none"/>
        </w:rPr>
        <w:t>.7</w:t>
      </w:r>
      <w:r>
        <w:rPr>
          <w:rFonts w:hint="eastAsia" w:ascii="宋体" w:hAnsi="宋体" w:cs="宋体"/>
          <w:bCs/>
          <w:color w:val="auto"/>
          <w:szCs w:val="21"/>
          <w:highlight w:val="none"/>
        </w:rPr>
        <w:t>无定额组价的项目单价根据市场询价进行组价，最终以第三方审计单位审核价格为准，且在计量单明确。</w:t>
      </w:r>
    </w:p>
    <w:p w14:paraId="62315DA2">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5</w:t>
      </w:r>
      <w:r>
        <w:rPr>
          <w:rFonts w:ascii="宋体" w:hAnsi="宋体" w:cs="宋体"/>
          <w:bCs/>
          <w:color w:val="auto"/>
          <w:szCs w:val="21"/>
          <w:highlight w:val="none"/>
        </w:rPr>
        <w:t>.8</w:t>
      </w:r>
      <w:r>
        <w:rPr>
          <w:rFonts w:hint="eastAsia" w:ascii="宋体" w:hAnsi="宋体" w:cs="宋体"/>
          <w:bCs/>
          <w:color w:val="auto"/>
          <w:szCs w:val="21"/>
          <w:highlight w:val="none"/>
        </w:rPr>
        <w:t>若设施量增加或减少时，按实结算，中标折扣及包干费用将不作调整，乙方须无条件服从。</w:t>
      </w:r>
    </w:p>
    <w:p w14:paraId="35D11946">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5</w:t>
      </w:r>
      <w:r>
        <w:rPr>
          <w:rFonts w:ascii="宋体" w:hAnsi="宋体" w:cs="宋体"/>
          <w:bCs/>
          <w:color w:val="auto"/>
          <w:szCs w:val="21"/>
          <w:highlight w:val="none"/>
        </w:rPr>
        <w:t>.9</w:t>
      </w:r>
      <w:r>
        <w:rPr>
          <w:rFonts w:hint="eastAsia" w:ascii="宋体" w:hAnsi="宋体" w:cs="宋体"/>
          <w:bCs/>
          <w:color w:val="auto"/>
          <w:szCs w:val="21"/>
          <w:highlight w:val="none"/>
        </w:rPr>
        <w:t>安全文明施工费：安全文明施工费按实结算，应甲方要求提标的施工作业围护费一次性包干，不再单独计算。</w:t>
      </w:r>
    </w:p>
    <w:p w14:paraId="2C0A39F2">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5</w:t>
      </w:r>
      <w:r>
        <w:rPr>
          <w:rFonts w:ascii="宋体" w:hAnsi="宋体" w:cs="宋体"/>
          <w:bCs/>
          <w:color w:val="auto"/>
          <w:szCs w:val="21"/>
          <w:highlight w:val="none"/>
        </w:rPr>
        <w:t>.10</w:t>
      </w:r>
      <w:r>
        <w:rPr>
          <w:rFonts w:hint="eastAsia" w:ascii="宋体" w:hAnsi="宋体" w:cs="宋体"/>
          <w:bCs/>
          <w:color w:val="auto"/>
          <w:szCs w:val="21"/>
          <w:highlight w:val="none"/>
        </w:rPr>
        <w:t>安全文明施工及围挡要求：</w:t>
      </w:r>
    </w:p>
    <w:p w14:paraId="5548515E">
      <w:pPr>
        <w:adjustRightInd/>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根据《宁波市建设工程文明施工管理规定》、《宁波市建设工地围挡指导及标准范例（201</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版）》的要求进行人行道、机动车道等养护作业。围挡材料根据甲方要求确定，包括不少于600米的硬质围挡和满足施工要求的反光锥、连接杆、导改牌、警示灯等。人行道养护作业时长超过6小时的，必须使用1.2米高的铁制硬质围挡，并配合使用导改牌、警示灯，确保养护作业与行人安全；机动车道养护作业推荐使用反光锥、连接杆，并配合使用导改牌、警示灯，且做好防撞措施，确保养护作业与机动车安全。</w:t>
      </w:r>
    </w:p>
    <w:p w14:paraId="3062E397">
      <w:pPr>
        <w:adjustRightInd/>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eastAsia="zh-CN"/>
        </w:rPr>
        <w:t>6</w:t>
      </w:r>
      <w:r>
        <w:rPr>
          <w:rFonts w:hint="eastAsia" w:ascii="宋体" w:hAnsi="宋体" w:cs="宋体"/>
          <w:bCs/>
          <w:color w:val="auto"/>
          <w:szCs w:val="21"/>
          <w:highlight w:val="none"/>
        </w:rPr>
        <w:t>、</w:t>
      </w:r>
      <w:r>
        <w:rPr>
          <w:rFonts w:hint="eastAsia" w:ascii="宋体" w:hAnsi="宋体" w:cs="宋体"/>
          <w:color w:val="auto"/>
          <w:szCs w:val="21"/>
          <w:highlight w:val="none"/>
        </w:rPr>
        <w:t>保修期</w:t>
      </w:r>
    </w:p>
    <w:p w14:paraId="6F9585EE">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6</w:t>
      </w:r>
      <w:r>
        <w:rPr>
          <w:rFonts w:ascii="宋体" w:hAnsi="宋体" w:cs="宋体"/>
          <w:bCs/>
          <w:color w:val="auto"/>
          <w:szCs w:val="21"/>
          <w:highlight w:val="none"/>
        </w:rPr>
        <w:t>.1</w:t>
      </w:r>
      <w:r>
        <w:rPr>
          <w:rFonts w:hint="eastAsia" w:ascii="宋体" w:hAnsi="宋体" w:cs="宋体"/>
          <w:bCs/>
          <w:color w:val="auto"/>
          <w:szCs w:val="21"/>
          <w:highlight w:val="none"/>
        </w:rPr>
        <w:t>沥青坑槽修补保修期（面积≤5m2）为自通过验收合格之日起不少于6个月，人行道维修、沥青路面摊铺、及其它维修项目保修期自该项维修通过现场验收之日起不少于1年。（人行道如能提供人为破坏依据或道路因不适应现有交通量、载重量增长的需要及结构严重损坏等路段，经甲方同意可适当缩短保修期。）</w:t>
      </w:r>
    </w:p>
    <w:p w14:paraId="0E1FE7C5">
      <w:pPr>
        <w:adjustRightIn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6</w:t>
      </w:r>
      <w:r>
        <w:rPr>
          <w:rFonts w:ascii="宋体" w:hAnsi="宋体" w:cs="宋体"/>
          <w:bCs/>
          <w:color w:val="auto"/>
          <w:szCs w:val="21"/>
          <w:highlight w:val="none"/>
        </w:rPr>
        <w:t>.2</w:t>
      </w:r>
      <w:r>
        <w:rPr>
          <w:rFonts w:hint="eastAsia" w:ascii="宋体" w:hAnsi="宋体" w:cs="宋体"/>
          <w:bCs/>
          <w:color w:val="auto"/>
          <w:szCs w:val="21"/>
          <w:highlight w:val="none"/>
        </w:rPr>
        <w:t>保修期内针对相同破损位置的重复修复不计入结算金额；应甲方要求实施的大面积沥青铣刨摊铺、人行道专项维修导致的该范围内的零星维修在保修期内重复修复的，不做核减。坑槽修复宜优先使用热料，并使用沥青保温车或沥青再生车。修补沥青坑槽时，因天气等特殊因素影响造成乙方无法按相关标准进行修复的，允许乙方用冷材料直接填补以作应急处理(临时处理费用参照沥青坑槽修补单价的一半进行结算；短期内同一地点重复用冷材料直接填补作应急处理的，只计算1次费用)，但应在天气好转后48小时内完成二次修复工作（已列入大面积维修计划的，经甲方同意可暂缓二次修复）。在春节、专项检查等沥青厂统一停工期间，允许采用冷材料切割修补(临时处理费用参照沥青坑槽修补单价的一半进行结算)。气温低于10℃时，应使用保温车等设备进行坑槽热料修补。</w:t>
      </w:r>
    </w:p>
    <w:p w14:paraId="7C7511BA">
      <w:pPr>
        <w:adjustRightInd/>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cs="宋体"/>
          <w:bCs/>
          <w:color w:val="auto"/>
          <w:szCs w:val="21"/>
          <w:highlight w:val="none"/>
          <w:lang w:eastAsia="zh-CN"/>
        </w:rPr>
        <w:t>6</w:t>
      </w:r>
      <w:r>
        <w:rPr>
          <w:rFonts w:ascii="宋体" w:hAnsi="宋体" w:cs="宋体"/>
          <w:bCs/>
          <w:color w:val="auto"/>
          <w:szCs w:val="21"/>
          <w:highlight w:val="none"/>
        </w:rPr>
        <w:t>.3</w:t>
      </w:r>
      <w:r>
        <w:rPr>
          <w:rFonts w:hint="eastAsia" w:ascii="宋体" w:hAnsi="宋体" w:cs="宋体"/>
          <w:bCs/>
          <w:color w:val="auto"/>
          <w:szCs w:val="21"/>
          <w:highlight w:val="none"/>
        </w:rPr>
        <w:t>已维修的设施因施工不当、质量不符要求、或是在合同履约期间、保修期内再次受损的，由乙方负责保修，对于乙方拒不整改、或是整改后仍达不到相关标准的，甲方有权向乙方扣罚该部分工程量的相应费用。</w:t>
      </w:r>
    </w:p>
    <w:p w14:paraId="6E899A2E">
      <w:pPr>
        <w:keepNext w:val="0"/>
        <w:keepLines w:val="0"/>
        <w:pageBreakBefore w:val="0"/>
        <w:kinsoku/>
        <w:wordWrap/>
        <w:overflowPunct/>
        <w:topLinePunct w:val="0"/>
        <w:bidi w:val="0"/>
        <w:adjustRightInd/>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二、养护标准</w:t>
      </w:r>
    </w:p>
    <w:p w14:paraId="2314EFDC">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《城镇道路养护技术规范》CJJ-2016</w:t>
      </w:r>
    </w:p>
    <w:p w14:paraId="1ABD8662">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《城市桥梁养护技术标准》CJJ-2017</w:t>
      </w:r>
    </w:p>
    <w:p w14:paraId="2C269C78">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《城镇道路工程施工与质量验收规范》CJJ 1-2008</w:t>
      </w:r>
    </w:p>
    <w:p w14:paraId="18A1761C">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《公路沥青路面养护技术规范》JTG5142-2019</w:t>
      </w:r>
    </w:p>
    <w:p w14:paraId="0A3FE888">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《公路沥青路面施工技术规范》JTGF40-2004</w:t>
      </w:r>
    </w:p>
    <w:p w14:paraId="5A73940D">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《公路工程施工安全技术规程》JTGF90-2015</w:t>
      </w:r>
    </w:p>
    <w:p w14:paraId="47FD5FDF">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《公路水泥混凝土路面施工技术细则》TJG/T F30-2014</w:t>
      </w:r>
    </w:p>
    <w:p w14:paraId="6314780A">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《公路沥青路面再生技术规范》JTG/T5521-2019</w:t>
      </w:r>
    </w:p>
    <w:p w14:paraId="6F8F6AAB">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《公路水泥混凝土路面再生利用技术细则》JTG/T F31-2014</w:t>
      </w:r>
    </w:p>
    <w:p w14:paraId="41C24F5E">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《公路桥涵施工技术规范》JTG/T3650-2020</w:t>
      </w:r>
    </w:p>
    <w:p w14:paraId="4F99A8D1">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《宁波市建设工程文明施工管理规定》</w:t>
      </w:r>
    </w:p>
    <w:p w14:paraId="4C5B1B47">
      <w:pPr>
        <w:tabs>
          <w:tab w:val="left" w:pos="0"/>
        </w:tabs>
        <w:adjustRightInd/>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《宁波市建设工地围挡指导及标准范例（201</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版）》</w:t>
      </w:r>
    </w:p>
    <w:p w14:paraId="56E823DC">
      <w:pPr>
        <w:spacing w:line="360" w:lineRule="auto"/>
        <w:ind w:firstLine="420" w:firstLineChars="200"/>
        <w:contextualSpacing/>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1</w:t>
      </w:r>
      <w:r>
        <w:rPr>
          <w:rFonts w:hint="eastAsia" w:ascii="宋体" w:hAnsi="宋体" w:cs="宋体"/>
          <w:bCs/>
          <w:color w:val="auto"/>
          <w:szCs w:val="21"/>
          <w:highlight w:val="none"/>
          <w:lang w:val="en-US" w:eastAsia="zh-CN" w:bidi="ar"/>
        </w:rPr>
        <w:t>3.</w:t>
      </w:r>
      <w:r>
        <w:rPr>
          <w:rFonts w:hint="eastAsia" w:ascii="宋体" w:hAnsi="宋体" w:cs="宋体"/>
          <w:bCs/>
          <w:color w:val="auto"/>
          <w:szCs w:val="21"/>
          <w:highlight w:val="none"/>
          <w:lang w:bidi="ar"/>
        </w:rPr>
        <w:t>《宁波市市政设施管理条例》（2016年）</w:t>
      </w:r>
    </w:p>
    <w:p w14:paraId="31A8B09D">
      <w:pPr>
        <w:spacing w:line="360" w:lineRule="auto"/>
        <w:ind w:firstLine="420" w:firstLineChars="200"/>
        <w:contextualSpacing/>
        <w:rPr>
          <w:rFonts w:hint="eastAsia" w:ascii="宋体" w:hAnsi="宋体" w:cs="宋体"/>
          <w:bCs/>
          <w:color w:val="auto"/>
          <w:szCs w:val="21"/>
          <w:highlight w:val="none"/>
          <w:lang w:bidi="ar"/>
        </w:rPr>
      </w:pPr>
      <w:r>
        <w:rPr>
          <w:rFonts w:hint="eastAsia" w:ascii="宋体" w:hAnsi="宋体" w:cs="宋体"/>
          <w:bCs/>
          <w:color w:val="auto"/>
          <w:szCs w:val="21"/>
          <w:highlight w:val="none"/>
          <w:lang w:val="en-US" w:eastAsia="zh-CN" w:bidi="ar"/>
        </w:rPr>
        <w:t>14.</w:t>
      </w:r>
      <w:r>
        <w:rPr>
          <w:rFonts w:hint="eastAsia" w:ascii="宋体" w:hAnsi="宋体" w:cs="宋体"/>
          <w:bCs/>
          <w:color w:val="auto"/>
          <w:szCs w:val="21"/>
          <w:highlight w:val="none"/>
          <w:lang w:bidi="ar"/>
        </w:rPr>
        <w:t>《宁波市城市道路养护技术规程》（DB3302/T 1069-2016）</w:t>
      </w:r>
    </w:p>
    <w:p w14:paraId="5BE538F1">
      <w:pPr>
        <w:adjustRightInd/>
        <w:spacing w:line="360" w:lineRule="auto"/>
        <w:ind w:firstLine="420" w:firstLineChars="200"/>
        <w:contextualSpacing/>
        <w:rPr>
          <w:rFonts w:hint="eastAsia" w:ascii="宋体" w:hAnsi="宋体" w:cs="宋体"/>
          <w:color w:val="auto"/>
          <w:kern w:val="0"/>
          <w:szCs w:val="21"/>
          <w:highlight w:val="none"/>
        </w:rPr>
      </w:pPr>
      <w:r>
        <w:rPr>
          <w:rFonts w:hint="eastAsia" w:ascii="宋体" w:hAnsi="宋体" w:cs="宋体"/>
          <w:bCs/>
          <w:color w:val="auto"/>
          <w:szCs w:val="21"/>
          <w:highlight w:val="none"/>
          <w:lang w:bidi="ar"/>
        </w:rPr>
        <w:t>1</w:t>
      </w:r>
      <w:r>
        <w:rPr>
          <w:rFonts w:hint="eastAsia" w:ascii="宋体" w:hAnsi="宋体" w:cs="宋体"/>
          <w:bCs/>
          <w:color w:val="auto"/>
          <w:szCs w:val="21"/>
          <w:highlight w:val="none"/>
          <w:lang w:val="en-US" w:eastAsia="zh-CN" w:bidi="ar"/>
        </w:rPr>
        <w:t>5.</w:t>
      </w:r>
      <w:r>
        <w:rPr>
          <w:rFonts w:hint="eastAsia" w:ascii="宋体" w:hAnsi="宋体" w:cs="宋体"/>
          <w:bCs/>
          <w:color w:val="auto"/>
          <w:szCs w:val="21"/>
          <w:highlight w:val="none"/>
          <w:lang w:bidi="ar"/>
        </w:rPr>
        <w:t>《关于推进宁波市市政设施精细化管理工作的通知》（2020年）</w:t>
      </w:r>
    </w:p>
    <w:p w14:paraId="086617DD">
      <w:pPr>
        <w:tabs>
          <w:tab w:val="left" w:pos="0"/>
        </w:tabs>
        <w:adjustRightIn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国家、浙江省、宁波市及鄞州区有关政策规定以及其它采购人认可的标准及规范。</w:t>
      </w:r>
    </w:p>
    <w:p w14:paraId="6EFEDA1F">
      <w:pPr>
        <w:keepNext w:val="0"/>
        <w:keepLines w:val="0"/>
        <w:pageBreakBefore w:val="0"/>
        <w:kinsoku/>
        <w:wordWrap/>
        <w:overflowPunct/>
        <w:topLinePunct w:val="0"/>
        <w:bidi w:val="0"/>
        <w:adjustRightInd/>
        <w:snapToGrid/>
        <w:spacing w:line="360" w:lineRule="auto"/>
        <w:ind w:firstLine="422" w:firstLineChars="200"/>
        <w:contextualSpacing/>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注:以上技术标准和规章制度如有更新，以最新版本执行。</w:t>
      </w:r>
    </w:p>
    <w:p w14:paraId="7EB9B77B">
      <w:pPr>
        <w:keepNext w:val="0"/>
        <w:keepLines w:val="0"/>
        <w:pageBreakBefore w:val="0"/>
        <w:kinsoku/>
        <w:wordWrap/>
        <w:overflowPunct/>
        <w:topLinePunct w:val="0"/>
        <w:bidi w:val="0"/>
        <w:adjustRightInd/>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三、合同金额及付款方式</w:t>
      </w:r>
    </w:p>
    <w:p w14:paraId="7D4C15BE">
      <w:pPr>
        <w:keepNext w:val="0"/>
        <w:keepLines w:val="0"/>
        <w:pageBreakBefore w:val="0"/>
        <w:kinsoku/>
        <w:wordWrap/>
        <w:overflowPunct/>
        <w:topLinePunct w:val="0"/>
        <w:bidi w:val="0"/>
        <w:adjustRightInd/>
        <w:snapToGrid/>
        <w:spacing w:line="360" w:lineRule="auto"/>
        <w:ind w:firstLine="422" w:firstLineChars="200"/>
        <w:contextualSpacing/>
        <w:rPr>
          <w:rFonts w:hint="default" w:cs="宋体"/>
          <w:b/>
          <w:bCs/>
          <w:color w:val="auto"/>
          <w:sz w:val="21"/>
          <w:szCs w:val="21"/>
          <w:highlight w:val="none"/>
          <w:lang w:val="en-US" w:eastAsia="zh-CN" w:bidi="ar"/>
        </w:rPr>
      </w:pPr>
      <w:r>
        <w:rPr>
          <w:rFonts w:hint="eastAsia" w:cs="宋体"/>
          <w:b/>
          <w:bCs/>
          <w:color w:val="auto"/>
          <w:sz w:val="21"/>
          <w:szCs w:val="21"/>
          <w:highlight w:val="none"/>
          <w:lang w:val="en-US" w:eastAsia="zh-CN" w:bidi="ar"/>
        </w:rPr>
        <w:t>本项目中标统一折扣为：   %；日常养护费用（包干费用）为：    元，由甲方支付；零星维修费用按实结算，由甲方确定的保险公司支付。具体方式为：</w:t>
      </w:r>
    </w:p>
    <w:p w14:paraId="0B6EF92F">
      <w:pPr>
        <w:pStyle w:val="2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2" w:firstLineChars="200"/>
        <w:contextualSpacing/>
        <w:textAlignment w:val="auto"/>
        <w:rPr>
          <w:rFonts w:hint="eastAsia" w:cs="宋体"/>
          <w:b/>
          <w:bCs/>
          <w:color w:val="auto"/>
          <w:sz w:val="21"/>
          <w:szCs w:val="21"/>
          <w:highlight w:val="none"/>
          <w:lang w:val="en-US" w:eastAsia="zh-CN" w:bidi="ar"/>
        </w:rPr>
      </w:pPr>
      <w:r>
        <w:rPr>
          <w:rFonts w:hint="eastAsia" w:cs="宋体"/>
          <w:b/>
          <w:bCs/>
          <w:color w:val="auto"/>
          <w:sz w:val="21"/>
          <w:szCs w:val="21"/>
          <w:highlight w:val="none"/>
          <w:lang w:val="en-US" w:eastAsia="zh-CN" w:bidi="ar"/>
        </w:rPr>
        <w:t>1、日常</w:t>
      </w:r>
      <w:r>
        <w:rPr>
          <w:rFonts w:hint="eastAsia" w:cs="宋体"/>
          <w:b/>
          <w:bCs/>
          <w:color w:val="auto"/>
          <w:sz w:val="21"/>
          <w:szCs w:val="21"/>
          <w:highlight w:val="none"/>
          <w:lang w:bidi="ar"/>
        </w:rPr>
        <w:t>养护费</w:t>
      </w:r>
      <w:r>
        <w:rPr>
          <w:rFonts w:hint="eastAsia" w:cs="宋体"/>
          <w:b/>
          <w:bCs/>
          <w:color w:val="auto"/>
          <w:sz w:val="21"/>
          <w:szCs w:val="21"/>
          <w:highlight w:val="none"/>
          <w:lang w:val="en-US" w:eastAsia="zh-CN" w:bidi="ar"/>
        </w:rPr>
        <w:t>用（包干费用，按月支付）：</w:t>
      </w:r>
    </w:p>
    <w:p w14:paraId="6409246C">
      <w:pPr>
        <w:pStyle w:val="2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0" w:firstLineChars="200"/>
        <w:contextualSpacing/>
        <w:textAlignment w:val="auto"/>
        <w:rPr>
          <w:rFonts w:cs="宋体"/>
          <w:b w:val="0"/>
          <w:bCs w:val="0"/>
          <w:color w:val="auto"/>
          <w:sz w:val="21"/>
          <w:szCs w:val="21"/>
          <w:highlight w:val="none"/>
        </w:rPr>
      </w:pPr>
      <w:r>
        <w:rPr>
          <w:rFonts w:hint="eastAsia" w:cs="宋体"/>
          <w:color w:val="auto"/>
          <w:sz w:val="21"/>
          <w:szCs w:val="21"/>
          <w:highlight w:val="none"/>
          <w:lang w:val="en-US" w:eastAsia="zh-CN" w:bidi="ar"/>
        </w:rPr>
        <w:t>结算依据</w:t>
      </w:r>
      <w:r>
        <w:rPr>
          <w:rFonts w:hint="eastAsia" w:cs="宋体"/>
          <w:color w:val="auto"/>
          <w:sz w:val="21"/>
          <w:szCs w:val="21"/>
          <w:highlight w:val="none"/>
          <w:lang w:bidi="ar"/>
        </w:rPr>
        <w:t>：以月度考核评定情况，</w:t>
      </w:r>
      <w:r>
        <w:rPr>
          <w:rFonts w:hint="eastAsia" w:cs="宋体"/>
          <w:color w:val="auto"/>
          <w:sz w:val="21"/>
          <w:szCs w:val="21"/>
          <w:highlight w:val="none"/>
          <w:lang w:val="en-US" w:eastAsia="zh-CN" w:bidi="ar"/>
        </w:rPr>
        <w:t>由甲方</w:t>
      </w:r>
      <w:r>
        <w:rPr>
          <w:rFonts w:hint="eastAsia" w:cs="宋体"/>
          <w:color w:val="auto"/>
          <w:sz w:val="21"/>
          <w:szCs w:val="21"/>
          <w:highlight w:val="none"/>
          <w:lang w:bidi="ar"/>
        </w:rPr>
        <w:t>按月结算日常养护经费</w:t>
      </w:r>
      <w:r>
        <w:rPr>
          <w:rFonts w:hint="eastAsia" w:cs="宋体"/>
          <w:color w:val="auto"/>
          <w:sz w:val="21"/>
          <w:szCs w:val="21"/>
          <w:highlight w:val="none"/>
          <w:lang w:val="en-US" w:eastAsia="zh-CN" w:bidi="ar"/>
        </w:rPr>
        <w:t>并支付</w:t>
      </w:r>
      <w:r>
        <w:rPr>
          <w:rFonts w:hint="eastAsia" w:cs="宋体"/>
          <w:color w:val="auto"/>
          <w:sz w:val="21"/>
          <w:szCs w:val="21"/>
          <w:highlight w:val="none"/>
          <w:lang w:bidi="ar"/>
        </w:rPr>
        <w:t>；</w:t>
      </w:r>
      <w:r>
        <w:rPr>
          <w:rFonts w:hint="eastAsia" w:cs="宋体"/>
          <w:color w:val="auto"/>
          <w:sz w:val="21"/>
          <w:szCs w:val="21"/>
          <w:highlight w:val="none"/>
          <w:lang w:val="en-US" w:eastAsia="zh-CN" w:bidi="ar"/>
        </w:rPr>
        <w:t>乙方</w:t>
      </w:r>
      <w:r>
        <w:rPr>
          <w:rFonts w:hint="eastAsia" w:cs="宋体"/>
          <w:color w:val="auto"/>
          <w:sz w:val="21"/>
          <w:szCs w:val="21"/>
          <w:highlight w:val="none"/>
          <w:lang w:bidi="ar"/>
        </w:rPr>
        <w:t>需向</w:t>
      </w:r>
      <w:r>
        <w:rPr>
          <w:rFonts w:hint="eastAsia" w:cs="宋体"/>
          <w:color w:val="auto"/>
          <w:sz w:val="21"/>
          <w:szCs w:val="21"/>
          <w:highlight w:val="none"/>
          <w:lang w:val="en-US" w:eastAsia="zh-CN" w:bidi="ar"/>
        </w:rPr>
        <w:t>甲方</w:t>
      </w:r>
      <w:r>
        <w:rPr>
          <w:rFonts w:hint="eastAsia" w:cs="宋体"/>
          <w:color w:val="auto"/>
          <w:sz w:val="21"/>
          <w:szCs w:val="21"/>
          <w:highlight w:val="none"/>
          <w:lang w:bidi="ar"/>
        </w:rPr>
        <w:t>提供月度巡查记录、月度保洁记录</w:t>
      </w:r>
      <w:r>
        <w:rPr>
          <w:rFonts w:hint="eastAsia" w:cs="宋体"/>
          <w:color w:val="auto"/>
          <w:sz w:val="21"/>
          <w:szCs w:val="21"/>
          <w:highlight w:val="none"/>
          <w:lang w:val="en-US" w:eastAsia="zh-CN" w:bidi="ar"/>
        </w:rPr>
        <w:t>等相关证明材料</w:t>
      </w:r>
      <w:r>
        <w:rPr>
          <w:rFonts w:hint="eastAsia" w:cs="宋体"/>
          <w:color w:val="auto"/>
          <w:sz w:val="21"/>
          <w:szCs w:val="21"/>
          <w:highlight w:val="none"/>
          <w:lang w:bidi="ar"/>
        </w:rPr>
        <w:t>。</w:t>
      </w:r>
    </w:p>
    <w:p w14:paraId="1761612B">
      <w:pPr>
        <w:pStyle w:val="2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2" w:firstLineChars="200"/>
        <w:contextualSpacing/>
        <w:textAlignment w:val="auto"/>
        <w:rPr>
          <w:rFonts w:cs="宋体"/>
          <w:color w:val="auto"/>
          <w:sz w:val="21"/>
          <w:szCs w:val="21"/>
          <w:highlight w:val="none"/>
          <w:lang w:bidi="ar"/>
        </w:rPr>
      </w:pPr>
      <w:r>
        <w:rPr>
          <w:rFonts w:hint="eastAsia" w:cs="宋体"/>
          <w:b/>
          <w:bCs/>
          <w:color w:val="auto"/>
          <w:sz w:val="21"/>
          <w:szCs w:val="21"/>
          <w:highlight w:val="none"/>
          <w:lang w:val="en-US" w:eastAsia="zh-CN" w:bidi="ar"/>
        </w:rPr>
        <w:t>实际月度包干费用支付金额=月度包干费用-月度考核处罚-直接经济处罚。</w:t>
      </w:r>
    </w:p>
    <w:p w14:paraId="68635D46">
      <w:pPr>
        <w:pStyle w:val="2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2" w:firstLineChars="200"/>
        <w:contextualSpacing/>
        <w:textAlignment w:val="auto"/>
        <w:rPr>
          <w:rFonts w:hint="eastAsia" w:cs="宋体"/>
          <w:b/>
          <w:bCs/>
          <w:color w:val="auto"/>
          <w:sz w:val="21"/>
          <w:szCs w:val="21"/>
          <w:highlight w:val="none"/>
          <w:lang w:val="en-US" w:eastAsia="zh-CN" w:bidi="ar"/>
        </w:rPr>
      </w:pPr>
      <w:r>
        <w:rPr>
          <w:rFonts w:hint="eastAsia" w:cs="宋体"/>
          <w:b/>
          <w:bCs/>
          <w:color w:val="auto"/>
          <w:sz w:val="21"/>
          <w:szCs w:val="21"/>
          <w:highlight w:val="none"/>
          <w:lang w:val="en-US" w:eastAsia="zh-CN" w:bidi="ar"/>
        </w:rPr>
        <w:t>月度考核处罚与直接经济处罚详见“四、考核方案及处罚制度”。</w:t>
      </w:r>
    </w:p>
    <w:p w14:paraId="21CA62CF">
      <w:pPr>
        <w:pStyle w:val="2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2" w:firstLineChars="200"/>
        <w:contextualSpacing/>
        <w:textAlignment w:val="auto"/>
        <w:rPr>
          <w:rFonts w:hint="default" w:eastAsia="宋体" w:cs="宋体"/>
          <w:b/>
          <w:bCs/>
          <w:color w:val="auto"/>
          <w:sz w:val="21"/>
          <w:szCs w:val="21"/>
          <w:highlight w:val="none"/>
          <w:lang w:val="en-US" w:eastAsia="zh-CN" w:bidi="ar"/>
        </w:rPr>
      </w:pPr>
      <w:r>
        <w:rPr>
          <w:rFonts w:hint="eastAsia" w:cs="宋体"/>
          <w:b/>
          <w:bCs/>
          <w:color w:val="auto"/>
          <w:sz w:val="21"/>
          <w:szCs w:val="21"/>
          <w:highlight w:val="none"/>
          <w:lang w:val="en-US" w:eastAsia="zh-CN" w:bidi="ar"/>
        </w:rPr>
        <w:t>2、零星维修费用（按实结算费用，按月赔付）</w:t>
      </w:r>
    </w:p>
    <w:p w14:paraId="3409FBA1">
      <w:pPr>
        <w:pStyle w:val="2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0" w:firstLineChars="200"/>
        <w:contextualSpacing/>
        <w:textAlignment w:val="auto"/>
        <w:rPr>
          <w:rFonts w:hint="eastAsia" w:cs="宋体"/>
          <w:color w:val="auto"/>
          <w:szCs w:val="21"/>
          <w:highlight w:val="none"/>
          <w:lang w:bidi="ar"/>
        </w:rPr>
      </w:pPr>
      <w:r>
        <w:rPr>
          <w:rFonts w:hint="eastAsia" w:eastAsia="宋体" w:cs="宋体"/>
          <w:color w:val="auto"/>
          <w:sz w:val="21"/>
          <w:szCs w:val="21"/>
          <w:highlight w:val="none"/>
          <w:lang w:val="en-US" w:eastAsia="zh-CN" w:bidi="ar"/>
        </w:rPr>
        <w:t>结算依据：</w:t>
      </w:r>
      <w:r>
        <w:rPr>
          <w:rFonts w:hint="eastAsia" w:cs="宋体"/>
          <w:color w:val="auto"/>
          <w:sz w:val="21"/>
          <w:szCs w:val="21"/>
          <w:highlight w:val="none"/>
          <w:lang w:val="en-US" w:eastAsia="zh-CN" w:bidi="ar"/>
        </w:rPr>
        <w:t>乙方根据甲方及保险公司确认的维修工程量清单编制结算资料，并上报甲方，甲方委托造价咨询单位进行审计。保险公司根据审计报告的金额，通过保险相关赔付流程按月赔付。维修工作中出现质量不达标、工期超期、超时等情况，经甲方确认后，根据考核要求在月度考核中扣分；发生直接经济处罚的，由造价咨询单位根据甲方处罚证明，在该项目费用审计时直接扣除。甲方在有需要时可委托专业单位对零星维修工作的质量、安全、工程量认证等进行辅助管理。</w:t>
      </w:r>
    </w:p>
    <w:p w14:paraId="68B90217">
      <w:pPr>
        <w:pStyle w:val="2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2" w:firstLineChars="200"/>
        <w:contextualSpacing/>
        <w:textAlignment w:val="auto"/>
        <w:rPr>
          <w:rFonts w:hint="eastAsia" w:cs="宋体"/>
          <w:b/>
          <w:bCs/>
          <w:color w:val="auto"/>
          <w:sz w:val="21"/>
          <w:szCs w:val="21"/>
          <w:highlight w:val="none"/>
          <w:lang w:val="en-US" w:eastAsia="zh-CN" w:bidi="ar"/>
        </w:rPr>
      </w:pPr>
      <w:r>
        <w:rPr>
          <w:rFonts w:hint="eastAsia" w:cs="宋体"/>
          <w:b/>
          <w:bCs/>
          <w:color w:val="auto"/>
          <w:sz w:val="21"/>
          <w:szCs w:val="21"/>
          <w:highlight w:val="none"/>
          <w:lang w:val="en-US" w:eastAsia="zh-CN" w:bidi="ar"/>
        </w:rPr>
        <w:t>实际维修费用赔付金额=审计审定金额。</w:t>
      </w:r>
    </w:p>
    <w:p w14:paraId="5F0E08C7">
      <w:pPr>
        <w:spacing w:line="360" w:lineRule="auto"/>
        <w:ind w:firstLine="420" w:firstLineChars="200"/>
        <w:rPr>
          <w:rFonts w:hint="eastAsia" w:cs="宋体"/>
          <w:b w:val="0"/>
          <w:bCs w:val="0"/>
          <w:color w:val="auto"/>
          <w:szCs w:val="21"/>
          <w:highlight w:val="none"/>
          <w:lang w:val="en-US" w:eastAsia="zh-CN" w:bidi="ar"/>
        </w:rPr>
      </w:pPr>
      <w:r>
        <w:rPr>
          <w:rFonts w:hint="eastAsia" w:cs="宋体"/>
          <w:b w:val="0"/>
          <w:bCs w:val="0"/>
          <w:color w:val="auto"/>
          <w:szCs w:val="21"/>
          <w:highlight w:val="none"/>
          <w:lang w:val="en-US" w:eastAsia="zh-CN" w:bidi="ar"/>
        </w:rPr>
        <w:t>乙方报保险公司赔付的材料应包括以下资料（具体资料在三方合同签订时协商确定）：</w:t>
      </w:r>
    </w:p>
    <w:p w14:paraId="61CECB5A">
      <w:pPr>
        <w:spacing w:line="360" w:lineRule="auto"/>
        <w:ind w:firstLine="420" w:firstLineChars="200"/>
        <w:rPr>
          <w:rFonts w:hint="eastAsia" w:cs="宋体"/>
          <w:b w:val="0"/>
          <w:bCs w:val="0"/>
          <w:color w:val="auto"/>
          <w:szCs w:val="21"/>
          <w:highlight w:val="none"/>
          <w:lang w:val="en-US" w:eastAsia="zh-CN" w:bidi="ar"/>
        </w:rPr>
      </w:pPr>
      <w:r>
        <w:rPr>
          <w:rFonts w:hint="eastAsia" w:cs="宋体"/>
          <w:b w:val="0"/>
          <w:bCs w:val="0"/>
          <w:color w:val="auto"/>
          <w:szCs w:val="21"/>
          <w:highlight w:val="none"/>
          <w:lang w:val="en-US" w:eastAsia="zh-CN" w:bidi="ar"/>
        </w:rPr>
        <w:t>1）索赔申请书；</w:t>
      </w:r>
    </w:p>
    <w:p w14:paraId="1B9529C9">
      <w:pPr>
        <w:spacing w:line="360" w:lineRule="auto"/>
        <w:ind w:firstLine="420" w:firstLineChars="200"/>
        <w:rPr>
          <w:rFonts w:hint="eastAsia" w:cs="宋体"/>
          <w:b w:val="0"/>
          <w:bCs w:val="0"/>
          <w:color w:val="auto"/>
          <w:szCs w:val="21"/>
          <w:highlight w:val="none"/>
          <w:lang w:val="en-US" w:eastAsia="zh-CN" w:bidi="ar"/>
        </w:rPr>
      </w:pPr>
      <w:r>
        <w:rPr>
          <w:rFonts w:hint="eastAsia" w:cs="宋体"/>
          <w:b w:val="0"/>
          <w:bCs w:val="0"/>
          <w:color w:val="auto"/>
          <w:szCs w:val="21"/>
          <w:highlight w:val="none"/>
          <w:lang w:val="en-US" w:eastAsia="zh-CN" w:bidi="ar"/>
        </w:rPr>
        <w:t>2）审计报告（造价咨询机构出具）；</w:t>
      </w:r>
    </w:p>
    <w:p w14:paraId="3913687C">
      <w:pPr>
        <w:spacing w:line="360" w:lineRule="auto"/>
        <w:ind w:firstLine="420" w:firstLineChars="200"/>
        <w:rPr>
          <w:rFonts w:hint="eastAsia" w:cs="宋体"/>
          <w:b w:val="0"/>
          <w:bCs w:val="0"/>
          <w:color w:val="auto"/>
          <w:szCs w:val="21"/>
          <w:highlight w:val="none"/>
          <w:lang w:val="en-US" w:eastAsia="zh-CN" w:bidi="ar"/>
        </w:rPr>
      </w:pPr>
      <w:r>
        <w:rPr>
          <w:rFonts w:hint="eastAsia" w:cs="宋体"/>
          <w:b w:val="0"/>
          <w:bCs w:val="0"/>
          <w:color w:val="auto"/>
          <w:szCs w:val="21"/>
          <w:highlight w:val="none"/>
          <w:lang w:val="en-US" w:eastAsia="zh-CN" w:bidi="ar"/>
        </w:rPr>
        <w:t>3）维修款支付报审表（含甲方、乙方、丙方三方盖章确认）</w:t>
      </w:r>
    </w:p>
    <w:p w14:paraId="4ACCA14D">
      <w:pPr>
        <w:spacing w:line="360" w:lineRule="auto"/>
        <w:ind w:firstLine="420" w:firstLineChars="200"/>
        <w:rPr>
          <w:rFonts w:hint="eastAsia" w:cs="宋体"/>
          <w:b w:val="0"/>
          <w:bCs w:val="0"/>
          <w:color w:val="auto"/>
          <w:szCs w:val="21"/>
          <w:highlight w:val="none"/>
          <w:lang w:val="en-US" w:eastAsia="zh-CN" w:bidi="ar"/>
        </w:rPr>
      </w:pPr>
      <w:r>
        <w:rPr>
          <w:rFonts w:hint="eastAsia" w:cs="宋体"/>
          <w:b w:val="0"/>
          <w:bCs w:val="0"/>
          <w:color w:val="auto"/>
          <w:szCs w:val="21"/>
          <w:highlight w:val="none"/>
          <w:lang w:val="en-US" w:eastAsia="zh-CN" w:bidi="ar"/>
        </w:rPr>
        <w:t>4）维修证明相关材料（现场照片、记录视频、维修清单等）；</w:t>
      </w:r>
    </w:p>
    <w:p w14:paraId="75FC8692">
      <w:pPr>
        <w:spacing w:line="360" w:lineRule="auto"/>
        <w:ind w:firstLine="422" w:firstLineChars="200"/>
        <w:rPr>
          <w:rFonts w:hint="eastAsia" w:cs="宋体"/>
          <w:b/>
          <w:bCs/>
          <w:color w:val="auto"/>
          <w:szCs w:val="21"/>
          <w:highlight w:val="none"/>
          <w:lang w:bidi="ar"/>
        </w:rPr>
      </w:pPr>
      <w:r>
        <w:rPr>
          <w:rFonts w:hint="eastAsia" w:cs="宋体"/>
          <w:b/>
          <w:bCs/>
          <w:color w:val="auto"/>
          <w:szCs w:val="21"/>
          <w:highlight w:val="none"/>
          <w:lang w:val="en-US" w:eastAsia="zh-CN" w:bidi="ar"/>
        </w:rPr>
        <w:t>3、</w:t>
      </w:r>
      <w:r>
        <w:rPr>
          <w:rFonts w:hint="eastAsia" w:cs="宋体"/>
          <w:b/>
          <w:bCs/>
          <w:color w:val="auto"/>
          <w:szCs w:val="21"/>
          <w:highlight w:val="none"/>
          <w:lang w:bidi="ar"/>
        </w:rPr>
        <w:t>养护维修计费标准：</w:t>
      </w:r>
    </w:p>
    <w:p w14:paraId="2FF3C78A">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val="en-US" w:eastAsia="zh-CN" w:bidi="ar"/>
        </w:rPr>
        <w:t>3.1</w:t>
      </w:r>
      <w:r>
        <w:rPr>
          <w:rFonts w:hint="eastAsia" w:cs="宋体"/>
          <w:color w:val="auto"/>
          <w:szCs w:val="21"/>
          <w:highlight w:val="none"/>
          <w:lang w:bidi="ar"/>
        </w:rPr>
        <w:t>组价原则</w:t>
      </w:r>
    </w:p>
    <w:p w14:paraId="16D19BF5">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bidi="ar"/>
        </w:rPr>
        <w:t>定额套用《浙江省市政设施养护维修定额》（2018版）及省市现行有关计价规定的，综合费用按相应工程中值取费，施工组织措施费中提前竣工增加费不计外，其余施工组织措施费按相应中值计取，规费、税金按相关规定计取。若合同期间颁发新定额、计价时，则按新颁发的规定执行。</w:t>
      </w:r>
    </w:p>
    <w:p w14:paraId="1069E9CF">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val="en-US" w:eastAsia="zh-CN" w:bidi="ar"/>
        </w:rPr>
        <w:t>3.2</w:t>
      </w:r>
      <w:r>
        <w:rPr>
          <w:rFonts w:hint="eastAsia" w:cs="宋体"/>
          <w:color w:val="auto"/>
          <w:szCs w:val="21"/>
          <w:highlight w:val="none"/>
          <w:lang w:bidi="ar"/>
        </w:rPr>
        <w:t>材料价格按以下排序计入：</w:t>
      </w:r>
    </w:p>
    <w:p w14:paraId="6A747D66">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bidi="ar"/>
        </w:rPr>
        <w:t>（1）材料价格参照《宁波建设工程造价信息》（综合版）施工当月的材料价格；《宁波建设工程造价信息》（综合版）中未列材料参照《浙江造价信息》（施工当月正刊）。明确《宁波建设工程造价信息》（建材商情版）和浙江建设工程造价信息网页资料的《价格信息》（简称“省副刊”）不能作为结算依据。</w:t>
      </w:r>
    </w:p>
    <w:p w14:paraId="5153B6BE">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bidi="ar"/>
        </w:rPr>
        <w:t>（</w:t>
      </w:r>
      <w:r>
        <w:rPr>
          <w:rFonts w:hint="eastAsia" w:cs="宋体"/>
          <w:color w:val="auto"/>
          <w:szCs w:val="21"/>
          <w:highlight w:val="none"/>
          <w:lang w:val="en-US" w:eastAsia="zh-CN" w:bidi="ar"/>
        </w:rPr>
        <w:t>2</w:t>
      </w:r>
      <w:r>
        <w:rPr>
          <w:rFonts w:hint="eastAsia" w:cs="宋体"/>
          <w:color w:val="auto"/>
          <w:szCs w:val="21"/>
          <w:highlight w:val="none"/>
          <w:lang w:bidi="ar"/>
        </w:rPr>
        <w:t>）其它有关规定。</w:t>
      </w:r>
    </w:p>
    <w:p w14:paraId="7B92ABF0">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val="en-US" w:eastAsia="zh-CN" w:bidi="ar"/>
        </w:rPr>
        <w:t>3.3</w:t>
      </w:r>
      <w:r>
        <w:rPr>
          <w:rFonts w:hint="eastAsia" w:cs="宋体"/>
          <w:color w:val="auto"/>
          <w:szCs w:val="21"/>
          <w:highlight w:val="none"/>
          <w:lang w:bidi="ar"/>
        </w:rPr>
        <w:t>机械价格指数和人工价格：参照施工当月《宁波市建设工程造价信息》（综合版）。</w:t>
      </w:r>
    </w:p>
    <w:p w14:paraId="42FE566D">
      <w:pPr>
        <w:spacing w:line="360" w:lineRule="auto"/>
        <w:ind w:firstLine="420" w:firstLineChars="200"/>
        <w:rPr>
          <w:rFonts w:hint="eastAsia" w:ascii="Times New Roman" w:hAnsi="Times New Roman" w:eastAsia="宋体" w:cs="宋体"/>
          <w:color w:val="auto"/>
          <w:szCs w:val="21"/>
          <w:highlight w:val="none"/>
          <w:lang w:bidi="ar"/>
        </w:rPr>
      </w:pPr>
      <w:r>
        <w:rPr>
          <w:rFonts w:hint="eastAsia" w:ascii="Times New Roman" w:hAnsi="Times New Roman" w:eastAsia="宋体" w:cs="宋体"/>
          <w:color w:val="auto"/>
          <w:szCs w:val="21"/>
          <w:highlight w:val="none"/>
          <w:lang w:val="en-US" w:eastAsia="zh-CN" w:bidi="ar"/>
        </w:rPr>
        <w:t>3.</w:t>
      </w:r>
      <w:r>
        <w:rPr>
          <w:rFonts w:hint="eastAsia" w:cs="宋体"/>
          <w:color w:val="auto"/>
          <w:szCs w:val="21"/>
          <w:highlight w:val="none"/>
          <w:lang w:val="en-US" w:eastAsia="zh-CN" w:bidi="ar"/>
        </w:rPr>
        <w:t>4</w:t>
      </w:r>
      <w:r>
        <w:rPr>
          <w:rFonts w:hint="eastAsia" w:ascii="Times New Roman" w:hAnsi="Times New Roman" w:eastAsia="宋体" w:cs="宋体"/>
          <w:color w:val="auto"/>
          <w:szCs w:val="21"/>
          <w:highlight w:val="none"/>
          <w:lang w:val="en-US" w:eastAsia="zh-CN" w:bidi="ar"/>
        </w:rPr>
        <w:t>桥下</w:t>
      </w:r>
      <w:r>
        <w:rPr>
          <w:rFonts w:hint="eastAsia" w:ascii="Times New Roman" w:hAnsi="Times New Roman" w:eastAsia="宋体" w:cs="宋体"/>
          <w:color w:val="auto"/>
          <w:szCs w:val="21"/>
          <w:highlight w:val="none"/>
          <w:lang w:bidi="ar"/>
        </w:rPr>
        <w:t>垃圾、余土及废渣外运（包括装、运输费及处置费等所有费用）工程量按实</w:t>
      </w:r>
      <w:r>
        <w:rPr>
          <w:rFonts w:hint="eastAsia" w:ascii="Times New Roman" w:hAnsi="Times New Roman" w:eastAsia="宋体" w:cs="宋体"/>
          <w:color w:val="auto"/>
          <w:szCs w:val="21"/>
          <w:highlight w:val="none"/>
          <w:lang w:val="en-US" w:eastAsia="zh-CN" w:bidi="ar"/>
        </w:rPr>
        <w:t>计取</w:t>
      </w:r>
    </w:p>
    <w:p w14:paraId="1973D005">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val="en-US" w:eastAsia="zh-CN" w:bidi="ar"/>
        </w:rPr>
        <w:t>3.5</w:t>
      </w:r>
      <w:r>
        <w:rPr>
          <w:rFonts w:hint="eastAsia" w:cs="宋体"/>
          <w:color w:val="auto"/>
          <w:szCs w:val="21"/>
          <w:highlight w:val="none"/>
          <w:lang w:bidi="ar"/>
        </w:rPr>
        <w:t>保修期内针对相同破损位置的重复修复不计入结算金额；应</w:t>
      </w:r>
      <w:r>
        <w:rPr>
          <w:rFonts w:hint="eastAsia" w:cs="宋体"/>
          <w:color w:val="auto"/>
          <w:szCs w:val="21"/>
          <w:highlight w:val="none"/>
          <w:lang w:val="en-US" w:eastAsia="zh-CN" w:bidi="ar"/>
        </w:rPr>
        <w:t>甲方</w:t>
      </w:r>
      <w:r>
        <w:rPr>
          <w:rFonts w:hint="eastAsia" w:cs="宋体"/>
          <w:color w:val="auto"/>
          <w:szCs w:val="21"/>
          <w:highlight w:val="none"/>
          <w:lang w:bidi="ar"/>
        </w:rPr>
        <w:t>要求实施的大面积沥青铣刨摊铺、人行道专项维修导致的该范围内的零星维修在保修期内重复修复的，不做核减。修补沥青坑槽时，因天气因素影响造成乙方无法按相关标准进行修复的，允许乙方用冷料直接填补作临时处理（临时处理费用参照沥青坑槽修补单价的一半进行结算）。</w:t>
      </w:r>
    </w:p>
    <w:p w14:paraId="7110DE7B">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val="en-US" w:eastAsia="zh-CN" w:bidi="ar"/>
        </w:rPr>
        <w:t>3.6无信息价材料、无定额组价的项目单价以审计审定为准</w:t>
      </w:r>
      <w:r>
        <w:rPr>
          <w:rFonts w:hint="eastAsia" w:cs="宋体"/>
          <w:color w:val="auto"/>
          <w:szCs w:val="21"/>
          <w:highlight w:val="none"/>
          <w:lang w:bidi="ar"/>
        </w:rPr>
        <w:t>。</w:t>
      </w:r>
    </w:p>
    <w:p w14:paraId="1A2D0FCA">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val="en-US" w:eastAsia="zh-CN" w:bidi="ar"/>
        </w:rPr>
        <w:t>3.7</w:t>
      </w:r>
      <w:r>
        <w:rPr>
          <w:rFonts w:hint="eastAsia" w:cs="宋体"/>
          <w:color w:val="auto"/>
          <w:szCs w:val="21"/>
          <w:highlight w:val="none"/>
          <w:lang w:bidi="ar"/>
        </w:rPr>
        <w:t>安全文明施工费：安全文明施工费按实结算；施工围挡升标费用已在包干费中计入，不另计。</w:t>
      </w:r>
    </w:p>
    <w:p w14:paraId="1C760C23">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val="en-US" w:eastAsia="zh-CN" w:bidi="ar"/>
        </w:rPr>
        <w:t>3.8</w:t>
      </w:r>
      <w:r>
        <w:rPr>
          <w:rFonts w:hint="eastAsia" w:cs="宋体"/>
          <w:color w:val="auto"/>
          <w:szCs w:val="21"/>
          <w:highlight w:val="none"/>
          <w:lang w:bidi="ar"/>
        </w:rPr>
        <w:t>围挡要求：围挡材料根据甲方要求确定，包括不少于</w:t>
      </w:r>
      <w:r>
        <w:rPr>
          <w:rFonts w:hint="eastAsia" w:cs="宋体"/>
          <w:color w:val="auto"/>
          <w:szCs w:val="21"/>
          <w:highlight w:val="none"/>
          <w:lang w:val="en-US" w:eastAsia="zh-CN" w:bidi="ar"/>
        </w:rPr>
        <w:t>2</w:t>
      </w:r>
      <w:r>
        <w:rPr>
          <w:rFonts w:hint="eastAsia" w:cs="宋体"/>
          <w:color w:val="auto"/>
          <w:szCs w:val="21"/>
          <w:highlight w:val="none"/>
          <w:lang w:bidi="ar"/>
        </w:rPr>
        <w:t>00米的硬质围挡和满足施工要求的反光锥、连接杆、导改牌、警示灯等。</w:t>
      </w:r>
      <w:r>
        <w:rPr>
          <w:rFonts w:hint="eastAsia" w:cs="宋体"/>
          <w:color w:val="auto"/>
          <w:szCs w:val="21"/>
          <w:highlight w:val="none"/>
          <w:lang w:val="en-US" w:eastAsia="zh-CN" w:bidi="ar"/>
        </w:rPr>
        <w:t>作业区域必须</w:t>
      </w:r>
      <w:r>
        <w:rPr>
          <w:rFonts w:hint="eastAsia" w:cs="宋体"/>
          <w:color w:val="auto"/>
          <w:szCs w:val="21"/>
          <w:highlight w:val="none"/>
          <w:lang w:bidi="ar"/>
        </w:rPr>
        <w:t>使用1.2米高的铁制硬质围挡</w:t>
      </w:r>
      <w:r>
        <w:rPr>
          <w:rFonts w:hint="eastAsia" w:cs="宋体"/>
          <w:color w:val="auto"/>
          <w:szCs w:val="21"/>
          <w:highlight w:val="none"/>
          <w:lang w:val="en-US" w:eastAsia="zh-CN" w:bidi="ar"/>
        </w:rPr>
        <w:t>与保通区域分隔</w:t>
      </w:r>
      <w:r>
        <w:rPr>
          <w:rFonts w:hint="eastAsia" w:cs="宋体"/>
          <w:color w:val="auto"/>
          <w:szCs w:val="21"/>
          <w:highlight w:val="none"/>
          <w:lang w:eastAsia="zh-CN" w:bidi="ar"/>
        </w:rPr>
        <w:t>；</w:t>
      </w:r>
      <w:r>
        <w:rPr>
          <w:rFonts w:hint="eastAsia" w:cs="宋体"/>
          <w:color w:val="auto"/>
          <w:szCs w:val="21"/>
          <w:highlight w:val="none"/>
          <w:lang w:bidi="ar"/>
        </w:rPr>
        <w:t>人行道养护作业时长超过6小时的，必须使用1.2米高的铁制硬质围挡，并配合使用导改牌、警示灯，确保养护作业与行人安全；机动车道养护作业推荐使用反光锥、连接杆，并配合使用导改牌、警示灯，且做好防撞措施，确保养护作业与机动车</w:t>
      </w:r>
      <w:r>
        <w:rPr>
          <w:rFonts w:hint="eastAsia" w:cs="宋体"/>
          <w:color w:val="auto"/>
          <w:szCs w:val="21"/>
          <w:highlight w:val="none"/>
          <w:lang w:val="en-US" w:eastAsia="zh-CN" w:bidi="ar"/>
        </w:rPr>
        <w:t>通行</w:t>
      </w:r>
      <w:r>
        <w:rPr>
          <w:rFonts w:hint="eastAsia" w:cs="宋体"/>
          <w:color w:val="auto"/>
          <w:szCs w:val="21"/>
          <w:highlight w:val="none"/>
          <w:lang w:bidi="ar"/>
        </w:rPr>
        <w:t>安全。</w:t>
      </w:r>
    </w:p>
    <w:p w14:paraId="4DE6AE27">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val="en-US" w:eastAsia="zh-CN" w:bidi="ar"/>
        </w:rPr>
        <w:t>3.9其他未列明的</w:t>
      </w:r>
      <w:r>
        <w:rPr>
          <w:rFonts w:hint="eastAsia" w:cs="宋体"/>
          <w:color w:val="auto"/>
          <w:szCs w:val="21"/>
          <w:highlight w:val="none"/>
          <w:lang w:bidi="ar"/>
        </w:rPr>
        <w:t>参照现行养护维修工程相关办法，按《浙江省市政设施养护维修定额》（2018版）、《浙江省市政工程预算定额》（2018版）以及新增项目施工当期《宁波建设工程造价信息》（综合版）等相关文件和规定计取。</w:t>
      </w:r>
    </w:p>
    <w:p w14:paraId="1E5412B9">
      <w:pPr>
        <w:keepNext w:val="0"/>
        <w:keepLines w:val="0"/>
        <w:pageBreakBefore w:val="0"/>
        <w:kinsoku/>
        <w:wordWrap/>
        <w:overflowPunct/>
        <w:topLinePunct w:val="0"/>
        <w:bidi w:val="0"/>
        <w:adjustRightInd/>
        <w:snapToGri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、考核方案及</w:t>
      </w:r>
      <w:r>
        <w:rPr>
          <w:rFonts w:hint="eastAsia" w:ascii="宋体" w:hAnsi="宋体" w:eastAsia="宋体" w:cs="宋体"/>
          <w:b/>
          <w:color w:val="auto"/>
          <w:sz w:val="21"/>
          <w:szCs w:val="21"/>
          <w:highlight w:val="none"/>
          <w:lang w:val="en-US" w:eastAsia="zh-CN"/>
        </w:rPr>
        <w:t>处罚</w:t>
      </w:r>
      <w:r>
        <w:rPr>
          <w:rFonts w:hint="eastAsia" w:ascii="宋体" w:hAnsi="宋体" w:eastAsia="宋体" w:cs="宋体"/>
          <w:b/>
          <w:color w:val="auto"/>
          <w:sz w:val="21"/>
          <w:szCs w:val="21"/>
          <w:highlight w:val="none"/>
        </w:rPr>
        <w:t>制度（合同履行期间，如甲方对具体考核方案需要进行调整时，乙方应无条件服从，并按新考核方案执行）。</w:t>
      </w:r>
    </w:p>
    <w:p w14:paraId="3D243655">
      <w:pPr>
        <w:spacing w:line="360" w:lineRule="auto"/>
        <w:ind w:firstLine="420" w:firstLineChars="200"/>
        <w:rPr>
          <w:rFonts w:cs="宋体"/>
          <w:color w:val="auto"/>
          <w:szCs w:val="21"/>
          <w:highlight w:val="none"/>
          <w:lang w:bidi="ar"/>
        </w:rPr>
      </w:pPr>
      <w:r>
        <w:rPr>
          <w:rFonts w:hint="eastAsia" w:cs="宋体"/>
          <w:color w:val="auto"/>
          <w:szCs w:val="21"/>
          <w:highlight w:val="none"/>
          <w:lang w:val="en-US" w:eastAsia="zh-CN" w:bidi="ar"/>
        </w:rPr>
        <w:t>1、</w:t>
      </w:r>
      <w:r>
        <w:rPr>
          <w:rFonts w:hint="eastAsia" w:cs="宋体"/>
          <w:color w:val="auto"/>
          <w:szCs w:val="21"/>
          <w:highlight w:val="none"/>
          <w:lang w:bidi="ar"/>
        </w:rPr>
        <w:t>检查考核办法：</w:t>
      </w:r>
    </w:p>
    <w:p w14:paraId="3E159327">
      <w:pPr>
        <w:spacing w:line="360" w:lineRule="auto"/>
        <w:ind w:firstLine="420" w:firstLineChars="200"/>
        <w:rPr>
          <w:rFonts w:cs="宋体"/>
          <w:color w:val="auto"/>
          <w:szCs w:val="21"/>
          <w:highlight w:val="none"/>
          <w:lang w:bidi="ar"/>
        </w:rPr>
      </w:pPr>
      <w:r>
        <w:rPr>
          <w:rFonts w:hint="eastAsia" w:cs="宋体"/>
          <w:color w:val="auto"/>
          <w:szCs w:val="21"/>
          <w:highlight w:val="none"/>
          <w:lang w:bidi="ar"/>
        </w:rPr>
        <w:t>本项目养护施工质量、现场安全文明施工及养护及时性等方面</w:t>
      </w:r>
      <w:r>
        <w:rPr>
          <w:rFonts w:hint="eastAsia" w:cs="宋体"/>
          <w:color w:val="auto"/>
          <w:szCs w:val="21"/>
          <w:highlight w:val="none"/>
          <w:lang w:val="en-US" w:eastAsia="zh-CN" w:bidi="ar"/>
        </w:rPr>
        <w:t>由甲方进行月度考核</w:t>
      </w:r>
      <w:r>
        <w:rPr>
          <w:rFonts w:hint="eastAsia" w:cs="宋体"/>
          <w:color w:val="auto"/>
          <w:szCs w:val="21"/>
          <w:highlight w:val="none"/>
          <w:lang w:eastAsia="zh-CN" w:bidi="ar"/>
        </w:rPr>
        <w:t>：</w:t>
      </w:r>
      <w:r>
        <w:rPr>
          <w:rFonts w:hint="eastAsia" w:cs="宋体"/>
          <w:color w:val="auto"/>
          <w:szCs w:val="21"/>
          <w:highlight w:val="none"/>
          <w:lang w:bidi="ar"/>
        </w:rPr>
        <w:t>每月一次，</w:t>
      </w:r>
      <w:r>
        <w:rPr>
          <w:rFonts w:hint="eastAsia" w:cs="宋体"/>
          <w:color w:val="auto"/>
          <w:szCs w:val="21"/>
          <w:highlight w:val="none"/>
          <w:lang w:val="en-US" w:eastAsia="zh-CN" w:bidi="ar"/>
        </w:rPr>
        <w:t>甲方</w:t>
      </w:r>
      <w:r>
        <w:rPr>
          <w:rFonts w:hint="eastAsia" w:cs="宋体"/>
          <w:color w:val="auto"/>
          <w:szCs w:val="21"/>
          <w:highlight w:val="none"/>
          <w:lang w:bidi="ar"/>
        </w:rPr>
        <w:t>根据设施状况及养护情况，结合</w:t>
      </w:r>
      <w:r>
        <w:rPr>
          <w:rFonts w:hint="eastAsia" w:cs="宋体"/>
          <w:color w:val="auto"/>
          <w:szCs w:val="21"/>
          <w:highlight w:val="none"/>
          <w:lang w:eastAsia="zh-CN" w:bidi="ar"/>
        </w:rPr>
        <w:t>甲方</w:t>
      </w:r>
      <w:r>
        <w:rPr>
          <w:rFonts w:hint="eastAsia" w:cs="宋体"/>
          <w:color w:val="auto"/>
          <w:szCs w:val="21"/>
          <w:highlight w:val="none"/>
          <w:lang w:bidi="ar"/>
        </w:rPr>
        <w:t>不定期</w:t>
      </w:r>
      <w:r>
        <w:rPr>
          <w:rFonts w:hint="eastAsia" w:cs="宋体"/>
          <w:color w:val="auto"/>
          <w:szCs w:val="21"/>
          <w:highlight w:val="none"/>
          <w:lang w:val="en-US" w:eastAsia="zh-CN" w:bidi="ar"/>
        </w:rPr>
        <w:t>抽查</w:t>
      </w:r>
      <w:r>
        <w:rPr>
          <w:rFonts w:hint="eastAsia" w:cs="宋体"/>
          <w:color w:val="auto"/>
          <w:szCs w:val="21"/>
          <w:highlight w:val="none"/>
          <w:lang w:eastAsia="zh-CN" w:bidi="ar"/>
        </w:rPr>
        <w:t>、</w:t>
      </w:r>
      <w:r>
        <w:rPr>
          <w:rFonts w:hint="eastAsia" w:cs="宋体"/>
          <w:color w:val="auto"/>
          <w:szCs w:val="21"/>
          <w:highlight w:val="none"/>
          <w:lang w:val="en-US" w:eastAsia="zh-CN" w:bidi="ar"/>
        </w:rPr>
        <w:t>保险公司的意见反馈等</w:t>
      </w:r>
      <w:r>
        <w:rPr>
          <w:rFonts w:hint="eastAsia" w:cs="宋体"/>
          <w:color w:val="auto"/>
          <w:szCs w:val="21"/>
          <w:highlight w:val="none"/>
          <w:lang w:bidi="ar"/>
        </w:rPr>
        <w:t>情况，对设施状况、巡查</w:t>
      </w:r>
      <w:r>
        <w:rPr>
          <w:rFonts w:hint="eastAsia" w:cs="宋体"/>
          <w:color w:val="auto"/>
          <w:szCs w:val="21"/>
          <w:highlight w:val="none"/>
          <w:lang w:val="en-US" w:eastAsia="zh-CN" w:bidi="ar"/>
        </w:rPr>
        <w:t>保洁</w:t>
      </w:r>
      <w:r>
        <w:rPr>
          <w:rFonts w:hint="eastAsia" w:cs="宋体"/>
          <w:color w:val="auto"/>
          <w:szCs w:val="21"/>
          <w:highlight w:val="none"/>
          <w:lang w:bidi="ar"/>
        </w:rPr>
        <w:t>情况、</w:t>
      </w:r>
      <w:r>
        <w:rPr>
          <w:rFonts w:hint="eastAsia" w:cs="宋体"/>
          <w:color w:val="auto"/>
          <w:szCs w:val="21"/>
          <w:highlight w:val="none"/>
          <w:lang w:val="en-US" w:eastAsia="zh-CN" w:bidi="ar"/>
        </w:rPr>
        <w:t>零星维修作业</w:t>
      </w:r>
      <w:r>
        <w:rPr>
          <w:rFonts w:hint="eastAsia" w:cs="宋体"/>
          <w:color w:val="auto"/>
          <w:szCs w:val="21"/>
          <w:highlight w:val="none"/>
          <w:lang w:bidi="ar"/>
        </w:rPr>
        <w:t>情况、安全文明施工</w:t>
      </w:r>
      <w:r>
        <w:rPr>
          <w:rFonts w:hint="eastAsia" w:cs="宋体"/>
          <w:color w:val="auto"/>
          <w:szCs w:val="21"/>
          <w:highlight w:val="none"/>
          <w:lang w:eastAsia="zh-CN" w:bidi="ar"/>
        </w:rPr>
        <w:t>、</w:t>
      </w:r>
      <w:r>
        <w:rPr>
          <w:rFonts w:hint="eastAsia" w:cs="宋体"/>
          <w:color w:val="auto"/>
          <w:szCs w:val="21"/>
          <w:highlight w:val="none"/>
          <w:lang w:bidi="ar"/>
        </w:rPr>
        <w:t>内业资料等</w:t>
      </w:r>
      <w:r>
        <w:rPr>
          <w:rFonts w:hint="eastAsia" w:cs="宋体"/>
          <w:color w:val="auto"/>
          <w:szCs w:val="21"/>
          <w:highlight w:val="none"/>
          <w:lang w:val="en-US" w:eastAsia="zh-CN" w:bidi="ar"/>
        </w:rPr>
        <w:t>养护合同整体履约</w:t>
      </w:r>
      <w:r>
        <w:rPr>
          <w:rFonts w:hint="eastAsia" w:cs="宋体"/>
          <w:color w:val="auto"/>
          <w:szCs w:val="21"/>
          <w:highlight w:val="none"/>
          <w:lang w:bidi="ar"/>
        </w:rPr>
        <w:t>情况进行综合评分。</w:t>
      </w:r>
    </w:p>
    <w:p w14:paraId="6C32C387">
      <w:pPr>
        <w:spacing w:line="360" w:lineRule="auto"/>
        <w:ind w:firstLine="420" w:firstLineChars="200"/>
        <w:rPr>
          <w:rFonts w:cs="宋体"/>
          <w:color w:val="auto"/>
          <w:szCs w:val="21"/>
          <w:highlight w:val="none"/>
          <w:lang w:bidi="ar"/>
        </w:rPr>
      </w:pPr>
      <w:r>
        <w:rPr>
          <w:rFonts w:hint="eastAsia" w:cs="宋体"/>
          <w:color w:val="auto"/>
          <w:szCs w:val="21"/>
          <w:highlight w:val="none"/>
          <w:lang w:bidi="ar"/>
        </w:rPr>
        <w:t>月度考核不合格的，由</w:t>
      </w:r>
      <w:r>
        <w:rPr>
          <w:rFonts w:hint="eastAsia" w:cs="宋体"/>
          <w:color w:val="auto"/>
          <w:kern w:val="0"/>
          <w:szCs w:val="21"/>
          <w:highlight w:val="none"/>
          <w:lang w:val="en-US" w:eastAsia="zh-CN" w:bidi="ar"/>
        </w:rPr>
        <w:t>甲方</w:t>
      </w:r>
      <w:r>
        <w:rPr>
          <w:rFonts w:hint="eastAsia" w:cs="宋体"/>
          <w:color w:val="auto"/>
          <w:szCs w:val="21"/>
          <w:highlight w:val="none"/>
          <w:lang w:bidi="ar"/>
        </w:rPr>
        <w:t>负责对</w:t>
      </w:r>
      <w:r>
        <w:rPr>
          <w:rFonts w:hint="eastAsia" w:cs="宋体"/>
          <w:color w:val="auto"/>
          <w:szCs w:val="21"/>
          <w:highlight w:val="none"/>
          <w:lang w:eastAsia="zh-CN" w:bidi="ar"/>
        </w:rPr>
        <w:t>乙方</w:t>
      </w:r>
      <w:r>
        <w:rPr>
          <w:rFonts w:hint="eastAsia" w:cs="宋体"/>
          <w:color w:val="auto"/>
          <w:szCs w:val="21"/>
          <w:highlight w:val="none"/>
          <w:lang w:bidi="ar"/>
        </w:rPr>
        <w:t>下达通知，对违反合同或相关规定的事项进行处罚和督促整改，每月汇总上报对</w:t>
      </w:r>
      <w:r>
        <w:rPr>
          <w:rFonts w:hint="eastAsia" w:cs="宋体"/>
          <w:color w:val="auto"/>
          <w:szCs w:val="21"/>
          <w:highlight w:val="none"/>
          <w:lang w:eastAsia="zh-CN" w:bidi="ar"/>
        </w:rPr>
        <w:t>乙方</w:t>
      </w:r>
      <w:r>
        <w:rPr>
          <w:rFonts w:hint="eastAsia" w:cs="宋体"/>
          <w:color w:val="auto"/>
          <w:szCs w:val="21"/>
          <w:highlight w:val="none"/>
          <w:lang w:bidi="ar"/>
        </w:rPr>
        <w:t>的考核情况，提出整改措施建议。</w:t>
      </w:r>
    </w:p>
    <w:p w14:paraId="7B2CCDF7">
      <w:pPr>
        <w:spacing w:line="360" w:lineRule="auto"/>
        <w:ind w:firstLine="420" w:firstLineChars="200"/>
        <w:rPr>
          <w:rFonts w:cs="宋体"/>
          <w:color w:val="auto"/>
          <w:szCs w:val="21"/>
          <w:highlight w:val="none"/>
          <w:lang w:bidi="ar"/>
        </w:rPr>
      </w:pPr>
      <w:r>
        <w:rPr>
          <w:rFonts w:hint="eastAsia" w:cs="宋体"/>
          <w:color w:val="auto"/>
          <w:szCs w:val="21"/>
          <w:highlight w:val="none"/>
          <w:lang w:val="en-US" w:eastAsia="zh-CN" w:bidi="ar"/>
        </w:rPr>
        <w:t>2、月度考核处罚</w:t>
      </w:r>
    </w:p>
    <w:p w14:paraId="2339FE6F">
      <w:pPr>
        <w:spacing w:line="360" w:lineRule="auto"/>
        <w:ind w:firstLine="420" w:firstLineChars="200"/>
        <w:rPr>
          <w:rFonts w:cs="宋体"/>
          <w:color w:val="auto"/>
          <w:szCs w:val="21"/>
          <w:highlight w:val="none"/>
          <w:lang w:bidi="ar"/>
        </w:rPr>
      </w:pPr>
      <w:r>
        <w:rPr>
          <w:rFonts w:hint="eastAsia" w:cs="宋体"/>
          <w:color w:val="auto"/>
          <w:szCs w:val="21"/>
          <w:highlight w:val="none"/>
          <w:lang w:eastAsia="zh-CN" w:bidi="ar"/>
        </w:rPr>
        <w:t>甲方</w:t>
      </w:r>
      <w:r>
        <w:rPr>
          <w:rFonts w:hint="eastAsia" w:cs="宋体"/>
          <w:color w:val="auto"/>
          <w:szCs w:val="21"/>
          <w:highlight w:val="none"/>
          <w:lang w:bidi="ar"/>
        </w:rPr>
        <w:t>根据</w:t>
      </w:r>
      <w:r>
        <w:rPr>
          <w:rFonts w:hint="eastAsia" w:cs="宋体"/>
          <w:color w:val="auto"/>
          <w:szCs w:val="21"/>
          <w:highlight w:val="none"/>
          <w:lang w:val="en-US" w:eastAsia="zh-CN" w:bidi="ar"/>
        </w:rPr>
        <w:t>月度</w:t>
      </w:r>
      <w:r>
        <w:rPr>
          <w:rFonts w:hint="eastAsia" w:cs="宋体"/>
          <w:color w:val="auto"/>
          <w:szCs w:val="21"/>
          <w:highlight w:val="none"/>
          <w:lang w:bidi="ar"/>
        </w:rPr>
        <w:t>考核情况对</w:t>
      </w:r>
      <w:r>
        <w:rPr>
          <w:rFonts w:hint="eastAsia" w:cs="宋体"/>
          <w:color w:val="auto"/>
          <w:szCs w:val="21"/>
          <w:highlight w:val="none"/>
          <w:lang w:eastAsia="zh-CN" w:bidi="ar"/>
        </w:rPr>
        <w:t>乙方</w:t>
      </w:r>
      <w:r>
        <w:rPr>
          <w:rFonts w:hint="eastAsia" w:cs="宋体"/>
          <w:color w:val="auto"/>
          <w:szCs w:val="21"/>
          <w:highlight w:val="none"/>
          <w:lang w:bidi="ar"/>
        </w:rPr>
        <w:t>进行相应奖惩。</w:t>
      </w:r>
    </w:p>
    <w:p w14:paraId="37FE496B">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bidi="ar"/>
        </w:rPr>
        <w:t>（1）每次考核发现问题，</w:t>
      </w:r>
      <w:r>
        <w:rPr>
          <w:rFonts w:hint="eastAsia" w:cs="宋体"/>
          <w:color w:val="auto"/>
          <w:szCs w:val="21"/>
          <w:highlight w:val="none"/>
          <w:lang w:val="en-US" w:eastAsia="zh-CN" w:bidi="ar"/>
        </w:rPr>
        <w:t>要求</w:t>
      </w:r>
      <w:r>
        <w:rPr>
          <w:rFonts w:hint="eastAsia" w:cs="宋体"/>
          <w:color w:val="auto"/>
          <w:szCs w:val="21"/>
          <w:highlight w:val="none"/>
          <w:lang w:eastAsia="zh-CN" w:bidi="ar"/>
        </w:rPr>
        <w:t>乙方</w:t>
      </w:r>
      <w:r>
        <w:rPr>
          <w:rFonts w:hint="eastAsia" w:cs="宋体"/>
          <w:color w:val="auto"/>
          <w:szCs w:val="21"/>
          <w:highlight w:val="none"/>
          <w:lang w:bidi="ar"/>
        </w:rPr>
        <w:t>限期整改</w:t>
      </w:r>
      <w:r>
        <w:rPr>
          <w:rFonts w:hint="eastAsia" w:cs="宋体"/>
          <w:color w:val="auto"/>
          <w:szCs w:val="21"/>
          <w:highlight w:val="none"/>
          <w:lang w:eastAsia="zh-CN" w:bidi="ar"/>
        </w:rPr>
        <w:t>；</w:t>
      </w:r>
      <w:r>
        <w:rPr>
          <w:rFonts w:hint="eastAsia" w:cs="宋体"/>
          <w:color w:val="auto"/>
          <w:szCs w:val="21"/>
          <w:highlight w:val="none"/>
          <w:lang w:bidi="ar"/>
        </w:rPr>
        <w:t>对不能达到养护要求的情况进行相应的经济处罚。每月对经济处罚进行累积，在月度养护经费</w:t>
      </w:r>
      <w:r>
        <w:rPr>
          <w:rFonts w:hint="eastAsia" w:cs="宋体"/>
          <w:color w:val="auto"/>
          <w:szCs w:val="21"/>
          <w:highlight w:val="none"/>
          <w:lang w:val="en-US" w:eastAsia="zh-CN" w:bidi="ar"/>
        </w:rPr>
        <w:t>以及结算支付</w:t>
      </w:r>
      <w:r>
        <w:rPr>
          <w:rFonts w:hint="eastAsia" w:cs="宋体"/>
          <w:color w:val="auto"/>
          <w:szCs w:val="21"/>
          <w:highlight w:val="none"/>
          <w:lang w:bidi="ar"/>
        </w:rPr>
        <w:t>中扣减，并通告</w:t>
      </w:r>
      <w:r>
        <w:rPr>
          <w:rFonts w:hint="eastAsia" w:cs="宋体"/>
          <w:color w:val="auto"/>
          <w:szCs w:val="21"/>
          <w:highlight w:val="none"/>
          <w:lang w:eastAsia="zh-CN" w:bidi="ar"/>
        </w:rPr>
        <w:t>乙方</w:t>
      </w:r>
      <w:r>
        <w:rPr>
          <w:rFonts w:hint="eastAsia" w:cs="宋体"/>
          <w:color w:val="auto"/>
          <w:szCs w:val="21"/>
          <w:highlight w:val="none"/>
          <w:lang w:bidi="ar"/>
        </w:rPr>
        <w:t>。</w:t>
      </w:r>
    </w:p>
    <w:p w14:paraId="1A860E32">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bidi="ar"/>
        </w:rPr>
        <w:t>（2）月度考核方式：考核得分为95~100分评定为优秀，90~94分评定为良好，85~89分评定为合格，84分及以下评定为不合格。</w:t>
      </w:r>
    </w:p>
    <w:p w14:paraId="3CB85D11">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bidi="ar"/>
        </w:rPr>
        <w:t>优秀：考核得分为95（含）~100分，拨付全额月度日常管理巡查养护经费（包干费用）；</w:t>
      </w:r>
    </w:p>
    <w:p w14:paraId="6BC2C511">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bidi="ar"/>
        </w:rPr>
        <w:t>良好：考核得分在90（含）-94（含）之间时，以95分为基数，每扣1分，扣除1%月度日常管理巡查养护经费（包干费用）；</w:t>
      </w:r>
    </w:p>
    <w:p w14:paraId="62F721E6">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bidi="ar"/>
        </w:rPr>
        <w:t>合格：考核得分在85（含）-89（含）之间时，以90分为基数，每扣1分，扣除2%月度日常管理巡查养护经费（包干费用）；</w:t>
      </w:r>
    </w:p>
    <w:p w14:paraId="1A31F00C">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bidi="ar"/>
        </w:rPr>
        <w:t>不合格：考核得分在84（含）以下之间时，以85分为基数，每扣1分，扣除3%月度日常管理巡查养护经费（包干费用）；</w:t>
      </w:r>
    </w:p>
    <w:p w14:paraId="45A900AF">
      <w:pPr>
        <w:spacing w:line="360" w:lineRule="auto"/>
        <w:ind w:firstLine="420" w:firstLineChars="200"/>
        <w:rPr>
          <w:rFonts w:cs="宋体"/>
          <w:color w:val="auto"/>
          <w:szCs w:val="21"/>
          <w:highlight w:val="none"/>
          <w:lang w:bidi="ar"/>
        </w:rPr>
      </w:pPr>
      <w:r>
        <w:rPr>
          <w:rFonts w:hint="eastAsia" w:cs="宋体"/>
          <w:color w:val="auto"/>
          <w:szCs w:val="21"/>
          <w:highlight w:val="none"/>
          <w:lang w:bidi="ar"/>
        </w:rPr>
        <w:t>以上扣除金额累计扣除，例如：某养护单位月度考核得分为81分时，该养护单位扣除的经费为月度日常管理巡查养护经费（包干费用）×（5%+10%+12%）</w:t>
      </w:r>
    </w:p>
    <w:p w14:paraId="132F028C">
      <w:pPr>
        <w:spacing w:line="360" w:lineRule="auto"/>
        <w:ind w:firstLine="420" w:firstLineChars="200"/>
        <w:rPr>
          <w:rFonts w:cs="宋体"/>
          <w:color w:val="auto"/>
          <w:szCs w:val="21"/>
          <w:highlight w:val="none"/>
          <w:lang w:bidi="ar"/>
        </w:rPr>
      </w:pPr>
      <w:r>
        <w:rPr>
          <w:rFonts w:hint="eastAsia" w:cs="宋体"/>
          <w:color w:val="auto"/>
          <w:szCs w:val="21"/>
          <w:highlight w:val="none"/>
          <w:lang w:bidi="ar"/>
        </w:rPr>
        <w:t>（3）退出机制：发生重大安全责任事故，或整个养护服务期内连续两个月或累计三个月考核不合格的，</w:t>
      </w:r>
      <w:r>
        <w:rPr>
          <w:rFonts w:hint="eastAsia" w:cs="宋体"/>
          <w:color w:val="auto"/>
          <w:szCs w:val="21"/>
          <w:highlight w:val="none"/>
          <w:lang w:eastAsia="zh-CN" w:bidi="ar"/>
        </w:rPr>
        <w:t>甲方</w:t>
      </w:r>
      <w:r>
        <w:rPr>
          <w:rFonts w:hint="eastAsia" w:cs="宋体"/>
          <w:color w:val="auto"/>
          <w:szCs w:val="21"/>
          <w:highlight w:val="none"/>
          <w:lang w:bidi="ar"/>
        </w:rPr>
        <w:t>有权终止合同。</w:t>
      </w:r>
    </w:p>
    <w:p w14:paraId="063CEF1B">
      <w:pPr>
        <w:spacing w:line="360" w:lineRule="auto"/>
        <w:ind w:firstLine="420" w:firstLineChars="200"/>
        <w:rPr>
          <w:rFonts w:cs="宋体"/>
          <w:color w:val="auto"/>
          <w:szCs w:val="21"/>
          <w:highlight w:val="none"/>
          <w:lang w:bidi="ar"/>
        </w:rPr>
      </w:pPr>
      <w:r>
        <w:rPr>
          <w:rFonts w:hint="eastAsia" w:cs="宋体"/>
          <w:color w:val="auto"/>
          <w:szCs w:val="21"/>
          <w:highlight w:val="none"/>
          <w:lang w:val="en-US" w:eastAsia="zh-CN" w:bidi="ar"/>
        </w:rPr>
        <w:t>3、直接</w:t>
      </w:r>
      <w:r>
        <w:rPr>
          <w:rFonts w:hint="eastAsia" w:cs="宋体"/>
          <w:color w:val="auto"/>
          <w:szCs w:val="21"/>
          <w:highlight w:val="none"/>
          <w:lang w:bidi="ar"/>
        </w:rPr>
        <w:t>经济处罚</w:t>
      </w:r>
    </w:p>
    <w:p w14:paraId="42CA830A">
      <w:pPr>
        <w:spacing w:line="360" w:lineRule="auto"/>
        <w:ind w:firstLine="420" w:firstLineChars="200"/>
        <w:rPr>
          <w:rFonts w:cs="宋体"/>
          <w:color w:val="auto"/>
          <w:szCs w:val="21"/>
          <w:highlight w:val="none"/>
          <w:lang w:bidi="ar"/>
        </w:rPr>
      </w:pPr>
      <w:r>
        <w:rPr>
          <w:rFonts w:hint="eastAsia" w:cs="宋体"/>
          <w:color w:val="auto"/>
          <w:szCs w:val="21"/>
          <w:highlight w:val="none"/>
          <w:lang w:eastAsia="zh-CN" w:bidi="ar"/>
        </w:rPr>
        <w:t>乙方</w:t>
      </w:r>
      <w:r>
        <w:rPr>
          <w:rFonts w:hint="eastAsia" w:cs="宋体"/>
          <w:color w:val="auto"/>
          <w:szCs w:val="21"/>
          <w:highlight w:val="none"/>
          <w:lang w:bidi="ar"/>
        </w:rPr>
        <w:t>未达到相关要求时，</w:t>
      </w:r>
      <w:r>
        <w:rPr>
          <w:rFonts w:hint="eastAsia" w:cs="宋体"/>
          <w:color w:val="auto"/>
          <w:szCs w:val="21"/>
          <w:highlight w:val="none"/>
          <w:lang w:eastAsia="zh-CN" w:bidi="ar"/>
        </w:rPr>
        <w:t>甲方</w:t>
      </w:r>
      <w:r>
        <w:rPr>
          <w:rFonts w:hint="eastAsia" w:cs="宋体"/>
          <w:color w:val="auto"/>
          <w:szCs w:val="21"/>
          <w:highlight w:val="none"/>
          <w:lang w:bidi="ar"/>
        </w:rPr>
        <w:t>有权进行相应的经济处罚作为约束。除了月度考核扣分，还有以下单项扣罚：</w:t>
      </w:r>
    </w:p>
    <w:p w14:paraId="547F9ADD">
      <w:pPr>
        <w:spacing w:line="360" w:lineRule="auto"/>
        <w:ind w:firstLine="420" w:firstLineChars="200"/>
        <w:rPr>
          <w:rFonts w:hint="default" w:eastAsia="宋体" w:cs="宋体"/>
          <w:color w:val="auto"/>
          <w:szCs w:val="21"/>
          <w:highlight w:val="none"/>
          <w:lang w:val="en-US" w:eastAsia="zh-CN" w:bidi="ar"/>
        </w:rPr>
      </w:pPr>
      <w:r>
        <w:rPr>
          <w:rFonts w:hint="eastAsia" w:cs="宋体"/>
          <w:color w:val="auto"/>
          <w:szCs w:val="21"/>
          <w:highlight w:val="none"/>
          <w:lang w:val="en-US" w:eastAsia="zh-CN" w:bidi="ar"/>
        </w:rPr>
        <w:t>3.1日常养护处罚（在包干费用中直接扣除）</w:t>
      </w:r>
    </w:p>
    <w:p w14:paraId="706133F6">
      <w:pPr>
        <w:spacing w:line="360" w:lineRule="auto"/>
        <w:ind w:firstLine="420" w:firstLineChars="200"/>
        <w:rPr>
          <w:rFonts w:cs="宋体"/>
          <w:color w:val="auto"/>
          <w:szCs w:val="21"/>
          <w:highlight w:val="none"/>
          <w:lang w:bidi="ar"/>
        </w:rPr>
      </w:pPr>
      <w:r>
        <w:rPr>
          <w:rFonts w:hint="eastAsia" w:cs="宋体"/>
          <w:color w:val="auto"/>
          <w:szCs w:val="21"/>
          <w:highlight w:val="none"/>
          <w:lang w:bidi="ar"/>
        </w:rPr>
        <w:t>（1）项目经理缺勤扣罚500元/日，其他管理人员扣罚200元/日；</w:t>
      </w:r>
    </w:p>
    <w:p w14:paraId="11BA8E84">
      <w:pPr>
        <w:spacing w:line="360" w:lineRule="auto"/>
        <w:ind w:firstLine="420" w:firstLineChars="200"/>
        <w:rPr>
          <w:rFonts w:cs="宋体"/>
          <w:color w:val="auto"/>
          <w:szCs w:val="21"/>
          <w:highlight w:val="none"/>
          <w:lang w:bidi="ar"/>
        </w:rPr>
      </w:pPr>
      <w:r>
        <w:rPr>
          <w:rFonts w:hint="eastAsia" w:cs="宋体"/>
          <w:color w:val="auto"/>
          <w:szCs w:val="21"/>
          <w:highlight w:val="none"/>
          <w:lang w:bidi="ar"/>
        </w:rPr>
        <w:t>（2）专项养护作业项目经理无故离场扣罚200元/次，施工员无故离场扣罚200元/次，有较大安全隐患的作业安全员无故离场扣罚200元/次；</w:t>
      </w:r>
    </w:p>
    <w:p w14:paraId="1FC32D04">
      <w:pPr>
        <w:spacing w:line="360" w:lineRule="auto"/>
        <w:ind w:firstLine="420" w:firstLineChars="200"/>
        <w:rPr>
          <w:rFonts w:hint="eastAsia" w:cs="宋体"/>
          <w:color w:val="auto"/>
          <w:sz w:val="21"/>
          <w:szCs w:val="21"/>
          <w:highlight w:val="none"/>
          <w:lang w:val="en-US" w:eastAsia="zh-CN" w:bidi="ar"/>
        </w:rPr>
      </w:pPr>
      <w:r>
        <w:rPr>
          <w:rFonts w:hint="eastAsia" w:cs="宋体"/>
          <w:color w:val="auto"/>
          <w:szCs w:val="21"/>
          <w:highlight w:val="none"/>
          <w:lang w:bidi="ar"/>
        </w:rPr>
        <w:t>（3）</w:t>
      </w:r>
      <w:r>
        <w:rPr>
          <w:rFonts w:hint="eastAsia" w:cs="宋体"/>
          <w:color w:val="auto"/>
          <w:sz w:val="21"/>
          <w:szCs w:val="21"/>
          <w:highlight w:val="none"/>
          <w:lang w:val="en-US" w:eastAsia="zh-CN" w:bidi="ar"/>
        </w:rPr>
        <w:t>未经同意</w:t>
      </w:r>
      <w:r>
        <w:rPr>
          <w:rFonts w:hint="eastAsia" w:cs="宋体"/>
          <w:color w:val="auto"/>
          <w:sz w:val="21"/>
          <w:szCs w:val="21"/>
          <w:highlight w:val="none"/>
          <w:lang w:bidi="ar"/>
        </w:rPr>
        <w:t>擅自更换项目经理，扣罚</w:t>
      </w:r>
      <w:r>
        <w:rPr>
          <w:rFonts w:hint="eastAsia" w:cs="宋体"/>
          <w:color w:val="auto"/>
          <w:sz w:val="21"/>
          <w:szCs w:val="21"/>
          <w:highlight w:val="none"/>
          <w:lang w:val="en-US" w:eastAsia="zh-CN" w:bidi="ar"/>
        </w:rPr>
        <w:t>20000</w:t>
      </w:r>
      <w:r>
        <w:rPr>
          <w:rFonts w:hint="eastAsia" w:cs="宋体"/>
          <w:color w:val="auto"/>
          <w:sz w:val="21"/>
          <w:szCs w:val="21"/>
          <w:highlight w:val="none"/>
          <w:lang w:bidi="ar"/>
        </w:rPr>
        <w:t>元/人次，其他管理人员，扣罚</w:t>
      </w:r>
      <w:r>
        <w:rPr>
          <w:rFonts w:hint="eastAsia" w:cs="宋体"/>
          <w:color w:val="auto"/>
          <w:sz w:val="21"/>
          <w:szCs w:val="21"/>
          <w:highlight w:val="none"/>
          <w:lang w:val="en-US" w:eastAsia="zh-CN" w:bidi="ar"/>
        </w:rPr>
        <w:t>10000</w:t>
      </w:r>
      <w:r>
        <w:rPr>
          <w:rFonts w:hint="eastAsia" w:cs="宋体"/>
          <w:color w:val="auto"/>
          <w:sz w:val="21"/>
          <w:szCs w:val="21"/>
          <w:highlight w:val="none"/>
          <w:lang w:bidi="ar"/>
        </w:rPr>
        <w:t>元/人次</w:t>
      </w:r>
      <w:r>
        <w:rPr>
          <w:rFonts w:hint="eastAsia" w:cs="宋体"/>
          <w:color w:val="auto"/>
          <w:sz w:val="21"/>
          <w:szCs w:val="21"/>
          <w:highlight w:val="none"/>
          <w:lang w:eastAsia="zh-CN" w:bidi="ar"/>
        </w:rPr>
        <w:t>；</w:t>
      </w:r>
      <w:r>
        <w:rPr>
          <w:rFonts w:hint="eastAsia" w:cs="宋体"/>
          <w:color w:val="auto"/>
          <w:sz w:val="21"/>
          <w:szCs w:val="21"/>
          <w:highlight w:val="none"/>
          <w:lang w:val="en-US" w:eastAsia="zh-CN" w:bidi="ar"/>
        </w:rPr>
        <w:t>合同期限内擅自更换项目经理超过1次的，采购人有权直接解除合同。</w:t>
      </w:r>
    </w:p>
    <w:p w14:paraId="75C09E64">
      <w:pPr>
        <w:spacing w:line="360" w:lineRule="auto"/>
        <w:ind w:firstLine="420" w:firstLineChars="200"/>
        <w:rPr>
          <w:rFonts w:hint="eastAsia" w:eastAsia="宋体" w:cs="宋体"/>
          <w:color w:val="auto"/>
          <w:szCs w:val="21"/>
          <w:highlight w:val="none"/>
          <w:lang w:val="en-US" w:eastAsia="zh-CN" w:bidi="ar"/>
        </w:rPr>
      </w:pPr>
      <w:r>
        <w:rPr>
          <w:rFonts w:hint="eastAsia" w:cs="宋体"/>
          <w:color w:val="auto"/>
          <w:szCs w:val="21"/>
          <w:highlight w:val="none"/>
          <w:lang w:eastAsia="zh-CN" w:bidi="ar"/>
        </w:rPr>
        <w:t>（</w:t>
      </w:r>
      <w:r>
        <w:rPr>
          <w:rFonts w:hint="eastAsia" w:cs="宋体"/>
          <w:color w:val="auto"/>
          <w:szCs w:val="21"/>
          <w:highlight w:val="none"/>
          <w:lang w:val="en-US" w:eastAsia="zh-CN" w:bidi="ar"/>
        </w:rPr>
        <w:t>4</w:t>
      </w:r>
      <w:r>
        <w:rPr>
          <w:rFonts w:hint="eastAsia" w:cs="宋体"/>
          <w:color w:val="auto"/>
          <w:szCs w:val="21"/>
          <w:highlight w:val="none"/>
          <w:lang w:eastAsia="zh-CN" w:bidi="ar"/>
        </w:rPr>
        <w:t>）</w:t>
      </w:r>
      <w:r>
        <w:rPr>
          <w:rFonts w:hint="eastAsia" w:cs="宋体"/>
          <w:color w:val="auto"/>
          <w:sz w:val="21"/>
          <w:szCs w:val="21"/>
          <w:highlight w:val="none"/>
          <w:lang w:bidi="ar"/>
        </w:rPr>
        <w:t>项目经理</w:t>
      </w:r>
      <w:r>
        <w:rPr>
          <w:rFonts w:hint="eastAsia" w:cs="宋体"/>
          <w:color w:val="auto"/>
          <w:sz w:val="21"/>
          <w:szCs w:val="21"/>
          <w:highlight w:val="none"/>
          <w:lang w:val="en-US" w:eastAsia="zh-CN" w:bidi="ar"/>
        </w:rPr>
        <w:t>或其他管理人员无法胜任工作的，乙方在接到甲方书面通知后应无条件更换；</w:t>
      </w:r>
      <w:r>
        <w:rPr>
          <w:rFonts w:hint="eastAsia" w:cs="宋体"/>
          <w:color w:val="auto"/>
          <w:sz w:val="21"/>
          <w:szCs w:val="21"/>
          <w:highlight w:val="none"/>
          <w:lang w:bidi="ar"/>
        </w:rPr>
        <w:t>更换后无法胜任工作，扣罚1</w:t>
      </w:r>
      <w:r>
        <w:rPr>
          <w:rFonts w:hint="eastAsia" w:cs="宋体"/>
          <w:color w:val="auto"/>
          <w:sz w:val="21"/>
          <w:szCs w:val="21"/>
          <w:highlight w:val="none"/>
          <w:lang w:val="en-US" w:eastAsia="zh-CN" w:bidi="ar"/>
        </w:rPr>
        <w:t>0000</w:t>
      </w:r>
      <w:r>
        <w:rPr>
          <w:rFonts w:hint="eastAsia" w:cs="宋体"/>
          <w:color w:val="auto"/>
          <w:sz w:val="21"/>
          <w:szCs w:val="21"/>
          <w:highlight w:val="none"/>
          <w:lang w:bidi="ar"/>
        </w:rPr>
        <w:t>元/次，其他管理人员更换后无法胜任工作，扣罚5000元/人次。</w:t>
      </w:r>
    </w:p>
    <w:p w14:paraId="46961DCC">
      <w:pPr>
        <w:spacing w:line="360" w:lineRule="auto"/>
        <w:ind w:firstLine="420" w:firstLineChars="200"/>
        <w:rPr>
          <w:rFonts w:cs="宋体"/>
          <w:color w:val="auto"/>
          <w:szCs w:val="21"/>
          <w:highlight w:val="none"/>
          <w:lang w:bidi="ar"/>
        </w:rPr>
      </w:pPr>
      <w:r>
        <w:rPr>
          <w:rFonts w:hint="eastAsia" w:cs="宋体"/>
          <w:color w:val="auto"/>
          <w:szCs w:val="21"/>
          <w:highlight w:val="none"/>
          <w:lang w:bidi="ar"/>
        </w:rPr>
        <w:t>（</w:t>
      </w:r>
      <w:r>
        <w:rPr>
          <w:rFonts w:hint="eastAsia" w:cs="宋体"/>
          <w:color w:val="auto"/>
          <w:szCs w:val="21"/>
          <w:highlight w:val="none"/>
          <w:lang w:val="en-US" w:eastAsia="zh-CN" w:bidi="ar"/>
        </w:rPr>
        <w:t>5</w:t>
      </w:r>
      <w:r>
        <w:rPr>
          <w:rFonts w:hint="eastAsia" w:cs="宋体"/>
          <w:color w:val="auto"/>
          <w:szCs w:val="21"/>
          <w:highlight w:val="none"/>
          <w:lang w:bidi="ar"/>
        </w:rPr>
        <w:t>）未按合同要求开展巡查工作的：每发现1次处罚1000元；</w:t>
      </w:r>
    </w:p>
    <w:p w14:paraId="4DB5F3F9">
      <w:pPr>
        <w:spacing w:line="360" w:lineRule="auto"/>
        <w:ind w:firstLine="420" w:firstLineChars="200"/>
        <w:rPr>
          <w:rFonts w:cs="宋体"/>
          <w:color w:val="auto"/>
          <w:szCs w:val="21"/>
          <w:highlight w:val="none"/>
          <w:lang w:bidi="ar"/>
        </w:rPr>
      </w:pPr>
      <w:r>
        <w:rPr>
          <w:rFonts w:hint="eastAsia" w:cs="宋体"/>
          <w:color w:val="auto"/>
          <w:szCs w:val="21"/>
          <w:highlight w:val="none"/>
          <w:lang w:bidi="ar"/>
        </w:rPr>
        <w:t>（</w:t>
      </w:r>
      <w:r>
        <w:rPr>
          <w:rFonts w:hint="eastAsia" w:cs="宋体"/>
          <w:color w:val="auto"/>
          <w:szCs w:val="21"/>
          <w:highlight w:val="none"/>
          <w:lang w:val="en-US" w:eastAsia="zh-CN" w:bidi="ar"/>
        </w:rPr>
        <w:t>6</w:t>
      </w:r>
      <w:r>
        <w:rPr>
          <w:rFonts w:hint="eastAsia" w:cs="宋体"/>
          <w:color w:val="auto"/>
          <w:szCs w:val="21"/>
          <w:highlight w:val="none"/>
          <w:lang w:bidi="ar"/>
        </w:rPr>
        <w:t>）巡查及日常保养不到位（伸缩缝未清缝、止水带破损、声屏障缺失破损或明显有污渍、进水口缺失或明显积泥、设施缺损、明显锈蚀）等，每发现一次，处罚1000元，处罚总额不设上限；</w:t>
      </w:r>
    </w:p>
    <w:p w14:paraId="5EC0671A">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bidi="ar"/>
        </w:rPr>
        <w:t>（</w:t>
      </w:r>
      <w:r>
        <w:rPr>
          <w:rFonts w:hint="eastAsia" w:cs="宋体"/>
          <w:color w:val="auto"/>
          <w:szCs w:val="21"/>
          <w:highlight w:val="none"/>
          <w:lang w:val="en-US" w:eastAsia="zh-CN" w:bidi="ar"/>
        </w:rPr>
        <w:t>7</w:t>
      </w:r>
      <w:r>
        <w:rPr>
          <w:rFonts w:hint="eastAsia" w:cs="宋体"/>
          <w:color w:val="auto"/>
          <w:szCs w:val="21"/>
          <w:highlight w:val="none"/>
          <w:lang w:bidi="ar"/>
        </w:rPr>
        <w:t>）内业资料不完善或报送不及时，管理系统上传不及时、记录不完整，技术资料不按时完成交付的：每发现一次处罚1000元，且</w:t>
      </w:r>
      <w:r>
        <w:rPr>
          <w:rFonts w:hint="eastAsia" w:cs="宋体"/>
          <w:color w:val="auto"/>
          <w:szCs w:val="21"/>
          <w:highlight w:val="none"/>
          <w:lang w:eastAsia="zh-CN" w:bidi="ar"/>
        </w:rPr>
        <w:t>乙方</w:t>
      </w:r>
      <w:r>
        <w:rPr>
          <w:rFonts w:hint="eastAsia" w:cs="宋体"/>
          <w:color w:val="auto"/>
          <w:szCs w:val="21"/>
          <w:highlight w:val="none"/>
          <w:lang w:bidi="ar"/>
        </w:rPr>
        <w:t>应于一周内完善内业资料；</w:t>
      </w:r>
    </w:p>
    <w:p w14:paraId="77CC41DF">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bidi="ar"/>
        </w:rPr>
        <w:t>（</w:t>
      </w:r>
      <w:r>
        <w:rPr>
          <w:rFonts w:hint="eastAsia" w:cs="宋体"/>
          <w:color w:val="auto"/>
          <w:szCs w:val="21"/>
          <w:highlight w:val="none"/>
          <w:lang w:val="en-US" w:eastAsia="zh-CN" w:bidi="ar"/>
        </w:rPr>
        <w:t>8</w:t>
      </w:r>
      <w:r>
        <w:rPr>
          <w:rFonts w:hint="eastAsia" w:cs="宋体"/>
          <w:color w:val="auto"/>
          <w:szCs w:val="21"/>
          <w:highlight w:val="none"/>
          <w:lang w:bidi="ar"/>
        </w:rPr>
        <w:t>）对</w:t>
      </w:r>
      <w:r>
        <w:rPr>
          <w:rFonts w:hint="eastAsia" w:cs="宋体"/>
          <w:color w:val="auto"/>
          <w:szCs w:val="21"/>
          <w:highlight w:val="none"/>
          <w:lang w:eastAsia="zh-CN" w:bidi="ar"/>
        </w:rPr>
        <w:t>甲方</w:t>
      </w:r>
      <w:r>
        <w:rPr>
          <w:rFonts w:hint="eastAsia" w:cs="宋体"/>
          <w:color w:val="auto"/>
          <w:szCs w:val="21"/>
          <w:highlight w:val="none"/>
          <w:lang w:bidi="ar"/>
        </w:rPr>
        <w:t>设备另做他用或使用不当的，每发现一次，处罚2000元；</w:t>
      </w:r>
    </w:p>
    <w:p w14:paraId="6E97922F">
      <w:pPr>
        <w:spacing w:line="360" w:lineRule="auto"/>
        <w:ind w:firstLine="420" w:firstLineChars="200"/>
        <w:rPr>
          <w:rFonts w:hint="eastAsia" w:cs="宋体"/>
          <w:color w:val="auto"/>
          <w:szCs w:val="21"/>
          <w:highlight w:val="none"/>
          <w:lang w:val="en-US" w:eastAsia="zh-CN" w:bidi="ar"/>
        </w:rPr>
      </w:pPr>
      <w:r>
        <w:rPr>
          <w:rFonts w:hint="eastAsia" w:cs="宋体"/>
          <w:color w:val="auto"/>
          <w:szCs w:val="21"/>
          <w:highlight w:val="none"/>
          <w:lang w:bidi="ar"/>
        </w:rPr>
        <w:t>（</w:t>
      </w:r>
      <w:r>
        <w:rPr>
          <w:rFonts w:hint="eastAsia" w:cs="宋体"/>
          <w:color w:val="auto"/>
          <w:szCs w:val="21"/>
          <w:highlight w:val="none"/>
          <w:lang w:val="en-US" w:eastAsia="zh-CN" w:bidi="ar"/>
        </w:rPr>
        <w:t>9</w:t>
      </w:r>
      <w:r>
        <w:rPr>
          <w:rFonts w:hint="eastAsia" w:cs="宋体"/>
          <w:color w:val="auto"/>
          <w:szCs w:val="21"/>
          <w:highlight w:val="none"/>
          <w:lang w:bidi="ar"/>
        </w:rPr>
        <w:t>）养护车辆须保证干净整洁，未达到要求的，每发现一次，处罚1000元；</w:t>
      </w:r>
    </w:p>
    <w:p w14:paraId="3C8C898F">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val="en-US" w:eastAsia="zh-CN" w:bidi="ar"/>
        </w:rPr>
        <w:t>3.2维修工作处罚（在按实结算费用审计时扣除）</w:t>
      </w:r>
    </w:p>
    <w:p w14:paraId="2D5B8FC2">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bidi="ar"/>
        </w:rPr>
        <w:t>（</w:t>
      </w:r>
      <w:r>
        <w:rPr>
          <w:rFonts w:hint="eastAsia" w:cs="宋体"/>
          <w:color w:val="auto"/>
          <w:szCs w:val="21"/>
          <w:highlight w:val="none"/>
          <w:lang w:val="en-US" w:eastAsia="zh-CN" w:bidi="ar"/>
        </w:rPr>
        <w:t>1</w:t>
      </w:r>
      <w:r>
        <w:rPr>
          <w:rFonts w:hint="eastAsia" w:cs="宋体"/>
          <w:color w:val="auto"/>
          <w:szCs w:val="21"/>
          <w:highlight w:val="none"/>
          <w:lang w:bidi="ar"/>
        </w:rPr>
        <w:t>）当月维修验收单及结算须于次月7个工作日内上报</w:t>
      </w:r>
      <w:r>
        <w:rPr>
          <w:rFonts w:hint="eastAsia" w:cs="宋体"/>
          <w:color w:val="auto"/>
          <w:szCs w:val="21"/>
          <w:highlight w:val="none"/>
          <w:lang w:val="en-US" w:eastAsia="zh-CN" w:bidi="ar"/>
        </w:rPr>
        <w:t>甲方</w:t>
      </w:r>
      <w:r>
        <w:rPr>
          <w:rFonts w:hint="eastAsia" w:cs="宋体"/>
          <w:color w:val="auto"/>
          <w:szCs w:val="21"/>
          <w:highlight w:val="none"/>
          <w:lang w:bidi="ar"/>
        </w:rPr>
        <w:t>，每延迟一</w:t>
      </w:r>
      <w:r>
        <w:rPr>
          <w:rFonts w:hint="eastAsia" w:cs="宋体"/>
          <w:color w:val="auto"/>
          <w:szCs w:val="21"/>
          <w:highlight w:val="none"/>
          <w:lang w:val="en-US" w:eastAsia="zh-CN" w:bidi="ar"/>
        </w:rPr>
        <w:t>次</w:t>
      </w:r>
      <w:r>
        <w:rPr>
          <w:rFonts w:hint="eastAsia" w:cs="宋体"/>
          <w:color w:val="auto"/>
          <w:szCs w:val="21"/>
          <w:highlight w:val="none"/>
          <w:lang w:bidi="ar"/>
        </w:rPr>
        <w:t>，扣1000元；</w:t>
      </w:r>
    </w:p>
    <w:p w14:paraId="30C2420A">
      <w:pPr>
        <w:spacing w:line="360" w:lineRule="auto"/>
        <w:ind w:firstLine="420" w:firstLineChars="200"/>
        <w:rPr>
          <w:rFonts w:hint="default" w:eastAsia="宋体" w:cs="宋体"/>
          <w:color w:val="auto"/>
          <w:szCs w:val="21"/>
          <w:highlight w:val="none"/>
          <w:lang w:val="en-US" w:eastAsia="zh-CN" w:bidi="ar"/>
        </w:rPr>
      </w:pPr>
      <w:r>
        <w:rPr>
          <w:rFonts w:hint="eastAsia" w:cs="宋体"/>
          <w:color w:val="auto"/>
          <w:szCs w:val="21"/>
          <w:highlight w:val="none"/>
          <w:lang w:bidi="ar"/>
        </w:rPr>
        <w:t>（</w:t>
      </w:r>
      <w:r>
        <w:rPr>
          <w:rFonts w:hint="eastAsia" w:cs="宋体"/>
          <w:color w:val="auto"/>
          <w:szCs w:val="21"/>
          <w:highlight w:val="none"/>
          <w:lang w:val="en-US" w:eastAsia="zh-CN" w:bidi="ar"/>
        </w:rPr>
        <w:t>2</w:t>
      </w:r>
      <w:r>
        <w:rPr>
          <w:rFonts w:hint="eastAsia" w:cs="宋体"/>
          <w:color w:val="auto"/>
          <w:szCs w:val="21"/>
          <w:highlight w:val="none"/>
          <w:lang w:bidi="ar"/>
        </w:rPr>
        <w:t>）养护质量不合格</w:t>
      </w:r>
      <w:r>
        <w:rPr>
          <w:rFonts w:hint="eastAsia" w:cs="宋体"/>
          <w:color w:val="auto"/>
          <w:szCs w:val="21"/>
          <w:highlight w:val="none"/>
          <w:lang w:val="en-US" w:eastAsia="zh-CN" w:bidi="ar"/>
        </w:rPr>
        <w:t>或维修超时</w:t>
      </w:r>
      <w:r>
        <w:rPr>
          <w:rFonts w:hint="eastAsia" w:cs="宋体"/>
          <w:color w:val="auto"/>
          <w:szCs w:val="21"/>
          <w:highlight w:val="none"/>
          <w:lang w:bidi="ar"/>
        </w:rPr>
        <w:t>：每发现一项处罚1000元，</w:t>
      </w:r>
      <w:r>
        <w:rPr>
          <w:rFonts w:hint="eastAsia" w:cs="宋体"/>
          <w:color w:val="auto"/>
          <w:szCs w:val="21"/>
          <w:highlight w:val="none"/>
          <w:lang w:val="en-US" w:eastAsia="zh-CN" w:bidi="ar"/>
        </w:rPr>
        <w:t>养护质量不合格的按要求及时返工，</w:t>
      </w:r>
      <w:r>
        <w:rPr>
          <w:rFonts w:hint="eastAsia" w:cs="宋体"/>
          <w:color w:val="auto"/>
          <w:szCs w:val="21"/>
          <w:highlight w:val="none"/>
          <w:lang w:bidi="ar"/>
        </w:rPr>
        <w:t>拒不返工的按考核不合格处理；</w:t>
      </w:r>
    </w:p>
    <w:p w14:paraId="5152703C">
      <w:pPr>
        <w:spacing w:line="360" w:lineRule="auto"/>
        <w:ind w:firstLine="420" w:firstLineChars="200"/>
        <w:rPr>
          <w:rFonts w:cs="宋体"/>
          <w:color w:val="auto"/>
          <w:szCs w:val="21"/>
          <w:highlight w:val="none"/>
          <w:lang w:bidi="ar"/>
        </w:rPr>
      </w:pPr>
      <w:r>
        <w:rPr>
          <w:rFonts w:hint="eastAsia" w:cs="宋体"/>
          <w:color w:val="auto"/>
          <w:szCs w:val="21"/>
          <w:highlight w:val="none"/>
          <w:lang w:bidi="ar"/>
        </w:rPr>
        <w:t>（</w:t>
      </w:r>
      <w:r>
        <w:rPr>
          <w:rFonts w:hint="eastAsia" w:cs="宋体"/>
          <w:color w:val="auto"/>
          <w:szCs w:val="21"/>
          <w:highlight w:val="none"/>
          <w:lang w:val="en-US" w:eastAsia="zh-CN" w:bidi="ar"/>
        </w:rPr>
        <w:t>3</w:t>
      </w:r>
      <w:r>
        <w:rPr>
          <w:rFonts w:hint="eastAsia" w:cs="宋体"/>
          <w:color w:val="auto"/>
          <w:szCs w:val="21"/>
          <w:highlight w:val="none"/>
          <w:lang w:bidi="ar"/>
        </w:rPr>
        <w:t>）工程量结算：在工程量审查、签认过程中，若发现</w:t>
      </w:r>
      <w:r>
        <w:rPr>
          <w:rFonts w:hint="eastAsia" w:cs="宋体"/>
          <w:color w:val="auto"/>
          <w:szCs w:val="21"/>
          <w:highlight w:val="none"/>
          <w:lang w:eastAsia="zh-CN" w:bidi="ar"/>
        </w:rPr>
        <w:t>乙方</w:t>
      </w:r>
      <w:r>
        <w:rPr>
          <w:rFonts w:hint="eastAsia" w:cs="宋体"/>
          <w:color w:val="auto"/>
          <w:szCs w:val="21"/>
          <w:highlight w:val="none"/>
          <w:lang w:bidi="ar"/>
        </w:rPr>
        <w:t>虚报养护工程量超过实际工程量时（测量允许误差±5%），结算工程量以实际工程量计取；发现虚报第一次罚5000元，第二次及多次发生的每次处罚10000元，发现虚报第三次及以上的，</w:t>
      </w:r>
      <w:r>
        <w:rPr>
          <w:rFonts w:hint="eastAsia" w:cs="宋体"/>
          <w:color w:val="auto"/>
          <w:szCs w:val="21"/>
          <w:highlight w:val="none"/>
          <w:lang w:eastAsia="zh-CN" w:bidi="ar"/>
        </w:rPr>
        <w:t>甲方</w:t>
      </w:r>
      <w:r>
        <w:rPr>
          <w:rFonts w:hint="eastAsia" w:cs="宋体"/>
          <w:color w:val="auto"/>
          <w:szCs w:val="21"/>
          <w:highlight w:val="none"/>
          <w:lang w:bidi="ar"/>
        </w:rPr>
        <w:t>有权中止合同；</w:t>
      </w:r>
    </w:p>
    <w:p w14:paraId="03504618">
      <w:pPr>
        <w:spacing w:line="360" w:lineRule="auto"/>
        <w:ind w:firstLine="420" w:firstLineChars="200"/>
        <w:rPr>
          <w:rFonts w:cs="宋体"/>
          <w:color w:val="auto"/>
          <w:szCs w:val="21"/>
          <w:highlight w:val="none"/>
          <w:lang w:bidi="ar"/>
        </w:rPr>
      </w:pPr>
      <w:r>
        <w:rPr>
          <w:rFonts w:hint="eastAsia" w:cs="宋体"/>
          <w:color w:val="auto"/>
          <w:szCs w:val="21"/>
          <w:highlight w:val="none"/>
          <w:lang w:bidi="ar"/>
        </w:rPr>
        <w:t>（</w:t>
      </w:r>
      <w:r>
        <w:rPr>
          <w:rFonts w:hint="eastAsia" w:cs="宋体"/>
          <w:color w:val="auto"/>
          <w:szCs w:val="21"/>
          <w:highlight w:val="none"/>
          <w:lang w:val="en-US" w:eastAsia="zh-CN" w:bidi="ar"/>
        </w:rPr>
        <w:t>4</w:t>
      </w:r>
      <w:r>
        <w:rPr>
          <w:rFonts w:hint="eastAsia" w:cs="宋体"/>
          <w:color w:val="auto"/>
          <w:szCs w:val="21"/>
          <w:highlight w:val="none"/>
          <w:lang w:bidi="ar"/>
        </w:rPr>
        <w:t>）</w:t>
      </w:r>
      <w:r>
        <w:rPr>
          <w:rFonts w:hint="eastAsia" w:cs="宋体"/>
          <w:color w:val="auto"/>
          <w:szCs w:val="21"/>
          <w:highlight w:val="none"/>
          <w:lang w:eastAsia="zh-CN" w:bidi="ar"/>
        </w:rPr>
        <w:t>乙方</w:t>
      </w:r>
      <w:r>
        <w:rPr>
          <w:rFonts w:hint="eastAsia" w:cs="宋体"/>
          <w:color w:val="auto"/>
          <w:szCs w:val="21"/>
          <w:highlight w:val="none"/>
          <w:lang w:bidi="ar"/>
        </w:rPr>
        <w:t>对于智慧城管、信访案件及其它应急处理任务不响应或响应不及时造成</w:t>
      </w:r>
      <w:r>
        <w:rPr>
          <w:rFonts w:hint="eastAsia" w:cs="宋体"/>
          <w:color w:val="auto"/>
          <w:szCs w:val="21"/>
          <w:highlight w:val="none"/>
          <w:lang w:eastAsia="zh-CN" w:bidi="ar"/>
        </w:rPr>
        <w:t>甲方</w:t>
      </w:r>
      <w:r>
        <w:rPr>
          <w:rFonts w:hint="eastAsia" w:cs="宋体"/>
          <w:color w:val="auto"/>
          <w:szCs w:val="21"/>
          <w:highlight w:val="none"/>
          <w:lang w:bidi="ar"/>
        </w:rPr>
        <w:t>应急处理时限超期、返工、超时回退的，经核实有责的，每发生一次，第一次处罚400元；同一案件两次及以上发生返工、回退情况，每次处罚1000元；</w:t>
      </w:r>
    </w:p>
    <w:p w14:paraId="0AF874C4">
      <w:pPr>
        <w:spacing w:line="360" w:lineRule="auto"/>
        <w:ind w:firstLine="420" w:firstLineChars="200"/>
        <w:rPr>
          <w:rFonts w:cs="宋体"/>
          <w:color w:val="auto"/>
          <w:szCs w:val="21"/>
          <w:highlight w:val="none"/>
          <w:lang w:bidi="ar"/>
        </w:rPr>
      </w:pPr>
      <w:r>
        <w:rPr>
          <w:rFonts w:hint="eastAsia" w:cs="宋体"/>
          <w:color w:val="auto"/>
          <w:szCs w:val="21"/>
          <w:highlight w:val="none"/>
          <w:lang w:bidi="ar"/>
        </w:rPr>
        <w:t>（</w:t>
      </w:r>
      <w:r>
        <w:rPr>
          <w:rFonts w:hint="eastAsia" w:cs="宋体"/>
          <w:color w:val="auto"/>
          <w:szCs w:val="21"/>
          <w:highlight w:val="none"/>
          <w:lang w:val="en-US" w:eastAsia="zh-CN" w:bidi="ar"/>
        </w:rPr>
        <w:t>5</w:t>
      </w:r>
      <w:r>
        <w:rPr>
          <w:rFonts w:hint="eastAsia" w:cs="宋体"/>
          <w:color w:val="auto"/>
          <w:szCs w:val="21"/>
          <w:highlight w:val="none"/>
          <w:lang w:bidi="ar"/>
        </w:rPr>
        <w:t>）因维修不及时等</w:t>
      </w:r>
      <w:r>
        <w:rPr>
          <w:rFonts w:hint="eastAsia" w:cs="宋体"/>
          <w:color w:val="auto"/>
          <w:szCs w:val="21"/>
          <w:highlight w:val="none"/>
          <w:lang w:eastAsia="zh-CN" w:bidi="ar"/>
        </w:rPr>
        <w:t>乙方</w:t>
      </w:r>
      <w:r>
        <w:rPr>
          <w:rFonts w:hint="eastAsia" w:cs="宋体"/>
          <w:color w:val="auto"/>
          <w:szCs w:val="21"/>
          <w:highlight w:val="none"/>
          <w:lang w:bidi="ar"/>
        </w:rPr>
        <w:t>原因导致索赔或者纠纷的，每发生一次，处罚1000元，处罚总额不设上限；</w:t>
      </w:r>
    </w:p>
    <w:p w14:paraId="3E714629">
      <w:pPr>
        <w:spacing w:line="360" w:lineRule="auto"/>
        <w:ind w:firstLine="420" w:firstLineChars="200"/>
        <w:rPr>
          <w:rFonts w:cs="宋体"/>
          <w:color w:val="auto"/>
          <w:szCs w:val="21"/>
          <w:highlight w:val="none"/>
          <w:lang w:bidi="ar"/>
        </w:rPr>
      </w:pPr>
      <w:r>
        <w:rPr>
          <w:rFonts w:hint="eastAsia" w:cs="宋体"/>
          <w:color w:val="auto"/>
          <w:szCs w:val="21"/>
          <w:highlight w:val="none"/>
          <w:lang w:bidi="ar"/>
        </w:rPr>
        <w:t>（</w:t>
      </w:r>
      <w:r>
        <w:rPr>
          <w:rFonts w:hint="eastAsia" w:cs="宋体"/>
          <w:color w:val="auto"/>
          <w:szCs w:val="21"/>
          <w:highlight w:val="none"/>
          <w:lang w:val="en-US" w:eastAsia="zh-CN" w:bidi="ar"/>
        </w:rPr>
        <w:t>6</w:t>
      </w:r>
      <w:r>
        <w:rPr>
          <w:rFonts w:hint="eastAsia" w:cs="宋体"/>
          <w:color w:val="auto"/>
          <w:szCs w:val="21"/>
          <w:highlight w:val="none"/>
          <w:lang w:bidi="ar"/>
        </w:rPr>
        <w:t>）因市政设施受损或安全文明施工不到位被市民投诉经</w:t>
      </w:r>
      <w:r>
        <w:rPr>
          <w:rFonts w:hint="eastAsia" w:cs="宋体"/>
          <w:color w:val="auto"/>
          <w:szCs w:val="21"/>
          <w:highlight w:val="none"/>
          <w:lang w:eastAsia="zh-CN" w:bidi="ar"/>
        </w:rPr>
        <w:t>甲方</w:t>
      </w:r>
      <w:r>
        <w:rPr>
          <w:rFonts w:hint="eastAsia" w:cs="宋体"/>
          <w:color w:val="auto"/>
          <w:szCs w:val="21"/>
          <w:highlight w:val="none"/>
          <w:lang w:bidi="ar"/>
        </w:rPr>
        <w:t>核实确认</w:t>
      </w:r>
      <w:r>
        <w:rPr>
          <w:rFonts w:hint="eastAsia" w:cs="宋体"/>
          <w:color w:val="auto"/>
          <w:szCs w:val="21"/>
          <w:highlight w:val="none"/>
          <w:lang w:eastAsia="zh-CN" w:bidi="ar"/>
        </w:rPr>
        <w:t>乙方</w:t>
      </w:r>
      <w:r>
        <w:rPr>
          <w:rFonts w:hint="eastAsia" w:cs="宋体"/>
          <w:color w:val="auto"/>
          <w:szCs w:val="21"/>
          <w:highlight w:val="none"/>
          <w:lang w:bidi="ar"/>
        </w:rPr>
        <w:t>有责的每起处罚1000元，上级部门点名批评或媒体曝光或造成恶劣影响现象经</w:t>
      </w:r>
      <w:r>
        <w:rPr>
          <w:rFonts w:hint="eastAsia" w:cs="宋体"/>
          <w:color w:val="auto"/>
          <w:szCs w:val="21"/>
          <w:highlight w:val="none"/>
          <w:lang w:eastAsia="zh-CN" w:bidi="ar"/>
        </w:rPr>
        <w:t>甲方</w:t>
      </w:r>
      <w:r>
        <w:rPr>
          <w:rFonts w:hint="eastAsia" w:cs="宋体"/>
          <w:color w:val="auto"/>
          <w:szCs w:val="21"/>
          <w:highlight w:val="none"/>
          <w:lang w:bidi="ar"/>
        </w:rPr>
        <w:t>核实确认</w:t>
      </w:r>
      <w:r>
        <w:rPr>
          <w:rFonts w:hint="eastAsia" w:cs="宋体"/>
          <w:color w:val="auto"/>
          <w:szCs w:val="21"/>
          <w:highlight w:val="none"/>
          <w:lang w:eastAsia="zh-CN" w:bidi="ar"/>
        </w:rPr>
        <w:t>乙方</w:t>
      </w:r>
      <w:r>
        <w:rPr>
          <w:rFonts w:hint="eastAsia" w:cs="宋体"/>
          <w:color w:val="auto"/>
          <w:szCs w:val="21"/>
          <w:highlight w:val="none"/>
          <w:lang w:bidi="ar"/>
        </w:rPr>
        <w:t>有责的，每发生一次，第一次处罚10000元，第二次及多次发生的每次处罚30000元；</w:t>
      </w:r>
    </w:p>
    <w:p w14:paraId="76B8CE1E">
      <w:pPr>
        <w:spacing w:line="360" w:lineRule="auto"/>
        <w:ind w:firstLine="420" w:firstLineChars="200"/>
        <w:rPr>
          <w:rFonts w:hint="eastAsia" w:eastAsia="宋体" w:cs="宋体"/>
          <w:color w:val="auto"/>
          <w:szCs w:val="21"/>
          <w:highlight w:val="none"/>
          <w:lang w:val="en-US" w:eastAsia="zh-CN" w:bidi="ar"/>
        </w:rPr>
      </w:pPr>
      <w:r>
        <w:rPr>
          <w:rFonts w:hint="eastAsia" w:cs="宋体"/>
          <w:color w:val="auto"/>
          <w:szCs w:val="21"/>
          <w:highlight w:val="none"/>
          <w:lang w:bidi="ar"/>
        </w:rPr>
        <w:t>（</w:t>
      </w:r>
      <w:r>
        <w:rPr>
          <w:rFonts w:hint="eastAsia" w:cs="宋体"/>
          <w:color w:val="auto"/>
          <w:szCs w:val="21"/>
          <w:highlight w:val="none"/>
          <w:lang w:val="en-US" w:eastAsia="zh-CN" w:bidi="ar"/>
        </w:rPr>
        <w:t>7</w:t>
      </w:r>
      <w:r>
        <w:rPr>
          <w:rFonts w:hint="eastAsia" w:cs="宋体"/>
          <w:color w:val="auto"/>
          <w:szCs w:val="21"/>
          <w:highlight w:val="none"/>
          <w:lang w:bidi="ar"/>
        </w:rPr>
        <w:t>）因</w:t>
      </w:r>
      <w:r>
        <w:rPr>
          <w:rFonts w:hint="eastAsia" w:cs="宋体"/>
          <w:color w:val="auto"/>
          <w:szCs w:val="21"/>
          <w:highlight w:val="none"/>
          <w:lang w:eastAsia="zh-CN" w:bidi="ar"/>
        </w:rPr>
        <w:t>甲方</w:t>
      </w:r>
      <w:r>
        <w:rPr>
          <w:rFonts w:hint="eastAsia" w:cs="宋体"/>
          <w:color w:val="auto"/>
          <w:szCs w:val="21"/>
          <w:highlight w:val="none"/>
          <w:lang w:bidi="ar"/>
        </w:rPr>
        <w:t>发现</w:t>
      </w:r>
      <w:r>
        <w:rPr>
          <w:rFonts w:hint="eastAsia" w:cs="宋体"/>
          <w:color w:val="auto"/>
          <w:szCs w:val="21"/>
          <w:highlight w:val="none"/>
          <w:lang w:eastAsia="zh-CN" w:bidi="ar"/>
        </w:rPr>
        <w:t>乙方</w:t>
      </w:r>
      <w:r>
        <w:rPr>
          <w:rFonts w:hint="eastAsia" w:cs="宋体"/>
          <w:color w:val="auto"/>
          <w:szCs w:val="21"/>
          <w:highlight w:val="none"/>
          <w:lang w:bidi="ar"/>
        </w:rPr>
        <w:t>未穿戴安全帽及反光背心、安全围护不规范、安全措施不到位的，每发现一次或一处处罚1000元，拒不整改的每次处罚2000元，野蛮施工、违章作业的，发现一次处罚2000元，造成事故的处罚10000元，并按考核要求处理</w:t>
      </w:r>
      <w:r>
        <w:rPr>
          <w:rFonts w:hint="eastAsia" w:cs="宋体"/>
          <w:color w:val="auto"/>
          <w:szCs w:val="21"/>
          <w:highlight w:val="none"/>
          <w:lang w:eastAsia="zh-CN" w:bidi="ar"/>
        </w:rPr>
        <w:t>。</w:t>
      </w:r>
    </w:p>
    <w:p w14:paraId="0F8F086B">
      <w:pPr>
        <w:keepNext w:val="0"/>
        <w:keepLines w:val="0"/>
        <w:pageBreakBefore w:val="0"/>
        <w:kinsoku/>
        <w:wordWrap/>
        <w:overflowPunct/>
        <w:topLinePunct w:val="0"/>
        <w:bidi w:val="0"/>
        <w:adjustRightInd/>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w:t>
      </w:r>
      <w:r>
        <w:rPr>
          <w:rFonts w:hint="eastAsia" w:ascii="宋体" w:hAnsi="宋体" w:cs="宋体"/>
          <w:b/>
          <w:bCs/>
          <w:color w:val="auto"/>
          <w:kern w:val="0"/>
          <w:sz w:val="21"/>
          <w:szCs w:val="21"/>
          <w:highlight w:val="none"/>
          <w:lang w:val="en-US" w:eastAsia="zh-CN" w:bidi="ar-SA"/>
        </w:rPr>
        <w:t>现场管理与安全生产</w:t>
      </w:r>
      <w:r>
        <w:rPr>
          <w:rFonts w:hint="eastAsia" w:ascii="宋体" w:hAnsi="宋体" w:eastAsia="宋体" w:cs="宋体"/>
          <w:b/>
          <w:bCs/>
          <w:color w:val="auto"/>
          <w:kern w:val="0"/>
          <w:sz w:val="21"/>
          <w:szCs w:val="21"/>
          <w:highlight w:val="none"/>
          <w:lang w:val="en-US" w:eastAsia="zh-CN" w:bidi="ar-SA"/>
        </w:rPr>
        <w:t>要求</w:t>
      </w:r>
    </w:p>
    <w:p w14:paraId="7594FAFA">
      <w:pPr>
        <w:spacing w:line="360" w:lineRule="auto"/>
        <w:ind w:firstLine="420" w:firstLineChars="200"/>
        <w:rPr>
          <w:rFonts w:hint="eastAsia" w:cs="宋体"/>
          <w:color w:val="auto"/>
          <w:szCs w:val="21"/>
          <w:highlight w:val="none"/>
          <w:lang w:bidi="ar"/>
        </w:rPr>
      </w:pPr>
      <w:r>
        <w:rPr>
          <w:rFonts w:hint="eastAsia" w:cs="宋体"/>
          <w:color w:val="auto"/>
          <w:szCs w:val="21"/>
          <w:highlight w:val="none"/>
          <w:lang w:val="en-US" w:eastAsia="zh-CN" w:bidi="ar"/>
        </w:rPr>
        <w:t>1、</w:t>
      </w:r>
      <w:r>
        <w:rPr>
          <w:rFonts w:hint="eastAsia" w:cs="宋体"/>
          <w:color w:val="auto"/>
          <w:szCs w:val="21"/>
          <w:highlight w:val="none"/>
          <w:lang w:eastAsia="zh-CN" w:bidi="ar"/>
        </w:rPr>
        <w:t>乙方</w:t>
      </w:r>
      <w:r>
        <w:rPr>
          <w:rFonts w:hint="eastAsia" w:cs="宋体"/>
          <w:color w:val="auto"/>
          <w:szCs w:val="21"/>
          <w:highlight w:val="none"/>
          <w:lang w:bidi="ar"/>
        </w:rPr>
        <w:t>要建立安全生产责任体系，制定安全生产制度，健全安全生产工作机制，按规定和要求落实责任和任务。开展各级安全生产技术交底和安</w:t>
      </w:r>
      <w:r>
        <w:rPr>
          <w:rFonts w:hint="eastAsia" w:ascii="Times New Roman" w:hAnsi="Times New Roman" w:eastAsia="宋体" w:cs="宋体"/>
          <w:color w:val="auto"/>
          <w:szCs w:val="21"/>
          <w:highlight w:val="none"/>
          <w:lang w:bidi="ar"/>
        </w:rPr>
        <w:t>全教育培训，特</w:t>
      </w:r>
      <w:r>
        <w:rPr>
          <w:rFonts w:hint="eastAsia" w:ascii="Times New Roman" w:hAnsi="Times New Roman" w:eastAsia="宋体" w:cs="宋体"/>
          <w:color w:val="auto"/>
          <w:szCs w:val="21"/>
          <w:highlight w:val="none"/>
          <w:lang w:val="en-US" w:eastAsia="zh-CN" w:bidi="ar"/>
        </w:rPr>
        <w:t>种</w:t>
      </w:r>
      <w:r>
        <w:rPr>
          <w:rFonts w:hint="eastAsia" w:ascii="Times New Roman" w:hAnsi="Times New Roman" w:eastAsia="宋体" w:cs="宋体"/>
          <w:color w:val="auto"/>
          <w:szCs w:val="21"/>
          <w:highlight w:val="none"/>
          <w:lang w:bidi="ar"/>
        </w:rPr>
        <w:t>作业人员应持</w:t>
      </w:r>
      <w:r>
        <w:rPr>
          <w:rFonts w:hint="eastAsia" w:cs="宋体"/>
          <w:color w:val="auto"/>
          <w:szCs w:val="21"/>
          <w:highlight w:val="none"/>
          <w:lang w:bidi="ar"/>
        </w:rPr>
        <w:t>证上岗；建立并规范安全生产台账，包括安全交底、教育培训、持证上岗、方案审批、过程记录、检查排查、隐患整改等，资料须分类整理、及时归档。</w:t>
      </w:r>
    </w:p>
    <w:p w14:paraId="21CD0197">
      <w:pPr>
        <w:spacing w:line="360" w:lineRule="auto"/>
        <w:ind w:firstLine="420" w:firstLineChars="200"/>
        <w:rPr>
          <w:rFonts w:hint="eastAsia" w:eastAsia="宋体" w:cs="宋体"/>
          <w:color w:val="auto"/>
          <w:szCs w:val="21"/>
          <w:highlight w:val="none"/>
          <w:lang w:eastAsia="zh-CN" w:bidi="ar"/>
        </w:rPr>
      </w:pPr>
      <w:r>
        <w:rPr>
          <w:rFonts w:hint="eastAsia" w:cs="宋体"/>
          <w:color w:val="auto"/>
          <w:szCs w:val="21"/>
          <w:highlight w:val="none"/>
          <w:lang w:val="en-US" w:eastAsia="zh-CN" w:bidi="ar"/>
        </w:rPr>
        <w:t>2、养护及维修作业时须</w:t>
      </w:r>
      <w:r>
        <w:rPr>
          <w:rFonts w:hint="eastAsia" w:cs="宋体"/>
          <w:color w:val="auto"/>
          <w:szCs w:val="21"/>
          <w:highlight w:val="none"/>
          <w:lang w:bidi="ar"/>
        </w:rPr>
        <w:t>按照</w:t>
      </w:r>
      <w:r>
        <w:rPr>
          <w:rFonts w:hint="eastAsia"/>
          <w:color w:val="auto"/>
          <w:highlight w:val="none"/>
          <w:lang w:val="en-US" w:eastAsia="zh-CN"/>
        </w:rPr>
        <w:t>《宁波市城市高架桥养护技术规程》DB 3302/T 1083-2017、《宁波市城市桥梁养护技术规程》DB 3302/T 1082-2017、《宁波市建设工地围挡指导及标准范例》及</w:t>
      </w:r>
      <w:r>
        <w:rPr>
          <w:rFonts w:hint="eastAsia" w:cs="宋体"/>
          <w:color w:val="auto"/>
          <w:szCs w:val="21"/>
          <w:highlight w:val="none"/>
          <w:lang w:bidi="ar"/>
        </w:rPr>
        <w:t>国家、省、市</w:t>
      </w:r>
      <w:r>
        <w:rPr>
          <w:rFonts w:hint="eastAsia" w:cs="宋体"/>
          <w:color w:val="auto"/>
          <w:szCs w:val="21"/>
          <w:highlight w:val="none"/>
          <w:lang w:val="en-US" w:eastAsia="zh-CN" w:bidi="ar"/>
        </w:rPr>
        <w:t>发布的其他</w:t>
      </w:r>
      <w:r>
        <w:rPr>
          <w:rFonts w:hint="eastAsia" w:cs="宋体"/>
          <w:color w:val="auto"/>
          <w:szCs w:val="21"/>
          <w:highlight w:val="none"/>
          <w:lang w:bidi="ar"/>
        </w:rPr>
        <w:t>有关安全文明施工规范、标准、相关规定</w:t>
      </w:r>
      <w:r>
        <w:rPr>
          <w:rFonts w:hint="eastAsia" w:cs="宋体"/>
          <w:color w:val="auto"/>
          <w:szCs w:val="21"/>
          <w:highlight w:val="none"/>
          <w:lang w:val="en-US" w:eastAsia="zh-CN" w:bidi="ar"/>
        </w:rPr>
        <w:t>执行</w:t>
      </w:r>
      <w:r>
        <w:rPr>
          <w:rFonts w:hint="eastAsia" w:cs="宋体"/>
          <w:color w:val="auto"/>
          <w:szCs w:val="21"/>
          <w:highlight w:val="none"/>
          <w:lang w:bidi="ar"/>
        </w:rPr>
        <w:t>，设置防撞设施、安全警告标志、指示牌、围护围挡等，尤其快速交通情况下作业，必须严格按照规定设置。快速交通导改、高空作业、攀登作业、用电作业、箱室内密闭空间作业、水上作业等作业安全应作为监管重点，</w:t>
      </w:r>
      <w:r>
        <w:rPr>
          <w:rFonts w:hint="eastAsia" w:cs="宋体"/>
          <w:color w:val="auto"/>
          <w:szCs w:val="21"/>
          <w:highlight w:val="none"/>
          <w:lang w:eastAsia="zh-CN" w:bidi="ar"/>
        </w:rPr>
        <w:t>乙方</w:t>
      </w:r>
      <w:r>
        <w:rPr>
          <w:rFonts w:hint="eastAsia" w:cs="宋体"/>
          <w:color w:val="auto"/>
          <w:szCs w:val="21"/>
          <w:highlight w:val="none"/>
          <w:lang w:bidi="ar"/>
        </w:rPr>
        <w:t>要做好对现场安全措施、安全防护、安全维护的管理，落实好旁站制度，必要的应做好影像记录且形成事后台账</w:t>
      </w:r>
      <w:r>
        <w:rPr>
          <w:rFonts w:hint="eastAsia" w:cs="宋体"/>
          <w:color w:val="auto"/>
          <w:szCs w:val="21"/>
          <w:highlight w:val="none"/>
          <w:lang w:eastAsia="zh-CN" w:bidi="ar"/>
        </w:rPr>
        <w:t>。</w:t>
      </w:r>
    </w:p>
    <w:p w14:paraId="3F88933E">
      <w:pPr>
        <w:spacing w:line="360" w:lineRule="auto"/>
        <w:ind w:firstLine="420" w:firstLineChars="200"/>
        <w:rPr>
          <w:rFonts w:hint="eastAsia" w:cs="宋体"/>
          <w:color w:val="auto"/>
          <w:kern w:val="0"/>
          <w:szCs w:val="21"/>
          <w:highlight w:val="none"/>
          <w:lang w:val="en-US" w:eastAsia="zh-CN" w:bidi="ar"/>
        </w:rPr>
      </w:pPr>
      <w:r>
        <w:rPr>
          <w:rFonts w:hint="eastAsia" w:cs="宋体"/>
          <w:color w:val="auto"/>
          <w:kern w:val="0"/>
          <w:szCs w:val="21"/>
          <w:highlight w:val="none"/>
          <w:lang w:val="en-US" w:eastAsia="zh-CN" w:bidi="ar"/>
        </w:rPr>
        <w:t>3、乙方应根据养护工作具体实施情况，</w:t>
      </w:r>
      <w:r>
        <w:rPr>
          <w:rFonts w:hint="eastAsia"/>
          <w:color w:val="auto"/>
          <w:highlight w:val="none"/>
          <w:lang w:val="en-US" w:eastAsia="zh-CN"/>
        </w:rPr>
        <w:t>编制交通安全保障方案等专项方案，并</w:t>
      </w:r>
      <w:r>
        <w:rPr>
          <w:rFonts w:hint="eastAsia" w:cs="宋体"/>
          <w:color w:val="auto"/>
          <w:kern w:val="0"/>
          <w:szCs w:val="21"/>
          <w:highlight w:val="none"/>
          <w:lang w:val="en-US" w:eastAsia="zh-CN" w:bidi="ar"/>
        </w:rPr>
        <w:t>按规定向政府各部门办理桥面交通管制、水上交通管制等审批手续，甲方予以支持配合。</w:t>
      </w:r>
    </w:p>
    <w:p w14:paraId="3E6F099E">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4、乙方应在日常巡查、检测、维修等养护作业应设置明显标志并采取必要的安全防护措施，严防坠落物、飞溅物或其他安全隐患产生，确保作业人员、行人、车辆的安全。养护作业过程中严格按照规定要求落实交通维护措施，尤其是桥上快速路养护作业，不得随意压缩简化交通维护措施；夜间进行养护维修作业时，应严格按照规定设置防撞体系、维护措施、照明设施、警示标识等；长时间养护作业区域根据必要设置项目施工责任牌，较高标准做好维护及其他标志标识设施。同时做好交通维护措施的现场记录工作。每一次养护作业的交通安全维护应有相应的文字影像记录。</w:t>
      </w:r>
    </w:p>
    <w:p w14:paraId="74C6FD6E">
      <w:pPr>
        <w:spacing w:line="360" w:lineRule="auto"/>
        <w:ind w:firstLine="420" w:firstLineChars="200"/>
        <w:rPr>
          <w:rFonts w:hint="default" w:eastAsia="宋体"/>
          <w:color w:val="auto"/>
          <w:highlight w:val="none"/>
          <w:lang w:val="en-US" w:eastAsia="zh-CN"/>
        </w:rPr>
      </w:pPr>
      <w:r>
        <w:rPr>
          <w:rFonts w:hint="eastAsia" w:ascii="宋体" w:hAnsi="宋体" w:cs="宋体"/>
          <w:b w:val="0"/>
          <w:bCs w:val="0"/>
          <w:color w:val="auto"/>
          <w:kern w:val="0"/>
          <w:sz w:val="21"/>
          <w:szCs w:val="21"/>
          <w:highlight w:val="none"/>
          <w:lang w:val="en-US" w:eastAsia="zh-CN" w:bidi="ar"/>
        </w:rPr>
        <w:t>5、</w:t>
      </w:r>
      <w:r>
        <w:rPr>
          <w:rFonts w:hint="eastAsia"/>
          <w:color w:val="auto"/>
          <w:highlight w:val="none"/>
          <w:lang w:val="en-US" w:eastAsia="zh-CN"/>
        </w:rPr>
        <w:t>为在养护期间确保作业区域周围环境的整洁和交通正常进行。乙方应积极主动落实安全文明及环境保护有关工作。</w:t>
      </w:r>
    </w:p>
    <w:p w14:paraId="2207C847">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6、乙方若违反规定采取野蛮施工、违章作业等，甲方有权限令停工整改，一切损失由乙方承担。</w:t>
      </w:r>
    </w:p>
    <w:p w14:paraId="55664FEF">
      <w:pPr>
        <w:keepNext w:val="0"/>
        <w:keepLines w:val="0"/>
        <w:pageBreakBefore w:val="0"/>
        <w:kinsoku/>
        <w:wordWrap/>
        <w:overflowPunct/>
        <w:topLinePunct w:val="0"/>
        <w:bidi w:val="0"/>
        <w:adjustRightInd/>
        <w:snapToGrid/>
        <w:spacing w:line="360" w:lineRule="auto"/>
        <w:ind w:firstLine="422" w:firstLineChars="200"/>
        <w:contextualSpacing/>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六、技术服务要求</w:t>
      </w:r>
    </w:p>
    <w:p w14:paraId="6A71A6A1">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在合同期内，甲方新增接管路段的巡查及养护工作由乙方负责接收落实，新增巡查、日常养护的工程量在接管后下一月度按实计入，巡查、维修标准参照本项目合同，由此产生的巡查费等包干费用不另行支付，日常养护维修费用按预算定额结合中标折扣统一结算。</w:t>
      </w:r>
    </w:p>
    <w:p w14:paraId="49670624">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为做好节假日、重要会议及活动保障、防汛防台、防雪抗冻等应急处理工作，要求乙方落实24小时值班制应急人员、车辆，以确保城区道路的安全畅通，应急时间值班人员不少于3人，应急情况处理时应保证不少于10人的抢修团队，以及备有不少于水泵3台、发电机2台、雨衣雨鞋20套、应急强光手电20盏、扫把20个、沙包500个、编织袋500条等物资。应急人员、装备必须无条件服从市、区两级部门的统一指挥。</w:t>
      </w:r>
      <w:r>
        <w:rPr>
          <w:rFonts w:hint="eastAsia" w:ascii="宋体" w:hAnsi="宋体" w:cs="宋体"/>
          <w:color w:val="auto"/>
          <w:szCs w:val="21"/>
          <w:highlight w:val="none"/>
          <w:lang w:val="en-US" w:eastAsia="zh-CN" w:bidi="ar"/>
        </w:rPr>
        <w:t>应急工作时，经甲方确认的情况下，允许乙方跨区域作业。</w:t>
      </w:r>
      <w:r>
        <w:rPr>
          <w:rFonts w:hint="eastAsia" w:ascii="宋体" w:hAnsi="宋体" w:cs="宋体"/>
          <w:b w:val="0"/>
          <w:bCs w:val="0"/>
          <w:color w:val="auto"/>
          <w:kern w:val="0"/>
          <w:sz w:val="21"/>
          <w:szCs w:val="21"/>
          <w:highlight w:val="none"/>
          <w:lang w:val="en-US" w:eastAsia="zh-CN" w:bidi="ar"/>
        </w:rPr>
        <w:t>应急演练在服务期限内至少提供1次/年。</w:t>
      </w:r>
    </w:p>
    <w:p w14:paraId="7A958233">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乙方须在养护区域内的固定办公场所应设置项目部，并安排项目经理等养护管理人员常驻项目部。甲方有权不定期巡视项目部人员到位情况，若项目经理等主要项目组成员无特殊原因不在岗的，视情况在考核中内做出相应处罚。</w:t>
      </w:r>
    </w:p>
    <w:p w14:paraId="4A7B9168">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日常巡查要求：乙方应建立定期巡查制度，重视并做好道路、桥梁的日常巡查，建立巡查台账。区域内的道路、桥梁路面巡查不少于每日1次，桥梁上、下部结构、桥下空间及保护区不少于1次/3天，遇台风天，雨劣气候等特殊情况时需适当增加检查频率，对桥梁桥头沉降情况做好定期观测，不少于每半年一次，并建立“桥头跳车”观测台账。并根据巡查结果，提出养护维修意见，采取有效措施予以养护维修，确保路面平整整洁、设施运行状况良好。</w:t>
      </w:r>
    </w:p>
    <w:p w14:paraId="2E34E68B">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乙方有责任发现并及时制止道路占用、违章挖掘、桥下空间占用等道路范围内的设施，免遭人为、施工等因素导致的损坏和侵害，并做好上报及赔偿、修复的调查工作。通过多种巡查方式发现并在规定时间内消除道路坑洞、人行道破损等具有安全隐患的道路、桥梁病害。在重大活动及发包方指定日期期间应增加巡逻频率，配合做好大型公共活动的服务及安全保障工作。</w:t>
      </w:r>
    </w:p>
    <w:p w14:paraId="7DB09AD9">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5、桥梁日常保养保洁要求：</w:t>
      </w:r>
    </w:p>
    <w:p w14:paraId="2D5954D8">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伸缩缝保养按月包干。包括定期清理、伸缩缝保养，含梳齿钢板螺帽缺失补充、拧紧、灌胶，梳齿钢板松动焊接（养护专项以外的零星小修）。应保证设施日常的清洁和完好，无松动、无破损，无垃圾、无黏土、无腐叶。保养频率不少于1次/月。</w:t>
      </w:r>
    </w:p>
    <w:p w14:paraId="2C178906">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排水系统保养按月包干。要求及时疏通泄水孔、泄水井、排水管等，含PVC管件更换、维修、固定（养护专项以外的零星小修）等。确保排水系统畅通、无堵塞、无积水、无破损、无松动脱落。保养频率不少于1次/月。</w:t>
      </w:r>
    </w:p>
    <w:p w14:paraId="6746CB5E">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（3）栏杆清洗按月包干。采用人工清洗，要求保持整洁，底梁等部位均需清洗干净。如出现污渍及时清洗。保养频率不少于1次/月。</w:t>
      </w:r>
    </w:p>
    <w:p w14:paraId="734E9E9C">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（4）防撞墙内侧保养按月包干。内侧定期清洗，确保整洁美观，无污渍；包含擦痕修补、水渍修补（养护专项以外的零星小修），保养频率不少于1次/月。</w:t>
      </w:r>
    </w:p>
    <w:p w14:paraId="41FA32C6">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（5）隔音屏保养按实结算，计入日常养护维修费中。按需清洗，确保整洁美观，无污渍；螺栓、卡簧、铆钉紧固及缺失修补，下罩板松动固定等。</w:t>
      </w:r>
    </w:p>
    <w:p w14:paraId="359E7437">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6、养护要求：乙方应做好道路、桥梁及其附属设施的日常养护、日常维修（零星维修和专修维修），具体包括如下：</w:t>
      </w:r>
    </w:p>
    <w:p w14:paraId="50DA4939">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养护合同签订后一个月内，乙方应上报年度养护方案和季度养护计划。按照甲方相关规定要求编制养护维修计划，并组织实施经甲方认定的养护维修及运行管理计划，在本合同确定的设施养护维修项目及运行管理职责内合理使用养护维修经费。</w:t>
      </w:r>
    </w:p>
    <w:p w14:paraId="1C219B7D">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（2）对于涉及交通改道、基础保养等特殊要求的维修项目，需按甲方要求做好专项方案和计划作业书，报甲方审批。</w:t>
      </w:r>
    </w:p>
    <w:p w14:paraId="784F2847">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（3）建立健全一路一档制度，做好巡查情况报表记录，做好信息反馈工作，内业资料整洁齐全。</w:t>
      </w:r>
    </w:p>
    <w:p w14:paraId="4C8DEEAE">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做好养管范围内智慧城管案件、市民信访案件中的设施维修、应急响应等现场处理工作，处置率达到100%，及时处理率达到100%，收到智慧城管案件信息后，应在平台规定时限内完成案件处置，未及时完成的进行相应扣罚。</w:t>
      </w:r>
    </w:p>
    <w:p w14:paraId="2887EB30">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（5）配合甲方进行设施考核和日常安全、质量检查与考核。</w:t>
      </w:r>
    </w:p>
    <w:p w14:paraId="35EB4FB0">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（6）乙方自行办理养护工作中所需车辆的通行相关证件。</w:t>
      </w:r>
    </w:p>
    <w:p w14:paraId="5B1B4410">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（7）巡查车辆在投入使用时应喷涂甲方要求的标识，并随车附带安全警示设备，同时，为施工人员购买统一的反光背心、工作服。</w:t>
      </w:r>
    </w:p>
    <w:p w14:paraId="7A8F7E73">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（8）所有巡查及施工人员都应做到安全作业、文明作业，养护单位应全权负责一线作业人员的安全教育及安全责任，购买人身意外伤害及相关保险以保障自身权益。</w:t>
      </w:r>
    </w:p>
    <w:p w14:paraId="1B2779F7">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（9）项目经理不得违反本市建设行政主管部门对项目经理的管理规定。未经甲方书面许可，不得擅自更换人员。</w:t>
      </w:r>
    </w:p>
    <w:p w14:paraId="37A9B6ED">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7、安全标准</w:t>
      </w:r>
    </w:p>
    <w:p w14:paraId="54F3B863">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突出“安全第一、预防为主”方针，贯彻工作避高峰，快速施工原则，注重安全文明施工与环境保护，根据养护工作实际情况，制定安全文明施工与环境保护具体措施，最大限度地减少对附近区域市容环卫和交通运行影响。</w:t>
      </w:r>
    </w:p>
    <w:p w14:paraId="46DCE4C8">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（2）日常巡查、检测、维修等养护工作应做好安全防护工作，确保作业人员、设备及路过行人、车辆的安全。</w:t>
      </w:r>
    </w:p>
    <w:p w14:paraId="4AC349EA">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（3）养护作业安全设施应干净整洁，功能完善。对于破损、污染、功能缺失的养护作业安全设施应及时更新修复。</w:t>
      </w:r>
    </w:p>
    <w:p w14:paraId="6D73531F">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（4）进行养护维修作业的人员必须按规定统一着装，穿戴带有反光标志的工作套装和安全帽，高空作业必须系安全带，水上作业必须穿戴救生衣等。现场管理人员必须穿戴反光背心和安全帽。</w:t>
      </w:r>
    </w:p>
    <w:p w14:paraId="0D156A47">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（5）乙方必须对作业人员进行安全教育和技术培训，严格遵守各项安全技术操作规程。</w:t>
      </w:r>
    </w:p>
    <w:p w14:paraId="26A6D660">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（6）乙方应根据作业面积大小、道路交通情况，编制相应的施工组织设计、安全文明施工方案、交通组织方案等，并做好上报工作。</w:t>
      </w:r>
    </w:p>
    <w:p w14:paraId="13396841">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7）长期定点养护作业和交通流量大的道路短期定点养护作业，乙方应制定详尽的、可操作性的交通疏导方案和应急方案，并按要求向交警部门办理相关的审批手续，所发生的一切费用均由乙方自行承担。审批手续经交警部门批准后，乙方应按照审批意见及要求，设置相应的标志与设施，进行必要的安全维护，以确保作业期间的交通安全。</w:t>
      </w:r>
    </w:p>
    <w:p w14:paraId="5848742E">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（8）在养护维修作业时，应按《宁波市建设工地围挡指导及标准范例》（2018版）及现场实际情况设置养护作业安全设施，在交通繁忙路段作业或夜间大修工程作业时，乙方需指派专人负责维持交通。</w:t>
      </w:r>
    </w:p>
    <w:p w14:paraId="6B692FCD">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（9）养护作业人员应在批准的作业时间内进行作业，超过批准的作业时间，应事先与管理部门取得联系，得到延时施工允许后，方可继续施工。</w:t>
      </w:r>
    </w:p>
    <w:p w14:paraId="73D4B197">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（10）养护维修作业的安全设施应始终处于良好的工作状态，未经允许任何人不得随意撤除或改变安全设施的位置、扩大或缩小养护维修作业控制区范围。在经批准临时占用的区域，应当按批准的占地范围和 使用性质存放、堆卸材料、机具设备并保证场地清洁、堆放有序。</w:t>
      </w:r>
    </w:p>
    <w:p w14:paraId="3BD55D4E">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（11）养护作业人员必须自觉遵守交通法规，应在作业维护区内施工，严禁侵占正常通行车道。严禁作业人员随意横穿马路，随意抛掷工具材料。</w:t>
      </w:r>
    </w:p>
    <w:p w14:paraId="3A220212">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（12）各种施工机械进场须经过安全检查，合格后方能使用。施工机械操作人员必须依照有关规定持证上岗，文明驾驶，禁止无证人员操作。</w:t>
      </w:r>
    </w:p>
    <w:p w14:paraId="6D375AA8">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（13）不划定作业区域的移动养护作业应设置可移动的安全标志，移动养护作业车辆不得随意停车和上下人员。</w:t>
      </w:r>
    </w:p>
    <w:p w14:paraId="7ECE05C3">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（14）养护作业的安全防护工作包括交通导改、攀登作业、悬空作业、操作平台的安全防护。用电、焊接、动用明火等应符合宁波市及国家安全作业相关法律、法规的规定。</w:t>
      </w:r>
    </w:p>
    <w:p w14:paraId="6EAA8A59">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（15）夜间养护维修作业前时，应做好附近居民公告、解释工作。鼓励乙方采用新工艺、新技术，尽量减少施工噪音、粉尘等对居民的影响。</w:t>
      </w:r>
    </w:p>
    <w:p w14:paraId="350A915C">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（16）夜间养护维修作业时，养护维修作业工作区内的照明应满足作业条件，并覆盖整个工作区域。</w:t>
      </w:r>
    </w:p>
    <w:p w14:paraId="10F1E3CC">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（17）养护维修作业时应根据工作实际情况，了解可能涉及的各种管线和公共设施（煤气、水管、电缆、光缆、架空线等），施工期间采取相应的措施进行保护，必要时应与产权单位联系，取得配合。</w:t>
      </w:r>
    </w:p>
    <w:p w14:paraId="329BF2BB">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（18）养护维修作业安全文明施工具体要求包括但不限于上述内容，在养护作业时应当符合有关法律、法规、规章和标准的规定，确保作业人员和设备的安全，以及行人和通行车辆的安全与畅通。</w:t>
      </w:r>
    </w:p>
    <w:p w14:paraId="6661FCB6">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8、质量要求</w:t>
      </w:r>
    </w:p>
    <w:p w14:paraId="35045622">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（1）养护维修应严格按照《城镇道路养护技术规范》及其它现行的国家或地方施工验收规范和质量评定标准进行作业。</w:t>
      </w:r>
    </w:p>
    <w:p w14:paraId="37984E8E">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（2）若乙方质量不符国家、地方相关检验标准的，甲方可要求乙方无偿返工。</w:t>
      </w:r>
    </w:p>
    <w:p w14:paraId="09BC3011">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（3）对于乙方经整改仍达不到相关检验标准的，甲方不结算该部分工程量；甲方有权邀请第三方完成以上养护维修任务，维修费由乙方支付。</w:t>
      </w:r>
    </w:p>
    <w:p w14:paraId="61A9D36E">
      <w:pPr>
        <w:spacing w:line="360" w:lineRule="auto"/>
        <w:ind w:firstLine="420" w:firstLineChars="200"/>
        <w:contextualSpacing/>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bidi="ar"/>
        </w:rPr>
        <w:t>（4）沥青用料、抽芯应符合要求，若乙方对检测结果有异议，需在15日内提出申请进行复测，复测费用由乙方承担。</w:t>
      </w:r>
    </w:p>
    <w:p w14:paraId="1C828CAE">
      <w:pPr>
        <w:keepNext w:val="0"/>
        <w:keepLines w:val="0"/>
        <w:pageBreakBefore w:val="0"/>
        <w:kinsoku/>
        <w:wordWrap/>
        <w:overflowPunct/>
        <w:topLinePunct w:val="0"/>
        <w:bidi w:val="0"/>
        <w:adjustRightInd/>
        <w:snapToGrid/>
        <w:spacing w:line="360" w:lineRule="auto"/>
        <w:ind w:firstLine="422" w:firstLineChars="200"/>
        <w:contextualSpacing/>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七、档案资料</w:t>
      </w:r>
    </w:p>
    <w:p w14:paraId="1B6BC8D6">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1、养管工作须做好文字和影像记录（影像记录须含水印），做好台帐的整理和归档工作，建立养管工作的“追溯机制”，以备检查。</w:t>
      </w:r>
    </w:p>
    <w:p w14:paraId="4B3F6047">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2、每年对日常巡查、养护维修、清洁维护、专项维修、应急抢险、防台防汛等工作进行总结，形成年度养管报告并存档。</w:t>
      </w:r>
    </w:p>
    <w:p w14:paraId="0B680C78">
      <w:pPr>
        <w:spacing w:line="360" w:lineRule="auto"/>
        <w:ind w:firstLine="420" w:firstLineChars="200"/>
        <w:contextualSpacing/>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3、乙方应加强电子档案建立归档等，各项养护作业记录，巡检记录、计量记录等应及时整理、录入、入档。</w:t>
      </w:r>
    </w:p>
    <w:p w14:paraId="1FCA5289">
      <w:pPr>
        <w:keepNext w:val="0"/>
        <w:keepLines w:val="0"/>
        <w:pageBreakBefore w:val="0"/>
        <w:kinsoku/>
        <w:wordWrap/>
        <w:overflowPunct/>
        <w:topLinePunct w:val="0"/>
        <w:bidi w:val="0"/>
        <w:adjustRightInd/>
        <w:snapToGrid/>
        <w:spacing w:line="360" w:lineRule="auto"/>
        <w:ind w:firstLine="422" w:firstLineChars="200"/>
        <w:contextualSpacing/>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八、服务响应要求</w:t>
      </w:r>
    </w:p>
    <w:p w14:paraId="4AA19243">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1、乙方</w:t>
      </w:r>
      <w:r>
        <w:rPr>
          <w:rFonts w:hint="eastAsia" w:ascii="宋体" w:hAnsi="宋体" w:eastAsia="宋体" w:cs="宋体"/>
          <w:b w:val="0"/>
          <w:bCs w:val="0"/>
          <w:color w:val="auto"/>
          <w:kern w:val="0"/>
          <w:sz w:val="21"/>
          <w:szCs w:val="21"/>
          <w:highlight w:val="none"/>
          <w:lang w:val="en-US" w:eastAsia="zh-CN" w:bidi="ar"/>
        </w:rPr>
        <w:t>应注重养护工作的及时性。服务期内，接</w:t>
      </w:r>
      <w:r>
        <w:rPr>
          <w:rFonts w:hint="eastAsia" w:ascii="宋体" w:hAnsi="宋体" w:cs="宋体"/>
          <w:b w:val="0"/>
          <w:bCs w:val="0"/>
          <w:color w:val="auto"/>
          <w:kern w:val="0"/>
          <w:sz w:val="21"/>
          <w:szCs w:val="21"/>
          <w:highlight w:val="none"/>
          <w:lang w:val="en-US" w:eastAsia="zh-CN" w:bidi="ar"/>
        </w:rPr>
        <w:t>甲方</w:t>
      </w:r>
      <w:r>
        <w:rPr>
          <w:rFonts w:hint="eastAsia" w:ascii="宋体" w:hAnsi="宋体" w:eastAsia="宋体" w:cs="宋体"/>
          <w:b w:val="0"/>
          <w:bCs w:val="0"/>
          <w:color w:val="auto"/>
          <w:kern w:val="0"/>
          <w:sz w:val="21"/>
          <w:szCs w:val="21"/>
          <w:highlight w:val="none"/>
          <w:lang w:val="en-US" w:eastAsia="zh-CN" w:bidi="ar"/>
        </w:rPr>
        <w:t>通知，须30分钟内达到指定位置。智慧城管安排专人负责查看案件，上报案件，做到专人跟踪，及时响应（包括节假日期间），及时回复与处理。</w:t>
      </w:r>
    </w:p>
    <w:p w14:paraId="1904F55C">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b w:val="0"/>
          <w:bCs/>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eastAsia="zh-CN" w:bidi="ar"/>
        </w:rPr>
        <w:t>应急维修工作（包括沥青路面坑槽修补）原则上应在12个小时内完成（接</w:t>
      </w:r>
      <w:r>
        <w:rPr>
          <w:rFonts w:hint="eastAsia" w:ascii="宋体" w:hAnsi="宋体" w:cs="宋体"/>
          <w:b w:val="0"/>
          <w:bCs w:val="0"/>
          <w:color w:val="auto"/>
          <w:kern w:val="0"/>
          <w:sz w:val="21"/>
          <w:szCs w:val="21"/>
          <w:highlight w:val="none"/>
          <w:lang w:val="en-US" w:eastAsia="zh-CN" w:bidi="ar"/>
        </w:rPr>
        <w:t>甲方</w:t>
      </w:r>
      <w:r>
        <w:rPr>
          <w:rFonts w:hint="eastAsia" w:ascii="宋体" w:hAnsi="宋体" w:eastAsia="宋体" w:cs="宋体"/>
          <w:b w:val="0"/>
          <w:bCs w:val="0"/>
          <w:color w:val="auto"/>
          <w:kern w:val="0"/>
          <w:sz w:val="21"/>
          <w:szCs w:val="21"/>
          <w:highlight w:val="none"/>
          <w:lang w:val="en-US" w:eastAsia="zh-CN" w:bidi="ar"/>
        </w:rPr>
        <w:t>维修通知或确认后开始计算），如遇特殊情况，经</w:t>
      </w:r>
      <w:r>
        <w:rPr>
          <w:rFonts w:hint="eastAsia" w:ascii="宋体" w:hAnsi="宋体" w:cs="宋体"/>
          <w:b w:val="0"/>
          <w:bCs w:val="0"/>
          <w:color w:val="auto"/>
          <w:kern w:val="0"/>
          <w:sz w:val="21"/>
          <w:szCs w:val="21"/>
          <w:highlight w:val="none"/>
          <w:lang w:val="en-US" w:eastAsia="zh-CN" w:bidi="ar"/>
        </w:rPr>
        <w:t>甲方</w:t>
      </w:r>
      <w:r>
        <w:rPr>
          <w:rFonts w:hint="eastAsia" w:ascii="宋体" w:hAnsi="宋体" w:eastAsia="宋体" w:cs="宋体"/>
          <w:b w:val="0"/>
          <w:bCs w:val="0"/>
          <w:color w:val="auto"/>
          <w:kern w:val="0"/>
          <w:sz w:val="21"/>
          <w:szCs w:val="21"/>
          <w:highlight w:val="none"/>
          <w:lang w:val="en-US" w:eastAsia="zh-CN" w:bidi="ar"/>
        </w:rPr>
        <w:t>同意后可适当延长。</w:t>
      </w:r>
    </w:p>
    <w:p w14:paraId="73D0E030">
      <w:pPr>
        <w:keepNext w:val="0"/>
        <w:keepLines w:val="0"/>
        <w:pageBreakBefore w:val="0"/>
        <w:kinsoku/>
        <w:wordWrap/>
        <w:overflowPunct/>
        <w:topLinePunct w:val="0"/>
        <w:bidi w:val="0"/>
        <w:adjustRightInd/>
        <w:snapToGrid/>
        <w:spacing w:line="360" w:lineRule="auto"/>
        <w:ind w:firstLine="422" w:firstLineChars="200"/>
        <w:contextualSpacing/>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九、特别要求</w:t>
      </w:r>
    </w:p>
    <w:p w14:paraId="3C406513">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1、甲方在与乙方签订本合同时须无条件与甲方及甲方确定的保险公司签订三方合同（格式见附件）</w:t>
      </w:r>
      <w:r>
        <w:rPr>
          <w:rFonts w:hint="eastAsia" w:ascii="宋体" w:hAnsi="宋体" w:eastAsia="宋体" w:cs="宋体"/>
          <w:b w:val="0"/>
          <w:bCs w:val="0"/>
          <w:color w:val="auto"/>
          <w:kern w:val="0"/>
          <w:sz w:val="21"/>
          <w:szCs w:val="21"/>
          <w:highlight w:val="none"/>
          <w:lang w:val="en-US" w:eastAsia="zh-CN" w:bidi="ar"/>
        </w:rPr>
        <w:t>。</w:t>
      </w:r>
    </w:p>
    <w:p w14:paraId="6F34F9C3">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2、乙方</w:t>
      </w:r>
      <w:r>
        <w:rPr>
          <w:rFonts w:hint="eastAsia" w:ascii="宋体" w:hAnsi="宋体" w:eastAsia="宋体" w:cs="宋体"/>
          <w:b w:val="0"/>
          <w:bCs w:val="0"/>
          <w:color w:val="auto"/>
          <w:kern w:val="0"/>
          <w:sz w:val="21"/>
          <w:szCs w:val="21"/>
          <w:highlight w:val="none"/>
          <w:lang w:val="en-US" w:eastAsia="zh-CN" w:bidi="ar"/>
        </w:rPr>
        <w:t>应投保团体人身意外伤害保险（保额不低于100万/人)与建筑工程一切险（含第三者责任险每人限额不低于100万）</w:t>
      </w:r>
      <w:r>
        <w:rPr>
          <w:rFonts w:hint="eastAsia" w:ascii="宋体" w:hAnsi="宋体" w:cs="宋体"/>
          <w:b w:val="0"/>
          <w:bCs w:val="0"/>
          <w:color w:val="auto"/>
          <w:kern w:val="0"/>
          <w:sz w:val="21"/>
          <w:szCs w:val="21"/>
          <w:highlight w:val="none"/>
          <w:lang w:val="en-US" w:eastAsia="zh-CN" w:bidi="ar"/>
        </w:rPr>
        <w:t>，费用自理</w:t>
      </w:r>
      <w:r>
        <w:rPr>
          <w:rFonts w:hint="eastAsia" w:ascii="宋体" w:hAnsi="宋体" w:eastAsia="宋体" w:cs="宋体"/>
          <w:b w:val="0"/>
          <w:bCs w:val="0"/>
          <w:color w:val="auto"/>
          <w:kern w:val="0"/>
          <w:sz w:val="21"/>
          <w:szCs w:val="21"/>
          <w:highlight w:val="none"/>
          <w:lang w:val="en-US" w:eastAsia="zh-CN" w:bidi="ar"/>
        </w:rPr>
        <w:t>。合同服务范围内（因战争、地震、海啸等不可抗力造成的除外）因</w:t>
      </w:r>
      <w:r>
        <w:rPr>
          <w:rFonts w:hint="eastAsia" w:ascii="宋体" w:hAnsi="宋体" w:cs="宋体"/>
          <w:b w:val="0"/>
          <w:bCs w:val="0"/>
          <w:color w:val="auto"/>
          <w:kern w:val="0"/>
          <w:sz w:val="21"/>
          <w:szCs w:val="21"/>
          <w:highlight w:val="none"/>
          <w:lang w:val="en-US" w:eastAsia="zh-CN" w:bidi="ar"/>
        </w:rPr>
        <w:t>乙方</w:t>
      </w:r>
      <w:r>
        <w:rPr>
          <w:rFonts w:hint="eastAsia" w:ascii="宋体" w:hAnsi="宋体" w:eastAsia="宋体" w:cs="宋体"/>
          <w:b w:val="0"/>
          <w:bCs w:val="0"/>
          <w:color w:val="auto"/>
          <w:kern w:val="0"/>
          <w:sz w:val="21"/>
          <w:szCs w:val="21"/>
          <w:highlight w:val="none"/>
          <w:lang w:val="en-US" w:eastAsia="zh-CN" w:bidi="ar"/>
        </w:rPr>
        <w:t>直接或间接原因发生安全事故，造成人员伤亡或财产损失的，由</w:t>
      </w:r>
      <w:r>
        <w:rPr>
          <w:rFonts w:hint="eastAsia" w:ascii="宋体" w:hAnsi="宋体" w:cs="宋体"/>
          <w:b w:val="0"/>
          <w:bCs w:val="0"/>
          <w:color w:val="auto"/>
          <w:kern w:val="0"/>
          <w:sz w:val="21"/>
          <w:szCs w:val="21"/>
          <w:highlight w:val="none"/>
          <w:lang w:val="en-US" w:eastAsia="zh-CN" w:bidi="ar"/>
        </w:rPr>
        <w:t>乙方</w:t>
      </w:r>
      <w:r>
        <w:rPr>
          <w:rFonts w:hint="eastAsia" w:ascii="宋体" w:hAnsi="宋体" w:eastAsia="宋体" w:cs="宋体"/>
          <w:b w:val="0"/>
          <w:bCs w:val="0"/>
          <w:color w:val="auto"/>
          <w:kern w:val="0"/>
          <w:sz w:val="21"/>
          <w:szCs w:val="21"/>
          <w:highlight w:val="none"/>
          <w:lang w:val="en-US" w:eastAsia="zh-CN" w:bidi="ar"/>
        </w:rPr>
        <w:t>承担相应责任，情节严重的予以追究法律责任。</w:t>
      </w:r>
    </w:p>
    <w:p w14:paraId="3AD2908F">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在养护工作与维修工作实施中，鼓励</w:t>
      </w:r>
      <w:r>
        <w:rPr>
          <w:rFonts w:hint="eastAsia" w:ascii="宋体" w:hAnsi="宋体" w:cs="宋体"/>
          <w:b w:val="0"/>
          <w:bCs w:val="0"/>
          <w:color w:val="auto"/>
          <w:kern w:val="0"/>
          <w:sz w:val="21"/>
          <w:szCs w:val="21"/>
          <w:highlight w:val="none"/>
          <w:lang w:val="en-US" w:eastAsia="zh-CN" w:bidi="ar"/>
        </w:rPr>
        <w:t>乙方</w:t>
      </w:r>
      <w:r>
        <w:rPr>
          <w:rFonts w:hint="eastAsia" w:ascii="宋体" w:hAnsi="宋体" w:eastAsia="宋体" w:cs="宋体"/>
          <w:b w:val="0"/>
          <w:bCs w:val="0"/>
          <w:color w:val="auto"/>
          <w:kern w:val="0"/>
          <w:sz w:val="21"/>
          <w:szCs w:val="21"/>
          <w:highlight w:val="none"/>
          <w:lang w:val="en-US" w:eastAsia="zh-CN" w:bidi="ar"/>
        </w:rPr>
        <w:t>应用新技术、新工艺、新材料、新设备；移交接管前做好设施完好情况核查，并出具相关建议。</w:t>
      </w:r>
    </w:p>
    <w:p w14:paraId="2C733C8A">
      <w:pPr>
        <w:keepNext w:val="0"/>
        <w:keepLines w:val="0"/>
        <w:pageBreakBefore w:val="0"/>
        <w:kinsoku/>
        <w:wordWrap/>
        <w:overflowPunct/>
        <w:topLinePunct w:val="0"/>
        <w:bidi w:val="0"/>
        <w:adjustRightInd/>
        <w:snapToGrid/>
        <w:spacing w:line="360" w:lineRule="auto"/>
        <w:ind w:firstLine="422" w:firstLineChars="200"/>
        <w:contextualSpacing/>
        <w:rPr>
          <w:rFonts w:hint="eastAsia"/>
          <w:color w:val="auto"/>
          <w:highlight w:val="none"/>
          <w:lang w:val="en-US" w:eastAsia="zh-CN"/>
        </w:rPr>
      </w:pP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、主要管理人员</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车辆设施设备</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养护场地</w:t>
      </w:r>
      <w:r>
        <w:rPr>
          <w:rFonts w:hint="eastAsia" w:ascii="宋体" w:hAnsi="宋体" w:eastAsia="宋体" w:cs="宋体"/>
          <w:b/>
          <w:color w:val="auto"/>
          <w:sz w:val="21"/>
          <w:szCs w:val="21"/>
          <w:highlight w:val="none"/>
        </w:rPr>
        <w:t>配置：</w:t>
      </w:r>
    </w:p>
    <w:p w14:paraId="4B1777F4">
      <w:pPr>
        <w:keepNext w:val="0"/>
        <w:keepLines w:val="0"/>
        <w:pageBreakBefore w:val="0"/>
        <w:kinsoku/>
        <w:wordWrap/>
        <w:overflowPunct/>
        <w:topLinePunct w:val="0"/>
        <w:bidi w:val="0"/>
        <w:adjustRightInd/>
        <w:snapToGrid/>
        <w:spacing w:line="360" w:lineRule="auto"/>
        <w:ind w:firstLine="420" w:firstLineChars="200"/>
        <w:contextualSpacing/>
        <w:rPr>
          <w:rFonts w:hint="default" w:eastAsia="宋体"/>
          <w:color w:val="auto"/>
          <w:highlight w:val="none"/>
          <w:lang w:val="en-US" w:eastAsia="zh-CN"/>
        </w:rPr>
      </w:pPr>
      <w:r>
        <w:rPr>
          <w:rFonts w:hint="eastAsia"/>
          <w:color w:val="auto"/>
          <w:highlight w:val="none"/>
          <w:lang w:val="en-US" w:eastAsia="zh-CN"/>
        </w:rPr>
        <w:t>1、主要管理人员清单</w:t>
      </w:r>
    </w:p>
    <w:tbl>
      <w:tblPr>
        <w:tblStyle w:val="48"/>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654"/>
        <w:gridCol w:w="1985"/>
        <w:gridCol w:w="2179"/>
        <w:gridCol w:w="2180"/>
      </w:tblGrid>
      <w:tr w14:paraId="52BE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39" w:type="dxa"/>
            <w:vMerge w:val="restart"/>
            <w:tcBorders>
              <w:top w:val="single" w:color="auto" w:sz="4" w:space="0"/>
              <w:left w:val="single" w:color="auto" w:sz="4" w:space="0"/>
              <w:right w:val="single" w:color="auto" w:sz="4" w:space="0"/>
            </w:tcBorders>
            <w:noWrap w:val="0"/>
            <w:vAlign w:val="center"/>
          </w:tcPr>
          <w:p w14:paraId="2E527E2B">
            <w:pPr>
              <w:jc w:val="center"/>
              <w:rPr>
                <w:rFonts w:ascii="Times New Roman" w:hAnsi="Times New Roman" w:cs="宋体"/>
                <w:bCs/>
                <w:color w:val="auto"/>
                <w:szCs w:val="21"/>
                <w:highlight w:val="none"/>
              </w:rPr>
            </w:pPr>
            <w:r>
              <w:rPr>
                <w:rFonts w:hint="eastAsia" w:ascii="Times New Roman" w:hAnsi="Times New Roman" w:cs="宋体"/>
                <w:bCs/>
                <w:color w:val="auto"/>
                <w:szCs w:val="21"/>
                <w:highlight w:val="none"/>
                <w:lang w:bidi="ar"/>
              </w:rPr>
              <w:t>岗位</w:t>
            </w:r>
          </w:p>
        </w:tc>
        <w:tc>
          <w:tcPr>
            <w:tcW w:w="1654" w:type="dxa"/>
            <w:vMerge w:val="restart"/>
            <w:tcBorders>
              <w:top w:val="single" w:color="auto" w:sz="4" w:space="0"/>
              <w:left w:val="single" w:color="auto" w:sz="4" w:space="0"/>
              <w:right w:val="single" w:color="auto" w:sz="4" w:space="0"/>
            </w:tcBorders>
            <w:noWrap w:val="0"/>
            <w:vAlign w:val="center"/>
          </w:tcPr>
          <w:p w14:paraId="5EBBC88C">
            <w:pPr>
              <w:jc w:val="center"/>
              <w:rPr>
                <w:rFonts w:hint="eastAsia" w:ascii="Times New Roman" w:hAnsi="Times New Roman" w:eastAsia="宋体" w:cs="宋体"/>
                <w:bCs/>
                <w:color w:val="auto"/>
                <w:szCs w:val="21"/>
                <w:highlight w:val="none"/>
                <w:lang w:eastAsia="zh-CN"/>
              </w:rPr>
            </w:pPr>
            <w:r>
              <w:rPr>
                <w:rFonts w:hint="eastAsia" w:ascii="Times New Roman" w:hAnsi="Times New Roman" w:cs="宋体"/>
                <w:bCs/>
                <w:color w:val="auto"/>
                <w:szCs w:val="21"/>
                <w:highlight w:val="none"/>
                <w:lang w:val="en-US" w:eastAsia="zh-CN" w:bidi="ar"/>
              </w:rPr>
              <w:t>姓名</w:t>
            </w:r>
          </w:p>
        </w:tc>
        <w:tc>
          <w:tcPr>
            <w:tcW w:w="1985" w:type="dxa"/>
            <w:vMerge w:val="restart"/>
            <w:tcBorders>
              <w:top w:val="single" w:color="auto" w:sz="4" w:space="0"/>
              <w:left w:val="single" w:color="auto" w:sz="4" w:space="0"/>
              <w:right w:val="single" w:color="auto" w:sz="4" w:space="0"/>
            </w:tcBorders>
            <w:noWrap w:val="0"/>
            <w:vAlign w:val="center"/>
          </w:tcPr>
          <w:p w14:paraId="14EBE42B">
            <w:pPr>
              <w:jc w:val="center"/>
              <w:rPr>
                <w:rFonts w:hint="default" w:ascii="Times New Roman" w:hAnsi="Times New Roman" w:eastAsia="宋体" w:cs="宋体"/>
                <w:bCs/>
                <w:color w:val="auto"/>
                <w:szCs w:val="21"/>
                <w:highlight w:val="none"/>
                <w:lang w:val="en-US" w:eastAsia="zh-CN"/>
              </w:rPr>
            </w:pPr>
            <w:r>
              <w:rPr>
                <w:rFonts w:hint="eastAsia" w:ascii="Times New Roman" w:hAnsi="Times New Roman" w:cs="宋体"/>
                <w:bCs/>
                <w:color w:val="auto"/>
                <w:szCs w:val="21"/>
                <w:highlight w:val="none"/>
                <w:lang w:val="en-US" w:eastAsia="zh-CN"/>
              </w:rPr>
              <w:t>身份证号</w:t>
            </w:r>
          </w:p>
        </w:tc>
        <w:tc>
          <w:tcPr>
            <w:tcW w:w="2179" w:type="dxa"/>
            <w:vMerge w:val="restart"/>
            <w:tcBorders>
              <w:top w:val="single" w:color="auto" w:sz="4" w:space="0"/>
              <w:left w:val="single" w:color="auto" w:sz="4" w:space="0"/>
              <w:right w:val="single" w:color="auto" w:sz="4" w:space="0"/>
            </w:tcBorders>
            <w:noWrap w:val="0"/>
            <w:vAlign w:val="center"/>
          </w:tcPr>
          <w:p w14:paraId="52ECBF81">
            <w:pPr>
              <w:jc w:val="center"/>
              <w:rPr>
                <w:rFonts w:hint="default" w:ascii="Times New Roman" w:hAnsi="Times New Roman" w:eastAsia="宋体" w:cs="宋体"/>
                <w:bCs/>
                <w:color w:val="auto"/>
                <w:szCs w:val="21"/>
                <w:highlight w:val="none"/>
                <w:lang w:val="en-US" w:eastAsia="zh-CN"/>
              </w:rPr>
            </w:pPr>
            <w:r>
              <w:rPr>
                <w:rFonts w:hint="eastAsia" w:ascii="Times New Roman" w:hAnsi="Times New Roman" w:cs="宋体"/>
                <w:bCs/>
                <w:color w:val="auto"/>
                <w:szCs w:val="21"/>
                <w:highlight w:val="none"/>
                <w:lang w:val="en-US" w:eastAsia="zh-CN"/>
              </w:rPr>
              <w:t>联系方式</w:t>
            </w:r>
          </w:p>
        </w:tc>
        <w:tc>
          <w:tcPr>
            <w:tcW w:w="2180" w:type="dxa"/>
            <w:vMerge w:val="restart"/>
            <w:tcBorders>
              <w:top w:val="single" w:color="auto" w:sz="4" w:space="0"/>
              <w:left w:val="single" w:color="auto" w:sz="4" w:space="0"/>
              <w:right w:val="single" w:color="auto" w:sz="4" w:space="0"/>
            </w:tcBorders>
            <w:noWrap w:val="0"/>
            <w:vAlign w:val="center"/>
          </w:tcPr>
          <w:p w14:paraId="027B8C68">
            <w:pPr>
              <w:jc w:val="center"/>
              <w:rPr>
                <w:rFonts w:hint="eastAsia" w:ascii="Times New Roman" w:hAnsi="Times New Roman" w:cs="宋体"/>
                <w:bCs/>
                <w:color w:val="auto"/>
                <w:szCs w:val="21"/>
                <w:highlight w:val="none"/>
                <w:lang w:val="en-US" w:eastAsia="zh-CN"/>
              </w:rPr>
            </w:pPr>
            <w:r>
              <w:rPr>
                <w:rFonts w:hint="eastAsia" w:ascii="Times New Roman" w:hAnsi="Times New Roman" w:cs="宋体"/>
                <w:bCs/>
                <w:color w:val="auto"/>
                <w:szCs w:val="21"/>
                <w:highlight w:val="none"/>
                <w:lang w:val="en-US" w:eastAsia="zh-CN"/>
              </w:rPr>
              <w:t>技术水平证书</w:t>
            </w:r>
          </w:p>
          <w:p w14:paraId="6CF7204D">
            <w:pPr>
              <w:jc w:val="center"/>
              <w:rPr>
                <w:rFonts w:hint="eastAsia" w:ascii="Times New Roman" w:hAnsi="Times New Roman" w:cs="宋体"/>
                <w:bCs/>
                <w:color w:val="auto"/>
                <w:szCs w:val="21"/>
                <w:highlight w:val="none"/>
                <w:lang w:bidi="ar"/>
              </w:rPr>
            </w:pPr>
            <w:r>
              <w:rPr>
                <w:rFonts w:hint="eastAsia" w:ascii="Times New Roman" w:hAnsi="Times New Roman" w:cs="宋体"/>
                <w:bCs/>
                <w:color w:val="auto"/>
                <w:szCs w:val="21"/>
                <w:highlight w:val="none"/>
                <w:lang w:val="en-US" w:eastAsia="zh-CN"/>
              </w:rPr>
              <w:t>（特种作业资格）</w:t>
            </w:r>
          </w:p>
        </w:tc>
      </w:tr>
      <w:tr w14:paraId="08EF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39" w:type="dxa"/>
            <w:vMerge w:val="continue"/>
            <w:tcBorders>
              <w:left w:val="single" w:color="auto" w:sz="4" w:space="0"/>
              <w:bottom w:val="single" w:color="auto" w:sz="4" w:space="0"/>
              <w:right w:val="single" w:color="auto" w:sz="4" w:space="0"/>
            </w:tcBorders>
            <w:noWrap w:val="0"/>
            <w:vAlign w:val="center"/>
          </w:tcPr>
          <w:p w14:paraId="0C32BD0F">
            <w:pPr>
              <w:jc w:val="center"/>
              <w:rPr>
                <w:rFonts w:hint="eastAsia" w:ascii="Times New Roman" w:hAnsi="Times New Roman" w:cs="宋体"/>
                <w:bCs/>
                <w:color w:val="auto"/>
                <w:szCs w:val="21"/>
                <w:highlight w:val="none"/>
                <w:lang w:bidi="ar"/>
              </w:rPr>
            </w:pPr>
          </w:p>
        </w:tc>
        <w:tc>
          <w:tcPr>
            <w:tcW w:w="1654" w:type="dxa"/>
            <w:vMerge w:val="continue"/>
            <w:tcBorders>
              <w:left w:val="single" w:color="auto" w:sz="4" w:space="0"/>
              <w:bottom w:val="single" w:color="auto" w:sz="4" w:space="0"/>
              <w:right w:val="single" w:color="auto" w:sz="4" w:space="0"/>
            </w:tcBorders>
            <w:noWrap w:val="0"/>
            <w:vAlign w:val="center"/>
          </w:tcPr>
          <w:p w14:paraId="3CDBAA81">
            <w:pPr>
              <w:jc w:val="center"/>
              <w:rPr>
                <w:rFonts w:hint="eastAsia" w:ascii="Times New Roman" w:hAnsi="Times New Roman" w:cs="宋体"/>
                <w:bCs/>
                <w:color w:val="auto"/>
                <w:szCs w:val="21"/>
                <w:highlight w:val="none"/>
                <w:lang w:bidi="ar"/>
              </w:rPr>
            </w:pPr>
          </w:p>
        </w:tc>
        <w:tc>
          <w:tcPr>
            <w:tcW w:w="1985" w:type="dxa"/>
            <w:vMerge w:val="continue"/>
            <w:tcBorders>
              <w:left w:val="single" w:color="auto" w:sz="4" w:space="0"/>
              <w:bottom w:val="single" w:color="auto" w:sz="4" w:space="0"/>
              <w:right w:val="single" w:color="auto" w:sz="4" w:space="0"/>
            </w:tcBorders>
            <w:noWrap w:val="0"/>
            <w:vAlign w:val="center"/>
          </w:tcPr>
          <w:p w14:paraId="0CD6DD02">
            <w:pPr>
              <w:jc w:val="center"/>
              <w:rPr>
                <w:rFonts w:hint="eastAsia" w:ascii="Times New Roman" w:hAnsi="Times New Roman" w:cs="宋体"/>
                <w:bCs/>
                <w:color w:val="auto"/>
                <w:szCs w:val="21"/>
                <w:highlight w:val="none"/>
                <w:lang w:bidi="ar"/>
              </w:rPr>
            </w:pPr>
          </w:p>
        </w:tc>
        <w:tc>
          <w:tcPr>
            <w:tcW w:w="2179" w:type="dxa"/>
            <w:vMerge w:val="continue"/>
            <w:tcBorders>
              <w:left w:val="single" w:color="auto" w:sz="4" w:space="0"/>
              <w:bottom w:val="single" w:color="auto" w:sz="4" w:space="0"/>
              <w:right w:val="single" w:color="auto" w:sz="4" w:space="0"/>
            </w:tcBorders>
            <w:noWrap w:val="0"/>
            <w:vAlign w:val="center"/>
          </w:tcPr>
          <w:p w14:paraId="0205D547">
            <w:pPr>
              <w:jc w:val="center"/>
              <w:rPr>
                <w:rFonts w:hint="eastAsia" w:ascii="Times New Roman" w:hAnsi="Times New Roman" w:cs="宋体"/>
                <w:bCs/>
                <w:color w:val="auto"/>
                <w:szCs w:val="21"/>
                <w:highlight w:val="none"/>
                <w:lang w:bidi="ar"/>
              </w:rPr>
            </w:pPr>
          </w:p>
        </w:tc>
        <w:tc>
          <w:tcPr>
            <w:tcW w:w="2180" w:type="dxa"/>
            <w:vMerge w:val="continue"/>
            <w:tcBorders>
              <w:left w:val="single" w:color="auto" w:sz="4" w:space="0"/>
              <w:bottom w:val="single" w:color="auto" w:sz="4" w:space="0"/>
              <w:right w:val="single" w:color="auto" w:sz="4" w:space="0"/>
            </w:tcBorders>
            <w:noWrap w:val="0"/>
            <w:vAlign w:val="center"/>
          </w:tcPr>
          <w:p w14:paraId="42480F27">
            <w:pPr>
              <w:jc w:val="center"/>
              <w:rPr>
                <w:rFonts w:hint="eastAsia" w:ascii="Times New Roman" w:hAnsi="Times New Roman" w:cs="宋体"/>
                <w:bCs/>
                <w:color w:val="auto"/>
                <w:szCs w:val="21"/>
                <w:highlight w:val="none"/>
                <w:lang w:bidi="ar"/>
              </w:rPr>
            </w:pPr>
          </w:p>
        </w:tc>
      </w:tr>
      <w:tr w14:paraId="493A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39" w:type="dxa"/>
            <w:tcBorders>
              <w:top w:val="single" w:color="auto" w:sz="4" w:space="0"/>
              <w:left w:val="single" w:color="auto" w:sz="4" w:space="0"/>
              <w:bottom w:val="single" w:color="auto" w:sz="4" w:space="0"/>
              <w:right w:val="single" w:color="auto" w:sz="4" w:space="0"/>
            </w:tcBorders>
            <w:noWrap w:val="0"/>
            <w:vAlign w:val="center"/>
          </w:tcPr>
          <w:p w14:paraId="796FCA26">
            <w:pPr>
              <w:jc w:val="center"/>
              <w:rPr>
                <w:rFonts w:ascii="Times New Roman" w:hAnsi="Times New Roman" w:cs="宋体"/>
                <w:bCs/>
                <w:color w:val="auto"/>
                <w:szCs w:val="21"/>
                <w:highlight w:val="none"/>
              </w:rPr>
            </w:pPr>
            <w:r>
              <w:rPr>
                <w:rFonts w:hint="eastAsia" w:ascii="Times New Roman" w:hAnsi="Times New Roman" w:cs="宋体"/>
                <w:bCs/>
                <w:color w:val="auto"/>
                <w:szCs w:val="21"/>
                <w:highlight w:val="none"/>
                <w:lang w:bidi="ar"/>
              </w:rPr>
              <w:t>项目经理</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34D6B0A2">
            <w:pPr>
              <w:jc w:val="center"/>
              <w:rPr>
                <w:rFonts w:ascii="Times New Roman" w:hAnsi="Times New Roman" w:cs="宋体"/>
                <w:bCs/>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C23F78C">
            <w:pPr>
              <w:jc w:val="center"/>
              <w:rPr>
                <w:rFonts w:ascii="Times New Roman" w:hAnsi="Times New Roman" w:cs="宋体"/>
                <w:bCs/>
                <w:color w:val="auto"/>
                <w:szCs w:val="21"/>
                <w:highlight w:val="none"/>
              </w:rPr>
            </w:pPr>
          </w:p>
        </w:tc>
        <w:tc>
          <w:tcPr>
            <w:tcW w:w="2179" w:type="dxa"/>
            <w:tcBorders>
              <w:top w:val="single" w:color="auto" w:sz="4" w:space="0"/>
              <w:left w:val="single" w:color="auto" w:sz="4" w:space="0"/>
              <w:bottom w:val="single" w:color="auto" w:sz="4" w:space="0"/>
              <w:right w:val="single" w:color="auto" w:sz="4" w:space="0"/>
            </w:tcBorders>
            <w:noWrap w:val="0"/>
            <w:vAlign w:val="center"/>
          </w:tcPr>
          <w:p w14:paraId="05A80AA2">
            <w:pPr>
              <w:jc w:val="center"/>
              <w:rPr>
                <w:rFonts w:ascii="Times New Roman" w:hAnsi="Times New Roman" w:cs="宋体"/>
                <w:bCs/>
                <w:color w:val="auto"/>
                <w:szCs w:val="21"/>
                <w:highlight w:val="none"/>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14:paraId="2A25E77D">
            <w:pPr>
              <w:jc w:val="center"/>
              <w:rPr>
                <w:rFonts w:ascii="Times New Roman" w:hAnsi="Times New Roman" w:cs="宋体"/>
                <w:bCs/>
                <w:color w:val="auto"/>
                <w:szCs w:val="21"/>
                <w:highlight w:val="none"/>
              </w:rPr>
            </w:pPr>
          </w:p>
        </w:tc>
      </w:tr>
      <w:tr w14:paraId="6E2F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39" w:type="dxa"/>
            <w:tcBorders>
              <w:top w:val="single" w:color="auto" w:sz="4" w:space="0"/>
              <w:left w:val="single" w:color="auto" w:sz="4" w:space="0"/>
              <w:bottom w:val="single" w:color="auto" w:sz="4" w:space="0"/>
              <w:right w:val="single" w:color="auto" w:sz="4" w:space="0"/>
            </w:tcBorders>
            <w:noWrap w:val="0"/>
            <w:vAlign w:val="center"/>
          </w:tcPr>
          <w:p w14:paraId="7681D3B5">
            <w:pPr>
              <w:jc w:val="center"/>
              <w:rPr>
                <w:rFonts w:ascii="Times New Roman" w:hAnsi="Times New Roman" w:cs="宋体"/>
                <w:bCs/>
                <w:color w:val="auto"/>
                <w:szCs w:val="21"/>
                <w:highlight w:val="none"/>
              </w:rPr>
            </w:pPr>
            <w:r>
              <w:rPr>
                <w:rFonts w:hint="eastAsia" w:ascii="Times New Roman" w:hAnsi="Times New Roman" w:cs="宋体"/>
                <w:color w:val="auto"/>
                <w:szCs w:val="21"/>
                <w:highlight w:val="none"/>
                <w:lang w:bidi="ar"/>
              </w:rPr>
              <w:t>技术负责人</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26155C2A">
            <w:pPr>
              <w:jc w:val="center"/>
              <w:rPr>
                <w:rFonts w:ascii="Times New Roman" w:hAnsi="Times New Roman" w:cs="宋体"/>
                <w:bCs/>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50A6EB6">
            <w:pPr>
              <w:jc w:val="center"/>
              <w:rPr>
                <w:rFonts w:ascii="Times New Roman" w:hAnsi="Times New Roman" w:cs="宋体"/>
                <w:bCs/>
                <w:color w:val="auto"/>
                <w:szCs w:val="21"/>
                <w:highlight w:val="none"/>
              </w:rPr>
            </w:pPr>
          </w:p>
        </w:tc>
        <w:tc>
          <w:tcPr>
            <w:tcW w:w="2179" w:type="dxa"/>
            <w:tcBorders>
              <w:top w:val="single" w:color="auto" w:sz="4" w:space="0"/>
              <w:left w:val="single" w:color="auto" w:sz="4" w:space="0"/>
              <w:bottom w:val="single" w:color="auto" w:sz="4" w:space="0"/>
              <w:right w:val="single" w:color="auto" w:sz="4" w:space="0"/>
            </w:tcBorders>
            <w:noWrap w:val="0"/>
            <w:vAlign w:val="center"/>
          </w:tcPr>
          <w:p w14:paraId="550FBEF9">
            <w:pPr>
              <w:jc w:val="center"/>
              <w:rPr>
                <w:rFonts w:ascii="Times New Roman" w:hAnsi="Times New Roman" w:cs="宋体"/>
                <w:bCs/>
                <w:color w:val="auto"/>
                <w:szCs w:val="21"/>
                <w:highlight w:val="none"/>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14:paraId="250E001C">
            <w:pPr>
              <w:jc w:val="center"/>
              <w:rPr>
                <w:rFonts w:ascii="Times New Roman" w:hAnsi="Times New Roman" w:cs="宋体"/>
                <w:bCs/>
                <w:color w:val="auto"/>
                <w:szCs w:val="21"/>
                <w:highlight w:val="none"/>
              </w:rPr>
            </w:pPr>
          </w:p>
        </w:tc>
      </w:tr>
      <w:tr w14:paraId="0B56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39" w:type="dxa"/>
            <w:tcBorders>
              <w:top w:val="single" w:color="auto" w:sz="4" w:space="0"/>
              <w:left w:val="single" w:color="auto" w:sz="4" w:space="0"/>
              <w:bottom w:val="single" w:color="auto" w:sz="4" w:space="0"/>
              <w:right w:val="single" w:color="auto" w:sz="4" w:space="0"/>
            </w:tcBorders>
            <w:noWrap w:val="0"/>
            <w:vAlign w:val="center"/>
          </w:tcPr>
          <w:p w14:paraId="0B2BE313">
            <w:pPr>
              <w:jc w:val="center"/>
              <w:rPr>
                <w:rFonts w:ascii="Times New Roman" w:hAnsi="Times New Roman" w:cs="宋体"/>
                <w:color w:val="auto"/>
                <w:szCs w:val="21"/>
                <w:highlight w:val="none"/>
                <w:lang w:bidi="ar"/>
              </w:rPr>
            </w:pPr>
            <w:r>
              <w:rPr>
                <w:rFonts w:hint="eastAsia" w:ascii="Times New Roman" w:hAnsi="Times New Roman" w:cs="宋体"/>
                <w:color w:val="auto"/>
                <w:szCs w:val="21"/>
                <w:highlight w:val="none"/>
                <w:lang w:bidi="ar"/>
              </w:rPr>
              <w:t>技术资料员</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2A595D1E">
            <w:pPr>
              <w:jc w:val="center"/>
              <w:rPr>
                <w:rFonts w:ascii="Times New Roman" w:hAnsi="Times New Roman" w:cs="宋体"/>
                <w:color w:val="auto"/>
                <w:szCs w:val="21"/>
                <w:highlight w:val="none"/>
                <w:lang w:bidi="ar"/>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6767394">
            <w:pPr>
              <w:jc w:val="center"/>
              <w:rPr>
                <w:rFonts w:ascii="Times New Roman" w:hAnsi="Times New Roman" w:cs="宋体"/>
                <w:bCs/>
                <w:color w:val="auto"/>
                <w:szCs w:val="21"/>
                <w:highlight w:val="none"/>
              </w:rPr>
            </w:pPr>
          </w:p>
        </w:tc>
        <w:tc>
          <w:tcPr>
            <w:tcW w:w="2179" w:type="dxa"/>
            <w:tcBorders>
              <w:top w:val="single" w:color="auto" w:sz="4" w:space="0"/>
              <w:left w:val="single" w:color="auto" w:sz="4" w:space="0"/>
              <w:bottom w:val="single" w:color="auto" w:sz="4" w:space="0"/>
              <w:right w:val="single" w:color="auto" w:sz="4" w:space="0"/>
            </w:tcBorders>
            <w:noWrap w:val="0"/>
            <w:vAlign w:val="center"/>
          </w:tcPr>
          <w:p w14:paraId="172E26B0">
            <w:pPr>
              <w:jc w:val="center"/>
              <w:rPr>
                <w:rFonts w:ascii="Times New Roman" w:hAnsi="Times New Roman" w:cs="宋体"/>
                <w:bCs/>
                <w:color w:val="auto"/>
                <w:szCs w:val="21"/>
                <w:highlight w:val="none"/>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14:paraId="349B5520">
            <w:pPr>
              <w:jc w:val="center"/>
              <w:rPr>
                <w:rFonts w:ascii="Times New Roman" w:hAnsi="Times New Roman" w:cs="宋体"/>
                <w:bCs/>
                <w:color w:val="auto"/>
                <w:szCs w:val="21"/>
                <w:highlight w:val="none"/>
              </w:rPr>
            </w:pPr>
          </w:p>
        </w:tc>
      </w:tr>
      <w:tr w14:paraId="760F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39" w:type="dxa"/>
            <w:tcBorders>
              <w:top w:val="single" w:color="auto" w:sz="4" w:space="0"/>
              <w:left w:val="single" w:color="auto" w:sz="4" w:space="0"/>
              <w:bottom w:val="single" w:color="auto" w:sz="4" w:space="0"/>
              <w:right w:val="single" w:color="auto" w:sz="4" w:space="0"/>
            </w:tcBorders>
            <w:noWrap w:val="0"/>
            <w:vAlign w:val="center"/>
          </w:tcPr>
          <w:p w14:paraId="07E73E00">
            <w:pPr>
              <w:jc w:val="center"/>
              <w:rPr>
                <w:rFonts w:hint="eastAsia" w:ascii="Times New Roman" w:hAnsi="Times New Roman" w:cs="宋体"/>
                <w:color w:val="auto"/>
                <w:szCs w:val="21"/>
                <w:highlight w:val="none"/>
                <w:lang w:bidi="ar"/>
              </w:rPr>
            </w:pPr>
            <w:r>
              <w:rPr>
                <w:rFonts w:hint="eastAsia" w:ascii="Times New Roman" w:hAnsi="Times New Roman" w:cs="宋体"/>
                <w:color w:val="auto"/>
                <w:szCs w:val="21"/>
                <w:highlight w:val="none"/>
                <w:lang w:bidi="ar"/>
              </w:rPr>
              <w:t>施工员</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77B7E218">
            <w:pPr>
              <w:jc w:val="center"/>
              <w:rPr>
                <w:rFonts w:hint="eastAsia" w:ascii="Times New Roman" w:hAnsi="Times New Roman" w:cs="宋体"/>
                <w:bCs/>
                <w:color w:val="auto"/>
                <w:szCs w:val="21"/>
                <w:highlight w:val="none"/>
                <w:lang w:bidi="ar"/>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0800D487">
            <w:pPr>
              <w:jc w:val="center"/>
              <w:rPr>
                <w:rFonts w:hint="eastAsia" w:ascii="Times New Roman" w:hAnsi="Times New Roman" w:cs="宋体"/>
                <w:bCs/>
                <w:color w:val="auto"/>
                <w:szCs w:val="21"/>
                <w:highlight w:val="none"/>
                <w:lang w:bidi="ar"/>
              </w:rPr>
            </w:pPr>
          </w:p>
        </w:tc>
        <w:tc>
          <w:tcPr>
            <w:tcW w:w="2179" w:type="dxa"/>
            <w:tcBorders>
              <w:top w:val="single" w:color="auto" w:sz="4" w:space="0"/>
              <w:left w:val="single" w:color="auto" w:sz="4" w:space="0"/>
              <w:bottom w:val="single" w:color="auto" w:sz="4" w:space="0"/>
              <w:right w:val="single" w:color="auto" w:sz="4" w:space="0"/>
            </w:tcBorders>
            <w:noWrap w:val="0"/>
            <w:vAlign w:val="top"/>
          </w:tcPr>
          <w:p w14:paraId="71326DCF">
            <w:pPr>
              <w:jc w:val="center"/>
              <w:rPr>
                <w:rFonts w:hint="eastAsia" w:ascii="Times New Roman" w:hAnsi="Times New Roman" w:cs="宋体"/>
                <w:bCs/>
                <w:color w:val="auto"/>
                <w:szCs w:val="21"/>
                <w:highlight w:val="none"/>
                <w:lang w:bidi="ar"/>
              </w:rPr>
            </w:pPr>
          </w:p>
        </w:tc>
        <w:tc>
          <w:tcPr>
            <w:tcW w:w="2180" w:type="dxa"/>
            <w:tcBorders>
              <w:top w:val="single" w:color="auto" w:sz="4" w:space="0"/>
              <w:left w:val="single" w:color="auto" w:sz="4" w:space="0"/>
              <w:bottom w:val="single" w:color="auto" w:sz="4" w:space="0"/>
              <w:right w:val="single" w:color="auto" w:sz="4" w:space="0"/>
            </w:tcBorders>
            <w:noWrap w:val="0"/>
            <w:vAlign w:val="top"/>
          </w:tcPr>
          <w:p w14:paraId="1BFB214F">
            <w:pPr>
              <w:jc w:val="center"/>
              <w:rPr>
                <w:rFonts w:hint="eastAsia" w:ascii="Times New Roman" w:hAnsi="Times New Roman" w:cs="宋体"/>
                <w:bCs/>
                <w:color w:val="auto"/>
                <w:szCs w:val="21"/>
                <w:highlight w:val="none"/>
                <w:lang w:bidi="ar"/>
              </w:rPr>
            </w:pPr>
          </w:p>
        </w:tc>
      </w:tr>
      <w:tr w14:paraId="4572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39" w:type="dxa"/>
            <w:tcBorders>
              <w:top w:val="single" w:color="auto" w:sz="4" w:space="0"/>
              <w:left w:val="single" w:color="auto" w:sz="4" w:space="0"/>
              <w:bottom w:val="single" w:color="auto" w:sz="4" w:space="0"/>
              <w:right w:val="single" w:color="auto" w:sz="4" w:space="0"/>
            </w:tcBorders>
            <w:noWrap w:val="0"/>
            <w:vAlign w:val="center"/>
          </w:tcPr>
          <w:p w14:paraId="72877BC4">
            <w:pPr>
              <w:jc w:val="center"/>
              <w:rPr>
                <w:rFonts w:hint="eastAsia" w:ascii="Times New Roman" w:hAnsi="Times New Roman" w:cs="宋体"/>
                <w:color w:val="auto"/>
                <w:szCs w:val="21"/>
                <w:highlight w:val="none"/>
                <w:lang w:bidi="ar"/>
              </w:rPr>
            </w:pPr>
            <w:r>
              <w:rPr>
                <w:rFonts w:hint="eastAsia" w:ascii="Times New Roman" w:hAnsi="Times New Roman" w:cs="宋体"/>
                <w:color w:val="auto"/>
                <w:szCs w:val="21"/>
                <w:highlight w:val="none"/>
                <w:lang w:bidi="ar"/>
              </w:rPr>
              <w:t>安全员</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74584023">
            <w:pPr>
              <w:jc w:val="center"/>
              <w:rPr>
                <w:rFonts w:hint="eastAsia" w:ascii="Times New Roman" w:hAnsi="Times New Roman" w:cs="宋体"/>
                <w:bCs/>
                <w:color w:val="auto"/>
                <w:szCs w:val="21"/>
                <w:highlight w:val="none"/>
                <w:lang w:bidi="ar"/>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C4A2954">
            <w:pPr>
              <w:jc w:val="center"/>
              <w:rPr>
                <w:rFonts w:hint="eastAsia" w:ascii="Times New Roman" w:hAnsi="Times New Roman" w:cs="宋体"/>
                <w:bCs/>
                <w:color w:val="auto"/>
                <w:szCs w:val="21"/>
                <w:highlight w:val="none"/>
                <w:lang w:bidi="ar"/>
              </w:rPr>
            </w:pPr>
          </w:p>
        </w:tc>
        <w:tc>
          <w:tcPr>
            <w:tcW w:w="2179" w:type="dxa"/>
            <w:tcBorders>
              <w:top w:val="single" w:color="auto" w:sz="4" w:space="0"/>
              <w:left w:val="single" w:color="auto" w:sz="4" w:space="0"/>
              <w:bottom w:val="single" w:color="auto" w:sz="4" w:space="0"/>
              <w:right w:val="single" w:color="auto" w:sz="4" w:space="0"/>
            </w:tcBorders>
            <w:noWrap w:val="0"/>
            <w:vAlign w:val="top"/>
          </w:tcPr>
          <w:p w14:paraId="4CF725AA">
            <w:pPr>
              <w:jc w:val="center"/>
              <w:rPr>
                <w:rFonts w:hint="eastAsia" w:ascii="Times New Roman" w:hAnsi="Times New Roman" w:cs="宋体"/>
                <w:bCs/>
                <w:color w:val="auto"/>
                <w:szCs w:val="21"/>
                <w:highlight w:val="none"/>
                <w:lang w:bidi="ar"/>
              </w:rPr>
            </w:pPr>
          </w:p>
        </w:tc>
        <w:tc>
          <w:tcPr>
            <w:tcW w:w="2180" w:type="dxa"/>
            <w:tcBorders>
              <w:top w:val="single" w:color="auto" w:sz="4" w:space="0"/>
              <w:left w:val="single" w:color="auto" w:sz="4" w:space="0"/>
              <w:bottom w:val="single" w:color="auto" w:sz="4" w:space="0"/>
              <w:right w:val="single" w:color="auto" w:sz="4" w:space="0"/>
            </w:tcBorders>
            <w:noWrap w:val="0"/>
            <w:vAlign w:val="top"/>
          </w:tcPr>
          <w:p w14:paraId="7408604D">
            <w:pPr>
              <w:jc w:val="center"/>
              <w:rPr>
                <w:rFonts w:hint="eastAsia" w:ascii="Times New Roman" w:hAnsi="Times New Roman" w:cs="宋体"/>
                <w:bCs/>
                <w:color w:val="auto"/>
                <w:szCs w:val="21"/>
                <w:highlight w:val="none"/>
                <w:lang w:bidi="ar"/>
              </w:rPr>
            </w:pPr>
          </w:p>
        </w:tc>
      </w:tr>
      <w:tr w14:paraId="2481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39" w:type="dxa"/>
            <w:tcBorders>
              <w:top w:val="single" w:color="auto" w:sz="4" w:space="0"/>
              <w:left w:val="single" w:color="auto" w:sz="4" w:space="0"/>
              <w:bottom w:val="single" w:color="auto" w:sz="4" w:space="0"/>
              <w:right w:val="single" w:color="auto" w:sz="4" w:space="0"/>
            </w:tcBorders>
            <w:noWrap w:val="0"/>
            <w:vAlign w:val="center"/>
          </w:tcPr>
          <w:p w14:paraId="76D85D5F">
            <w:pPr>
              <w:jc w:val="center"/>
              <w:rPr>
                <w:rFonts w:hint="eastAsia" w:ascii="Times New Roman" w:hAnsi="Times New Roman" w:eastAsia="宋体" w:cs="宋体"/>
                <w:bCs/>
                <w:color w:val="auto"/>
                <w:szCs w:val="21"/>
                <w:highlight w:val="none"/>
                <w:lang w:eastAsia="zh-CN"/>
              </w:rPr>
            </w:pPr>
            <w:r>
              <w:rPr>
                <w:rFonts w:hint="eastAsia" w:ascii="Times New Roman" w:hAnsi="Times New Roman" w:cs="宋体"/>
                <w:bCs/>
                <w:color w:val="auto"/>
                <w:szCs w:val="21"/>
                <w:highlight w:val="none"/>
                <w:lang w:eastAsia="zh-CN"/>
              </w:rPr>
              <w:t>……</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604F68F9">
            <w:pPr>
              <w:jc w:val="center"/>
              <w:rPr>
                <w:rFonts w:ascii="Times New Roman" w:hAnsi="Times New Roman" w:cs="宋体"/>
                <w:color w:val="auto"/>
                <w:szCs w:val="21"/>
                <w:highlight w:val="none"/>
                <w:lang w:bidi="ar"/>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4EC4FB6">
            <w:pPr>
              <w:jc w:val="center"/>
              <w:rPr>
                <w:rFonts w:ascii="Times New Roman" w:hAnsi="Times New Roman" w:cs="宋体"/>
                <w:bCs/>
                <w:color w:val="auto"/>
                <w:szCs w:val="21"/>
                <w:highlight w:val="none"/>
              </w:rPr>
            </w:pPr>
          </w:p>
        </w:tc>
        <w:tc>
          <w:tcPr>
            <w:tcW w:w="2179" w:type="dxa"/>
            <w:tcBorders>
              <w:top w:val="single" w:color="auto" w:sz="4" w:space="0"/>
              <w:left w:val="single" w:color="auto" w:sz="4" w:space="0"/>
              <w:bottom w:val="single" w:color="auto" w:sz="4" w:space="0"/>
              <w:right w:val="single" w:color="auto" w:sz="4" w:space="0"/>
            </w:tcBorders>
            <w:noWrap w:val="0"/>
            <w:vAlign w:val="top"/>
          </w:tcPr>
          <w:p w14:paraId="2804C5B3">
            <w:pPr>
              <w:jc w:val="center"/>
              <w:rPr>
                <w:rFonts w:ascii="Times New Roman" w:hAnsi="Times New Roman" w:cs="宋体"/>
                <w:bCs/>
                <w:color w:val="auto"/>
                <w:szCs w:val="21"/>
                <w:highlight w:val="none"/>
              </w:rPr>
            </w:pPr>
          </w:p>
        </w:tc>
        <w:tc>
          <w:tcPr>
            <w:tcW w:w="2180" w:type="dxa"/>
            <w:tcBorders>
              <w:top w:val="single" w:color="auto" w:sz="4" w:space="0"/>
              <w:left w:val="single" w:color="auto" w:sz="4" w:space="0"/>
              <w:bottom w:val="single" w:color="auto" w:sz="4" w:space="0"/>
              <w:right w:val="single" w:color="auto" w:sz="4" w:space="0"/>
            </w:tcBorders>
            <w:noWrap w:val="0"/>
            <w:vAlign w:val="top"/>
          </w:tcPr>
          <w:p w14:paraId="1C75B0B1">
            <w:pPr>
              <w:jc w:val="center"/>
              <w:rPr>
                <w:rFonts w:ascii="Times New Roman" w:hAnsi="Times New Roman" w:cs="宋体"/>
                <w:bCs/>
                <w:color w:val="auto"/>
                <w:szCs w:val="21"/>
                <w:highlight w:val="none"/>
              </w:rPr>
            </w:pPr>
          </w:p>
        </w:tc>
      </w:tr>
    </w:tbl>
    <w:p w14:paraId="2D7B0E3E">
      <w:pPr>
        <w:pStyle w:val="43"/>
        <w:rPr>
          <w:color w:val="auto"/>
          <w:highlight w:val="none"/>
        </w:rPr>
      </w:pPr>
    </w:p>
    <w:p w14:paraId="50A82BDD">
      <w:pPr>
        <w:keepNext w:val="0"/>
        <w:keepLines w:val="0"/>
        <w:pageBreakBefore w:val="0"/>
        <w:kinsoku/>
        <w:wordWrap/>
        <w:overflowPunct/>
        <w:topLinePunct w:val="0"/>
        <w:bidi w:val="0"/>
        <w:adjustRightInd/>
        <w:snapToGrid/>
        <w:spacing w:line="360" w:lineRule="auto"/>
        <w:ind w:firstLine="420" w:firstLineChars="200"/>
        <w:contextualSpacing/>
        <w:rPr>
          <w:rFonts w:hint="eastAsia"/>
          <w:color w:val="auto"/>
          <w:highlight w:val="none"/>
          <w:lang w:val="en-US" w:eastAsia="zh-CN"/>
        </w:rPr>
      </w:pPr>
      <w:r>
        <w:rPr>
          <w:rFonts w:hint="eastAsia" w:ascii="Times New Roman" w:hAnsi="Times New Roman" w:eastAsia="宋体" w:cs="Times New Roman"/>
          <w:color w:val="auto"/>
          <w:highlight w:val="none"/>
          <w:lang w:val="en-US" w:eastAsia="zh-CN"/>
        </w:rPr>
        <w:t>2、车辆</w:t>
      </w:r>
      <w:r>
        <w:rPr>
          <w:rFonts w:hint="eastAsia"/>
          <w:color w:val="auto"/>
          <w:highlight w:val="none"/>
          <w:lang w:val="en-US" w:eastAsia="zh-CN"/>
        </w:rPr>
        <w:t>清单</w:t>
      </w:r>
    </w:p>
    <w:tbl>
      <w:tblPr>
        <w:tblStyle w:val="48"/>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650"/>
        <w:gridCol w:w="1981"/>
        <w:gridCol w:w="2175"/>
        <w:gridCol w:w="2176"/>
      </w:tblGrid>
      <w:tr w14:paraId="130F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36" w:type="dxa"/>
            <w:tcBorders>
              <w:left w:val="single" w:color="auto" w:sz="4" w:space="0"/>
              <w:bottom w:val="single" w:color="auto" w:sz="4" w:space="0"/>
              <w:right w:val="single" w:color="auto" w:sz="4" w:space="0"/>
            </w:tcBorders>
            <w:shd w:val="clear" w:color="auto" w:fill="auto"/>
            <w:noWrap w:val="0"/>
            <w:vAlign w:val="center"/>
          </w:tcPr>
          <w:p w14:paraId="091503EC">
            <w:pPr>
              <w:spacing w:line="240" w:lineRule="auto"/>
              <w:jc w:val="center"/>
              <w:rPr>
                <w:rFonts w:hint="eastAsia" w:ascii="Times New Roman" w:hAnsi="Times New Roman" w:eastAsia="宋体" w:cs="宋体"/>
                <w:bCs/>
                <w:color w:val="auto"/>
                <w:kern w:val="2"/>
                <w:sz w:val="21"/>
                <w:szCs w:val="21"/>
                <w:highlight w:val="none"/>
                <w:lang w:val="en-US" w:eastAsia="zh-CN" w:bidi="ar-SA"/>
              </w:rPr>
            </w:pPr>
            <w:r>
              <w:rPr>
                <w:rFonts w:hint="eastAsia" w:ascii="Times New Roman" w:hAnsi="Times New Roman" w:cs="宋体"/>
                <w:bCs/>
                <w:color w:val="auto"/>
                <w:szCs w:val="21"/>
                <w:highlight w:val="none"/>
                <w:lang w:val="en-US" w:eastAsia="zh-CN"/>
              </w:rPr>
              <w:t>车辆类型</w:t>
            </w:r>
          </w:p>
        </w:tc>
        <w:tc>
          <w:tcPr>
            <w:tcW w:w="1650" w:type="dxa"/>
            <w:tcBorders>
              <w:left w:val="single" w:color="auto" w:sz="4" w:space="0"/>
              <w:bottom w:val="single" w:color="auto" w:sz="4" w:space="0"/>
              <w:right w:val="single" w:color="auto" w:sz="4" w:space="0"/>
            </w:tcBorders>
            <w:shd w:val="clear" w:color="auto" w:fill="auto"/>
            <w:noWrap w:val="0"/>
            <w:vAlign w:val="center"/>
          </w:tcPr>
          <w:p w14:paraId="1945ED1B">
            <w:pPr>
              <w:spacing w:line="240" w:lineRule="auto"/>
              <w:jc w:val="center"/>
              <w:rPr>
                <w:rFonts w:hint="eastAsia" w:ascii="Times New Roman" w:hAnsi="Times New Roman" w:eastAsia="宋体" w:cs="宋体"/>
                <w:bCs/>
                <w:color w:val="auto"/>
                <w:kern w:val="2"/>
                <w:sz w:val="21"/>
                <w:szCs w:val="21"/>
                <w:highlight w:val="none"/>
                <w:lang w:val="en-US" w:eastAsia="zh-CN" w:bidi="ar-SA"/>
              </w:rPr>
            </w:pPr>
            <w:r>
              <w:rPr>
                <w:rFonts w:hint="eastAsia" w:ascii="Times New Roman" w:hAnsi="Times New Roman" w:cs="宋体"/>
                <w:bCs/>
                <w:color w:val="auto"/>
                <w:szCs w:val="21"/>
                <w:highlight w:val="none"/>
                <w:lang w:val="en-US" w:eastAsia="zh-CN" w:bidi="ar"/>
              </w:rPr>
              <w:t>车牌</w:t>
            </w:r>
          </w:p>
        </w:tc>
        <w:tc>
          <w:tcPr>
            <w:tcW w:w="1981" w:type="dxa"/>
            <w:tcBorders>
              <w:left w:val="single" w:color="auto" w:sz="4" w:space="0"/>
              <w:bottom w:val="single" w:color="auto" w:sz="4" w:space="0"/>
              <w:right w:val="single" w:color="auto" w:sz="4" w:space="0"/>
            </w:tcBorders>
            <w:shd w:val="clear" w:color="auto" w:fill="auto"/>
            <w:noWrap w:val="0"/>
            <w:vAlign w:val="center"/>
          </w:tcPr>
          <w:p w14:paraId="57EF962B">
            <w:pPr>
              <w:spacing w:line="240" w:lineRule="auto"/>
              <w:jc w:val="center"/>
              <w:rPr>
                <w:rFonts w:hint="eastAsia" w:ascii="Times New Roman" w:hAnsi="Times New Roman" w:eastAsia="宋体" w:cs="宋体"/>
                <w:bCs/>
                <w:color w:val="auto"/>
                <w:kern w:val="2"/>
                <w:sz w:val="21"/>
                <w:szCs w:val="21"/>
                <w:highlight w:val="none"/>
                <w:lang w:val="en-US" w:eastAsia="zh-CN" w:bidi="ar-SA"/>
              </w:rPr>
            </w:pPr>
            <w:r>
              <w:rPr>
                <w:rFonts w:hint="eastAsia" w:ascii="Times New Roman" w:hAnsi="Times New Roman" w:cs="宋体"/>
                <w:bCs/>
                <w:color w:val="auto"/>
                <w:szCs w:val="21"/>
                <w:highlight w:val="none"/>
                <w:lang w:val="en-US" w:eastAsia="zh-CN"/>
              </w:rPr>
              <w:t>联系人</w:t>
            </w:r>
          </w:p>
        </w:tc>
        <w:tc>
          <w:tcPr>
            <w:tcW w:w="2175" w:type="dxa"/>
            <w:tcBorders>
              <w:left w:val="single" w:color="auto" w:sz="4" w:space="0"/>
              <w:bottom w:val="single" w:color="auto" w:sz="4" w:space="0"/>
              <w:right w:val="single" w:color="auto" w:sz="4" w:space="0"/>
            </w:tcBorders>
            <w:shd w:val="clear" w:color="auto" w:fill="auto"/>
            <w:noWrap w:val="0"/>
            <w:vAlign w:val="center"/>
          </w:tcPr>
          <w:p w14:paraId="402788E9">
            <w:pPr>
              <w:spacing w:line="240" w:lineRule="auto"/>
              <w:jc w:val="center"/>
              <w:rPr>
                <w:rFonts w:hint="eastAsia" w:ascii="Times New Roman" w:hAnsi="Times New Roman" w:eastAsia="宋体" w:cs="宋体"/>
                <w:bCs/>
                <w:color w:val="auto"/>
                <w:kern w:val="2"/>
                <w:sz w:val="21"/>
                <w:szCs w:val="21"/>
                <w:highlight w:val="none"/>
                <w:lang w:val="en-US" w:eastAsia="zh-CN" w:bidi="ar-SA"/>
              </w:rPr>
            </w:pPr>
            <w:r>
              <w:rPr>
                <w:rFonts w:hint="eastAsia" w:ascii="Times New Roman" w:hAnsi="Times New Roman" w:cs="宋体"/>
                <w:bCs/>
                <w:color w:val="auto"/>
                <w:szCs w:val="21"/>
                <w:highlight w:val="none"/>
                <w:lang w:val="en-US" w:eastAsia="zh-CN"/>
              </w:rPr>
              <w:t>联系方式</w:t>
            </w:r>
          </w:p>
        </w:tc>
        <w:tc>
          <w:tcPr>
            <w:tcW w:w="2176" w:type="dxa"/>
            <w:tcBorders>
              <w:left w:val="single" w:color="auto" w:sz="4" w:space="0"/>
              <w:bottom w:val="single" w:color="auto" w:sz="4" w:space="0"/>
              <w:right w:val="single" w:color="auto" w:sz="4" w:space="0"/>
            </w:tcBorders>
            <w:shd w:val="clear" w:color="auto" w:fill="auto"/>
            <w:noWrap w:val="0"/>
            <w:vAlign w:val="center"/>
          </w:tcPr>
          <w:p w14:paraId="6445E0B0">
            <w:pPr>
              <w:spacing w:line="240" w:lineRule="auto"/>
              <w:jc w:val="center"/>
              <w:rPr>
                <w:rFonts w:hint="eastAsia" w:ascii="Times New Roman" w:hAnsi="Times New Roman" w:eastAsia="宋体" w:cs="宋体"/>
                <w:bCs/>
                <w:color w:val="auto"/>
                <w:kern w:val="2"/>
                <w:sz w:val="21"/>
                <w:szCs w:val="21"/>
                <w:highlight w:val="none"/>
                <w:lang w:val="en-US" w:eastAsia="zh-CN" w:bidi="ar"/>
              </w:rPr>
            </w:pPr>
            <w:r>
              <w:rPr>
                <w:rFonts w:hint="eastAsia" w:ascii="Times New Roman" w:hAnsi="Times New Roman" w:cs="宋体"/>
                <w:bCs/>
                <w:color w:val="auto"/>
                <w:szCs w:val="21"/>
                <w:highlight w:val="none"/>
                <w:lang w:val="en-US" w:eastAsia="zh-CN" w:bidi="ar"/>
              </w:rPr>
              <w:t>车型备注</w:t>
            </w:r>
          </w:p>
        </w:tc>
      </w:tr>
      <w:tr w14:paraId="7A4B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836" w:type="dxa"/>
            <w:tcBorders>
              <w:top w:val="single" w:color="auto" w:sz="4" w:space="0"/>
              <w:left w:val="single" w:color="auto" w:sz="4" w:space="0"/>
              <w:bottom w:val="single" w:color="auto" w:sz="4" w:space="0"/>
              <w:right w:val="single" w:color="auto" w:sz="4" w:space="0"/>
            </w:tcBorders>
            <w:noWrap w:val="0"/>
            <w:vAlign w:val="center"/>
          </w:tcPr>
          <w:p w14:paraId="3C439914">
            <w:pPr>
              <w:jc w:val="center"/>
              <w:rPr>
                <w:rFonts w:hint="default" w:ascii="Times New Roman" w:hAnsi="Times New Roman" w:eastAsia="宋体" w:cs="宋体"/>
                <w:bCs/>
                <w:color w:val="auto"/>
                <w:szCs w:val="21"/>
                <w:highlight w:val="none"/>
                <w:lang w:val="en-US" w:eastAsia="zh-CN"/>
              </w:rPr>
            </w:pPr>
            <w:r>
              <w:rPr>
                <w:rFonts w:hint="eastAsia" w:ascii="Times New Roman" w:hAnsi="Times New Roman" w:cs="宋体"/>
                <w:bCs/>
                <w:color w:val="auto"/>
                <w:szCs w:val="21"/>
                <w:highlight w:val="none"/>
                <w:lang w:val="en-US" w:eastAsia="zh-CN"/>
              </w:rPr>
              <w:t>巡查车1</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C02140C">
            <w:pPr>
              <w:jc w:val="center"/>
              <w:rPr>
                <w:rFonts w:ascii="Times New Roman" w:hAnsi="Times New Roman" w:cs="宋体"/>
                <w:bCs/>
                <w:color w:val="auto"/>
                <w:szCs w:val="21"/>
                <w:highlight w:val="none"/>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1FC4C87E">
            <w:pPr>
              <w:jc w:val="center"/>
              <w:rPr>
                <w:rFonts w:ascii="Times New Roman" w:hAnsi="Times New Roman" w:cs="宋体"/>
                <w:bCs/>
                <w:color w:val="auto"/>
                <w:szCs w:val="21"/>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24071BE9">
            <w:pPr>
              <w:jc w:val="center"/>
              <w:rPr>
                <w:rFonts w:ascii="Times New Roman" w:hAnsi="Times New Roman" w:cs="宋体"/>
                <w:bCs/>
                <w:color w:val="auto"/>
                <w:szCs w:val="21"/>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40CBD269">
            <w:pPr>
              <w:jc w:val="center"/>
              <w:rPr>
                <w:rFonts w:hint="eastAsia" w:ascii="Times New Roman" w:hAnsi="Times New Roman" w:eastAsia="宋体" w:cs="宋体"/>
                <w:bCs/>
                <w:color w:val="auto"/>
                <w:szCs w:val="21"/>
                <w:highlight w:val="none"/>
                <w:lang w:val="en-US" w:eastAsia="zh-CN"/>
              </w:rPr>
            </w:pPr>
          </w:p>
        </w:tc>
      </w:tr>
      <w:tr w14:paraId="5A67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836" w:type="dxa"/>
            <w:tcBorders>
              <w:top w:val="single" w:color="auto" w:sz="4" w:space="0"/>
              <w:left w:val="single" w:color="auto" w:sz="4" w:space="0"/>
              <w:bottom w:val="single" w:color="auto" w:sz="4" w:space="0"/>
              <w:right w:val="single" w:color="auto" w:sz="4" w:space="0"/>
            </w:tcBorders>
            <w:noWrap w:val="0"/>
            <w:vAlign w:val="center"/>
          </w:tcPr>
          <w:p w14:paraId="40669A3E">
            <w:pPr>
              <w:jc w:val="center"/>
              <w:rPr>
                <w:rFonts w:hint="default" w:ascii="Times New Roman" w:hAnsi="Times New Roman" w:eastAsia="宋体" w:cs="宋体"/>
                <w:bCs/>
                <w:color w:val="auto"/>
                <w:szCs w:val="21"/>
                <w:highlight w:val="none"/>
                <w:lang w:val="en-US" w:eastAsia="zh-CN"/>
              </w:rPr>
            </w:pPr>
            <w:r>
              <w:rPr>
                <w:rFonts w:hint="eastAsia" w:ascii="Times New Roman" w:hAnsi="Times New Roman" w:cs="宋体"/>
                <w:bCs/>
                <w:color w:val="auto"/>
                <w:szCs w:val="21"/>
                <w:highlight w:val="none"/>
                <w:lang w:val="en-US" w:eastAsia="zh-CN"/>
              </w:rPr>
              <w:t>巡查车2</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DF69BFC">
            <w:pPr>
              <w:jc w:val="center"/>
              <w:rPr>
                <w:rFonts w:ascii="Times New Roman" w:hAnsi="Times New Roman" w:cs="宋体"/>
                <w:bCs/>
                <w:color w:val="auto"/>
                <w:szCs w:val="21"/>
                <w:highlight w:val="none"/>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1929F6C">
            <w:pPr>
              <w:jc w:val="center"/>
              <w:rPr>
                <w:rFonts w:ascii="Times New Roman" w:hAnsi="Times New Roman" w:cs="宋体"/>
                <w:bCs/>
                <w:color w:val="auto"/>
                <w:szCs w:val="21"/>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5F818FAC">
            <w:pPr>
              <w:jc w:val="center"/>
              <w:rPr>
                <w:rFonts w:ascii="Times New Roman" w:hAnsi="Times New Roman" w:cs="宋体"/>
                <w:bCs/>
                <w:color w:val="auto"/>
                <w:szCs w:val="21"/>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260DE39D">
            <w:pPr>
              <w:jc w:val="center"/>
              <w:rPr>
                <w:rFonts w:ascii="Times New Roman" w:hAnsi="Times New Roman" w:cs="宋体"/>
                <w:bCs/>
                <w:color w:val="auto"/>
                <w:szCs w:val="21"/>
                <w:highlight w:val="none"/>
              </w:rPr>
            </w:pPr>
          </w:p>
        </w:tc>
      </w:tr>
      <w:tr w14:paraId="55FF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836" w:type="dxa"/>
            <w:tcBorders>
              <w:top w:val="single" w:color="auto" w:sz="4" w:space="0"/>
              <w:left w:val="single" w:color="auto" w:sz="4" w:space="0"/>
              <w:bottom w:val="single" w:color="auto" w:sz="4" w:space="0"/>
              <w:right w:val="single" w:color="auto" w:sz="4" w:space="0"/>
            </w:tcBorders>
            <w:noWrap w:val="0"/>
            <w:vAlign w:val="center"/>
          </w:tcPr>
          <w:p w14:paraId="55939DF9">
            <w:pPr>
              <w:jc w:val="center"/>
              <w:rPr>
                <w:rFonts w:hint="default" w:ascii="Times New Roman" w:hAnsi="Times New Roman" w:eastAsia="宋体" w:cs="宋体"/>
                <w:color w:val="auto"/>
                <w:szCs w:val="21"/>
                <w:highlight w:val="none"/>
                <w:lang w:val="en-US" w:eastAsia="zh-CN" w:bidi="ar"/>
              </w:rPr>
            </w:pPr>
            <w:r>
              <w:rPr>
                <w:rFonts w:hint="eastAsia" w:ascii="Times New Roman" w:hAnsi="Times New Roman" w:cs="宋体"/>
                <w:color w:val="auto"/>
                <w:szCs w:val="21"/>
                <w:highlight w:val="none"/>
                <w:lang w:val="en-US" w:eastAsia="zh-CN" w:bidi="ar"/>
              </w:rPr>
              <w:t>维修车1</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3164550">
            <w:pPr>
              <w:jc w:val="center"/>
              <w:rPr>
                <w:rFonts w:ascii="Times New Roman" w:hAnsi="Times New Roman" w:cs="宋体"/>
                <w:color w:val="auto"/>
                <w:szCs w:val="21"/>
                <w:highlight w:val="none"/>
                <w:lang w:bidi="ar"/>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7DDCE117">
            <w:pPr>
              <w:jc w:val="center"/>
              <w:rPr>
                <w:rFonts w:ascii="Times New Roman" w:hAnsi="Times New Roman" w:cs="宋体"/>
                <w:bCs/>
                <w:color w:val="auto"/>
                <w:szCs w:val="21"/>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521606F5">
            <w:pPr>
              <w:jc w:val="center"/>
              <w:rPr>
                <w:rFonts w:ascii="Times New Roman" w:hAnsi="Times New Roman" w:cs="宋体"/>
                <w:bCs/>
                <w:color w:val="auto"/>
                <w:szCs w:val="21"/>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3AA53A1B">
            <w:pPr>
              <w:jc w:val="center"/>
              <w:rPr>
                <w:rFonts w:ascii="Times New Roman" w:hAnsi="Times New Roman" w:cs="宋体"/>
                <w:bCs/>
                <w:color w:val="auto"/>
                <w:szCs w:val="21"/>
                <w:highlight w:val="none"/>
              </w:rPr>
            </w:pPr>
          </w:p>
        </w:tc>
      </w:tr>
      <w:tr w14:paraId="099A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836" w:type="dxa"/>
            <w:tcBorders>
              <w:top w:val="single" w:color="auto" w:sz="4" w:space="0"/>
              <w:left w:val="single" w:color="auto" w:sz="4" w:space="0"/>
              <w:bottom w:val="single" w:color="auto" w:sz="4" w:space="0"/>
              <w:right w:val="single" w:color="auto" w:sz="4" w:space="0"/>
            </w:tcBorders>
            <w:noWrap w:val="0"/>
            <w:vAlign w:val="center"/>
          </w:tcPr>
          <w:p w14:paraId="10936CB8">
            <w:pPr>
              <w:jc w:val="center"/>
              <w:rPr>
                <w:rFonts w:hint="eastAsia" w:ascii="Times New Roman" w:hAnsi="Times New Roman" w:eastAsia="宋体" w:cs="宋体"/>
                <w:color w:val="auto"/>
                <w:szCs w:val="21"/>
                <w:highlight w:val="none"/>
                <w:lang w:eastAsia="zh-CN" w:bidi="ar"/>
              </w:rPr>
            </w:pPr>
            <w:r>
              <w:rPr>
                <w:rFonts w:hint="eastAsia" w:ascii="Times New Roman" w:hAnsi="Times New Roman" w:cs="宋体"/>
                <w:color w:val="auto"/>
                <w:szCs w:val="21"/>
                <w:highlight w:val="none"/>
                <w:lang w:val="en-US" w:eastAsia="zh-CN" w:bidi="ar"/>
              </w:rPr>
              <w:t>维修车2</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A98C122">
            <w:pPr>
              <w:jc w:val="center"/>
              <w:rPr>
                <w:rFonts w:hint="eastAsia" w:ascii="Times New Roman" w:hAnsi="Times New Roman" w:cs="宋体"/>
                <w:bCs/>
                <w:color w:val="auto"/>
                <w:szCs w:val="21"/>
                <w:highlight w:val="none"/>
                <w:lang w:bidi="ar"/>
              </w:rPr>
            </w:pPr>
          </w:p>
        </w:tc>
        <w:tc>
          <w:tcPr>
            <w:tcW w:w="1981" w:type="dxa"/>
            <w:tcBorders>
              <w:top w:val="single" w:color="auto" w:sz="4" w:space="0"/>
              <w:left w:val="single" w:color="auto" w:sz="4" w:space="0"/>
              <w:bottom w:val="single" w:color="auto" w:sz="4" w:space="0"/>
              <w:right w:val="single" w:color="auto" w:sz="4" w:space="0"/>
            </w:tcBorders>
            <w:noWrap w:val="0"/>
            <w:vAlign w:val="top"/>
          </w:tcPr>
          <w:p w14:paraId="0A2133DC">
            <w:pPr>
              <w:jc w:val="center"/>
              <w:rPr>
                <w:rFonts w:hint="eastAsia" w:ascii="Times New Roman" w:hAnsi="Times New Roman" w:cs="宋体"/>
                <w:bCs/>
                <w:color w:val="auto"/>
                <w:szCs w:val="21"/>
                <w:highlight w:val="none"/>
                <w:lang w:bidi="ar"/>
              </w:rPr>
            </w:pPr>
          </w:p>
        </w:tc>
        <w:tc>
          <w:tcPr>
            <w:tcW w:w="2175" w:type="dxa"/>
            <w:tcBorders>
              <w:top w:val="single" w:color="auto" w:sz="4" w:space="0"/>
              <w:left w:val="single" w:color="auto" w:sz="4" w:space="0"/>
              <w:bottom w:val="single" w:color="auto" w:sz="4" w:space="0"/>
              <w:right w:val="single" w:color="auto" w:sz="4" w:space="0"/>
            </w:tcBorders>
            <w:noWrap w:val="0"/>
            <w:vAlign w:val="top"/>
          </w:tcPr>
          <w:p w14:paraId="6FFD2D1C">
            <w:pPr>
              <w:jc w:val="center"/>
              <w:rPr>
                <w:rFonts w:hint="eastAsia" w:ascii="Times New Roman" w:hAnsi="Times New Roman" w:cs="宋体"/>
                <w:bCs/>
                <w:color w:val="auto"/>
                <w:szCs w:val="21"/>
                <w:highlight w:val="none"/>
                <w:lang w:bidi="ar"/>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12302F75">
            <w:pPr>
              <w:jc w:val="center"/>
              <w:rPr>
                <w:rFonts w:hint="eastAsia" w:ascii="Times New Roman" w:hAnsi="Times New Roman" w:cs="宋体"/>
                <w:bCs/>
                <w:color w:val="auto"/>
                <w:szCs w:val="21"/>
                <w:highlight w:val="none"/>
                <w:lang w:bidi="ar"/>
              </w:rPr>
            </w:pPr>
          </w:p>
        </w:tc>
      </w:tr>
      <w:tr w14:paraId="5955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8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73F9F4">
            <w:pPr>
              <w:jc w:val="center"/>
              <w:rPr>
                <w:rFonts w:hint="eastAsia" w:ascii="Times New Roman" w:hAnsi="Times New Roman" w:eastAsia="宋体" w:cs="宋体"/>
                <w:color w:val="auto"/>
                <w:sz w:val="22"/>
                <w:szCs w:val="21"/>
                <w:highlight w:val="none"/>
                <w:lang w:val="en-US" w:eastAsia="zh-CN" w:bidi="ar"/>
              </w:rPr>
            </w:pPr>
            <w:r>
              <w:rPr>
                <w:rFonts w:hint="eastAsia" w:ascii="Times New Roman" w:hAnsi="Times New Roman" w:cs="宋体"/>
                <w:color w:val="auto"/>
                <w:szCs w:val="21"/>
                <w:highlight w:val="none"/>
                <w:lang w:val="en-US" w:eastAsia="zh-CN" w:bidi="ar"/>
              </w:rPr>
              <w:t>保洁车</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977305E">
            <w:pPr>
              <w:jc w:val="center"/>
              <w:rPr>
                <w:rFonts w:hint="eastAsia" w:ascii="Times New Roman" w:hAnsi="Times New Roman" w:cs="宋体"/>
                <w:bCs/>
                <w:color w:val="auto"/>
                <w:szCs w:val="21"/>
                <w:highlight w:val="none"/>
                <w:lang w:bidi="ar"/>
              </w:rPr>
            </w:pPr>
          </w:p>
        </w:tc>
        <w:tc>
          <w:tcPr>
            <w:tcW w:w="1981" w:type="dxa"/>
            <w:tcBorders>
              <w:top w:val="single" w:color="auto" w:sz="4" w:space="0"/>
              <w:left w:val="single" w:color="auto" w:sz="4" w:space="0"/>
              <w:bottom w:val="single" w:color="auto" w:sz="4" w:space="0"/>
              <w:right w:val="single" w:color="auto" w:sz="4" w:space="0"/>
            </w:tcBorders>
            <w:noWrap w:val="0"/>
            <w:vAlign w:val="top"/>
          </w:tcPr>
          <w:p w14:paraId="75C55FF8">
            <w:pPr>
              <w:jc w:val="center"/>
              <w:rPr>
                <w:rFonts w:hint="eastAsia" w:ascii="Times New Roman" w:hAnsi="Times New Roman" w:cs="宋体"/>
                <w:bCs/>
                <w:color w:val="auto"/>
                <w:szCs w:val="21"/>
                <w:highlight w:val="none"/>
                <w:lang w:bidi="ar"/>
              </w:rPr>
            </w:pPr>
          </w:p>
        </w:tc>
        <w:tc>
          <w:tcPr>
            <w:tcW w:w="2175" w:type="dxa"/>
            <w:tcBorders>
              <w:top w:val="single" w:color="auto" w:sz="4" w:space="0"/>
              <w:left w:val="single" w:color="auto" w:sz="4" w:space="0"/>
              <w:bottom w:val="single" w:color="auto" w:sz="4" w:space="0"/>
              <w:right w:val="single" w:color="auto" w:sz="4" w:space="0"/>
            </w:tcBorders>
            <w:noWrap w:val="0"/>
            <w:vAlign w:val="top"/>
          </w:tcPr>
          <w:p w14:paraId="778E634D">
            <w:pPr>
              <w:jc w:val="center"/>
              <w:rPr>
                <w:rFonts w:hint="eastAsia" w:ascii="Times New Roman" w:hAnsi="Times New Roman" w:cs="宋体"/>
                <w:bCs/>
                <w:color w:val="auto"/>
                <w:szCs w:val="21"/>
                <w:highlight w:val="none"/>
                <w:lang w:bidi="ar"/>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20FA5F83">
            <w:pPr>
              <w:jc w:val="center"/>
              <w:rPr>
                <w:rFonts w:hint="eastAsia" w:ascii="Times New Roman" w:hAnsi="Times New Roman" w:cs="宋体"/>
                <w:bCs/>
                <w:color w:val="auto"/>
                <w:szCs w:val="21"/>
                <w:highlight w:val="none"/>
                <w:lang w:bidi="ar"/>
              </w:rPr>
            </w:pPr>
          </w:p>
        </w:tc>
      </w:tr>
      <w:tr w14:paraId="3BFD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8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508752">
            <w:pPr>
              <w:jc w:val="center"/>
              <w:rPr>
                <w:rFonts w:hint="eastAsia" w:ascii="Times New Roman" w:hAnsi="Times New Roman" w:eastAsia="宋体" w:cs="宋体"/>
                <w:color w:val="auto"/>
                <w:sz w:val="22"/>
                <w:szCs w:val="21"/>
                <w:highlight w:val="none"/>
                <w:lang w:val="en-US" w:eastAsia="zh-CN" w:bidi="ar"/>
              </w:rPr>
            </w:pPr>
            <w:r>
              <w:rPr>
                <w:rFonts w:hint="eastAsia" w:ascii="Times New Roman" w:hAnsi="Times New Roman" w:cs="宋体"/>
                <w:color w:val="auto"/>
                <w:szCs w:val="21"/>
                <w:highlight w:val="none"/>
                <w:lang w:eastAsia="zh-CN" w:bidi="ar"/>
              </w:rPr>
              <w:t>……</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2D58206">
            <w:pPr>
              <w:jc w:val="center"/>
              <w:rPr>
                <w:rFonts w:ascii="Times New Roman" w:hAnsi="Times New Roman" w:cs="宋体"/>
                <w:bCs/>
                <w:color w:val="auto"/>
                <w:szCs w:val="21"/>
                <w:highlight w:val="none"/>
                <w:lang w:bidi="ar"/>
              </w:rPr>
            </w:pPr>
          </w:p>
        </w:tc>
        <w:tc>
          <w:tcPr>
            <w:tcW w:w="1981" w:type="dxa"/>
            <w:tcBorders>
              <w:top w:val="single" w:color="auto" w:sz="4" w:space="0"/>
              <w:left w:val="single" w:color="auto" w:sz="4" w:space="0"/>
              <w:bottom w:val="single" w:color="auto" w:sz="4" w:space="0"/>
              <w:right w:val="single" w:color="auto" w:sz="4" w:space="0"/>
            </w:tcBorders>
            <w:noWrap w:val="0"/>
            <w:vAlign w:val="top"/>
          </w:tcPr>
          <w:p w14:paraId="6BBC13A1">
            <w:pPr>
              <w:jc w:val="center"/>
              <w:rPr>
                <w:rFonts w:ascii="Times New Roman" w:hAnsi="Times New Roman" w:cs="宋体"/>
                <w:bCs/>
                <w:color w:val="auto"/>
                <w:szCs w:val="21"/>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top"/>
          </w:tcPr>
          <w:p w14:paraId="3F2E16DF">
            <w:pPr>
              <w:jc w:val="center"/>
              <w:rPr>
                <w:rFonts w:ascii="Times New Roman" w:hAnsi="Times New Roman" w:cs="宋体"/>
                <w:bCs/>
                <w:color w:val="auto"/>
                <w:szCs w:val="21"/>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28997F86">
            <w:pPr>
              <w:jc w:val="center"/>
              <w:rPr>
                <w:rFonts w:ascii="Times New Roman" w:hAnsi="Times New Roman" w:cs="宋体"/>
                <w:bCs/>
                <w:color w:val="auto"/>
                <w:szCs w:val="21"/>
                <w:highlight w:val="none"/>
              </w:rPr>
            </w:pPr>
          </w:p>
        </w:tc>
      </w:tr>
    </w:tbl>
    <w:p w14:paraId="29ABC256">
      <w:pPr>
        <w:keepNext w:val="0"/>
        <w:keepLines w:val="0"/>
        <w:pageBreakBefore w:val="0"/>
        <w:kinsoku/>
        <w:wordWrap/>
        <w:overflowPunct/>
        <w:topLinePunct w:val="0"/>
        <w:bidi w:val="0"/>
        <w:adjustRightInd/>
        <w:snapToGrid/>
        <w:spacing w:line="360" w:lineRule="auto"/>
        <w:ind w:firstLine="420" w:firstLineChars="200"/>
        <w:contextualSpacing/>
        <w:rPr>
          <w:rFonts w:hint="default"/>
          <w:color w:val="auto"/>
          <w:highlight w:val="none"/>
          <w:lang w:val="en-US" w:eastAsia="zh-CN"/>
        </w:rPr>
      </w:pPr>
      <w:r>
        <w:rPr>
          <w:rFonts w:hint="eastAsia"/>
          <w:color w:val="auto"/>
          <w:highlight w:val="none"/>
          <w:lang w:val="en-US" w:eastAsia="zh-CN"/>
        </w:rPr>
        <w:t>3、场地情况</w:t>
      </w:r>
    </w:p>
    <w:p w14:paraId="0AAB9623">
      <w:pPr>
        <w:keepNext w:val="0"/>
        <w:keepLines w:val="0"/>
        <w:pageBreakBefore w:val="0"/>
        <w:widowControl w:val="0"/>
        <w:kinsoku/>
        <w:wordWrap/>
        <w:overflowPunct/>
        <w:topLinePunct w:val="0"/>
        <w:bidi w:val="0"/>
        <w:adjustRightInd/>
        <w:snapToGrid/>
        <w:spacing w:line="360" w:lineRule="auto"/>
        <w:ind w:firstLine="420" w:firstLineChars="200"/>
        <w:contextualSpacing/>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养护基地地址：                  ；面积：          ；</w:t>
      </w:r>
    </w:p>
    <w:p w14:paraId="6FDCA287">
      <w:pPr>
        <w:keepNext w:val="0"/>
        <w:keepLines w:val="0"/>
        <w:pageBreakBefore w:val="0"/>
        <w:widowControl w:val="0"/>
        <w:kinsoku/>
        <w:wordWrap/>
        <w:overflowPunct/>
        <w:topLinePunct w:val="0"/>
        <w:bidi w:val="0"/>
        <w:adjustRightInd/>
        <w:snapToGrid/>
        <w:spacing w:line="360" w:lineRule="auto"/>
        <w:ind w:firstLine="420" w:firstLineChars="200"/>
        <w:contextualSpacing/>
        <w:jc w:val="left"/>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值班人员：            联系电话：           ；</w:t>
      </w:r>
    </w:p>
    <w:p w14:paraId="26373288">
      <w:pPr>
        <w:keepNext w:val="0"/>
        <w:keepLines w:val="0"/>
        <w:pageBreakBefore w:val="0"/>
        <w:widowControl w:val="0"/>
        <w:kinsoku/>
        <w:wordWrap/>
        <w:overflowPunct/>
        <w:topLinePunct w:val="0"/>
        <w:bidi w:val="0"/>
        <w:adjustRightInd/>
        <w:snapToGrid/>
        <w:spacing w:line="360" w:lineRule="auto"/>
        <w:ind w:firstLine="422" w:firstLineChars="200"/>
        <w:contextualSpacing/>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十</w:t>
      </w:r>
      <w:r>
        <w:rPr>
          <w:rFonts w:hint="eastAsia" w:ascii="宋体" w:hAnsi="宋体" w:cs="宋体"/>
          <w:b/>
          <w:color w:val="auto"/>
          <w:kern w:val="2"/>
          <w:sz w:val="21"/>
          <w:szCs w:val="21"/>
          <w:highlight w:val="none"/>
          <w:lang w:val="en-US" w:eastAsia="zh-CN" w:bidi="ar-SA"/>
        </w:rPr>
        <w:t>一</w:t>
      </w:r>
      <w:r>
        <w:rPr>
          <w:rFonts w:hint="eastAsia" w:ascii="宋体" w:hAnsi="宋体" w:eastAsia="宋体" w:cs="宋体"/>
          <w:b/>
          <w:color w:val="auto"/>
          <w:kern w:val="2"/>
          <w:sz w:val="21"/>
          <w:szCs w:val="21"/>
          <w:highlight w:val="none"/>
          <w:lang w:val="en-US" w:eastAsia="zh-CN" w:bidi="ar-SA"/>
        </w:rPr>
        <w:t>、知识产权</w:t>
      </w:r>
    </w:p>
    <w:p w14:paraId="619C3659">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乙方应保证所提供的服务或其任何一部分均不会侵犯任何第三方的知识产权</w:t>
      </w:r>
      <w:r>
        <w:rPr>
          <w:rFonts w:hint="eastAsia" w:ascii="宋体" w:hAnsi="宋体" w:eastAsia="宋体" w:cs="宋体"/>
          <w:bCs/>
          <w:color w:val="auto"/>
          <w:sz w:val="21"/>
          <w:szCs w:val="21"/>
          <w:highlight w:val="none"/>
        </w:rPr>
        <w:t>。</w:t>
      </w:r>
    </w:p>
    <w:p w14:paraId="533D40B5">
      <w:pPr>
        <w:keepNext w:val="0"/>
        <w:keepLines w:val="0"/>
        <w:pageBreakBefore w:val="0"/>
        <w:kinsoku/>
        <w:wordWrap/>
        <w:overflowPunct/>
        <w:topLinePunct w:val="0"/>
        <w:bidi w:val="0"/>
        <w:adjustRightInd/>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cs="宋体"/>
          <w:b/>
          <w:color w:val="auto"/>
          <w:sz w:val="21"/>
          <w:szCs w:val="21"/>
          <w:highlight w:val="none"/>
          <w:lang w:val="en-US" w:eastAsia="zh-CN"/>
        </w:rPr>
        <w:t>二</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转包或分包</w:t>
      </w:r>
    </w:p>
    <w:p w14:paraId="7D0192E2">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1、本合同范围的服务，</w:t>
      </w:r>
      <w:r>
        <w:rPr>
          <w:rFonts w:hint="eastAsia" w:ascii="宋体" w:hAnsi="宋体" w:cs="宋体"/>
          <w:color w:val="auto"/>
          <w:sz w:val="21"/>
          <w:szCs w:val="21"/>
          <w:highlight w:val="none"/>
          <w:lang w:val="en-US" w:eastAsia="zh-CN"/>
        </w:rPr>
        <w:t>乙方不得转包，未经甲方同意不得分包</w:t>
      </w:r>
      <w:r>
        <w:rPr>
          <w:rFonts w:hint="eastAsia" w:ascii="宋体" w:hAnsi="宋体" w:eastAsia="宋体" w:cs="宋体"/>
          <w:color w:val="auto"/>
          <w:sz w:val="21"/>
          <w:szCs w:val="21"/>
          <w:highlight w:val="none"/>
        </w:rPr>
        <w:t>。</w:t>
      </w:r>
    </w:p>
    <w:p w14:paraId="7249DD76">
      <w:pPr>
        <w:keepNext w:val="0"/>
        <w:keepLines w:val="0"/>
        <w:pageBreakBefore w:val="0"/>
        <w:kinsoku/>
        <w:wordWrap/>
        <w:overflowPunct/>
        <w:topLinePunct w:val="0"/>
        <w:bidi w:val="0"/>
        <w:adjustRightInd/>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cs="宋体"/>
          <w:b/>
          <w:color w:val="auto"/>
          <w:sz w:val="21"/>
          <w:szCs w:val="21"/>
          <w:highlight w:val="none"/>
          <w:lang w:val="en-US" w:eastAsia="zh-CN"/>
        </w:rPr>
        <w:t>三</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税</w:t>
      </w:r>
    </w:p>
    <w:p w14:paraId="5CB33F39">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本合同执行中相关的一切税费均由乙方负担。</w:t>
      </w:r>
    </w:p>
    <w:p w14:paraId="3ADC92F9">
      <w:pPr>
        <w:keepNext w:val="0"/>
        <w:keepLines w:val="0"/>
        <w:pageBreakBefore w:val="0"/>
        <w:kinsoku/>
        <w:wordWrap/>
        <w:overflowPunct/>
        <w:topLinePunct w:val="0"/>
        <w:bidi w:val="0"/>
        <w:adjustRightInd/>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 xml:space="preserve">保密条款 </w:t>
      </w:r>
    </w:p>
    <w:p w14:paraId="4F7E51E5">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乙方对合同内容及履行合同过程中所获悉的属于甲方的且无法自公开渠道获得的文件及资料，应负保密义务,非经甲方书面同意，不得擅自利用或对外发表或披露。违反前述约定的，乙方应向甲方支付违约金10万元；违约金不足以弥补甲方损失的，乙方还应负责赔偿。保密期限自乙方接收或知悉甲方信息资料之日起至该信息资料公开之日或甲方书面解除乙方保密义务之日止。</w:t>
      </w:r>
    </w:p>
    <w:p w14:paraId="26CEDE30">
      <w:pPr>
        <w:keepNext w:val="0"/>
        <w:keepLines w:val="0"/>
        <w:pageBreakBefore w:val="0"/>
        <w:kinsoku/>
        <w:wordWrap/>
        <w:overflowPunct/>
        <w:topLinePunct w:val="0"/>
        <w:bidi w:val="0"/>
        <w:adjustRightInd/>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不可抗力事件处理</w:t>
      </w:r>
    </w:p>
    <w:p w14:paraId="6FE9B7C0">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6064CD32">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2、本条所述的“不可抗力”系指那些双方不可预见、不可避免、不可克服的事件,但不包括双方的违约或 疏忽。这些事件包括但不限于：战争、严重</w:t>
      </w:r>
      <w:r>
        <w:rPr>
          <w:rFonts w:hint="eastAsia" w:ascii="宋体" w:hAnsi="宋体" w:eastAsia="宋体" w:cs="宋体"/>
          <w:color w:val="auto"/>
          <w:sz w:val="21"/>
          <w:szCs w:val="21"/>
          <w:highlight w:val="none"/>
          <w:lang w:eastAsia="zh-CN"/>
        </w:rPr>
        <w:t>火灾</w:t>
      </w:r>
      <w:r>
        <w:rPr>
          <w:rFonts w:hint="eastAsia" w:ascii="宋体" w:hAnsi="宋体" w:eastAsia="宋体" w:cs="宋体"/>
          <w:color w:val="auto"/>
          <w:sz w:val="21"/>
          <w:szCs w:val="21"/>
          <w:highlight w:val="none"/>
        </w:rPr>
        <w:t>、洪水、台风、地震、国家政策的重大变化,以及双方商定的其他事件。</w:t>
      </w:r>
    </w:p>
    <w:p w14:paraId="4D48E26A">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3、不可抗力事件发生后，应立即通知对方，并寄送有关权威机构出具的证明。</w:t>
      </w:r>
    </w:p>
    <w:p w14:paraId="60A1BD97">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4、不可抗力事件延续120天以上，双方应通过友好协商，确定是否继续履行合同。</w:t>
      </w:r>
    </w:p>
    <w:p w14:paraId="2C96D02B">
      <w:pPr>
        <w:keepNext w:val="0"/>
        <w:keepLines w:val="0"/>
        <w:pageBreakBefore w:val="0"/>
        <w:kinsoku/>
        <w:wordWrap/>
        <w:overflowPunct/>
        <w:topLinePunct w:val="0"/>
        <w:bidi w:val="0"/>
        <w:adjustRightInd/>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法律适用及争议解决</w:t>
      </w:r>
    </w:p>
    <w:p w14:paraId="225DB01C">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1、本合同订立、解释、履行及争议解决，均适用中华人民共和国法律。</w:t>
      </w:r>
    </w:p>
    <w:p w14:paraId="7F37B719">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2、双方在执行合同中所发生的一切争议，应通过协商解决。如协商不成，可向甲方所在地法院起诉。</w:t>
      </w:r>
    </w:p>
    <w:p w14:paraId="10269773">
      <w:pPr>
        <w:keepNext w:val="0"/>
        <w:keepLines w:val="0"/>
        <w:pageBreakBefore w:val="0"/>
        <w:kinsoku/>
        <w:wordWrap/>
        <w:overflowPunct/>
        <w:topLinePunct w:val="0"/>
        <w:bidi w:val="0"/>
        <w:adjustRightInd/>
        <w:snapToGrid/>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cs="宋体"/>
          <w:b/>
          <w:color w:val="auto"/>
          <w:sz w:val="21"/>
          <w:szCs w:val="21"/>
          <w:highlight w:val="none"/>
          <w:lang w:val="en-US" w:eastAsia="zh-CN"/>
        </w:rPr>
        <w:t>七</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合同生效及其它</w:t>
      </w:r>
    </w:p>
    <w:p w14:paraId="282520C7">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1、合同经双方法定代表人或授权代表签字并加盖单位公章后生效。</w:t>
      </w:r>
    </w:p>
    <w:p w14:paraId="3F226DEC">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2、合同执行中涉及采购资金和采购内容修改或补充的，须经财政部门审批，并签书面补充协议报政府采购监督管理部门备案，方可作为主合同不可分割的一部分。</w:t>
      </w:r>
    </w:p>
    <w:p w14:paraId="33604F02">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3、本合同未尽事宜，遵照</w:t>
      </w:r>
      <w:r>
        <w:rPr>
          <w:rFonts w:hint="eastAsia" w:ascii="宋体" w:hAnsi="宋体" w:eastAsia="宋体" w:cs="宋体"/>
          <w:snapToGrid w:val="0"/>
          <w:color w:val="auto"/>
          <w:sz w:val="21"/>
          <w:szCs w:val="21"/>
          <w:highlight w:val="none"/>
        </w:rPr>
        <w:t>《中华人民共和国政府采购法》、</w:t>
      </w:r>
      <w:r>
        <w:rPr>
          <w:rFonts w:hint="eastAsia" w:ascii="宋体" w:hAnsi="宋体" w:eastAsia="宋体" w:cs="宋体"/>
          <w:color w:val="auto"/>
          <w:sz w:val="21"/>
          <w:szCs w:val="21"/>
          <w:highlight w:val="none"/>
        </w:rPr>
        <w:t>《中华人民共和国民法典》有关条文执行。</w:t>
      </w:r>
    </w:p>
    <w:p w14:paraId="037429D0">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4、本合同正本一式两份，具有同等法律效力，甲乙双方各执一份；副本四份，用于监管部门备案和财政支付。</w:t>
      </w:r>
    </w:p>
    <w:p w14:paraId="675EB896">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lang w:val="en-US" w:eastAsia="zh-CN"/>
        </w:rPr>
      </w:pPr>
    </w:p>
    <w:p w14:paraId="542E2710">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甲  方：                          乙 方：              </w:t>
      </w:r>
    </w:p>
    <w:p w14:paraId="3A006DA5">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称：（印章）                  名  称：（印章）</w:t>
      </w:r>
    </w:p>
    <w:p w14:paraId="185CAF44">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授权代表（签字）：                授权代表（签字）： </w:t>
      </w:r>
    </w:p>
    <w:p w14:paraId="515E9A6C">
      <w:pPr>
        <w:keepNext w:val="0"/>
        <w:keepLines w:val="0"/>
        <w:pageBreakBefore w:val="0"/>
        <w:kinsoku/>
        <w:wordWrap/>
        <w:overflowPunct/>
        <w:topLinePunct w:val="0"/>
        <w:bidi w:val="0"/>
        <w:adjustRightInd/>
        <w:snapToGrid/>
        <w:spacing w:line="360" w:lineRule="auto"/>
        <w:ind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年    月    日                    年    月  日</w:t>
      </w:r>
      <w:r>
        <w:rPr>
          <w:rFonts w:hint="eastAsia" w:ascii="宋体" w:hAnsi="宋体" w:eastAsia="宋体" w:cs="宋体"/>
          <w:color w:val="auto"/>
          <w:sz w:val="21"/>
          <w:szCs w:val="21"/>
          <w:highlight w:val="none"/>
          <w:lang w:val="en-US" w:eastAsia="zh-CN"/>
        </w:rPr>
        <w:br w:type="page"/>
      </w:r>
    </w:p>
    <w:p w14:paraId="51524144">
      <w:pPr>
        <w:adjustRightInd/>
        <w:spacing w:line="400" w:lineRule="exact"/>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w:t>
      </w:r>
      <w:r>
        <w:rPr>
          <w:rFonts w:hint="eastAsia" w:ascii="宋体" w:hAnsi="宋体" w:cs="宋体"/>
          <w:b/>
          <w:bCs/>
          <w:color w:val="auto"/>
          <w:sz w:val="21"/>
          <w:szCs w:val="21"/>
          <w:highlight w:val="none"/>
          <w:lang w:val="en-US" w:eastAsia="zh-CN"/>
        </w:rPr>
        <w:t>1</w:t>
      </w:r>
    </w:p>
    <w:p w14:paraId="7385973F">
      <w:pPr>
        <w:adjustRightInd/>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市政设施养护作业规范</w:t>
      </w:r>
    </w:p>
    <w:p w14:paraId="391B45E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1、道路养护作业规范</w:t>
      </w:r>
    </w:p>
    <w:p w14:paraId="12766A7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1.1道路养护作业规范术语和定义</w:t>
      </w:r>
    </w:p>
    <w:p w14:paraId="755E7991">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1.1.1快速路——城市道路中设有中央分隔带，具有四条以上的车道，全部或部分采用立体交叉与控制出入，供车辆以较高的速度行驶的道路。</w:t>
      </w:r>
    </w:p>
    <w:p w14:paraId="76890B9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1.1.2主干路——在城市道路网中起骨架作用的道路。</w:t>
      </w:r>
    </w:p>
    <w:p w14:paraId="2F0950ED">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1.1.3次干路——城市道路网中的区域性干路与主干路连接，构成完整的城市干路系统。</w:t>
      </w:r>
    </w:p>
    <w:p w14:paraId="36D4403F">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1.1.4支路——城市道路网中干路以外联系次干路或供区域内部使用的道路。</w:t>
      </w:r>
    </w:p>
    <w:p w14:paraId="2F0C0EFD">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1.1.5车行道——道路上供机动车行驶的部分。</w:t>
      </w:r>
    </w:p>
    <w:p w14:paraId="61D458B6">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1.1.6人行道——道路中用路缘石或护栏及其它类似设施加以分隔的专供行人通行的部分。</w:t>
      </w:r>
    </w:p>
    <w:p w14:paraId="188171C1">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1.1.7</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HYPERLINK "http://baike.baidu.com/view/1028078.htm"</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非机动车</w:t>
      </w:r>
      <w:r>
        <w:rPr>
          <w:rFonts w:hint="eastAsia" w:ascii="宋体" w:hAnsi="宋体" w:cs="宋体"/>
          <w:color w:val="auto"/>
          <w:szCs w:val="21"/>
          <w:highlight w:val="none"/>
        </w:rPr>
        <w:fldChar w:fldCharType="end"/>
      </w:r>
      <w:r>
        <w:rPr>
          <w:rFonts w:hint="eastAsia" w:ascii="宋体" w:hAnsi="宋体" w:cs="宋体"/>
          <w:color w:val="auto"/>
          <w:szCs w:val="21"/>
          <w:highlight w:val="none"/>
        </w:rPr>
        <w:t>道——是指专供以人力或者畜力为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HYPERLINK "http://baike.baidu.com/view/43111.htm"</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驱动</w:t>
      </w:r>
      <w:r>
        <w:rPr>
          <w:rFonts w:hint="eastAsia" w:ascii="宋体" w:hAnsi="宋体" w:cs="宋体"/>
          <w:color w:val="auto"/>
          <w:szCs w:val="21"/>
          <w:highlight w:val="none"/>
        </w:rPr>
        <w:fldChar w:fldCharType="end"/>
      </w:r>
      <w:r>
        <w:rPr>
          <w:rFonts w:hint="eastAsia" w:ascii="宋体" w:hAnsi="宋体" w:cs="宋体"/>
          <w:color w:val="auto"/>
          <w:szCs w:val="21"/>
          <w:highlight w:val="none"/>
        </w:rPr>
        <w:t>的</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HYPERLINK "http://baike.baidu.com/view/1028078.htm"</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非机动车</w:t>
      </w:r>
      <w:r>
        <w:rPr>
          <w:rFonts w:hint="eastAsia" w:ascii="宋体" w:hAnsi="宋体" w:cs="宋体"/>
          <w:color w:val="auto"/>
          <w:szCs w:val="21"/>
          <w:highlight w:val="none"/>
        </w:rPr>
        <w:fldChar w:fldCharType="end"/>
      </w:r>
      <w:r>
        <w:rPr>
          <w:rFonts w:hint="eastAsia" w:ascii="宋体" w:hAnsi="宋体" w:cs="宋体"/>
          <w:color w:val="auto"/>
          <w:szCs w:val="21"/>
          <w:highlight w:val="none"/>
        </w:rPr>
        <w:t>，以及虽有动力装置驱动但设计最高时速、空车</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HYPERLINK "http://baike.baidu.com/view/13930.htm"</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质量</w:t>
      </w:r>
      <w:r>
        <w:rPr>
          <w:rFonts w:hint="eastAsia" w:ascii="宋体" w:hAnsi="宋体" w:cs="宋体"/>
          <w:color w:val="auto"/>
          <w:szCs w:val="21"/>
          <w:highlight w:val="none"/>
        </w:rPr>
        <w:fldChar w:fldCharType="end"/>
      </w:r>
      <w:r>
        <w:rPr>
          <w:rFonts w:hint="eastAsia" w:ascii="宋体" w:hAnsi="宋体" w:cs="宋体"/>
          <w:color w:val="auto"/>
          <w:szCs w:val="21"/>
          <w:highlight w:val="none"/>
        </w:rPr>
        <w:t>、外形尺寸符合有关</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HYPERLINK "http://baike.baidu.com/view/8426.htm"</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国家</w:t>
      </w:r>
      <w:r>
        <w:rPr>
          <w:rFonts w:hint="eastAsia" w:ascii="宋体" w:hAnsi="宋体" w:cs="宋体"/>
          <w:color w:val="auto"/>
          <w:szCs w:val="21"/>
          <w:highlight w:val="none"/>
        </w:rPr>
        <w:fldChar w:fldCharType="end"/>
      </w:r>
      <w:r>
        <w:rPr>
          <w:rFonts w:hint="eastAsia" w:ascii="宋体" w:hAnsi="宋体" w:cs="宋体"/>
          <w:color w:val="auto"/>
          <w:szCs w:val="21"/>
          <w:highlight w:val="none"/>
        </w:rPr>
        <w:t>标准的残疾人机动轮椅车、各类设施养护机动轮车、电动自行车等行驶的车道。</w:t>
      </w:r>
    </w:p>
    <w:p w14:paraId="0C6C794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1.1.8分隔带——沿道路纵向设置的分隔车行道的带状设施，位于路中线位置的称中央分隔带，位于路中线两侧的称外侧分隔带。</w:t>
      </w:r>
    </w:p>
    <w:p w14:paraId="4DF4BB0C">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1.1.9侧石——顶面高出路面的路缘石，有标定车行道范围和纵向引导排除路面水的作用。</w:t>
      </w:r>
    </w:p>
    <w:p w14:paraId="7D4A413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1.1.10平石——铺砌在路面与立缘石之间平缘石。</w:t>
      </w:r>
    </w:p>
    <w:p w14:paraId="4E8C271E">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1.1.11绿化带——在道路用地范围内，供绿化的条形地带。</w:t>
      </w:r>
    </w:p>
    <w:p w14:paraId="286DF7E8">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1.1.12横坡——路幅和路侧带各组成部分的横向坡度，指路面、分隔带、人行道、绿化带等的横向倾斜度。以百分率表示。</w:t>
      </w:r>
    </w:p>
    <w:p w14:paraId="139EFD28">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1.1.13纵坡——路线纵断面上同一坡段两点间的高差与其水平距离之比，以百分率表示。</w:t>
      </w:r>
    </w:p>
    <w:p w14:paraId="0A12B3FD">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1.1.14路基——按照线路位置和一定技术要求修筑的作为路面基础的带状构筑物。</w:t>
      </w:r>
    </w:p>
    <w:p w14:paraId="757B2B0B">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1.1.15块石路面——用石块、水泥混凝土块等铺砌而成的路面之统称。</w:t>
      </w:r>
    </w:p>
    <w:p w14:paraId="6D7C409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1.1.16沥青路面——用沥青作结合料铺筑面层的路面之统称。</w:t>
      </w:r>
    </w:p>
    <w:p w14:paraId="63B0A7EF">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1.2基本规定</w:t>
      </w:r>
    </w:p>
    <w:p w14:paraId="11D0460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1.2.1建立定期巡查制度，重视并做好道路的日常巡查。区域内的道路巡查不少于每日一次，并根据巡查结果，提出养护维修意见。</w:t>
      </w:r>
    </w:p>
    <w:p w14:paraId="13114D49">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1.2.2发现病害，根据病害特征分析其产生原因及其发展情况，并采取相应的技术措施及时维修，整改率100%。</w:t>
      </w:r>
    </w:p>
    <w:p w14:paraId="31D62A99">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1.2.3重视并做好城市道路的检测和评定，对使用中的道路应按《城镇道路养护技术规范》（CJJ36-2006)规定进行检查、检测和评定，掌握道路的技术状况，并制定养护计划和对策。</w:t>
      </w:r>
    </w:p>
    <w:p w14:paraId="71FCA90D">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在城市道路养护中，应加强质量管理，积极提倡采用新技术、新材料、新工艺、新设备，充分运用信息技术，提高机械化作业程度，减轻工人的劳动强度，贯彻快速处置原则，减少交通影响，确保道路养护质量。</w:t>
      </w:r>
    </w:p>
    <w:p w14:paraId="30B38D5C">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1.2.5为确保道路养护工作正常开展，应根据养护范围、工程量、养护要求、养护特点，配备必要养护设备及专业养护技术人员。</w:t>
      </w:r>
    </w:p>
    <w:p w14:paraId="2EFEA55E">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1.2.6道路养护作业事先应制定周密的作业计划，做好进度安排、人员组织、材料机具准备，安排好工序之间的衔接，合理地选择养护维修工艺。</w:t>
      </w:r>
    </w:p>
    <w:p w14:paraId="4530CFE1">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1.2.7严格控制养护的作业时段、范围，合理安排每个工作日的作业范围，做到当天作业、当天完成，工完、料清、场地清。</w:t>
      </w:r>
    </w:p>
    <w:p w14:paraId="36F147A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1.2.8城市道路的掘路，为防止掘路造成城市道路结构受损、坍塌等现象，道路修复结构强度不得低于原道路结构强度。</w:t>
      </w:r>
    </w:p>
    <w:p w14:paraId="3980B3E8">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1.2.9城市道路的养护作业应加强档案管理，各项作业记录、质检记录、计量记录、巡查记录等资料应及时整理、录入、归档。</w:t>
      </w:r>
    </w:p>
    <w:p w14:paraId="00746B6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1.2.10养护单位应建立养护管理技术档案，主要包括静态资料和动态资料。其中，静态资料主要是指城市道路竣工所具有的固定属性，包括道路的长度、宽度、面积、结构层情况、道路断面分隔情况、主要材料类型及材性等。动态资料主要是指在养护维修工作中道路状况的变更数据等，包括施工技术档案、检查、检测、变更及废弃等内容。</w:t>
      </w:r>
    </w:p>
    <w:p w14:paraId="48958B11">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建档应符合下列要求</w:t>
      </w:r>
    </w:p>
    <w:p w14:paraId="3B51DDEF">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1.2.10.1城市道路养护档案应以一条路为单位建档</w:t>
      </w:r>
    </w:p>
    <w:p w14:paraId="5321525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1.2.10.2养护档案应包括下列内容：道路主要技术资料，施工竣工资料，养护技术文件，巡检、检测、测试资料，养护作业资料等技术文件及相关资料。</w:t>
      </w:r>
    </w:p>
    <w:p w14:paraId="41EAE61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1.2.10.3养护档案管理工作应实行电子化、数据化、利用多媒体技术，建立信息管理系统、数据库。</w:t>
      </w:r>
    </w:p>
    <w:p w14:paraId="7412C52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1.3沥青路面管理</w:t>
      </w:r>
    </w:p>
    <w:p w14:paraId="2680D91F">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1.3.1沥青路面养护应做好预防性、经常性养护，防治结合。</w:t>
      </w:r>
    </w:p>
    <w:p w14:paraId="25D14D3D">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1.3.2沥青路面应平整、坚实，无裂缝、坑槽、碎裂、网裂、沉陷、拥包、车辙、麻面、松散、波浪、脱皮、啃边等现象。</w:t>
      </w:r>
    </w:p>
    <w:p w14:paraId="49A83CD9">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1.3.3应加强巡路检查，掌握路面状况，及时排除有损路面的各种不良因素。</w:t>
      </w:r>
    </w:p>
    <w:p w14:paraId="798DE9BE">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1.3.4病害维修沥青混合料出厂时应有出厂合格证明。混合料外观应拌合均匀、色泽一致，无明显油团、花白或烧焦。施工技术要求应符合《城镇道路工程施工与质量验收规范》（CJJ 1-2008）、《公路沥青路面施工技术规范》（JTG F40-2004）等相关规定。</w:t>
      </w:r>
    </w:p>
    <w:p w14:paraId="3FE47A4C">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1.3.5铺筑沥青混合料时，大气温度宜在10℃以上。低温施工时应有保证质量的相应技术措施；雨天时不得施工。</w:t>
      </w:r>
    </w:p>
    <w:p w14:paraId="7B41626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1.3.6大面积沥青路面铣刨及零星挖补旧料归堆清运，做到工完场清。</w:t>
      </w:r>
    </w:p>
    <w:p w14:paraId="6F4332C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1.3.7沥青路面不得采用水泥混凝土进行修补（暴雨期间除外），修补后结构层强度不低于原结构强度标准，面层应在基层质量检验合格后方可进行。</w:t>
      </w:r>
    </w:p>
    <w:p w14:paraId="42F95A2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1.3.8沥青路面维修时，修补面积应大于病害的实际面积，其边线及纵横缝接边应使用机械切割，做到边线齐直，并与路面中心线平行或垂直，切口垂直，地面清洁，形状方正。因基层损坏引起的路面病害，必须先处理基层，再修补面层。</w:t>
      </w:r>
    </w:p>
    <w:p w14:paraId="72541F4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1.3.9挖补路面边坑时，如遇侧平石受损、松动等应一并修复；遇及因平石长距离的沉裂松动而引发路面边口损坏的，应修复平石后再修复边口处路面。</w:t>
      </w:r>
    </w:p>
    <w:p w14:paraId="669E647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1.3.10凡具备铣刨机、摊铺机操作施工条件的路段，应采用机械施工，以利于快速处置与提高修补质量。</w:t>
      </w:r>
    </w:p>
    <w:p w14:paraId="623799F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1.3.11对于各种病害的维修，应根据季节、气温等实际情况编排养护维修时间计划，并采取相应措施。</w:t>
      </w:r>
    </w:p>
    <w:p w14:paraId="7E7AB5D4">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1.3.12沥青路面修补质量符合下面标准。</w:t>
      </w:r>
    </w:p>
    <w:p w14:paraId="14E473B0">
      <w:pPr>
        <w:adjustRightInd/>
        <w:spacing w:line="400" w:lineRule="exact"/>
        <w:ind w:firstLine="422" w:firstLineChars="200"/>
        <w:jc w:val="center"/>
        <w:rPr>
          <w:rFonts w:hint="eastAsia" w:ascii="宋体" w:hAnsi="宋体" w:cs="宋体"/>
          <w:color w:val="auto"/>
          <w:szCs w:val="21"/>
          <w:highlight w:val="none"/>
        </w:rPr>
      </w:pPr>
      <w:r>
        <w:rPr>
          <w:rFonts w:hint="eastAsia" w:ascii="宋体" w:hAnsi="宋体" w:cs="宋体"/>
          <w:b/>
          <w:bCs/>
          <w:color w:val="auto"/>
          <w:szCs w:val="21"/>
          <w:highlight w:val="none"/>
        </w:rPr>
        <w:t>沥青路面修补质量标准</w:t>
      </w:r>
    </w:p>
    <w:tbl>
      <w:tblPr>
        <w:tblStyle w:val="48"/>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8256"/>
      </w:tblGrid>
      <w:tr w14:paraId="10CA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3" w:type="dxa"/>
            <w:noWrap w:val="0"/>
            <w:vAlign w:val="center"/>
          </w:tcPr>
          <w:p w14:paraId="703A0D00">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8256" w:type="dxa"/>
            <w:noWrap w:val="0"/>
            <w:vAlign w:val="center"/>
          </w:tcPr>
          <w:p w14:paraId="3106D893">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r>
      <w:tr w14:paraId="606F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563" w:type="dxa"/>
            <w:noWrap w:val="0"/>
            <w:vAlign w:val="center"/>
          </w:tcPr>
          <w:p w14:paraId="15132FA9">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切边</w:t>
            </w:r>
          </w:p>
        </w:tc>
        <w:tc>
          <w:tcPr>
            <w:tcW w:w="8256" w:type="dxa"/>
            <w:noWrap w:val="0"/>
            <w:vAlign w:val="center"/>
          </w:tcPr>
          <w:p w14:paraId="79DA120A">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边线齐直成方形；</w:t>
            </w:r>
          </w:p>
          <w:p w14:paraId="3D267647">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四周切面垂直不斜、深度≮30mm</w:t>
            </w:r>
          </w:p>
        </w:tc>
      </w:tr>
      <w:tr w14:paraId="464C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563" w:type="dxa"/>
            <w:noWrap w:val="0"/>
            <w:vAlign w:val="center"/>
          </w:tcPr>
          <w:p w14:paraId="2698FF8A">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铺筑</w:t>
            </w:r>
          </w:p>
        </w:tc>
        <w:tc>
          <w:tcPr>
            <w:tcW w:w="8256" w:type="dxa"/>
            <w:noWrap w:val="0"/>
            <w:vAlign w:val="center"/>
          </w:tcPr>
          <w:p w14:paraId="12179851">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1、铺筑面层应达到表面粗细均匀、密实平整；</w:t>
            </w:r>
          </w:p>
          <w:p w14:paraId="64D71113">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2、面层铺筑厚度误差-5mm，+10mm</w:t>
            </w:r>
          </w:p>
        </w:tc>
      </w:tr>
      <w:tr w14:paraId="78A1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3" w:type="dxa"/>
            <w:noWrap w:val="0"/>
            <w:vAlign w:val="center"/>
          </w:tcPr>
          <w:p w14:paraId="289A1026">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平整度</w:t>
            </w:r>
          </w:p>
        </w:tc>
        <w:tc>
          <w:tcPr>
            <w:tcW w:w="8256" w:type="dxa"/>
            <w:noWrap w:val="0"/>
            <w:vAlign w:val="center"/>
          </w:tcPr>
          <w:p w14:paraId="4434AEA7">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路面平整，人工摊铺≯7mm，机械摊铺≯5mm</w:t>
            </w:r>
          </w:p>
        </w:tc>
      </w:tr>
      <w:tr w14:paraId="21ED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563" w:type="dxa"/>
            <w:noWrap w:val="0"/>
            <w:vAlign w:val="center"/>
          </w:tcPr>
          <w:p w14:paraId="04C34D35">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接边</w:t>
            </w:r>
          </w:p>
        </w:tc>
        <w:tc>
          <w:tcPr>
            <w:tcW w:w="8256" w:type="dxa"/>
            <w:noWrap w:val="0"/>
            <w:vAlign w:val="center"/>
          </w:tcPr>
          <w:p w14:paraId="5392FC49">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1、接边应平顺齐直、密实、无起壳、松散；</w:t>
            </w:r>
          </w:p>
          <w:p w14:paraId="722F9F14">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2、与平石相接不得低于平石，高≯5mm；</w:t>
            </w:r>
          </w:p>
          <w:p w14:paraId="10C61438">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3、新老接边紧密，平顺齐直，不得低于原路面，高≯5mm</w:t>
            </w:r>
          </w:p>
        </w:tc>
      </w:tr>
      <w:tr w14:paraId="09E7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563" w:type="dxa"/>
            <w:noWrap w:val="0"/>
            <w:vAlign w:val="center"/>
          </w:tcPr>
          <w:p w14:paraId="74EBC2C8">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路框差</w:t>
            </w:r>
          </w:p>
        </w:tc>
        <w:tc>
          <w:tcPr>
            <w:tcW w:w="8256" w:type="dxa"/>
            <w:noWrap w:val="0"/>
            <w:vAlign w:val="center"/>
          </w:tcPr>
          <w:p w14:paraId="7EC5C02C">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井框周边路面无沉陷；</w:t>
            </w:r>
          </w:p>
          <w:p w14:paraId="1E5F0437">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井框与路面高差≯5mm</w:t>
            </w:r>
          </w:p>
        </w:tc>
      </w:tr>
      <w:tr w14:paraId="277E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63" w:type="dxa"/>
            <w:noWrap w:val="0"/>
            <w:vAlign w:val="center"/>
          </w:tcPr>
          <w:p w14:paraId="4E0E0FE4">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横坡度</w:t>
            </w:r>
          </w:p>
        </w:tc>
        <w:tc>
          <w:tcPr>
            <w:tcW w:w="8256" w:type="dxa"/>
            <w:noWrap w:val="0"/>
            <w:vAlign w:val="center"/>
          </w:tcPr>
          <w:p w14:paraId="3885D305">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横坡度与原路面横坡一致，不得有积水。</w:t>
            </w:r>
          </w:p>
        </w:tc>
      </w:tr>
    </w:tbl>
    <w:p w14:paraId="292AEA5F">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1.4水泥混凝土路面</w:t>
      </w:r>
    </w:p>
    <w:p w14:paraId="0FBB013F">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(1)水泥混凝土路面养护应做好预防性、经常性养护。</w:t>
      </w:r>
    </w:p>
    <w:p w14:paraId="03C2FA56">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(2)水泥混凝土路面应保持表面平整、板块完好，无积水、麻面、板角断裂、板边剥落、错台、面板沉陷、拱胀、露骨、唧泥等现象。发现病害时，应查明原因，并采取有效措施及时进行维修。</w:t>
      </w:r>
    </w:p>
    <w:p w14:paraId="33780626">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(3)水泥混凝土路面接缝应平顺、完好，填缝料紧密无缺损、散失、脱落、挤出、老化等现象。发现病害应及时处理。</w:t>
      </w:r>
    </w:p>
    <w:p w14:paraId="71DC6F9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(4)对主干道的养护应采用专用机械及相应的快速维修方法施工。</w:t>
      </w:r>
    </w:p>
    <w:p w14:paraId="6491E81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(5)水泥混凝土路面养护维修采用材料，应具有足够的强度、耐久性和稳定性，养护维修的主要材料应进行试验，并应符合规范要求。</w:t>
      </w:r>
    </w:p>
    <w:p w14:paraId="47C8A8F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(6)水泥混凝土面层施工期间日平均气温不宜低于5℃或现场气温不宜高于30℃，雨天一般不得施工。如必须施工则按低温或高温和施工遇雨的要求，采取相应的技术措施。</w:t>
      </w:r>
    </w:p>
    <w:p w14:paraId="44C411DD">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(7)水泥混凝土路面修补后结构层强度不低于原结构强度标准。面层应在基层质量检验合格后方可进行。</w:t>
      </w:r>
    </w:p>
    <w:p w14:paraId="1523286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(8)板块修补划线切边、形方面平、内实外光、接缝紧密平顺。</w:t>
      </w:r>
    </w:p>
    <w:p w14:paraId="7429173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(9)路面出现裂缝应按照“有缝必灌，灌必达标”的原则进行路面灌缝技术措施，防止雨水渗入而破坏道路基础。</w:t>
      </w:r>
    </w:p>
    <w:p w14:paraId="35025C3E">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(10)水泥混凝土路面养护维修工艺应按照相关工艺实施，水泥混凝土路面养护质量符合下面要求。</w:t>
      </w:r>
    </w:p>
    <w:p w14:paraId="3EE145B3">
      <w:pPr>
        <w:adjustRightInd/>
        <w:spacing w:line="400" w:lineRule="exact"/>
        <w:ind w:firstLine="422" w:firstLineChars="200"/>
        <w:jc w:val="center"/>
        <w:rPr>
          <w:rFonts w:hint="eastAsia" w:ascii="宋体" w:hAnsi="宋体" w:cs="宋体"/>
          <w:color w:val="auto"/>
          <w:szCs w:val="21"/>
          <w:highlight w:val="none"/>
        </w:rPr>
      </w:pPr>
      <w:r>
        <w:rPr>
          <w:rFonts w:hint="eastAsia" w:ascii="宋体" w:hAnsi="宋体" w:cs="宋体"/>
          <w:b/>
          <w:bCs/>
          <w:color w:val="auto"/>
          <w:szCs w:val="21"/>
          <w:highlight w:val="none"/>
        </w:rPr>
        <w:t>水泥混凝土道路养护质量验收标准</w:t>
      </w:r>
    </w:p>
    <w:tbl>
      <w:tblPr>
        <w:tblStyle w:val="48"/>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6585"/>
        <w:gridCol w:w="1472"/>
      </w:tblGrid>
      <w:tr w14:paraId="339A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1F7D2DD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6585" w:type="dxa"/>
            <w:tcBorders>
              <w:top w:val="single" w:color="auto" w:sz="4" w:space="0"/>
              <w:left w:val="single" w:color="auto" w:sz="4" w:space="0"/>
              <w:bottom w:val="single" w:color="auto" w:sz="4" w:space="0"/>
              <w:right w:val="single" w:color="auto" w:sz="4" w:space="0"/>
            </w:tcBorders>
            <w:noWrap/>
            <w:vAlign w:val="center"/>
          </w:tcPr>
          <w:p w14:paraId="71E6D80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规定值及允许偏差</w:t>
            </w:r>
          </w:p>
        </w:tc>
        <w:tc>
          <w:tcPr>
            <w:tcW w:w="1472" w:type="dxa"/>
            <w:tcBorders>
              <w:top w:val="single" w:color="auto" w:sz="4" w:space="0"/>
              <w:left w:val="single" w:color="auto" w:sz="4" w:space="0"/>
              <w:bottom w:val="single" w:color="auto" w:sz="4" w:space="0"/>
              <w:right w:val="single" w:color="auto" w:sz="4" w:space="0"/>
            </w:tcBorders>
            <w:noWrap/>
            <w:vAlign w:val="center"/>
          </w:tcPr>
          <w:p w14:paraId="7F457B2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检验方法</w:t>
            </w:r>
          </w:p>
        </w:tc>
      </w:tr>
      <w:tr w14:paraId="370A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78AD61C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切割</w:t>
            </w:r>
          </w:p>
        </w:tc>
        <w:tc>
          <w:tcPr>
            <w:tcW w:w="6585" w:type="dxa"/>
            <w:tcBorders>
              <w:top w:val="single" w:color="auto" w:sz="4" w:space="0"/>
              <w:left w:val="single" w:color="auto" w:sz="4" w:space="0"/>
              <w:bottom w:val="single" w:color="auto" w:sz="4" w:space="0"/>
              <w:right w:val="single" w:color="auto" w:sz="4" w:space="0"/>
            </w:tcBorders>
            <w:noWrap/>
            <w:vAlign w:val="center"/>
          </w:tcPr>
          <w:p w14:paraId="1E9168D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四周切割整齐垂直，不得附有损伤碎片，切角不得小于90°</w:t>
            </w:r>
          </w:p>
        </w:tc>
        <w:tc>
          <w:tcPr>
            <w:tcW w:w="1472" w:type="dxa"/>
            <w:tcBorders>
              <w:top w:val="single" w:color="auto" w:sz="4" w:space="0"/>
              <w:left w:val="single" w:color="auto" w:sz="4" w:space="0"/>
              <w:bottom w:val="single" w:color="auto" w:sz="4" w:space="0"/>
              <w:right w:val="single" w:color="auto" w:sz="4" w:space="0"/>
            </w:tcBorders>
            <w:noWrap/>
            <w:vAlign w:val="center"/>
          </w:tcPr>
          <w:p w14:paraId="2F2DC74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用尺量</w:t>
            </w:r>
          </w:p>
        </w:tc>
      </w:tr>
      <w:tr w14:paraId="4ECE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7934AF8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铺筑</w:t>
            </w:r>
          </w:p>
        </w:tc>
        <w:tc>
          <w:tcPr>
            <w:tcW w:w="6585" w:type="dxa"/>
            <w:tcBorders>
              <w:top w:val="single" w:color="auto" w:sz="4" w:space="0"/>
              <w:left w:val="single" w:color="auto" w:sz="4" w:space="0"/>
              <w:bottom w:val="single" w:color="auto" w:sz="4" w:space="0"/>
              <w:right w:val="single" w:color="auto" w:sz="4" w:space="0"/>
            </w:tcBorders>
            <w:noWrap/>
            <w:vAlign w:val="center"/>
          </w:tcPr>
          <w:p w14:paraId="1EA8824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1、抗压、抗折强度不低于原有路面强度，板厚度允许误差+10mm，-5mm；</w:t>
            </w:r>
          </w:p>
          <w:p w14:paraId="57DAB7D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2、路面无露骨、麻面，板边蜂窝麻面不得大于3%，面层拉毛应整齐</w:t>
            </w:r>
          </w:p>
        </w:tc>
        <w:tc>
          <w:tcPr>
            <w:tcW w:w="1472" w:type="dxa"/>
            <w:tcBorders>
              <w:top w:val="single" w:color="auto" w:sz="4" w:space="0"/>
              <w:left w:val="single" w:color="auto" w:sz="4" w:space="0"/>
              <w:bottom w:val="single" w:color="auto" w:sz="4" w:space="0"/>
              <w:right w:val="single" w:color="auto" w:sz="4" w:space="0"/>
            </w:tcBorders>
            <w:noWrap/>
            <w:vAlign w:val="center"/>
          </w:tcPr>
          <w:p w14:paraId="61F4A24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试块测试及用尺量</w:t>
            </w:r>
          </w:p>
        </w:tc>
      </w:tr>
      <w:tr w14:paraId="32F8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0E53F18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平整度</w:t>
            </w:r>
          </w:p>
        </w:tc>
        <w:tc>
          <w:tcPr>
            <w:tcW w:w="6585" w:type="dxa"/>
            <w:tcBorders>
              <w:top w:val="single" w:color="auto" w:sz="4" w:space="0"/>
              <w:left w:val="single" w:color="auto" w:sz="4" w:space="0"/>
              <w:bottom w:val="single" w:color="auto" w:sz="4" w:space="0"/>
              <w:right w:val="single" w:color="auto" w:sz="4" w:space="0"/>
            </w:tcBorders>
            <w:noWrap/>
            <w:vAlign w:val="center"/>
          </w:tcPr>
          <w:p w14:paraId="26D257C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路面平整度高差不大于3mm</w:t>
            </w:r>
          </w:p>
        </w:tc>
        <w:tc>
          <w:tcPr>
            <w:tcW w:w="1472" w:type="dxa"/>
            <w:tcBorders>
              <w:top w:val="single" w:color="auto" w:sz="4" w:space="0"/>
              <w:left w:val="single" w:color="auto" w:sz="4" w:space="0"/>
              <w:bottom w:val="single" w:color="auto" w:sz="4" w:space="0"/>
              <w:right w:val="single" w:color="auto" w:sz="4" w:space="0"/>
            </w:tcBorders>
            <w:noWrap/>
            <w:vAlign w:val="center"/>
          </w:tcPr>
          <w:p w14:paraId="1258EB2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3m直尺量</w:t>
            </w:r>
          </w:p>
        </w:tc>
      </w:tr>
      <w:tr w14:paraId="645C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08BC09E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抗滑</w:t>
            </w:r>
          </w:p>
        </w:tc>
        <w:tc>
          <w:tcPr>
            <w:tcW w:w="6585" w:type="dxa"/>
            <w:tcBorders>
              <w:top w:val="single" w:color="auto" w:sz="4" w:space="0"/>
              <w:left w:val="single" w:color="auto" w:sz="4" w:space="0"/>
              <w:bottom w:val="single" w:color="auto" w:sz="4" w:space="0"/>
              <w:right w:val="single" w:color="auto" w:sz="4" w:space="0"/>
            </w:tcBorders>
            <w:noWrap/>
            <w:vAlign w:val="center"/>
          </w:tcPr>
          <w:p w14:paraId="6C7CD85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抗滑值BPN≥45</w:t>
            </w:r>
          </w:p>
          <w:p w14:paraId="30FF48D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或横向力系数SFC≥0.38</w:t>
            </w:r>
          </w:p>
        </w:tc>
        <w:tc>
          <w:tcPr>
            <w:tcW w:w="1472" w:type="dxa"/>
            <w:tcBorders>
              <w:top w:val="single" w:color="auto" w:sz="4" w:space="0"/>
              <w:left w:val="single" w:color="auto" w:sz="4" w:space="0"/>
              <w:bottom w:val="single" w:color="auto" w:sz="4" w:space="0"/>
              <w:right w:val="single" w:color="auto" w:sz="4" w:space="0"/>
            </w:tcBorders>
            <w:noWrap/>
            <w:vAlign w:val="center"/>
          </w:tcPr>
          <w:p w14:paraId="4B870AB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测试</w:t>
            </w:r>
          </w:p>
        </w:tc>
      </w:tr>
      <w:tr w14:paraId="1BED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16F5D4B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相邻板差</w:t>
            </w:r>
          </w:p>
        </w:tc>
        <w:tc>
          <w:tcPr>
            <w:tcW w:w="6585" w:type="dxa"/>
            <w:tcBorders>
              <w:top w:val="single" w:color="auto" w:sz="4" w:space="0"/>
              <w:left w:val="single" w:color="auto" w:sz="4" w:space="0"/>
              <w:bottom w:val="single" w:color="auto" w:sz="4" w:space="0"/>
              <w:right w:val="single" w:color="auto" w:sz="4" w:space="0"/>
            </w:tcBorders>
            <w:noWrap/>
            <w:vAlign w:val="center"/>
          </w:tcPr>
          <w:p w14:paraId="12850A3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新板块接边，高差不得大于5mm</w:t>
            </w:r>
          </w:p>
        </w:tc>
        <w:tc>
          <w:tcPr>
            <w:tcW w:w="1472" w:type="dxa"/>
            <w:tcBorders>
              <w:top w:val="single" w:color="auto" w:sz="4" w:space="0"/>
              <w:left w:val="single" w:color="auto" w:sz="4" w:space="0"/>
              <w:bottom w:val="single" w:color="auto" w:sz="4" w:space="0"/>
              <w:right w:val="single" w:color="auto" w:sz="4" w:space="0"/>
            </w:tcBorders>
            <w:noWrap/>
            <w:vAlign w:val="center"/>
          </w:tcPr>
          <w:p w14:paraId="03AC1FD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1m直尺量</w:t>
            </w:r>
          </w:p>
        </w:tc>
      </w:tr>
      <w:tr w14:paraId="2C31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716344A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伸缩缝</w:t>
            </w:r>
          </w:p>
        </w:tc>
        <w:tc>
          <w:tcPr>
            <w:tcW w:w="6585" w:type="dxa"/>
            <w:tcBorders>
              <w:top w:val="single" w:color="auto" w:sz="4" w:space="0"/>
              <w:left w:val="single" w:color="auto" w:sz="4" w:space="0"/>
              <w:bottom w:val="single" w:color="auto" w:sz="4" w:space="0"/>
              <w:right w:val="single" w:color="auto" w:sz="4" w:space="0"/>
            </w:tcBorders>
            <w:noWrap/>
            <w:vAlign w:val="center"/>
          </w:tcPr>
          <w:p w14:paraId="4393189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1、顺直，深度、宽度不得小于原规定；</w:t>
            </w:r>
          </w:p>
          <w:p w14:paraId="06DAA62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2、嵌缝密实，高差不得大于3mm</w:t>
            </w:r>
          </w:p>
        </w:tc>
        <w:tc>
          <w:tcPr>
            <w:tcW w:w="1472" w:type="dxa"/>
            <w:tcBorders>
              <w:top w:val="single" w:color="auto" w:sz="4" w:space="0"/>
              <w:left w:val="single" w:color="auto" w:sz="4" w:space="0"/>
              <w:bottom w:val="single" w:color="auto" w:sz="4" w:space="0"/>
              <w:right w:val="single" w:color="auto" w:sz="4" w:space="0"/>
            </w:tcBorders>
            <w:noWrap/>
            <w:vAlign w:val="center"/>
          </w:tcPr>
          <w:p w14:paraId="5029C81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1m直尺量</w:t>
            </w:r>
          </w:p>
        </w:tc>
      </w:tr>
      <w:tr w14:paraId="419F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29CC354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路框差</w:t>
            </w:r>
          </w:p>
        </w:tc>
        <w:tc>
          <w:tcPr>
            <w:tcW w:w="6585" w:type="dxa"/>
            <w:tcBorders>
              <w:top w:val="single" w:color="auto" w:sz="4" w:space="0"/>
              <w:left w:val="single" w:color="auto" w:sz="4" w:space="0"/>
              <w:bottom w:val="single" w:color="auto" w:sz="4" w:space="0"/>
              <w:right w:val="single" w:color="auto" w:sz="4" w:space="0"/>
            </w:tcBorders>
            <w:noWrap/>
            <w:vAlign w:val="center"/>
          </w:tcPr>
          <w:p w14:paraId="21B4880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座框四周宜设置混凝土保护护边；</w:t>
            </w:r>
          </w:p>
          <w:p w14:paraId="478B110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座框或护边与路面高差不得大于3mm</w:t>
            </w:r>
          </w:p>
        </w:tc>
        <w:tc>
          <w:tcPr>
            <w:tcW w:w="1472" w:type="dxa"/>
            <w:tcBorders>
              <w:top w:val="single" w:color="auto" w:sz="4" w:space="0"/>
              <w:left w:val="single" w:color="auto" w:sz="4" w:space="0"/>
              <w:bottom w:val="single" w:color="auto" w:sz="4" w:space="0"/>
              <w:right w:val="single" w:color="auto" w:sz="4" w:space="0"/>
            </w:tcBorders>
            <w:noWrap/>
            <w:vAlign w:val="center"/>
          </w:tcPr>
          <w:p w14:paraId="46BD32C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1m直尺量</w:t>
            </w:r>
          </w:p>
        </w:tc>
      </w:tr>
      <w:tr w14:paraId="1E5D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0" w:type="dxa"/>
            <w:tcBorders>
              <w:top w:val="single" w:color="auto" w:sz="4" w:space="0"/>
              <w:left w:val="single" w:color="auto" w:sz="4" w:space="0"/>
              <w:bottom w:val="single" w:color="auto" w:sz="4" w:space="0"/>
              <w:right w:val="single" w:color="auto" w:sz="4" w:space="0"/>
            </w:tcBorders>
            <w:noWrap/>
            <w:vAlign w:val="center"/>
          </w:tcPr>
          <w:p w14:paraId="02D78EC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纵横坡度</w:t>
            </w:r>
          </w:p>
        </w:tc>
        <w:tc>
          <w:tcPr>
            <w:tcW w:w="6585" w:type="dxa"/>
            <w:tcBorders>
              <w:top w:val="single" w:color="auto" w:sz="4" w:space="0"/>
              <w:left w:val="single" w:color="auto" w:sz="4" w:space="0"/>
              <w:bottom w:val="single" w:color="auto" w:sz="4" w:space="0"/>
              <w:right w:val="single" w:color="auto" w:sz="4" w:space="0"/>
            </w:tcBorders>
            <w:noWrap/>
            <w:vAlign w:val="center"/>
          </w:tcPr>
          <w:p w14:paraId="0F8FCDB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与原路面纵坡、横坡相一致，不得有积水</w:t>
            </w:r>
          </w:p>
        </w:tc>
        <w:tc>
          <w:tcPr>
            <w:tcW w:w="1472" w:type="dxa"/>
            <w:tcBorders>
              <w:top w:val="single" w:color="auto" w:sz="4" w:space="0"/>
              <w:left w:val="single" w:color="auto" w:sz="4" w:space="0"/>
              <w:bottom w:val="single" w:color="auto" w:sz="4" w:space="0"/>
              <w:right w:val="single" w:color="auto" w:sz="4" w:space="0"/>
            </w:tcBorders>
            <w:noWrap/>
            <w:vAlign w:val="center"/>
          </w:tcPr>
          <w:p w14:paraId="4AEF39C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目测</w:t>
            </w:r>
          </w:p>
        </w:tc>
      </w:tr>
    </w:tbl>
    <w:p w14:paraId="38EFAE2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1.4块石路面管理</w:t>
      </w:r>
    </w:p>
    <w:p w14:paraId="41BA53FF">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1.4.1块石类路面必须进行经常性和预防性养护。</w:t>
      </w:r>
    </w:p>
    <w:p w14:paraId="356AA40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1.4.2块石铺砌路面表面应平整、稳固、抗滑，无松动、碎裂、低洼沉陷、路面隆起、坑洞、错台等现象。</w:t>
      </w:r>
    </w:p>
    <w:p w14:paraId="72C12231">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1.4.3块石类路面缝隙应密实、清晰、整洁。</w:t>
      </w:r>
    </w:p>
    <w:p w14:paraId="37007648">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1.4.4块石类道路铺面板块的厚度及基层、粘结层的结构组合与胀缝设置应与原设计一致。</w:t>
      </w:r>
    </w:p>
    <w:p w14:paraId="3F4A6671">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1.4.5当基层强度不足而造成路面损坏，应清除软弱基层，换填新的基层材料再恢复面层。</w:t>
      </w:r>
    </w:p>
    <w:p w14:paraId="716C261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1.4.6维修更换的块石材质、规格、颜色等与原路面一致。</w:t>
      </w:r>
    </w:p>
    <w:p w14:paraId="6AF3380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1.4.7块石类路面宜整块修复。</w:t>
      </w:r>
    </w:p>
    <w:p w14:paraId="7F6BE19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1.4.8块石类路面养护质量符合下面要求。</w:t>
      </w:r>
    </w:p>
    <w:p w14:paraId="266401D4">
      <w:pPr>
        <w:adjustRightInd/>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块石类路面养护质量标准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675"/>
      </w:tblGrid>
      <w:tr w14:paraId="72F2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6DD232FA">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6675" w:type="dxa"/>
            <w:noWrap w:val="0"/>
            <w:vAlign w:val="center"/>
          </w:tcPr>
          <w:p w14:paraId="3FEACA55">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r>
      <w:tr w14:paraId="6B75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8" w:type="dxa"/>
            <w:noWrap w:val="0"/>
            <w:vAlign w:val="center"/>
          </w:tcPr>
          <w:p w14:paraId="76B48DCD">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平整度</w:t>
            </w:r>
          </w:p>
        </w:tc>
        <w:tc>
          <w:tcPr>
            <w:tcW w:w="6675" w:type="dxa"/>
            <w:noWrap w:val="0"/>
            <w:vAlign w:val="center"/>
          </w:tcPr>
          <w:p w14:paraId="42CB1743">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1、大理石、花岗石≯3mm；</w:t>
            </w:r>
          </w:p>
          <w:p w14:paraId="22229540">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2、彩色预制块、广场砖≯5mm</w:t>
            </w:r>
          </w:p>
        </w:tc>
      </w:tr>
      <w:tr w14:paraId="60B2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8" w:type="dxa"/>
            <w:noWrap w:val="0"/>
            <w:vAlign w:val="center"/>
          </w:tcPr>
          <w:p w14:paraId="37F69B65">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相邻板高差</w:t>
            </w:r>
          </w:p>
        </w:tc>
        <w:tc>
          <w:tcPr>
            <w:tcW w:w="6675" w:type="dxa"/>
            <w:noWrap w:val="0"/>
            <w:vAlign w:val="center"/>
          </w:tcPr>
          <w:p w14:paraId="4DD3E1DD">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1、大理石、花岗石（光面）1mm （毛面）2mm；</w:t>
            </w:r>
          </w:p>
          <w:p w14:paraId="0305FB80">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2、彩色预制块、广场砖2mm</w:t>
            </w:r>
          </w:p>
        </w:tc>
      </w:tr>
      <w:tr w14:paraId="1864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8" w:type="dxa"/>
            <w:noWrap w:val="0"/>
            <w:vAlign w:val="center"/>
          </w:tcPr>
          <w:p w14:paraId="23BC3174">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路框高差</w:t>
            </w:r>
          </w:p>
        </w:tc>
        <w:tc>
          <w:tcPr>
            <w:tcW w:w="6675" w:type="dxa"/>
            <w:noWrap w:val="0"/>
            <w:vAlign w:val="center"/>
          </w:tcPr>
          <w:p w14:paraId="538800F8">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1、大理石、花岗石2mm；</w:t>
            </w:r>
          </w:p>
          <w:p w14:paraId="7CCF8D00">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2、彩色预制块、广场砖3mm</w:t>
            </w:r>
          </w:p>
        </w:tc>
      </w:tr>
      <w:tr w14:paraId="0C14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8" w:type="dxa"/>
            <w:noWrap w:val="0"/>
            <w:vAlign w:val="center"/>
          </w:tcPr>
          <w:p w14:paraId="11F58003">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缝宽误差</w:t>
            </w:r>
          </w:p>
        </w:tc>
        <w:tc>
          <w:tcPr>
            <w:tcW w:w="6675" w:type="dxa"/>
            <w:noWrap w:val="0"/>
            <w:vAlign w:val="center"/>
          </w:tcPr>
          <w:p w14:paraId="7AA70BEA">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1、大理石、花岗石≯1mm ；</w:t>
            </w:r>
          </w:p>
          <w:p w14:paraId="17B07188">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2、彩色预制块、广场砖≯2mm</w:t>
            </w:r>
          </w:p>
        </w:tc>
      </w:tr>
      <w:tr w14:paraId="66D9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8" w:type="dxa"/>
            <w:noWrap w:val="0"/>
            <w:vAlign w:val="center"/>
          </w:tcPr>
          <w:p w14:paraId="5E57AEE9">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纵横缝线中心偏差</w:t>
            </w:r>
          </w:p>
        </w:tc>
        <w:tc>
          <w:tcPr>
            <w:tcW w:w="6675" w:type="dxa"/>
            <w:noWrap w:val="0"/>
            <w:vAlign w:val="center"/>
          </w:tcPr>
          <w:p w14:paraId="4F5D8F77">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1、大理石、花岗石≯1mm</w:t>
            </w:r>
          </w:p>
          <w:p w14:paraId="57DE7C41">
            <w:pPr>
              <w:adjustRightInd/>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2、彩色预制块、广场砖≯2mm</w:t>
            </w:r>
          </w:p>
        </w:tc>
      </w:tr>
    </w:tbl>
    <w:p w14:paraId="029544A3">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1.5侧平石管理</w:t>
      </w:r>
    </w:p>
    <w:p w14:paraId="1CC53419">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1.5.1侧平石应保持稳固、直顺，无积水、破损、残缺、歪斜等现象。</w:t>
      </w:r>
    </w:p>
    <w:p w14:paraId="065C5C9F">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更换的侧平石规格、材质应与原路侧平石一致；砼侧平石表面光洁致密，颜色一致，无蜂窝、露石、麻面、脱皮、裂缝等缺陷；石材侧平石表面均匀，外露面应平整、棱角分明，无裂缝窝坑、刀痕、风化等缺陷。</w:t>
      </w:r>
    </w:p>
    <w:p w14:paraId="59C26AF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1.5.3应进行经常性保养，使侧平石处于经常性完好状态，平石保持路面的完整，侧石保持人行道的稳定，组成街沟排水性能良好。</w:t>
      </w:r>
    </w:p>
    <w:p w14:paraId="2D584DAE">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1.5.4侧平石养护质量符合下面要求。</w:t>
      </w:r>
    </w:p>
    <w:p w14:paraId="1137059E">
      <w:pPr>
        <w:adjustRightInd/>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侧平石养护质量标准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8361"/>
      </w:tblGrid>
      <w:tr w14:paraId="46A9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8" w:type="dxa"/>
            <w:noWrap w:val="0"/>
            <w:vAlign w:val="center"/>
          </w:tcPr>
          <w:p w14:paraId="37D7DA2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8361" w:type="dxa"/>
            <w:noWrap w:val="0"/>
            <w:vAlign w:val="center"/>
          </w:tcPr>
          <w:p w14:paraId="6949A6B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r>
      <w:tr w14:paraId="1F6F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278" w:type="dxa"/>
            <w:noWrap w:val="0"/>
            <w:vAlign w:val="center"/>
          </w:tcPr>
          <w:p w14:paraId="366ECEE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侧石</w:t>
            </w:r>
          </w:p>
        </w:tc>
        <w:tc>
          <w:tcPr>
            <w:tcW w:w="8361" w:type="dxa"/>
            <w:noWrap w:val="0"/>
            <w:vAlign w:val="center"/>
          </w:tcPr>
          <w:p w14:paraId="5719096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1、线形顺直，正面凹凸≤ 5mm；</w:t>
            </w:r>
          </w:p>
          <w:p w14:paraId="4BB85E2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2、新老相邻侧石、新排侧石间连接齐平，高低差≤ 3mm；</w:t>
            </w:r>
          </w:p>
          <w:p w14:paraId="6911AD5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3、缝宽均匀，勾嵌密实；</w:t>
            </w:r>
          </w:p>
          <w:p w14:paraId="66A30ED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4、高程符合设计要求±10mm</w:t>
            </w:r>
          </w:p>
        </w:tc>
      </w:tr>
      <w:tr w14:paraId="6321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278" w:type="dxa"/>
            <w:noWrap w:val="0"/>
            <w:vAlign w:val="center"/>
          </w:tcPr>
          <w:p w14:paraId="5C76402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平石</w:t>
            </w:r>
          </w:p>
        </w:tc>
        <w:tc>
          <w:tcPr>
            <w:tcW w:w="8361" w:type="dxa"/>
            <w:noWrap w:val="0"/>
            <w:vAlign w:val="center"/>
          </w:tcPr>
          <w:p w14:paraId="417F6BE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1、平石与侧石错缝对中相交，与路面接边平顺，缝宽均匀，嵌缝密实，外线顺直；</w:t>
            </w:r>
          </w:p>
          <w:p w14:paraId="43A35CA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2、平石不高于雨水口，落水和顺，无阻水，积水现象；</w:t>
            </w:r>
          </w:p>
          <w:p w14:paraId="54DFC42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3、新老相邻平石、新排平石间连接齐平，高低差≤ 3mm</w:t>
            </w:r>
          </w:p>
        </w:tc>
      </w:tr>
    </w:tbl>
    <w:p w14:paraId="349349C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1.6.1人行道管理</w:t>
      </w:r>
    </w:p>
    <w:p w14:paraId="626465A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1.6.1应保持人行道的畅通，及时清除上面的障碍物。</w:t>
      </w:r>
    </w:p>
    <w:p w14:paraId="4C373FAE">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1.6.2人行道应经常处于完好状态，保持平整稳固，无积水、坑槽、松动、缺失、破碎、拱起、翘动和沉陷等现象。</w:t>
      </w:r>
    </w:p>
    <w:p w14:paraId="292B4CDC">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1.6.3人行道养护应协调和处理好与无障碍设施、绿化设施等公用设施关系，并应符合有关法律和规章要求。</w:t>
      </w:r>
    </w:p>
    <w:p w14:paraId="3576DBA6">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1.6.4人行道的翻修养护应将人行道、盲道、斜坡坡道、人行护栏、路名牌等道路设施的养护通盘考虑，处理好道面与盲道、井盖及其他设置物之间的衔接，使其和顺相连。</w:t>
      </w:r>
    </w:p>
    <w:p w14:paraId="5B02392F">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1.6.5人行道上检查井无凸起、沉陷，检查井盖无缺失。</w:t>
      </w:r>
    </w:p>
    <w:p w14:paraId="4760DC94">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1.6.6无障碍设施应设置规范、全线贯通，中间无障碍物。行进盲道、提示盲道安装正确，接茬平顺，无缺失、损坏等现象。</w:t>
      </w:r>
    </w:p>
    <w:p w14:paraId="4496BCA4">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1.6.7对因基层原因产生的沉陷、破损等病害，应先处理基层，再修复面层。</w:t>
      </w:r>
    </w:p>
    <w:p w14:paraId="1F16072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1.6.8更换的砌块色彩、强度、块型、尺寸均应与原面层砌块一致，且完好无损、表面平整，无缺棱、掉角、裂缝、色差、麻面等现象。</w:t>
      </w:r>
    </w:p>
    <w:p w14:paraId="7C46AC63">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1.6.9人行道养护作业必须保护地下管线和公共设施的完好。</w:t>
      </w:r>
    </w:p>
    <w:p w14:paraId="103C7DE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1.6.10加强日常巡查和经常性保养，特别对商业网点、人群集散点等区域的人行道、广场应提高巡检频率，及时清除病害，保持人行道、广场功能和设施完整。 </w:t>
      </w:r>
    </w:p>
    <w:p w14:paraId="6717C62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1.6.11人行道养护质量符合下面要求。</w:t>
      </w:r>
    </w:p>
    <w:p w14:paraId="20079A40">
      <w:pPr>
        <w:adjustRightInd/>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人行道养护质量标准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8235"/>
      </w:tblGrid>
      <w:tr w14:paraId="6C43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04" w:type="dxa"/>
            <w:noWrap w:val="0"/>
            <w:vAlign w:val="center"/>
          </w:tcPr>
          <w:p w14:paraId="37D3956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8235" w:type="dxa"/>
            <w:noWrap w:val="0"/>
            <w:vAlign w:val="center"/>
          </w:tcPr>
          <w:p w14:paraId="3C3A622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r>
      <w:tr w14:paraId="2CD3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04" w:type="dxa"/>
            <w:noWrap w:val="0"/>
            <w:vAlign w:val="center"/>
          </w:tcPr>
          <w:p w14:paraId="1A1915E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铺筑</w:t>
            </w:r>
          </w:p>
        </w:tc>
        <w:tc>
          <w:tcPr>
            <w:tcW w:w="8235" w:type="dxa"/>
            <w:noWrap w:val="0"/>
            <w:vAlign w:val="center"/>
          </w:tcPr>
          <w:p w14:paraId="65578F7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1、预制块、块石铺筑平整不摇动，缝隙饱满；</w:t>
            </w:r>
          </w:p>
          <w:p w14:paraId="14B37D0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2、纵横缝顺直，排列整齐，纵向偏差≤10mm</w:t>
            </w:r>
          </w:p>
        </w:tc>
      </w:tr>
      <w:tr w14:paraId="0C23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04" w:type="dxa"/>
            <w:noWrap w:val="0"/>
            <w:vAlign w:val="center"/>
          </w:tcPr>
          <w:p w14:paraId="6E9BE2F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平整度</w:t>
            </w:r>
          </w:p>
        </w:tc>
        <w:tc>
          <w:tcPr>
            <w:tcW w:w="8235" w:type="dxa"/>
            <w:noWrap w:val="0"/>
            <w:vAlign w:val="center"/>
          </w:tcPr>
          <w:p w14:paraId="5FD536F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高差≯5mm</w:t>
            </w:r>
          </w:p>
        </w:tc>
      </w:tr>
      <w:tr w14:paraId="5D36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04" w:type="dxa"/>
            <w:noWrap w:val="0"/>
            <w:vAlign w:val="center"/>
          </w:tcPr>
          <w:p w14:paraId="56D9713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接边</w:t>
            </w:r>
          </w:p>
        </w:tc>
        <w:tc>
          <w:tcPr>
            <w:tcW w:w="8235" w:type="dxa"/>
            <w:noWrap w:val="0"/>
            <w:vAlign w:val="center"/>
          </w:tcPr>
          <w:p w14:paraId="3B9F5C7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新老接边齐平，高差≤5mm、人行道面高出侧石顶面5mm</w:t>
            </w:r>
          </w:p>
        </w:tc>
      </w:tr>
      <w:tr w14:paraId="5137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04" w:type="dxa"/>
            <w:noWrap w:val="0"/>
            <w:vAlign w:val="center"/>
          </w:tcPr>
          <w:p w14:paraId="2C97599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路框差</w:t>
            </w:r>
          </w:p>
        </w:tc>
        <w:tc>
          <w:tcPr>
            <w:tcW w:w="8235" w:type="dxa"/>
            <w:noWrap w:val="0"/>
            <w:vAlign w:val="center"/>
          </w:tcPr>
          <w:p w14:paraId="52385E2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检查井及公用事业井井框与人行道高差≯5mm</w:t>
            </w:r>
          </w:p>
        </w:tc>
      </w:tr>
      <w:tr w14:paraId="4BD4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04" w:type="dxa"/>
            <w:noWrap w:val="0"/>
            <w:vAlign w:val="center"/>
          </w:tcPr>
          <w:p w14:paraId="51C2D06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横坡度</w:t>
            </w:r>
          </w:p>
        </w:tc>
        <w:tc>
          <w:tcPr>
            <w:tcW w:w="8235" w:type="dxa"/>
            <w:noWrap w:val="0"/>
            <w:vAlign w:val="center"/>
          </w:tcPr>
          <w:p w14:paraId="587D47A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横坡度与原路面横坡一致，不得有积水</w:t>
            </w:r>
          </w:p>
        </w:tc>
      </w:tr>
    </w:tbl>
    <w:p w14:paraId="4CABED8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1.7 掘路修复 </w:t>
      </w:r>
    </w:p>
    <w:p w14:paraId="08624E9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1.7.1掘路前应查明地下管线状况，挖槽时不得损坏原有的地下管线。</w:t>
      </w:r>
    </w:p>
    <w:p w14:paraId="129E704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1.7.2掘路修复所采用的基层、面层材料不应低于原结构强度，使得修复区域路基路面的整体性能不低于开挖前使用性能和服务水平。</w:t>
      </w:r>
    </w:p>
    <w:p w14:paraId="007B8E83">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1.7.3掘路修复结构应按同等级别道路的新路设计结构层并按相应的施工规范要求进行。</w:t>
      </w:r>
    </w:p>
    <w:p w14:paraId="45C1AEE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1.7.4掘路修复宜采用振动压路机或振动夯实机具，分层夯实、碾压，压实度应达到规定要求。</w:t>
      </w:r>
    </w:p>
    <w:p w14:paraId="4027C15C">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1.7.5考虑到开挖修复区域的整体横向联系遭受破坏，要求修复区域和未开挖体之间采用阶梯式衔接，形成有效的受力整体。基层修复应在开挖沟槽两侧各加宽30~50cm，面层修复宽度应在基层两侧各加宽20cm。</w:t>
      </w:r>
    </w:p>
    <w:p w14:paraId="685A93A3">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1.7.6掘路修复应做到快速、坚实、平整，现场清洁。对已开放交通但尚未完工的横向掘路工程，应当采取临时措施，确保机动车、非机动车和行人的通行安全。</w:t>
      </w:r>
    </w:p>
    <w:p w14:paraId="7CC8698E">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1.7.7小型掘路修复的质量要求，应符合沥青路面、水泥混凝土路面、人行道的养护质量评定标准。</w:t>
      </w:r>
    </w:p>
    <w:p w14:paraId="048F0EB9">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1.7.8大型掘路修复的质量要求，应依据《城镇道路工程施工与质量验收规范》进行。</w:t>
      </w:r>
    </w:p>
    <w:p w14:paraId="4478B288">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1.8安全作业、应急处置、文明施工管理</w:t>
      </w:r>
    </w:p>
    <w:p w14:paraId="69F7FA3E">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应认真贯彻“安全第一、预防为主”的方针，自觉遵守，严格执行国家有关劳动保护与安全生产的法律法规。建立安全管理体系，完善各项安全管理制度，落实各级安全责任制，做好日常管理工作，杜绝各类事故。</w:t>
      </w:r>
    </w:p>
    <w:p w14:paraId="4B4DF05F">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1.8.2养护作业应避高峰，快速施工原则，积极推行预养护和“四新”技术，注重文明施工与环境保护，根据养护作业实际情况制定文明施工与环境保护具体措施，减少对附近区域市容环卫和交通运行影响。</w:t>
      </w:r>
    </w:p>
    <w:p w14:paraId="3C201D35">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1.8.3应建立应急防灾组织体系，建立防灾机制，落实管理责任，做好突发性事故的应急处置预案，组成与灾害防治、处置工作相适应的抢险组织联络网，积极、妥善处理突发应急事件，确保道路畅通。</w:t>
      </w:r>
    </w:p>
    <w:p w14:paraId="5A740D20">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1.8.4养护人员必须自觉遵守交通法规，上岗前必须进行安全教育和技术培训。进入养护作业现场内的人员应按规定统一着装，且必须穿戴具有反光功能的安全标志服和防护帽。</w:t>
      </w:r>
    </w:p>
    <w:p w14:paraId="0F4C6DDD">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1.8.5应精心组织有效的交通控制，保障措施，确保养护安全。</w:t>
      </w:r>
    </w:p>
    <w:p w14:paraId="691B9E9B">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1.8.6养护作业现场应设置明显安全标志和采取有效的安全防护措施。</w:t>
      </w:r>
    </w:p>
    <w:p w14:paraId="3AE87B98">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1.8.7养护作业应按要求配备专职安全员，并有专人负责现场交通疏导。</w:t>
      </w:r>
    </w:p>
    <w:p w14:paraId="2A255EEC">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1.8.8养护作业人员不得在控制区外作业和活动，或将物体置于控制区以外。</w:t>
      </w:r>
    </w:p>
    <w:p w14:paraId="01FB9247">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1.8.9占路维修道路时应及时报交通管理部门，交通导流方案应符合交通管理部门的有关规定。</w:t>
      </w:r>
    </w:p>
    <w:p w14:paraId="25CC418A">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1.8.10养护维修作业控制区的布置和安全防范措施必须符合《城市道路养护维修作业安全技术规程》（SZ-51-2006)的要求。进入养护作业现场的作业车辆，应配置警示标志、灯具，车身两侧应注有“道路养护”字样，其规格、颜色、品种、性能应符合国家现行标准《道路作业交通安全标志》GA182及《道路交通标志和标线》GB 5768的规定。</w:t>
      </w:r>
    </w:p>
    <w:p w14:paraId="0BE999E4">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1.9其他管理规定</w:t>
      </w:r>
    </w:p>
    <w:p w14:paraId="17C005E2">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1.9.1认真落实社会投诉工作，建立24小时值班制度，落实解决各类投诉问题。</w:t>
      </w:r>
    </w:p>
    <w:p w14:paraId="2AE5B4BE">
      <w:pPr>
        <w:adjustRightInd/>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1.9.2不发生有责媒体报道事件，不发生重大有责新闻曝光。</w:t>
      </w:r>
    </w:p>
    <w:p w14:paraId="4EED0BFE">
      <w:pPr>
        <w:adjustRightInd/>
        <w:spacing w:line="400" w:lineRule="exact"/>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cs="宋体"/>
          <w:color w:val="auto"/>
          <w:szCs w:val="21"/>
          <w:highlight w:val="none"/>
        </w:rPr>
        <w:t>1.9.3认真完成领导或相关部门的指令性、突击性任务。</w:t>
      </w:r>
    </w:p>
    <w:p w14:paraId="39FABCC2">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0A6394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附件2</w:t>
      </w:r>
    </w:p>
    <w:p w14:paraId="404405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桥梁养护作业规范</w:t>
      </w:r>
    </w:p>
    <w:p w14:paraId="2FFDDB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3.1术语</w:t>
      </w:r>
    </w:p>
    <w:p w14:paraId="7FC325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 简支梁桥——以一端由固定支座支承，另一端由活动支座支承的梁作为上部结构主要承重构建的梁桥。</w:t>
      </w:r>
    </w:p>
    <w:p w14:paraId="74F515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3.1.2连续梁桥——以由三个或三个以上支座支承的梁作为上部结构主要承重构件的梁桥。</w:t>
      </w:r>
    </w:p>
    <w:p w14:paraId="5D119A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3.1.3 上部结构——桥梁支座以上跨越桥孔部分的总称。</w:t>
      </w:r>
    </w:p>
    <w:p w14:paraId="051A59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3.1.4 下部结构——支承桥梁上部结构，并将其荷载传递至地基的桥墩、桥台和基础总称。</w:t>
      </w:r>
    </w:p>
    <w:p w14:paraId="4444D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3.1.5 桥头搭板——用与防止桥端连接部分的沉降而采取的措施。它搁置在桥台或悬臂梁板端部和填土之间，随着填土的沉降而能够转动。车辆行驶时可起到缓冲作用，即使台背填土沉降也不至于产生凹凸不平。</w:t>
      </w:r>
    </w:p>
    <w:p w14:paraId="580873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3.1.6桥面系——上部结构中，直接承受车辆、人群荷载并将其传递至主要承重构件的桥面构造系统，包括桥面的铺装、桥面板、纵梁、横梁、人行道等。</w:t>
      </w:r>
    </w:p>
    <w:p w14:paraId="0B3B64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3.1.7桥面铺装——为保护桥面板和分布车轮的集中荷载，用沥青混凝土、水泥混凝土等材料铺筑在桥面板上的保护层。</w:t>
      </w:r>
    </w:p>
    <w:p w14:paraId="0A9C3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3.1.8桥面伸缩装置——为使车辆平稳的通过桥面并满足桥面变形的需要，在桥面伸缩缝处设置的各种装置的总称。</w:t>
      </w:r>
    </w:p>
    <w:p w14:paraId="70FB5E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3.1.9桥面排水系统——为了迅速的排除桥面积水，防止雨水积滞于桥面并渗入梁体而影响桥梁的耐久性，在桥梁的设计时，在桥面上除设置纵横坡排水外，桥面需要设置一定数量的泻水管道，以便组成一个完整的排水系统。</w:t>
      </w:r>
    </w:p>
    <w:p w14:paraId="282EC6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3.1.10支座——设在桥梁上部结构与下部结构之间，使上部结构具有一定活动性的传力装置。</w:t>
      </w:r>
    </w:p>
    <w:p w14:paraId="28F317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3.1.11桥台——在岸边或桥孔尽端介于桥梁与路堤连接处的支撑结构物。它起着支撑上部结构和连接两岸道路同时还要挡住桥台背后填土的作用。</w:t>
      </w:r>
    </w:p>
    <w:p w14:paraId="149522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3.1.12桥墩——在两孔和两孔以上的桥梁中除两端与路堤衔接的桥台外其余的中间支撑结构称为桥墩。</w:t>
      </w:r>
    </w:p>
    <w:p w14:paraId="3EA8C1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3.1.13盖梁——为支承分布和传递上部结构的荷载，在排架桩墩顶部设置的横梁。</w:t>
      </w:r>
    </w:p>
    <w:p w14:paraId="51F4DF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3.1.14承台——为承受分布由墩身传递的荷载，在基桩顶部设置的联结各桩顶的钢筋混凝土平台。</w:t>
      </w:r>
    </w:p>
    <w:p w14:paraId="7C92E0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3.1.15基础——将桥梁墩、台承受的各种荷载传递至地基上的构造物。</w:t>
      </w:r>
    </w:p>
    <w:p w14:paraId="561930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3.2基本规定</w:t>
      </w:r>
    </w:p>
    <w:p w14:paraId="05AC1D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 桥梁的养护包括桥梁及其附属设施的日常巡查、检测评定、养护维修工程、档案管理等内容。</w:t>
      </w:r>
    </w:p>
    <w:p w14:paraId="4E3AD8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3.2.2应建立定期巡查制度，重视并做好桥梁的日常巡查，区域内的城市桥梁巡查不少于每日一次。</w:t>
      </w:r>
    </w:p>
    <w:p w14:paraId="15235C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3.2.3发现病害，根据病害特征分析其产生原因及其发展情况，随时了解桥梁的使用状况，并采取相应的技术措施及时维修，要求达到整改率100%。使其处于良好的技术状态，保证正常使用。</w:t>
      </w:r>
    </w:p>
    <w:p w14:paraId="2B179A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3.2.4重视并做好桥梁的检测和评定，桥梁应按《城市桥梁养护技术规范》（CJJ99-2003)规定进行检查、检测和评价，全面掌握桥梁的技术状况，并制定养护计划和对策。</w:t>
      </w:r>
    </w:p>
    <w:p w14:paraId="303D7C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3.2.5城市桥梁的养护应贯彻“预防为主、防治结合”的方针，以桥梁结构安全为中心，以承重部件为重点，对桥梁进行周期性养护，提高桥梁结构的安全性和耐久性。 </w:t>
      </w:r>
    </w:p>
    <w:p w14:paraId="6FAE6A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3.2.6桥梁的养护作业应做到：桥梁外观整洁，桥面平整，桥头顺适，排水、伸缩缝、支座、护栏等设施完好，结构无损坏，基础无冲刷、掏空。</w:t>
      </w:r>
    </w:p>
    <w:p w14:paraId="0A2293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3.2.7桥梁的养护作业应符合下列要求：</w:t>
      </w:r>
    </w:p>
    <w:p w14:paraId="4E3D5E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3.2.7.1 桥梁的养护作业应根据养护范围、工程量、养护要求、养护特点，配备必要养护设备及专业养护技术人员，规范养护作业方式，强化作业现场交通安全管理。占路维修桥梁时应及时报交通管理部门，交通导流方案应符合交通管理部门的有关规定。</w:t>
      </w:r>
    </w:p>
    <w:p w14:paraId="504642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3.2.7.2桥梁的养护作业事先应制定周密的作业计划，做好进度安排、人员组织、材料机具准备，安排好工序之间的衔接。</w:t>
      </w:r>
    </w:p>
    <w:p w14:paraId="0D39D7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3.2.7.3桥梁的养护作业应因地制宜、合理地选择养护维修工艺，节约资源和保护环境。</w:t>
      </w:r>
    </w:p>
    <w:p w14:paraId="5EC496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3.2.7.4桥梁养护作业应使用经检验合格的原材料、成品、半成品。</w:t>
      </w:r>
    </w:p>
    <w:p w14:paraId="601955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3.2.7.5操作养护作业机械人员应持证上岗，并做好机械的保养维修工作，提高机械设备的完好率和使用率。</w:t>
      </w:r>
    </w:p>
    <w:p w14:paraId="051592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3.2.7.6桥梁的养护作业应贯彻安全生产、文明施工的方针，制定安全技术措施，加强安全教育，严格执行安全操作规程，确保安全生产。</w:t>
      </w:r>
    </w:p>
    <w:p w14:paraId="226921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3.2.7.7桥梁养护作业应加强质量管理，严格施工过程的质量控制，完善质量检查和验收制度。</w:t>
      </w:r>
    </w:p>
    <w:p w14:paraId="5E8A92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3.2.7.8桥梁的养护作业完工后，应注意及时清理场地，避免杂物堆积影响行人和交通。</w:t>
      </w:r>
    </w:p>
    <w:p w14:paraId="4C8EC0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3.2.7.9城市桥梁的养护作业应加强档案管理，实现计算机管理，各项作业记录、质检记录、计量记录等资料应及时整理、录入、归档。</w:t>
      </w:r>
    </w:p>
    <w:p w14:paraId="6B5B9C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3.2.8城市桥梁养护档案应符合下列规定：</w:t>
      </w:r>
    </w:p>
    <w:p w14:paraId="246260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3.2.8.1城市桥梁养护档案应以一座独立桥梁为单位建档。</w:t>
      </w:r>
    </w:p>
    <w:p w14:paraId="44A9E5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3.2.8.2 养护档案应包括下列内容：桥梁主要技术资料，施工竣工资料，养护技术文件，巡检、检测、测试资料，养护作业资料，桥上架设管线、地下构筑物及管线穿越等技术文件及相关资料。</w:t>
      </w:r>
    </w:p>
    <w:p w14:paraId="01B86A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3.2.8.3养护档案管理工作应实行电子化、数据化、利用多媒体技术，建立信息管理系统、数据库。</w:t>
      </w:r>
    </w:p>
    <w:p w14:paraId="7B9C4D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3.2.9城市桥梁的养护应鼓励新技术、新材料、新工艺、新设备的推广应用，提高养护作业机械化、自动化、信息化、智能化作业程度和技术水平，提高养护作业质量和劳动效率，降低养护工人劳动强度和作业难度。</w:t>
      </w:r>
    </w:p>
    <w:p w14:paraId="41B591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3.2.10 在城市桥梁上增加静荷载（构筑物、装饰灯、广告牌、各类管线、绿化设施等），必须经过验算且满足桥梁安全技术要求。</w:t>
      </w:r>
    </w:p>
    <w:p w14:paraId="640CD7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3.2.11 对严重危及行人、车辆安全的病害或突发事件，养护单位应立即组织抢修，可后办手续。</w:t>
      </w:r>
    </w:p>
    <w:p w14:paraId="6F5DA0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3.3上部结构管理</w:t>
      </w:r>
    </w:p>
    <w:p w14:paraId="616A0F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3.3.1沥青混凝土桥面铺装</w:t>
      </w:r>
    </w:p>
    <w:p w14:paraId="2E348E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3.3.1.1应保持桥面平整及时清除冰棱、积雪。</w:t>
      </w:r>
    </w:p>
    <w:p w14:paraId="650A9C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3.3.1.2沥青混凝土桥面应无裂缝、拥包、车辙、松散、麻面、坑槽、推移等病害。对桥梁结构变形产生的病害应进行专项维修。当损坏面积较小时，可局部修补；损坏面积较大时，可将整跨铺装层凿除，重新铺装。</w:t>
      </w:r>
    </w:p>
    <w:p w14:paraId="65E28C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3.3.1.3桥面铺装维修时，应避免损坏防水层。采用铣刨机铣刨时，应严格控制铣刨深度，若铣刨后剩余的沥青混凝土厚度小于单层厚度，宜将沥青混凝土铺装层全厚度清除。</w:t>
      </w:r>
    </w:p>
    <w:p w14:paraId="4FA15C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3.3.1.4 维修后的桥面横坡和纵坡，应满足排水要求。</w:t>
      </w:r>
    </w:p>
    <w:p w14:paraId="713582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3.3.1.5 桥面铺装增加厚度时应进行荷载验算。</w:t>
      </w:r>
    </w:p>
    <w:p w14:paraId="522374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3.3.1.6 架设在桥上的管线安全保护设施应完整、有效；线杆应安全、牢固；井盖应完好。</w:t>
      </w:r>
    </w:p>
    <w:p w14:paraId="2EA2B6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3.3.1.7沥青混凝土桥面的养护、病害处理和修补应按</w:t>
      </w:r>
      <w:r>
        <w:rPr>
          <w:rFonts w:hint="eastAsia" w:ascii="宋体" w:hAnsi="宋体" w:cs="宋体"/>
          <w:color w:val="auto"/>
          <w:sz w:val="21"/>
          <w:szCs w:val="21"/>
          <w:highlight w:val="none"/>
          <w:lang w:val="en-US" w:eastAsia="zh-CN"/>
        </w:rPr>
        <w:t>规范</w:t>
      </w:r>
      <w:r>
        <w:rPr>
          <w:rFonts w:hint="eastAsia" w:ascii="宋体" w:hAnsi="宋体" w:eastAsia="宋体" w:cs="宋体"/>
          <w:color w:val="auto"/>
          <w:sz w:val="21"/>
          <w:szCs w:val="21"/>
          <w:highlight w:val="none"/>
          <w:lang w:val="en-US" w:eastAsia="zh-CN"/>
        </w:rPr>
        <w:t>要求进行。</w:t>
      </w:r>
    </w:p>
    <w:p w14:paraId="1A69DD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3.3.1.8沥青混凝土桥面维修质量验收应符合以下要求。</w:t>
      </w:r>
    </w:p>
    <w:p w14:paraId="1E82C7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沥青混凝土桥面维修质量验收标准</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439"/>
      </w:tblGrid>
      <w:tr w14:paraId="44A21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tcBorders>
              <w:top w:val="single" w:color="auto" w:sz="8" w:space="0"/>
              <w:left w:val="single" w:color="auto" w:sz="8" w:space="0"/>
              <w:bottom w:val="single" w:color="auto" w:sz="8" w:space="0"/>
              <w:right w:val="single" w:color="auto" w:sz="8" w:space="0"/>
            </w:tcBorders>
            <w:noWrap w:val="0"/>
            <w:vAlign w:val="center"/>
          </w:tcPr>
          <w:p w14:paraId="1EE32B7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6439" w:type="dxa"/>
            <w:tcBorders>
              <w:top w:val="single" w:color="auto" w:sz="8" w:space="0"/>
              <w:left w:val="single" w:color="auto" w:sz="8" w:space="0"/>
              <w:bottom w:val="single" w:color="auto" w:sz="8" w:space="0"/>
              <w:right w:val="single" w:color="auto" w:sz="8" w:space="0"/>
            </w:tcBorders>
            <w:noWrap w:val="0"/>
            <w:vAlign w:val="center"/>
          </w:tcPr>
          <w:p w14:paraId="3599CBE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规定值及允许偏差</w:t>
            </w:r>
          </w:p>
        </w:tc>
      </w:tr>
      <w:tr w14:paraId="42BBD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89" w:type="dxa"/>
            <w:tcBorders>
              <w:top w:val="single" w:color="auto" w:sz="8" w:space="0"/>
              <w:left w:val="single" w:color="auto" w:sz="8" w:space="0"/>
              <w:bottom w:val="single" w:color="auto" w:sz="4" w:space="0"/>
              <w:right w:val="single" w:color="auto" w:sz="8" w:space="0"/>
            </w:tcBorders>
            <w:noWrap w:val="0"/>
            <w:vAlign w:val="center"/>
          </w:tcPr>
          <w:p w14:paraId="1950154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切凿、铣刨</w:t>
            </w:r>
          </w:p>
        </w:tc>
        <w:tc>
          <w:tcPr>
            <w:tcW w:w="6439" w:type="dxa"/>
            <w:tcBorders>
              <w:top w:val="single" w:color="auto" w:sz="8" w:space="0"/>
              <w:left w:val="single" w:color="auto" w:sz="8" w:space="0"/>
              <w:bottom w:val="single" w:color="auto" w:sz="4" w:space="0"/>
              <w:right w:val="single" w:color="auto" w:sz="8" w:space="0"/>
            </w:tcBorders>
            <w:noWrap w:val="0"/>
            <w:vAlign w:val="center"/>
          </w:tcPr>
          <w:p w14:paraId="78BB678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四周切缝整齐方正；</w:t>
            </w:r>
          </w:p>
          <w:p w14:paraId="7C0B2CB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2.采用铣刨机或其他机械施工，边口应整齐；</w:t>
            </w:r>
          </w:p>
          <w:p w14:paraId="4B8CFB2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3.基底干燥、整洁、无松动，防水层完好</w:t>
            </w:r>
          </w:p>
        </w:tc>
      </w:tr>
      <w:tr w14:paraId="2025A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tcBorders>
              <w:top w:val="single" w:color="auto" w:sz="4" w:space="0"/>
              <w:left w:val="single" w:color="auto" w:sz="8" w:space="0"/>
              <w:bottom w:val="single" w:color="auto" w:sz="4" w:space="0"/>
              <w:right w:val="single" w:color="auto" w:sz="8" w:space="0"/>
            </w:tcBorders>
            <w:noWrap w:val="0"/>
            <w:vAlign w:val="center"/>
          </w:tcPr>
          <w:p w14:paraId="08B2027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铺筑</w:t>
            </w:r>
          </w:p>
        </w:tc>
        <w:tc>
          <w:tcPr>
            <w:tcW w:w="6439" w:type="dxa"/>
            <w:tcBorders>
              <w:top w:val="single" w:color="auto" w:sz="4" w:space="0"/>
              <w:left w:val="single" w:color="auto" w:sz="8" w:space="0"/>
              <w:bottom w:val="single" w:color="auto" w:sz="4" w:space="0"/>
              <w:right w:val="single" w:color="auto" w:sz="8" w:space="0"/>
            </w:tcBorders>
            <w:noWrap w:val="0"/>
            <w:vAlign w:val="center"/>
          </w:tcPr>
          <w:p w14:paraId="0307C27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1.面层铺筑厚度允许偏差-5mm，+10mm；</w:t>
            </w:r>
          </w:p>
          <w:p w14:paraId="71492CA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2.表面粗细均匀，密实平整</w:t>
            </w:r>
          </w:p>
        </w:tc>
      </w:tr>
      <w:tr w14:paraId="44592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tcBorders>
              <w:top w:val="single" w:color="auto" w:sz="4" w:space="0"/>
              <w:left w:val="single" w:color="auto" w:sz="8" w:space="0"/>
              <w:bottom w:val="single" w:color="auto" w:sz="4" w:space="0"/>
              <w:right w:val="single" w:color="auto" w:sz="8" w:space="0"/>
            </w:tcBorders>
            <w:noWrap w:val="0"/>
            <w:vAlign w:val="center"/>
          </w:tcPr>
          <w:p w14:paraId="47825FC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接边</w:t>
            </w:r>
          </w:p>
        </w:tc>
        <w:tc>
          <w:tcPr>
            <w:tcW w:w="6439" w:type="dxa"/>
            <w:tcBorders>
              <w:top w:val="single" w:color="auto" w:sz="4" w:space="0"/>
              <w:left w:val="single" w:color="auto" w:sz="8" w:space="0"/>
              <w:bottom w:val="single" w:color="auto" w:sz="4" w:space="0"/>
              <w:right w:val="single" w:color="auto" w:sz="8" w:space="0"/>
            </w:tcBorders>
            <w:noWrap w:val="0"/>
            <w:vAlign w:val="center"/>
          </w:tcPr>
          <w:p w14:paraId="15AA39C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1.接边密实，无起壳、无松散；</w:t>
            </w:r>
          </w:p>
          <w:p w14:paraId="436B373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2.接边平顺齐直，与原桥面高差0～5mm；</w:t>
            </w:r>
          </w:p>
          <w:p w14:paraId="5FD8BC1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3.与平石相接不得低于平石，高≯5mm</w:t>
            </w:r>
          </w:p>
        </w:tc>
      </w:tr>
      <w:tr w14:paraId="1336A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tcBorders>
              <w:top w:val="single" w:color="auto" w:sz="4" w:space="0"/>
              <w:left w:val="single" w:color="auto" w:sz="8" w:space="0"/>
              <w:bottom w:val="single" w:color="auto" w:sz="4" w:space="0"/>
              <w:right w:val="single" w:color="auto" w:sz="8" w:space="0"/>
            </w:tcBorders>
            <w:noWrap w:val="0"/>
            <w:vAlign w:val="center"/>
          </w:tcPr>
          <w:p w14:paraId="7ABBB64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平整度</w:t>
            </w:r>
          </w:p>
        </w:tc>
        <w:tc>
          <w:tcPr>
            <w:tcW w:w="6439" w:type="dxa"/>
            <w:tcBorders>
              <w:top w:val="single" w:color="auto" w:sz="4" w:space="0"/>
              <w:left w:val="single" w:color="auto" w:sz="8" w:space="0"/>
              <w:bottom w:val="single" w:color="auto" w:sz="4" w:space="0"/>
              <w:right w:val="single" w:color="auto" w:sz="8" w:space="0"/>
            </w:tcBorders>
            <w:noWrap w:val="0"/>
            <w:vAlign w:val="center"/>
          </w:tcPr>
          <w:p w14:paraId="6607E7B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人工摊铺≯7mm；机械摊铺≯5mm</w:t>
            </w:r>
          </w:p>
        </w:tc>
      </w:tr>
      <w:tr w14:paraId="2E8C0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tcBorders>
              <w:top w:val="single" w:color="auto" w:sz="4" w:space="0"/>
              <w:left w:val="single" w:color="auto" w:sz="8" w:space="0"/>
              <w:bottom w:val="single" w:color="auto" w:sz="8" w:space="0"/>
              <w:right w:val="single" w:color="auto" w:sz="8" w:space="0"/>
            </w:tcBorders>
            <w:noWrap w:val="0"/>
            <w:vAlign w:val="center"/>
          </w:tcPr>
          <w:p w14:paraId="60BFA94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横坡</w:t>
            </w:r>
          </w:p>
        </w:tc>
        <w:tc>
          <w:tcPr>
            <w:tcW w:w="6439" w:type="dxa"/>
            <w:tcBorders>
              <w:top w:val="single" w:color="auto" w:sz="4" w:space="0"/>
              <w:left w:val="single" w:color="auto" w:sz="8" w:space="0"/>
              <w:bottom w:val="single" w:color="auto" w:sz="8" w:space="0"/>
              <w:right w:val="single" w:color="auto" w:sz="8" w:space="0"/>
            </w:tcBorders>
            <w:noWrap w:val="0"/>
            <w:vAlign w:val="center"/>
          </w:tcPr>
          <w:p w14:paraId="0796AD9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与原桥面平顺，横坡一致，不得有积水</w:t>
            </w:r>
          </w:p>
        </w:tc>
      </w:tr>
    </w:tbl>
    <w:p w14:paraId="51D29D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3.3.2防水层</w:t>
      </w:r>
    </w:p>
    <w:p w14:paraId="1CD56C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3.3.2.1桥面防水层应完好无损，如有损坏，应及时进行修补。防水层维修应按施工规范要求进行。</w:t>
      </w:r>
    </w:p>
    <w:p w14:paraId="0D4547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3.3.2.2防水层维修应先处理基层混凝土，基层混凝土检验合格后方可进行防水层施工。</w:t>
      </w:r>
    </w:p>
    <w:p w14:paraId="105972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3.3.2.3修补后的防水层，其防水性能、整体强度、与下层粘接强度和耐久性等指标，应满足原设计要求。</w:t>
      </w:r>
    </w:p>
    <w:p w14:paraId="66C523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3.3.2.4防水材料的选用应满足施工环境的条件和工艺的可操作性要求。 </w:t>
      </w:r>
    </w:p>
    <w:p w14:paraId="39493D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3.3.2.5 防水层上沥青混凝土的摊铺温度应与防水卷材的耐热度相匹配，卷材防水层上沥青混凝土的摊铺温度应高于防水卷材的耐热度，但同时应小于170度；涂料防水层上沥青混凝土的摊铺温度应低于防水涂料的耐热度。</w:t>
      </w:r>
    </w:p>
    <w:p w14:paraId="3C94F9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3.3.2.6 防水层维修、更换质量符合以下表要求</w:t>
      </w:r>
    </w:p>
    <w:p w14:paraId="575A9E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防水层维修、更换质量验收标准</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6969"/>
      </w:tblGrid>
      <w:tr w14:paraId="59FDC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2264" w:type="dxa"/>
            <w:tcBorders>
              <w:top w:val="single" w:color="auto" w:sz="8" w:space="0"/>
              <w:left w:val="single" w:color="auto" w:sz="8" w:space="0"/>
              <w:bottom w:val="single" w:color="auto" w:sz="4" w:space="0"/>
              <w:right w:val="single" w:color="auto" w:sz="8" w:space="0"/>
            </w:tcBorders>
            <w:noWrap w:val="0"/>
            <w:vAlign w:val="center"/>
          </w:tcPr>
          <w:p w14:paraId="7884CAF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6969" w:type="dxa"/>
            <w:tcBorders>
              <w:top w:val="single" w:color="auto" w:sz="8" w:space="0"/>
              <w:left w:val="single" w:color="auto" w:sz="8" w:space="0"/>
              <w:bottom w:val="single" w:color="auto" w:sz="4" w:space="0"/>
              <w:right w:val="single" w:color="auto" w:sz="8" w:space="0"/>
            </w:tcBorders>
            <w:noWrap w:val="0"/>
            <w:vAlign w:val="center"/>
          </w:tcPr>
          <w:p w14:paraId="00F265D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规定值及允许偏差</w:t>
            </w:r>
          </w:p>
        </w:tc>
      </w:tr>
      <w:tr w14:paraId="099E8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4" w:type="dxa"/>
            <w:tcBorders>
              <w:top w:val="single" w:color="auto" w:sz="8" w:space="0"/>
              <w:left w:val="single" w:color="auto" w:sz="8" w:space="0"/>
              <w:bottom w:val="single" w:color="auto" w:sz="4" w:space="0"/>
              <w:right w:val="single" w:color="auto" w:sz="8" w:space="0"/>
            </w:tcBorders>
            <w:noWrap w:val="0"/>
            <w:vAlign w:val="center"/>
          </w:tcPr>
          <w:p w14:paraId="147328D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卷材接茬搭接宽度</w:t>
            </w:r>
          </w:p>
        </w:tc>
        <w:tc>
          <w:tcPr>
            <w:tcW w:w="6969" w:type="dxa"/>
            <w:tcBorders>
              <w:top w:val="single" w:color="auto" w:sz="8" w:space="0"/>
              <w:left w:val="single" w:color="auto" w:sz="8" w:space="0"/>
              <w:bottom w:val="single" w:color="auto" w:sz="4" w:space="0"/>
              <w:right w:val="single" w:color="auto" w:sz="8" w:space="0"/>
            </w:tcBorders>
            <w:noWrap w:val="0"/>
            <w:vAlign w:val="center"/>
          </w:tcPr>
          <w:p w14:paraId="226CE8B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不小于规定</w:t>
            </w:r>
          </w:p>
        </w:tc>
      </w:tr>
      <w:tr w14:paraId="7A07A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4" w:type="dxa"/>
            <w:tcBorders>
              <w:top w:val="single" w:color="auto" w:sz="4" w:space="0"/>
              <w:left w:val="single" w:color="auto" w:sz="8" w:space="0"/>
              <w:bottom w:val="single" w:color="auto" w:sz="4" w:space="0"/>
              <w:right w:val="single" w:color="auto" w:sz="8" w:space="0"/>
            </w:tcBorders>
            <w:noWrap w:val="0"/>
            <w:vAlign w:val="center"/>
          </w:tcPr>
          <w:p w14:paraId="3D90B99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防水涂膜厚度</w:t>
            </w:r>
          </w:p>
        </w:tc>
        <w:tc>
          <w:tcPr>
            <w:tcW w:w="6969" w:type="dxa"/>
            <w:tcBorders>
              <w:top w:val="single" w:color="auto" w:sz="4" w:space="0"/>
              <w:left w:val="single" w:color="auto" w:sz="8" w:space="0"/>
              <w:bottom w:val="single" w:color="auto" w:sz="4" w:space="0"/>
              <w:right w:val="single" w:color="auto" w:sz="8" w:space="0"/>
            </w:tcBorders>
            <w:noWrap w:val="0"/>
            <w:vAlign w:val="center"/>
          </w:tcPr>
          <w:p w14:paraId="39DC16E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符合设计要求</w:t>
            </w:r>
          </w:p>
        </w:tc>
      </w:tr>
      <w:tr w14:paraId="2DDA0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264" w:type="dxa"/>
            <w:tcBorders>
              <w:top w:val="single" w:color="auto" w:sz="4" w:space="0"/>
              <w:left w:val="single" w:color="auto" w:sz="8" w:space="0"/>
              <w:right w:val="single" w:color="auto" w:sz="8" w:space="0"/>
            </w:tcBorders>
            <w:noWrap w:val="0"/>
            <w:vAlign w:val="center"/>
          </w:tcPr>
          <w:p w14:paraId="4D8D318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外观质量</w:t>
            </w:r>
          </w:p>
        </w:tc>
        <w:tc>
          <w:tcPr>
            <w:tcW w:w="6969" w:type="dxa"/>
            <w:tcBorders>
              <w:top w:val="single" w:color="auto" w:sz="4" w:space="0"/>
              <w:left w:val="single" w:color="auto" w:sz="8" w:space="0"/>
              <w:right w:val="single" w:color="auto" w:sz="8" w:space="0"/>
            </w:tcBorders>
            <w:noWrap w:val="0"/>
            <w:vAlign w:val="center"/>
          </w:tcPr>
          <w:p w14:paraId="7B1981B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1.防水层、粘结层与基层之问应密贴，结合牢固；</w:t>
            </w:r>
          </w:p>
          <w:p w14:paraId="203040D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2.卷材防水层表面平整，不得有空鼓、脱层、裂缝、翘边、油包、气泡和皱褶等现象；</w:t>
            </w:r>
          </w:p>
          <w:p w14:paraId="685FC87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3.涂料防水层的厚度应均匀一致，不得有漏涂处；</w:t>
            </w:r>
          </w:p>
          <w:p w14:paraId="70B6B37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4.防水层与泄水口、伸缩缝、缘石衔接处应密封</w:t>
            </w:r>
          </w:p>
        </w:tc>
      </w:tr>
    </w:tbl>
    <w:p w14:paraId="559334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3.3.3桥面排水设施</w:t>
      </w:r>
    </w:p>
    <w:p w14:paraId="2A2333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3.3.3.1排水设施应经常性和周期性养护，保持排水设施处于良好的技术状况。</w:t>
      </w:r>
    </w:p>
    <w:p w14:paraId="5CD9D2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3.3.3.2雨水格栅发现损坏、缺失应及时更换。</w:t>
      </w:r>
    </w:p>
    <w:p w14:paraId="1D1399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3.3.3.3泄水孔、泄水管出现堵塞应及时清理疏通，确保排水通畅。</w:t>
      </w:r>
    </w:p>
    <w:p w14:paraId="7ACA94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3.3.3.4 泄水管损坏应及时修补，接头松动或脱落应重新接上，损坏严重的应予以更换。跨河桥梁泄水管下端露出不应少于100mm，露出长度不足时，应予以接长，避免桥面水沿侧墙和腹板流淌。</w:t>
      </w:r>
    </w:p>
    <w:p w14:paraId="0D691C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3.3.3.5 泄水管更换的质量应符合下面的要求。</w:t>
      </w:r>
    </w:p>
    <w:p w14:paraId="379D0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泄水管更换质量验收标准</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
      <w:tblGrid>
        <w:gridCol w:w="2344"/>
        <w:gridCol w:w="6946"/>
      </w:tblGrid>
      <w:tr w14:paraId="49272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344" w:type="dxa"/>
            <w:tcBorders>
              <w:top w:val="single" w:color="auto" w:sz="8" w:space="0"/>
              <w:left w:val="single" w:color="auto" w:sz="8" w:space="0"/>
              <w:bottom w:val="single" w:color="auto" w:sz="4" w:space="0"/>
              <w:right w:val="single" w:color="auto" w:sz="8" w:space="0"/>
            </w:tcBorders>
            <w:noWrap w:val="0"/>
            <w:vAlign w:val="center"/>
          </w:tcPr>
          <w:p w14:paraId="7E2FABC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6946" w:type="dxa"/>
            <w:tcBorders>
              <w:top w:val="single" w:color="auto" w:sz="8" w:space="0"/>
              <w:left w:val="single" w:color="auto" w:sz="8" w:space="0"/>
              <w:bottom w:val="single" w:color="auto" w:sz="4" w:space="0"/>
              <w:right w:val="single" w:color="auto" w:sz="8" w:space="0"/>
            </w:tcBorders>
            <w:noWrap w:val="0"/>
            <w:vAlign w:val="center"/>
          </w:tcPr>
          <w:p w14:paraId="2533A2A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规定值及允许偏差</w:t>
            </w:r>
          </w:p>
        </w:tc>
      </w:tr>
      <w:tr w14:paraId="632FA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344" w:type="dxa"/>
            <w:tcBorders>
              <w:top w:val="single" w:color="auto" w:sz="8" w:space="0"/>
              <w:left w:val="single" w:color="auto" w:sz="8" w:space="0"/>
              <w:bottom w:val="single" w:color="auto" w:sz="4" w:space="0"/>
              <w:right w:val="single" w:color="auto" w:sz="8" w:space="0"/>
            </w:tcBorders>
            <w:noWrap w:val="0"/>
            <w:vAlign w:val="center"/>
          </w:tcPr>
          <w:p w14:paraId="5609ADB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横向管道坡度</w:t>
            </w:r>
          </w:p>
        </w:tc>
        <w:tc>
          <w:tcPr>
            <w:tcW w:w="6946" w:type="dxa"/>
            <w:tcBorders>
              <w:top w:val="single" w:color="auto" w:sz="8" w:space="0"/>
              <w:left w:val="single" w:color="auto" w:sz="8" w:space="0"/>
              <w:bottom w:val="single" w:color="auto" w:sz="4" w:space="0"/>
              <w:right w:val="single" w:color="auto" w:sz="8" w:space="0"/>
            </w:tcBorders>
            <w:noWrap w:val="0"/>
            <w:vAlign w:val="center"/>
          </w:tcPr>
          <w:p w14:paraId="6938E23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w:t>
            </w:r>
          </w:p>
        </w:tc>
      </w:tr>
      <w:tr w14:paraId="74A1E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344" w:type="dxa"/>
            <w:tcBorders>
              <w:top w:val="single" w:color="auto" w:sz="4" w:space="0"/>
              <w:left w:val="single" w:color="auto" w:sz="8" w:space="0"/>
              <w:bottom w:val="single" w:color="auto" w:sz="4" w:space="0"/>
              <w:right w:val="single" w:color="auto" w:sz="8" w:space="0"/>
            </w:tcBorders>
            <w:noWrap w:val="0"/>
            <w:vAlign w:val="center"/>
          </w:tcPr>
          <w:p w14:paraId="1F85053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立管垂直度</w:t>
            </w:r>
          </w:p>
        </w:tc>
        <w:tc>
          <w:tcPr>
            <w:tcW w:w="6946" w:type="dxa"/>
            <w:tcBorders>
              <w:top w:val="single" w:color="auto" w:sz="4" w:space="0"/>
              <w:left w:val="single" w:color="auto" w:sz="8" w:space="0"/>
              <w:bottom w:val="single" w:color="auto" w:sz="4" w:space="0"/>
              <w:right w:val="single" w:color="auto" w:sz="8" w:space="0"/>
            </w:tcBorders>
            <w:noWrap w:val="0"/>
            <w:vAlign w:val="center"/>
          </w:tcPr>
          <w:p w14:paraId="3EF3042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r>
      <w:tr w14:paraId="08671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344" w:type="dxa"/>
            <w:tcBorders>
              <w:top w:val="single" w:color="auto" w:sz="4" w:space="0"/>
              <w:left w:val="single" w:color="auto" w:sz="8" w:space="0"/>
              <w:bottom w:val="single" w:color="auto" w:sz="4" w:space="0"/>
              <w:right w:val="single" w:color="auto" w:sz="8" w:space="0"/>
            </w:tcBorders>
            <w:noWrap w:val="0"/>
            <w:vAlign w:val="center"/>
          </w:tcPr>
          <w:p w14:paraId="1612D6A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泄水口与桥面高程</w:t>
            </w:r>
          </w:p>
        </w:tc>
        <w:tc>
          <w:tcPr>
            <w:tcW w:w="6946" w:type="dxa"/>
            <w:tcBorders>
              <w:top w:val="single" w:color="auto" w:sz="4" w:space="0"/>
              <w:left w:val="single" w:color="auto" w:sz="8" w:space="0"/>
              <w:bottom w:val="single" w:color="auto" w:sz="4" w:space="0"/>
              <w:right w:val="single" w:color="auto" w:sz="8" w:space="0"/>
            </w:tcBorders>
            <w:noWrap w:val="0"/>
            <w:vAlign w:val="center"/>
          </w:tcPr>
          <w:p w14:paraId="7E4D97F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0，-10mm</w:t>
            </w:r>
          </w:p>
        </w:tc>
      </w:tr>
      <w:tr w14:paraId="6079B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61" w:hRule="exact"/>
          <w:jc w:val="center"/>
        </w:trPr>
        <w:tc>
          <w:tcPr>
            <w:tcW w:w="2344" w:type="dxa"/>
            <w:tcBorders>
              <w:top w:val="single" w:color="auto" w:sz="4" w:space="0"/>
              <w:left w:val="single" w:color="auto" w:sz="8" w:space="0"/>
              <w:bottom w:val="single" w:color="auto" w:sz="8" w:space="0"/>
              <w:right w:val="single" w:color="auto" w:sz="8" w:space="0"/>
            </w:tcBorders>
            <w:noWrap w:val="0"/>
            <w:vAlign w:val="center"/>
          </w:tcPr>
          <w:p w14:paraId="5CDC985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外观质量</w:t>
            </w:r>
          </w:p>
        </w:tc>
        <w:tc>
          <w:tcPr>
            <w:tcW w:w="6946" w:type="dxa"/>
            <w:tcBorders>
              <w:top w:val="single" w:color="auto" w:sz="4" w:space="0"/>
              <w:left w:val="single" w:color="auto" w:sz="8" w:space="0"/>
              <w:bottom w:val="single" w:color="auto" w:sz="8" w:space="0"/>
              <w:right w:val="single" w:color="auto" w:sz="8" w:space="0"/>
            </w:tcBorders>
            <w:noWrap w:val="0"/>
            <w:vAlign w:val="center"/>
          </w:tcPr>
          <w:p w14:paraId="2E9CF55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桥面泄水口应低于桥面铺装层10～20mm</w:t>
            </w:r>
          </w:p>
          <w:p w14:paraId="4521562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泄水管安装应牢固可靠，与铺装层及防水层之间应结合密实，无渗漏现象；金属泄水管应进行防腐处理</w:t>
            </w:r>
          </w:p>
        </w:tc>
      </w:tr>
    </w:tbl>
    <w:p w14:paraId="664465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3.3.4伸缩装置</w:t>
      </w:r>
    </w:p>
    <w:p w14:paraId="659909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3.3.4.1伸缩装置应平整、直顺、伸缩自如，处于良好的工作状态。有堵塞时应及时清除，出现渗漏、变形、开裂、行车异常响声、跳车时应及时维修。</w:t>
      </w:r>
    </w:p>
    <w:p w14:paraId="05352B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3.3.4.2异型钢类伸缩缝装置的密封橡胶带（止水带），损坏后应及时更换。密封橡胶带的选择，应满足原设计的规格和性能要求。</w:t>
      </w:r>
    </w:p>
    <w:p w14:paraId="750816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3.3.4.3伸缩装置出现损坏而无法修复时，应选用原规格伸缩装置产品进行整体更换，伸缩装置的更换应符合下列规定：</w:t>
      </w:r>
    </w:p>
    <w:p w14:paraId="0ED3B9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a伸缩装置应满足设计和有关技术规范的要求，具有产品合格证，并经验收合格后方可安装。</w:t>
      </w:r>
    </w:p>
    <w:p w14:paraId="4571E6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b伸缩缝应锚固牢靠，伸缩性能应有效。</w:t>
      </w:r>
    </w:p>
    <w:p w14:paraId="49B5A5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c伸缩缝两侧混凝土的类型和强度，应满足设计要求，</w:t>
      </w:r>
    </w:p>
    <w:p w14:paraId="63E98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d大型伸缩缝与钢梁连接处的焊缝应做无损探伤检测，检测结果应合格。</w:t>
      </w:r>
    </w:p>
    <w:p w14:paraId="1B6559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e伸缩缝处不得积水。</w:t>
      </w:r>
    </w:p>
    <w:p w14:paraId="3B31CC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 保护带与桥面的接缝高差，对Ⅰ类养护的城市桥梁不应大于2mm，Ⅱ类桥梁不应大于3mm，</w:t>
      </w:r>
    </w:p>
    <w:p w14:paraId="163E48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g应保证伸缩装置中间和梁头与桥台（梁端头）之间充分隔离、封闭，禁止混凝土碎块、渣土充填梁端空隙，应保证混凝土充满伸缩装置的型钢下部和后部。</w:t>
      </w:r>
    </w:p>
    <w:p w14:paraId="7F9167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f混凝土达到设计强度，且伸缩装置全部安装完好后，方可恢复交通。</w:t>
      </w:r>
    </w:p>
    <w:p w14:paraId="781DB2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3.3.4.4 伸缩装置保护带应完好，不得有开裂、松散，坑洞的面积不得大于０．１ｍ２，深度不得大于２０ｍｍ。已松散和有坑洞的保护带，应及时修复。</w:t>
      </w:r>
    </w:p>
    <w:p w14:paraId="0C1A82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3.3.4.5 在每年气温最高、最低时，应及时测量伸缩装置的间隙是否符合设计要求。</w:t>
      </w:r>
    </w:p>
    <w:p w14:paraId="38ED1D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3.3.4.6伸缩装置养护维修质量符合下面标准。</w:t>
      </w:r>
    </w:p>
    <w:p w14:paraId="0A8A51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伸缩装置养护维修质量验收标准</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
      <w:tblGrid>
        <w:gridCol w:w="2233"/>
        <w:gridCol w:w="6218"/>
      </w:tblGrid>
      <w:tr w14:paraId="2996C2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233" w:type="dxa"/>
            <w:tcBorders>
              <w:top w:val="single" w:color="auto" w:sz="8" w:space="0"/>
              <w:left w:val="single" w:color="auto" w:sz="8" w:space="0"/>
              <w:bottom w:val="single" w:color="auto" w:sz="8" w:space="0"/>
              <w:right w:val="single" w:color="auto" w:sz="8" w:space="0"/>
            </w:tcBorders>
            <w:noWrap w:val="0"/>
            <w:vAlign w:val="center"/>
          </w:tcPr>
          <w:p w14:paraId="3AB43BB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6218" w:type="dxa"/>
            <w:tcBorders>
              <w:top w:val="single" w:color="auto" w:sz="8" w:space="0"/>
              <w:left w:val="single" w:color="auto" w:sz="8" w:space="0"/>
              <w:bottom w:val="single" w:color="auto" w:sz="8" w:space="0"/>
              <w:right w:val="single" w:color="auto" w:sz="8" w:space="0"/>
            </w:tcBorders>
            <w:noWrap w:val="0"/>
            <w:vAlign w:val="center"/>
          </w:tcPr>
          <w:p w14:paraId="028D4C8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规定值及允许偏差</w:t>
            </w:r>
          </w:p>
        </w:tc>
      </w:tr>
      <w:tr w14:paraId="21FE4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233" w:type="dxa"/>
            <w:tcBorders>
              <w:top w:val="single" w:color="auto" w:sz="8" w:space="0"/>
              <w:left w:val="single" w:color="auto" w:sz="8" w:space="0"/>
              <w:bottom w:val="single" w:color="auto" w:sz="4" w:space="0"/>
              <w:right w:val="single" w:color="auto" w:sz="8" w:space="0"/>
            </w:tcBorders>
            <w:noWrap w:val="0"/>
            <w:vAlign w:val="center"/>
          </w:tcPr>
          <w:p w14:paraId="0F8882F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长度</w:t>
            </w:r>
          </w:p>
        </w:tc>
        <w:tc>
          <w:tcPr>
            <w:tcW w:w="6218" w:type="dxa"/>
            <w:tcBorders>
              <w:top w:val="single" w:color="auto" w:sz="8" w:space="0"/>
              <w:left w:val="single" w:color="auto" w:sz="8" w:space="0"/>
              <w:bottom w:val="single" w:color="auto" w:sz="4" w:space="0"/>
              <w:right w:val="single" w:color="auto" w:sz="8" w:space="0"/>
            </w:tcBorders>
            <w:noWrap w:val="0"/>
            <w:vAlign w:val="center"/>
          </w:tcPr>
          <w:p w14:paraId="199F12B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w:t>
            </w:r>
          </w:p>
        </w:tc>
      </w:tr>
      <w:tr w14:paraId="28242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233" w:type="dxa"/>
            <w:tcBorders>
              <w:top w:val="single" w:color="auto" w:sz="4" w:space="0"/>
              <w:left w:val="single" w:color="auto" w:sz="8" w:space="0"/>
              <w:bottom w:val="single" w:color="auto" w:sz="4" w:space="0"/>
              <w:right w:val="single" w:color="auto" w:sz="8" w:space="0"/>
            </w:tcBorders>
            <w:noWrap w:val="0"/>
            <w:vAlign w:val="center"/>
          </w:tcPr>
          <w:p w14:paraId="022ACA3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缝宽</w:t>
            </w:r>
          </w:p>
        </w:tc>
        <w:tc>
          <w:tcPr>
            <w:tcW w:w="6218" w:type="dxa"/>
            <w:tcBorders>
              <w:top w:val="single" w:color="auto" w:sz="4" w:space="0"/>
              <w:left w:val="single" w:color="auto" w:sz="8" w:space="0"/>
              <w:bottom w:val="single" w:color="auto" w:sz="4" w:space="0"/>
              <w:right w:val="single" w:color="auto" w:sz="8" w:space="0"/>
            </w:tcBorders>
            <w:noWrap w:val="0"/>
            <w:vAlign w:val="center"/>
          </w:tcPr>
          <w:p w14:paraId="567A1A4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满足设计要求</w:t>
            </w:r>
          </w:p>
        </w:tc>
      </w:tr>
      <w:tr w14:paraId="67A0A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233" w:type="dxa"/>
            <w:tcBorders>
              <w:top w:val="single" w:color="auto" w:sz="4" w:space="0"/>
              <w:left w:val="single" w:color="auto" w:sz="8" w:space="0"/>
              <w:bottom w:val="single" w:color="auto" w:sz="4" w:space="0"/>
              <w:right w:val="single" w:color="auto" w:sz="8" w:space="0"/>
            </w:tcBorders>
            <w:noWrap w:val="0"/>
            <w:vAlign w:val="center"/>
          </w:tcPr>
          <w:p w14:paraId="641A471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与桥面高差</w:t>
            </w:r>
          </w:p>
        </w:tc>
        <w:tc>
          <w:tcPr>
            <w:tcW w:w="6218" w:type="dxa"/>
            <w:tcBorders>
              <w:top w:val="single" w:color="auto" w:sz="4" w:space="0"/>
              <w:left w:val="single" w:color="auto" w:sz="8" w:space="0"/>
              <w:bottom w:val="single" w:color="auto" w:sz="4" w:space="0"/>
              <w:right w:val="single" w:color="auto" w:sz="8" w:space="0"/>
            </w:tcBorders>
            <w:noWrap w:val="0"/>
            <w:vAlign w:val="center"/>
          </w:tcPr>
          <w:p w14:paraId="513E453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±5mm</w:t>
            </w:r>
          </w:p>
        </w:tc>
      </w:tr>
      <w:tr w14:paraId="6C567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233" w:type="dxa"/>
            <w:tcBorders>
              <w:top w:val="single" w:color="auto" w:sz="4" w:space="0"/>
              <w:left w:val="single" w:color="auto" w:sz="8" w:space="0"/>
              <w:bottom w:val="single" w:color="auto" w:sz="4" w:space="0"/>
              <w:right w:val="single" w:color="auto" w:sz="8" w:space="0"/>
            </w:tcBorders>
            <w:noWrap w:val="0"/>
            <w:vAlign w:val="center"/>
          </w:tcPr>
          <w:p w14:paraId="446E15C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横向平整度</w:t>
            </w:r>
          </w:p>
        </w:tc>
        <w:tc>
          <w:tcPr>
            <w:tcW w:w="6218" w:type="dxa"/>
            <w:tcBorders>
              <w:top w:val="single" w:color="auto" w:sz="4" w:space="0"/>
              <w:left w:val="single" w:color="auto" w:sz="8" w:space="0"/>
              <w:bottom w:val="single" w:color="auto" w:sz="4" w:space="0"/>
              <w:right w:val="single" w:color="auto" w:sz="8" w:space="0"/>
            </w:tcBorders>
            <w:noWrap w:val="0"/>
            <w:vAlign w:val="center"/>
          </w:tcPr>
          <w:p w14:paraId="4E1551C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≯5mm</w:t>
            </w:r>
          </w:p>
        </w:tc>
      </w:tr>
      <w:tr w14:paraId="43F21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2233" w:type="dxa"/>
            <w:tcBorders>
              <w:top w:val="single" w:color="auto" w:sz="4" w:space="0"/>
              <w:left w:val="single" w:color="auto" w:sz="8" w:space="0"/>
              <w:bottom w:val="single" w:color="auto" w:sz="8" w:space="0"/>
              <w:right w:val="single" w:color="auto" w:sz="8" w:space="0"/>
            </w:tcBorders>
            <w:noWrap w:val="0"/>
            <w:vAlign w:val="center"/>
          </w:tcPr>
          <w:p w14:paraId="4DEABDA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外观要求</w:t>
            </w:r>
          </w:p>
        </w:tc>
        <w:tc>
          <w:tcPr>
            <w:tcW w:w="6218" w:type="dxa"/>
            <w:tcBorders>
              <w:top w:val="single" w:color="auto" w:sz="4" w:space="0"/>
              <w:left w:val="single" w:color="auto" w:sz="8" w:space="0"/>
              <w:bottom w:val="single" w:color="auto" w:sz="8" w:space="0"/>
              <w:right w:val="single" w:color="auto" w:sz="8" w:space="0"/>
            </w:tcBorders>
            <w:noWrap w:val="0"/>
            <w:vAlign w:val="center"/>
          </w:tcPr>
          <w:p w14:paraId="0526AA2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无堵塞、渗漏、变形、开裂等现象</w:t>
            </w:r>
          </w:p>
        </w:tc>
      </w:tr>
    </w:tbl>
    <w:p w14:paraId="5AC63D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3.3.5桥栏杆</w:t>
      </w:r>
    </w:p>
    <w:p w14:paraId="1C9475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3.3.5.1栏杆的养护对象包括钢筋混凝土栏杆、钢栏杆和石材栏杆。</w:t>
      </w:r>
    </w:p>
    <w:p w14:paraId="46BDD3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3.3.5.2 栏杆应保持整洁美观、完好、线条直顺、牢固完好、伸缩缝处水平构件能自由伸缩，无歪斜、扭曲变形、断裂、撞坏、松动、错位、破损、脱落、缺失、剥落、露筋、锈蚀等现象。</w:t>
      </w:r>
    </w:p>
    <w:p w14:paraId="603F57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3.3.5.3 及时清除与伸缩缝连接处的垃圾和杂物。</w:t>
      </w:r>
    </w:p>
    <w:p w14:paraId="1EE26E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3.3.5.4 混凝土涂装层起皮、剥落应及时涂装；钢栏杆表面变色、起皮、锈蚀、剥落应及时油饰。</w:t>
      </w:r>
    </w:p>
    <w:p w14:paraId="75CA81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3.3.5.5 栏杆、警示标志应定期重新涂漆，保持油漆颜色鲜明。</w:t>
      </w:r>
    </w:p>
    <w:p w14:paraId="72DA2D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3.3.5.6 栏杆应加强巡视检查，发现损坏、变形、丢失等病害时，应按原设计的结构、样式、颜色及时修补，如时间不足，可采用临时防护设施，采用的临时防护措施应牢固、醒目，使用时间不得超过两周。</w:t>
      </w:r>
    </w:p>
    <w:p w14:paraId="26D751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3.3.5.7更换栏杆时，宜按原栏杆恢复并符合设计要求。</w:t>
      </w:r>
    </w:p>
    <w:p w14:paraId="642C58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3.3.5.8 栏杆修复、更换应符合下面要求。</w:t>
      </w:r>
    </w:p>
    <w:p w14:paraId="6CCA1D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栏杆维修质量验收标准</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43"/>
        <w:gridCol w:w="6780"/>
      </w:tblGrid>
      <w:tr w14:paraId="587BD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1843" w:type="dxa"/>
            <w:tcBorders>
              <w:top w:val="single" w:color="auto" w:sz="8" w:space="0"/>
              <w:left w:val="single" w:color="auto" w:sz="8" w:space="0"/>
              <w:bottom w:val="single" w:color="auto" w:sz="8" w:space="0"/>
              <w:right w:val="single" w:color="auto" w:sz="8" w:space="0"/>
            </w:tcBorders>
            <w:noWrap w:val="0"/>
            <w:vAlign w:val="center"/>
          </w:tcPr>
          <w:p w14:paraId="36EB2D9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6780" w:type="dxa"/>
            <w:tcBorders>
              <w:top w:val="single" w:color="auto" w:sz="8" w:space="0"/>
              <w:left w:val="single" w:color="auto" w:sz="8" w:space="0"/>
              <w:bottom w:val="single" w:color="auto" w:sz="8" w:space="0"/>
              <w:right w:val="single" w:color="auto" w:sz="8" w:space="0"/>
            </w:tcBorders>
            <w:noWrap w:val="0"/>
            <w:vAlign w:val="center"/>
          </w:tcPr>
          <w:p w14:paraId="7B677B7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质量要求及允许偏差</w:t>
            </w:r>
          </w:p>
        </w:tc>
      </w:tr>
      <w:tr w14:paraId="7C87D0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43" w:type="dxa"/>
            <w:tcBorders>
              <w:top w:val="single" w:color="auto" w:sz="8" w:space="0"/>
              <w:left w:val="single" w:color="auto" w:sz="8" w:space="0"/>
              <w:bottom w:val="single" w:color="auto" w:sz="6" w:space="0"/>
              <w:right w:val="single" w:color="auto" w:sz="8" w:space="0"/>
            </w:tcBorders>
            <w:noWrap w:val="0"/>
            <w:vAlign w:val="center"/>
          </w:tcPr>
          <w:p w14:paraId="1124F66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切割或凿边</w:t>
            </w:r>
          </w:p>
        </w:tc>
        <w:tc>
          <w:tcPr>
            <w:tcW w:w="6780" w:type="dxa"/>
            <w:tcBorders>
              <w:top w:val="single" w:color="auto" w:sz="8" w:space="0"/>
              <w:left w:val="single" w:color="auto" w:sz="8" w:space="0"/>
              <w:bottom w:val="single" w:color="auto" w:sz="6" w:space="0"/>
              <w:right w:val="single" w:color="auto" w:sz="8" w:space="0"/>
            </w:tcBorders>
            <w:noWrap w:val="0"/>
            <w:vAlign w:val="center"/>
          </w:tcPr>
          <w:p w14:paraId="1FCE40C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切割或修凿深度符合要求，边线垂直</w:t>
            </w:r>
          </w:p>
        </w:tc>
      </w:tr>
      <w:tr w14:paraId="104059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43" w:type="dxa"/>
            <w:tcBorders>
              <w:top w:val="single" w:color="auto" w:sz="6" w:space="0"/>
              <w:left w:val="single" w:color="auto" w:sz="8" w:space="0"/>
              <w:bottom w:val="single" w:color="auto" w:sz="6" w:space="0"/>
              <w:right w:val="single" w:color="auto" w:sz="8" w:space="0"/>
            </w:tcBorders>
            <w:noWrap w:val="0"/>
            <w:vAlign w:val="center"/>
          </w:tcPr>
          <w:p w14:paraId="6AFD4CC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修补面处理</w:t>
            </w:r>
          </w:p>
        </w:tc>
        <w:tc>
          <w:tcPr>
            <w:tcW w:w="6780" w:type="dxa"/>
            <w:tcBorders>
              <w:top w:val="single" w:color="auto" w:sz="6" w:space="0"/>
              <w:left w:val="single" w:color="auto" w:sz="8" w:space="0"/>
              <w:bottom w:val="single" w:color="auto" w:sz="6" w:space="0"/>
              <w:right w:val="single" w:color="auto" w:sz="8" w:space="0"/>
            </w:tcBorders>
            <w:noWrap w:val="0"/>
            <w:vAlign w:val="center"/>
          </w:tcPr>
          <w:p w14:paraId="388CFB3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杂物清除干净；钢筋锈蚀处理彻底；丙酮清洗不遗漏</w:t>
            </w:r>
          </w:p>
        </w:tc>
      </w:tr>
      <w:tr w14:paraId="1C5108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43" w:type="dxa"/>
            <w:tcBorders>
              <w:top w:val="single" w:color="auto" w:sz="6" w:space="0"/>
              <w:left w:val="single" w:color="auto" w:sz="8" w:space="0"/>
              <w:bottom w:val="single" w:color="auto" w:sz="6" w:space="0"/>
              <w:right w:val="single" w:color="auto" w:sz="8" w:space="0"/>
            </w:tcBorders>
            <w:noWrap w:val="0"/>
            <w:vAlign w:val="center"/>
          </w:tcPr>
          <w:p w14:paraId="573058C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修补表面</w:t>
            </w:r>
          </w:p>
        </w:tc>
        <w:tc>
          <w:tcPr>
            <w:tcW w:w="6780" w:type="dxa"/>
            <w:tcBorders>
              <w:top w:val="single" w:color="auto" w:sz="6" w:space="0"/>
              <w:left w:val="single" w:color="auto" w:sz="8" w:space="0"/>
              <w:bottom w:val="single" w:color="auto" w:sz="6" w:space="0"/>
              <w:right w:val="single" w:color="auto" w:sz="8" w:space="0"/>
            </w:tcBorders>
            <w:noWrap w:val="0"/>
            <w:vAlign w:val="center"/>
          </w:tcPr>
          <w:p w14:paraId="386AAB5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1.表面平整无细裂缝，与周边混凝土接边密实；</w:t>
            </w:r>
          </w:p>
          <w:p w14:paraId="7EF0792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2.高差0，+2mm</w:t>
            </w:r>
          </w:p>
        </w:tc>
      </w:tr>
      <w:tr w14:paraId="7495A2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43" w:type="dxa"/>
            <w:tcBorders>
              <w:top w:val="single" w:color="auto" w:sz="6" w:space="0"/>
              <w:left w:val="single" w:color="auto" w:sz="8" w:space="0"/>
              <w:bottom w:val="single" w:color="auto" w:sz="6" w:space="0"/>
              <w:right w:val="single" w:color="auto" w:sz="8" w:space="0"/>
            </w:tcBorders>
            <w:noWrap w:val="0"/>
            <w:vAlign w:val="center"/>
          </w:tcPr>
          <w:p w14:paraId="2BA39D9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混凝土涂装</w:t>
            </w:r>
          </w:p>
        </w:tc>
        <w:tc>
          <w:tcPr>
            <w:tcW w:w="6780" w:type="dxa"/>
            <w:tcBorders>
              <w:top w:val="single" w:color="auto" w:sz="6" w:space="0"/>
              <w:left w:val="single" w:color="auto" w:sz="8" w:space="0"/>
              <w:bottom w:val="single" w:color="auto" w:sz="6" w:space="0"/>
              <w:right w:val="single" w:color="auto" w:sz="8" w:space="0"/>
            </w:tcBorders>
            <w:noWrap w:val="0"/>
            <w:vAlign w:val="center"/>
          </w:tcPr>
          <w:p w14:paraId="6FE473E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1.涂层粘结牢固，颜色均匀一致；</w:t>
            </w:r>
          </w:p>
          <w:p w14:paraId="360B6F6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2.涂饰均匀，无刷痕、流挂、起泡、砂眼现象；</w:t>
            </w:r>
          </w:p>
          <w:p w14:paraId="6C52862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3.喷点疏密均匀；无漏涂、透底、起皮和掉粉现象；</w:t>
            </w:r>
          </w:p>
          <w:p w14:paraId="1CA40F9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4.无泛碱、咬色现象；与其他装饰材料和结构物衔接吻合、界面清晰</w:t>
            </w:r>
          </w:p>
        </w:tc>
      </w:tr>
      <w:tr w14:paraId="647F6E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43" w:type="dxa"/>
            <w:tcBorders>
              <w:top w:val="single" w:color="auto" w:sz="6" w:space="0"/>
              <w:left w:val="single" w:color="auto" w:sz="8" w:space="0"/>
              <w:bottom w:val="single" w:color="auto" w:sz="6" w:space="0"/>
              <w:right w:val="single" w:color="auto" w:sz="8" w:space="0"/>
            </w:tcBorders>
            <w:noWrap w:val="0"/>
            <w:vAlign w:val="center"/>
          </w:tcPr>
          <w:p w14:paraId="596BCF2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钢护栏油饰</w:t>
            </w:r>
          </w:p>
        </w:tc>
        <w:tc>
          <w:tcPr>
            <w:tcW w:w="6780" w:type="dxa"/>
            <w:tcBorders>
              <w:top w:val="single" w:color="auto" w:sz="6" w:space="0"/>
              <w:left w:val="single" w:color="auto" w:sz="8" w:space="0"/>
              <w:bottom w:val="single" w:color="auto" w:sz="6" w:space="0"/>
              <w:right w:val="single" w:color="auto" w:sz="8" w:space="0"/>
            </w:tcBorders>
            <w:noWrap w:val="0"/>
            <w:vAlign w:val="center"/>
          </w:tcPr>
          <w:p w14:paraId="57A6181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1.表面应平整光洁，色泽一致；</w:t>
            </w:r>
          </w:p>
          <w:p w14:paraId="7830363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无脱皮、漏涂、返锈、透底、流坠、皱纹、针孔、起泡、裂纹、边界不清等现象</w:t>
            </w:r>
          </w:p>
        </w:tc>
      </w:tr>
    </w:tbl>
    <w:p w14:paraId="26D59F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钢栏杆更换质量验收标准</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58"/>
        <w:gridCol w:w="6840"/>
      </w:tblGrid>
      <w:tr w14:paraId="20D990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58" w:type="dxa"/>
            <w:tcBorders>
              <w:top w:val="single" w:color="auto" w:sz="8" w:space="0"/>
              <w:left w:val="single" w:color="auto" w:sz="8" w:space="0"/>
              <w:bottom w:val="single" w:color="auto" w:sz="8" w:space="0"/>
              <w:right w:val="single" w:color="auto" w:sz="8" w:space="0"/>
            </w:tcBorders>
            <w:noWrap w:val="0"/>
            <w:vAlign w:val="center"/>
          </w:tcPr>
          <w:p w14:paraId="7B4C01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检查项目</w:t>
            </w:r>
          </w:p>
        </w:tc>
        <w:tc>
          <w:tcPr>
            <w:tcW w:w="6840" w:type="dxa"/>
            <w:tcBorders>
              <w:top w:val="single" w:color="auto" w:sz="8" w:space="0"/>
              <w:left w:val="single" w:color="auto" w:sz="8" w:space="0"/>
              <w:bottom w:val="single" w:color="auto" w:sz="8" w:space="0"/>
              <w:right w:val="single" w:color="auto" w:sz="8" w:space="0"/>
            </w:tcBorders>
            <w:noWrap w:val="0"/>
            <w:vAlign w:val="center"/>
          </w:tcPr>
          <w:p w14:paraId="191B4FD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规定值及允许偏差</w:t>
            </w:r>
          </w:p>
        </w:tc>
      </w:tr>
      <w:tr w14:paraId="321165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58" w:type="dxa"/>
            <w:tcBorders>
              <w:top w:val="single" w:color="auto" w:sz="8" w:space="0"/>
              <w:left w:val="single" w:color="auto" w:sz="8" w:space="0"/>
              <w:bottom w:val="single" w:color="auto" w:sz="6" w:space="0"/>
              <w:right w:val="single" w:color="auto" w:sz="8" w:space="0"/>
            </w:tcBorders>
            <w:noWrap w:val="0"/>
            <w:vAlign w:val="center"/>
          </w:tcPr>
          <w:p w14:paraId="5E9FD54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扶手直顺度</w:t>
            </w:r>
          </w:p>
        </w:tc>
        <w:tc>
          <w:tcPr>
            <w:tcW w:w="6840" w:type="dxa"/>
            <w:tcBorders>
              <w:top w:val="single" w:color="auto" w:sz="8" w:space="0"/>
              <w:left w:val="single" w:color="auto" w:sz="8" w:space="0"/>
              <w:bottom w:val="single" w:color="auto" w:sz="6" w:space="0"/>
              <w:right w:val="single" w:color="auto" w:sz="8" w:space="0"/>
            </w:tcBorders>
            <w:noWrap w:val="0"/>
            <w:vAlign w:val="center"/>
          </w:tcPr>
          <w:p w14:paraId="519DC0F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≤3mm</w:t>
            </w:r>
          </w:p>
        </w:tc>
      </w:tr>
      <w:tr w14:paraId="54DB3F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58" w:type="dxa"/>
            <w:tcBorders>
              <w:top w:val="single" w:color="auto" w:sz="6" w:space="0"/>
              <w:left w:val="single" w:color="auto" w:sz="8" w:space="0"/>
              <w:bottom w:val="single" w:color="auto" w:sz="6" w:space="0"/>
              <w:right w:val="single" w:color="auto" w:sz="8" w:space="0"/>
            </w:tcBorders>
            <w:noWrap w:val="0"/>
            <w:vAlign w:val="center"/>
          </w:tcPr>
          <w:p w14:paraId="6E074C1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立柱垂直度</w:t>
            </w:r>
          </w:p>
        </w:tc>
        <w:tc>
          <w:tcPr>
            <w:tcW w:w="6840" w:type="dxa"/>
            <w:tcBorders>
              <w:top w:val="single" w:color="auto" w:sz="6" w:space="0"/>
              <w:left w:val="single" w:color="auto" w:sz="8" w:space="0"/>
              <w:bottom w:val="single" w:color="auto" w:sz="6" w:space="0"/>
              <w:right w:val="single" w:color="auto" w:sz="8" w:space="0"/>
            </w:tcBorders>
            <w:noWrap w:val="0"/>
            <w:vAlign w:val="center"/>
          </w:tcPr>
          <w:p w14:paraId="63F3FD3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3mm</w:t>
            </w:r>
          </w:p>
        </w:tc>
      </w:tr>
      <w:tr w14:paraId="2C73B4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58" w:type="dxa"/>
            <w:tcBorders>
              <w:top w:val="single" w:color="auto" w:sz="6" w:space="0"/>
              <w:left w:val="single" w:color="auto" w:sz="8" w:space="0"/>
              <w:bottom w:val="single" w:color="auto" w:sz="6" w:space="0"/>
              <w:right w:val="single" w:color="auto" w:sz="8" w:space="0"/>
            </w:tcBorders>
            <w:noWrap w:val="0"/>
            <w:vAlign w:val="center"/>
          </w:tcPr>
          <w:p w14:paraId="362577F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立柱间距</w:t>
            </w:r>
          </w:p>
        </w:tc>
        <w:tc>
          <w:tcPr>
            <w:tcW w:w="6840" w:type="dxa"/>
            <w:tcBorders>
              <w:top w:val="single" w:color="auto" w:sz="6" w:space="0"/>
              <w:left w:val="single" w:color="auto" w:sz="8" w:space="0"/>
              <w:bottom w:val="single" w:color="auto" w:sz="6" w:space="0"/>
              <w:right w:val="single" w:color="auto" w:sz="8" w:space="0"/>
            </w:tcBorders>
            <w:noWrap w:val="0"/>
            <w:vAlign w:val="center"/>
          </w:tcPr>
          <w:p w14:paraId="754BF1B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3mm</w:t>
            </w:r>
          </w:p>
        </w:tc>
      </w:tr>
      <w:tr w14:paraId="1A0B96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58" w:type="dxa"/>
            <w:tcBorders>
              <w:top w:val="single" w:color="auto" w:sz="6" w:space="0"/>
              <w:left w:val="single" w:color="auto" w:sz="8" w:space="0"/>
              <w:bottom w:val="single" w:color="auto" w:sz="6" w:space="0"/>
              <w:right w:val="single" w:color="auto" w:sz="8" w:space="0"/>
            </w:tcBorders>
            <w:noWrap w:val="0"/>
            <w:vAlign w:val="center"/>
          </w:tcPr>
          <w:p w14:paraId="33E65E3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扶手高度</w:t>
            </w:r>
          </w:p>
        </w:tc>
        <w:tc>
          <w:tcPr>
            <w:tcW w:w="6840" w:type="dxa"/>
            <w:tcBorders>
              <w:top w:val="single" w:color="auto" w:sz="6" w:space="0"/>
              <w:left w:val="single" w:color="auto" w:sz="8" w:space="0"/>
              <w:bottom w:val="single" w:color="auto" w:sz="6" w:space="0"/>
              <w:right w:val="single" w:color="auto" w:sz="8" w:space="0"/>
            </w:tcBorders>
            <w:noWrap w:val="0"/>
            <w:vAlign w:val="center"/>
          </w:tcPr>
          <w:p w14:paraId="120667F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3mm</w:t>
            </w:r>
          </w:p>
        </w:tc>
      </w:tr>
      <w:tr w14:paraId="3B1ACC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58" w:type="dxa"/>
            <w:tcBorders>
              <w:top w:val="single" w:color="auto" w:sz="6" w:space="0"/>
              <w:left w:val="single" w:color="auto" w:sz="8" w:space="0"/>
              <w:bottom w:val="single" w:color="auto" w:sz="6" w:space="0"/>
              <w:right w:val="single" w:color="auto" w:sz="8" w:space="0"/>
            </w:tcBorders>
            <w:noWrap w:val="0"/>
            <w:vAlign w:val="center"/>
          </w:tcPr>
          <w:p w14:paraId="05D3E04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新旧连接处</w:t>
            </w:r>
          </w:p>
        </w:tc>
        <w:tc>
          <w:tcPr>
            <w:tcW w:w="6840" w:type="dxa"/>
            <w:tcBorders>
              <w:top w:val="single" w:color="auto" w:sz="6" w:space="0"/>
              <w:left w:val="single" w:color="auto" w:sz="8" w:space="0"/>
              <w:bottom w:val="single" w:color="auto" w:sz="6" w:space="0"/>
              <w:right w:val="single" w:color="auto" w:sz="8" w:space="0"/>
            </w:tcBorders>
            <w:noWrap w:val="0"/>
            <w:vAlign w:val="center"/>
          </w:tcPr>
          <w:p w14:paraId="0ECF770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顺  接</w:t>
            </w:r>
          </w:p>
        </w:tc>
      </w:tr>
      <w:tr w14:paraId="7EFB91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858" w:type="dxa"/>
            <w:tcBorders>
              <w:top w:val="single" w:color="auto" w:sz="6" w:space="0"/>
              <w:left w:val="single" w:color="auto" w:sz="8" w:space="0"/>
              <w:bottom w:val="single" w:color="auto" w:sz="8" w:space="0"/>
              <w:right w:val="single" w:color="auto" w:sz="8" w:space="0"/>
            </w:tcBorders>
            <w:noWrap w:val="0"/>
            <w:vAlign w:val="center"/>
          </w:tcPr>
          <w:p w14:paraId="28822D2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涂装质量</w:t>
            </w:r>
          </w:p>
        </w:tc>
        <w:tc>
          <w:tcPr>
            <w:tcW w:w="6840" w:type="dxa"/>
            <w:tcBorders>
              <w:top w:val="single" w:color="auto" w:sz="6" w:space="0"/>
              <w:left w:val="single" w:color="auto" w:sz="8" w:space="0"/>
              <w:bottom w:val="single" w:color="auto" w:sz="8" w:space="0"/>
              <w:right w:val="single" w:color="auto" w:sz="8" w:space="0"/>
            </w:tcBorders>
            <w:noWrap w:val="0"/>
            <w:vAlign w:val="center"/>
          </w:tcPr>
          <w:p w14:paraId="5A7F6D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按设计要求作防护处理，不漏涂、剥落</w:t>
            </w:r>
          </w:p>
        </w:tc>
      </w:tr>
    </w:tbl>
    <w:p w14:paraId="4A399450">
      <w:pPr>
        <w:bidi w:val="0"/>
        <w:rPr>
          <w:rFonts w:hint="eastAsia"/>
          <w:color w:val="auto"/>
          <w:highlight w:val="none"/>
          <w:lang w:val="en-US" w:eastAsia="zh-CN"/>
        </w:rPr>
      </w:pPr>
    </w:p>
    <w:p w14:paraId="597F71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混凝土栏杆更换质量验收标准</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6"/>
        <w:gridCol w:w="1559"/>
        <w:gridCol w:w="5458"/>
      </w:tblGrid>
      <w:tr w14:paraId="723D81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835" w:type="dxa"/>
            <w:gridSpan w:val="2"/>
            <w:tcBorders>
              <w:top w:val="single" w:color="auto" w:sz="8" w:space="0"/>
              <w:left w:val="single" w:color="auto" w:sz="8" w:space="0"/>
              <w:bottom w:val="single" w:color="auto" w:sz="8" w:space="0"/>
              <w:right w:val="single" w:color="auto" w:sz="8" w:space="0"/>
            </w:tcBorders>
            <w:noWrap w:val="0"/>
            <w:vAlign w:val="center"/>
          </w:tcPr>
          <w:p w14:paraId="4463AF1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5458" w:type="dxa"/>
            <w:tcBorders>
              <w:top w:val="single" w:color="auto" w:sz="8" w:space="0"/>
              <w:left w:val="single" w:color="auto" w:sz="8" w:space="0"/>
              <w:bottom w:val="single" w:color="auto" w:sz="8" w:space="0"/>
              <w:right w:val="single" w:color="auto" w:sz="8" w:space="0"/>
            </w:tcBorders>
            <w:noWrap w:val="0"/>
            <w:vAlign w:val="center"/>
          </w:tcPr>
          <w:p w14:paraId="4A85F4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规定值及允许偏差</w:t>
            </w:r>
          </w:p>
        </w:tc>
      </w:tr>
      <w:tr w14:paraId="4D8DF0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1276" w:type="dxa"/>
            <w:tcBorders>
              <w:top w:val="single" w:color="auto" w:sz="8" w:space="0"/>
              <w:left w:val="single" w:color="auto" w:sz="8" w:space="0"/>
              <w:bottom w:val="single" w:color="auto" w:sz="6" w:space="0"/>
              <w:right w:val="single" w:color="auto" w:sz="6" w:space="0"/>
            </w:tcBorders>
            <w:noWrap w:val="0"/>
            <w:vAlign w:val="center"/>
          </w:tcPr>
          <w:p w14:paraId="0D8D61E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扶手</w:t>
            </w:r>
          </w:p>
        </w:tc>
        <w:tc>
          <w:tcPr>
            <w:tcW w:w="1559" w:type="dxa"/>
            <w:tcBorders>
              <w:top w:val="single" w:color="auto" w:sz="8" w:space="0"/>
              <w:left w:val="single" w:color="auto" w:sz="6" w:space="0"/>
              <w:bottom w:val="single" w:color="auto" w:sz="6" w:space="0"/>
              <w:right w:val="single" w:color="auto" w:sz="8" w:space="0"/>
            </w:tcBorders>
            <w:noWrap w:val="0"/>
            <w:vAlign w:val="center"/>
          </w:tcPr>
          <w:p w14:paraId="5CB4AA8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直顺度</w:t>
            </w:r>
          </w:p>
        </w:tc>
        <w:tc>
          <w:tcPr>
            <w:tcW w:w="5458" w:type="dxa"/>
            <w:tcBorders>
              <w:top w:val="single" w:color="auto" w:sz="8" w:space="0"/>
              <w:left w:val="single" w:color="auto" w:sz="8" w:space="0"/>
              <w:bottom w:val="single" w:color="auto" w:sz="6" w:space="0"/>
              <w:right w:val="single" w:color="auto" w:sz="8" w:space="0"/>
            </w:tcBorders>
            <w:noWrap w:val="0"/>
            <w:vAlign w:val="center"/>
          </w:tcPr>
          <w:p w14:paraId="469F71E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4mm</w:t>
            </w:r>
          </w:p>
        </w:tc>
      </w:tr>
      <w:tr w14:paraId="626BC0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1276" w:type="dxa"/>
            <w:tcBorders>
              <w:top w:val="single" w:color="auto" w:sz="6" w:space="0"/>
              <w:left w:val="single" w:color="auto" w:sz="8" w:space="0"/>
              <w:bottom w:val="single" w:color="auto" w:sz="6" w:space="0"/>
              <w:right w:val="single" w:color="auto" w:sz="6" w:space="0"/>
            </w:tcBorders>
            <w:noWrap w:val="0"/>
            <w:vAlign w:val="center"/>
          </w:tcPr>
          <w:p w14:paraId="7D5B82A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栏杆柱</w:t>
            </w:r>
          </w:p>
        </w:tc>
        <w:tc>
          <w:tcPr>
            <w:tcW w:w="1559" w:type="dxa"/>
            <w:tcBorders>
              <w:top w:val="single" w:color="auto" w:sz="6" w:space="0"/>
              <w:left w:val="single" w:color="auto" w:sz="6" w:space="0"/>
              <w:bottom w:val="single" w:color="auto" w:sz="6" w:space="0"/>
              <w:right w:val="single" w:color="auto" w:sz="8" w:space="0"/>
            </w:tcBorders>
            <w:noWrap w:val="0"/>
            <w:vAlign w:val="center"/>
          </w:tcPr>
          <w:p w14:paraId="59CE951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垂直度</w:t>
            </w:r>
          </w:p>
        </w:tc>
        <w:tc>
          <w:tcPr>
            <w:tcW w:w="5458" w:type="dxa"/>
            <w:tcBorders>
              <w:top w:val="single" w:color="auto" w:sz="6" w:space="0"/>
              <w:left w:val="single" w:color="auto" w:sz="8" w:space="0"/>
              <w:bottom w:val="single" w:color="auto" w:sz="6" w:space="0"/>
              <w:right w:val="single" w:color="auto" w:sz="8" w:space="0"/>
            </w:tcBorders>
            <w:noWrap w:val="0"/>
            <w:vAlign w:val="center"/>
          </w:tcPr>
          <w:p w14:paraId="619FFDF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3mm</w:t>
            </w:r>
          </w:p>
        </w:tc>
      </w:tr>
      <w:tr w14:paraId="5D4292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835" w:type="dxa"/>
            <w:gridSpan w:val="2"/>
            <w:tcBorders>
              <w:top w:val="single" w:color="auto" w:sz="6" w:space="0"/>
              <w:left w:val="single" w:color="auto" w:sz="8" w:space="0"/>
              <w:bottom w:val="single" w:color="auto" w:sz="6" w:space="0"/>
              <w:right w:val="single" w:color="auto" w:sz="8" w:space="0"/>
            </w:tcBorders>
            <w:noWrap w:val="0"/>
            <w:vAlign w:val="center"/>
          </w:tcPr>
          <w:p w14:paraId="62FF6F2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栏杆间距</w:t>
            </w:r>
          </w:p>
        </w:tc>
        <w:tc>
          <w:tcPr>
            <w:tcW w:w="5458" w:type="dxa"/>
            <w:tcBorders>
              <w:top w:val="single" w:color="auto" w:sz="6" w:space="0"/>
              <w:left w:val="single" w:color="auto" w:sz="8" w:space="0"/>
              <w:bottom w:val="single" w:color="auto" w:sz="6" w:space="0"/>
              <w:right w:val="single" w:color="auto" w:sz="8" w:space="0"/>
            </w:tcBorders>
            <w:noWrap w:val="0"/>
            <w:vAlign w:val="center"/>
          </w:tcPr>
          <w:p w14:paraId="5555D94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±3mm</w:t>
            </w:r>
          </w:p>
        </w:tc>
      </w:tr>
      <w:tr w14:paraId="2909B3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1276" w:type="dxa"/>
            <w:tcBorders>
              <w:top w:val="single" w:color="auto" w:sz="6" w:space="0"/>
              <w:left w:val="single" w:color="auto" w:sz="8" w:space="0"/>
              <w:bottom w:val="single" w:color="auto" w:sz="6" w:space="0"/>
              <w:right w:val="single" w:color="auto" w:sz="6" w:space="0"/>
            </w:tcBorders>
            <w:noWrap w:val="0"/>
            <w:vAlign w:val="center"/>
          </w:tcPr>
          <w:p w14:paraId="14D7DD0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相邻栏杆</w:t>
            </w:r>
          </w:p>
        </w:tc>
        <w:tc>
          <w:tcPr>
            <w:tcW w:w="1559" w:type="dxa"/>
            <w:tcBorders>
              <w:top w:val="single" w:color="auto" w:sz="6" w:space="0"/>
              <w:left w:val="single" w:color="auto" w:sz="6" w:space="0"/>
              <w:bottom w:val="single" w:color="auto" w:sz="6" w:space="0"/>
              <w:right w:val="single" w:color="auto" w:sz="8" w:space="0"/>
            </w:tcBorders>
            <w:noWrap w:val="0"/>
            <w:vAlign w:val="center"/>
          </w:tcPr>
          <w:p w14:paraId="33878CE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有柱</w:t>
            </w:r>
          </w:p>
        </w:tc>
        <w:tc>
          <w:tcPr>
            <w:tcW w:w="5458" w:type="dxa"/>
            <w:tcBorders>
              <w:top w:val="single" w:color="auto" w:sz="6" w:space="0"/>
              <w:left w:val="single" w:color="auto" w:sz="8" w:space="0"/>
              <w:bottom w:val="single" w:color="auto" w:sz="6" w:space="0"/>
              <w:right w:val="single" w:color="auto" w:sz="8" w:space="0"/>
            </w:tcBorders>
            <w:noWrap w:val="0"/>
            <w:vAlign w:val="center"/>
          </w:tcPr>
          <w:p w14:paraId="1E146A6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4mm</w:t>
            </w:r>
          </w:p>
        </w:tc>
      </w:tr>
      <w:tr w14:paraId="005C87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1276" w:type="dxa"/>
            <w:tcBorders>
              <w:top w:val="single" w:color="auto" w:sz="6" w:space="0"/>
              <w:left w:val="single" w:color="auto" w:sz="8" w:space="0"/>
              <w:bottom w:val="single" w:color="auto" w:sz="6" w:space="0"/>
              <w:right w:val="single" w:color="auto" w:sz="6" w:space="0"/>
            </w:tcBorders>
            <w:noWrap w:val="0"/>
            <w:vAlign w:val="center"/>
          </w:tcPr>
          <w:p w14:paraId="25B9034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扶手高度</w:t>
            </w:r>
          </w:p>
        </w:tc>
        <w:tc>
          <w:tcPr>
            <w:tcW w:w="1559" w:type="dxa"/>
            <w:tcBorders>
              <w:top w:val="single" w:color="auto" w:sz="6" w:space="0"/>
              <w:left w:val="single" w:color="auto" w:sz="6" w:space="0"/>
              <w:bottom w:val="single" w:color="auto" w:sz="6" w:space="0"/>
              <w:right w:val="single" w:color="auto" w:sz="8" w:space="0"/>
            </w:tcBorders>
            <w:noWrap w:val="0"/>
            <w:vAlign w:val="center"/>
          </w:tcPr>
          <w:p w14:paraId="636B17C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无柱</w:t>
            </w:r>
          </w:p>
        </w:tc>
        <w:tc>
          <w:tcPr>
            <w:tcW w:w="5458" w:type="dxa"/>
            <w:tcBorders>
              <w:top w:val="single" w:color="auto" w:sz="6" w:space="0"/>
              <w:left w:val="single" w:color="auto" w:sz="8" w:space="0"/>
              <w:bottom w:val="single" w:color="auto" w:sz="6" w:space="0"/>
              <w:right w:val="single" w:color="auto" w:sz="8" w:space="0"/>
            </w:tcBorders>
            <w:noWrap w:val="0"/>
            <w:vAlign w:val="center"/>
          </w:tcPr>
          <w:p w14:paraId="42898B5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2mm</w:t>
            </w:r>
          </w:p>
        </w:tc>
      </w:tr>
      <w:tr w14:paraId="26F391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835" w:type="dxa"/>
            <w:gridSpan w:val="2"/>
            <w:tcBorders>
              <w:top w:val="single" w:color="auto" w:sz="6" w:space="0"/>
              <w:left w:val="single" w:color="auto" w:sz="8" w:space="0"/>
              <w:bottom w:val="single" w:color="auto" w:sz="6" w:space="0"/>
              <w:right w:val="single" w:color="auto" w:sz="8" w:space="0"/>
            </w:tcBorders>
            <w:noWrap w:val="0"/>
            <w:vAlign w:val="center"/>
          </w:tcPr>
          <w:p w14:paraId="0E8FC2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栏杆平面偏位</w:t>
            </w:r>
          </w:p>
        </w:tc>
        <w:tc>
          <w:tcPr>
            <w:tcW w:w="5458" w:type="dxa"/>
            <w:tcBorders>
              <w:top w:val="single" w:color="auto" w:sz="6" w:space="0"/>
              <w:left w:val="single" w:color="auto" w:sz="8" w:space="0"/>
              <w:bottom w:val="single" w:color="auto" w:sz="6" w:space="0"/>
              <w:right w:val="single" w:color="auto" w:sz="8" w:space="0"/>
            </w:tcBorders>
            <w:noWrap w:val="0"/>
            <w:vAlign w:val="center"/>
          </w:tcPr>
          <w:p w14:paraId="53439B6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4mm</w:t>
            </w:r>
          </w:p>
        </w:tc>
      </w:tr>
      <w:tr w14:paraId="250648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835" w:type="dxa"/>
            <w:gridSpan w:val="2"/>
            <w:tcBorders>
              <w:top w:val="single" w:color="auto" w:sz="6" w:space="0"/>
              <w:left w:val="single" w:color="auto" w:sz="8" w:space="0"/>
              <w:bottom w:val="single" w:color="auto" w:sz="8" w:space="0"/>
              <w:right w:val="single" w:color="auto" w:sz="8" w:space="0"/>
            </w:tcBorders>
            <w:noWrap w:val="0"/>
            <w:vAlign w:val="center"/>
          </w:tcPr>
          <w:p w14:paraId="3EC71E1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外观质量</w:t>
            </w:r>
          </w:p>
        </w:tc>
        <w:tc>
          <w:tcPr>
            <w:tcW w:w="5458" w:type="dxa"/>
            <w:tcBorders>
              <w:top w:val="single" w:color="auto" w:sz="6" w:space="0"/>
              <w:left w:val="single" w:color="auto" w:sz="8" w:space="0"/>
              <w:bottom w:val="single" w:color="auto" w:sz="8" w:space="0"/>
              <w:right w:val="single" w:color="auto" w:sz="8" w:space="0"/>
            </w:tcBorders>
            <w:noWrap w:val="0"/>
            <w:vAlign w:val="center"/>
          </w:tcPr>
          <w:p w14:paraId="1FEB806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线形顺适，外表美观，不得有明显下垂和拱起</w:t>
            </w:r>
          </w:p>
        </w:tc>
      </w:tr>
    </w:tbl>
    <w:p w14:paraId="0368DF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3.3.6人行道</w:t>
      </w:r>
    </w:p>
    <w:p w14:paraId="7EEBA9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3.3.6.1 桥面上人行道应完好、平整，无松动、缺损等现象。</w:t>
      </w:r>
    </w:p>
    <w:p w14:paraId="5B01EA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3.3.6.2人行道范围内，因临时占用或作业而残留的堆积物、障碍物、埋置物等，应及时清理，保证行人安全通行。</w:t>
      </w:r>
    </w:p>
    <w:p w14:paraId="716BAA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3.3.6.3缘石、栏杆底梁混凝土构件安装的线形应流畅平顺，无孔洞、露筋、蜂窝、麻面、缺棱、掉角等缺陷。</w:t>
      </w:r>
    </w:p>
    <w:p w14:paraId="6F3DA3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3.3.6.4 人行道砌块间嵌缝料散失，应及时嵌缝，保证面层稳固。 </w:t>
      </w:r>
    </w:p>
    <w:p w14:paraId="29B3D5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3.3.7钢筋混凝土及预应力混凝土桥梁</w:t>
      </w:r>
    </w:p>
    <w:p w14:paraId="154465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3.3.7.1钢筋混凝土及预应力混凝土桥梁应进行经常性和周期性养护。</w:t>
      </w:r>
    </w:p>
    <w:p w14:paraId="18DDD1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3.3.7.2桥梁养护维修时，不得擅自在钢筋混凝土、预应力混凝土构件上钻孔打眼及架设其他构件。</w:t>
      </w:r>
    </w:p>
    <w:p w14:paraId="025432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3.3.7.3钢筋混凝土及预应力混凝土桥梁应每年清除表面污垢，梁体污垢宜用清水洗刷，不得使用腐蚀性的化学清洗剂。</w:t>
      </w:r>
    </w:p>
    <w:p w14:paraId="34435D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3.3.7.4 有防腐涂层的桥梁应定期涂装；当涂装层起皮、剥落时，应及时修复。外刷涂料不得封闭裂缝、覆盖检查观测点，影响养护维修；涂刷材料不得影响构件耐久性。</w:t>
      </w:r>
    </w:p>
    <w:p w14:paraId="71D2D5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3.3.7.5梁板日常养护满足下面要求：</w:t>
      </w:r>
    </w:p>
    <w:p w14:paraId="117FFC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梁（板）体发现混凝土的空洞、蜂窝、麻面、表面风化、剥落等现象时，应及时将松散部位清除，再用高强度等级混凝土、水泥砂浆或其他材料进行修补。新补的混凝土应密实，与原结构应结合牢固、表面平整。新补的混凝土应实行养生。</w:t>
      </w:r>
    </w:p>
    <w:p w14:paraId="1F9C40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b梁（板）体发现混凝土剥落、露筋等现象时，应及时清除钢筋锈迹，凿去表面松动的混凝土后进行修补。对损坏面积较大的结构，凿除混凝土后不得明显降低结构的承载力，必要时宜采用分批修补。</w:t>
      </w:r>
    </w:p>
    <w:p w14:paraId="0708F2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c梁（板）体的横纵向连结件开裂、断裂、开焊时，应及时修补。</w:t>
      </w:r>
    </w:p>
    <w:p w14:paraId="64AFB3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d当预应力混凝土构件锚固端的封端混凝土出现裂缝、剥落、渗漏、穿孔、预应力锚具暴露时，应及时对预应力锚具刷防锈漆，重做封端混凝土。  </w:t>
      </w:r>
    </w:p>
    <w:p w14:paraId="6E9443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e预应力构件出现渗漏、穿孔，应采用环氧树脂或聚合物类材料进行有压封堵。</w:t>
      </w:r>
    </w:p>
    <w:p w14:paraId="61A406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 预应力混凝土的箱梁，应保持箱内通风，原结构无通风孔的可选择安全位置钻孔。箱梁底板出现碱迹、水迹时，应检查其内部有无存水；若箱体有水，应查明原因，维修方案经相关部门批准后，方可实施。</w:t>
      </w:r>
    </w:p>
    <w:p w14:paraId="653297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g预应力孔道位置出现碱迹或水迹时，应采用安全的检测方法，确定预应力筋的腐蚀程度，经检测鉴定，预应力损失严重且无法维修的，应予以更换。 </w:t>
      </w:r>
    </w:p>
    <w:p w14:paraId="55210A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3.3.7.6钢筋混凝土及预应力混凝土桥梁应每年进行一次结构裂缝和表面温度裂缝的观察；结构裂缝应重点检查受拉、受剪区域，表面温度裂缝应重点检查构件的较大面。裂缝应根据裂缝类型和构件抗裂等级分别采用不同的方法处理，裂缝最大限值应符合下面的规定。</w:t>
      </w:r>
    </w:p>
    <w:p w14:paraId="36A57D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裂缝限值</w:t>
      </w:r>
    </w:p>
    <w:tbl>
      <w:tblPr>
        <w:tblStyle w:val="48"/>
        <w:tblW w:w="89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520"/>
        <w:gridCol w:w="3292"/>
        <w:gridCol w:w="3088"/>
      </w:tblGrid>
      <w:tr w14:paraId="4AEB45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20" w:type="dxa"/>
            <w:tcBorders>
              <w:top w:val="single" w:color="auto" w:sz="8" w:space="0"/>
              <w:left w:val="single" w:color="auto" w:sz="8" w:space="0"/>
              <w:bottom w:val="single" w:color="auto" w:sz="8" w:space="0"/>
              <w:right w:val="single" w:color="auto" w:sz="8" w:space="0"/>
            </w:tcBorders>
            <w:noWrap w:val="0"/>
            <w:vAlign w:val="center"/>
          </w:tcPr>
          <w:p w14:paraId="25B3A00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 构 类 别</w:t>
            </w:r>
          </w:p>
        </w:tc>
        <w:tc>
          <w:tcPr>
            <w:tcW w:w="3292" w:type="dxa"/>
            <w:tcBorders>
              <w:top w:val="single" w:color="auto" w:sz="8" w:space="0"/>
              <w:left w:val="single" w:color="auto" w:sz="8" w:space="0"/>
              <w:bottom w:val="single" w:color="auto" w:sz="8" w:space="0"/>
              <w:right w:val="single" w:color="auto" w:sz="8" w:space="0"/>
            </w:tcBorders>
            <w:noWrap w:val="0"/>
            <w:vAlign w:val="center"/>
          </w:tcPr>
          <w:p w14:paraId="0C04375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裂 缝 部 位</w:t>
            </w:r>
          </w:p>
        </w:tc>
        <w:tc>
          <w:tcPr>
            <w:tcW w:w="3088" w:type="dxa"/>
            <w:tcBorders>
              <w:top w:val="single" w:color="auto" w:sz="8" w:space="0"/>
              <w:left w:val="single" w:color="auto" w:sz="8" w:space="0"/>
              <w:bottom w:val="single" w:color="auto" w:sz="8" w:space="0"/>
              <w:right w:val="single" w:color="auto" w:sz="8" w:space="0"/>
            </w:tcBorders>
            <w:noWrap w:val="0"/>
            <w:vAlign w:val="center"/>
          </w:tcPr>
          <w:p w14:paraId="54165A7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允许最大裂缝宽度（mm）</w:t>
            </w:r>
          </w:p>
        </w:tc>
      </w:tr>
      <w:tr w14:paraId="4DDBA7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20" w:type="dxa"/>
            <w:vMerge w:val="restart"/>
            <w:tcBorders>
              <w:top w:val="single" w:color="auto" w:sz="8" w:space="0"/>
              <w:left w:val="single" w:color="auto" w:sz="8" w:space="0"/>
              <w:bottom w:val="single" w:color="auto" w:sz="6" w:space="0"/>
              <w:right w:val="single" w:color="auto" w:sz="8" w:space="0"/>
            </w:tcBorders>
            <w:noWrap w:val="0"/>
            <w:vAlign w:val="center"/>
          </w:tcPr>
          <w:p w14:paraId="6EAA4B8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钢筋混凝土构件、精轧螺纹钢筋的预应力混凝土构件</w:t>
            </w:r>
          </w:p>
        </w:tc>
        <w:tc>
          <w:tcPr>
            <w:tcW w:w="3292" w:type="dxa"/>
            <w:tcBorders>
              <w:top w:val="single" w:color="auto" w:sz="8" w:space="0"/>
              <w:left w:val="single" w:color="auto" w:sz="8" w:space="0"/>
              <w:bottom w:val="single" w:color="auto" w:sz="6" w:space="0"/>
              <w:right w:val="single" w:color="auto" w:sz="8" w:space="0"/>
            </w:tcBorders>
            <w:noWrap w:val="0"/>
            <w:vAlign w:val="center"/>
          </w:tcPr>
          <w:p w14:paraId="416A5E1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一般环境</w:t>
            </w:r>
          </w:p>
        </w:tc>
        <w:tc>
          <w:tcPr>
            <w:tcW w:w="3088" w:type="dxa"/>
            <w:tcBorders>
              <w:top w:val="single" w:color="auto" w:sz="8" w:space="0"/>
              <w:left w:val="single" w:color="auto" w:sz="8" w:space="0"/>
              <w:bottom w:val="single" w:color="auto" w:sz="6" w:space="0"/>
              <w:right w:val="single" w:color="auto" w:sz="8" w:space="0"/>
            </w:tcBorders>
            <w:noWrap w:val="0"/>
            <w:vAlign w:val="center"/>
          </w:tcPr>
          <w:p w14:paraId="1708884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0.20</w:t>
            </w:r>
          </w:p>
        </w:tc>
      </w:tr>
      <w:tr w14:paraId="71889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20" w:type="dxa"/>
            <w:vMerge w:val="continue"/>
            <w:tcBorders>
              <w:top w:val="single" w:color="auto" w:sz="8" w:space="0"/>
              <w:left w:val="single" w:color="auto" w:sz="8" w:space="0"/>
              <w:bottom w:val="single" w:color="auto" w:sz="6" w:space="0"/>
              <w:right w:val="single" w:color="auto" w:sz="8" w:space="0"/>
            </w:tcBorders>
            <w:noWrap w:val="0"/>
            <w:vAlign w:val="center"/>
          </w:tcPr>
          <w:p w14:paraId="16F2022B">
            <w:pPr>
              <w:jc w:val="center"/>
              <w:rPr>
                <w:rFonts w:hint="eastAsia" w:ascii="宋体" w:hAnsi="宋体" w:eastAsia="宋体" w:cs="宋体"/>
                <w:color w:val="auto"/>
                <w:sz w:val="21"/>
                <w:szCs w:val="21"/>
                <w:highlight w:val="none"/>
                <w:lang w:val="en-US" w:eastAsia="zh-CN"/>
              </w:rPr>
            </w:pPr>
          </w:p>
        </w:tc>
        <w:tc>
          <w:tcPr>
            <w:tcW w:w="3292" w:type="dxa"/>
            <w:tcBorders>
              <w:top w:val="single" w:color="auto" w:sz="6" w:space="0"/>
              <w:left w:val="single" w:color="auto" w:sz="8" w:space="0"/>
              <w:bottom w:val="single" w:color="auto" w:sz="6" w:space="0"/>
              <w:right w:val="single" w:color="auto" w:sz="8" w:space="0"/>
            </w:tcBorders>
            <w:noWrap w:val="0"/>
            <w:vAlign w:val="center"/>
          </w:tcPr>
          <w:p w14:paraId="7FB48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侵蚀环境</w:t>
            </w:r>
          </w:p>
        </w:tc>
        <w:tc>
          <w:tcPr>
            <w:tcW w:w="3088" w:type="dxa"/>
            <w:tcBorders>
              <w:top w:val="single" w:color="auto" w:sz="6" w:space="0"/>
              <w:left w:val="single" w:color="auto" w:sz="8" w:space="0"/>
              <w:bottom w:val="single" w:color="auto" w:sz="6" w:space="0"/>
              <w:right w:val="single" w:color="auto" w:sz="8" w:space="0"/>
            </w:tcBorders>
            <w:noWrap w:val="0"/>
            <w:vAlign w:val="center"/>
          </w:tcPr>
          <w:p w14:paraId="1B11DCD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0.15</w:t>
            </w:r>
          </w:p>
        </w:tc>
      </w:tr>
      <w:tr w14:paraId="5220FF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20" w:type="dxa"/>
            <w:vMerge w:val="restart"/>
            <w:tcBorders>
              <w:top w:val="single" w:color="auto" w:sz="6" w:space="0"/>
              <w:left w:val="single" w:color="auto" w:sz="8" w:space="0"/>
              <w:bottom w:val="single" w:color="auto" w:sz="8" w:space="0"/>
              <w:right w:val="single" w:color="auto" w:sz="8" w:space="0"/>
            </w:tcBorders>
            <w:noWrap w:val="0"/>
            <w:vAlign w:val="center"/>
          </w:tcPr>
          <w:p w14:paraId="7C99C7D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采用钢丝和钢绞线的预应力混凝土构件</w:t>
            </w:r>
          </w:p>
        </w:tc>
        <w:tc>
          <w:tcPr>
            <w:tcW w:w="3292" w:type="dxa"/>
            <w:tcBorders>
              <w:top w:val="single" w:color="auto" w:sz="6" w:space="0"/>
              <w:left w:val="single" w:color="auto" w:sz="8" w:space="0"/>
              <w:bottom w:val="single" w:color="auto" w:sz="6" w:space="0"/>
              <w:right w:val="single" w:color="auto" w:sz="8" w:space="0"/>
            </w:tcBorders>
            <w:noWrap w:val="0"/>
            <w:vAlign w:val="center"/>
          </w:tcPr>
          <w:p w14:paraId="1E801F8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一般环境</w:t>
            </w:r>
          </w:p>
        </w:tc>
        <w:tc>
          <w:tcPr>
            <w:tcW w:w="3088" w:type="dxa"/>
            <w:tcBorders>
              <w:top w:val="single" w:color="auto" w:sz="6" w:space="0"/>
              <w:left w:val="single" w:color="auto" w:sz="8" w:space="0"/>
              <w:bottom w:val="single" w:color="auto" w:sz="6" w:space="0"/>
              <w:right w:val="single" w:color="auto" w:sz="8" w:space="0"/>
            </w:tcBorders>
            <w:noWrap w:val="0"/>
            <w:vAlign w:val="center"/>
          </w:tcPr>
          <w:p w14:paraId="4BA56F0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0.10</w:t>
            </w:r>
          </w:p>
        </w:tc>
      </w:tr>
      <w:tr w14:paraId="0AF314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520" w:type="dxa"/>
            <w:vMerge w:val="continue"/>
            <w:tcBorders>
              <w:top w:val="single" w:color="auto" w:sz="6" w:space="0"/>
              <w:left w:val="single" w:color="auto" w:sz="8" w:space="0"/>
              <w:bottom w:val="single" w:color="auto" w:sz="8" w:space="0"/>
              <w:right w:val="single" w:color="auto" w:sz="8" w:space="0"/>
            </w:tcBorders>
            <w:noWrap w:val="0"/>
            <w:vAlign w:val="center"/>
          </w:tcPr>
          <w:p w14:paraId="30D60CB3">
            <w:pPr>
              <w:jc w:val="center"/>
              <w:rPr>
                <w:rFonts w:hint="eastAsia" w:ascii="宋体" w:hAnsi="宋体" w:eastAsia="宋体" w:cs="宋体"/>
                <w:color w:val="auto"/>
                <w:sz w:val="21"/>
                <w:szCs w:val="21"/>
                <w:highlight w:val="none"/>
                <w:lang w:val="en-US" w:eastAsia="zh-CN"/>
              </w:rPr>
            </w:pPr>
          </w:p>
        </w:tc>
        <w:tc>
          <w:tcPr>
            <w:tcW w:w="3292" w:type="dxa"/>
            <w:tcBorders>
              <w:top w:val="single" w:color="auto" w:sz="6" w:space="0"/>
              <w:left w:val="single" w:color="auto" w:sz="8" w:space="0"/>
              <w:bottom w:val="single" w:color="auto" w:sz="8" w:space="0"/>
              <w:right w:val="single" w:color="auto" w:sz="8" w:space="0"/>
            </w:tcBorders>
            <w:noWrap w:val="0"/>
            <w:vAlign w:val="center"/>
          </w:tcPr>
          <w:p w14:paraId="2FA76E4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侵蚀环境</w:t>
            </w:r>
          </w:p>
        </w:tc>
        <w:tc>
          <w:tcPr>
            <w:tcW w:w="3088" w:type="dxa"/>
            <w:tcBorders>
              <w:top w:val="single" w:color="auto" w:sz="6" w:space="0"/>
              <w:left w:val="single" w:color="auto" w:sz="8" w:space="0"/>
              <w:bottom w:val="single" w:color="auto" w:sz="8" w:space="0"/>
              <w:right w:val="single" w:color="auto" w:sz="8" w:space="0"/>
            </w:tcBorders>
            <w:noWrap w:val="0"/>
            <w:vAlign w:val="center"/>
          </w:tcPr>
          <w:p w14:paraId="31908F7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不允许</w:t>
            </w:r>
          </w:p>
        </w:tc>
      </w:tr>
    </w:tbl>
    <w:p w14:paraId="4AA26B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091C3F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3.3.8支座</w:t>
      </w:r>
    </w:p>
    <w:p w14:paraId="6B660D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3.3.8.1 支座各部分应保持完整、清洁、有效，无开裂、变硬、老化、变形、剪切位移，破损、锈蚀等缺陷。</w:t>
      </w:r>
    </w:p>
    <w:p w14:paraId="345A79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3.3.8.2应加强对桥梁支座的日常巡视和定期检测，发现病害应查明原因并采取有效措施及时进行维修或更换，使支座保持良好稳定的状况。</w:t>
      </w:r>
    </w:p>
    <w:p w14:paraId="3ED786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3.4.2.3支座应每年检查保养一次，清除支座周围的油污、垃圾，防止积水，保证支座正常工作。</w:t>
      </w:r>
    </w:p>
    <w:p w14:paraId="48EDC0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3.3.8.4 对于需要更换的支座，应根据设计要求或通过设计验算确定新支座的规格、型号。</w:t>
      </w:r>
    </w:p>
    <w:p w14:paraId="4063B6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3.4桥梁下部结构管理</w:t>
      </w:r>
    </w:p>
    <w:p w14:paraId="45BA33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3.4.1桥梁墩、台</w:t>
      </w:r>
    </w:p>
    <w:p w14:paraId="523837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3.4.1.1 桥梁墩、台应定期检查，发现病害应查明原因，并观察其发展趋势采取相应对策及时维修。</w:t>
      </w:r>
    </w:p>
    <w:p w14:paraId="641EC9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3.4.1.2 当墩、台裂缝超过下表（裂缝限值）限值时，应查明原因，根据损坏类型及程度，采取相应的技术措施进行维修处治。</w:t>
      </w:r>
    </w:p>
    <w:p w14:paraId="42B7D3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裂缝限值</w:t>
      </w:r>
    </w:p>
    <w:tbl>
      <w:tblPr>
        <w:tblStyle w:val="48"/>
        <w:tblW w:w="95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3"/>
        <w:gridCol w:w="531"/>
        <w:gridCol w:w="2645"/>
        <w:gridCol w:w="770"/>
        <w:gridCol w:w="2606"/>
        <w:gridCol w:w="1883"/>
      </w:tblGrid>
      <w:tr w14:paraId="3DB1E0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23" w:type="dxa"/>
            <w:tcBorders>
              <w:top w:val="single" w:color="auto" w:sz="8" w:space="0"/>
              <w:left w:val="single" w:color="auto" w:sz="8" w:space="0"/>
              <w:bottom w:val="single" w:color="auto" w:sz="8" w:space="0"/>
              <w:right w:val="single" w:color="auto" w:sz="8" w:space="0"/>
            </w:tcBorders>
            <w:noWrap w:val="0"/>
            <w:vAlign w:val="center"/>
          </w:tcPr>
          <w:p w14:paraId="4458CB3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结构类别</w:t>
            </w:r>
          </w:p>
        </w:tc>
        <w:tc>
          <w:tcPr>
            <w:tcW w:w="3946" w:type="dxa"/>
            <w:gridSpan w:val="3"/>
            <w:tcBorders>
              <w:top w:val="single" w:color="auto" w:sz="8" w:space="0"/>
              <w:left w:val="single" w:color="auto" w:sz="8" w:space="0"/>
              <w:bottom w:val="single" w:color="auto" w:sz="8" w:space="0"/>
              <w:right w:val="single" w:color="auto" w:sz="8" w:space="0"/>
            </w:tcBorders>
            <w:noWrap w:val="0"/>
            <w:vAlign w:val="center"/>
          </w:tcPr>
          <w:p w14:paraId="739E120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裂缝部位</w:t>
            </w:r>
          </w:p>
        </w:tc>
        <w:tc>
          <w:tcPr>
            <w:tcW w:w="2606" w:type="dxa"/>
            <w:tcBorders>
              <w:top w:val="single" w:color="auto" w:sz="8" w:space="0"/>
              <w:left w:val="single" w:color="auto" w:sz="8" w:space="0"/>
              <w:bottom w:val="single" w:color="auto" w:sz="8" w:space="0"/>
              <w:right w:val="single" w:color="auto" w:sz="8" w:space="0"/>
            </w:tcBorders>
            <w:noWrap w:val="0"/>
            <w:vAlign w:val="center"/>
          </w:tcPr>
          <w:p w14:paraId="289F1F6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允许裂缝最大宽度（mm）</w:t>
            </w:r>
          </w:p>
        </w:tc>
        <w:tc>
          <w:tcPr>
            <w:tcW w:w="1883" w:type="dxa"/>
            <w:tcBorders>
              <w:top w:val="single" w:color="auto" w:sz="8" w:space="0"/>
              <w:left w:val="single" w:color="auto" w:sz="8" w:space="0"/>
              <w:bottom w:val="single" w:color="auto" w:sz="8" w:space="0"/>
              <w:right w:val="single" w:color="auto" w:sz="8" w:space="0"/>
            </w:tcBorders>
            <w:noWrap w:val="0"/>
            <w:vAlign w:val="center"/>
          </w:tcPr>
          <w:p w14:paraId="23C742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r>
      <w:tr w14:paraId="26B2B9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23" w:type="dxa"/>
            <w:vMerge w:val="restart"/>
            <w:tcBorders>
              <w:top w:val="single" w:color="auto" w:sz="8" w:space="0"/>
              <w:left w:val="single" w:color="auto" w:sz="8" w:space="0"/>
              <w:bottom w:val="single" w:color="auto" w:sz="8" w:space="0"/>
              <w:right w:val="single" w:color="auto" w:sz="8" w:space="0"/>
            </w:tcBorders>
            <w:noWrap w:val="0"/>
            <w:vAlign w:val="center"/>
          </w:tcPr>
          <w:p w14:paraId="526CE6F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墩台</w:t>
            </w:r>
          </w:p>
        </w:tc>
        <w:tc>
          <w:tcPr>
            <w:tcW w:w="3946" w:type="dxa"/>
            <w:gridSpan w:val="3"/>
            <w:tcBorders>
              <w:top w:val="single" w:color="auto" w:sz="8" w:space="0"/>
              <w:left w:val="single" w:color="auto" w:sz="8" w:space="0"/>
              <w:bottom w:val="single" w:color="auto" w:sz="6" w:space="0"/>
              <w:right w:val="single" w:color="auto" w:sz="8" w:space="0"/>
            </w:tcBorders>
            <w:noWrap w:val="0"/>
            <w:vAlign w:val="center"/>
          </w:tcPr>
          <w:p w14:paraId="19714CD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墩台帽</w:t>
            </w:r>
          </w:p>
        </w:tc>
        <w:tc>
          <w:tcPr>
            <w:tcW w:w="2606" w:type="dxa"/>
            <w:tcBorders>
              <w:top w:val="single" w:color="auto" w:sz="8" w:space="0"/>
              <w:left w:val="single" w:color="auto" w:sz="8" w:space="0"/>
              <w:bottom w:val="single" w:color="auto" w:sz="6" w:space="0"/>
              <w:right w:val="single" w:color="auto" w:sz="8" w:space="0"/>
            </w:tcBorders>
            <w:noWrap w:val="0"/>
            <w:vAlign w:val="center"/>
          </w:tcPr>
          <w:p w14:paraId="12D37CA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0.30</w:t>
            </w:r>
          </w:p>
        </w:tc>
        <w:tc>
          <w:tcPr>
            <w:tcW w:w="1883" w:type="dxa"/>
            <w:vMerge w:val="restart"/>
            <w:tcBorders>
              <w:top w:val="single" w:color="auto" w:sz="8" w:space="0"/>
              <w:left w:val="single" w:color="auto" w:sz="8" w:space="0"/>
              <w:bottom w:val="single" w:color="auto" w:sz="8" w:space="0"/>
              <w:right w:val="single" w:color="auto" w:sz="8" w:space="0"/>
            </w:tcBorders>
            <w:noWrap w:val="0"/>
            <w:vAlign w:val="center"/>
          </w:tcPr>
          <w:p w14:paraId="634DF4D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不允许贯通墩台身</w:t>
            </w:r>
          </w:p>
          <w:p w14:paraId="22661CD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截面的50%</w:t>
            </w:r>
          </w:p>
        </w:tc>
      </w:tr>
      <w:tr w14:paraId="7C8B3E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23" w:type="dxa"/>
            <w:vMerge w:val="continue"/>
            <w:tcBorders>
              <w:top w:val="single" w:color="auto" w:sz="8" w:space="0"/>
              <w:left w:val="single" w:color="auto" w:sz="8" w:space="0"/>
              <w:bottom w:val="single" w:color="auto" w:sz="8" w:space="0"/>
              <w:right w:val="single" w:color="auto" w:sz="8" w:space="0"/>
            </w:tcBorders>
            <w:noWrap w:val="0"/>
            <w:vAlign w:val="center"/>
          </w:tcPr>
          <w:p w14:paraId="7AC573C6">
            <w:pPr>
              <w:jc w:val="center"/>
              <w:rPr>
                <w:rFonts w:hint="eastAsia" w:ascii="宋体" w:hAnsi="宋体" w:eastAsia="宋体" w:cs="宋体"/>
                <w:color w:val="auto"/>
                <w:sz w:val="21"/>
                <w:szCs w:val="21"/>
                <w:highlight w:val="none"/>
                <w:lang w:val="en-US" w:eastAsia="zh-CN"/>
              </w:rPr>
            </w:pPr>
          </w:p>
        </w:tc>
        <w:tc>
          <w:tcPr>
            <w:tcW w:w="531" w:type="dxa"/>
            <w:vMerge w:val="restart"/>
            <w:tcBorders>
              <w:top w:val="single" w:color="auto" w:sz="6" w:space="0"/>
              <w:left w:val="single" w:color="auto" w:sz="8" w:space="0"/>
              <w:bottom w:val="single" w:color="auto" w:sz="6" w:space="0"/>
              <w:right w:val="single" w:color="auto" w:sz="4" w:space="0"/>
            </w:tcBorders>
            <w:noWrap w:val="0"/>
            <w:textDirection w:val="tbRlV"/>
            <w:vAlign w:val="center"/>
          </w:tcPr>
          <w:p w14:paraId="1C5711F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墩台身</w:t>
            </w:r>
          </w:p>
        </w:tc>
        <w:tc>
          <w:tcPr>
            <w:tcW w:w="2645" w:type="dxa"/>
            <w:vMerge w:val="restart"/>
            <w:tcBorders>
              <w:top w:val="single" w:color="auto" w:sz="6" w:space="0"/>
              <w:left w:val="single" w:color="auto" w:sz="4" w:space="0"/>
              <w:bottom w:val="single" w:color="auto" w:sz="6" w:space="0"/>
              <w:right w:val="single" w:color="auto" w:sz="6" w:space="0"/>
            </w:tcBorders>
            <w:noWrap w:val="0"/>
            <w:vAlign w:val="center"/>
          </w:tcPr>
          <w:p w14:paraId="658BA13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经常受侵蚀性环境水影响</w:t>
            </w:r>
          </w:p>
        </w:tc>
        <w:tc>
          <w:tcPr>
            <w:tcW w:w="770" w:type="dxa"/>
            <w:tcBorders>
              <w:top w:val="single" w:color="auto" w:sz="6" w:space="0"/>
              <w:left w:val="single" w:color="auto" w:sz="6" w:space="0"/>
              <w:bottom w:val="single" w:color="auto" w:sz="6" w:space="0"/>
              <w:right w:val="single" w:color="auto" w:sz="4" w:space="0"/>
            </w:tcBorders>
            <w:noWrap w:val="0"/>
            <w:vAlign w:val="center"/>
          </w:tcPr>
          <w:p w14:paraId="20833DC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有筋</w:t>
            </w:r>
          </w:p>
        </w:tc>
        <w:tc>
          <w:tcPr>
            <w:tcW w:w="2606" w:type="dxa"/>
            <w:tcBorders>
              <w:top w:val="single" w:color="auto" w:sz="6" w:space="0"/>
              <w:left w:val="single" w:color="auto" w:sz="4" w:space="0"/>
              <w:bottom w:val="single" w:color="auto" w:sz="6" w:space="0"/>
              <w:right w:val="single" w:color="auto" w:sz="8" w:space="0"/>
            </w:tcBorders>
            <w:noWrap w:val="0"/>
            <w:vAlign w:val="center"/>
          </w:tcPr>
          <w:p w14:paraId="6E795B8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0.20</w:t>
            </w:r>
          </w:p>
        </w:tc>
        <w:tc>
          <w:tcPr>
            <w:tcW w:w="1883" w:type="dxa"/>
            <w:vMerge w:val="continue"/>
            <w:tcBorders>
              <w:top w:val="single" w:color="auto" w:sz="8" w:space="0"/>
              <w:left w:val="single" w:color="auto" w:sz="8" w:space="0"/>
              <w:bottom w:val="single" w:color="auto" w:sz="8" w:space="0"/>
              <w:right w:val="single" w:color="auto" w:sz="8" w:space="0"/>
            </w:tcBorders>
            <w:noWrap w:val="0"/>
            <w:vAlign w:val="center"/>
          </w:tcPr>
          <w:p w14:paraId="2302D5A5">
            <w:pPr>
              <w:jc w:val="center"/>
              <w:rPr>
                <w:rFonts w:hint="eastAsia" w:ascii="宋体" w:hAnsi="宋体" w:eastAsia="宋体" w:cs="宋体"/>
                <w:color w:val="auto"/>
                <w:sz w:val="21"/>
                <w:szCs w:val="21"/>
                <w:highlight w:val="none"/>
                <w:lang w:val="en-US" w:eastAsia="zh-CN"/>
              </w:rPr>
            </w:pPr>
          </w:p>
        </w:tc>
      </w:tr>
      <w:tr w14:paraId="6868A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23" w:type="dxa"/>
            <w:vMerge w:val="continue"/>
            <w:tcBorders>
              <w:top w:val="single" w:color="auto" w:sz="8" w:space="0"/>
              <w:left w:val="single" w:color="auto" w:sz="8" w:space="0"/>
              <w:bottom w:val="single" w:color="auto" w:sz="8" w:space="0"/>
              <w:right w:val="single" w:color="auto" w:sz="8" w:space="0"/>
            </w:tcBorders>
            <w:noWrap w:val="0"/>
            <w:vAlign w:val="center"/>
          </w:tcPr>
          <w:p w14:paraId="76734AB2">
            <w:pPr>
              <w:jc w:val="center"/>
              <w:rPr>
                <w:rFonts w:hint="eastAsia" w:ascii="宋体" w:hAnsi="宋体" w:eastAsia="宋体" w:cs="宋体"/>
                <w:color w:val="auto"/>
                <w:sz w:val="21"/>
                <w:szCs w:val="21"/>
                <w:highlight w:val="none"/>
                <w:lang w:val="en-US" w:eastAsia="zh-CN"/>
              </w:rPr>
            </w:pPr>
          </w:p>
        </w:tc>
        <w:tc>
          <w:tcPr>
            <w:tcW w:w="531" w:type="dxa"/>
            <w:vMerge w:val="continue"/>
            <w:tcBorders>
              <w:top w:val="single" w:color="auto" w:sz="6" w:space="0"/>
              <w:left w:val="single" w:color="auto" w:sz="8" w:space="0"/>
              <w:bottom w:val="single" w:color="auto" w:sz="6" w:space="0"/>
              <w:right w:val="single" w:color="auto" w:sz="4" w:space="0"/>
            </w:tcBorders>
            <w:noWrap w:val="0"/>
            <w:vAlign w:val="center"/>
          </w:tcPr>
          <w:p w14:paraId="42EE6692">
            <w:pPr>
              <w:jc w:val="center"/>
              <w:rPr>
                <w:rFonts w:hint="eastAsia" w:ascii="宋体" w:hAnsi="宋体" w:eastAsia="宋体" w:cs="宋体"/>
                <w:color w:val="auto"/>
                <w:sz w:val="21"/>
                <w:szCs w:val="21"/>
                <w:highlight w:val="none"/>
                <w:lang w:val="en-US" w:eastAsia="zh-CN"/>
              </w:rPr>
            </w:pPr>
          </w:p>
        </w:tc>
        <w:tc>
          <w:tcPr>
            <w:tcW w:w="2645" w:type="dxa"/>
            <w:vMerge w:val="continue"/>
            <w:tcBorders>
              <w:top w:val="single" w:color="auto" w:sz="6" w:space="0"/>
              <w:left w:val="single" w:color="auto" w:sz="4" w:space="0"/>
              <w:bottom w:val="single" w:color="auto" w:sz="6" w:space="0"/>
              <w:right w:val="single" w:color="auto" w:sz="6" w:space="0"/>
            </w:tcBorders>
            <w:noWrap w:val="0"/>
            <w:vAlign w:val="center"/>
          </w:tcPr>
          <w:p w14:paraId="37003E0F">
            <w:pPr>
              <w:jc w:val="center"/>
              <w:rPr>
                <w:rFonts w:hint="eastAsia" w:ascii="宋体" w:hAnsi="宋体" w:eastAsia="宋体" w:cs="宋体"/>
                <w:color w:val="auto"/>
                <w:sz w:val="21"/>
                <w:szCs w:val="21"/>
                <w:highlight w:val="none"/>
                <w:lang w:val="en-US" w:eastAsia="zh-CN"/>
              </w:rPr>
            </w:pPr>
          </w:p>
        </w:tc>
        <w:tc>
          <w:tcPr>
            <w:tcW w:w="770" w:type="dxa"/>
            <w:tcBorders>
              <w:top w:val="single" w:color="auto" w:sz="6" w:space="0"/>
              <w:left w:val="single" w:color="auto" w:sz="6" w:space="0"/>
              <w:bottom w:val="single" w:color="auto" w:sz="6" w:space="0"/>
              <w:right w:val="single" w:color="auto" w:sz="4" w:space="0"/>
            </w:tcBorders>
            <w:noWrap w:val="0"/>
            <w:vAlign w:val="center"/>
          </w:tcPr>
          <w:p w14:paraId="36F5BCF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无筋</w:t>
            </w:r>
          </w:p>
        </w:tc>
        <w:tc>
          <w:tcPr>
            <w:tcW w:w="2606" w:type="dxa"/>
            <w:tcBorders>
              <w:top w:val="single" w:color="auto" w:sz="6" w:space="0"/>
              <w:left w:val="single" w:color="auto" w:sz="4" w:space="0"/>
              <w:bottom w:val="single" w:color="auto" w:sz="6" w:space="0"/>
              <w:right w:val="single" w:color="auto" w:sz="8" w:space="0"/>
            </w:tcBorders>
            <w:noWrap w:val="0"/>
            <w:vAlign w:val="center"/>
          </w:tcPr>
          <w:p w14:paraId="1AD5DD4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0.30</w:t>
            </w:r>
          </w:p>
        </w:tc>
        <w:tc>
          <w:tcPr>
            <w:tcW w:w="1883" w:type="dxa"/>
            <w:vMerge w:val="continue"/>
            <w:tcBorders>
              <w:top w:val="single" w:color="auto" w:sz="8" w:space="0"/>
              <w:left w:val="single" w:color="auto" w:sz="8" w:space="0"/>
              <w:bottom w:val="single" w:color="auto" w:sz="8" w:space="0"/>
              <w:right w:val="single" w:color="auto" w:sz="8" w:space="0"/>
            </w:tcBorders>
            <w:noWrap w:val="0"/>
            <w:vAlign w:val="center"/>
          </w:tcPr>
          <w:p w14:paraId="4D980F6E">
            <w:pPr>
              <w:jc w:val="center"/>
              <w:rPr>
                <w:rFonts w:hint="eastAsia" w:ascii="宋体" w:hAnsi="宋体" w:eastAsia="宋体" w:cs="宋体"/>
                <w:color w:val="auto"/>
                <w:sz w:val="21"/>
                <w:szCs w:val="21"/>
                <w:highlight w:val="none"/>
                <w:lang w:val="en-US" w:eastAsia="zh-CN"/>
              </w:rPr>
            </w:pPr>
          </w:p>
        </w:tc>
      </w:tr>
      <w:tr w14:paraId="3A41CD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23" w:type="dxa"/>
            <w:vMerge w:val="continue"/>
            <w:tcBorders>
              <w:top w:val="single" w:color="auto" w:sz="8" w:space="0"/>
              <w:left w:val="single" w:color="auto" w:sz="8" w:space="0"/>
              <w:bottom w:val="single" w:color="auto" w:sz="8" w:space="0"/>
              <w:right w:val="single" w:color="auto" w:sz="8" w:space="0"/>
            </w:tcBorders>
            <w:noWrap w:val="0"/>
            <w:vAlign w:val="center"/>
          </w:tcPr>
          <w:p w14:paraId="035C81C1">
            <w:pPr>
              <w:jc w:val="center"/>
              <w:rPr>
                <w:rFonts w:hint="eastAsia" w:ascii="宋体" w:hAnsi="宋体" w:eastAsia="宋体" w:cs="宋体"/>
                <w:color w:val="auto"/>
                <w:sz w:val="21"/>
                <w:szCs w:val="21"/>
                <w:highlight w:val="none"/>
                <w:lang w:val="en-US" w:eastAsia="zh-CN"/>
              </w:rPr>
            </w:pPr>
          </w:p>
        </w:tc>
        <w:tc>
          <w:tcPr>
            <w:tcW w:w="531" w:type="dxa"/>
            <w:vMerge w:val="continue"/>
            <w:tcBorders>
              <w:top w:val="single" w:color="auto" w:sz="6" w:space="0"/>
              <w:left w:val="single" w:color="auto" w:sz="8" w:space="0"/>
              <w:bottom w:val="single" w:color="auto" w:sz="6" w:space="0"/>
              <w:right w:val="single" w:color="auto" w:sz="4" w:space="0"/>
            </w:tcBorders>
            <w:noWrap w:val="0"/>
            <w:vAlign w:val="center"/>
          </w:tcPr>
          <w:p w14:paraId="7ED58944">
            <w:pPr>
              <w:jc w:val="center"/>
              <w:rPr>
                <w:rFonts w:hint="eastAsia" w:ascii="宋体" w:hAnsi="宋体" w:eastAsia="宋体" w:cs="宋体"/>
                <w:color w:val="auto"/>
                <w:sz w:val="21"/>
                <w:szCs w:val="21"/>
                <w:highlight w:val="none"/>
                <w:lang w:val="en-US" w:eastAsia="zh-CN"/>
              </w:rPr>
            </w:pPr>
          </w:p>
        </w:tc>
        <w:tc>
          <w:tcPr>
            <w:tcW w:w="2645" w:type="dxa"/>
            <w:vMerge w:val="restart"/>
            <w:tcBorders>
              <w:top w:val="single" w:color="auto" w:sz="6" w:space="0"/>
              <w:left w:val="single" w:color="auto" w:sz="4" w:space="0"/>
              <w:bottom w:val="single" w:color="auto" w:sz="6" w:space="0"/>
              <w:right w:val="single" w:color="auto" w:sz="6" w:space="0"/>
            </w:tcBorders>
            <w:noWrap w:val="0"/>
            <w:vAlign w:val="center"/>
          </w:tcPr>
          <w:p w14:paraId="37AA2B6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常年有水，但无侵蚀性影响</w:t>
            </w:r>
          </w:p>
        </w:tc>
        <w:tc>
          <w:tcPr>
            <w:tcW w:w="770" w:type="dxa"/>
            <w:tcBorders>
              <w:top w:val="single" w:color="auto" w:sz="6" w:space="0"/>
              <w:left w:val="single" w:color="auto" w:sz="6" w:space="0"/>
              <w:bottom w:val="single" w:color="auto" w:sz="6" w:space="0"/>
              <w:right w:val="single" w:color="auto" w:sz="8" w:space="0"/>
            </w:tcBorders>
            <w:noWrap w:val="0"/>
            <w:vAlign w:val="center"/>
          </w:tcPr>
          <w:p w14:paraId="0E5AC43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有筋</w:t>
            </w:r>
          </w:p>
        </w:tc>
        <w:tc>
          <w:tcPr>
            <w:tcW w:w="2606" w:type="dxa"/>
            <w:tcBorders>
              <w:top w:val="single" w:color="auto" w:sz="6" w:space="0"/>
              <w:left w:val="single" w:color="auto" w:sz="8" w:space="0"/>
              <w:bottom w:val="single" w:color="auto" w:sz="6" w:space="0"/>
              <w:right w:val="single" w:color="auto" w:sz="8" w:space="0"/>
            </w:tcBorders>
            <w:noWrap w:val="0"/>
            <w:vAlign w:val="center"/>
          </w:tcPr>
          <w:p w14:paraId="50489B4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0.25</w:t>
            </w:r>
          </w:p>
        </w:tc>
        <w:tc>
          <w:tcPr>
            <w:tcW w:w="1883" w:type="dxa"/>
            <w:vMerge w:val="continue"/>
            <w:tcBorders>
              <w:top w:val="single" w:color="auto" w:sz="8" w:space="0"/>
              <w:left w:val="single" w:color="auto" w:sz="8" w:space="0"/>
              <w:bottom w:val="single" w:color="auto" w:sz="8" w:space="0"/>
              <w:right w:val="single" w:color="auto" w:sz="8" w:space="0"/>
            </w:tcBorders>
            <w:noWrap w:val="0"/>
            <w:vAlign w:val="center"/>
          </w:tcPr>
          <w:p w14:paraId="2428B870">
            <w:pPr>
              <w:jc w:val="center"/>
              <w:rPr>
                <w:rFonts w:hint="eastAsia" w:ascii="宋体" w:hAnsi="宋体" w:eastAsia="宋体" w:cs="宋体"/>
                <w:color w:val="auto"/>
                <w:sz w:val="21"/>
                <w:szCs w:val="21"/>
                <w:highlight w:val="none"/>
                <w:lang w:val="en-US" w:eastAsia="zh-CN"/>
              </w:rPr>
            </w:pPr>
          </w:p>
        </w:tc>
      </w:tr>
      <w:tr w14:paraId="60723E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23" w:type="dxa"/>
            <w:vMerge w:val="continue"/>
            <w:tcBorders>
              <w:top w:val="single" w:color="auto" w:sz="8" w:space="0"/>
              <w:left w:val="single" w:color="auto" w:sz="8" w:space="0"/>
              <w:bottom w:val="single" w:color="auto" w:sz="8" w:space="0"/>
              <w:right w:val="single" w:color="auto" w:sz="8" w:space="0"/>
            </w:tcBorders>
            <w:noWrap w:val="0"/>
            <w:vAlign w:val="center"/>
          </w:tcPr>
          <w:p w14:paraId="200464FF">
            <w:pPr>
              <w:jc w:val="center"/>
              <w:rPr>
                <w:rFonts w:hint="eastAsia" w:ascii="宋体" w:hAnsi="宋体" w:eastAsia="宋体" w:cs="宋体"/>
                <w:color w:val="auto"/>
                <w:sz w:val="21"/>
                <w:szCs w:val="21"/>
                <w:highlight w:val="none"/>
                <w:lang w:val="en-US" w:eastAsia="zh-CN"/>
              </w:rPr>
            </w:pPr>
          </w:p>
        </w:tc>
        <w:tc>
          <w:tcPr>
            <w:tcW w:w="531" w:type="dxa"/>
            <w:vMerge w:val="continue"/>
            <w:tcBorders>
              <w:top w:val="single" w:color="auto" w:sz="6" w:space="0"/>
              <w:left w:val="single" w:color="auto" w:sz="8" w:space="0"/>
              <w:bottom w:val="single" w:color="auto" w:sz="6" w:space="0"/>
              <w:right w:val="single" w:color="auto" w:sz="4" w:space="0"/>
            </w:tcBorders>
            <w:noWrap w:val="0"/>
            <w:vAlign w:val="center"/>
          </w:tcPr>
          <w:p w14:paraId="61FDFF6F">
            <w:pPr>
              <w:jc w:val="center"/>
              <w:rPr>
                <w:rFonts w:hint="eastAsia" w:ascii="宋体" w:hAnsi="宋体" w:eastAsia="宋体" w:cs="宋体"/>
                <w:color w:val="auto"/>
                <w:sz w:val="21"/>
                <w:szCs w:val="21"/>
                <w:highlight w:val="none"/>
                <w:lang w:val="en-US" w:eastAsia="zh-CN"/>
              </w:rPr>
            </w:pPr>
          </w:p>
        </w:tc>
        <w:tc>
          <w:tcPr>
            <w:tcW w:w="2645" w:type="dxa"/>
            <w:vMerge w:val="continue"/>
            <w:tcBorders>
              <w:top w:val="single" w:color="auto" w:sz="6" w:space="0"/>
              <w:left w:val="single" w:color="auto" w:sz="4" w:space="0"/>
              <w:bottom w:val="single" w:color="auto" w:sz="6" w:space="0"/>
              <w:right w:val="single" w:color="auto" w:sz="6" w:space="0"/>
            </w:tcBorders>
            <w:noWrap w:val="0"/>
            <w:vAlign w:val="center"/>
          </w:tcPr>
          <w:p w14:paraId="03C3257B">
            <w:pPr>
              <w:jc w:val="center"/>
              <w:rPr>
                <w:rFonts w:hint="eastAsia" w:ascii="宋体" w:hAnsi="宋体" w:eastAsia="宋体" w:cs="宋体"/>
                <w:color w:val="auto"/>
                <w:sz w:val="21"/>
                <w:szCs w:val="21"/>
                <w:highlight w:val="none"/>
                <w:lang w:val="en-US" w:eastAsia="zh-CN"/>
              </w:rPr>
            </w:pPr>
          </w:p>
        </w:tc>
        <w:tc>
          <w:tcPr>
            <w:tcW w:w="770" w:type="dxa"/>
            <w:tcBorders>
              <w:top w:val="single" w:color="auto" w:sz="6" w:space="0"/>
              <w:left w:val="single" w:color="auto" w:sz="6" w:space="0"/>
              <w:bottom w:val="single" w:color="auto" w:sz="6" w:space="0"/>
              <w:right w:val="single" w:color="auto" w:sz="8" w:space="0"/>
            </w:tcBorders>
            <w:noWrap w:val="0"/>
            <w:vAlign w:val="center"/>
          </w:tcPr>
          <w:p w14:paraId="3AB0B94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无筋</w:t>
            </w:r>
          </w:p>
        </w:tc>
        <w:tc>
          <w:tcPr>
            <w:tcW w:w="2606" w:type="dxa"/>
            <w:tcBorders>
              <w:top w:val="single" w:color="auto" w:sz="6" w:space="0"/>
              <w:left w:val="single" w:color="auto" w:sz="8" w:space="0"/>
              <w:bottom w:val="single" w:color="auto" w:sz="6" w:space="0"/>
              <w:right w:val="single" w:color="auto" w:sz="8" w:space="0"/>
            </w:tcBorders>
            <w:noWrap w:val="0"/>
            <w:vAlign w:val="center"/>
          </w:tcPr>
          <w:p w14:paraId="72EEE2F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0.35</w:t>
            </w:r>
          </w:p>
        </w:tc>
        <w:tc>
          <w:tcPr>
            <w:tcW w:w="1883" w:type="dxa"/>
            <w:vMerge w:val="continue"/>
            <w:tcBorders>
              <w:top w:val="single" w:color="auto" w:sz="8" w:space="0"/>
              <w:left w:val="single" w:color="auto" w:sz="8" w:space="0"/>
              <w:bottom w:val="single" w:color="auto" w:sz="8" w:space="0"/>
              <w:right w:val="single" w:color="auto" w:sz="8" w:space="0"/>
            </w:tcBorders>
            <w:noWrap w:val="0"/>
            <w:vAlign w:val="center"/>
          </w:tcPr>
          <w:p w14:paraId="00A29265">
            <w:pPr>
              <w:jc w:val="center"/>
              <w:rPr>
                <w:rFonts w:hint="eastAsia" w:ascii="宋体" w:hAnsi="宋体" w:eastAsia="宋体" w:cs="宋体"/>
                <w:color w:val="auto"/>
                <w:sz w:val="21"/>
                <w:szCs w:val="21"/>
                <w:highlight w:val="none"/>
                <w:lang w:val="en-US" w:eastAsia="zh-CN"/>
              </w:rPr>
            </w:pPr>
          </w:p>
        </w:tc>
      </w:tr>
      <w:tr w14:paraId="423258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1123" w:type="dxa"/>
            <w:vMerge w:val="continue"/>
            <w:tcBorders>
              <w:top w:val="single" w:color="auto" w:sz="8" w:space="0"/>
              <w:left w:val="single" w:color="auto" w:sz="8" w:space="0"/>
              <w:bottom w:val="single" w:color="auto" w:sz="8" w:space="0"/>
              <w:right w:val="single" w:color="auto" w:sz="8" w:space="0"/>
            </w:tcBorders>
            <w:noWrap w:val="0"/>
            <w:vAlign w:val="center"/>
          </w:tcPr>
          <w:p w14:paraId="7C2F88F0">
            <w:pPr>
              <w:jc w:val="center"/>
              <w:rPr>
                <w:rFonts w:hint="eastAsia" w:ascii="宋体" w:hAnsi="宋体" w:eastAsia="宋体" w:cs="宋体"/>
                <w:color w:val="auto"/>
                <w:sz w:val="21"/>
                <w:szCs w:val="21"/>
                <w:highlight w:val="none"/>
                <w:lang w:val="en-US" w:eastAsia="zh-CN"/>
              </w:rPr>
            </w:pPr>
          </w:p>
        </w:tc>
        <w:tc>
          <w:tcPr>
            <w:tcW w:w="531" w:type="dxa"/>
            <w:vMerge w:val="continue"/>
            <w:tcBorders>
              <w:top w:val="single" w:color="auto" w:sz="6" w:space="0"/>
              <w:left w:val="single" w:color="auto" w:sz="8" w:space="0"/>
              <w:bottom w:val="single" w:color="auto" w:sz="6" w:space="0"/>
              <w:right w:val="single" w:color="auto" w:sz="4" w:space="0"/>
            </w:tcBorders>
            <w:noWrap w:val="0"/>
            <w:vAlign w:val="center"/>
          </w:tcPr>
          <w:p w14:paraId="3E5A399F">
            <w:pPr>
              <w:jc w:val="center"/>
              <w:rPr>
                <w:rFonts w:hint="eastAsia" w:ascii="宋体" w:hAnsi="宋体" w:eastAsia="宋体" w:cs="宋体"/>
                <w:color w:val="auto"/>
                <w:sz w:val="21"/>
                <w:szCs w:val="21"/>
                <w:highlight w:val="none"/>
                <w:lang w:val="en-US" w:eastAsia="zh-CN"/>
              </w:rPr>
            </w:pPr>
          </w:p>
        </w:tc>
        <w:tc>
          <w:tcPr>
            <w:tcW w:w="3415" w:type="dxa"/>
            <w:gridSpan w:val="2"/>
            <w:tcBorders>
              <w:top w:val="single" w:color="auto" w:sz="6" w:space="0"/>
              <w:left w:val="single" w:color="auto" w:sz="4" w:space="0"/>
              <w:bottom w:val="single" w:color="auto" w:sz="6" w:space="0"/>
              <w:right w:val="single" w:color="auto" w:sz="8" w:space="0"/>
            </w:tcBorders>
            <w:noWrap w:val="0"/>
            <w:vAlign w:val="center"/>
          </w:tcPr>
          <w:p w14:paraId="6F708D5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干沟或季节性有水河流</w:t>
            </w:r>
          </w:p>
        </w:tc>
        <w:tc>
          <w:tcPr>
            <w:tcW w:w="2606" w:type="dxa"/>
            <w:tcBorders>
              <w:top w:val="single" w:color="auto" w:sz="6" w:space="0"/>
              <w:left w:val="single" w:color="auto" w:sz="8" w:space="0"/>
              <w:bottom w:val="single" w:color="auto" w:sz="6" w:space="0"/>
              <w:right w:val="single" w:color="auto" w:sz="8" w:space="0"/>
            </w:tcBorders>
            <w:noWrap w:val="0"/>
            <w:vAlign w:val="center"/>
          </w:tcPr>
          <w:p w14:paraId="0303900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0.40</w:t>
            </w:r>
          </w:p>
        </w:tc>
        <w:tc>
          <w:tcPr>
            <w:tcW w:w="1883" w:type="dxa"/>
            <w:vMerge w:val="continue"/>
            <w:tcBorders>
              <w:top w:val="single" w:color="auto" w:sz="8" w:space="0"/>
              <w:left w:val="single" w:color="auto" w:sz="8" w:space="0"/>
              <w:bottom w:val="single" w:color="auto" w:sz="8" w:space="0"/>
              <w:right w:val="single" w:color="auto" w:sz="8" w:space="0"/>
            </w:tcBorders>
            <w:noWrap w:val="0"/>
            <w:vAlign w:val="center"/>
          </w:tcPr>
          <w:p w14:paraId="4F44150A">
            <w:pPr>
              <w:jc w:val="center"/>
              <w:rPr>
                <w:rFonts w:hint="eastAsia" w:ascii="宋体" w:hAnsi="宋体" w:eastAsia="宋体" w:cs="宋体"/>
                <w:color w:val="auto"/>
                <w:sz w:val="21"/>
                <w:szCs w:val="21"/>
                <w:highlight w:val="none"/>
                <w:lang w:val="en-US" w:eastAsia="zh-CN"/>
              </w:rPr>
            </w:pPr>
          </w:p>
        </w:tc>
      </w:tr>
      <w:tr w14:paraId="442F33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atLeast"/>
          <w:jc w:val="center"/>
        </w:trPr>
        <w:tc>
          <w:tcPr>
            <w:tcW w:w="1123" w:type="dxa"/>
            <w:vMerge w:val="continue"/>
            <w:tcBorders>
              <w:top w:val="single" w:color="auto" w:sz="8" w:space="0"/>
              <w:left w:val="single" w:color="auto" w:sz="8" w:space="0"/>
              <w:bottom w:val="single" w:color="auto" w:sz="8" w:space="0"/>
              <w:right w:val="single" w:color="auto" w:sz="8" w:space="0"/>
            </w:tcBorders>
            <w:noWrap w:val="0"/>
            <w:vAlign w:val="center"/>
          </w:tcPr>
          <w:p w14:paraId="729CD823">
            <w:pPr>
              <w:jc w:val="center"/>
              <w:rPr>
                <w:rFonts w:hint="eastAsia" w:ascii="宋体" w:hAnsi="宋体" w:eastAsia="宋体" w:cs="宋体"/>
                <w:color w:val="auto"/>
                <w:sz w:val="21"/>
                <w:szCs w:val="21"/>
                <w:highlight w:val="none"/>
                <w:lang w:val="en-US" w:eastAsia="zh-CN"/>
              </w:rPr>
            </w:pPr>
          </w:p>
        </w:tc>
        <w:tc>
          <w:tcPr>
            <w:tcW w:w="3946" w:type="dxa"/>
            <w:gridSpan w:val="3"/>
            <w:tcBorders>
              <w:top w:val="single" w:color="auto" w:sz="6" w:space="0"/>
              <w:left w:val="single" w:color="auto" w:sz="8" w:space="0"/>
              <w:bottom w:val="single" w:color="auto" w:sz="8" w:space="0"/>
              <w:right w:val="single" w:color="auto" w:sz="8" w:space="0"/>
            </w:tcBorders>
            <w:noWrap w:val="0"/>
            <w:vAlign w:val="center"/>
          </w:tcPr>
          <w:p w14:paraId="05B8473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有冻结作用部分</w:t>
            </w:r>
          </w:p>
        </w:tc>
        <w:tc>
          <w:tcPr>
            <w:tcW w:w="2606" w:type="dxa"/>
            <w:tcBorders>
              <w:top w:val="single" w:color="auto" w:sz="6" w:space="0"/>
              <w:left w:val="single" w:color="auto" w:sz="8" w:space="0"/>
              <w:bottom w:val="single" w:color="auto" w:sz="8" w:space="0"/>
              <w:right w:val="single" w:color="auto" w:sz="8" w:space="0"/>
            </w:tcBorders>
            <w:noWrap w:val="0"/>
            <w:vAlign w:val="center"/>
          </w:tcPr>
          <w:p w14:paraId="4EDA335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0.20</w:t>
            </w:r>
          </w:p>
        </w:tc>
        <w:tc>
          <w:tcPr>
            <w:tcW w:w="1883" w:type="dxa"/>
            <w:vMerge w:val="continue"/>
            <w:tcBorders>
              <w:top w:val="single" w:color="auto" w:sz="8" w:space="0"/>
              <w:left w:val="single" w:color="auto" w:sz="8" w:space="0"/>
              <w:bottom w:val="single" w:color="auto" w:sz="8" w:space="0"/>
              <w:right w:val="single" w:color="auto" w:sz="8" w:space="0"/>
            </w:tcBorders>
            <w:noWrap w:val="0"/>
            <w:vAlign w:val="center"/>
          </w:tcPr>
          <w:p w14:paraId="1A7220ED">
            <w:pPr>
              <w:jc w:val="center"/>
              <w:rPr>
                <w:rFonts w:hint="eastAsia" w:ascii="宋体" w:hAnsi="宋体" w:eastAsia="宋体" w:cs="宋体"/>
                <w:color w:val="auto"/>
                <w:sz w:val="21"/>
                <w:szCs w:val="21"/>
                <w:highlight w:val="none"/>
                <w:lang w:val="en-US" w:eastAsia="zh-CN"/>
              </w:rPr>
            </w:pPr>
          </w:p>
        </w:tc>
      </w:tr>
    </w:tbl>
    <w:p w14:paraId="093D9D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3.4.1.3 桩或墩台的结构强度不足或桩柱碰撞损坏时，应查明原因，进行加固处理。</w:t>
      </w:r>
    </w:p>
    <w:p w14:paraId="6D2E95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3.4.1.4 墩、台应保持清洁、完好，及时清除其表面的青苔、杂草、积土和污秽。</w:t>
      </w:r>
    </w:p>
    <w:p w14:paraId="26A320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3.4.1.5 墩、台应保持结构安全。当混凝土表面发生侵蚀剥落、蜂窝麻面等病害时，应及时将其周围凿毛洗净，用水泥砂浆抹平。不易用水泥砂浆补牢的，可采用环氧树脂或其他聚合物类材料等性能较好的材料修补。</w:t>
      </w:r>
    </w:p>
    <w:p w14:paraId="11268F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3.4.1.6 对设置的防撞、警示等附属设施应经常维护，保持良好的状态。</w:t>
      </w:r>
    </w:p>
    <w:p w14:paraId="028D9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3.4.1.7 锥坡应保持完好，无开裂、沉陷。</w:t>
      </w:r>
    </w:p>
    <w:p w14:paraId="632641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3.4.1.8 翼墙出现下沉、断裂或其他损坏时，应及时维修加固。</w:t>
      </w:r>
    </w:p>
    <w:p w14:paraId="594720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3.4.2基础</w:t>
      </w:r>
    </w:p>
    <w:p w14:paraId="743FF9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3.4.2.1桥梁的基础及地基应完整、稳定，发生水毁、冲空时应立即进行维修加固。</w:t>
      </w:r>
    </w:p>
    <w:p w14:paraId="3FEBA7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3.4.2.2桩基顶段在水位涨落、干湿交替变化出现冲刷磨损、颈缩、露筋，或环状冻裂，或受到污水、碱水的腐蚀，应及时修复。</w:t>
      </w:r>
    </w:p>
    <w:p w14:paraId="67B7C6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3.4.2.3跨河桥梁上下游50~500m范围内的河床应稳定，并随时清理河床上的漂浮物和沉积物。不得在河床内建构筑物和挖砂、取土、采石、倾倒废弃物。</w:t>
      </w:r>
    </w:p>
    <w:p w14:paraId="548A01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3.4.2.4若基础冲刷过深或基底局部掏空，应立即抛填块石、片石、铅丝石笼等进行维护。</w:t>
      </w:r>
    </w:p>
    <w:p w14:paraId="2BE306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3.4.2.5简支梁桥墩台基础的沉降和位移，超过以下容许限值或裂缝持续发展时，应采取相应措施予以加固： a墩台均匀总沉降值（不包括施工中的沉降）：20</w:t>
      </w:r>
      <w:r>
        <w:rPr>
          <w:rFonts w:hint="eastAsia" w:ascii="宋体" w:hAnsi="宋体" w:eastAsia="宋体" w:cs="宋体"/>
          <w:color w:val="auto"/>
          <w:sz w:val="21"/>
          <w:szCs w:val="21"/>
          <w:highlight w:val="none"/>
          <w:lang w:val="en-US" w:eastAsia="zh-CN"/>
        </w:rPr>
        <w:object>
          <v:shape id="_x0000_i1028" o:spt="75" type="#_x0000_t75" style="height:17.25pt;width:20.25pt;" o:ole="t" filled="f" o:preferrelative="t" stroked="f" coordsize="21600,21600">
            <v:path/>
            <v:fill on="f" focussize="0,0"/>
            <v:stroke on="f"/>
            <v:imagedata r:id="rId25" o:title=""/>
            <o:lock v:ext="edit" grouping="f" rotation="f" text="f" aspectratio="t"/>
            <w10:wrap type="none"/>
            <w10:anchorlock/>
          </v:shape>
          <o:OLEObject Type="Embed" ProgID="Equation.DSMT4" ShapeID="_x0000_i1028" DrawAspect="Content" ObjectID="_1468075728" r:id="rId28">
            <o:LockedField>false</o:LockedField>
          </o:OLEObject>
        </w:object>
      </w:r>
      <w:r>
        <w:rPr>
          <w:rFonts w:hint="eastAsia" w:ascii="宋体" w:hAnsi="宋体" w:eastAsia="宋体" w:cs="宋体"/>
          <w:color w:val="auto"/>
          <w:sz w:val="21"/>
          <w:szCs w:val="21"/>
          <w:highlight w:val="none"/>
          <w:lang w:val="en-US" w:eastAsia="zh-CN"/>
        </w:rPr>
        <w:t>(mm)。 b相邻墩台总沉降差值（不包括施工中的沉降）：10</w:t>
      </w:r>
      <w:r>
        <w:rPr>
          <w:rFonts w:hint="eastAsia" w:ascii="宋体" w:hAnsi="宋体" w:eastAsia="宋体" w:cs="宋体"/>
          <w:color w:val="auto"/>
          <w:sz w:val="21"/>
          <w:szCs w:val="21"/>
          <w:highlight w:val="none"/>
          <w:lang w:val="en-US" w:eastAsia="zh-CN"/>
        </w:rPr>
        <w:object>
          <v:shape id="_x0000_i1029" o:spt="75" type="#_x0000_t75" style="height:17.25pt;width:20.25pt;" o:ole="t" filled="f" o:preferrelative="t" stroked="f" coordsize="21600,21600">
            <v:path/>
            <v:fill on="f" focussize="0,0"/>
            <v:stroke on="f"/>
            <v:imagedata r:id="rId25" o:title=""/>
            <o:lock v:ext="edit" grouping="f" rotation="f" text="f" aspectratio="t"/>
            <w10:wrap type="none"/>
            <w10:anchorlock/>
          </v:shape>
          <o:OLEObject Type="Embed" ProgID="Equation.DSMT4" ShapeID="_x0000_i1029" DrawAspect="Content" ObjectID="_1468075729" r:id="rId29">
            <o:LockedField>false</o:LockedField>
          </o:OLEObject>
        </w:object>
      </w:r>
      <w:r>
        <w:rPr>
          <w:rFonts w:hint="eastAsia" w:ascii="宋体" w:hAnsi="宋体" w:eastAsia="宋体" w:cs="宋体"/>
          <w:color w:val="auto"/>
          <w:sz w:val="21"/>
          <w:szCs w:val="21"/>
          <w:highlight w:val="none"/>
          <w:lang w:val="en-US" w:eastAsia="zh-CN"/>
        </w:rPr>
        <w:t>(mm)。 c墩台顶面水平位移值：5</w:t>
      </w:r>
      <w:r>
        <w:rPr>
          <w:rFonts w:hint="eastAsia" w:ascii="宋体" w:hAnsi="宋体" w:eastAsia="宋体" w:cs="宋体"/>
          <w:color w:val="auto"/>
          <w:sz w:val="21"/>
          <w:szCs w:val="21"/>
          <w:highlight w:val="none"/>
          <w:lang w:val="en-US" w:eastAsia="zh-CN"/>
        </w:rPr>
        <w:object>
          <v:shape id="_x0000_i1030" o:spt="75" type="#_x0000_t75" style="height:17.25pt;width:20.25pt;" o:ole="t" filled="f" o:preferrelative="t" stroked="f" coordsize="21600,21600">
            <v:path/>
            <v:fill on="f" focussize="0,0"/>
            <v:stroke on="f"/>
            <v:imagedata r:id="rId25" o:title=""/>
            <o:lock v:ext="edit" grouping="f" rotation="f" text="f" aspectratio="t"/>
            <w10:wrap type="none"/>
            <w10:anchorlock/>
          </v:shape>
          <o:OLEObject Type="Embed" ProgID="Equation.DSMT4" ShapeID="_x0000_i1030" DrawAspect="Content" ObjectID="_1468075730" r:id="rId30">
            <o:LockedField>false</o:LockedField>
          </o:OLEObject>
        </w:object>
      </w:r>
      <w:r>
        <w:rPr>
          <w:rFonts w:hint="eastAsia" w:ascii="宋体" w:hAnsi="宋体" w:eastAsia="宋体" w:cs="宋体"/>
          <w:color w:val="auto"/>
          <w:sz w:val="21"/>
          <w:szCs w:val="21"/>
          <w:highlight w:val="none"/>
          <w:lang w:val="en-US" w:eastAsia="zh-CN"/>
        </w:rPr>
        <w:t>(mm)。</w:t>
      </w:r>
    </w:p>
    <w:p w14:paraId="568ED3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注：L为相邻墩台间最小跨径，以m计，跨径小于25m时仍以25m计算;桩、柱式柔性墩台的沉降，以及桩基承台上墩台顶面的水平位移值，可视具体情况确定，以保证正常使用为原则。</w:t>
      </w:r>
    </w:p>
    <w:p w14:paraId="304E30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3.4.2.6当墩台变位产生的附加内力影响到桥梁的正常使用和安全时，或桥梁墩台基础自身结构出现大的缺损使承载力不够时，应进行加固处理。</w:t>
      </w:r>
    </w:p>
    <w:p w14:paraId="3465FE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3.5.附属设施管理</w:t>
      </w:r>
    </w:p>
    <w:p w14:paraId="76F9FE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3.5.1桥梁的防护栏杆、隔离带等防护设施应完整、美观、有效。</w:t>
      </w:r>
    </w:p>
    <w:p w14:paraId="5692D7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3.5.2桥头搭板下沉量不应大于保护带与桥面接缝高差的规定值。</w:t>
      </w:r>
    </w:p>
    <w:p w14:paraId="6480CE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3.5.3桥头搭板因台后填土下沉而引起的桥头跳车，应视沉降高差采取不同的维修方式。</w:t>
      </w:r>
    </w:p>
    <w:p w14:paraId="0BB5AB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3.5.4挡墙应坚固、耐用、完好，无下沉、开裂、脱空等现象。汛期应加强巡检，挡墙倾斜、位移、下沉超过20mm时，应进行维修加固。挡墙开裂小于3mm时，可进行封闭处理；折断时应及时加固。</w:t>
      </w:r>
    </w:p>
    <w:p w14:paraId="0F0EE4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3.5.5标志牌应设置规范、字迹清晰、鲜明。反光膜完整，反光效果符合设计要求。立柱式标志牌立柱垂直，牢固可靠。</w:t>
      </w:r>
    </w:p>
    <w:p w14:paraId="46BAD5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3.5.6 标志牌应每季度清洗。发生弯折、变形、倾斜应尽快修复，损坏或丢失应及时更换或补齐。</w:t>
      </w:r>
    </w:p>
    <w:p w14:paraId="526F24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3.5.7 防撞墙应完好，无破损、裂缝、空洞、蜂窝、麻面、起皮、松散、剥落、露筋等现象。</w:t>
      </w:r>
    </w:p>
    <w:p w14:paraId="3EB866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3.6安全作业、应急处置、文明施工管理</w:t>
      </w:r>
    </w:p>
    <w:p w14:paraId="3D58C5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应认真贯彻“安全第一、预防为主”的方针，自觉遵守，严格执行国家有关劳动保护与安全生产的法律法规。建立安全管理体系，完善各项安全管理制度，落实各级安全责任制，做好日常管理工作，杜绝各类事故。</w:t>
      </w:r>
    </w:p>
    <w:p w14:paraId="547E7C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3.6.2应建立应急防灾组织体系，落实管理责任，做好突发性事故的应急处置预案，组成与灾害防治、处置工作相适应的抢险组织联络网，积极、妥善处理突发应急事件，确保桥梁畅通。</w:t>
      </w:r>
    </w:p>
    <w:p w14:paraId="39936C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3.6.3突出“以人为本”概念，贯彻作业避高峰，快速施工原则，注重文明施工与环境保护，根据养护作业实际情况，制定文明施工与环境保护具体措施，最大限度地减少对附近区域市容环卫和交通运行影响。</w:t>
      </w:r>
    </w:p>
    <w:p w14:paraId="53F02E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3.6.4养护人员必须自觉遵守交通法规，上岗前必须进行安全教育和技术培训。并按规定统一着装，且必须穿戴具有反光功能的安全标志服和防护帽。</w:t>
      </w:r>
    </w:p>
    <w:p w14:paraId="2CCDEA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3.6.5城市桥梁的日常巡查、检测、维修等养护作业应做好安全防护工作，确保作业人员、行人、车辆的安全。</w:t>
      </w:r>
    </w:p>
    <w:p w14:paraId="68C923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3.6.6养护单位应当在经批准的路段和时段内施工作业，并在距离施工作业地点来车方向安全距离处设置明显的安全警示标志，采取防护设施；施工作业完毕，应迅速清除道路上的障碍物，符合通行要求后，方可恢复通行。</w:t>
      </w:r>
    </w:p>
    <w:p w14:paraId="6E519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3.6.7养护维修作业的安全设施应始终处于良好的工作状态，在未完成养护维修作业之前，任何人不得随意撤除或改变安全设施的位置、扩大或缩小作业区范围，以保证养护维修作业区安全控制的有效性。</w:t>
      </w:r>
    </w:p>
    <w:p w14:paraId="4AA48C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3.6.8除流动作业外，进行占道养护时应在作业现场划出作业区，制定交通组织方案，设置相应的标志与设施，以确保作业期间的交通安全。</w:t>
      </w:r>
    </w:p>
    <w:p w14:paraId="156966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3.7其他管理规定</w:t>
      </w:r>
    </w:p>
    <w:p w14:paraId="5D762C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3.7.1认真落实社会投诉工作，建立24小时值班制度，落实解决各类投诉问题，</w:t>
      </w:r>
    </w:p>
    <w:p w14:paraId="69B85F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3.7.2不发生有责媒体报道事件，不发生重大有责新闻曝光。</w:t>
      </w:r>
    </w:p>
    <w:p w14:paraId="7A79E9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3.7.3认真完成领导或相关部门的指令性、突击性任务。</w:t>
      </w:r>
    </w:p>
    <w:p w14:paraId="285B5D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cs="宋体"/>
          <w:color w:val="auto"/>
          <w:sz w:val="21"/>
          <w:szCs w:val="21"/>
          <w:highlight w:val="none"/>
          <w:lang w:bidi="ar"/>
        </w:rPr>
      </w:pPr>
    </w:p>
    <w:p w14:paraId="2AF5137B">
      <w:pPr>
        <w:rPr>
          <w:rFonts w:hint="eastAsia" w:ascii="Times New Roman" w:cs="宋体"/>
          <w:color w:val="auto"/>
          <w:sz w:val="21"/>
          <w:szCs w:val="21"/>
          <w:highlight w:val="none"/>
          <w:lang w:bidi="ar"/>
        </w:rPr>
      </w:pPr>
      <w:r>
        <w:rPr>
          <w:rFonts w:hint="eastAsia" w:ascii="Times New Roman" w:cs="宋体"/>
          <w:color w:val="auto"/>
          <w:sz w:val="21"/>
          <w:szCs w:val="21"/>
          <w:highlight w:val="none"/>
          <w:lang w:bidi="ar"/>
        </w:rPr>
        <w:br w:type="page"/>
      </w:r>
    </w:p>
    <w:p w14:paraId="7830A4BC">
      <w:pP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附件3</w:t>
      </w:r>
    </w:p>
    <w:p w14:paraId="75A4E05B">
      <w:pPr>
        <w:rPr>
          <w:rFonts w:hint="default"/>
          <w:highlight w:val="none"/>
          <w:lang w:val="en-US" w:eastAsia="zh-CN"/>
        </w:rPr>
      </w:pPr>
      <w:r>
        <w:rPr>
          <w:rFonts w:hint="default"/>
          <w:b/>
          <w:bCs/>
          <w:highlight w:val="none"/>
          <w:lang w:val="en-US" w:eastAsia="zh-CN"/>
        </w:rPr>
        <w:t>考核周期：</w:t>
      </w:r>
      <w:r>
        <w:rPr>
          <w:rFonts w:hint="default"/>
          <w:highlight w:val="none"/>
          <w:lang w:val="en-US" w:eastAsia="zh-CN"/>
        </w:rPr>
        <w:t>月度</w:t>
      </w:r>
      <w:r>
        <w:rPr>
          <w:rFonts w:hint="default"/>
          <w:highlight w:val="none"/>
          <w:lang w:val="en-US" w:eastAsia="zh-CN"/>
        </w:rPr>
        <w:br w:type="textWrapping"/>
      </w:r>
      <w:r>
        <w:rPr>
          <w:rFonts w:hint="eastAsia"/>
          <w:b/>
          <w:bCs/>
          <w:highlight w:val="none"/>
          <w:lang w:val="en-US" w:eastAsia="zh-CN"/>
        </w:rPr>
        <w:t>良好分数线：</w:t>
      </w:r>
      <w:r>
        <w:rPr>
          <w:rFonts w:hint="eastAsia"/>
          <w:highlight w:val="none"/>
          <w:lang w:val="en-US" w:eastAsia="zh-CN"/>
        </w:rPr>
        <w:t>95分及以上不罚款</w:t>
      </w:r>
    </w:p>
    <w:p w14:paraId="06B2BACF">
      <w:pPr>
        <w:rPr>
          <w:rFonts w:hint="default"/>
          <w:highlight w:val="none"/>
        </w:rPr>
      </w:pPr>
      <w:r>
        <w:rPr>
          <w:rFonts w:hint="default"/>
          <w:b/>
          <w:bCs/>
          <w:highlight w:val="none"/>
          <w:lang w:val="en-US" w:eastAsia="zh-CN"/>
        </w:rPr>
        <w:t>合格分数线：</w:t>
      </w:r>
      <w:r>
        <w:rPr>
          <w:rFonts w:hint="default"/>
          <w:highlight w:val="none"/>
          <w:lang w:val="en-US" w:eastAsia="zh-CN"/>
        </w:rPr>
        <w:t>90分（</w:t>
      </w:r>
      <w:r>
        <w:rPr>
          <w:rFonts w:hint="eastAsia"/>
          <w:highlight w:val="none"/>
          <w:lang w:val="en-US" w:eastAsia="zh-CN"/>
        </w:rPr>
        <w:t>94~90分，每扣1分罚款2000元</w:t>
      </w:r>
      <w:r>
        <w:rPr>
          <w:rFonts w:hint="default"/>
          <w:highlight w:val="none"/>
          <w:lang w:val="en-US" w:eastAsia="zh-CN"/>
        </w:rPr>
        <w:t>/月</w:t>
      </w:r>
      <w:r>
        <w:rPr>
          <w:rFonts w:hint="eastAsia"/>
          <w:highlight w:val="none"/>
          <w:lang w:val="en-US" w:eastAsia="zh-CN"/>
        </w:rPr>
        <w:t>；</w:t>
      </w:r>
      <w:r>
        <w:rPr>
          <w:rFonts w:hint="default"/>
          <w:highlight w:val="none"/>
          <w:lang w:val="en-US" w:eastAsia="zh-CN"/>
        </w:rPr>
        <w:t>&lt;90分罚款30,000元/月）</w:t>
      </w:r>
      <w:r>
        <w:rPr>
          <w:rFonts w:hint="default"/>
          <w:highlight w:val="none"/>
          <w:lang w:val="en-US" w:eastAsia="zh-CN"/>
        </w:rPr>
        <w:br w:type="textWrapping"/>
      </w:r>
      <w:r>
        <w:rPr>
          <w:rFonts w:hint="default"/>
          <w:b/>
          <w:bCs/>
          <w:highlight w:val="none"/>
          <w:lang w:val="en-US" w:eastAsia="zh-CN"/>
        </w:rPr>
        <w:t>维修质量不合格的处罚办法：</w:t>
      </w:r>
      <w:r>
        <w:rPr>
          <w:rFonts w:hint="default"/>
          <w:highlight w:val="none"/>
          <w:lang w:val="en-US" w:eastAsia="zh-CN"/>
        </w:rPr>
        <w:t>若维修质量不符国家、地方相关检验标准的，由采购人责令返工的，并按考核标准进行扣罚，同一项目经整改仍达不到相关检验标准的，该部分工程量不予结算；采购人有权邀请第三方完成以上养护维修任务，维修费由中标人支付。</w:t>
      </w:r>
      <w:r>
        <w:rPr>
          <w:rFonts w:hint="default"/>
          <w:highlight w:val="none"/>
          <w:lang w:val="en-US" w:eastAsia="zh-CN"/>
        </w:rPr>
        <w:br w:type="textWrapping"/>
      </w:r>
      <w:r>
        <w:rPr>
          <w:rFonts w:hint="default"/>
          <w:b/>
          <w:bCs/>
          <w:highlight w:val="none"/>
          <w:lang w:val="en-US" w:eastAsia="zh-CN"/>
        </w:rPr>
        <w:t>加倍处罚规则：</w:t>
      </w:r>
      <w:r>
        <w:rPr>
          <w:rFonts w:hint="default"/>
          <w:highlight w:val="none"/>
          <w:lang w:val="en-US" w:eastAsia="zh-CN"/>
        </w:rPr>
        <w:t>市/区级检查、媒体曝光、重复投诉问题 双倍扣分；限期未整改问题 双倍扣分。</w:t>
      </w:r>
    </w:p>
    <w:tbl>
      <w:tblPr>
        <w:tblStyle w:val="49"/>
        <w:tblW w:w="10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44"/>
        <w:gridCol w:w="2735"/>
        <w:gridCol w:w="3000"/>
        <w:gridCol w:w="2176"/>
        <w:gridCol w:w="660"/>
        <w:gridCol w:w="674"/>
      </w:tblGrid>
      <w:tr w14:paraId="46C3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26" w:type="dxa"/>
            <w:vAlign w:val="center"/>
          </w:tcPr>
          <w:p w14:paraId="0DFB343A">
            <w:pPr>
              <w:snapToGrid w:val="0"/>
              <w:ind w:left="0" w:leftChars="0" w:right="0" w:rightChars="0" w:firstLine="0" w:firstLineChars="0"/>
              <w:jc w:val="center"/>
              <w:rPr>
                <w:rFonts w:hint="eastAsia" w:ascii="黑体" w:hAnsi="黑体" w:eastAsia="黑体" w:cs="黑体"/>
                <w:b/>
                <w:bCs/>
                <w:highlight w:val="none"/>
                <w:vertAlign w:val="baseline"/>
                <w:lang w:eastAsia="zh-CN"/>
              </w:rPr>
            </w:pPr>
            <w:r>
              <w:rPr>
                <w:rFonts w:hint="eastAsia" w:ascii="黑体" w:hAnsi="黑体" w:eastAsia="黑体" w:cs="黑体"/>
                <w:b/>
                <w:bCs/>
                <w:highlight w:val="none"/>
                <w:vertAlign w:val="baseline"/>
                <w:lang w:eastAsia="zh-CN"/>
              </w:rPr>
              <w:t>类别</w:t>
            </w:r>
          </w:p>
        </w:tc>
        <w:tc>
          <w:tcPr>
            <w:tcW w:w="1044" w:type="dxa"/>
            <w:vAlign w:val="center"/>
          </w:tcPr>
          <w:p w14:paraId="6B98E475">
            <w:pPr>
              <w:snapToGrid w:val="0"/>
              <w:ind w:left="0" w:leftChars="0" w:right="0" w:rightChars="0" w:firstLine="0" w:firstLineChars="0"/>
              <w:jc w:val="center"/>
              <w:rPr>
                <w:rFonts w:hint="eastAsia" w:ascii="黑体" w:hAnsi="黑体" w:eastAsia="黑体" w:cs="黑体"/>
                <w:b/>
                <w:bCs/>
                <w:highlight w:val="none"/>
                <w:vertAlign w:val="baseline"/>
                <w:lang w:eastAsia="zh-CN"/>
              </w:rPr>
            </w:pPr>
            <w:r>
              <w:rPr>
                <w:rFonts w:hint="eastAsia" w:ascii="黑体" w:hAnsi="黑体" w:eastAsia="黑体" w:cs="黑体"/>
                <w:b/>
                <w:bCs/>
                <w:highlight w:val="none"/>
                <w:vertAlign w:val="baseline"/>
                <w:lang w:eastAsia="zh-CN"/>
              </w:rPr>
              <w:t>考核项目</w:t>
            </w:r>
          </w:p>
        </w:tc>
        <w:tc>
          <w:tcPr>
            <w:tcW w:w="2735" w:type="dxa"/>
            <w:vAlign w:val="center"/>
          </w:tcPr>
          <w:p w14:paraId="2CBA2423">
            <w:pPr>
              <w:snapToGrid w:val="0"/>
              <w:ind w:left="0" w:leftChars="0" w:right="0" w:rightChars="0" w:firstLine="0" w:firstLineChars="0"/>
              <w:jc w:val="center"/>
              <w:rPr>
                <w:rFonts w:hint="eastAsia" w:ascii="黑体" w:hAnsi="黑体" w:eastAsia="黑体" w:cs="黑体"/>
                <w:b/>
                <w:bCs/>
                <w:highlight w:val="none"/>
                <w:vertAlign w:val="baseline"/>
                <w:lang w:eastAsia="zh-CN"/>
              </w:rPr>
            </w:pPr>
            <w:r>
              <w:rPr>
                <w:rFonts w:hint="eastAsia" w:ascii="黑体" w:hAnsi="黑体" w:eastAsia="黑体" w:cs="黑体"/>
                <w:b/>
                <w:bCs/>
                <w:highlight w:val="none"/>
                <w:vertAlign w:val="baseline"/>
                <w:lang w:eastAsia="zh-CN"/>
              </w:rPr>
              <w:t>考核标准</w:t>
            </w:r>
          </w:p>
        </w:tc>
        <w:tc>
          <w:tcPr>
            <w:tcW w:w="3000" w:type="dxa"/>
            <w:vAlign w:val="center"/>
          </w:tcPr>
          <w:p w14:paraId="474F6E17">
            <w:pPr>
              <w:snapToGrid w:val="0"/>
              <w:ind w:left="0" w:leftChars="0" w:right="0" w:rightChars="0" w:firstLine="0" w:firstLineChars="0"/>
              <w:jc w:val="center"/>
              <w:rPr>
                <w:rFonts w:hint="eastAsia" w:ascii="黑体" w:hAnsi="黑体" w:eastAsia="黑体" w:cs="黑体"/>
                <w:b/>
                <w:bCs/>
                <w:highlight w:val="none"/>
                <w:vertAlign w:val="baseline"/>
              </w:rPr>
            </w:pPr>
            <w:r>
              <w:rPr>
                <w:rFonts w:hint="eastAsia" w:ascii="黑体" w:hAnsi="黑体" w:eastAsia="黑体" w:cs="黑体"/>
                <w:b/>
                <w:bCs/>
                <w:highlight w:val="none"/>
                <w:vertAlign w:val="baseline"/>
              </w:rPr>
              <w:t>扣分标准</w:t>
            </w:r>
          </w:p>
          <w:p w14:paraId="7FFD8EB6">
            <w:pPr>
              <w:snapToGrid w:val="0"/>
              <w:ind w:left="0" w:leftChars="0" w:right="0" w:rightChars="0" w:firstLine="0" w:firstLineChars="0"/>
              <w:jc w:val="center"/>
              <w:rPr>
                <w:rFonts w:hint="eastAsia" w:ascii="黑体" w:hAnsi="黑体" w:eastAsia="黑体" w:cs="黑体"/>
                <w:b/>
                <w:bCs/>
                <w:highlight w:val="none"/>
                <w:vertAlign w:val="baseline"/>
              </w:rPr>
            </w:pPr>
            <w:r>
              <w:rPr>
                <w:rFonts w:hint="eastAsia" w:ascii="黑体" w:hAnsi="黑体" w:eastAsia="黑体" w:cs="黑体"/>
                <w:b/>
                <w:bCs/>
                <w:highlight w:val="none"/>
                <w:vertAlign w:val="baseline"/>
              </w:rPr>
              <w:t>(分/次·处)</w:t>
            </w:r>
          </w:p>
        </w:tc>
        <w:tc>
          <w:tcPr>
            <w:tcW w:w="2176" w:type="dxa"/>
            <w:vAlign w:val="center"/>
          </w:tcPr>
          <w:p w14:paraId="54C44019">
            <w:pPr>
              <w:snapToGrid w:val="0"/>
              <w:ind w:left="0" w:leftChars="0" w:right="0" w:rightChars="0" w:firstLine="0" w:firstLineChars="0"/>
              <w:jc w:val="center"/>
              <w:rPr>
                <w:rFonts w:hint="eastAsia" w:ascii="黑体" w:hAnsi="黑体" w:eastAsia="黑体" w:cs="黑体"/>
                <w:b/>
                <w:bCs/>
                <w:highlight w:val="none"/>
                <w:vertAlign w:val="baseline"/>
              </w:rPr>
            </w:pPr>
            <w:r>
              <w:rPr>
                <w:rFonts w:hint="eastAsia" w:ascii="黑体" w:hAnsi="黑体" w:eastAsia="黑体" w:cs="黑体"/>
                <w:b/>
                <w:bCs/>
                <w:highlight w:val="none"/>
                <w:vertAlign w:val="baseline"/>
              </w:rPr>
              <w:t>处罚标准</w:t>
            </w:r>
          </w:p>
          <w:p w14:paraId="58DF22D7">
            <w:pPr>
              <w:snapToGrid w:val="0"/>
              <w:ind w:left="0" w:leftChars="0" w:right="0" w:rightChars="0" w:firstLine="0" w:firstLineChars="0"/>
              <w:jc w:val="center"/>
              <w:rPr>
                <w:rFonts w:hint="eastAsia" w:ascii="黑体" w:hAnsi="黑体" w:eastAsia="黑体" w:cs="黑体"/>
                <w:b/>
                <w:bCs/>
                <w:highlight w:val="none"/>
                <w:vertAlign w:val="baseline"/>
              </w:rPr>
            </w:pPr>
            <w:r>
              <w:rPr>
                <w:rFonts w:hint="eastAsia" w:ascii="黑体" w:hAnsi="黑体" w:eastAsia="黑体" w:cs="黑体"/>
                <w:b/>
                <w:bCs/>
                <w:highlight w:val="none"/>
                <w:vertAlign w:val="baseline"/>
              </w:rPr>
              <w:t>(元/次·处)</w:t>
            </w:r>
          </w:p>
        </w:tc>
        <w:tc>
          <w:tcPr>
            <w:tcW w:w="660" w:type="dxa"/>
            <w:vAlign w:val="center"/>
          </w:tcPr>
          <w:p w14:paraId="23362F76">
            <w:pPr>
              <w:snapToGrid w:val="0"/>
              <w:ind w:left="0" w:leftChars="0" w:right="0" w:rightChars="0" w:firstLine="0" w:firstLineChars="0"/>
              <w:jc w:val="center"/>
              <w:rPr>
                <w:rFonts w:hint="eastAsia" w:ascii="黑体" w:hAnsi="黑体" w:eastAsia="黑体" w:cs="黑体"/>
                <w:b/>
                <w:bCs/>
                <w:highlight w:val="none"/>
                <w:vertAlign w:val="baseline"/>
                <w:lang w:eastAsia="zh-CN"/>
              </w:rPr>
            </w:pPr>
            <w:r>
              <w:rPr>
                <w:rFonts w:hint="eastAsia" w:ascii="黑体" w:hAnsi="黑体" w:eastAsia="黑体" w:cs="黑体"/>
                <w:b/>
                <w:bCs/>
                <w:highlight w:val="none"/>
                <w:vertAlign w:val="baseline"/>
                <w:lang w:eastAsia="zh-CN"/>
              </w:rPr>
              <w:t>扣罚情况</w:t>
            </w:r>
          </w:p>
        </w:tc>
        <w:tc>
          <w:tcPr>
            <w:tcW w:w="674" w:type="dxa"/>
            <w:vAlign w:val="center"/>
          </w:tcPr>
          <w:p w14:paraId="6AB41C6E">
            <w:pPr>
              <w:snapToGrid w:val="0"/>
              <w:ind w:left="0" w:leftChars="0" w:right="0" w:rightChars="0" w:firstLine="0" w:firstLineChars="0"/>
              <w:jc w:val="center"/>
              <w:rPr>
                <w:rFonts w:hint="eastAsia" w:ascii="黑体" w:hAnsi="黑体" w:eastAsia="黑体" w:cs="黑体"/>
                <w:b/>
                <w:bCs/>
                <w:highlight w:val="none"/>
                <w:vertAlign w:val="baseline"/>
                <w:lang w:eastAsia="zh-CN"/>
              </w:rPr>
            </w:pPr>
            <w:r>
              <w:rPr>
                <w:rFonts w:hint="eastAsia" w:ascii="黑体" w:hAnsi="黑体" w:eastAsia="黑体" w:cs="黑体"/>
                <w:b/>
                <w:bCs/>
                <w:highlight w:val="none"/>
                <w:vertAlign w:val="baseline"/>
                <w:lang w:eastAsia="zh-CN"/>
              </w:rPr>
              <w:t>备注</w:t>
            </w:r>
          </w:p>
        </w:tc>
      </w:tr>
      <w:tr w14:paraId="1368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restart"/>
            <w:vAlign w:val="center"/>
          </w:tcPr>
          <w:p w14:paraId="43D214A7">
            <w:pPr>
              <w:snapToGrid w:val="0"/>
              <w:ind w:left="0" w:leftChars="0" w:right="0" w:rightChars="0" w:firstLine="0" w:firstLineChars="0"/>
              <w:jc w:val="center"/>
              <w:rPr>
                <w:rFonts w:hint="eastAsia" w:ascii="Arial" w:eastAsia="宋体"/>
                <w:b/>
                <w:bCs/>
                <w:sz w:val="21"/>
                <w:highlight w:val="none"/>
                <w:vertAlign w:val="baseline"/>
                <w:lang w:eastAsia="zh-CN"/>
              </w:rPr>
            </w:pPr>
            <w:r>
              <w:rPr>
                <w:rFonts w:hint="eastAsia" w:ascii="Arial" w:eastAsia="宋体"/>
                <w:b/>
                <w:bCs/>
                <w:sz w:val="21"/>
                <w:highlight w:val="none"/>
                <w:vertAlign w:val="baseline"/>
                <w:lang w:eastAsia="zh-CN"/>
              </w:rPr>
              <w:t>一</w:t>
            </w:r>
            <w:r>
              <w:rPr>
                <w:rFonts w:ascii="Arial" w:eastAsia="宋体"/>
                <w:b/>
                <w:bCs/>
                <w:sz w:val="21"/>
                <w:highlight w:val="none"/>
                <w:vertAlign w:val="baseline"/>
              </w:rPr>
              <w:t>、组织与巡查</w:t>
            </w:r>
            <w:r>
              <w:rPr>
                <w:rFonts w:hint="eastAsia" w:ascii="Arial" w:eastAsia="宋体"/>
                <w:b/>
                <w:bCs/>
                <w:sz w:val="21"/>
                <w:highlight w:val="none"/>
                <w:vertAlign w:val="baseline"/>
                <w:lang w:eastAsia="zh-CN"/>
              </w:rPr>
              <w:t>（</w:t>
            </w:r>
            <w:r>
              <w:rPr>
                <w:rFonts w:hint="eastAsia" w:ascii="Arial" w:eastAsia="宋体"/>
                <w:b/>
                <w:bCs/>
                <w:sz w:val="21"/>
                <w:highlight w:val="none"/>
                <w:vertAlign w:val="baseline"/>
                <w:lang w:val="en-US" w:eastAsia="zh-CN"/>
              </w:rPr>
              <w:t>15分</w:t>
            </w:r>
            <w:r>
              <w:rPr>
                <w:rFonts w:hint="eastAsia" w:ascii="Arial" w:eastAsia="宋体"/>
                <w:b/>
                <w:bCs/>
                <w:sz w:val="21"/>
                <w:highlight w:val="none"/>
                <w:vertAlign w:val="baseline"/>
                <w:lang w:eastAsia="zh-CN"/>
              </w:rPr>
              <w:t>）</w:t>
            </w:r>
          </w:p>
        </w:tc>
        <w:tc>
          <w:tcPr>
            <w:tcW w:w="1044" w:type="dxa"/>
            <w:vAlign w:val="center"/>
          </w:tcPr>
          <w:p w14:paraId="6530167F">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人员在岗</w:t>
            </w:r>
          </w:p>
          <w:p w14:paraId="40FBA24C">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（5分）</w:t>
            </w:r>
          </w:p>
        </w:tc>
        <w:tc>
          <w:tcPr>
            <w:tcW w:w="2735" w:type="dxa"/>
            <w:vAlign w:val="center"/>
          </w:tcPr>
          <w:p w14:paraId="29F8E6E4">
            <w:pPr>
              <w:pStyle w:val="149"/>
              <w:snapToGrid w:val="0"/>
              <w:spacing w:before="111" w:line="240" w:lineRule="auto"/>
              <w:ind w:left="0" w:leftChars="0" w:right="0" w:rightChars="0" w:firstLine="0" w:firstLineChars="0"/>
              <w:jc w:val="left"/>
              <w:rPr>
                <w:rFonts w:hint="eastAsia" w:ascii="Arial" w:eastAsia="宋体"/>
                <w:spacing w:val="9"/>
                <w:sz w:val="21"/>
                <w:highlight w:val="none"/>
                <w:lang w:eastAsia="zh-CN"/>
              </w:rPr>
            </w:pPr>
            <w:r>
              <w:rPr>
                <w:rFonts w:hint="eastAsia" w:ascii="Arial" w:eastAsia="宋体"/>
                <w:spacing w:val="9"/>
                <w:sz w:val="21"/>
                <w:highlight w:val="none"/>
                <w:lang w:eastAsia="en-US"/>
              </w:rPr>
              <w:t>合同履约期间，项目经理/技术负责人</w:t>
            </w:r>
            <w:r>
              <w:rPr>
                <w:rFonts w:hint="eastAsia" w:ascii="Arial" w:eastAsia="宋体"/>
                <w:spacing w:val="9"/>
                <w:sz w:val="21"/>
                <w:highlight w:val="none"/>
                <w:lang w:eastAsia="zh-CN"/>
              </w:rPr>
              <w:t>不得负责</w:t>
            </w:r>
            <w:r>
              <w:rPr>
                <w:rFonts w:hint="eastAsia" w:ascii="Arial" w:eastAsia="宋体"/>
                <w:spacing w:val="9"/>
                <w:sz w:val="21"/>
                <w:highlight w:val="none"/>
                <w:lang w:eastAsia="en-US"/>
              </w:rPr>
              <w:t>其他在建项目</w:t>
            </w:r>
            <w:r>
              <w:rPr>
                <w:rFonts w:hint="eastAsia" w:ascii="Arial" w:eastAsia="宋体"/>
                <w:spacing w:val="9"/>
                <w:sz w:val="21"/>
                <w:highlight w:val="none"/>
                <w:lang w:eastAsia="zh-CN"/>
              </w:rPr>
              <w:t>或擅自更换主要人员。</w:t>
            </w:r>
          </w:p>
        </w:tc>
        <w:tc>
          <w:tcPr>
            <w:tcW w:w="3000" w:type="dxa"/>
            <w:vAlign w:val="center"/>
          </w:tcPr>
          <w:p w14:paraId="65881383">
            <w:pPr>
              <w:pStyle w:val="149"/>
              <w:snapToGrid w:val="0"/>
              <w:spacing w:before="111" w:line="240" w:lineRule="auto"/>
              <w:ind w:left="0" w:leftChars="0" w:right="0" w:rightChars="0" w:firstLine="0" w:firstLineChars="0"/>
              <w:jc w:val="left"/>
              <w:rPr>
                <w:rFonts w:hint="eastAsia" w:ascii="Arial" w:eastAsia="宋体"/>
                <w:spacing w:val="9"/>
                <w:sz w:val="21"/>
                <w:highlight w:val="none"/>
                <w:lang w:val="en-US" w:eastAsia="zh-CN"/>
              </w:rPr>
            </w:pPr>
            <w:r>
              <w:rPr>
                <w:rFonts w:hint="eastAsia" w:ascii="Arial" w:eastAsia="宋体"/>
                <w:spacing w:val="9"/>
                <w:sz w:val="21"/>
                <w:highlight w:val="none"/>
                <w:lang w:eastAsia="zh-CN"/>
              </w:rPr>
              <w:t>擅自更换主要人员</w:t>
            </w:r>
            <w:r>
              <w:rPr>
                <w:rFonts w:ascii="Arial" w:eastAsia="宋体"/>
                <w:spacing w:val="9"/>
                <w:sz w:val="21"/>
                <w:highlight w:val="none"/>
              </w:rPr>
              <w:t>一次</w:t>
            </w:r>
            <w:r>
              <w:rPr>
                <w:rFonts w:hint="eastAsia" w:ascii="Arial" w:eastAsia="宋体"/>
                <w:spacing w:val="9"/>
                <w:sz w:val="21"/>
                <w:highlight w:val="none"/>
                <w:lang w:eastAsia="zh-CN"/>
              </w:rPr>
              <w:t>扣</w:t>
            </w:r>
            <w:r>
              <w:rPr>
                <w:rFonts w:hint="eastAsia" w:ascii="Arial" w:eastAsia="宋体"/>
                <w:spacing w:val="9"/>
                <w:sz w:val="21"/>
                <w:highlight w:val="none"/>
                <w:lang w:val="en-US" w:eastAsia="zh-CN"/>
              </w:rPr>
              <w:t>5分。</w:t>
            </w:r>
          </w:p>
        </w:tc>
        <w:tc>
          <w:tcPr>
            <w:tcW w:w="2176" w:type="dxa"/>
            <w:vAlign w:val="center"/>
          </w:tcPr>
          <w:p w14:paraId="359E7E92">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ascii="Arial" w:eastAsia="宋体"/>
                <w:spacing w:val="9"/>
                <w:sz w:val="21"/>
                <w:highlight w:val="none"/>
              </w:rPr>
              <w:t>一经发现扣罚20000元，</w:t>
            </w:r>
            <w:r>
              <w:rPr>
                <w:rFonts w:hint="eastAsia" w:ascii="Arial" w:eastAsia="宋体"/>
                <w:spacing w:val="9"/>
                <w:sz w:val="21"/>
                <w:highlight w:val="none"/>
                <w:lang w:eastAsia="zh-CN"/>
              </w:rPr>
              <w:t>情节严重</w:t>
            </w:r>
            <w:r>
              <w:rPr>
                <w:rFonts w:ascii="Arial" w:eastAsia="宋体"/>
                <w:spacing w:val="9"/>
                <w:sz w:val="21"/>
                <w:highlight w:val="none"/>
              </w:rPr>
              <w:t>可解除合同；经同意更换一次扣罚10000元</w:t>
            </w:r>
          </w:p>
        </w:tc>
        <w:tc>
          <w:tcPr>
            <w:tcW w:w="660" w:type="dxa"/>
            <w:vAlign w:val="center"/>
          </w:tcPr>
          <w:p w14:paraId="17533AEA">
            <w:pPr>
              <w:pStyle w:val="149"/>
              <w:snapToGrid w:val="0"/>
              <w:spacing w:before="111" w:line="240" w:lineRule="auto"/>
              <w:ind w:left="0" w:leftChars="0" w:right="0" w:rightChars="0" w:firstLine="0" w:firstLineChars="0"/>
              <w:jc w:val="right"/>
              <w:rPr>
                <w:rFonts w:ascii="Arial" w:eastAsia="宋体"/>
                <w:spacing w:val="9"/>
                <w:sz w:val="21"/>
                <w:highlight w:val="none"/>
              </w:rPr>
            </w:pPr>
          </w:p>
        </w:tc>
        <w:tc>
          <w:tcPr>
            <w:tcW w:w="674" w:type="dxa"/>
            <w:vAlign w:val="center"/>
          </w:tcPr>
          <w:p w14:paraId="22D66544">
            <w:pPr>
              <w:pStyle w:val="149"/>
              <w:snapToGrid w:val="0"/>
              <w:spacing w:before="111" w:line="240" w:lineRule="auto"/>
              <w:ind w:left="0" w:leftChars="0" w:right="0" w:rightChars="0" w:firstLine="0" w:firstLineChars="0"/>
              <w:jc w:val="center"/>
              <w:rPr>
                <w:rFonts w:ascii="Arial" w:eastAsia="宋体"/>
                <w:spacing w:val="9"/>
                <w:sz w:val="21"/>
                <w:highlight w:val="none"/>
              </w:rPr>
            </w:pPr>
            <w:r>
              <w:rPr>
                <w:rFonts w:hint="eastAsia" w:ascii="Arial" w:eastAsia="宋体"/>
                <w:spacing w:val="8"/>
                <w:sz w:val="21"/>
                <w:highlight w:val="none"/>
                <w:lang w:val="en-US" w:eastAsia="zh-CN"/>
              </w:rPr>
              <w:t>-</w:t>
            </w:r>
          </w:p>
        </w:tc>
      </w:tr>
      <w:tr w14:paraId="0E5E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0771EA67">
            <w:pPr>
              <w:snapToGrid w:val="0"/>
              <w:ind w:left="0" w:leftChars="0" w:right="0" w:rightChars="0" w:firstLine="0" w:firstLineChars="0"/>
              <w:jc w:val="center"/>
              <w:rPr>
                <w:rFonts w:hint="eastAsia" w:ascii="Arial" w:eastAsia="宋体"/>
                <w:b/>
                <w:bCs/>
                <w:sz w:val="21"/>
                <w:highlight w:val="none"/>
                <w:vertAlign w:val="baseline"/>
                <w:lang w:eastAsia="zh-CN"/>
              </w:rPr>
            </w:pPr>
          </w:p>
        </w:tc>
        <w:tc>
          <w:tcPr>
            <w:tcW w:w="1044" w:type="dxa"/>
            <w:vAlign w:val="center"/>
          </w:tcPr>
          <w:p w14:paraId="4FA94A7F">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会议缺席/现场缺勤</w:t>
            </w:r>
          </w:p>
          <w:p w14:paraId="4C5580B7">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（2分）</w:t>
            </w:r>
          </w:p>
        </w:tc>
        <w:tc>
          <w:tcPr>
            <w:tcW w:w="2735" w:type="dxa"/>
            <w:vAlign w:val="center"/>
          </w:tcPr>
          <w:p w14:paraId="2FF1F829">
            <w:pPr>
              <w:pStyle w:val="149"/>
              <w:snapToGrid w:val="0"/>
              <w:spacing w:before="111" w:line="240" w:lineRule="auto"/>
              <w:ind w:left="0" w:leftChars="0" w:right="0" w:rightChars="0" w:firstLine="0" w:firstLineChars="0"/>
              <w:jc w:val="left"/>
              <w:rPr>
                <w:rFonts w:hint="eastAsia" w:ascii="Arial" w:eastAsia="宋体"/>
                <w:spacing w:val="9"/>
                <w:sz w:val="21"/>
                <w:highlight w:val="none"/>
                <w:lang w:eastAsia="zh-CN"/>
              </w:rPr>
            </w:pPr>
            <w:r>
              <w:rPr>
                <w:rFonts w:hint="eastAsia" w:ascii="Arial" w:eastAsia="宋体"/>
                <w:spacing w:val="9"/>
                <w:sz w:val="21"/>
                <w:highlight w:val="none"/>
                <w:lang w:eastAsia="en-US"/>
              </w:rPr>
              <w:t>项目经理须按要求参加月度例会和重要会议，500平方米及以上沥青路面、400平方米及以上水泥路面、400平方米及以上人行道项目施工期间，项目经理必须到场。因故不能到场须提前请假，无故离场按缺勤计，合同年度内允许请假3次</w:t>
            </w:r>
            <w:r>
              <w:rPr>
                <w:rFonts w:hint="eastAsia" w:ascii="Arial" w:eastAsia="宋体"/>
                <w:spacing w:val="9"/>
                <w:sz w:val="21"/>
                <w:highlight w:val="none"/>
                <w:lang w:eastAsia="zh-CN"/>
              </w:rPr>
              <w:t>；</w:t>
            </w:r>
            <w:r>
              <w:rPr>
                <w:rFonts w:hint="eastAsia" w:ascii="Arial" w:eastAsia="宋体"/>
                <w:spacing w:val="9"/>
                <w:sz w:val="21"/>
                <w:highlight w:val="none"/>
                <w:lang w:eastAsia="en-US"/>
              </w:rPr>
              <w:t>安全员须做好安全技术指导和现场工作，</w:t>
            </w:r>
            <w:r>
              <w:rPr>
                <w:rFonts w:hint="eastAsia" w:ascii="Arial" w:eastAsia="宋体"/>
                <w:spacing w:val="9"/>
                <w:sz w:val="21"/>
                <w:highlight w:val="none"/>
                <w:lang w:eastAsia="zh-CN"/>
              </w:rPr>
              <w:t>不得</w:t>
            </w:r>
            <w:r>
              <w:rPr>
                <w:rFonts w:hint="eastAsia" w:ascii="Arial" w:eastAsia="宋体"/>
                <w:spacing w:val="9"/>
                <w:sz w:val="21"/>
                <w:highlight w:val="none"/>
                <w:lang w:eastAsia="en-US"/>
              </w:rPr>
              <w:t>无故缺勤离场</w:t>
            </w:r>
            <w:r>
              <w:rPr>
                <w:rFonts w:hint="eastAsia" w:ascii="Arial" w:eastAsia="宋体"/>
                <w:spacing w:val="9"/>
                <w:sz w:val="21"/>
                <w:highlight w:val="none"/>
                <w:lang w:eastAsia="zh-CN"/>
              </w:rPr>
              <w:t>。</w:t>
            </w:r>
          </w:p>
        </w:tc>
        <w:tc>
          <w:tcPr>
            <w:tcW w:w="3000" w:type="dxa"/>
            <w:vAlign w:val="center"/>
          </w:tcPr>
          <w:p w14:paraId="6EA315B2">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ascii="Arial" w:eastAsia="宋体"/>
                <w:spacing w:val="9"/>
                <w:sz w:val="21"/>
                <w:highlight w:val="none"/>
              </w:rPr>
              <w:t>项目经理超假一次扣</w:t>
            </w:r>
            <w:r>
              <w:rPr>
                <w:rFonts w:hint="eastAsia" w:ascii="Arial" w:eastAsia="宋体"/>
                <w:spacing w:val="9"/>
                <w:sz w:val="21"/>
                <w:highlight w:val="none"/>
                <w:lang w:val="en-US" w:eastAsia="zh-CN"/>
              </w:rPr>
              <w:t>2分</w:t>
            </w:r>
            <w:r>
              <w:rPr>
                <w:rFonts w:ascii="Arial" w:eastAsia="宋体"/>
                <w:spacing w:val="9"/>
                <w:sz w:val="21"/>
                <w:highlight w:val="none"/>
              </w:rPr>
              <w:t>；安全员</w:t>
            </w:r>
            <w:r>
              <w:rPr>
                <w:rFonts w:hint="eastAsia" w:ascii="Arial" w:eastAsia="宋体"/>
                <w:spacing w:val="9"/>
                <w:sz w:val="21"/>
                <w:highlight w:val="none"/>
                <w:lang w:eastAsia="en-US"/>
              </w:rPr>
              <w:t>无故缺勤离场</w:t>
            </w:r>
            <w:r>
              <w:rPr>
                <w:rFonts w:ascii="Arial" w:eastAsia="宋体"/>
                <w:spacing w:val="9"/>
                <w:sz w:val="21"/>
                <w:highlight w:val="none"/>
              </w:rPr>
              <w:t>一次扣</w:t>
            </w:r>
            <w:r>
              <w:rPr>
                <w:rFonts w:hint="eastAsia" w:ascii="Arial" w:eastAsia="宋体"/>
                <w:spacing w:val="9"/>
                <w:sz w:val="21"/>
                <w:highlight w:val="none"/>
                <w:lang w:val="en-US" w:eastAsia="zh-CN"/>
              </w:rPr>
              <w:t>1分。</w:t>
            </w:r>
          </w:p>
        </w:tc>
        <w:tc>
          <w:tcPr>
            <w:tcW w:w="2176" w:type="dxa"/>
            <w:vAlign w:val="center"/>
          </w:tcPr>
          <w:p w14:paraId="0E661633">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ascii="Arial" w:eastAsia="宋体"/>
                <w:spacing w:val="9"/>
                <w:sz w:val="21"/>
                <w:highlight w:val="none"/>
              </w:rPr>
              <w:t>项目经理超假扣</w:t>
            </w:r>
            <w:r>
              <w:rPr>
                <w:rFonts w:hint="eastAsia" w:ascii="Arial" w:eastAsia="宋体"/>
                <w:spacing w:val="9"/>
                <w:sz w:val="21"/>
                <w:highlight w:val="none"/>
                <w:lang w:eastAsia="zh-CN"/>
              </w:rPr>
              <w:t>罚</w:t>
            </w:r>
            <w:r>
              <w:rPr>
                <w:rFonts w:ascii="Arial" w:eastAsia="宋体"/>
                <w:spacing w:val="9"/>
                <w:sz w:val="21"/>
                <w:highlight w:val="none"/>
              </w:rPr>
              <w:t>5000</w:t>
            </w:r>
            <w:r>
              <w:rPr>
                <w:rFonts w:hint="eastAsia" w:ascii="Arial" w:eastAsia="宋体"/>
                <w:spacing w:val="9"/>
                <w:sz w:val="21"/>
                <w:highlight w:val="none"/>
                <w:lang w:eastAsia="zh-CN"/>
              </w:rPr>
              <w:t>元</w:t>
            </w:r>
            <w:r>
              <w:rPr>
                <w:rFonts w:ascii="Arial" w:eastAsia="宋体"/>
                <w:spacing w:val="9"/>
                <w:sz w:val="21"/>
                <w:highlight w:val="none"/>
              </w:rPr>
              <w:t>/次；安全员</w:t>
            </w:r>
            <w:r>
              <w:rPr>
                <w:rFonts w:hint="eastAsia" w:ascii="Arial" w:eastAsia="宋体"/>
                <w:spacing w:val="9"/>
                <w:sz w:val="21"/>
                <w:highlight w:val="none"/>
                <w:lang w:eastAsia="en-US"/>
              </w:rPr>
              <w:t>无故缺勤离场</w:t>
            </w:r>
            <w:r>
              <w:rPr>
                <w:rFonts w:ascii="Arial" w:eastAsia="宋体"/>
                <w:spacing w:val="9"/>
                <w:sz w:val="21"/>
                <w:highlight w:val="none"/>
              </w:rPr>
              <w:t>扣</w:t>
            </w:r>
            <w:r>
              <w:rPr>
                <w:rFonts w:hint="eastAsia" w:ascii="Arial" w:eastAsia="宋体"/>
                <w:spacing w:val="9"/>
                <w:sz w:val="21"/>
                <w:highlight w:val="none"/>
                <w:lang w:eastAsia="zh-CN"/>
              </w:rPr>
              <w:t>罚</w:t>
            </w:r>
            <w:r>
              <w:rPr>
                <w:rFonts w:ascii="Arial" w:eastAsia="宋体"/>
                <w:spacing w:val="9"/>
                <w:sz w:val="21"/>
                <w:highlight w:val="none"/>
              </w:rPr>
              <w:t>3000</w:t>
            </w:r>
            <w:r>
              <w:rPr>
                <w:rFonts w:hint="eastAsia" w:ascii="Arial" w:eastAsia="宋体"/>
                <w:spacing w:val="9"/>
                <w:sz w:val="21"/>
                <w:highlight w:val="none"/>
                <w:lang w:eastAsia="zh-CN"/>
              </w:rPr>
              <w:t>元</w:t>
            </w:r>
            <w:r>
              <w:rPr>
                <w:rFonts w:ascii="Arial" w:eastAsia="宋体"/>
                <w:spacing w:val="9"/>
                <w:sz w:val="21"/>
                <w:highlight w:val="none"/>
              </w:rPr>
              <w:t>/次</w:t>
            </w:r>
          </w:p>
        </w:tc>
        <w:tc>
          <w:tcPr>
            <w:tcW w:w="660" w:type="dxa"/>
            <w:vAlign w:val="center"/>
          </w:tcPr>
          <w:p w14:paraId="10DDE23D">
            <w:pPr>
              <w:pStyle w:val="149"/>
              <w:snapToGrid w:val="0"/>
              <w:spacing w:before="111" w:line="240" w:lineRule="auto"/>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5C1BC80D">
            <w:pPr>
              <w:pStyle w:val="149"/>
              <w:snapToGrid w:val="0"/>
              <w:spacing w:before="111" w:line="240" w:lineRule="auto"/>
              <w:ind w:left="0" w:leftChars="0" w:right="0" w:rightChars="0" w:firstLine="0" w:firstLineChars="0"/>
              <w:jc w:val="center"/>
              <w:rPr>
                <w:rFonts w:ascii="Arial" w:eastAsia="宋体"/>
                <w:spacing w:val="9"/>
                <w:sz w:val="21"/>
                <w:highlight w:val="none"/>
              </w:rPr>
            </w:pPr>
            <w:r>
              <w:rPr>
                <w:rFonts w:hint="eastAsia" w:ascii="Arial" w:eastAsia="宋体"/>
                <w:spacing w:val="8"/>
                <w:sz w:val="21"/>
                <w:highlight w:val="none"/>
                <w:lang w:val="en-US" w:eastAsia="zh-CN"/>
              </w:rPr>
              <w:t>-</w:t>
            </w:r>
          </w:p>
        </w:tc>
      </w:tr>
      <w:tr w14:paraId="56F4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428E1E1D">
            <w:pPr>
              <w:snapToGrid w:val="0"/>
              <w:ind w:left="0" w:leftChars="0" w:right="0" w:rightChars="0" w:firstLine="0" w:firstLineChars="0"/>
              <w:jc w:val="center"/>
              <w:rPr>
                <w:rFonts w:ascii="Arial" w:eastAsia="宋体"/>
                <w:b/>
                <w:bCs/>
                <w:sz w:val="21"/>
                <w:highlight w:val="none"/>
                <w:vertAlign w:val="baseline"/>
              </w:rPr>
            </w:pPr>
          </w:p>
        </w:tc>
        <w:tc>
          <w:tcPr>
            <w:tcW w:w="1044" w:type="dxa"/>
            <w:vAlign w:val="center"/>
          </w:tcPr>
          <w:p w14:paraId="4346FAA0">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巡查落实</w:t>
            </w:r>
          </w:p>
          <w:p w14:paraId="1192E01B">
            <w:pPr>
              <w:snapToGrid w:val="0"/>
              <w:ind w:left="0" w:leftChars="0" w:right="0" w:rightChars="0" w:firstLine="0" w:firstLineChars="0"/>
              <w:jc w:val="center"/>
              <w:rPr>
                <w:rFonts w:hint="eastAsia" w:ascii="Arial" w:eastAsia="宋体"/>
                <w:sz w:val="21"/>
                <w:highlight w:val="none"/>
                <w:lang w:val="en-US" w:eastAsia="zh-CN"/>
              </w:rPr>
            </w:pPr>
            <w:r>
              <w:rPr>
                <w:rFonts w:hint="eastAsia" w:ascii="Arial" w:eastAsia="宋体"/>
                <w:sz w:val="21"/>
                <w:highlight w:val="none"/>
                <w:vertAlign w:val="baseline"/>
                <w:lang w:val="en-US" w:eastAsia="zh-CN"/>
              </w:rPr>
              <w:t>（4分）</w:t>
            </w:r>
          </w:p>
        </w:tc>
        <w:tc>
          <w:tcPr>
            <w:tcW w:w="2735" w:type="dxa"/>
            <w:vAlign w:val="center"/>
          </w:tcPr>
          <w:p w14:paraId="6020F576">
            <w:pPr>
              <w:pStyle w:val="149"/>
              <w:snapToGrid w:val="0"/>
              <w:spacing w:before="111" w:line="240" w:lineRule="auto"/>
              <w:ind w:left="0" w:leftChars="0" w:right="0" w:rightChars="0" w:firstLine="0" w:firstLineChars="0"/>
              <w:jc w:val="left"/>
              <w:rPr>
                <w:rFonts w:hint="eastAsia" w:ascii="Arial" w:eastAsia="宋体"/>
                <w:spacing w:val="9"/>
                <w:sz w:val="21"/>
                <w:highlight w:val="none"/>
              </w:rPr>
            </w:pPr>
            <w:r>
              <w:rPr>
                <w:rFonts w:hint="eastAsia" w:ascii="Arial" w:eastAsia="宋体"/>
                <w:spacing w:val="9"/>
                <w:sz w:val="21"/>
                <w:highlight w:val="none"/>
              </w:rPr>
              <w:t>建立定期巡查制度，巡查不少于每日一次，发现问题及时整改；制定年、月度重点养护计划，并在年、月初5日前上报上年、月养护总结情况。</w:t>
            </w:r>
          </w:p>
          <w:p w14:paraId="03075670">
            <w:pPr>
              <w:pStyle w:val="149"/>
              <w:snapToGrid w:val="0"/>
              <w:spacing w:before="111" w:line="240" w:lineRule="auto"/>
              <w:ind w:left="0" w:leftChars="0" w:right="0" w:rightChars="0" w:firstLine="0" w:firstLineChars="0"/>
              <w:jc w:val="left"/>
              <w:rPr>
                <w:rFonts w:hint="eastAsia" w:ascii="Arial" w:eastAsia="宋体"/>
                <w:spacing w:val="9"/>
                <w:sz w:val="21"/>
                <w:highlight w:val="none"/>
              </w:rPr>
            </w:pPr>
            <w:r>
              <w:rPr>
                <w:rFonts w:hint="eastAsia" w:ascii="Arial" w:eastAsia="宋体"/>
                <w:spacing w:val="9"/>
                <w:sz w:val="21"/>
                <w:highlight w:val="none"/>
              </w:rPr>
              <w:t xml:space="preserve">2. </w:t>
            </w:r>
            <w:r>
              <w:rPr>
                <w:rFonts w:hint="eastAsia" w:ascii="Arial" w:eastAsia="宋体"/>
                <w:spacing w:val="9"/>
                <w:sz w:val="21"/>
                <w:highlight w:val="none"/>
                <w:lang w:eastAsia="zh-CN"/>
              </w:rPr>
              <w:t>不得</w:t>
            </w:r>
            <w:r>
              <w:rPr>
                <w:rFonts w:hint="eastAsia" w:ascii="Arial" w:eastAsia="宋体"/>
                <w:spacing w:val="9"/>
                <w:sz w:val="21"/>
                <w:highlight w:val="none"/>
              </w:rPr>
              <w:t>漏查明显病害（特别是桥梁隐患）。</w:t>
            </w:r>
          </w:p>
          <w:p w14:paraId="3F4253B0">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hint="eastAsia" w:ascii="Arial" w:eastAsia="宋体"/>
                <w:spacing w:val="9"/>
                <w:sz w:val="21"/>
                <w:highlight w:val="none"/>
              </w:rPr>
              <w:t>3. 占道/挖掘/桥下占用</w:t>
            </w:r>
            <w:r>
              <w:rPr>
                <w:rFonts w:hint="eastAsia" w:ascii="Arial" w:eastAsia="宋体"/>
                <w:spacing w:val="9"/>
                <w:sz w:val="21"/>
                <w:highlight w:val="none"/>
                <w:lang w:eastAsia="zh-CN"/>
              </w:rPr>
              <w:t>需及时</w:t>
            </w:r>
            <w:r>
              <w:rPr>
                <w:rFonts w:hint="eastAsia" w:ascii="Arial" w:eastAsia="宋体"/>
                <w:spacing w:val="9"/>
                <w:sz w:val="21"/>
                <w:highlight w:val="none"/>
              </w:rPr>
              <w:t>上报。</w:t>
            </w:r>
          </w:p>
        </w:tc>
        <w:tc>
          <w:tcPr>
            <w:tcW w:w="3000" w:type="dxa"/>
            <w:vAlign w:val="center"/>
          </w:tcPr>
          <w:p w14:paraId="1EDD6492">
            <w:pPr>
              <w:pStyle w:val="149"/>
              <w:snapToGrid w:val="0"/>
              <w:spacing w:before="111" w:line="240" w:lineRule="auto"/>
              <w:ind w:left="0" w:leftChars="0" w:right="0" w:rightChars="0" w:firstLine="0" w:firstLineChars="0"/>
              <w:jc w:val="left"/>
              <w:rPr>
                <w:rFonts w:hint="eastAsia" w:ascii="Arial" w:eastAsia="宋体"/>
                <w:spacing w:val="9"/>
                <w:sz w:val="21"/>
                <w:highlight w:val="none"/>
                <w:lang w:eastAsia="zh-CN"/>
              </w:rPr>
            </w:pPr>
            <w:r>
              <w:rPr>
                <w:rFonts w:hint="eastAsia" w:ascii="Arial" w:eastAsia="宋体"/>
                <w:spacing w:val="9"/>
                <w:sz w:val="21"/>
                <w:highlight w:val="none"/>
              </w:rPr>
              <w:t>1. 未建立定期巡查制度的，扣3分；巡查次数未达到要求，每次扣2分；巡查不到位每次扣1分；发现违规问题未及时上报的每次扣1分，发现问题未及时整改，每次扣2分；未按计划实施养护的每项扣1分。报表未及时上报的，每次扣2分（当月总分中）；报表存在漏报的，每次扣1分（当月总分中），存在虚报、瞒报的，每次扣4分（当月总分中）。</w:t>
            </w:r>
          </w:p>
        </w:tc>
        <w:tc>
          <w:tcPr>
            <w:tcW w:w="2176" w:type="dxa"/>
            <w:vAlign w:val="center"/>
          </w:tcPr>
          <w:p w14:paraId="2E77ECED">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hint="eastAsia" w:ascii="Arial" w:eastAsia="宋体"/>
                <w:spacing w:val="9"/>
                <w:sz w:val="21"/>
                <w:highlight w:val="none"/>
              </w:rPr>
              <w:t>对于中标人未按合同要求落实巡查人员、车辆或应当安排巡查但无故未巡查的，每次扣罚4000元。未按规定巡查频率对区域内的道路进行定期巡查的，发现问题不及时的，每发现一处扣罚1000元。发生道路占用、违章挖掘等未及时上报管理部门，每发现一起扣罚1000元。</w:t>
            </w:r>
          </w:p>
        </w:tc>
        <w:tc>
          <w:tcPr>
            <w:tcW w:w="660" w:type="dxa"/>
            <w:vAlign w:val="center"/>
          </w:tcPr>
          <w:p w14:paraId="36913E63">
            <w:pPr>
              <w:pStyle w:val="149"/>
              <w:snapToGrid w:val="0"/>
              <w:spacing w:before="111" w:line="240" w:lineRule="auto"/>
              <w:ind w:left="0" w:leftChars="0" w:right="0" w:rightChars="0" w:firstLine="0" w:firstLineChars="0"/>
              <w:jc w:val="right"/>
              <w:rPr>
                <w:rFonts w:hint="eastAsia" w:ascii="Arial" w:eastAsia="宋体"/>
                <w:spacing w:val="9"/>
                <w:sz w:val="21"/>
                <w:highlight w:val="none"/>
                <w:lang w:val="en-US" w:eastAsia="zh-CN"/>
              </w:rPr>
            </w:pPr>
          </w:p>
        </w:tc>
        <w:tc>
          <w:tcPr>
            <w:tcW w:w="674" w:type="dxa"/>
            <w:vAlign w:val="center"/>
          </w:tcPr>
          <w:p w14:paraId="7A8F9A77">
            <w:pPr>
              <w:pStyle w:val="149"/>
              <w:snapToGrid w:val="0"/>
              <w:spacing w:before="111" w:line="240" w:lineRule="auto"/>
              <w:ind w:left="0" w:leftChars="0" w:right="0" w:rightChars="0" w:firstLine="0" w:firstLineChars="0"/>
              <w:jc w:val="center"/>
              <w:rPr>
                <w:rFonts w:ascii="Arial" w:eastAsia="宋体"/>
                <w:spacing w:val="9"/>
                <w:sz w:val="21"/>
                <w:highlight w:val="none"/>
              </w:rPr>
            </w:pPr>
            <w:r>
              <w:rPr>
                <w:rFonts w:hint="eastAsia" w:ascii="Arial" w:eastAsia="宋体"/>
                <w:spacing w:val="9"/>
                <w:sz w:val="21"/>
                <w:highlight w:val="none"/>
                <w:lang w:val="en-US" w:eastAsia="zh-CN"/>
              </w:rPr>
              <w:t>-</w:t>
            </w:r>
          </w:p>
        </w:tc>
      </w:tr>
      <w:tr w14:paraId="48D2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61ADEB8B">
            <w:pPr>
              <w:snapToGrid w:val="0"/>
              <w:ind w:left="0" w:leftChars="0" w:right="0" w:rightChars="0" w:firstLine="0" w:firstLineChars="0"/>
              <w:jc w:val="center"/>
              <w:rPr>
                <w:rFonts w:ascii="Arial" w:eastAsia="宋体"/>
                <w:b/>
                <w:bCs/>
                <w:sz w:val="21"/>
                <w:highlight w:val="none"/>
                <w:vertAlign w:val="baseline"/>
              </w:rPr>
            </w:pPr>
          </w:p>
        </w:tc>
        <w:tc>
          <w:tcPr>
            <w:tcW w:w="1044" w:type="dxa"/>
            <w:vAlign w:val="center"/>
          </w:tcPr>
          <w:p w14:paraId="2D46FA6F">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内业资料</w:t>
            </w:r>
          </w:p>
          <w:p w14:paraId="4099DBAF">
            <w:pPr>
              <w:pStyle w:val="17"/>
              <w:snapToGrid w:val="0"/>
              <w:ind w:left="0" w:leftChars="0" w:right="0" w:rightChars="0" w:firstLine="0" w:firstLineChars="0"/>
              <w:jc w:val="center"/>
              <w:rPr>
                <w:rFonts w:hint="eastAsia" w:ascii="Arial" w:eastAsia="宋体"/>
                <w:sz w:val="21"/>
                <w:highlight w:val="none"/>
                <w:lang w:val="en-US" w:eastAsia="zh-CN"/>
              </w:rPr>
            </w:pPr>
            <w:r>
              <w:rPr>
                <w:rFonts w:hint="eastAsia" w:ascii="Arial" w:eastAsia="宋体"/>
                <w:sz w:val="21"/>
                <w:highlight w:val="none"/>
                <w:vertAlign w:val="baseline"/>
                <w:lang w:val="en-US" w:eastAsia="zh-CN"/>
              </w:rPr>
              <w:t>（2分）</w:t>
            </w:r>
          </w:p>
        </w:tc>
        <w:tc>
          <w:tcPr>
            <w:tcW w:w="2735" w:type="dxa"/>
            <w:vAlign w:val="center"/>
          </w:tcPr>
          <w:p w14:paraId="36C94547">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hint="eastAsia" w:ascii="Arial" w:eastAsia="宋体"/>
                <w:spacing w:val="9"/>
                <w:sz w:val="21"/>
                <w:highlight w:val="none"/>
              </w:rPr>
              <w:t>加强档案管理，各项作业记录</w:t>
            </w:r>
            <w:r>
              <w:rPr>
                <w:rFonts w:hint="eastAsia" w:ascii="Arial" w:eastAsia="宋体"/>
                <w:spacing w:val="9"/>
                <w:sz w:val="21"/>
                <w:highlight w:val="none"/>
                <w:lang w:eastAsia="zh-CN"/>
              </w:rPr>
              <w:t>（道路巡视记录、市政设施维修养护任务汇总、月度市政设施维修养护结算书、月度设施维修养护计划等）</w:t>
            </w:r>
            <w:r>
              <w:rPr>
                <w:rFonts w:hint="eastAsia" w:ascii="Arial" w:eastAsia="宋体"/>
                <w:spacing w:val="9"/>
                <w:sz w:val="21"/>
                <w:highlight w:val="none"/>
              </w:rPr>
              <w:t>、质检记录、计量记录等资料应及时整理、录入、归档。</w:t>
            </w:r>
          </w:p>
        </w:tc>
        <w:tc>
          <w:tcPr>
            <w:tcW w:w="3000" w:type="dxa"/>
            <w:vAlign w:val="center"/>
          </w:tcPr>
          <w:p w14:paraId="23D47302">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ascii="Arial" w:eastAsia="宋体"/>
                <w:spacing w:val="9"/>
                <w:sz w:val="21"/>
                <w:highlight w:val="none"/>
              </w:rPr>
              <w:t>资料不完善</w:t>
            </w:r>
            <w:r>
              <w:rPr>
                <w:rFonts w:hint="eastAsia" w:ascii="Arial" w:eastAsia="宋体"/>
                <w:spacing w:val="9"/>
                <w:sz w:val="21"/>
                <w:highlight w:val="none"/>
                <w:lang w:eastAsia="zh-CN"/>
              </w:rPr>
              <w:t>扣</w:t>
            </w:r>
            <w:r>
              <w:rPr>
                <w:rFonts w:hint="eastAsia" w:ascii="Arial" w:eastAsia="宋体"/>
                <w:spacing w:val="9"/>
                <w:sz w:val="21"/>
                <w:highlight w:val="none"/>
                <w:lang w:val="en-US" w:eastAsia="zh-CN"/>
              </w:rPr>
              <w:t>1分</w:t>
            </w:r>
            <w:r>
              <w:rPr>
                <w:rFonts w:hint="default" w:ascii="Arial" w:eastAsia="宋体"/>
                <w:spacing w:val="9"/>
                <w:sz w:val="21"/>
                <w:highlight w:val="none"/>
              </w:rPr>
              <w:t>；弄虚作假</w:t>
            </w:r>
            <w:r>
              <w:rPr>
                <w:rFonts w:hint="eastAsia" w:ascii="Arial" w:eastAsia="宋体"/>
                <w:spacing w:val="9"/>
                <w:sz w:val="21"/>
                <w:highlight w:val="none"/>
                <w:lang w:eastAsia="zh-CN"/>
              </w:rPr>
              <w:t>扣</w:t>
            </w:r>
            <w:r>
              <w:rPr>
                <w:rFonts w:hint="eastAsia" w:ascii="Arial" w:eastAsia="宋体"/>
                <w:spacing w:val="9"/>
                <w:sz w:val="21"/>
                <w:highlight w:val="none"/>
                <w:lang w:val="en-US" w:eastAsia="zh-CN"/>
              </w:rPr>
              <w:t>5分</w:t>
            </w:r>
            <w:r>
              <w:rPr>
                <w:rFonts w:hint="default" w:ascii="Arial" w:eastAsia="宋体"/>
                <w:spacing w:val="9"/>
                <w:sz w:val="21"/>
                <w:highlight w:val="none"/>
              </w:rPr>
              <w:t>。</w:t>
            </w:r>
          </w:p>
        </w:tc>
        <w:tc>
          <w:tcPr>
            <w:tcW w:w="2176" w:type="dxa"/>
            <w:vAlign w:val="center"/>
          </w:tcPr>
          <w:p w14:paraId="2931BAD7">
            <w:pPr>
              <w:pStyle w:val="149"/>
              <w:snapToGrid w:val="0"/>
              <w:spacing w:before="111" w:line="240" w:lineRule="auto"/>
              <w:ind w:left="0" w:leftChars="0" w:right="0" w:rightChars="0" w:firstLine="0" w:firstLineChars="0"/>
              <w:jc w:val="left"/>
              <w:rPr>
                <w:rFonts w:hint="eastAsia" w:ascii="Arial" w:eastAsia="宋体"/>
                <w:spacing w:val="9"/>
                <w:sz w:val="21"/>
                <w:highlight w:val="none"/>
                <w:lang w:eastAsia="zh-CN"/>
              </w:rPr>
            </w:pPr>
            <w:r>
              <w:rPr>
                <w:rFonts w:ascii="Arial" w:eastAsia="宋体"/>
                <w:spacing w:val="9"/>
                <w:sz w:val="21"/>
                <w:highlight w:val="none"/>
              </w:rPr>
              <w:t>资料不完善</w:t>
            </w:r>
            <w:r>
              <w:rPr>
                <w:rFonts w:hint="eastAsia" w:ascii="Arial" w:eastAsia="宋体"/>
                <w:spacing w:val="9"/>
                <w:sz w:val="21"/>
                <w:highlight w:val="none"/>
                <w:lang w:val="en-US" w:eastAsia="zh-CN"/>
              </w:rPr>
              <w:t>/弄虚作假</w:t>
            </w:r>
            <w:r>
              <w:rPr>
                <w:rFonts w:ascii="Arial" w:eastAsia="宋体"/>
                <w:spacing w:val="9"/>
                <w:sz w:val="21"/>
                <w:highlight w:val="none"/>
              </w:rPr>
              <w:t>每发现一次</w:t>
            </w:r>
            <w:r>
              <w:rPr>
                <w:rFonts w:hint="eastAsia" w:ascii="Arial" w:eastAsia="宋体"/>
                <w:spacing w:val="9"/>
                <w:sz w:val="21"/>
                <w:highlight w:val="none"/>
                <w:lang w:eastAsia="zh-CN"/>
              </w:rPr>
              <w:t>扣</w:t>
            </w:r>
            <w:r>
              <w:rPr>
                <w:rFonts w:ascii="Arial" w:eastAsia="宋体"/>
                <w:spacing w:val="9"/>
                <w:sz w:val="21"/>
                <w:highlight w:val="none"/>
              </w:rPr>
              <w:t>罚1000元</w:t>
            </w:r>
            <w:r>
              <w:rPr>
                <w:rFonts w:hint="eastAsia" w:ascii="Arial" w:eastAsia="宋体"/>
                <w:spacing w:val="9"/>
                <w:sz w:val="21"/>
                <w:highlight w:val="none"/>
                <w:lang w:eastAsia="zh-CN"/>
              </w:rPr>
              <w:t>。</w:t>
            </w:r>
          </w:p>
        </w:tc>
        <w:tc>
          <w:tcPr>
            <w:tcW w:w="660" w:type="dxa"/>
            <w:vAlign w:val="center"/>
          </w:tcPr>
          <w:p w14:paraId="14D2659B">
            <w:pPr>
              <w:pStyle w:val="149"/>
              <w:snapToGrid w:val="0"/>
              <w:spacing w:before="111" w:line="240" w:lineRule="auto"/>
              <w:ind w:left="0" w:leftChars="0" w:right="0" w:rightChars="0" w:firstLine="0" w:firstLineChars="0"/>
              <w:jc w:val="right"/>
              <w:rPr>
                <w:rFonts w:hint="eastAsia" w:ascii="Arial" w:eastAsia="宋体"/>
                <w:spacing w:val="9"/>
                <w:sz w:val="21"/>
                <w:highlight w:val="none"/>
                <w:lang w:val="en-US" w:eastAsia="zh-CN"/>
              </w:rPr>
            </w:pPr>
          </w:p>
        </w:tc>
        <w:tc>
          <w:tcPr>
            <w:tcW w:w="674" w:type="dxa"/>
            <w:vAlign w:val="center"/>
          </w:tcPr>
          <w:p w14:paraId="24E0A18D">
            <w:pPr>
              <w:pStyle w:val="149"/>
              <w:snapToGrid w:val="0"/>
              <w:spacing w:before="111" w:line="240" w:lineRule="auto"/>
              <w:ind w:left="0" w:leftChars="0" w:right="0" w:rightChars="0" w:firstLine="0" w:firstLineChars="0"/>
              <w:jc w:val="center"/>
              <w:rPr>
                <w:rFonts w:hint="eastAsia" w:ascii="Arial" w:eastAsia="宋体"/>
                <w:spacing w:val="9"/>
                <w:sz w:val="21"/>
                <w:highlight w:val="none"/>
                <w:lang w:val="en-US" w:eastAsia="zh-CN"/>
              </w:rPr>
            </w:pPr>
          </w:p>
        </w:tc>
      </w:tr>
      <w:tr w14:paraId="4C09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39CBCA94">
            <w:pPr>
              <w:snapToGrid w:val="0"/>
              <w:ind w:left="0" w:leftChars="0" w:right="0" w:rightChars="0" w:firstLine="0" w:firstLineChars="0"/>
              <w:jc w:val="center"/>
              <w:rPr>
                <w:rFonts w:ascii="Arial" w:eastAsia="宋体"/>
                <w:b/>
                <w:bCs/>
                <w:sz w:val="21"/>
                <w:highlight w:val="none"/>
                <w:vertAlign w:val="baseline"/>
              </w:rPr>
            </w:pPr>
          </w:p>
        </w:tc>
        <w:tc>
          <w:tcPr>
            <w:tcW w:w="1044" w:type="dxa"/>
            <w:vAlign w:val="center"/>
          </w:tcPr>
          <w:p w14:paraId="21A2D66F">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结算审计配合</w:t>
            </w:r>
          </w:p>
          <w:p w14:paraId="37B61A63">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（2分）</w:t>
            </w:r>
          </w:p>
        </w:tc>
        <w:tc>
          <w:tcPr>
            <w:tcW w:w="2735" w:type="dxa"/>
            <w:vAlign w:val="center"/>
          </w:tcPr>
          <w:p w14:paraId="6BCFA252">
            <w:pPr>
              <w:pStyle w:val="149"/>
              <w:snapToGrid w:val="0"/>
              <w:spacing w:before="111" w:line="240" w:lineRule="auto"/>
              <w:ind w:left="0" w:leftChars="0" w:right="0" w:rightChars="0" w:firstLine="0" w:firstLineChars="0"/>
              <w:jc w:val="left"/>
              <w:rPr>
                <w:rFonts w:ascii="Arial" w:eastAsia="宋体"/>
                <w:spacing w:val="9"/>
                <w:sz w:val="21"/>
                <w:highlight w:val="none"/>
              </w:rPr>
            </w:pPr>
            <w:r>
              <w:rPr>
                <w:rFonts w:hint="eastAsia" w:ascii="Arial" w:eastAsia="宋体"/>
                <w:spacing w:val="9"/>
                <w:sz w:val="21"/>
                <w:highlight w:val="none"/>
                <w:lang w:eastAsia="zh-CN"/>
              </w:rPr>
              <w:t>结算</w:t>
            </w:r>
            <w:r>
              <w:rPr>
                <w:rFonts w:ascii="Arial" w:eastAsia="宋体"/>
                <w:spacing w:val="9"/>
                <w:sz w:val="21"/>
                <w:highlight w:val="none"/>
              </w:rPr>
              <w:t>审计</w:t>
            </w:r>
            <w:r>
              <w:rPr>
                <w:rFonts w:hint="eastAsia" w:ascii="Arial" w:eastAsia="宋体"/>
                <w:spacing w:val="9"/>
                <w:sz w:val="21"/>
                <w:highlight w:val="none"/>
                <w:lang w:eastAsia="zh-CN"/>
              </w:rPr>
              <w:t>不得</w:t>
            </w:r>
            <w:r>
              <w:rPr>
                <w:rFonts w:ascii="Arial" w:eastAsia="宋体"/>
                <w:spacing w:val="9"/>
                <w:sz w:val="21"/>
                <w:highlight w:val="none"/>
              </w:rPr>
              <w:t>超45日</w:t>
            </w:r>
          </w:p>
        </w:tc>
        <w:tc>
          <w:tcPr>
            <w:tcW w:w="3000" w:type="dxa"/>
            <w:vAlign w:val="center"/>
          </w:tcPr>
          <w:p w14:paraId="67797BDB">
            <w:pPr>
              <w:pStyle w:val="149"/>
              <w:snapToGrid w:val="0"/>
              <w:spacing w:before="111" w:line="240" w:lineRule="auto"/>
              <w:ind w:left="0" w:leftChars="0" w:right="0" w:rightChars="0" w:firstLine="0" w:firstLineChars="0"/>
              <w:jc w:val="left"/>
              <w:rPr>
                <w:rFonts w:hint="eastAsia" w:ascii="Arial" w:eastAsia="宋体"/>
                <w:spacing w:val="9"/>
                <w:sz w:val="21"/>
                <w:highlight w:val="none"/>
                <w:lang w:val="en-US" w:eastAsia="zh-CN"/>
              </w:rPr>
            </w:pPr>
            <w:r>
              <w:rPr>
                <w:rFonts w:ascii="Arial" w:eastAsia="宋体"/>
                <w:spacing w:val="9"/>
                <w:sz w:val="21"/>
                <w:highlight w:val="none"/>
              </w:rPr>
              <w:t>因中标人原因导致</w:t>
            </w:r>
            <w:r>
              <w:rPr>
                <w:rFonts w:hint="eastAsia" w:ascii="Arial" w:eastAsia="宋体"/>
                <w:spacing w:val="9"/>
                <w:sz w:val="21"/>
                <w:highlight w:val="none"/>
                <w:lang w:eastAsia="zh-CN"/>
              </w:rPr>
              <w:t>一次</w:t>
            </w:r>
            <w:r>
              <w:rPr>
                <w:rFonts w:ascii="Arial" w:eastAsia="宋体"/>
                <w:spacing w:val="9"/>
                <w:sz w:val="21"/>
                <w:highlight w:val="none"/>
              </w:rPr>
              <w:t>扣</w:t>
            </w:r>
            <w:r>
              <w:rPr>
                <w:rFonts w:hint="eastAsia" w:ascii="Arial" w:eastAsia="宋体"/>
                <w:spacing w:val="9"/>
                <w:sz w:val="21"/>
                <w:highlight w:val="none"/>
                <w:lang w:val="en-US" w:eastAsia="zh-CN"/>
              </w:rPr>
              <w:t>1分</w:t>
            </w:r>
          </w:p>
        </w:tc>
        <w:tc>
          <w:tcPr>
            <w:tcW w:w="2176" w:type="dxa"/>
            <w:vAlign w:val="center"/>
          </w:tcPr>
          <w:p w14:paraId="4790715B">
            <w:pPr>
              <w:pStyle w:val="149"/>
              <w:snapToGrid w:val="0"/>
              <w:spacing w:before="111" w:line="240" w:lineRule="auto"/>
              <w:ind w:left="0" w:leftChars="0" w:right="0" w:rightChars="0" w:firstLine="0" w:firstLineChars="0"/>
              <w:jc w:val="left"/>
              <w:rPr>
                <w:rFonts w:hint="eastAsia" w:ascii="Arial" w:eastAsia="宋体"/>
                <w:spacing w:val="9"/>
                <w:sz w:val="21"/>
                <w:highlight w:val="none"/>
                <w:lang w:eastAsia="zh-CN"/>
              </w:rPr>
            </w:pPr>
            <w:r>
              <w:rPr>
                <w:rFonts w:ascii="Arial" w:eastAsia="宋体"/>
                <w:spacing w:val="9"/>
                <w:sz w:val="21"/>
                <w:highlight w:val="none"/>
              </w:rPr>
              <w:t>因中标人原因导致</w:t>
            </w:r>
            <w:r>
              <w:rPr>
                <w:rFonts w:hint="eastAsia" w:ascii="Arial" w:eastAsia="宋体"/>
                <w:spacing w:val="9"/>
                <w:sz w:val="21"/>
                <w:highlight w:val="none"/>
                <w:lang w:eastAsia="zh-CN"/>
              </w:rPr>
              <w:t>一次</w:t>
            </w:r>
            <w:r>
              <w:rPr>
                <w:rFonts w:ascii="Arial" w:eastAsia="宋体"/>
                <w:spacing w:val="9"/>
                <w:sz w:val="21"/>
                <w:highlight w:val="none"/>
              </w:rPr>
              <w:t>扣罚3000元</w:t>
            </w:r>
            <w:r>
              <w:rPr>
                <w:rFonts w:hint="eastAsia" w:ascii="Arial" w:eastAsia="宋体"/>
                <w:spacing w:val="9"/>
                <w:sz w:val="21"/>
                <w:highlight w:val="none"/>
                <w:lang w:eastAsia="zh-CN"/>
              </w:rPr>
              <w:t>。</w:t>
            </w:r>
          </w:p>
        </w:tc>
        <w:tc>
          <w:tcPr>
            <w:tcW w:w="660" w:type="dxa"/>
            <w:vAlign w:val="center"/>
          </w:tcPr>
          <w:p w14:paraId="338442B9">
            <w:pPr>
              <w:pStyle w:val="149"/>
              <w:snapToGrid w:val="0"/>
              <w:spacing w:before="111" w:line="240" w:lineRule="auto"/>
              <w:ind w:left="0" w:leftChars="0" w:right="0" w:rightChars="0" w:firstLine="0" w:firstLineChars="0"/>
              <w:jc w:val="right"/>
              <w:rPr>
                <w:rFonts w:hint="eastAsia" w:ascii="Arial" w:eastAsia="宋体"/>
                <w:spacing w:val="9"/>
                <w:sz w:val="21"/>
                <w:highlight w:val="none"/>
                <w:lang w:val="en-US" w:eastAsia="zh-CN"/>
              </w:rPr>
            </w:pPr>
          </w:p>
        </w:tc>
        <w:tc>
          <w:tcPr>
            <w:tcW w:w="674" w:type="dxa"/>
            <w:vAlign w:val="center"/>
          </w:tcPr>
          <w:p w14:paraId="0B2A7114">
            <w:pPr>
              <w:pStyle w:val="149"/>
              <w:snapToGrid w:val="0"/>
              <w:spacing w:before="111" w:line="240" w:lineRule="auto"/>
              <w:ind w:left="0" w:leftChars="0" w:right="0" w:rightChars="0" w:firstLine="0" w:firstLineChars="0"/>
              <w:jc w:val="center"/>
              <w:rPr>
                <w:rFonts w:ascii="Arial" w:eastAsia="宋体"/>
                <w:spacing w:val="9"/>
                <w:sz w:val="21"/>
                <w:highlight w:val="none"/>
              </w:rPr>
            </w:pPr>
            <w:r>
              <w:rPr>
                <w:rFonts w:hint="eastAsia" w:ascii="Arial" w:eastAsia="宋体"/>
                <w:spacing w:val="9"/>
                <w:sz w:val="21"/>
                <w:highlight w:val="none"/>
                <w:lang w:val="en-US" w:eastAsia="zh-CN"/>
              </w:rPr>
              <w:t>-</w:t>
            </w:r>
          </w:p>
        </w:tc>
      </w:tr>
      <w:tr w14:paraId="7331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restart"/>
            <w:vAlign w:val="center"/>
          </w:tcPr>
          <w:p w14:paraId="2CDBCD63">
            <w:pPr>
              <w:snapToGrid w:val="0"/>
              <w:ind w:left="0" w:leftChars="0" w:right="0" w:rightChars="0" w:firstLine="0" w:firstLineChars="0"/>
              <w:jc w:val="center"/>
              <w:rPr>
                <w:rFonts w:hint="eastAsia" w:ascii="Arial" w:eastAsia="宋体"/>
                <w:b/>
                <w:bCs/>
                <w:sz w:val="21"/>
                <w:highlight w:val="none"/>
                <w:vertAlign w:val="baseline"/>
                <w:lang w:eastAsia="zh-CN"/>
              </w:rPr>
            </w:pPr>
            <w:r>
              <w:rPr>
                <w:rFonts w:hint="eastAsia" w:ascii="Arial" w:eastAsia="宋体"/>
                <w:b/>
                <w:bCs/>
                <w:sz w:val="21"/>
                <w:highlight w:val="none"/>
                <w:vertAlign w:val="baseline"/>
                <w:lang w:val="en-US" w:eastAsia="zh-CN"/>
              </w:rPr>
              <w:t>二、道路路面养护（35分）</w:t>
            </w:r>
          </w:p>
        </w:tc>
        <w:tc>
          <w:tcPr>
            <w:tcW w:w="1044" w:type="dxa"/>
            <w:vMerge w:val="restart"/>
            <w:vAlign w:val="center"/>
          </w:tcPr>
          <w:p w14:paraId="263DF690">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沥青</w:t>
            </w:r>
          </w:p>
          <w:p w14:paraId="5EDC13A8">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路面</w:t>
            </w:r>
          </w:p>
          <w:p w14:paraId="6F7A34D9">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（15分）</w:t>
            </w:r>
          </w:p>
        </w:tc>
        <w:tc>
          <w:tcPr>
            <w:tcW w:w="2735" w:type="dxa"/>
            <w:shd w:val="clear" w:color="auto" w:fill="auto"/>
            <w:vAlign w:val="center"/>
          </w:tcPr>
          <w:p w14:paraId="376EB10B">
            <w:pPr>
              <w:pStyle w:val="149"/>
              <w:snapToGrid w:val="0"/>
              <w:spacing w:before="111"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9"/>
                <w:sz w:val="21"/>
                <w:highlight w:val="none"/>
              </w:rPr>
              <w:t>沥青铣刨规范，整体美观，铣刨面层深度达</w:t>
            </w:r>
            <w:r>
              <w:rPr>
                <w:rFonts w:ascii="Arial" w:eastAsia="宋体"/>
                <w:spacing w:val="8"/>
                <w:sz w:val="21"/>
                <w:highlight w:val="none"/>
              </w:rPr>
              <w:t>到要求，铣刨平整度满足要求；</w:t>
            </w:r>
          </w:p>
        </w:tc>
        <w:tc>
          <w:tcPr>
            <w:tcW w:w="3000" w:type="dxa"/>
            <w:shd w:val="clear" w:color="auto" w:fill="auto"/>
            <w:vAlign w:val="center"/>
          </w:tcPr>
          <w:p w14:paraId="742C53BE">
            <w:pPr>
              <w:pStyle w:val="149"/>
              <w:snapToGrid w:val="0"/>
              <w:spacing w:before="111"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铣刨不规范、铣刨深度、基底平整度不符</w:t>
            </w:r>
            <w:r>
              <w:rPr>
                <w:rFonts w:ascii="Arial" w:eastAsia="宋体"/>
                <w:spacing w:val="7"/>
                <w:sz w:val="21"/>
                <w:highlight w:val="none"/>
              </w:rPr>
              <w:t>要求的，每发现</w:t>
            </w:r>
            <w:r>
              <w:rPr>
                <w:rFonts w:ascii="Arial" w:hAnsi="Times New Roman" w:eastAsia="宋体" w:cs="Times New Roman"/>
                <w:spacing w:val="7"/>
                <w:sz w:val="21"/>
                <w:highlight w:val="none"/>
              </w:rPr>
              <w:t>1</w:t>
            </w:r>
            <w:r>
              <w:rPr>
                <w:rFonts w:ascii="Arial" w:eastAsia="宋体"/>
                <w:spacing w:val="7"/>
                <w:sz w:val="21"/>
                <w:highlight w:val="none"/>
              </w:rPr>
              <w:t>处，扣</w:t>
            </w:r>
            <w:r>
              <w:rPr>
                <w:rFonts w:ascii="Arial" w:hAnsi="Times New Roman" w:eastAsia="宋体" w:cs="Times New Roman"/>
                <w:spacing w:val="7"/>
                <w:sz w:val="21"/>
                <w:highlight w:val="none"/>
              </w:rPr>
              <w:t>1</w:t>
            </w:r>
            <w:r>
              <w:rPr>
                <w:rFonts w:ascii="Arial" w:eastAsia="宋体"/>
                <w:spacing w:val="7"/>
                <w:sz w:val="21"/>
                <w:highlight w:val="none"/>
              </w:rPr>
              <w:t>分。</w:t>
            </w:r>
          </w:p>
        </w:tc>
        <w:tc>
          <w:tcPr>
            <w:tcW w:w="2176" w:type="dxa"/>
            <w:vAlign w:val="center"/>
          </w:tcPr>
          <w:p w14:paraId="48817EDA">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60EC86EB">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74095357">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079D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5CD2BDA5">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171A7503">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544EFE89">
            <w:pPr>
              <w:pStyle w:val="149"/>
              <w:snapToGrid w:val="0"/>
              <w:spacing w:before="235"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8"/>
                <w:sz w:val="21"/>
                <w:highlight w:val="none"/>
              </w:rPr>
              <w:t>沥青切割方正、接边平顺，无啃边现象；</w:t>
            </w:r>
          </w:p>
        </w:tc>
        <w:tc>
          <w:tcPr>
            <w:tcW w:w="3000" w:type="dxa"/>
            <w:shd w:val="clear" w:color="auto" w:fill="auto"/>
            <w:vAlign w:val="center"/>
          </w:tcPr>
          <w:p w14:paraId="704386C7">
            <w:pPr>
              <w:pStyle w:val="149"/>
              <w:snapToGrid w:val="0"/>
              <w:spacing w:before="97"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未切割或切割不规范的，接边有啃边现象的，每发现</w:t>
            </w:r>
            <w:r>
              <w:rPr>
                <w:rFonts w:ascii="Arial" w:hAnsi="Times New Roman" w:eastAsia="宋体" w:cs="Times New Roman"/>
                <w:spacing w:val="5"/>
                <w:sz w:val="21"/>
                <w:highlight w:val="none"/>
              </w:rPr>
              <w:t>1</w:t>
            </w:r>
            <w:r>
              <w:rPr>
                <w:rFonts w:ascii="Arial" w:eastAsia="宋体"/>
                <w:spacing w:val="5"/>
                <w:sz w:val="21"/>
                <w:highlight w:val="none"/>
              </w:rPr>
              <w:t xml:space="preserve">处，扣 </w:t>
            </w:r>
            <w:r>
              <w:rPr>
                <w:rFonts w:ascii="Arial" w:hAnsi="Times New Roman" w:eastAsia="宋体" w:cs="Times New Roman"/>
                <w:spacing w:val="5"/>
                <w:sz w:val="21"/>
                <w:highlight w:val="none"/>
              </w:rPr>
              <w:t xml:space="preserve">0.2  </w:t>
            </w:r>
            <w:r>
              <w:rPr>
                <w:rFonts w:ascii="Arial" w:eastAsia="宋体"/>
                <w:spacing w:val="5"/>
                <w:sz w:val="21"/>
                <w:highlight w:val="none"/>
              </w:rPr>
              <w:t>分。</w:t>
            </w:r>
          </w:p>
        </w:tc>
        <w:tc>
          <w:tcPr>
            <w:tcW w:w="2176" w:type="dxa"/>
            <w:vAlign w:val="center"/>
          </w:tcPr>
          <w:p w14:paraId="685DFA97">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75DD4388">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670B071B">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198B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6EC2480E">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195B4A9C">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2101B978">
            <w:pPr>
              <w:pStyle w:val="149"/>
              <w:snapToGrid w:val="0"/>
              <w:spacing w:before="184"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9"/>
                <w:sz w:val="21"/>
                <w:highlight w:val="none"/>
              </w:rPr>
              <w:t>沥青摊铺前应确保基底整洁、无杂物，乳化</w:t>
            </w:r>
            <w:r>
              <w:rPr>
                <w:rFonts w:ascii="Arial" w:eastAsia="宋体"/>
                <w:spacing w:val="8"/>
                <w:sz w:val="21"/>
                <w:highlight w:val="none"/>
              </w:rPr>
              <w:t>沥青喷洒均匀、计量准确；</w:t>
            </w:r>
          </w:p>
        </w:tc>
        <w:tc>
          <w:tcPr>
            <w:tcW w:w="3000" w:type="dxa"/>
            <w:shd w:val="clear" w:color="auto" w:fill="auto"/>
            <w:vAlign w:val="center"/>
          </w:tcPr>
          <w:p w14:paraId="5D69AC41">
            <w:pPr>
              <w:pStyle w:val="149"/>
              <w:snapToGrid w:val="0"/>
              <w:spacing w:before="46"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沥青摊铺前，未清理基底、未喷洒乳化沥</w:t>
            </w:r>
            <w:r>
              <w:rPr>
                <w:rFonts w:ascii="Arial" w:eastAsia="宋体"/>
                <w:spacing w:val="6"/>
                <w:sz w:val="21"/>
                <w:highlight w:val="none"/>
              </w:rPr>
              <w:t>青（或喷洒不均匀的</w:t>
            </w:r>
            <w:r>
              <w:rPr>
                <w:rFonts w:ascii="Arial" w:eastAsia="宋体"/>
                <w:spacing w:val="19"/>
                <w:sz w:val="21"/>
                <w:highlight w:val="none"/>
              </w:rPr>
              <w:t>），</w:t>
            </w:r>
            <w:r>
              <w:rPr>
                <w:rFonts w:ascii="Arial" w:eastAsia="宋体"/>
                <w:spacing w:val="6"/>
                <w:sz w:val="21"/>
                <w:highlight w:val="none"/>
              </w:rPr>
              <w:t>每发现</w:t>
            </w:r>
            <w:r>
              <w:rPr>
                <w:rFonts w:ascii="Arial" w:hAnsi="Times New Roman" w:eastAsia="宋体" w:cs="Times New Roman"/>
                <w:spacing w:val="6"/>
                <w:sz w:val="21"/>
                <w:highlight w:val="none"/>
              </w:rPr>
              <w:t xml:space="preserve">1 </w:t>
            </w:r>
            <w:r>
              <w:rPr>
                <w:rFonts w:ascii="Arial" w:eastAsia="宋体"/>
                <w:spacing w:val="6"/>
                <w:sz w:val="21"/>
                <w:highlight w:val="none"/>
              </w:rPr>
              <w:t>处，</w:t>
            </w:r>
            <w:r>
              <w:rPr>
                <w:rFonts w:ascii="Arial" w:eastAsia="宋体"/>
                <w:sz w:val="21"/>
                <w:highlight w:val="none"/>
              </w:rPr>
              <w:t>扣</w:t>
            </w:r>
            <w:r>
              <w:rPr>
                <w:rFonts w:ascii="Arial" w:eastAsia="宋体"/>
                <w:spacing w:val="15"/>
                <w:sz w:val="21"/>
                <w:highlight w:val="none"/>
              </w:rPr>
              <w:t xml:space="preserve"> </w:t>
            </w:r>
            <w:r>
              <w:rPr>
                <w:rFonts w:ascii="Arial" w:hAnsi="Times New Roman" w:eastAsia="宋体" w:cs="Times New Roman"/>
                <w:sz w:val="21"/>
                <w:highlight w:val="none"/>
              </w:rPr>
              <w:t>0.2</w:t>
            </w:r>
            <w:r>
              <w:rPr>
                <w:rFonts w:ascii="Arial" w:hAnsi="Times New Roman" w:eastAsia="宋体" w:cs="Times New Roman"/>
                <w:spacing w:val="7"/>
                <w:sz w:val="21"/>
                <w:highlight w:val="none"/>
              </w:rPr>
              <w:t xml:space="preserve"> </w:t>
            </w:r>
            <w:r>
              <w:rPr>
                <w:rFonts w:ascii="Arial" w:eastAsia="宋体"/>
                <w:sz w:val="21"/>
                <w:highlight w:val="none"/>
              </w:rPr>
              <w:t>分。</w:t>
            </w:r>
          </w:p>
        </w:tc>
        <w:tc>
          <w:tcPr>
            <w:tcW w:w="2176" w:type="dxa"/>
            <w:vAlign w:val="center"/>
          </w:tcPr>
          <w:p w14:paraId="41118C09">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5D5D5B91">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76560E86">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4E9F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5FE38A3B">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55DD4289">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0CDCE6EF">
            <w:pPr>
              <w:pStyle w:val="149"/>
              <w:snapToGrid w:val="0"/>
              <w:spacing w:before="88"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9"/>
                <w:sz w:val="21"/>
                <w:highlight w:val="none"/>
              </w:rPr>
              <w:t>沥青摊铺平整、与井框或其它构筑物高差不</w:t>
            </w:r>
            <w:r>
              <w:rPr>
                <w:rFonts w:ascii="Arial" w:eastAsia="宋体"/>
                <w:spacing w:val="3"/>
                <w:sz w:val="21"/>
                <w:highlight w:val="none"/>
              </w:rPr>
              <w:t>大于</w:t>
            </w:r>
            <w:r>
              <w:rPr>
                <w:rFonts w:ascii="Arial" w:eastAsia="宋体"/>
                <w:spacing w:val="19"/>
                <w:sz w:val="21"/>
                <w:highlight w:val="none"/>
              </w:rPr>
              <w:t xml:space="preserve"> </w:t>
            </w:r>
            <w:r>
              <w:rPr>
                <w:rFonts w:ascii="Arial" w:hAnsi="Times New Roman" w:eastAsia="宋体" w:cs="Times New Roman"/>
                <w:spacing w:val="3"/>
                <w:sz w:val="21"/>
                <w:highlight w:val="none"/>
              </w:rPr>
              <w:t>5</w:t>
            </w:r>
            <w:r>
              <w:rPr>
                <w:rFonts w:ascii="Arial" w:hAnsi="Times New Roman" w:eastAsia="宋体" w:cs="Times New Roman"/>
                <w:sz w:val="21"/>
                <w:highlight w:val="none"/>
              </w:rPr>
              <w:t>mm</w:t>
            </w:r>
            <w:r>
              <w:rPr>
                <w:rFonts w:ascii="Arial" w:eastAsia="宋体"/>
                <w:spacing w:val="3"/>
                <w:sz w:val="21"/>
                <w:highlight w:val="none"/>
              </w:rPr>
              <w:t>；</w:t>
            </w:r>
          </w:p>
        </w:tc>
        <w:tc>
          <w:tcPr>
            <w:tcW w:w="3000" w:type="dxa"/>
            <w:shd w:val="clear" w:color="auto" w:fill="auto"/>
            <w:vAlign w:val="center"/>
          </w:tcPr>
          <w:p w14:paraId="04465ECA">
            <w:pPr>
              <w:pStyle w:val="149"/>
              <w:snapToGrid w:val="0"/>
              <w:spacing w:before="58"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8"/>
                <w:sz w:val="21"/>
                <w:highlight w:val="none"/>
              </w:rPr>
              <w:t>维修后沥青路面平整度不符要求的，扣</w:t>
            </w:r>
            <w:r>
              <w:rPr>
                <w:rFonts w:ascii="Arial" w:hAnsi="Times New Roman" w:eastAsia="宋体" w:cs="Times New Roman"/>
                <w:spacing w:val="8"/>
                <w:sz w:val="21"/>
                <w:highlight w:val="none"/>
              </w:rPr>
              <w:t>1</w:t>
            </w:r>
            <w:r>
              <w:rPr>
                <w:rFonts w:ascii="Arial" w:eastAsia="宋体"/>
                <w:spacing w:val="-1"/>
                <w:sz w:val="21"/>
                <w:highlight w:val="none"/>
              </w:rPr>
              <w:t>分。</w:t>
            </w:r>
          </w:p>
        </w:tc>
        <w:tc>
          <w:tcPr>
            <w:tcW w:w="2176" w:type="dxa"/>
            <w:vAlign w:val="center"/>
          </w:tcPr>
          <w:p w14:paraId="6B69F35E">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6731E5C6">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274457C3">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7F44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26" w:type="dxa"/>
            <w:vMerge w:val="continue"/>
            <w:vAlign w:val="center"/>
          </w:tcPr>
          <w:p w14:paraId="61EF6F0B">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39AD83BB">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40F06458">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rPr>
              <w:t>沥青碾压规范、压实充分，表面颗粒无松散现象；</w:t>
            </w:r>
          </w:p>
        </w:tc>
        <w:tc>
          <w:tcPr>
            <w:tcW w:w="3000" w:type="dxa"/>
            <w:shd w:val="clear" w:color="auto" w:fill="auto"/>
            <w:vAlign w:val="center"/>
          </w:tcPr>
          <w:p w14:paraId="013496BC">
            <w:pPr>
              <w:pStyle w:val="149"/>
              <w:snapToGrid w:val="0"/>
              <w:spacing w:before="132"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沥青压实不充分的，表面颗粒有松散现象</w:t>
            </w:r>
            <w:r>
              <w:rPr>
                <w:rFonts w:ascii="Arial" w:eastAsia="宋体"/>
                <w:spacing w:val="1"/>
                <w:sz w:val="21"/>
                <w:highlight w:val="none"/>
              </w:rPr>
              <w:t>的，每发现</w:t>
            </w:r>
            <w:r>
              <w:rPr>
                <w:rFonts w:ascii="Arial" w:hAnsi="Times New Roman" w:eastAsia="宋体" w:cs="Times New Roman"/>
                <w:spacing w:val="1"/>
                <w:sz w:val="21"/>
                <w:highlight w:val="none"/>
              </w:rPr>
              <w:t xml:space="preserve">1 </w:t>
            </w:r>
            <w:r>
              <w:rPr>
                <w:rFonts w:ascii="Arial" w:eastAsia="宋体"/>
                <w:spacing w:val="1"/>
                <w:sz w:val="21"/>
                <w:highlight w:val="none"/>
              </w:rPr>
              <w:t>处，扣</w:t>
            </w:r>
            <w:r>
              <w:rPr>
                <w:rFonts w:ascii="Arial" w:eastAsia="宋体"/>
                <w:spacing w:val="30"/>
                <w:sz w:val="21"/>
                <w:highlight w:val="none"/>
              </w:rPr>
              <w:t xml:space="preserve"> </w:t>
            </w:r>
            <w:r>
              <w:rPr>
                <w:rFonts w:ascii="Arial" w:hAnsi="Times New Roman" w:eastAsia="宋体" w:cs="Times New Roman"/>
                <w:spacing w:val="1"/>
                <w:sz w:val="21"/>
                <w:highlight w:val="none"/>
              </w:rPr>
              <w:t>1</w:t>
            </w:r>
            <w:r>
              <w:rPr>
                <w:rFonts w:ascii="Arial" w:hAnsi="Times New Roman" w:eastAsia="宋体" w:cs="Times New Roman"/>
                <w:spacing w:val="7"/>
                <w:sz w:val="21"/>
                <w:highlight w:val="none"/>
              </w:rPr>
              <w:t xml:space="preserve"> </w:t>
            </w:r>
            <w:r>
              <w:rPr>
                <w:rFonts w:ascii="Arial" w:eastAsia="宋体"/>
                <w:spacing w:val="1"/>
                <w:sz w:val="21"/>
                <w:highlight w:val="none"/>
              </w:rPr>
              <w:t>分。</w:t>
            </w:r>
          </w:p>
        </w:tc>
        <w:tc>
          <w:tcPr>
            <w:tcW w:w="2176" w:type="dxa"/>
            <w:vAlign w:val="center"/>
          </w:tcPr>
          <w:p w14:paraId="251D892B">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0E13DA52">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6E1DB0D6">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4C18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dxa"/>
            <w:vMerge w:val="continue"/>
            <w:vAlign w:val="center"/>
          </w:tcPr>
          <w:p w14:paraId="0730D348">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42F9EDA0">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0D039942">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rPr>
              <w:t>沥青坑槽修补须用乳化沥青作封边处理；</w:t>
            </w:r>
          </w:p>
        </w:tc>
        <w:tc>
          <w:tcPr>
            <w:tcW w:w="3000" w:type="dxa"/>
            <w:shd w:val="clear" w:color="auto" w:fill="auto"/>
            <w:vAlign w:val="center"/>
          </w:tcPr>
          <w:p w14:paraId="23F9E36A">
            <w:pPr>
              <w:pStyle w:val="149"/>
              <w:snapToGrid w:val="0"/>
              <w:spacing w:before="45"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6"/>
                <w:sz w:val="21"/>
                <w:highlight w:val="none"/>
              </w:rPr>
              <w:t>坑槽修补未作封边处理的，每发现</w:t>
            </w:r>
            <w:r>
              <w:rPr>
                <w:rFonts w:ascii="Arial" w:hAnsi="Times New Roman" w:eastAsia="宋体" w:cs="Times New Roman"/>
                <w:spacing w:val="6"/>
                <w:sz w:val="21"/>
                <w:highlight w:val="none"/>
              </w:rPr>
              <w:t>1</w:t>
            </w:r>
            <w:r>
              <w:rPr>
                <w:rFonts w:ascii="Arial" w:eastAsia="宋体"/>
                <w:spacing w:val="6"/>
                <w:sz w:val="21"/>
                <w:highlight w:val="none"/>
              </w:rPr>
              <w:t>处，</w:t>
            </w:r>
            <w:r>
              <w:rPr>
                <w:rFonts w:ascii="Arial" w:eastAsia="宋体"/>
                <w:sz w:val="21"/>
                <w:highlight w:val="none"/>
              </w:rPr>
              <w:t>扣</w:t>
            </w:r>
            <w:r>
              <w:rPr>
                <w:rFonts w:ascii="Arial" w:eastAsia="宋体"/>
                <w:spacing w:val="13"/>
                <w:sz w:val="21"/>
                <w:highlight w:val="none"/>
              </w:rPr>
              <w:t xml:space="preserve"> </w:t>
            </w:r>
            <w:r>
              <w:rPr>
                <w:rFonts w:ascii="Arial" w:hAnsi="Times New Roman" w:eastAsia="宋体" w:cs="Times New Roman"/>
                <w:sz w:val="21"/>
                <w:highlight w:val="none"/>
              </w:rPr>
              <w:t>0.5</w:t>
            </w:r>
            <w:r>
              <w:rPr>
                <w:rFonts w:ascii="Arial" w:hAnsi="Times New Roman" w:eastAsia="宋体" w:cs="Times New Roman"/>
                <w:spacing w:val="7"/>
                <w:sz w:val="21"/>
                <w:highlight w:val="none"/>
              </w:rPr>
              <w:t xml:space="preserve"> </w:t>
            </w:r>
            <w:r>
              <w:rPr>
                <w:rFonts w:ascii="Arial" w:eastAsia="宋体"/>
                <w:sz w:val="21"/>
                <w:highlight w:val="none"/>
              </w:rPr>
              <w:t>分。</w:t>
            </w:r>
          </w:p>
        </w:tc>
        <w:tc>
          <w:tcPr>
            <w:tcW w:w="2176" w:type="dxa"/>
            <w:vAlign w:val="center"/>
          </w:tcPr>
          <w:p w14:paraId="1986ED41">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07A19FDF">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7C0E2D0B">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529B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3AEF30A2">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18B6E39A">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1A79AADF">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rPr>
              <w:t>沥青路面无网裂、拥包、坑槽、沉陷、脱皮等病害；</w:t>
            </w:r>
          </w:p>
        </w:tc>
        <w:tc>
          <w:tcPr>
            <w:tcW w:w="3000" w:type="dxa"/>
            <w:shd w:val="clear" w:color="auto" w:fill="auto"/>
            <w:vAlign w:val="center"/>
          </w:tcPr>
          <w:p w14:paraId="7EB69C54">
            <w:pPr>
              <w:pStyle w:val="149"/>
              <w:snapToGrid w:val="0"/>
              <w:spacing w:before="49"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沥青路面维修后短期内出现网裂、拥抱、</w:t>
            </w:r>
            <w:r>
              <w:rPr>
                <w:rFonts w:ascii="Arial" w:eastAsia="宋体"/>
                <w:spacing w:val="-6"/>
                <w:sz w:val="21"/>
                <w:highlight w:val="none"/>
              </w:rPr>
              <w:t>坑槽、沉陷、脱皮等病害或有积水现象的，</w:t>
            </w:r>
            <w:r>
              <w:rPr>
                <w:rFonts w:ascii="Arial" w:eastAsia="宋体"/>
                <w:spacing w:val="3"/>
                <w:sz w:val="21"/>
                <w:highlight w:val="none"/>
              </w:rPr>
              <w:t>每处扣</w:t>
            </w:r>
            <w:r>
              <w:rPr>
                <w:rFonts w:ascii="Arial" w:hAnsi="Times New Roman" w:eastAsia="宋体" w:cs="Times New Roman"/>
                <w:spacing w:val="3"/>
                <w:sz w:val="21"/>
                <w:highlight w:val="none"/>
              </w:rPr>
              <w:t>1</w:t>
            </w:r>
            <w:r>
              <w:rPr>
                <w:rFonts w:ascii="Arial" w:eastAsia="宋体"/>
                <w:spacing w:val="3"/>
                <w:sz w:val="21"/>
                <w:highlight w:val="none"/>
              </w:rPr>
              <w:t>分。</w:t>
            </w:r>
          </w:p>
        </w:tc>
        <w:tc>
          <w:tcPr>
            <w:tcW w:w="2176" w:type="dxa"/>
            <w:vAlign w:val="center"/>
          </w:tcPr>
          <w:p w14:paraId="7BD3B7D9">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060418B8">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05BA0F27">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6987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6313298F">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6FA775F6">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7343BEE5">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rPr>
              <w:t>沥青用料、抽芯符合要求</w:t>
            </w:r>
          </w:p>
        </w:tc>
        <w:tc>
          <w:tcPr>
            <w:tcW w:w="3000" w:type="dxa"/>
            <w:shd w:val="clear" w:color="auto" w:fill="auto"/>
            <w:vAlign w:val="center"/>
          </w:tcPr>
          <w:p w14:paraId="486A2F08">
            <w:pPr>
              <w:pStyle w:val="149"/>
              <w:snapToGrid w:val="0"/>
              <w:spacing w:before="86"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沥青用料、抽芯不符合要求，每发现一处</w:t>
            </w:r>
            <w:r>
              <w:rPr>
                <w:rFonts w:ascii="Arial" w:eastAsia="宋体"/>
                <w:spacing w:val="2"/>
                <w:sz w:val="21"/>
                <w:highlight w:val="none"/>
              </w:rPr>
              <w:t>扣</w:t>
            </w:r>
            <w:r>
              <w:rPr>
                <w:rFonts w:ascii="Arial" w:hAnsi="Times New Roman" w:eastAsia="宋体" w:cs="Times New Roman"/>
                <w:spacing w:val="2"/>
                <w:sz w:val="21"/>
                <w:highlight w:val="none"/>
              </w:rPr>
              <w:t>2</w:t>
            </w:r>
            <w:r>
              <w:rPr>
                <w:rFonts w:ascii="Arial" w:eastAsia="宋体"/>
                <w:spacing w:val="2"/>
                <w:sz w:val="21"/>
                <w:highlight w:val="none"/>
              </w:rPr>
              <w:t>分。</w:t>
            </w:r>
          </w:p>
        </w:tc>
        <w:tc>
          <w:tcPr>
            <w:tcW w:w="2176" w:type="dxa"/>
            <w:vAlign w:val="center"/>
          </w:tcPr>
          <w:p w14:paraId="2D3B30B2">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00CA1683">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48C04E8C">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27FC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57FF3FBF">
            <w:pPr>
              <w:snapToGrid w:val="0"/>
              <w:ind w:left="0" w:leftChars="0" w:right="0" w:rightChars="0" w:firstLine="0" w:firstLineChars="0"/>
              <w:jc w:val="center"/>
              <w:rPr>
                <w:rFonts w:ascii="Arial" w:eastAsia="宋体"/>
                <w:b/>
                <w:bCs/>
                <w:sz w:val="21"/>
                <w:highlight w:val="none"/>
                <w:vertAlign w:val="baseline"/>
              </w:rPr>
            </w:pPr>
          </w:p>
        </w:tc>
        <w:tc>
          <w:tcPr>
            <w:tcW w:w="1044" w:type="dxa"/>
            <w:vMerge w:val="restart"/>
            <w:vAlign w:val="center"/>
          </w:tcPr>
          <w:p w14:paraId="23F2A1A2">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水泥</w:t>
            </w:r>
          </w:p>
          <w:p w14:paraId="5A1AD70C">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混土</w:t>
            </w:r>
          </w:p>
          <w:p w14:paraId="2B3B88BF">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路面</w:t>
            </w:r>
          </w:p>
          <w:p w14:paraId="3EC22475">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（10分）</w:t>
            </w:r>
          </w:p>
        </w:tc>
        <w:tc>
          <w:tcPr>
            <w:tcW w:w="2735" w:type="dxa"/>
            <w:shd w:val="clear" w:color="auto" w:fill="auto"/>
            <w:vAlign w:val="center"/>
          </w:tcPr>
          <w:p w14:paraId="68681702">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rPr>
              <w:t>混凝土路面无起拱、唧泥现象；</w:t>
            </w:r>
          </w:p>
        </w:tc>
        <w:tc>
          <w:tcPr>
            <w:tcW w:w="3000" w:type="dxa"/>
            <w:shd w:val="clear" w:color="auto" w:fill="auto"/>
            <w:vAlign w:val="center"/>
          </w:tcPr>
          <w:p w14:paraId="787DFA92">
            <w:pPr>
              <w:pStyle w:val="149"/>
              <w:snapToGrid w:val="0"/>
              <w:spacing w:before="106"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1"/>
                <w:sz w:val="21"/>
                <w:highlight w:val="none"/>
              </w:rPr>
              <w:t>混凝土路面起拱、唧泥现象，每发现</w:t>
            </w:r>
            <w:r>
              <w:rPr>
                <w:rFonts w:ascii="Arial" w:hAnsi="Times New Roman" w:eastAsia="宋体" w:cs="Times New Roman"/>
                <w:spacing w:val="-1"/>
                <w:sz w:val="21"/>
                <w:highlight w:val="none"/>
              </w:rPr>
              <w:t>1</w:t>
            </w:r>
            <w:r>
              <w:rPr>
                <w:rFonts w:ascii="Arial" w:eastAsia="宋体"/>
                <w:spacing w:val="-1"/>
                <w:sz w:val="21"/>
                <w:highlight w:val="none"/>
              </w:rPr>
              <w:t>处，</w:t>
            </w:r>
            <w:r>
              <w:rPr>
                <w:rFonts w:ascii="Arial" w:eastAsia="宋体"/>
                <w:spacing w:val="-8"/>
                <w:sz w:val="21"/>
                <w:highlight w:val="none"/>
              </w:rPr>
              <w:t>扣</w:t>
            </w:r>
            <w:r>
              <w:rPr>
                <w:rFonts w:ascii="Arial" w:eastAsia="宋体"/>
                <w:spacing w:val="27"/>
                <w:sz w:val="21"/>
                <w:highlight w:val="none"/>
              </w:rPr>
              <w:t xml:space="preserve"> </w:t>
            </w:r>
            <w:r>
              <w:rPr>
                <w:rFonts w:ascii="Arial" w:hAnsi="Times New Roman" w:eastAsia="宋体" w:cs="Times New Roman"/>
                <w:spacing w:val="-8"/>
                <w:sz w:val="21"/>
                <w:highlight w:val="none"/>
              </w:rPr>
              <w:t>1</w:t>
            </w:r>
            <w:r>
              <w:rPr>
                <w:rFonts w:ascii="Arial" w:hAnsi="Times New Roman" w:eastAsia="宋体" w:cs="Times New Roman"/>
                <w:spacing w:val="7"/>
                <w:sz w:val="21"/>
                <w:highlight w:val="none"/>
              </w:rPr>
              <w:t xml:space="preserve"> </w:t>
            </w:r>
            <w:r>
              <w:rPr>
                <w:rFonts w:ascii="Arial" w:eastAsia="宋体"/>
                <w:spacing w:val="-8"/>
                <w:sz w:val="21"/>
                <w:highlight w:val="none"/>
              </w:rPr>
              <w:t>分。</w:t>
            </w:r>
          </w:p>
        </w:tc>
        <w:tc>
          <w:tcPr>
            <w:tcW w:w="2176" w:type="dxa"/>
            <w:vAlign w:val="center"/>
          </w:tcPr>
          <w:p w14:paraId="122E37CE">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0849B06D">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09B1098F">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127A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04501FAE">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670B280A">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3B21A67A">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混凝土路面填缝饱满，无严重错台现象；</w:t>
            </w:r>
          </w:p>
        </w:tc>
        <w:tc>
          <w:tcPr>
            <w:tcW w:w="3000" w:type="dxa"/>
            <w:shd w:val="clear" w:color="auto" w:fill="auto"/>
            <w:vAlign w:val="center"/>
          </w:tcPr>
          <w:p w14:paraId="799C3CD6">
            <w:pPr>
              <w:pStyle w:val="149"/>
              <w:snapToGrid w:val="0"/>
              <w:spacing w:before="80"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混凝土路面填缝料缺失的、未用热沥青灌</w:t>
            </w:r>
            <w:r>
              <w:rPr>
                <w:rFonts w:ascii="Arial" w:eastAsia="宋体"/>
                <w:spacing w:val="6"/>
                <w:sz w:val="21"/>
                <w:highlight w:val="none"/>
              </w:rPr>
              <w:t>缝的，每发现</w:t>
            </w:r>
            <w:r>
              <w:rPr>
                <w:rFonts w:ascii="Arial" w:hAnsi="Times New Roman" w:eastAsia="宋体" w:cs="Times New Roman"/>
                <w:spacing w:val="6"/>
                <w:sz w:val="21"/>
                <w:highlight w:val="none"/>
              </w:rPr>
              <w:t>1</w:t>
            </w:r>
            <w:r>
              <w:rPr>
                <w:rFonts w:ascii="Arial" w:eastAsia="宋体"/>
                <w:spacing w:val="6"/>
                <w:sz w:val="21"/>
                <w:highlight w:val="none"/>
              </w:rPr>
              <w:t xml:space="preserve">处，扣 </w:t>
            </w:r>
            <w:r>
              <w:rPr>
                <w:rFonts w:ascii="Arial" w:hAnsi="Times New Roman" w:eastAsia="宋体" w:cs="Times New Roman"/>
                <w:spacing w:val="6"/>
                <w:sz w:val="21"/>
                <w:highlight w:val="none"/>
              </w:rPr>
              <w:t>0.2</w:t>
            </w:r>
            <w:r>
              <w:rPr>
                <w:rFonts w:ascii="Arial" w:eastAsia="宋体"/>
                <w:spacing w:val="6"/>
                <w:sz w:val="21"/>
                <w:highlight w:val="none"/>
              </w:rPr>
              <w:t>分。</w:t>
            </w:r>
          </w:p>
        </w:tc>
        <w:tc>
          <w:tcPr>
            <w:tcW w:w="2176" w:type="dxa"/>
            <w:vAlign w:val="center"/>
          </w:tcPr>
          <w:p w14:paraId="42E170A5">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0C36397C">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28BDB281">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0174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770410CE">
            <w:pPr>
              <w:snapToGrid w:val="0"/>
              <w:ind w:left="0" w:leftChars="0" w:right="0" w:rightChars="0" w:firstLine="0" w:firstLineChars="0"/>
              <w:jc w:val="center"/>
              <w:rPr>
                <w:rFonts w:ascii="Arial" w:eastAsia="宋体"/>
                <w:b/>
                <w:bCs/>
                <w:sz w:val="21"/>
                <w:highlight w:val="none"/>
                <w:vertAlign w:val="baseline"/>
              </w:rPr>
            </w:pPr>
          </w:p>
        </w:tc>
        <w:tc>
          <w:tcPr>
            <w:tcW w:w="1044" w:type="dxa"/>
            <w:vMerge w:val="restart"/>
            <w:vAlign w:val="center"/>
          </w:tcPr>
          <w:p w14:paraId="7AFA941A">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人行道</w:t>
            </w:r>
          </w:p>
          <w:p w14:paraId="484FE54F">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（10分）</w:t>
            </w:r>
          </w:p>
        </w:tc>
        <w:tc>
          <w:tcPr>
            <w:tcW w:w="2735" w:type="dxa"/>
            <w:shd w:val="clear" w:color="auto" w:fill="auto"/>
            <w:vAlign w:val="center"/>
          </w:tcPr>
          <w:p w14:paraId="75DA3811">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人行道面层砌块铺筑前应确保基底平整、无杂物；</w:t>
            </w:r>
          </w:p>
        </w:tc>
        <w:tc>
          <w:tcPr>
            <w:tcW w:w="3000" w:type="dxa"/>
            <w:shd w:val="clear" w:color="auto" w:fill="auto"/>
            <w:vAlign w:val="center"/>
          </w:tcPr>
          <w:p w14:paraId="1F14B307">
            <w:pPr>
              <w:pStyle w:val="149"/>
              <w:snapToGrid w:val="0"/>
              <w:spacing w:before="112"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1"/>
                <w:sz w:val="21"/>
                <w:highlight w:val="none"/>
              </w:rPr>
              <w:t>砌块铺筑前，未清理基底的，每发现</w:t>
            </w:r>
            <w:r>
              <w:rPr>
                <w:rFonts w:ascii="Arial" w:hAnsi="Times New Roman" w:eastAsia="宋体" w:cs="Times New Roman"/>
                <w:spacing w:val="-1"/>
                <w:sz w:val="21"/>
                <w:highlight w:val="none"/>
              </w:rPr>
              <w:t>1</w:t>
            </w:r>
            <w:r>
              <w:rPr>
                <w:rFonts w:ascii="Arial" w:eastAsia="宋体"/>
                <w:spacing w:val="-1"/>
                <w:sz w:val="21"/>
                <w:highlight w:val="none"/>
              </w:rPr>
              <w:t>处，</w:t>
            </w:r>
            <w:r>
              <w:rPr>
                <w:rFonts w:ascii="Arial" w:eastAsia="宋体"/>
                <w:spacing w:val="-2"/>
                <w:sz w:val="21"/>
                <w:highlight w:val="none"/>
              </w:rPr>
              <w:t>扣</w:t>
            </w:r>
            <w:r>
              <w:rPr>
                <w:rFonts w:ascii="Arial" w:eastAsia="宋体"/>
                <w:spacing w:val="12"/>
                <w:sz w:val="21"/>
                <w:highlight w:val="none"/>
              </w:rPr>
              <w:t xml:space="preserve"> </w:t>
            </w:r>
            <w:r>
              <w:rPr>
                <w:rFonts w:ascii="Arial" w:hAnsi="Times New Roman" w:eastAsia="宋体" w:cs="Times New Roman"/>
                <w:spacing w:val="-2"/>
                <w:sz w:val="21"/>
                <w:highlight w:val="none"/>
              </w:rPr>
              <w:t>0.2</w:t>
            </w:r>
            <w:r>
              <w:rPr>
                <w:rFonts w:ascii="Arial" w:hAnsi="Times New Roman" w:eastAsia="宋体" w:cs="Times New Roman"/>
                <w:spacing w:val="6"/>
                <w:sz w:val="21"/>
                <w:highlight w:val="none"/>
              </w:rPr>
              <w:t xml:space="preserve"> </w:t>
            </w:r>
            <w:r>
              <w:rPr>
                <w:rFonts w:ascii="Arial" w:eastAsia="宋体"/>
                <w:spacing w:val="-2"/>
                <w:sz w:val="21"/>
                <w:highlight w:val="none"/>
              </w:rPr>
              <w:t>分。</w:t>
            </w:r>
          </w:p>
        </w:tc>
        <w:tc>
          <w:tcPr>
            <w:tcW w:w="2176" w:type="dxa"/>
            <w:vAlign w:val="center"/>
          </w:tcPr>
          <w:p w14:paraId="175B4DC5">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5F93356C">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659C21D7">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6243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2DF67211">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753F019C">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0E33C38C">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铺筑时，应确保砂浆饱满、砌块底部无脱空现象；</w:t>
            </w:r>
          </w:p>
        </w:tc>
        <w:tc>
          <w:tcPr>
            <w:tcW w:w="3000" w:type="dxa"/>
            <w:shd w:val="clear" w:color="auto" w:fill="auto"/>
            <w:vAlign w:val="center"/>
          </w:tcPr>
          <w:p w14:paraId="664F7781">
            <w:pPr>
              <w:pStyle w:val="149"/>
              <w:snapToGrid w:val="0"/>
              <w:spacing w:before="79"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铺筑时，砌块底部有脱空现象的，每发现</w:t>
            </w:r>
            <w:r>
              <w:rPr>
                <w:rFonts w:ascii="Arial" w:hAnsi="Times New Roman" w:eastAsia="宋体" w:cs="Times New Roman"/>
                <w:spacing w:val="1"/>
                <w:sz w:val="21"/>
                <w:highlight w:val="none"/>
              </w:rPr>
              <w:t>1</w:t>
            </w:r>
            <w:r>
              <w:rPr>
                <w:rFonts w:ascii="Arial" w:hAnsi="Times New Roman" w:eastAsia="宋体" w:cs="Times New Roman"/>
                <w:spacing w:val="12"/>
                <w:sz w:val="21"/>
                <w:highlight w:val="none"/>
              </w:rPr>
              <w:t xml:space="preserve">  </w:t>
            </w:r>
            <w:r>
              <w:rPr>
                <w:rFonts w:ascii="Arial" w:eastAsia="宋体"/>
                <w:spacing w:val="1"/>
                <w:sz w:val="21"/>
                <w:highlight w:val="none"/>
              </w:rPr>
              <w:t>处，扣</w:t>
            </w:r>
            <w:r>
              <w:rPr>
                <w:rFonts w:ascii="Arial" w:hAnsi="Times New Roman" w:eastAsia="宋体" w:cs="Times New Roman"/>
                <w:spacing w:val="1"/>
                <w:sz w:val="21"/>
                <w:highlight w:val="none"/>
              </w:rPr>
              <w:t>0.2</w:t>
            </w:r>
            <w:r>
              <w:rPr>
                <w:rFonts w:ascii="Arial" w:eastAsia="宋体"/>
                <w:spacing w:val="1"/>
                <w:sz w:val="21"/>
                <w:highlight w:val="none"/>
              </w:rPr>
              <w:t>分。</w:t>
            </w:r>
          </w:p>
        </w:tc>
        <w:tc>
          <w:tcPr>
            <w:tcW w:w="2176" w:type="dxa"/>
            <w:vAlign w:val="center"/>
          </w:tcPr>
          <w:p w14:paraId="2AB26B3A">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57E341C4">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002751F0">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1D66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46F2A000">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6F49F795">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3F1D4310">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铺筑平整度满足要求，砌块间高差不得大于5mm；</w:t>
            </w:r>
          </w:p>
        </w:tc>
        <w:tc>
          <w:tcPr>
            <w:tcW w:w="3000" w:type="dxa"/>
            <w:shd w:val="clear" w:color="auto" w:fill="auto"/>
            <w:vAlign w:val="center"/>
          </w:tcPr>
          <w:p w14:paraId="031D885D">
            <w:pPr>
              <w:pStyle w:val="149"/>
              <w:snapToGrid w:val="0"/>
              <w:spacing w:before="45"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4"/>
                <w:sz w:val="21"/>
                <w:highlight w:val="none"/>
              </w:rPr>
              <w:t xml:space="preserve">砌块间高差大于 </w:t>
            </w:r>
            <w:r>
              <w:rPr>
                <w:rFonts w:ascii="Arial" w:hAnsi="Times New Roman" w:eastAsia="宋体" w:cs="Times New Roman"/>
                <w:spacing w:val="4"/>
                <w:sz w:val="21"/>
                <w:highlight w:val="none"/>
              </w:rPr>
              <w:t>5</w:t>
            </w:r>
            <w:r>
              <w:rPr>
                <w:rFonts w:ascii="Arial" w:hAnsi="Times New Roman" w:eastAsia="宋体" w:cs="Times New Roman"/>
                <w:sz w:val="21"/>
                <w:highlight w:val="none"/>
              </w:rPr>
              <w:t>mm</w:t>
            </w:r>
            <w:r>
              <w:rPr>
                <w:rFonts w:ascii="Arial" w:hAnsi="Times New Roman" w:eastAsia="宋体" w:cs="Times New Roman"/>
                <w:spacing w:val="23"/>
                <w:sz w:val="21"/>
                <w:highlight w:val="none"/>
              </w:rPr>
              <w:t xml:space="preserve">  </w:t>
            </w:r>
            <w:r>
              <w:rPr>
                <w:rFonts w:ascii="Arial" w:eastAsia="宋体"/>
                <w:spacing w:val="4"/>
                <w:sz w:val="21"/>
                <w:highlight w:val="none"/>
              </w:rPr>
              <w:t>的，每发现</w:t>
            </w:r>
            <w:r>
              <w:rPr>
                <w:rFonts w:ascii="Arial" w:hAnsi="Times New Roman" w:eastAsia="宋体" w:cs="Times New Roman"/>
                <w:spacing w:val="4"/>
                <w:sz w:val="21"/>
                <w:highlight w:val="none"/>
              </w:rPr>
              <w:t>1</w:t>
            </w:r>
            <w:r>
              <w:rPr>
                <w:rFonts w:ascii="Arial" w:eastAsia="宋体"/>
                <w:spacing w:val="4"/>
                <w:sz w:val="21"/>
                <w:highlight w:val="none"/>
              </w:rPr>
              <w:t>处，</w:t>
            </w:r>
            <w:r>
              <w:rPr>
                <w:rFonts w:ascii="Arial" w:eastAsia="宋体"/>
                <w:sz w:val="21"/>
                <w:highlight w:val="none"/>
              </w:rPr>
              <w:t>扣</w:t>
            </w:r>
            <w:r>
              <w:rPr>
                <w:rFonts w:ascii="Arial" w:eastAsia="宋体"/>
                <w:spacing w:val="13"/>
                <w:sz w:val="21"/>
                <w:highlight w:val="none"/>
              </w:rPr>
              <w:t xml:space="preserve"> </w:t>
            </w:r>
            <w:r>
              <w:rPr>
                <w:rFonts w:ascii="Arial" w:hAnsi="Times New Roman" w:eastAsia="宋体" w:cs="Times New Roman"/>
                <w:sz w:val="21"/>
                <w:highlight w:val="none"/>
              </w:rPr>
              <w:t>0.5</w:t>
            </w:r>
            <w:r>
              <w:rPr>
                <w:rFonts w:ascii="Arial" w:hAnsi="Times New Roman" w:eastAsia="宋体" w:cs="Times New Roman"/>
                <w:spacing w:val="7"/>
                <w:sz w:val="21"/>
                <w:highlight w:val="none"/>
              </w:rPr>
              <w:t xml:space="preserve">  </w:t>
            </w:r>
            <w:r>
              <w:rPr>
                <w:rFonts w:ascii="Arial" w:eastAsia="宋体"/>
                <w:sz w:val="21"/>
                <w:highlight w:val="none"/>
              </w:rPr>
              <w:t>分。</w:t>
            </w:r>
          </w:p>
        </w:tc>
        <w:tc>
          <w:tcPr>
            <w:tcW w:w="2176" w:type="dxa"/>
            <w:vAlign w:val="center"/>
          </w:tcPr>
          <w:p w14:paraId="381C717C">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35086D32">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730D21DB">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183D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061D366A">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10E68D28">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093D2852">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与井框或其它构筑 物高差不大于5mm；</w:t>
            </w:r>
          </w:p>
        </w:tc>
        <w:tc>
          <w:tcPr>
            <w:tcW w:w="3000" w:type="dxa"/>
            <w:shd w:val="clear" w:color="auto" w:fill="auto"/>
            <w:vAlign w:val="center"/>
          </w:tcPr>
          <w:p w14:paraId="7DDE93DD">
            <w:pPr>
              <w:pStyle w:val="149"/>
              <w:snapToGrid w:val="0"/>
              <w:spacing w:before="75"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4"/>
                <w:sz w:val="21"/>
                <w:highlight w:val="none"/>
              </w:rPr>
              <w:t>与井框或其它构筑物高差大于</w:t>
            </w:r>
            <w:r>
              <w:rPr>
                <w:rFonts w:ascii="Arial" w:hAnsi="Times New Roman" w:eastAsia="宋体" w:cs="Times New Roman"/>
                <w:spacing w:val="4"/>
                <w:sz w:val="21"/>
                <w:highlight w:val="none"/>
              </w:rPr>
              <w:t>5</w:t>
            </w:r>
            <w:r>
              <w:rPr>
                <w:rFonts w:ascii="Arial" w:hAnsi="Times New Roman" w:eastAsia="宋体" w:cs="Times New Roman"/>
                <w:sz w:val="21"/>
                <w:highlight w:val="none"/>
              </w:rPr>
              <w:t>mm</w:t>
            </w:r>
            <w:r>
              <w:rPr>
                <w:rFonts w:ascii="Arial" w:eastAsia="宋体"/>
                <w:spacing w:val="4"/>
                <w:sz w:val="21"/>
                <w:highlight w:val="none"/>
              </w:rPr>
              <w:t>的，每</w:t>
            </w:r>
            <w:r>
              <w:rPr>
                <w:rFonts w:ascii="Arial" w:eastAsia="宋体"/>
                <w:spacing w:val="5"/>
                <w:sz w:val="21"/>
                <w:highlight w:val="none"/>
              </w:rPr>
              <w:t>发现</w:t>
            </w:r>
            <w:r>
              <w:rPr>
                <w:rFonts w:ascii="Arial" w:hAnsi="Times New Roman" w:eastAsia="宋体" w:cs="Times New Roman"/>
                <w:spacing w:val="5"/>
                <w:sz w:val="21"/>
                <w:highlight w:val="none"/>
              </w:rPr>
              <w:t>1</w:t>
            </w:r>
            <w:r>
              <w:rPr>
                <w:rFonts w:ascii="Arial" w:eastAsia="宋体"/>
                <w:spacing w:val="5"/>
                <w:sz w:val="21"/>
                <w:highlight w:val="none"/>
              </w:rPr>
              <w:t>处，扣</w:t>
            </w:r>
            <w:r>
              <w:rPr>
                <w:rFonts w:ascii="Arial" w:hAnsi="Times New Roman" w:eastAsia="宋体" w:cs="Times New Roman"/>
                <w:spacing w:val="5"/>
                <w:sz w:val="21"/>
                <w:highlight w:val="none"/>
              </w:rPr>
              <w:t>0.5</w:t>
            </w:r>
            <w:r>
              <w:rPr>
                <w:rFonts w:ascii="Arial" w:eastAsia="宋体"/>
                <w:spacing w:val="5"/>
                <w:sz w:val="21"/>
                <w:highlight w:val="none"/>
              </w:rPr>
              <w:t>分。</w:t>
            </w:r>
          </w:p>
        </w:tc>
        <w:tc>
          <w:tcPr>
            <w:tcW w:w="2176" w:type="dxa"/>
            <w:vAlign w:val="center"/>
          </w:tcPr>
          <w:p w14:paraId="3F40FAA3">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48EF3EC2">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62AD7AD7">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2434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2F4118D8">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2EBBA420">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7F691EA3">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人行道砌块间填充饱满、勾缝规范；</w:t>
            </w:r>
          </w:p>
        </w:tc>
        <w:tc>
          <w:tcPr>
            <w:tcW w:w="3000" w:type="dxa"/>
            <w:shd w:val="clear" w:color="auto" w:fill="auto"/>
            <w:vAlign w:val="center"/>
          </w:tcPr>
          <w:p w14:paraId="6380C86E">
            <w:pPr>
              <w:pStyle w:val="149"/>
              <w:snapToGrid w:val="0"/>
              <w:spacing w:before="48"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9"/>
                <w:sz w:val="21"/>
                <w:highlight w:val="none"/>
              </w:rPr>
              <w:t>砌块间未填缝或勾缝不规范的，每发现</w:t>
            </w:r>
            <w:r>
              <w:rPr>
                <w:rFonts w:ascii="Arial" w:hAnsi="Times New Roman" w:eastAsia="宋体" w:cs="Times New Roman"/>
                <w:spacing w:val="9"/>
                <w:sz w:val="21"/>
                <w:highlight w:val="none"/>
              </w:rPr>
              <w:t>1</w:t>
            </w:r>
            <w:r>
              <w:rPr>
                <w:rFonts w:ascii="Arial" w:eastAsia="宋体"/>
                <w:spacing w:val="4"/>
                <w:sz w:val="21"/>
                <w:highlight w:val="none"/>
              </w:rPr>
              <w:t>处，扣</w:t>
            </w:r>
            <w:r>
              <w:rPr>
                <w:rFonts w:ascii="Arial" w:hAnsi="Times New Roman" w:eastAsia="宋体" w:cs="Times New Roman"/>
                <w:spacing w:val="4"/>
                <w:sz w:val="21"/>
                <w:highlight w:val="none"/>
              </w:rPr>
              <w:t>0.5</w:t>
            </w:r>
            <w:r>
              <w:rPr>
                <w:rFonts w:ascii="Arial" w:eastAsia="宋体"/>
                <w:spacing w:val="4"/>
                <w:sz w:val="21"/>
                <w:highlight w:val="none"/>
              </w:rPr>
              <w:t>分。</w:t>
            </w:r>
          </w:p>
        </w:tc>
        <w:tc>
          <w:tcPr>
            <w:tcW w:w="2176" w:type="dxa"/>
            <w:vAlign w:val="center"/>
          </w:tcPr>
          <w:p w14:paraId="4233D7B3">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36C65E61">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31AF46E2">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7139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4698CE9A">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52245FB9">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626A5C57">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人行道砌块无松动、碎裂、沉陷现象；</w:t>
            </w:r>
          </w:p>
        </w:tc>
        <w:tc>
          <w:tcPr>
            <w:tcW w:w="3000" w:type="dxa"/>
            <w:shd w:val="clear" w:color="auto" w:fill="auto"/>
            <w:vAlign w:val="center"/>
          </w:tcPr>
          <w:p w14:paraId="1688B200">
            <w:pPr>
              <w:pStyle w:val="149"/>
              <w:snapToGrid w:val="0"/>
              <w:spacing w:before="84"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维修后人行道砌块有松动、碎裂、沉陷现</w:t>
            </w:r>
            <w:r>
              <w:rPr>
                <w:rFonts w:ascii="Arial" w:eastAsia="宋体"/>
                <w:spacing w:val="6"/>
                <w:sz w:val="21"/>
                <w:highlight w:val="none"/>
              </w:rPr>
              <w:t>象的，每发现</w:t>
            </w:r>
            <w:r>
              <w:rPr>
                <w:rFonts w:ascii="Arial" w:hAnsi="Times New Roman" w:eastAsia="宋体" w:cs="Times New Roman"/>
                <w:spacing w:val="6"/>
                <w:sz w:val="21"/>
                <w:highlight w:val="none"/>
              </w:rPr>
              <w:t>1</w:t>
            </w:r>
            <w:r>
              <w:rPr>
                <w:rFonts w:ascii="Arial" w:eastAsia="宋体"/>
                <w:spacing w:val="6"/>
                <w:sz w:val="21"/>
                <w:highlight w:val="none"/>
              </w:rPr>
              <w:t xml:space="preserve">处，扣 </w:t>
            </w:r>
            <w:r>
              <w:rPr>
                <w:rFonts w:ascii="Arial" w:hAnsi="Times New Roman" w:eastAsia="宋体" w:cs="Times New Roman"/>
                <w:spacing w:val="6"/>
                <w:sz w:val="21"/>
                <w:highlight w:val="none"/>
              </w:rPr>
              <w:t>0.2</w:t>
            </w:r>
            <w:r>
              <w:rPr>
                <w:rFonts w:ascii="Arial" w:eastAsia="宋体"/>
                <w:spacing w:val="6"/>
                <w:sz w:val="21"/>
                <w:highlight w:val="none"/>
              </w:rPr>
              <w:t>分。</w:t>
            </w:r>
          </w:p>
        </w:tc>
        <w:tc>
          <w:tcPr>
            <w:tcW w:w="2176" w:type="dxa"/>
            <w:vAlign w:val="center"/>
          </w:tcPr>
          <w:p w14:paraId="2308078F">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242DCD65">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28F65E85">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02DD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7F367159">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28F5D71A">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0130A712">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砌块材料、颜色与原路面一致，不得随意使用混凝土或其它面层材料替代破损人行道；</w:t>
            </w:r>
          </w:p>
        </w:tc>
        <w:tc>
          <w:tcPr>
            <w:tcW w:w="3000" w:type="dxa"/>
            <w:shd w:val="clear" w:color="auto" w:fill="auto"/>
            <w:vAlign w:val="center"/>
          </w:tcPr>
          <w:p w14:paraId="42D8D436">
            <w:pPr>
              <w:pStyle w:val="149"/>
              <w:snapToGrid w:val="0"/>
              <w:spacing w:before="162"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1"/>
                <w:sz w:val="21"/>
                <w:highlight w:val="none"/>
              </w:rPr>
              <w:t>修复材料与原路面不一致的，每发现</w:t>
            </w:r>
            <w:r>
              <w:rPr>
                <w:rFonts w:ascii="Arial" w:hAnsi="Times New Roman" w:eastAsia="宋体" w:cs="Times New Roman"/>
                <w:spacing w:val="-1"/>
                <w:sz w:val="21"/>
                <w:highlight w:val="none"/>
              </w:rPr>
              <w:t>1</w:t>
            </w:r>
            <w:r>
              <w:rPr>
                <w:rFonts w:ascii="Arial" w:eastAsia="宋体"/>
                <w:spacing w:val="-1"/>
                <w:sz w:val="21"/>
                <w:highlight w:val="none"/>
              </w:rPr>
              <w:t>处，</w:t>
            </w:r>
            <w:r>
              <w:rPr>
                <w:rFonts w:ascii="Arial" w:eastAsia="宋体"/>
                <w:spacing w:val="1"/>
                <w:sz w:val="21"/>
                <w:highlight w:val="none"/>
              </w:rPr>
              <w:t>扣</w:t>
            </w:r>
            <w:r>
              <w:rPr>
                <w:rFonts w:ascii="Arial" w:hAnsi="Times New Roman" w:eastAsia="宋体" w:cs="Times New Roman"/>
                <w:spacing w:val="1"/>
                <w:sz w:val="21"/>
                <w:highlight w:val="none"/>
              </w:rPr>
              <w:t>0.2</w:t>
            </w:r>
            <w:r>
              <w:rPr>
                <w:rFonts w:ascii="Arial" w:eastAsia="宋体"/>
                <w:spacing w:val="1"/>
                <w:sz w:val="21"/>
                <w:highlight w:val="none"/>
              </w:rPr>
              <w:t>分。</w:t>
            </w:r>
          </w:p>
        </w:tc>
        <w:tc>
          <w:tcPr>
            <w:tcW w:w="2176" w:type="dxa"/>
            <w:vAlign w:val="center"/>
          </w:tcPr>
          <w:p w14:paraId="144E8964">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219DB563">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3D3E3239">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0296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27E7A838">
            <w:pPr>
              <w:snapToGrid w:val="0"/>
              <w:ind w:left="0" w:leftChars="0" w:right="0" w:rightChars="0" w:firstLine="0" w:firstLineChars="0"/>
              <w:jc w:val="center"/>
              <w:rPr>
                <w:rFonts w:ascii="Arial" w:eastAsia="宋体"/>
                <w:b/>
                <w:bCs/>
                <w:sz w:val="21"/>
                <w:highlight w:val="none"/>
                <w:vertAlign w:val="baseline"/>
              </w:rPr>
            </w:pPr>
          </w:p>
        </w:tc>
        <w:tc>
          <w:tcPr>
            <w:tcW w:w="1044" w:type="dxa"/>
            <w:vMerge w:val="continue"/>
            <w:vAlign w:val="center"/>
          </w:tcPr>
          <w:p w14:paraId="0034DE50">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2735" w:type="dxa"/>
            <w:shd w:val="clear" w:color="auto" w:fill="auto"/>
            <w:vAlign w:val="center"/>
          </w:tcPr>
          <w:p w14:paraId="3E570069">
            <w:pPr>
              <w:pStyle w:val="149"/>
              <w:snapToGrid w:val="0"/>
              <w:spacing w:before="88" w:line="240" w:lineRule="auto"/>
              <w:ind w:left="0" w:leftChars="0" w:right="0" w:rightChars="0" w:firstLine="0" w:firstLineChars="0"/>
              <w:jc w:val="left"/>
              <w:rPr>
                <w:rFonts w:ascii="Arial" w:eastAsia="宋体"/>
                <w:spacing w:val="9"/>
                <w:sz w:val="21"/>
                <w:highlight w:val="none"/>
                <w:lang w:val="en-US" w:eastAsia="en-US"/>
              </w:rPr>
            </w:pPr>
            <w:r>
              <w:rPr>
                <w:rFonts w:ascii="Arial" w:eastAsia="宋体"/>
                <w:spacing w:val="9"/>
                <w:sz w:val="21"/>
                <w:highlight w:val="none"/>
                <w:lang w:val="en-US" w:eastAsia="en-US"/>
              </w:rPr>
              <w:t>侧、平石安放顺直，灌浆饱满；</w:t>
            </w:r>
          </w:p>
        </w:tc>
        <w:tc>
          <w:tcPr>
            <w:tcW w:w="3000" w:type="dxa"/>
            <w:shd w:val="clear" w:color="auto" w:fill="auto"/>
            <w:vAlign w:val="center"/>
          </w:tcPr>
          <w:p w14:paraId="0B0EBC42">
            <w:pPr>
              <w:pStyle w:val="149"/>
              <w:snapToGrid w:val="0"/>
              <w:spacing w:before="20"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3"/>
                <w:sz w:val="21"/>
                <w:highlight w:val="none"/>
              </w:rPr>
              <w:t>侧、平石修复不规范的，每发现</w:t>
            </w:r>
            <w:r>
              <w:rPr>
                <w:rFonts w:ascii="Arial" w:eastAsia="宋体"/>
                <w:spacing w:val="41"/>
                <w:sz w:val="21"/>
                <w:highlight w:val="none"/>
              </w:rPr>
              <w:t xml:space="preserve"> </w:t>
            </w:r>
            <w:r>
              <w:rPr>
                <w:rFonts w:ascii="Arial" w:hAnsi="Times New Roman" w:eastAsia="宋体" w:cs="Times New Roman"/>
                <w:spacing w:val="3"/>
                <w:sz w:val="21"/>
                <w:highlight w:val="none"/>
              </w:rPr>
              <w:t>1</w:t>
            </w:r>
            <w:r>
              <w:rPr>
                <w:rFonts w:ascii="Arial" w:eastAsia="宋体"/>
                <w:spacing w:val="3"/>
                <w:sz w:val="21"/>
                <w:highlight w:val="none"/>
              </w:rPr>
              <w:t>处，扣</w:t>
            </w:r>
            <w:r>
              <w:rPr>
                <w:rFonts w:ascii="Arial" w:hAnsi="Times New Roman" w:eastAsia="宋体" w:cs="Times New Roman"/>
                <w:sz w:val="21"/>
                <w:highlight w:val="none"/>
              </w:rPr>
              <w:t>0.2</w:t>
            </w:r>
            <w:r>
              <w:rPr>
                <w:rFonts w:ascii="Arial" w:hAnsi="Times New Roman" w:eastAsia="宋体" w:cs="Times New Roman"/>
                <w:spacing w:val="8"/>
                <w:sz w:val="21"/>
                <w:highlight w:val="none"/>
              </w:rPr>
              <w:t xml:space="preserve"> </w:t>
            </w:r>
            <w:r>
              <w:rPr>
                <w:rFonts w:ascii="Arial" w:eastAsia="宋体"/>
                <w:sz w:val="21"/>
                <w:highlight w:val="none"/>
              </w:rPr>
              <w:t>分。</w:t>
            </w:r>
          </w:p>
        </w:tc>
        <w:tc>
          <w:tcPr>
            <w:tcW w:w="2176" w:type="dxa"/>
            <w:vAlign w:val="center"/>
          </w:tcPr>
          <w:p w14:paraId="09ABBD31">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4758752E">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7B91689E">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4FF9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restart"/>
            <w:vAlign w:val="center"/>
          </w:tcPr>
          <w:p w14:paraId="0B97529F">
            <w:pPr>
              <w:snapToGrid w:val="0"/>
              <w:ind w:left="0" w:leftChars="0" w:right="0" w:rightChars="0" w:firstLine="0" w:firstLineChars="0"/>
              <w:jc w:val="center"/>
              <w:rPr>
                <w:rFonts w:hint="eastAsia" w:ascii="Arial" w:eastAsia="宋体"/>
                <w:b/>
                <w:bCs/>
                <w:sz w:val="21"/>
                <w:highlight w:val="none"/>
                <w:vertAlign w:val="baseline"/>
                <w:lang w:eastAsia="zh-CN"/>
              </w:rPr>
            </w:pPr>
            <w:r>
              <w:rPr>
                <w:rFonts w:hint="eastAsia" w:ascii="Arial" w:eastAsia="宋体"/>
                <w:b/>
                <w:bCs/>
                <w:sz w:val="21"/>
                <w:highlight w:val="none"/>
                <w:vertAlign w:val="baseline"/>
                <w:lang w:eastAsia="zh-CN"/>
              </w:rPr>
              <w:t>三</w:t>
            </w:r>
            <w:r>
              <w:rPr>
                <w:rFonts w:hint="eastAsia" w:ascii="Arial" w:eastAsia="宋体"/>
                <w:b/>
                <w:bCs/>
                <w:sz w:val="21"/>
                <w:highlight w:val="none"/>
                <w:vertAlign w:val="baseline"/>
              </w:rPr>
              <w:t>、桥梁养护专项</w:t>
            </w:r>
            <w:r>
              <w:rPr>
                <w:rFonts w:hint="eastAsia" w:ascii="Arial" w:eastAsia="宋体"/>
                <w:b/>
                <w:bCs/>
                <w:sz w:val="21"/>
                <w:highlight w:val="none"/>
                <w:vertAlign w:val="baseline"/>
                <w:lang w:eastAsia="zh-CN"/>
              </w:rPr>
              <w:t>（</w:t>
            </w:r>
            <w:r>
              <w:rPr>
                <w:rFonts w:hint="eastAsia" w:ascii="Arial" w:eastAsia="宋体"/>
                <w:b/>
                <w:bCs/>
                <w:sz w:val="21"/>
                <w:highlight w:val="none"/>
                <w:vertAlign w:val="baseline"/>
                <w:lang w:val="en-US" w:eastAsia="zh-CN"/>
              </w:rPr>
              <w:t>25分</w:t>
            </w:r>
            <w:r>
              <w:rPr>
                <w:rFonts w:hint="eastAsia" w:ascii="Arial" w:eastAsia="宋体"/>
                <w:b/>
                <w:bCs/>
                <w:sz w:val="21"/>
                <w:highlight w:val="none"/>
                <w:vertAlign w:val="baseline"/>
                <w:lang w:eastAsia="zh-CN"/>
              </w:rPr>
              <w:t>）</w:t>
            </w:r>
          </w:p>
        </w:tc>
        <w:tc>
          <w:tcPr>
            <w:tcW w:w="1044" w:type="dxa"/>
            <w:vAlign w:val="center"/>
          </w:tcPr>
          <w:p w14:paraId="0C6ADDE1">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桥面系</w:t>
            </w:r>
          </w:p>
          <w:p w14:paraId="72A4A8C3">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（5分）</w:t>
            </w:r>
          </w:p>
        </w:tc>
        <w:tc>
          <w:tcPr>
            <w:tcW w:w="2735" w:type="dxa"/>
            <w:shd w:val="clear" w:color="auto" w:fill="auto"/>
            <w:vAlign w:val="center"/>
          </w:tcPr>
          <w:p w14:paraId="08F3FED4">
            <w:pPr>
              <w:pStyle w:val="149"/>
              <w:snapToGrid w:val="0"/>
              <w:spacing w:before="139"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9"/>
                <w:sz w:val="21"/>
                <w:highlight w:val="none"/>
              </w:rPr>
              <w:t>桥面铺装平整，无明显破损，接坡平顺，桥</w:t>
            </w:r>
            <w:r>
              <w:rPr>
                <w:rFonts w:ascii="Arial" w:eastAsia="宋体"/>
                <w:spacing w:val="7"/>
                <w:sz w:val="21"/>
                <w:highlight w:val="none"/>
              </w:rPr>
              <w:t>头无明显跳车现象；</w:t>
            </w:r>
          </w:p>
        </w:tc>
        <w:tc>
          <w:tcPr>
            <w:tcW w:w="3000" w:type="dxa"/>
            <w:shd w:val="clear" w:color="auto" w:fill="auto"/>
            <w:vAlign w:val="center"/>
          </w:tcPr>
          <w:p w14:paraId="08099022">
            <w:pPr>
              <w:pStyle w:val="149"/>
              <w:snapToGrid w:val="0"/>
              <w:spacing w:before="139"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修复标准参考道路；有明显桥头跳车现象</w:t>
            </w:r>
            <w:r>
              <w:rPr>
                <w:rFonts w:ascii="Arial" w:eastAsia="宋体"/>
                <w:spacing w:val="6"/>
                <w:sz w:val="21"/>
                <w:highlight w:val="none"/>
              </w:rPr>
              <w:t>的，每发现一处，扣</w:t>
            </w:r>
            <w:r>
              <w:rPr>
                <w:rFonts w:ascii="Arial" w:hAnsi="Times New Roman" w:eastAsia="宋体" w:cs="Times New Roman"/>
                <w:spacing w:val="6"/>
                <w:sz w:val="21"/>
                <w:highlight w:val="none"/>
              </w:rPr>
              <w:t>1</w:t>
            </w:r>
            <w:r>
              <w:rPr>
                <w:rFonts w:ascii="Arial" w:eastAsia="宋体"/>
                <w:spacing w:val="6"/>
                <w:sz w:val="21"/>
                <w:highlight w:val="none"/>
              </w:rPr>
              <w:t>分。</w:t>
            </w:r>
          </w:p>
        </w:tc>
        <w:tc>
          <w:tcPr>
            <w:tcW w:w="2176" w:type="dxa"/>
            <w:vAlign w:val="center"/>
          </w:tcPr>
          <w:p w14:paraId="28F8D971">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60D34140">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64108C14">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786D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66163177">
            <w:pPr>
              <w:snapToGrid w:val="0"/>
              <w:ind w:left="0" w:leftChars="0" w:right="0" w:rightChars="0" w:firstLine="0" w:firstLineChars="0"/>
              <w:jc w:val="center"/>
              <w:rPr>
                <w:rFonts w:ascii="Arial" w:eastAsia="宋体"/>
                <w:b/>
                <w:bCs/>
                <w:sz w:val="21"/>
                <w:highlight w:val="none"/>
                <w:vertAlign w:val="baseline"/>
              </w:rPr>
            </w:pPr>
          </w:p>
        </w:tc>
        <w:tc>
          <w:tcPr>
            <w:tcW w:w="1044" w:type="dxa"/>
            <w:vAlign w:val="center"/>
          </w:tcPr>
          <w:p w14:paraId="61B53D64">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附属设施</w:t>
            </w:r>
            <w:r>
              <w:rPr>
                <w:rFonts w:hint="eastAsia" w:ascii="Arial" w:eastAsia="宋体"/>
                <w:sz w:val="21"/>
                <w:highlight w:val="none"/>
                <w:vertAlign w:val="baseline"/>
                <w:lang w:val="en-US" w:eastAsia="zh-CN"/>
              </w:rPr>
              <w:br w:type="textWrapping"/>
            </w:r>
            <w:r>
              <w:rPr>
                <w:rFonts w:hint="eastAsia" w:ascii="Arial" w:eastAsia="宋体"/>
                <w:sz w:val="21"/>
                <w:highlight w:val="none"/>
                <w:vertAlign w:val="baseline"/>
                <w:lang w:val="en-US" w:eastAsia="zh-CN"/>
              </w:rPr>
              <w:t>(栏杆/防撞墙)</w:t>
            </w:r>
          </w:p>
          <w:p w14:paraId="53E8E871">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（3分）</w:t>
            </w:r>
          </w:p>
        </w:tc>
        <w:tc>
          <w:tcPr>
            <w:tcW w:w="2735" w:type="dxa"/>
            <w:shd w:val="clear" w:color="auto" w:fill="auto"/>
            <w:vAlign w:val="center"/>
          </w:tcPr>
          <w:p w14:paraId="46BE2895">
            <w:pPr>
              <w:pStyle w:val="149"/>
              <w:snapToGrid w:val="0"/>
              <w:spacing w:before="122"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7"/>
                <w:sz w:val="21"/>
                <w:highlight w:val="none"/>
              </w:rPr>
              <w:t>桥梁栏杆安装牢固，无断裂、缺失， 表面涂</w:t>
            </w:r>
            <w:r>
              <w:rPr>
                <w:rFonts w:ascii="Arial" w:eastAsia="宋体"/>
                <w:spacing w:val="9"/>
                <w:sz w:val="21"/>
                <w:highlight w:val="none"/>
              </w:rPr>
              <w:t>装层完好，无脱落、锈蚀等，防撞墙无明显</w:t>
            </w:r>
            <w:r>
              <w:rPr>
                <w:rFonts w:ascii="Arial" w:eastAsia="宋体"/>
                <w:spacing w:val="8"/>
                <w:sz w:val="21"/>
                <w:highlight w:val="none"/>
              </w:rPr>
              <w:t>破损、露筋、锈蚀等；</w:t>
            </w:r>
          </w:p>
        </w:tc>
        <w:tc>
          <w:tcPr>
            <w:tcW w:w="3000" w:type="dxa"/>
            <w:shd w:val="clear" w:color="auto" w:fill="auto"/>
            <w:vAlign w:val="center"/>
          </w:tcPr>
          <w:p w14:paraId="7C29E200">
            <w:pPr>
              <w:pStyle w:val="149"/>
              <w:snapToGrid w:val="0"/>
              <w:spacing w:before="46" w:line="240" w:lineRule="auto"/>
              <w:ind w:left="0" w:leftChars="0" w:right="0" w:rightChars="0" w:firstLine="0" w:firstLineChars="0"/>
              <w:jc w:val="left"/>
              <w:rPr>
                <w:rFonts w:hint="eastAsia" w:ascii="Arial" w:hAnsi="宋体" w:eastAsia="宋体" w:cs="宋体"/>
                <w:kern w:val="2"/>
                <w:sz w:val="21"/>
                <w:szCs w:val="20"/>
                <w:highlight w:val="none"/>
                <w:lang w:val="en-US" w:eastAsia="zh-CN" w:bidi="ar-SA"/>
              </w:rPr>
            </w:pPr>
            <w:r>
              <w:rPr>
                <w:rFonts w:ascii="Arial" w:eastAsia="宋体"/>
                <w:spacing w:val="5"/>
                <w:sz w:val="21"/>
                <w:highlight w:val="none"/>
              </w:rPr>
              <w:t>松动或位置错动有安全隐患，钢筋外露、</w:t>
            </w:r>
            <w:r>
              <w:rPr>
                <w:rFonts w:ascii="Arial" w:eastAsia="宋体"/>
                <w:spacing w:val="3"/>
                <w:sz w:val="21"/>
                <w:highlight w:val="none"/>
              </w:rPr>
              <w:t xml:space="preserve">锈蚀比例超过 </w:t>
            </w:r>
            <w:r>
              <w:rPr>
                <w:rFonts w:ascii="Arial" w:hAnsi="Times New Roman" w:eastAsia="宋体" w:cs="Times New Roman"/>
                <w:spacing w:val="3"/>
                <w:sz w:val="21"/>
                <w:highlight w:val="none"/>
              </w:rPr>
              <w:t>5%</w:t>
            </w:r>
            <w:r>
              <w:rPr>
                <w:rFonts w:ascii="Arial" w:hAnsi="Times New Roman" w:eastAsia="宋体" w:cs="Times New Roman"/>
                <w:spacing w:val="-17"/>
                <w:sz w:val="21"/>
                <w:highlight w:val="none"/>
              </w:rPr>
              <w:t xml:space="preserve"> </w:t>
            </w:r>
            <w:r>
              <w:rPr>
                <w:rFonts w:ascii="Arial" w:eastAsia="宋体"/>
                <w:spacing w:val="3"/>
                <w:sz w:val="21"/>
                <w:highlight w:val="none"/>
              </w:rPr>
              <w:t>，新装栏杆尺寸、颜色</w:t>
            </w:r>
            <w:r>
              <w:rPr>
                <w:rFonts w:ascii="Arial" w:eastAsia="宋体"/>
                <w:spacing w:val="5"/>
                <w:sz w:val="21"/>
                <w:highlight w:val="none"/>
              </w:rPr>
              <w:t xml:space="preserve">等影响外观效果的，每发现一处，扣 </w:t>
            </w:r>
            <w:r>
              <w:rPr>
                <w:rFonts w:ascii="Arial" w:hAnsi="Times New Roman" w:eastAsia="宋体" w:cs="Times New Roman"/>
                <w:spacing w:val="5"/>
                <w:sz w:val="21"/>
                <w:highlight w:val="none"/>
              </w:rPr>
              <w:t>0.5</w:t>
            </w:r>
            <w:r>
              <w:rPr>
                <w:rFonts w:ascii="Arial" w:eastAsia="宋体"/>
                <w:sz w:val="21"/>
                <w:highlight w:val="none"/>
              </w:rPr>
              <w:t>分</w:t>
            </w:r>
            <w:r>
              <w:rPr>
                <w:rFonts w:hint="eastAsia" w:ascii="Arial" w:eastAsia="宋体"/>
                <w:sz w:val="21"/>
                <w:highlight w:val="none"/>
                <w:lang w:eastAsia="zh-CN"/>
              </w:rPr>
              <w:t>。</w:t>
            </w:r>
          </w:p>
        </w:tc>
        <w:tc>
          <w:tcPr>
            <w:tcW w:w="2176" w:type="dxa"/>
            <w:vAlign w:val="center"/>
          </w:tcPr>
          <w:p w14:paraId="64798690">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0F4FF27C">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28C174BC">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5BF2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32EE2B95">
            <w:pPr>
              <w:snapToGrid w:val="0"/>
              <w:ind w:left="0" w:leftChars="0" w:right="0" w:rightChars="0" w:firstLine="0" w:firstLineChars="0"/>
              <w:jc w:val="center"/>
              <w:rPr>
                <w:rFonts w:ascii="Arial" w:eastAsia="宋体"/>
                <w:b/>
                <w:bCs/>
                <w:sz w:val="21"/>
                <w:highlight w:val="none"/>
                <w:vertAlign w:val="baseline"/>
              </w:rPr>
            </w:pPr>
          </w:p>
        </w:tc>
        <w:tc>
          <w:tcPr>
            <w:tcW w:w="1044" w:type="dxa"/>
            <w:vAlign w:val="center"/>
          </w:tcPr>
          <w:p w14:paraId="42F47F61">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伸缩缝</w:t>
            </w:r>
          </w:p>
          <w:p w14:paraId="1D677F80">
            <w:pPr>
              <w:snapToGrid w:val="0"/>
              <w:ind w:left="0" w:leftChars="0" w:right="0" w:rightChars="0" w:firstLine="0" w:firstLineChars="0"/>
              <w:jc w:val="center"/>
              <w:rPr>
                <w:rFonts w:hint="eastAsia" w:ascii="Arial" w:eastAsia="宋体"/>
                <w:sz w:val="21"/>
                <w:highlight w:val="none"/>
                <w:vertAlign w:val="baseline"/>
              </w:rPr>
            </w:pPr>
            <w:r>
              <w:rPr>
                <w:rFonts w:hint="eastAsia" w:ascii="Arial" w:eastAsia="宋体"/>
                <w:sz w:val="21"/>
                <w:highlight w:val="none"/>
                <w:vertAlign w:val="baseline"/>
                <w:lang w:val="en-US" w:eastAsia="zh-CN"/>
              </w:rPr>
              <w:t>（3分）</w:t>
            </w:r>
          </w:p>
        </w:tc>
        <w:tc>
          <w:tcPr>
            <w:tcW w:w="2735" w:type="dxa"/>
            <w:shd w:val="clear" w:color="auto" w:fill="auto"/>
            <w:vAlign w:val="center"/>
          </w:tcPr>
          <w:p w14:paraId="27EC0B3A">
            <w:pPr>
              <w:pStyle w:val="149"/>
              <w:snapToGrid w:val="0"/>
              <w:spacing w:before="172"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4"/>
                <w:sz w:val="21"/>
                <w:highlight w:val="none"/>
              </w:rPr>
              <w:t>伸缩缝定期保养清理，无杂物阻塞卡 死，混</w:t>
            </w:r>
            <w:r>
              <w:rPr>
                <w:rFonts w:ascii="Arial" w:eastAsia="宋体"/>
                <w:spacing w:val="2"/>
                <w:sz w:val="21"/>
                <w:highlight w:val="none"/>
              </w:rPr>
              <w:t>凝土保护带无明显碎裂破损，橡胶件无开裂、</w:t>
            </w:r>
            <w:r>
              <w:rPr>
                <w:rFonts w:ascii="Arial" w:eastAsia="宋体"/>
                <w:spacing w:val="4"/>
                <w:sz w:val="21"/>
                <w:highlight w:val="none"/>
              </w:rPr>
              <w:t>脱落、老化，联结部 件无松动、脱落、缺失或局部损伤等；</w:t>
            </w:r>
          </w:p>
        </w:tc>
        <w:tc>
          <w:tcPr>
            <w:tcW w:w="3000" w:type="dxa"/>
            <w:shd w:val="clear" w:color="auto" w:fill="auto"/>
            <w:vAlign w:val="center"/>
          </w:tcPr>
          <w:p w14:paraId="5BE9505F">
            <w:pPr>
              <w:pStyle w:val="149"/>
              <w:snapToGrid w:val="0"/>
              <w:spacing w:before="13"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2"/>
                <w:sz w:val="21"/>
                <w:highlight w:val="none"/>
              </w:rPr>
              <w:t>止水带清理不干净每发现一处，扣</w:t>
            </w:r>
            <w:r>
              <w:rPr>
                <w:rFonts w:ascii="Arial" w:hAnsi="Times New Roman" w:eastAsia="宋体" w:cs="Times New Roman"/>
                <w:spacing w:val="2"/>
                <w:sz w:val="21"/>
                <w:highlight w:val="none"/>
              </w:rPr>
              <w:t>0.2</w:t>
            </w:r>
            <w:r>
              <w:rPr>
                <w:rFonts w:ascii="Arial" w:eastAsia="宋体"/>
                <w:spacing w:val="2"/>
                <w:sz w:val="21"/>
                <w:highlight w:val="none"/>
              </w:rPr>
              <w:t>分。</w:t>
            </w:r>
            <w:r>
              <w:rPr>
                <w:rFonts w:ascii="Arial" w:eastAsia="宋体"/>
                <w:spacing w:val="1"/>
                <w:sz w:val="21"/>
                <w:highlight w:val="none"/>
              </w:rPr>
              <w:t>伸缩缝松动、混凝土保护带有明显碎裂破损的，止水带开裂、脱落、老化的，联结部件松动、脱落、缺失或局部损伤等，每</w:t>
            </w:r>
            <w:r>
              <w:rPr>
                <w:rFonts w:ascii="Arial" w:eastAsia="宋体"/>
                <w:spacing w:val="3"/>
                <w:sz w:val="21"/>
                <w:highlight w:val="none"/>
              </w:rPr>
              <w:t>发现一处，扣</w:t>
            </w:r>
            <w:r>
              <w:rPr>
                <w:rFonts w:ascii="Arial" w:hAnsi="Times New Roman" w:eastAsia="宋体" w:cs="Times New Roman"/>
                <w:spacing w:val="3"/>
                <w:sz w:val="21"/>
                <w:highlight w:val="none"/>
              </w:rPr>
              <w:t>0.5</w:t>
            </w:r>
            <w:r>
              <w:rPr>
                <w:rFonts w:ascii="Arial" w:eastAsia="宋体"/>
                <w:spacing w:val="3"/>
                <w:sz w:val="21"/>
                <w:highlight w:val="none"/>
              </w:rPr>
              <w:t>分。</w:t>
            </w:r>
          </w:p>
        </w:tc>
        <w:tc>
          <w:tcPr>
            <w:tcW w:w="2176" w:type="dxa"/>
            <w:vAlign w:val="center"/>
          </w:tcPr>
          <w:p w14:paraId="3200E61E">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215C68CE">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48A6C2C7">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0F26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5679C648">
            <w:pPr>
              <w:snapToGrid w:val="0"/>
              <w:ind w:left="0" w:leftChars="0" w:right="0" w:rightChars="0" w:firstLine="0" w:firstLineChars="0"/>
              <w:jc w:val="center"/>
              <w:rPr>
                <w:rFonts w:ascii="Arial" w:eastAsia="宋体"/>
                <w:b/>
                <w:bCs/>
                <w:sz w:val="21"/>
                <w:highlight w:val="none"/>
                <w:vertAlign w:val="baseline"/>
              </w:rPr>
            </w:pPr>
          </w:p>
        </w:tc>
        <w:tc>
          <w:tcPr>
            <w:tcW w:w="1044" w:type="dxa"/>
            <w:vAlign w:val="center"/>
          </w:tcPr>
          <w:p w14:paraId="6DDAFBCC">
            <w:pPr>
              <w:snapToGrid w:val="0"/>
              <w:ind w:left="0" w:leftChars="0" w:right="0" w:rightChars="0" w:firstLine="0" w:firstLineChars="0"/>
              <w:jc w:val="center"/>
              <w:rPr>
                <w:rFonts w:hint="eastAsia" w:ascii="Arial" w:eastAsia="宋体"/>
                <w:sz w:val="21"/>
                <w:highlight w:val="none"/>
                <w:vertAlign w:val="baseline"/>
                <w:lang w:eastAsia="zh-CN"/>
              </w:rPr>
            </w:pPr>
            <w:r>
              <w:rPr>
                <w:rFonts w:ascii="Arial" w:eastAsia="宋体"/>
                <w:spacing w:val="9"/>
                <w:sz w:val="21"/>
                <w:highlight w:val="none"/>
              </w:rPr>
              <w:t>排水设施</w:t>
            </w:r>
            <w:r>
              <w:rPr>
                <w:rFonts w:hint="eastAsia" w:ascii="Arial" w:eastAsia="宋体"/>
                <w:spacing w:val="9"/>
                <w:sz w:val="21"/>
                <w:highlight w:val="none"/>
                <w:lang w:eastAsia="zh-CN"/>
              </w:rPr>
              <w:t>（</w:t>
            </w:r>
            <w:r>
              <w:rPr>
                <w:rFonts w:hint="eastAsia" w:ascii="Arial" w:eastAsia="宋体"/>
                <w:spacing w:val="9"/>
                <w:sz w:val="21"/>
                <w:highlight w:val="none"/>
                <w:lang w:val="en-US" w:eastAsia="zh-CN"/>
              </w:rPr>
              <w:t>3分</w:t>
            </w:r>
            <w:r>
              <w:rPr>
                <w:rFonts w:hint="eastAsia" w:ascii="Arial" w:eastAsia="宋体"/>
                <w:spacing w:val="9"/>
                <w:sz w:val="21"/>
                <w:highlight w:val="none"/>
                <w:lang w:eastAsia="zh-CN"/>
              </w:rPr>
              <w:t>）</w:t>
            </w:r>
          </w:p>
        </w:tc>
        <w:tc>
          <w:tcPr>
            <w:tcW w:w="2735" w:type="dxa"/>
            <w:shd w:val="clear" w:color="auto" w:fill="auto"/>
            <w:vAlign w:val="center"/>
          </w:tcPr>
          <w:p w14:paraId="635DD27C">
            <w:pPr>
              <w:pStyle w:val="149"/>
              <w:snapToGrid w:val="0"/>
              <w:spacing w:before="80"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9"/>
                <w:sz w:val="21"/>
                <w:highlight w:val="none"/>
              </w:rPr>
              <w:t>桥面排水设施良好，泄水孔无明显堵塞，桥</w:t>
            </w:r>
            <w:r>
              <w:rPr>
                <w:rFonts w:ascii="Arial" w:eastAsia="宋体"/>
                <w:spacing w:val="8"/>
                <w:sz w:val="21"/>
                <w:highlight w:val="none"/>
              </w:rPr>
              <w:t>面无积水，雨水篦子无缺损；</w:t>
            </w:r>
          </w:p>
        </w:tc>
        <w:tc>
          <w:tcPr>
            <w:tcW w:w="3000" w:type="dxa"/>
            <w:shd w:val="clear" w:color="auto" w:fill="auto"/>
            <w:vAlign w:val="center"/>
          </w:tcPr>
          <w:p w14:paraId="7CF37BF7">
            <w:pPr>
              <w:pStyle w:val="149"/>
              <w:snapToGrid w:val="0"/>
              <w:spacing w:before="80"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5"/>
                <w:sz w:val="21"/>
                <w:highlight w:val="none"/>
              </w:rPr>
              <w:t>泄水管堵塞或雨水篦子缺损的，每发现一</w:t>
            </w:r>
            <w:r>
              <w:rPr>
                <w:rFonts w:ascii="Arial" w:eastAsia="宋体"/>
                <w:spacing w:val="4"/>
                <w:sz w:val="21"/>
                <w:highlight w:val="none"/>
              </w:rPr>
              <w:t>处，扣</w:t>
            </w:r>
            <w:r>
              <w:rPr>
                <w:rFonts w:ascii="Arial" w:hAnsi="Times New Roman" w:eastAsia="宋体" w:cs="Times New Roman"/>
                <w:spacing w:val="4"/>
                <w:sz w:val="21"/>
                <w:highlight w:val="none"/>
              </w:rPr>
              <w:t>0.2</w:t>
            </w:r>
            <w:r>
              <w:rPr>
                <w:rFonts w:ascii="Arial" w:eastAsia="宋体"/>
                <w:spacing w:val="4"/>
                <w:sz w:val="21"/>
                <w:highlight w:val="none"/>
              </w:rPr>
              <w:t>分。</w:t>
            </w:r>
          </w:p>
        </w:tc>
        <w:tc>
          <w:tcPr>
            <w:tcW w:w="2176" w:type="dxa"/>
            <w:vAlign w:val="center"/>
          </w:tcPr>
          <w:p w14:paraId="327D00B0">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4D4176CE">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7FF4E6E5">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0CEC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75F267F5">
            <w:pPr>
              <w:snapToGrid w:val="0"/>
              <w:ind w:left="0" w:leftChars="0" w:right="0" w:rightChars="0" w:firstLine="0" w:firstLineChars="0"/>
              <w:jc w:val="center"/>
              <w:rPr>
                <w:rFonts w:ascii="Arial" w:eastAsia="宋体"/>
                <w:b/>
                <w:bCs/>
                <w:sz w:val="21"/>
                <w:highlight w:val="none"/>
                <w:vertAlign w:val="baseline"/>
              </w:rPr>
            </w:pPr>
          </w:p>
        </w:tc>
        <w:tc>
          <w:tcPr>
            <w:tcW w:w="1044" w:type="dxa"/>
            <w:vAlign w:val="center"/>
          </w:tcPr>
          <w:p w14:paraId="149D0475">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主体结构</w:t>
            </w:r>
            <w:r>
              <w:rPr>
                <w:rFonts w:hint="eastAsia" w:ascii="Arial" w:eastAsia="宋体"/>
                <w:sz w:val="21"/>
                <w:highlight w:val="none"/>
                <w:vertAlign w:val="baseline"/>
                <w:lang w:val="en-US" w:eastAsia="zh-CN"/>
              </w:rPr>
              <w:br w:type="textWrapping"/>
            </w:r>
            <w:r>
              <w:rPr>
                <w:rFonts w:hint="eastAsia" w:ascii="Arial" w:eastAsia="宋体"/>
                <w:sz w:val="21"/>
                <w:highlight w:val="none"/>
                <w:vertAlign w:val="baseline"/>
                <w:lang w:val="en-US" w:eastAsia="zh-CN"/>
              </w:rPr>
              <w:t>(梁体/支座/墩台)</w:t>
            </w:r>
          </w:p>
          <w:p w14:paraId="47F4ECFD">
            <w:pPr>
              <w:snapToGrid w:val="0"/>
              <w:ind w:left="0" w:leftChars="0" w:right="0" w:rightChars="0" w:firstLine="0" w:firstLineChars="0"/>
              <w:jc w:val="center"/>
              <w:rPr>
                <w:rFonts w:hint="eastAsia" w:ascii="Arial" w:eastAsia="宋体"/>
                <w:sz w:val="21"/>
                <w:highlight w:val="none"/>
                <w:vertAlign w:val="baseline"/>
              </w:rPr>
            </w:pPr>
            <w:r>
              <w:rPr>
                <w:rFonts w:hint="eastAsia" w:ascii="Arial" w:eastAsia="宋体"/>
                <w:sz w:val="21"/>
                <w:highlight w:val="none"/>
                <w:vertAlign w:val="baseline"/>
                <w:lang w:val="en-US" w:eastAsia="zh-CN"/>
              </w:rPr>
              <w:t>（4分）</w:t>
            </w:r>
          </w:p>
        </w:tc>
        <w:tc>
          <w:tcPr>
            <w:tcW w:w="2735" w:type="dxa"/>
            <w:shd w:val="clear" w:color="auto" w:fill="auto"/>
            <w:vAlign w:val="center"/>
          </w:tcPr>
          <w:p w14:paraId="588CC4C1">
            <w:pPr>
              <w:pStyle w:val="149"/>
              <w:snapToGrid w:val="0"/>
              <w:spacing w:before="71"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9"/>
                <w:sz w:val="21"/>
                <w:highlight w:val="none"/>
              </w:rPr>
              <w:t>梁体结构、支座、挡墙、墩台等部位设施完</w:t>
            </w:r>
            <w:r>
              <w:rPr>
                <w:rFonts w:ascii="Arial" w:eastAsia="宋体"/>
                <w:spacing w:val="7"/>
                <w:sz w:val="21"/>
                <w:highlight w:val="none"/>
              </w:rPr>
              <w:t>好，无明显病害；</w:t>
            </w:r>
          </w:p>
        </w:tc>
        <w:tc>
          <w:tcPr>
            <w:tcW w:w="3000" w:type="dxa"/>
            <w:shd w:val="clear" w:color="auto" w:fill="auto"/>
            <w:vAlign w:val="center"/>
          </w:tcPr>
          <w:p w14:paraId="76B95A45">
            <w:pPr>
              <w:pStyle w:val="149"/>
              <w:snapToGrid w:val="0"/>
              <w:spacing w:before="39"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8"/>
                <w:sz w:val="21"/>
                <w:highlight w:val="none"/>
              </w:rPr>
              <w:t>结构部位有明显病害，每发现一处，扣</w:t>
            </w:r>
            <w:r>
              <w:rPr>
                <w:rFonts w:ascii="Arial" w:hAnsi="Times New Roman" w:eastAsia="宋体" w:cs="Times New Roman"/>
                <w:spacing w:val="8"/>
                <w:sz w:val="21"/>
                <w:highlight w:val="none"/>
              </w:rPr>
              <w:t>2</w:t>
            </w:r>
            <w:r>
              <w:rPr>
                <w:rFonts w:ascii="Arial" w:eastAsia="宋体"/>
                <w:spacing w:val="-1"/>
                <w:sz w:val="21"/>
                <w:highlight w:val="none"/>
              </w:rPr>
              <w:t>分。</w:t>
            </w:r>
          </w:p>
        </w:tc>
        <w:tc>
          <w:tcPr>
            <w:tcW w:w="2176" w:type="dxa"/>
            <w:vAlign w:val="center"/>
          </w:tcPr>
          <w:p w14:paraId="74E063CE">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6FA241BE">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251F6FB9">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17F9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3E9AB9DA">
            <w:pPr>
              <w:snapToGrid w:val="0"/>
              <w:ind w:left="0" w:leftChars="0" w:right="0" w:rightChars="0" w:firstLine="0" w:firstLineChars="0"/>
              <w:jc w:val="center"/>
              <w:rPr>
                <w:rFonts w:ascii="Arial" w:eastAsia="宋体"/>
                <w:b/>
                <w:bCs/>
                <w:sz w:val="21"/>
                <w:highlight w:val="none"/>
                <w:vertAlign w:val="baseline"/>
              </w:rPr>
            </w:pPr>
          </w:p>
        </w:tc>
        <w:tc>
          <w:tcPr>
            <w:tcW w:w="1044" w:type="dxa"/>
            <w:vAlign w:val="center"/>
          </w:tcPr>
          <w:p w14:paraId="0D6C5583">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z w:val="21"/>
                <w:highlight w:val="none"/>
                <w:vertAlign w:val="baseline"/>
                <w:lang w:val="en-US" w:eastAsia="zh-CN"/>
              </w:rPr>
              <w:t>桥下空间</w:t>
            </w:r>
          </w:p>
          <w:p w14:paraId="7C9ADDF1">
            <w:pPr>
              <w:snapToGrid w:val="0"/>
              <w:ind w:left="0" w:leftChars="0" w:right="0" w:rightChars="0" w:firstLine="0" w:firstLineChars="0"/>
              <w:jc w:val="center"/>
              <w:rPr>
                <w:rFonts w:hint="eastAsia" w:ascii="Arial" w:eastAsia="宋体"/>
                <w:sz w:val="21"/>
                <w:highlight w:val="none"/>
                <w:vertAlign w:val="baseline"/>
              </w:rPr>
            </w:pPr>
            <w:r>
              <w:rPr>
                <w:rFonts w:hint="eastAsia" w:ascii="Arial" w:eastAsia="宋体"/>
                <w:sz w:val="21"/>
                <w:highlight w:val="none"/>
                <w:vertAlign w:val="baseline"/>
                <w:lang w:val="en-US" w:eastAsia="zh-CN"/>
              </w:rPr>
              <w:t>（4分）</w:t>
            </w:r>
          </w:p>
        </w:tc>
        <w:tc>
          <w:tcPr>
            <w:tcW w:w="2735" w:type="dxa"/>
            <w:shd w:val="clear" w:color="auto" w:fill="auto"/>
            <w:vAlign w:val="center"/>
          </w:tcPr>
          <w:p w14:paraId="161AA77A">
            <w:pPr>
              <w:pStyle w:val="149"/>
              <w:snapToGrid w:val="0"/>
              <w:spacing w:before="210"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8"/>
                <w:sz w:val="21"/>
                <w:highlight w:val="none"/>
              </w:rPr>
              <w:t>桥下空间使用规范合理，随桥管线规范。</w:t>
            </w:r>
          </w:p>
        </w:tc>
        <w:tc>
          <w:tcPr>
            <w:tcW w:w="3000" w:type="dxa"/>
            <w:shd w:val="clear" w:color="auto" w:fill="auto"/>
            <w:vAlign w:val="center"/>
          </w:tcPr>
          <w:p w14:paraId="638D4AC7">
            <w:pPr>
              <w:pStyle w:val="149"/>
              <w:snapToGrid w:val="0"/>
              <w:spacing w:before="71"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6"/>
                <w:sz w:val="21"/>
                <w:highlight w:val="none"/>
              </w:rPr>
              <w:t>桥下空间、随桥管线杂乱，有安全隐患的，</w:t>
            </w:r>
            <w:r>
              <w:rPr>
                <w:rFonts w:ascii="Arial" w:eastAsia="宋体"/>
                <w:spacing w:val="4"/>
                <w:sz w:val="21"/>
                <w:highlight w:val="none"/>
              </w:rPr>
              <w:t>每发现一处，扣</w:t>
            </w:r>
            <w:r>
              <w:rPr>
                <w:rFonts w:ascii="Arial" w:hAnsi="Times New Roman" w:eastAsia="宋体" w:cs="Times New Roman"/>
                <w:spacing w:val="4"/>
                <w:sz w:val="21"/>
                <w:highlight w:val="none"/>
              </w:rPr>
              <w:t>1</w:t>
            </w:r>
            <w:r>
              <w:rPr>
                <w:rFonts w:ascii="Arial" w:eastAsia="宋体"/>
                <w:spacing w:val="4"/>
                <w:sz w:val="21"/>
                <w:highlight w:val="none"/>
              </w:rPr>
              <w:t>分。</w:t>
            </w:r>
          </w:p>
        </w:tc>
        <w:tc>
          <w:tcPr>
            <w:tcW w:w="2176" w:type="dxa"/>
            <w:vAlign w:val="center"/>
          </w:tcPr>
          <w:p w14:paraId="28F73484">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3558EB1C">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2C202DFD">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17A7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16183604">
            <w:pPr>
              <w:snapToGrid w:val="0"/>
              <w:ind w:left="0" w:leftChars="0" w:right="0" w:rightChars="0" w:firstLine="0" w:firstLineChars="0"/>
              <w:jc w:val="center"/>
              <w:rPr>
                <w:rFonts w:ascii="Arial" w:eastAsia="宋体"/>
                <w:b/>
                <w:bCs/>
                <w:sz w:val="21"/>
                <w:highlight w:val="none"/>
                <w:vertAlign w:val="baseline"/>
              </w:rPr>
            </w:pPr>
          </w:p>
        </w:tc>
        <w:tc>
          <w:tcPr>
            <w:tcW w:w="1044" w:type="dxa"/>
            <w:vAlign w:val="center"/>
          </w:tcPr>
          <w:p w14:paraId="552401AC">
            <w:pPr>
              <w:snapToGrid w:val="0"/>
              <w:ind w:left="0" w:leftChars="0" w:right="0" w:rightChars="0" w:firstLine="0" w:firstLineChars="0"/>
              <w:jc w:val="center"/>
              <w:rPr>
                <w:rFonts w:ascii="Arial" w:eastAsia="宋体"/>
                <w:spacing w:val="8"/>
                <w:sz w:val="21"/>
                <w:highlight w:val="none"/>
              </w:rPr>
            </w:pPr>
            <w:r>
              <w:rPr>
                <w:rFonts w:ascii="Arial" w:eastAsia="宋体"/>
                <w:spacing w:val="8"/>
                <w:sz w:val="21"/>
                <w:highlight w:val="none"/>
              </w:rPr>
              <w:t>安全防护设施</w:t>
            </w:r>
          </w:p>
          <w:p w14:paraId="5415AFF5">
            <w:pPr>
              <w:snapToGrid w:val="0"/>
              <w:ind w:left="0" w:leftChars="0" w:right="0" w:rightChars="0" w:firstLine="0" w:firstLineChars="0"/>
              <w:jc w:val="center"/>
              <w:rPr>
                <w:rFonts w:hint="eastAsia" w:ascii="Arial" w:eastAsia="宋体"/>
                <w:sz w:val="21"/>
                <w:highlight w:val="none"/>
                <w:vertAlign w:val="baseline"/>
                <w:lang w:eastAsia="zh-CN"/>
              </w:rPr>
            </w:pPr>
            <w:r>
              <w:rPr>
                <w:rFonts w:hint="eastAsia" w:ascii="Arial" w:eastAsia="宋体"/>
                <w:spacing w:val="8"/>
                <w:sz w:val="21"/>
                <w:highlight w:val="none"/>
                <w:lang w:eastAsia="zh-CN"/>
              </w:rPr>
              <w:t>（</w:t>
            </w:r>
            <w:r>
              <w:rPr>
                <w:rFonts w:hint="eastAsia" w:ascii="Arial" w:eastAsia="宋体"/>
                <w:spacing w:val="8"/>
                <w:sz w:val="21"/>
                <w:highlight w:val="none"/>
                <w:lang w:val="en-US" w:eastAsia="zh-CN"/>
              </w:rPr>
              <w:t>3分</w:t>
            </w:r>
            <w:r>
              <w:rPr>
                <w:rFonts w:hint="eastAsia" w:ascii="Arial" w:eastAsia="宋体"/>
                <w:spacing w:val="8"/>
                <w:sz w:val="21"/>
                <w:highlight w:val="none"/>
                <w:lang w:eastAsia="zh-CN"/>
              </w:rPr>
              <w:t>）</w:t>
            </w:r>
          </w:p>
        </w:tc>
        <w:tc>
          <w:tcPr>
            <w:tcW w:w="2735" w:type="dxa"/>
            <w:shd w:val="clear" w:color="auto" w:fill="auto"/>
            <w:vAlign w:val="center"/>
          </w:tcPr>
          <w:p w14:paraId="03F0CF1E">
            <w:pPr>
              <w:pStyle w:val="149"/>
              <w:snapToGrid w:val="0"/>
              <w:spacing w:before="150"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8"/>
                <w:sz w:val="21"/>
                <w:highlight w:val="none"/>
              </w:rPr>
              <w:t>桥梁铭牌、限载牌等安全防护设施完好；</w:t>
            </w:r>
          </w:p>
        </w:tc>
        <w:tc>
          <w:tcPr>
            <w:tcW w:w="3000" w:type="dxa"/>
            <w:shd w:val="clear" w:color="auto" w:fill="auto"/>
            <w:vAlign w:val="center"/>
          </w:tcPr>
          <w:p w14:paraId="5B79EA98">
            <w:pPr>
              <w:pStyle w:val="149"/>
              <w:snapToGrid w:val="0"/>
              <w:spacing w:before="118" w:line="240" w:lineRule="auto"/>
              <w:ind w:left="0" w:leftChars="0" w:right="0" w:rightChars="0" w:firstLine="0" w:firstLineChars="0"/>
              <w:jc w:val="left"/>
              <w:rPr>
                <w:rFonts w:ascii="Arial" w:hAnsi="宋体" w:eastAsia="宋体" w:cs="宋体"/>
                <w:kern w:val="2"/>
                <w:sz w:val="21"/>
                <w:szCs w:val="20"/>
                <w:highlight w:val="none"/>
                <w:lang w:val="en-US" w:eastAsia="en-US" w:bidi="ar-SA"/>
              </w:rPr>
            </w:pPr>
            <w:r>
              <w:rPr>
                <w:rFonts w:ascii="Arial" w:eastAsia="宋体"/>
                <w:spacing w:val="-4"/>
                <w:position w:val="1"/>
                <w:sz w:val="21"/>
                <w:highlight w:val="none"/>
              </w:rPr>
              <w:t>附属设施缺损的，每发现一处，扣</w:t>
            </w:r>
            <w:r>
              <w:rPr>
                <w:rFonts w:ascii="Arial" w:hAnsi="Times New Roman" w:eastAsia="宋体" w:cs="Times New Roman"/>
                <w:spacing w:val="-4"/>
                <w:position w:val="1"/>
                <w:sz w:val="21"/>
                <w:highlight w:val="none"/>
              </w:rPr>
              <w:t xml:space="preserve">0.2  </w:t>
            </w:r>
            <w:r>
              <w:rPr>
                <w:rFonts w:ascii="Arial" w:eastAsia="宋体"/>
                <w:spacing w:val="-4"/>
                <w:position w:val="1"/>
                <w:sz w:val="21"/>
                <w:highlight w:val="none"/>
              </w:rPr>
              <w:t>分。</w:t>
            </w:r>
          </w:p>
        </w:tc>
        <w:tc>
          <w:tcPr>
            <w:tcW w:w="2176" w:type="dxa"/>
            <w:vAlign w:val="center"/>
          </w:tcPr>
          <w:p w14:paraId="2720D7A2">
            <w:pPr>
              <w:pStyle w:val="149"/>
              <w:snapToGrid w:val="0"/>
              <w:spacing w:before="150" w:line="240" w:lineRule="auto"/>
              <w:ind w:left="0" w:leftChars="0" w:right="0" w:rightChars="0" w:firstLine="0" w:firstLineChars="0"/>
              <w:jc w:val="left"/>
              <w:rPr>
                <w:rFonts w:ascii="Arial" w:hAnsi="Segoe UI" w:eastAsia="宋体" w:cs="Segoe UI"/>
                <w:i w:val="0"/>
                <w:iCs w:val="0"/>
                <w:caps w:val="0"/>
                <w:color w:val="060A26"/>
                <w:spacing w:val="0"/>
                <w:sz w:val="21"/>
                <w:szCs w:val="21"/>
                <w:highlight w:val="none"/>
                <w:shd w:val="clear" w:fill="FFFFFF"/>
              </w:rPr>
            </w:pPr>
            <w:r>
              <w:rPr>
                <w:rFonts w:hint="eastAsia" w:ascii="Arial" w:eastAsia="宋体"/>
                <w:spacing w:val="8"/>
                <w:sz w:val="21"/>
                <w:highlight w:val="none"/>
                <w:lang w:val="en-US" w:eastAsia="zh-CN"/>
              </w:rPr>
              <w:t>-</w:t>
            </w:r>
          </w:p>
        </w:tc>
        <w:tc>
          <w:tcPr>
            <w:tcW w:w="660" w:type="dxa"/>
            <w:vAlign w:val="center"/>
          </w:tcPr>
          <w:p w14:paraId="3A66AD46">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2168B4D7">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3DB8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restart"/>
            <w:vAlign w:val="center"/>
          </w:tcPr>
          <w:p w14:paraId="3F566BA7">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b/>
                <w:bCs/>
                <w:sz w:val="21"/>
                <w:highlight w:val="none"/>
                <w:vertAlign w:val="baseline"/>
                <w:lang w:val="en-US" w:eastAsia="zh-CN"/>
              </w:rPr>
              <w:t>巡查情况（7分）</w:t>
            </w:r>
          </w:p>
        </w:tc>
        <w:tc>
          <w:tcPr>
            <w:tcW w:w="1044" w:type="dxa"/>
            <w:vAlign w:val="center"/>
          </w:tcPr>
          <w:p w14:paraId="5F56F776">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沥青路面病害发现</w:t>
            </w:r>
          </w:p>
          <w:p w14:paraId="1064F049">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2"/>
                <w:sz w:val="21"/>
                <w:highlight w:val="none"/>
                <w:lang w:eastAsia="zh-CN"/>
              </w:rPr>
              <w:t>（</w:t>
            </w:r>
            <w:r>
              <w:rPr>
                <w:rFonts w:hint="eastAsia" w:ascii="Arial" w:eastAsia="宋体"/>
                <w:spacing w:val="2"/>
                <w:sz w:val="21"/>
                <w:highlight w:val="none"/>
                <w:lang w:val="en-US" w:eastAsia="zh-CN"/>
              </w:rPr>
              <w:t>3分</w:t>
            </w:r>
            <w:r>
              <w:rPr>
                <w:rFonts w:hint="eastAsia" w:ascii="Arial" w:eastAsia="宋体"/>
                <w:spacing w:val="2"/>
                <w:sz w:val="21"/>
                <w:highlight w:val="none"/>
                <w:lang w:eastAsia="zh-CN"/>
              </w:rPr>
              <w:t>）</w:t>
            </w:r>
          </w:p>
        </w:tc>
        <w:tc>
          <w:tcPr>
            <w:tcW w:w="2735" w:type="dxa"/>
            <w:shd w:val="clear" w:color="auto" w:fill="auto"/>
            <w:vAlign w:val="center"/>
          </w:tcPr>
          <w:p w14:paraId="4B0E7652">
            <w:pPr>
              <w:pStyle w:val="149"/>
              <w:snapToGrid w:val="0"/>
              <w:spacing w:before="216" w:line="240" w:lineRule="auto"/>
              <w:ind w:left="0" w:leftChars="0" w:right="0" w:rightChars="0" w:firstLine="0" w:firstLineChars="0"/>
              <w:jc w:val="left"/>
              <w:rPr>
                <w:rFonts w:hint="eastAsia" w:ascii="Arial" w:eastAsia="宋体"/>
                <w:spacing w:val="8"/>
                <w:sz w:val="21"/>
                <w:highlight w:val="none"/>
                <w:lang w:val="en-US" w:eastAsia="zh-CN"/>
              </w:rPr>
            </w:pPr>
            <w:r>
              <w:rPr>
                <w:rFonts w:ascii="Arial" w:eastAsia="宋体"/>
                <w:spacing w:val="2"/>
                <w:sz w:val="21"/>
                <w:highlight w:val="none"/>
              </w:rPr>
              <w:t>沥青路面无拥包、坑槽、沉陷、脱皮等病害；</w:t>
            </w:r>
          </w:p>
        </w:tc>
        <w:tc>
          <w:tcPr>
            <w:tcW w:w="3000" w:type="dxa"/>
            <w:shd w:val="clear" w:color="auto" w:fill="auto"/>
            <w:vAlign w:val="center"/>
          </w:tcPr>
          <w:p w14:paraId="734A9645">
            <w:pPr>
              <w:pStyle w:val="149"/>
              <w:snapToGrid w:val="0"/>
              <w:spacing w:before="77" w:line="240" w:lineRule="auto"/>
              <w:ind w:left="0" w:leftChars="0" w:right="0" w:rightChars="0" w:firstLine="0" w:firstLineChars="0"/>
              <w:jc w:val="left"/>
              <w:rPr>
                <w:rFonts w:hint="eastAsia" w:ascii="Arial" w:eastAsia="宋体"/>
                <w:spacing w:val="8"/>
                <w:sz w:val="21"/>
                <w:highlight w:val="none"/>
                <w:lang w:val="en-US" w:eastAsia="zh-CN"/>
              </w:rPr>
            </w:pPr>
            <w:r>
              <w:rPr>
                <w:rFonts w:ascii="Arial" w:eastAsia="宋体"/>
                <w:spacing w:val="5"/>
                <w:sz w:val="21"/>
                <w:highlight w:val="none"/>
              </w:rPr>
              <w:t>巡查过程中未发现沥青路面拥抱、坑槽、沉陷、脱皮等病害，每处扣</w:t>
            </w:r>
            <w:r>
              <w:rPr>
                <w:rFonts w:ascii="Arial" w:hAnsi="Times New Roman" w:eastAsia="宋体" w:cs="Times New Roman"/>
                <w:spacing w:val="5"/>
                <w:sz w:val="21"/>
                <w:highlight w:val="none"/>
              </w:rPr>
              <w:t>0.2</w:t>
            </w:r>
            <w:r>
              <w:rPr>
                <w:rFonts w:ascii="Arial" w:eastAsia="宋体"/>
                <w:spacing w:val="5"/>
                <w:sz w:val="21"/>
                <w:highlight w:val="none"/>
              </w:rPr>
              <w:t>分。</w:t>
            </w:r>
          </w:p>
        </w:tc>
        <w:tc>
          <w:tcPr>
            <w:tcW w:w="2176" w:type="dxa"/>
            <w:vAlign w:val="center"/>
          </w:tcPr>
          <w:p w14:paraId="4D391B4E">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w:t>
            </w:r>
          </w:p>
        </w:tc>
        <w:tc>
          <w:tcPr>
            <w:tcW w:w="660" w:type="dxa"/>
            <w:vAlign w:val="center"/>
          </w:tcPr>
          <w:p w14:paraId="7CE2ED9C">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7518D4DF">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58F8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542FD4CD">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vAlign w:val="center"/>
          </w:tcPr>
          <w:p w14:paraId="52A7EDEB">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人行道病害发现</w:t>
            </w:r>
          </w:p>
          <w:p w14:paraId="688587C2">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（2分）</w:t>
            </w:r>
          </w:p>
        </w:tc>
        <w:tc>
          <w:tcPr>
            <w:tcW w:w="2735" w:type="dxa"/>
            <w:shd w:val="clear" w:color="auto" w:fill="auto"/>
            <w:vAlign w:val="center"/>
          </w:tcPr>
          <w:p w14:paraId="4CD88594">
            <w:pPr>
              <w:pStyle w:val="149"/>
              <w:snapToGrid w:val="0"/>
              <w:spacing w:before="188" w:line="240" w:lineRule="auto"/>
              <w:ind w:left="0" w:leftChars="0" w:right="0" w:rightChars="0" w:firstLine="0" w:firstLineChars="0"/>
              <w:jc w:val="left"/>
              <w:rPr>
                <w:rFonts w:hint="eastAsia" w:ascii="Arial" w:eastAsia="宋体"/>
                <w:spacing w:val="8"/>
                <w:sz w:val="21"/>
                <w:highlight w:val="none"/>
                <w:lang w:val="en-US" w:eastAsia="zh-CN"/>
              </w:rPr>
            </w:pPr>
            <w:r>
              <w:rPr>
                <w:rFonts w:ascii="Arial" w:eastAsia="宋体"/>
                <w:spacing w:val="9"/>
                <w:sz w:val="21"/>
                <w:highlight w:val="none"/>
              </w:rPr>
              <w:t>人行道砌块无松动、碎裂、沉陷、缺失、砌</w:t>
            </w:r>
            <w:r>
              <w:rPr>
                <w:rFonts w:ascii="Arial" w:eastAsia="宋体"/>
                <w:spacing w:val="5"/>
                <w:sz w:val="21"/>
                <w:highlight w:val="none"/>
              </w:rPr>
              <w:t>块高差大于</w:t>
            </w:r>
            <w:r>
              <w:rPr>
                <w:rFonts w:ascii="Arial" w:eastAsia="宋体"/>
                <w:spacing w:val="36"/>
                <w:sz w:val="21"/>
                <w:highlight w:val="none"/>
              </w:rPr>
              <w:t xml:space="preserve"> </w:t>
            </w:r>
            <w:r>
              <w:rPr>
                <w:rFonts w:ascii="Arial" w:hAnsi="Times New Roman" w:eastAsia="宋体" w:cs="Times New Roman"/>
                <w:spacing w:val="5"/>
                <w:sz w:val="21"/>
                <w:highlight w:val="none"/>
              </w:rPr>
              <w:t>1</w:t>
            </w:r>
            <w:r>
              <w:rPr>
                <w:rFonts w:ascii="Arial" w:hAnsi="Times New Roman" w:eastAsia="宋体" w:cs="Times New Roman"/>
                <w:sz w:val="21"/>
                <w:highlight w:val="none"/>
              </w:rPr>
              <w:t>cm</w:t>
            </w:r>
            <w:r>
              <w:rPr>
                <w:rFonts w:ascii="Arial" w:eastAsia="宋体"/>
                <w:spacing w:val="5"/>
                <w:sz w:val="21"/>
                <w:highlight w:val="none"/>
              </w:rPr>
              <w:t>现象；</w:t>
            </w:r>
          </w:p>
        </w:tc>
        <w:tc>
          <w:tcPr>
            <w:tcW w:w="3000" w:type="dxa"/>
            <w:shd w:val="clear" w:color="auto" w:fill="auto"/>
            <w:vAlign w:val="center"/>
          </w:tcPr>
          <w:p w14:paraId="17688253">
            <w:pPr>
              <w:pStyle w:val="149"/>
              <w:snapToGrid w:val="0"/>
              <w:spacing w:before="46" w:line="240" w:lineRule="auto"/>
              <w:ind w:left="0" w:leftChars="0" w:right="0" w:rightChars="0" w:firstLine="0" w:firstLineChars="0"/>
              <w:jc w:val="left"/>
              <w:rPr>
                <w:rFonts w:hint="eastAsia" w:ascii="Arial" w:eastAsia="宋体"/>
                <w:spacing w:val="8"/>
                <w:sz w:val="21"/>
                <w:highlight w:val="none"/>
                <w:lang w:val="en-US" w:eastAsia="zh-CN"/>
              </w:rPr>
            </w:pPr>
            <w:r>
              <w:rPr>
                <w:rFonts w:ascii="Arial" w:eastAsia="宋体"/>
                <w:spacing w:val="5"/>
                <w:sz w:val="21"/>
                <w:highlight w:val="none"/>
              </w:rPr>
              <w:t>巡查过程中未发现人行道砌块有松动、碎</w:t>
            </w:r>
            <w:r>
              <w:rPr>
                <w:rFonts w:ascii="Arial" w:eastAsia="宋体"/>
                <w:spacing w:val="8"/>
                <w:sz w:val="21"/>
                <w:highlight w:val="none"/>
              </w:rPr>
              <w:t>裂、沉陷、缺失、砌块高差大于</w:t>
            </w:r>
            <w:r>
              <w:rPr>
                <w:rFonts w:ascii="Arial" w:hAnsi="Times New Roman" w:eastAsia="宋体" w:cs="Times New Roman"/>
                <w:spacing w:val="8"/>
                <w:sz w:val="21"/>
                <w:highlight w:val="none"/>
              </w:rPr>
              <w:t>1</w:t>
            </w:r>
            <w:r>
              <w:rPr>
                <w:rFonts w:ascii="Arial" w:hAnsi="Times New Roman" w:eastAsia="宋体" w:cs="Times New Roman"/>
                <w:sz w:val="21"/>
                <w:highlight w:val="none"/>
              </w:rPr>
              <w:t>cm</w:t>
            </w:r>
            <w:r>
              <w:rPr>
                <w:rFonts w:ascii="Arial" w:eastAsia="宋体"/>
                <w:spacing w:val="8"/>
                <w:sz w:val="21"/>
                <w:highlight w:val="none"/>
              </w:rPr>
              <w:t>现象</w:t>
            </w:r>
            <w:r>
              <w:rPr>
                <w:rFonts w:ascii="Arial" w:eastAsia="宋体"/>
                <w:spacing w:val="5"/>
                <w:sz w:val="21"/>
                <w:highlight w:val="none"/>
              </w:rPr>
              <w:t xml:space="preserve">的，每处扣 </w:t>
            </w:r>
            <w:r>
              <w:rPr>
                <w:rFonts w:ascii="Arial" w:hAnsi="Times New Roman" w:eastAsia="宋体" w:cs="Times New Roman"/>
                <w:spacing w:val="5"/>
                <w:sz w:val="21"/>
                <w:highlight w:val="none"/>
              </w:rPr>
              <w:t>0.1</w:t>
            </w:r>
            <w:r>
              <w:rPr>
                <w:rFonts w:ascii="Arial" w:hAnsi="Times New Roman" w:eastAsia="宋体" w:cs="Times New Roman"/>
                <w:spacing w:val="7"/>
                <w:sz w:val="21"/>
                <w:highlight w:val="none"/>
              </w:rPr>
              <w:t xml:space="preserve"> </w:t>
            </w:r>
            <w:r>
              <w:rPr>
                <w:rFonts w:ascii="Arial" w:eastAsia="宋体"/>
                <w:spacing w:val="5"/>
                <w:sz w:val="21"/>
                <w:highlight w:val="none"/>
              </w:rPr>
              <w:t>分。</w:t>
            </w:r>
          </w:p>
        </w:tc>
        <w:tc>
          <w:tcPr>
            <w:tcW w:w="2176" w:type="dxa"/>
            <w:vAlign w:val="center"/>
          </w:tcPr>
          <w:p w14:paraId="15AD8992">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w:t>
            </w:r>
          </w:p>
        </w:tc>
        <w:tc>
          <w:tcPr>
            <w:tcW w:w="660" w:type="dxa"/>
            <w:vAlign w:val="center"/>
          </w:tcPr>
          <w:p w14:paraId="2527867C">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02BEFF85">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5838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4B4051D2">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vAlign w:val="center"/>
          </w:tcPr>
          <w:p w14:paraId="3AEF8512">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防撞墩、隔离栏等设施设施</w:t>
            </w:r>
          </w:p>
          <w:p w14:paraId="088E7C47">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（2分）</w:t>
            </w:r>
          </w:p>
        </w:tc>
        <w:tc>
          <w:tcPr>
            <w:tcW w:w="2735" w:type="dxa"/>
            <w:shd w:val="clear" w:color="auto" w:fill="auto"/>
            <w:vAlign w:val="center"/>
          </w:tcPr>
          <w:p w14:paraId="1DC43A31">
            <w:pPr>
              <w:pStyle w:val="149"/>
              <w:snapToGrid w:val="0"/>
              <w:spacing w:before="229" w:line="240" w:lineRule="auto"/>
              <w:ind w:left="0" w:leftChars="0" w:right="0" w:rightChars="0" w:firstLine="0" w:firstLineChars="0"/>
              <w:jc w:val="left"/>
              <w:rPr>
                <w:rFonts w:hint="eastAsia" w:ascii="Arial" w:eastAsia="宋体"/>
                <w:spacing w:val="8"/>
                <w:sz w:val="21"/>
                <w:highlight w:val="none"/>
                <w:lang w:val="en-US" w:eastAsia="zh-CN"/>
              </w:rPr>
            </w:pPr>
            <w:r>
              <w:rPr>
                <w:rFonts w:ascii="Arial" w:eastAsia="宋体"/>
                <w:spacing w:val="8"/>
                <w:sz w:val="21"/>
                <w:highlight w:val="none"/>
              </w:rPr>
              <w:t>防撞墩、隔离</w:t>
            </w:r>
            <w:r>
              <w:rPr>
                <w:rFonts w:hint="eastAsia" w:ascii="Arial" w:eastAsia="宋体"/>
                <w:spacing w:val="8"/>
                <w:sz w:val="21"/>
                <w:highlight w:val="none"/>
                <w:lang w:eastAsia="zh-CN"/>
              </w:rPr>
              <w:t>栏等市政</w:t>
            </w:r>
            <w:r>
              <w:rPr>
                <w:rFonts w:ascii="Arial" w:eastAsia="宋体"/>
                <w:spacing w:val="8"/>
                <w:sz w:val="21"/>
                <w:highlight w:val="none"/>
              </w:rPr>
              <w:t>设施完整、美观、无病害</w:t>
            </w:r>
          </w:p>
        </w:tc>
        <w:tc>
          <w:tcPr>
            <w:tcW w:w="3000" w:type="dxa"/>
            <w:shd w:val="clear" w:color="auto" w:fill="auto"/>
            <w:vAlign w:val="center"/>
          </w:tcPr>
          <w:p w14:paraId="5E4349F3">
            <w:pPr>
              <w:pStyle w:val="149"/>
              <w:snapToGrid w:val="0"/>
              <w:spacing w:before="90" w:line="240" w:lineRule="auto"/>
              <w:ind w:left="0" w:leftChars="0" w:right="0" w:rightChars="0" w:firstLine="0" w:firstLineChars="0"/>
              <w:jc w:val="left"/>
              <w:rPr>
                <w:rFonts w:hint="eastAsia" w:ascii="Arial" w:eastAsia="宋体"/>
                <w:spacing w:val="8"/>
                <w:sz w:val="21"/>
                <w:highlight w:val="none"/>
                <w:lang w:val="en-US" w:eastAsia="zh-CN"/>
              </w:rPr>
            </w:pPr>
            <w:r>
              <w:rPr>
                <w:rFonts w:ascii="Arial" w:eastAsia="宋体"/>
                <w:spacing w:val="1"/>
                <w:sz w:val="21"/>
                <w:highlight w:val="none"/>
              </w:rPr>
              <w:t>巡查过程中未发现防撞墩松动、缺失，或</w:t>
            </w:r>
            <w:r>
              <w:rPr>
                <w:rFonts w:ascii="Arial" w:eastAsia="宋体"/>
                <w:sz w:val="21"/>
                <w:highlight w:val="none"/>
              </w:rPr>
              <w:t>反光标志破损影响安全的，每处扣</w:t>
            </w:r>
            <w:r>
              <w:rPr>
                <w:rFonts w:ascii="Arial" w:hAnsi="Times New Roman" w:eastAsia="宋体" w:cs="Times New Roman"/>
                <w:sz w:val="21"/>
                <w:highlight w:val="none"/>
              </w:rPr>
              <w:t>0.</w:t>
            </w:r>
            <w:r>
              <w:rPr>
                <w:rFonts w:ascii="Arial" w:hAnsi="Times New Roman" w:eastAsia="宋体" w:cs="Times New Roman"/>
                <w:spacing w:val="-8"/>
                <w:sz w:val="21"/>
                <w:highlight w:val="none"/>
              </w:rPr>
              <w:t xml:space="preserve"> </w:t>
            </w:r>
            <w:r>
              <w:rPr>
                <w:rFonts w:ascii="Arial" w:hAnsi="Times New Roman" w:eastAsia="宋体" w:cs="Times New Roman"/>
                <w:sz w:val="21"/>
                <w:highlight w:val="none"/>
              </w:rPr>
              <w:t>1</w:t>
            </w:r>
            <w:r>
              <w:rPr>
                <w:rFonts w:ascii="Arial" w:eastAsia="宋体"/>
                <w:sz w:val="21"/>
                <w:highlight w:val="none"/>
              </w:rPr>
              <w:t>分。</w:t>
            </w:r>
          </w:p>
        </w:tc>
        <w:tc>
          <w:tcPr>
            <w:tcW w:w="2176" w:type="dxa"/>
            <w:vAlign w:val="center"/>
          </w:tcPr>
          <w:p w14:paraId="75C0151F">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w:t>
            </w:r>
          </w:p>
        </w:tc>
        <w:tc>
          <w:tcPr>
            <w:tcW w:w="660" w:type="dxa"/>
            <w:vAlign w:val="center"/>
          </w:tcPr>
          <w:p w14:paraId="4FCDE430">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352572B2">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2FC5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restart"/>
            <w:vAlign w:val="center"/>
          </w:tcPr>
          <w:p w14:paraId="2208E226">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b/>
                <w:bCs/>
                <w:sz w:val="21"/>
                <w:highlight w:val="none"/>
                <w:vertAlign w:val="baseline"/>
                <w:lang w:val="en-US" w:eastAsia="zh-CN"/>
              </w:rPr>
              <w:t>其他/综合（18分）</w:t>
            </w:r>
          </w:p>
        </w:tc>
        <w:tc>
          <w:tcPr>
            <w:tcW w:w="1044" w:type="dxa"/>
            <w:shd w:val="clear" w:color="auto" w:fill="auto"/>
            <w:vAlign w:val="center"/>
          </w:tcPr>
          <w:p w14:paraId="6A411862">
            <w:pPr>
              <w:snapToGrid w:val="0"/>
              <w:ind w:left="0" w:leftChars="0" w:right="0" w:rightChars="0" w:firstLine="0" w:firstLineChars="0"/>
              <w:jc w:val="center"/>
              <w:rPr>
                <w:rFonts w:hint="eastAsia" w:ascii="Arial" w:eastAsia="宋体" w:hAnsiTheme="minorHAnsi" w:cstheme="minorBidi"/>
                <w:spacing w:val="8"/>
                <w:kern w:val="2"/>
                <w:sz w:val="21"/>
                <w:szCs w:val="24"/>
                <w:highlight w:val="none"/>
                <w:lang w:val="en-US" w:eastAsia="zh-CN" w:bidi="ar-SA"/>
              </w:rPr>
            </w:pPr>
            <w:r>
              <w:rPr>
                <w:rFonts w:hint="eastAsia" w:ascii="Arial" w:eastAsia="宋体"/>
                <w:spacing w:val="8"/>
                <w:sz w:val="21"/>
                <w:highlight w:val="none"/>
                <w:lang w:val="en-US" w:eastAsia="zh-CN"/>
              </w:rPr>
              <w:t>智慧城管案件处理（2分）</w:t>
            </w:r>
          </w:p>
        </w:tc>
        <w:tc>
          <w:tcPr>
            <w:tcW w:w="2735" w:type="dxa"/>
            <w:shd w:val="clear" w:color="auto" w:fill="auto"/>
            <w:vAlign w:val="center"/>
          </w:tcPr>
          <w:p w14:paraId="6A564431">
            <w:pPr>
              <w:pStyle w:val="149"/>
              <w:snapToGrid w:val="0"/>
              <w:spacing w:before="150" w:line="240" w:lineRule="auto"/>
              <w:ind w:left="0" w:leftChars="0" w:right="0" w:rightChars="0" w:firstLine="0" w:firstLineChars="0"/>
              <w:jc w:val="left"/>
              <w:rPr>
                <w:rFonts w:hint="eastAsia" w:ascii="Arial" w:hAnsi="宋体" w:eastAsia="宋体" w:cs="宋体"/>
                <w:spacing w:val="8"/>
                <w:kern w:val="2"/>
                <w:sz w:val="21"/>
                <w:szCs w:val="20"/>
                <w:highlight w:val="none"/>
                <w:lang w:val="en-US" w:eastAsia="zh-CN" w:bidi="ar-SA"/>
              </w:rPr>
            </w:pPr>
            <w:r>
              <w:rPr>
                <w:rFonts w:hint="eastAsia" w:ascii="Arial" w:eastAsia="宋体"/>
                <w:spacing w:val="8"/>
                <w:sz w:val="21"/>
                <w:highlight w:val="none"/>
                <w:lang w:val="en-US" w:eastAsia="zh-CN"/>
              </w:rPr>
              <w:t>按要求做好智慧城管案件处理</w:t>
            </w:r>
          </w:p>
        </w:tc>
        <w:tc>
          <w:tcPr>
            <w:tcW w:w="3000" w:type="dxa"/>
            <w:shd w:val="clear" w:color="auto" w:fill="auto"/>
            <w:vAlign w:val="center"/>
          </w:tcPr>
          <w:p w14:paraId="2115A055">
            <w:pPr>
              <w:pStyle w:val="149"/>
              <w:snapToGrid w:val="0"/>
              <w:spacing w:before="150" w:line="240" w:lineRule="auto"/>
              <w:ind w:left="0" w:leftChars="0" w:right="0" w:rightChars="0" w:firstLine="0" w:firstLineChars="0"/>
              <w:jc w:val="left"/>
              <w:rPr>
                <w:rFonts w:hint="eastAsia" w:ascii="Arial" w:hAnsi="宋体" w:eastAsia="宋体" w:cs="宋体"/>
                <w:spacing w:val="8"/>
                <w:kern w:val="2"/>
                <w:sz w:val="21"/>
                <w:szCs w:val="20"/>
                <w:highlight w:val="none"/>
                <w:lang w:val="en-US" w:eastAsia="zh-CN" w:bidi="ar-SA"/>
              </w:rPr>
            </w:pPr>
            <w:r>
              <w:rPr>
                <w:rFonts w:hint="eastAsia" w:ascii="Arial" w:eastAsia="宋体"/>
                <w:spacing w:val="8"/>
                <w:sz w:val="21"/>
                <w:highlight w:val="none"/>
                <w:lang w:val="en-US" w:eastAsia="zh-CN"/>
              </w:rPr>
              <w:t>智慧城管扣分案件，经核实有责的，每起扣 0.4 分。因施工单位原因处置率、及时处理率每下降1% ，扣1分。</w:t>
            </w:r>
          </w:p>
        </w:tc>
        <w:tc>
          <w:tcPr>
            <w:tcW w:w="2176" w:type="dxa"/>
            <w:shd w:val="clear" w:color="auto" w:fill="auto"/>
            <w:vAlign w:val="center"/>
          </w:tcPr>
          <w:p w14:paraId="1852EC46">
            <w:pPr>
              <w:pStyle w:val="149"/>
              <w:snapToGrid w:val="0"/>
              <w:spacing w:before="150" w:line="240" w:lineRule="auto"/>
              <w:ind w:left="0" w:leftChars="0" w:right="0" w:rightChars="0" w:firstLine="0" w:firstLineChars="0"/>
              <w:jc w:val="left"/>
              <w:rPr>
                <w:rFonts w:hint="eastAsia" w:ascii="Arial" w:hAnsi="宋体" w:eastAsia="宋体" w:cs="宋体"/>
                <w:spacing w:val="8"/>
                <w:kern w:val="2"/>
                <w:sz w:val="21"/>
                <w:szCs w:val="20"/>
                <w:highlight w:val="none"/>
                <w:lang w:val="en-US" w:eastAsia="zh-CN" w:bidi="ar-SA"/>
              </w:rPr>
            </w:pPr>
            <w:r>
              <w:rPr>
                <w:rFonts w:hint="eastAsia" w:ascii="Arial" w:eastAsia="宋体"/>
                <w:spacing w:val="8"/>
                <w:sz w:val="21"/>
                <w:highlight w:val="none"/>
                <w:lang w:val="en-US" w:eastAsia="zh-CN"/>
              </w:rPr>
              <w:t>-</w:t>
            </w:r>
          </w:p>
        </w:tc>
        <w:tc>
          <w:tcPr>
            <w:tcW w:w="660" w:type="dxa"/>
            <w:vAlign w:val="center"/>
          </w:tcPr>
          <w:p w14:paraId="22CFFE2E">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5E91D59B">
            <w:pPr>
              <w:snapToGrid w:val="0"/>
              <w:ind w:left="0" w:leftChars="0" w:right="0" w:rightChars="0" w:firstLine="0" w:firstLineChars="0"/>
              <w:jc w:val="center"/>
              <w:rPr>
                <w:rFonts w:hint="eastAsia" w:ascii="Arial" w:eastAsia="宋体" w:hAnsiTheme="minorHAnsi" w:cstheme="minorBidi"/>
                <w:kern w:val="2"/>
                <w:sz w:val="21"/>
                <w:szCs w:val="24"/>
                <w:highlight w:val="none"/>
                <w:vertAlign w:val="baseline"/>
                <w:lang w:val="en-US" w:eastAsia="zh-CN" w:bidi="ar-SA"/>
              </w:rPr>
            </w:pPr>
            <w:r>
              <w:rPr>
                <w:rFonts w:hint="eastAsia" w:ascii="Arial" w:eastAsia="宋体"/>
                <w:spacing w:val="8"/>
                <w:sz w:val="21"/>
                <w:highlight w:val="none"/>
                <w:lang w:val="en-US" w:eastAsia="zh-CN"/>
              </w:rPr>
              <w:t>-</w:t>
            </w:r>
          </w:p>
        </w:tc>
      </w:tr>
      <w:tr w14:paraId="173C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498EC0DB">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05259D6D">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维修时限（坑槽/抢修/人行道）（2分）</w:t>
            </w:r>
          </w:p>
        </w:tc>
        <w:tc>
          <w:tcPr>
            <w:tcW w:w="2735" w:type="dxa"/>
            <w:shd w:val="clear" w:color="auto" w:fill="auto"/>
            <w:vAlign w:val="center"/>
          </w:tcPr>
          <w:p w14:paraId="2664281C">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原则上沥青路面坑槽修补、桥梁应急抢修要求于24小时内完成，人行道维修要求于48小时内完成。</w:t>
            </w:r>
          </w:p>
        </w:tc>
        <w:tc>
          <w:tcPr>
            <w:tcW w:w="3000" w:type="dxa"/>
            <w:shd w:val="clear" w:color="auto" w:fill="auto"/>
            <w:vAlign w:val="center"/>
          </w:tcPr>
          <w:p w14:paraId="4D5356E1">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每逾期1起，扣0.2分。其余维修项目未按期完成，每逾期一起，扣0.4分。</w:t>
            </w:r>
          </w:p>
        </w:tc>
        <w:tc>
          <w:tcPr>
            <w:tcW w:w="2176" w:type="dxa"/>
            <w:shd w:val="clear" w:color="auto" w:fill="auto"/>
            <w:vAlign w:val="center"/>
          </w:tcPr>
          <w:p w14:paraId="08FAE4D5">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每逾期1起，扣罚1000元，扣罚总额不设上限。</w:t>
            </w:r>
          </w:p>
        </w:tc>
        <w:tc>
          <w:tcPr>
            <w:tcW w:w="660" w:type="dxa"/>
            <w:vAlign w:val="center"/>
          </w:tcPr>
          <w:p w14:paraId="2AE3CF5F">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4FF7BAF3">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3D9A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7BE44F9B">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1BD8A96C">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文明施工、安全施工（4分）</w:t>
            </w:r>
          </w:p>
        </w:tc>
        <w:tc>
          <w:tcPr>
            <w:tcW w:w="2735" w:type="dxa"/>
            <w:shd w:val="clear" w:color="auto" w:fill="auto"/>
            <w:vAlign w:val="center"/>
          </w:tcPr>
          <w:p w14:paraId="52999307">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承包人应按有关规定做好文明施工、安全施工。</w:t>
            </w:r>
          </w:p>
        </w:tc>
        <w:tc>
          <w:tcPr>
            <w:tcW w:w="3000" w:type="dxa"/>
            <w:shd w:val="clear" w:color="auto" w:fill="auto"/>
            <w:vAlign w:val="center"/>
          </w:tcPr>
          <w:p w14:paraId="304E1098">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ascii="Arial" w:eastAsia="宋体"/>
                <w:spacing w:val="7"/>
                <w:sz w:val="21"/>
                <w:highlight w:val="none"/>
              </w:rPr>
              <w:t xml:space="preserve">每发现一起，扣 </w:t>
            </w:r>
            <w:r>
              <w:rPr>
                <w:rFonts w:ascii="Arial" w:hAnsi="Times New Roman" w:eastAsia="宋体" w:cs="Times New Roman"/>
                <w:spacing w:val="7"/>
                <w:sz w:val="21"/>
                <w:highlight w:val="none"/>
              </w:rPr>
              <w:t xml:space="preserve">0.4 </w:t>
            </w:r>
            <w:r>
              <w:rPr>
                <w:rFonts w:ascii="Arial" w:eastAsia="宋体"/>
                <w:spacing w:val="7"/>
                <w:sz w:val="21"/>
                <w:highlight w:val="none"/>
              </w:rPr>
              <w:t>分；因野蛮施工造</w:t>
            </w:r>
            <w:r>
              <w:rPr>
                <w:rFonts w:ascii="Arial" w:eastAsia="宋体"/>
                <w:spacing w:val="9"/>
                <w:sz w:val="21"/>
                <w:highlight w:val="none"/>
              </w:rPr>
              <w:t>成不良社会影响的，扣</w:t>
            </w:r>
            <w:r>
              <w:rPr>
                <w:rFonts w:ascii="Arial" w:hAnsi="Times New Roman" w:eastAsia="宋体" w:cs="Times New Roman"/>
                <w:spacing w:val="9"/>
                <w:sz w:val="21"/>
                <w:highlight w:val="none"/>
              </w:rPr>
              <w:t>2</w:t>
            </w:r>
            <w:r>
              <w:rPr>
                <w:rFonts w:ascii="Arial" w:eastAsia="宋体"/>
                <w:spacing w:val="9"/>
                <w:sz w:val="21"/>
                <w:highlight w:val="none"/>
              </w:rPr>
              <w:t>分；造成安全生</w:t>
            </w:r>
            <w:r>
              <w:rPr>
                <w:rFonts w:ascii="Arial" w:eastAsia="宋体"/>
                <w:spacing w:val="8"/>
                <w:sz w:val="21"/>
                <w:highlight w:val="none"/>
              </w:rPr>
              <w:t>产事故的，扣</w:t>
            </w:r>
            <w:r>
              <w:rPr>
                <w:rFonts w:ascii="Arial" w:hAnsi="Times New Roman" w:eastAsia="宋体" w:cs="Times New Roman"/>
                <w:spacing w:val="8"/>
                <w:sz w:val="21"/>
                <w:highlight w:val="none"/>
              </w:rPr>
              <w:t>4</w:t>
            </w:r>
            <w:r>
              <w:rPr>
                <w:rFonts w:ascii="Arial" w:eastAsia="宋体"/>
                <w:spacing w:val="8"/>
                <w:sz w:val="21"/>
                <w:highlight w:val="none"/>
              </w:rPr>
              <w:t>分</w:t>
            </w:r>
            <w:r>
              <w:rPr>
                <w:rFonts w:hint="eastAsia" w:ascii="Arial" w:eastAsia="宋体"/>
                <w:spacing w:val="8"/>
                <w:sz w:val="21"/>
                <w:highlight w:val="none"/>
                <w:lang w:eastAsia="zh-CN"/>
              </w:rPr>
              <w:t>。</w:t>
            </w:r>
          </w:p>
        </w:tc>
        <w:tc>
          <w:tcPr>
            <w:tcW w:w="2176" w:type="dxa"/>
            <w:shd w:val="clear" w:color="auto" w:fill="auto"/>
            <w:vAlign w:val="center"/>
          </w:tcPr>
          <w:p w14:paraId="3D462FCD">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未按有关规定做好安全文明施工的或被检查发现存在较大安全隐患的，每发现一处扣罚2000元，并承担相应的安全生产主体责任，对发现的安全问题同步进行整改闭环。</w:t>
            </w:r>
          </w:p>
        </w:tc>
        <w:tc>
          <w:tcPr>
            <w:tcW w:w="660" w:type="dxa"/>
            <w:vAlign w:val="center"/>
          </w:tcPr>
          <w:p w14:paraId="5AA72F3B">
            <w:pPr>
              <w:snapToGrid w:val="0"/>
              <w:ind w:left="0" w:leftChars="0" w:right="0" w:rightChars="0" w:firstLine="0" w:firstLineChars="0"/>
              <w:jc w:val="right"/>
              <w:rPr>
                <w:rFonts w:hint="eastAsia" w:ascii="Arial" w:hAnsi="宋体" w:eastAsia="宋体" w:cs="宋体"/>
                <w:spacing w:val="8"/>
                <w:kern w:val="2"/>
                <w:sz w:val="21"/>
                <w:szCs w:val="20"/>
                <w:highlight w:val="none"/>
                <w:lang w:val="en-US" w:eastAsia="zh-CN" w:bidi="ar-SA"/>
              </w:rPr>
            </w:pPr>
          </w:p>
        </w:tc>
        <w:tc>
          <w:tcPr>
            <w:tcW w:w="674" w:type="dxa"/>
            <w:vAlign w:val="center"/>
          </w:tcPr>
          <w:p w14:paraId="3FE013A3">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hAnsi="宋体" w:eastAsia="宋体" w:cs="宋体"/>
                <w:spacing w:val="8"/>
                <w:kern w:val="2"/>
                <w:sz w:val="21"/>
                <w:szCs w:val="20"/>
                <w:highlight w:val="none"/>
                <w:lang w:val="en-US" w:eastAsia="zh-CN" w:bidi="ar-SA"/>
              </w:rPr>
              <w:t>较大事故可解约</w:t>
            </w:r>
          </w:p>
        </w:tc>
      </w:tr>
      <w:tr w14:paraId="44BD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48F7BCFB">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002E7EAF">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检测指标不合格</w:t>
            </w:r>
          </w:p>
          <w:p w14:paraId="229B439B">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（2分）</w:t>
            </w:r>
          </w:p>
        </w:tc>
        <w:tc>
          <w:tcPr>
            <w:tcW w:w="2735" w:type="dxa"/>
            <w:shd w:val="clear" w:color="auto" w:fill="auto"/>
            <w:vAlign w:val="center"/>
          </w:tcPr>
          <w:p w14:paraId="5E36CC05">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采购人可委托第三方检测机构对中标人使用的作业材料进行不定期抽检</w:t>
            </w:r>
          </w:p>
        </w:tc>
        <w:tc>
          <w:tcPr>
            <w:tcW w:w="3000" w:type="dxa"/>
            <w:shd w:val="clear" w:color="auto" w:fill="auto"/>
            <w:vAlign w:val="center"/>
          </w:tcPr>
          <w:p w14:paraId="51CF2CF7">
            <w:pPr>
              <w:pStyle w:val="149"/>
              <w:snapToGrid w:val="0"/>
              <w:spacing w:before="150" w:line="240" w:lineRule="auto"/>
              <w:ind w:left="0" w:leftChars="0" w:right="0" w:rightChars="0" w:firstLine="0" w:firstLineChars="0"/>
              <w:jc w:val="left"/>
              <w:rPr>
                <w:rFonts w:hint="default" w:ascii="Arial" w:eastAsia="宋体"/>
                <w:spacing w:val="8"/>
                <w:sz w:val="21"/>
                <w:highlight w:val="none"/>
                <w:lang w:val="en-US" w:eastAsia="zh-CN"/>
              </w:rPr>
            </w:pPr>
            <w:r>
              <w:rPr>
                <w:rFonts w:hint="eastAsia" w:ascii="Arial" w:eastAsia="宋体"/>
                <w:spacing w:val="8"/>
                <w:sz w:val="21"/>
                <w:highlight w:val="none"/>
                <w:lang w:val="en-US" w:eastAsia="zh-CN"/>
              </w:rPr>
              <w:t>若发现检测指标不合格的，每发现一处扣2分。</w:t>
            </w:r>
          </w:p>
        </w:tc>
        <w:tc>
          <w:tcPr>
            <w:tcW w:w="2176" w:type="dxa"/>
            <w:shd w:val="clear" w:color="auto" w:fill="auto"/>
            <w:vAlign w:val="center"/>
          </w:tcPr>
          <w:p w14:paraId="100CE09C">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若发现检测指标不合格的，每发现一处扣罚10000元，相关抽检费用由中标人承担；如需返工的，中标人必须无条件按要求完成返工。</w:t>
            </w:r>
          </w:p>
        </w:tc>
        <w:tc>
          <w:tcPr>
            <w:tcW w:w="660" w:type="dxa"/>
            <w:vAlign w:val="center"/>
          </w:tcPr>
          <w:p w14:paraId="04CBC8F4">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2ABCB6A0">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6696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64B7FD5F">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4D797E4F">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上级批评/媒体曝光/恶劣影响（2分）</w:t>
            </w:r>
          </w:p>
        </w:tc>
        <w:tc>
          <w:tcPr>
            <w:tcW w:w="2735" w:type="dxa"/>
            <w:shd w:val="clear" w:color="auto" w:fill="auto"/>
            <w:vAlign w:val="center"/>
          </w:tcPr>
          <w:p w14:paraId="3D2F547E">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避免因市政设施受损引起的事故、投诉和媒体曝光。</w:t>
            </w:r>
          </w:p>
        </w:tc>
        <w:tc>
          <w:tcPr>
            <w:tcW w:w="3000" w:type="dxa"/>
            <w:shd w:val="clear" w:color="auto" w:fill="auto"/>
            <w:vAlign w:val="center"/>
          </w:tcPr>
          <w:p w14:paraId="3E70F682">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因市政设施受损造成事故或被市民投诉确认有责，每起扣0.4分，媒体曝光或造成恶劣影响，第一次扣1分，第二次扣2分，第三次扣4分，依次类推。</w:t>
            </w:r>
          </w:p>
        </w:tc>
        <w:tc>
          <w:tcPr>
            <w:tcW w:w="2176" w:type="dxa"/>
            <w:shd w:val="clear" w:color="auto" w:fill="auto"/>
            <w:vAlign w:val="center"/>
          </w:tcPr>
          <w:p w14:paraId="74F38D86">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p>
        </w:tc>
        <w:tc>
          <w:tcPr>
            <w:tcW w:w="660" w:type="dxa"/>
            <w:vAlign w:val="center"/>
          </w:tcPr>
          <w:p w14:paraId="07E99766">
            <w:pPr>
              <w:snapToGrid w:val="0"/>
              <w:ind w:left="0" w:leftChars="0" w:right="0" w:rightChars="0" w:firstLine="0" w:firstLineChars="0"/>
              <w:jc w:val="right"/>
              <w:rPr>
                <w:rFonts w:hint="eastAsia" w:ascii="Arial" w:hAnsi="宋体" w:eastAsia="宋体" w:cs="宋体"/>
                <w:spacing w:val="9"/>
                <w:kern w:val="2"/>
                <w:sz w:val="21"/>
                <w:szCs w:val="20"/>
                <w:highlight w:val="none"/>
                <w:lang w:val="en-US" w:eastAsia="zh-CN" w:bidi="ar-SA"/>
              </w:rPr>
            </w:pPr>
          </w:p>
        </w:tc>
        <w:tc>
          <w:tcPr>
            <w:tcW w:w="674" w:type="dxa"/>
            <w:vAlign w:val="center"/>
          </w:tcPr>
          <w:p w14:paraId="33A3EB96">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hAnsi="宋体" w:eastAsia="宋体" w:cs="宋体"/>
                <w:spacing w:val="9"/>
                <w:kern w:val="2"/>
                <w:sz w:val="21"/>
                <w:szCs w:val="20"/>
                <w:highlight w:val="none"/>
                <w:lang w:val="en-US" w:eastAsia="zh-CN" w:bidi="ar-SA"/>
              </w:rPr>
              <w:t>重大曝光可解约</w:t>
            </w:r>
          </w:p>
        </w:tc>
      </w:tr>
      <w:tr w14:paraId="174E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146AFA87">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4088C772">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热沥青供料要求</w:t>
            </w:r>
          </w:p>
          <w:p w14:paraId="7EC87887">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（2分）</w:t>
            </w:r>
          </w:p>
        </w:tc>
        <w:tc>
          <w:tcPr>
            <w:tcW w:w="2735" w:type="dxa"/>
            <w:shd w:val="clear" w:color="auto" w:fill="auto"/>
            <w:vAlign w:val="center"/>
          </w:tcPr>
          <w:p w14:paraId="59806785">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需满足要求</w:t>
            </w:r>
          </w:p>
        </w:tc>
        <w:tc>
          <w:tcPr>
            <w:tcW w:w="3000" w:type="dxa"/>
            <w:shd w:val="clear" w:color="auto" w:fill="auto"/>
            <w:vAlign w:val="center"/>
          </w:tcPr>
          <w:p w14:paraId="7E1EB6BA">
            <w:pPr>
              <w:pStyle w:val="149"/>
              <w:snapToGrid w:val="0"/>
              <w:spacing w:before="150" w:line="240" w:lineRule="auto"/>
              <w:ind w:left="0" w:leftChars="0" w:right="0" w:rightChars="0" w:firstLine="0" w:firstLineChars="0"/>
              <w:jc w:val="left"/>
              <w:rPr>
                <w:rFonts w:hint="default" w:ascii="Arial" w:eastAsia="宋体"/>
                <w:spacing w:val="8"/>
                <w:sz w:val="21"/>
                <w:highlight w:val="none"/>
                <w:lang w:val="en-US" w:eastAsia="zh-CN"/>
              </w:rPr>
            </w:pPr>
            <w:r>
              <w:rPr>
                <w:rFonts w:hint="eastAsia" w:ascii="Arial" w:eastAsia="宋体"/>
                <w:spacing w:val="8"/>
                <w:sz w:val="21"/>
                <w:highlight w:val="none"/>
                <w:lang w:val="en-US" w:eastAsia="zh-CN"/>
              </w:rPr>
              <w:t>未按要求提供每次扣2分。</w:t>
            </w:r>
          </w:p>
        </w:tc>
        <w:tc>
          <w:tcPr>
            <w:tcW w:w="2176" w:type="dxa"/>
            <w:shd w:val="clear" w:color="auto" w:fill="auto"/>
            <w:vAlign w:val="center"/>
          </w:tcPr>
          <w:p w14:paraId="5691BDE5">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未按要求提供每次扣罚20000元。</w:t>
            </w:r>
          </w:p>
        </w:tc>
        <w:tc>
          <w:tcPr>
            <w:tcW w:w="660" w:type="dxa"/>
            <w:vAlign w:val="center"/>
          </w:tcPr>
          <w:p w14:paraId="4C47C2D2">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1CE195CF">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6FF4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3654AE8F">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2D14F27B">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应急保障响应</w:t>
            </w:r>
          </w:p>
          <w:p w14:paraId="08DD4119">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（2分）</w:t>
            </w:r>
          </w:p>
        </w:tc>
        <w:tc>
          <w:tcPr>
            <w:tcW w:w="2735" w:type="dxa"/>
            <w:shd w:val="clear" w:color="auto" w:fill="auto"/>
            <w:vAlign w:val="center"/>
          </w:tcPr>
          <w:p w14:paraId="3088ABA6">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响应需及时</w:t>
            </w:r>
          </w:p>
        </w:tc>
        <w:tc>
          <w:tcPr>
            <w:tcW w:w="3000" w:type="dxa"/>
            <w:shd w:val="clear" w:color="auto" w:fill="auto"/>
            <w:vAlign w:val="center"/>
          </w:tcPr>
          <w:p w14:paraId="536AEF20">
            <w:pPr>
              <w:pStyle w:val="149"/>
              <w:snapToGrid w:val="0"/>
              <w:spacing w:before="150" w:line="240" w:lineRule="auto"/>
              <w:ind w:left="0" w:leftChars="0" w:right="0" w:rightChars="0" w:firstLine="0" w:firstLineChars="0"/>
              <w:jc w:val="left"/>
              <w:rPr>
                <w:rFonts w:hint="default" w:ascii="Arial" w:eastAsia="宋体"/>
                <w:spacing w:val="8"/>
                <w:sz w:val="21"/>
                <w:highlight w:val="none"/>
                <w:lang w:val="en-US" w:eastAsia="zh-CN"/>
              </w:rPr>
            </w:pPr>
            <w:r>
              <w:rPr>
                <w:rFonts w:hint="eastAsia" w:ascii="Arial" w:eastAsia="宋体"/>
                <w:spacing w:val="8"/>
                <w:sz w:val="21"/>
                <w:highlight w:val="none"/>
                <w:lang w:val="en-US" w:eastAsia="zh-CN"/>
              </w:rPr>
              <w:t>未及时响应每次扣2分。</w:t>
            </w:r>
          </w:p>
        </w:tc>
        <w:tc>
          <w:tcPr>
            <w:tcW w:w="2176" w:type="dxa"/>
            <w:shd w:val="clear" w:color="auto" w:fill="auto"/>
            <w:vAlign w:val="center"/>
          </w:tcPr>
          <w:p w14:paraId="540FB534">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未及时响应每次扣罚20000元。</w:t>
            </w:r>
          </w:p>
        </w:tc>
        <w:tc>
          <w:tcPr>
            <w:tcW w:w="660" w:type="dxa"/>
            <w:vAlign w:val="center"/>
          </w:tcPr>
          <w:p w14:paraId="432CFFB0">
            <w:pPr>
              <w:pStyle w:val="149"/>
              <w:snapToGrid w:val="0"/>
              <w:spacing w:before="111" w:line="240" w:lineRule="auto"/>
              <w:ind w:left="0" w:leftChars="0" w:right="0" w:rightChars="0" w:firstLine="0" w:firstLineChars="0"/>
              <w:jc w:val="right"/>
              <w:rPr>
                <w:rFonts w:hint="eastAsia" w:ascii="Arial" w:eastAsia="宋体"/>
                <w:spacing w:val="9"/>
                <w:sz w:val="21"/>
                <w:highlight w:val="none"/>
                <w:lang w:val="en-US" w:eastAsia="zh-CN"/>
              </w:rPr>
            </w:pPr>
          </w:p>
        </w:tc>
        <w:tc>
          <w:tcPr>
            <w:tcW w:w="674" w:type="dxa"/>
            <w:vAlign w:val="center"/>
          </w:tcPr>
          <w:p w14:paraId="22B469EF">
            <w:pPr>
              <w:pStyle w:val="149"/>
              <w:snapToGrid w:val="0"/>
              <w:spacing w:before="111" w:line="240" w:lineRule="auto"/>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9"/>
                <w:sz w:val="21"/>
                <w:highlight w:val="none"/>
                <w:lang w:val="en-US" w:eastAsia="zh-CN"/>
              </w:rPr>
              <w:t>出现3次有权</w:t>
            </w:r>
            <w:r>
              <w:rPr>
                <w:rFonts w:hint="eastAsia" w:ascii="Arial" w:hAnsi="宋体" w:eastAsia="宋体" w:cs="宋体"/>
                <w:spacing w:val="9"/>
                <w:kern w:val="2"/>
                <w:sz w:val="21"/>
                <w:szCs w:val="20"/>
                <w:highlight w:val="none"/>
                <w:lang w:val="en-US" w:eastAsia="zh-CN" w:bidi="ar-SA"/>
              </w:rPr>
              <w:t>解约</w:t>
            </w:r>
          </w:p>
        </w:tc>
      </w:tr>
      <w:tr w14:paraId="482E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5356A5E1">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2A489105">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事故赔偿费用</w:t>
            </w:r>
          </w:p>
          <w:p w14:paraId="5BA4B2A9">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（1分）</w:t>
            </w:r>
          </w:p>
        </w:tc>
        <w:tc>
          <w:tcPr>
            <w:tcW w:w="2735" w:type="dxa"/>
            <w:shd w:val="clear" w:color="auto" w:fill="auto"/>
            <w:vAlign w:val="center"/>
          </w:tcPr>
          <w:p w14:paraId="03ABE86F">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因中标人有责而引起的事故，造成的采购人其他赔偿费用的</w:t>
            </w:r>
          </w:p>
        </w:tc>
        <w:tc>
          <w:tcPr>
            <w:tcW w:w="3000" w:type="dxa"/>
            <w:shd w:val="clear" w:color="auto" w:fill="auto"/>
            <w:vAlign w:val="center"/>
          </w:tcPr>
          <w:p w14:paraId="6EA1A586">
            <w:pPr>
              <w:pStyle w:val="149"/>
              <w:snapToGrid w:val="0"/>
              <w:spacing w:before="150" w:line="240" w:lineRule="auto"/>
              <w:ind w:left="0" w:leftChars="0" w:right="0" w:rightChars="0" w:firstLine="0" w:firstLineChars="0"/>
              <w:jc w:val="left"/>
              <w:rPr>
                <w:rFonts w:hint="default" w:ascii="Arial" w:eastAsia="宋体"/>
                <w:spacing w:val="8"/>
                <w:sz w:val="21"/>
                <w:highlight w:val="none"/>
                <w:lang w:val="en-US" w:eastAsia="zh-CN"/>
              </w:rPr>
            </w:pPr>
            <w:r>
              <w:rPr>
                <w:rFonts w:hint="eastAsia" w:ascii="Arial" w:eastAsia="宋体"/>
                <w:spacing w:val="8"/>
                <w:sz w:val="21"/>
                <w:highlight w:val="none"/>
                <w:lang w:val="en-US" w:eastAsia="zh-CN"/>
              </w:rPr>
              <w:t>因中标人有责而引起的事故每次扣1分。</w:t>
            </w:r>
          </w:p>
        </w:tc>
        <w:tc>
          <w:tcPr>
            <w:tcW w:w="2176" w:type="dxa"/>
            <w:shd w:val="clear" w:color="auto" w:fill="auto"/>
            <w:vAlign w:val="center"/>
          </w:tcPr>
          <w:p w14:paraId="5E87C019">
            <w:pPr>
              <w:pStyle w:val="149"/>
              <w:snapToGrid w:val="0"/>
              <w:spacing w:before="150" w:line="240" w:lineRule="auto"/>
              <w:ind w:left="0" w:leftChars="0" w:right="0" w:rightChars="0" w:firstLine="0" w:firstLineChars="0"/>
              <w:jc w:val="left"/>
              <w:rPr>
                <w:rFonts w:hint="default" w:ascii="Arial" w:eastAsia="宋体"/>
                <w:spacing w:val="8"/>
                <w:sz w:val="21"/>
                <w:highlight w:val="none"/>
                <w:lang w:val="en-US" w:eastAsia="zh-CN"/>
              </w:rPr>
            </w:pPr>
            <w:r>
              <w:rPr>
                <w:rFonts w:hint="eastAsia" w:ascii="Arial" w:eastAsia="宋体"/>
                <w:spacing w:val="8"/>
                <w:sz w:val="21"/>
                <w:highlight w:val="none"/>
                <w:lang w:val="en-US" w:eastAsia="zh-CN"/>
              </w:rPr>
              <w:t>在每月结算养护费中进行扣罚.</w:t>
            </w:r>
          </w:p>
        </w:tc>
        <w:tc>
          <w:tcPr>
            <w:tcW w:w="660" w:type="dxa"/>
            <w:vAlign w:val="center"/>
          </w:tcPr>
          <w:p w14:paraId="1DE854D7">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3AE8636D">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662D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vAlign w:val="center"/>
          </w:tcPr>
          <w:p w14:paraId="17225D56">
            <w:pPr>
              <w:snapToGrid w:val="0"/>
              <w:ind w:left="0" w:leftChars="0" w:right="0" w:rightChars="0" w:firstLine="0" w:firstLineChars="0"/>
              <w:jc w:val="center"/>
              <w:rPr>
                <w:rFonts w:hint="eastAsia" w:ascii="Arial" w:eastAsia="宋体"/>
                <w:sz w:val="21"/>
                <w:highlight w:val="none"/>
                <w:vertAlign w:val="baseline"/>
                <w:lang w:val="en-US" w:eastAsia="zh-CN"/>
              </w:rPr>
            </w:pPr>
          </w:p>
        </w:tc>
        <w:tc>
          <w:tcPr>
            <w:tcW w:w="1044" w:type="dxa"/>
            <w:shd w:val="clear" w:color="auto" w:fill="auto"/>
            <w:vAlign w:val="center"/>
          </w:tcPr>
          <w:p w14:paraId="0E493E2A">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非机动车停放区标线/编码</w:t>
            </w:r>
          </w:p>
          <w:p w14:paraId="2E05A943">
            <w:pPr>
              <w:snapToGrid w:val="0"/>
              <w:ind w:left="0" w:leftChars="0" w:right="0" w:rightChars="0" w:firstLine="0" w:firstLineChars="0"/>
              <w:jc w:val="center"/>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（1分）</w:t>
            </w:r>
          </w:p>
        </w:tc>
        <w:tc>
          <w:tcPr>
            <w:tcW w:w="2735" w:type="dxa"/>
            <w:shd w:val="clear" w:color="auto" w:fill="auto"/>
            <w:vAlign w:val="center"/>
          </w:tcPr>
          <w:p w14:paraId="15C8605D">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中标人应及时做好非机动停放区施划标线、编码工作，施划标线必须醒目、标准、清晰、顺直、均匀，标线设置合理、编码正确。</w:t>
            </w:r>
          </w:p>
        </w:tc>
        <w:tc>
          <w:tcPr>
            <w:tcW w:w="3000" w:type="dxa"/>
            <w:shd w:val="clear" w:color="auto" w:fill="auto"/>
            <w:vAlign w:val="center"/>
          </w:tcPr>
          <w:p w14:paraId="5A5D860F">
            <w:pPr>
              <w:pStyle w:val="149"/>
              <w:snapToGrid w:val="0"/>
              <w:spacing w:before="150" w:line="240" w:lineRule="auto"/>
              <w:ind w:left="0" w:leftChars="0" w:right="0" w:rightChars="0" w:firstLine="0" w:firstLineChars="0"/>
              <w:jc w:val="left"/>
              <w:rPr>
                <w:rFonts w:hint="default" w:ascii="Arial" w:eastAsia="宋体"/>
                <w:spacing w:val="8"/>
                <w:sz w:val="21"/>
                <w:highlight w:val="none"/>
                <w:lang w:val="en-US" w:eastAsia="zh-CN"/>
              </w:rPr>
            </w:pPr>
            <w:r>
              <w:rPr>
                <w:rFonts w:hint="eastAsia" w:ascii="Arial" w:eastAsia="宋体"/>
                <w:spacing w:val="8"/>
                <w:sz w:val="21"/>
                <w:highlight w:val="none"/>
                <w:lang w:val="en-US" w:eastAsia="zh-CN"/>
              </w:rPr>
              <w:t>未按要求实施的，每发现一次扣0.1分。</w:t>
            </w:r>
          </w:p>
        </w:tc>
        <w:tc>
          <w:tcPr>
            <w:tcW w:w="2176" w:type="dxa"/>
            <w:shd w:val="clear" w:color="auto" w:fill="auto"/>
            <w:vAlign w:val="center"/>
          </w:tcPr>
          <w:p w14:paraId="4C56D666">
            <w:pPr>
              <w:pStyle w:val="149"/>
              <w:snapToGrid w:val="0"/>
              <w:spacing w:before="150" w:line="240" w:lineRule="auto"/>
              <w:ind w:left="0" w:leftChars="0" w:right="0" w:rightChars="0" w:firstLine="0" w:firstLineChars="0"/>
              <w:jc w:val="left"/>
              <w:rPr>
                <w:rFonts w:hint="eastAsia" w:ascii="Arial" w:eastAsia="宋体"/>
                <w:spacing w:val="8"/>
                <w:sz w:val="21"/>
                <w:highlight w:val="none"/>
                <w:lang w:val="en-US" w:eastAsia="zh-CN"/>
              </w:rPr>
            </w:pPr>
            <w:r>
              <w:rPr>
                <w:rFonts w:hint="eastAsia" w:ascii="Arial" w:eastAsia="宋体"/>
                <w:spacing w:val="8"/>
                <w:sz w:val="21"/>
                <w:highlight w:val="none"/>
                <w:lang w:val="en-US" w:eastAsia="zh-CN"/>
              </w:rPr>
              <w:t>未按要求实施的，每发现一次扣1000元。</w:t>
            </w:r>
          </w:p>
        </w:tc>
        <w:tc>
          <w:tcPr>
            <w:tcW w:w="660" w:type="dxa"/>
            <w:vAlign w:val="center"/>
          </w:tcPr>
          <w:p w14:paraId="5FBC32B6">
            <w:pPr>
              <w:snapToGrid w:val="0"/>
              <w:ind w:left="0" w:leftChars="0" w:right="0" w:rightChars="0" w:firstLine="0" w:firstLineChars="0"/>
              <w:jc w:val="right"/>
              <w:rPr>
                <w:rFonts w:hint="eastAsia" w:ascii="Arial" w:eastAsia="宋体"/>
                <w:spacing w:val="8"/>
                <w:sz w:val="21"/>
                <w:highlight w:val="none"/>
                <w:lang w:val="en-US" w:eastAsia="zh-CN"/>
              </w:rPr>
            </w:pPr>
          </w:p>
        </w:tc>
        <w:tc>
          <w:tcPr>
            <w:tcW w:w="674" w:type="dxa"/>
            <w:vAlign w:val="center"/>
          </w:tcPr>
          <w:p w14:paraId="17DBA7CB">
            <w:pPr>
              <w:snapToGrid w:val="0"/>
              <w:ind w:left="0" w:leftChars="0" w:right="0" w:rightChars="0" w:firstLine="0" w:firstLineChars="0"/>
              <w:jc w:val="center"/>
              <w:rPr>
                <w:rFonts w:hint="eastAsia" w:ascii="Arial" w:eastAsia="宋体"/>
                <w:sz w:val="21"/>
                <w:highlight w:val="none"/>
                <w:vertAlign w:val="baseline"/>
                <w:lang w:val="en-US" w:eastAsia="zh-CN"/>
              </w:rPr>
            </w:pPr>
            <w:r>
              <w:rPr>
                <w:rFonts w:hint="eastAsia" w:ascii="Arial" w:eastAsia="宋体"/>
                <w:spacing w:val="8"/>
                <w:sz w:val="21"/>
                <w:highlight w:val="none"/>
                <w:lang w:val="en-US" w:eastAsia="zh-CN"/>
              </w:rPr>
              <w:t>-</w:t>
            </w:r>
          </w:p>
        </w:tc>
      </w:tr>
      <w:tr w14:paraId="04A5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15" w:type="dxa"/>
            <w:gridSpan w:val="7"/>
            <w:shd w:val="clear" w:color="auto" w:fill="auto"/>
            <w:vAlign w:val="center"/>
          </w:tcPr>
          <w:p w14:paraId="5B40E0B9">
            <w:pPr>
              <w:snapToGrid w:val="0"/>
              <w:ind w:left="0" w:leftChars="0" w:right="0" w:rightChars="0" w:firstLine="0" w:firstLineChars="0"/>
              <w:jc w:val="center"/>
              <w:rPr>
                <w:rFonts w:hint="eastAsia" w:asciiTheme="minorHAnsi" w:hAnsiTheme="minorHAnsi" w:eastAsiaTheme="minorEastAsia" w:cstheme="minorBidi"/>
                <w:spacing w:val="8"/>
                <w:kern w:val="2"/>
                <w:sz w:val="21"/>
                <w:szCs w:val="24"/>
                <w:highlight w:val="none"/>
                <w:lang w:val="en-US" w:eastAsia="zh-CN" w:bidi="ar-SA"/>
              </w:rPr>
            </w:pPr>
            <w:r>
              <w:rPr>
                <w:rFonts w:hint="eastAsia" w:ascii="Times New Roman" w:hAnsi="Times New Roman" w:cs="仿宋"/>
                <w:color w:val="auto"/>
                <w:szCs w:val="21"/>
                <w:highlight w:val="none"/>
              </w:rPr>
              <w:t>考核得分：                         养护单位（签章）：</w:t>
            </w:r>
          </w:p>
        </w:tc>
      </w:tr>
      <w:tr w14:paraId="078F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15" w:type="dxa"/>
            <w:gridSpan w:val="7"/>
            <w:shd w:val="clear" w:color="auto" w:fill="auto"/>
            <w:vAlign w:val="center"/>
          </w:tcPr>
          <w:p w14:paraId="073D6B6D">
            <w:pPr>
              <w:snapToGrid w:val="0"/>
              <w:ind w:left="0" w:leftChars="0" w:right="0" w:rightChars="0" w:firstLine="0" w:firstLineChars="0"/>
              <w:jc w:val="center"/>
              <w:rPr>
                <w:rFonts w:hint="eastAsia" w:asciiTheme="minorHAnsi" w:hAnsiTheme="minorHAnsi" w:eastAsiaTheme="minorEastAsia" w:cstheme="minorBidi"/>
                <w:spacing w:val="8"/>
                <w:kern w:val="2"/>
                <w:sz w:val="21"/>
                <w:szCs w:val="24"/>
                <w:highlight w:val="none"/>
                <w:lang w:val="en-US" w:eastAsia="zh-CN" w:bidi="ar-SA"/>
              </w:rPr>
            </w:pPr>
            <w:r>
              <w:rPr>
                <w:rFonts w:hint="eastAsia" w:ascii="Times New Roman" w:hAnsi="Times New Roman" w:cs="仿宋"/>
                <w:color w:val="auto"/>
                <w:szCs w:val="21"/>
                <w:highlight w:val="none"/>
              </w:rPr>
              <w:t>考核情况：</w:t>
            </w:r>
          </w:p>
        </w:tc>
      </w:tr>
      <w:tr w14:paraId="38A8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15" w:type="dxa"/>
            <w:gridSpan w:val="7"/>
            <w:shd w:val="clear" w:color="auto" w:fill="auto"/>
            <w:vAlign w:val="center"/>
          </w:tcPr>
          <w:p w14:paraId="6A99711E">
            <w:pPr>
              <w:snapToGrid w:val="0"/>
              <w:ind w:left="0" w:leftChars="0" w:right="0" w:rightChars="0" w:firstLine="0" w:firstLineChars="0"/>
              <w:jc w:val="center"/>
              <w:rPr>
                <w:rFonts w:hint="eastAsia" w:asciiTheme="minorHAnsi" w:hAnsiTheme="minorHAnsi" w:eastAsiaTheme="minorEastAsia" w:cstheme="minorBidi"/>
                <w:spacing w:val="8"/>
                <w:kern w:val="2"/>
                <w:sz w:val="21"/>
                <w:szCs w:val="24"/>
                <w:highlight w:val="none"/>
                <w:lang w:val="en-US" w:eastAsia="zh-CN" w:bidi="ar-SA"/>
              </w:rPr>
            </w:pPr>
            <w:r>
              <w:rPr>
                <w:rFonts w:hint="eastAsia" w:ascii="Times New Roman" w:hAnsi="Times New Roman" w:cs="仿宋"/>
                <w:color w:val="auto"/>
                <w:szCs w:val="21"/>
                <w:highlight w:val="none"/>
              </w:rPr>
              <w:t>考核人员（签章）：</w:t>
            </w:r>
          </w:p>
        </w:tc>
      </w:tr>
    </w:tbl>
    <w:p w14:paraId="5396E883">
      <w:pPr>
        <w:pStyle w:val="17"/>
        <w:rPr>
          <w:rFonts w:hint="eastAsia"/>
          <w:highlight w:val="none"/>
        </w:rPr>
      </w:pPr>
    </w:p>
    <w:p w14:paraId="604B9797">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08581697">
      <w:pPr>
        <w:tabs>
          <w:tab w:val="left" w:pos="0"/>
        </w:tabs>
        <w:adjustRightInd/>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sz w:val="21"/>
          <w:szCs w:val="21"/>
          <w:highlight w:val="none"/>
          <w:lang w:val="en-US" w:eastAsia="zh-CN"/>
        </w:rPr>
        <w:t>附件</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0"/>
          <w:szCs w:val="21"/>
          <w:highlight w:val="none"/>
          <w:lang w:val="en-US" w:eastAsia="zh-CN"/>
        </w:rPr>
        <w:t>养护清单</w:t>
      </w:r>
    </w:p>
    <w:p w14:paraId="4A2FC9D2">
      <w:pPr>
        <w:tabs>
          <w:tab w:val="left" w:pos="0"/>
        </w:tabs>
        <w:adjustRightInd/>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（中标后，根据中标的具体标项提供对应清单）</w:t>
      </w:r>
    </w:p>
    <w:p w14:paraId="4426A57E">
      <w:pPr>
        <w:rPr>
          <w:rFonts w:hint="eastAsia" w:ascii="Arial" w:hAnsi="Arial"/>
          <w:b/>
          <w:bCs/>
          <w:color w:val="auto"/>
          <w:sz w:val="28"/>
          <w:szCs w:val="28"/>
          <w:highlight w:val="none"/>
          <w:u w:val="none"/>
        </w:rPr>
      </w:pPr>
      <w:r>
        <w:rPr>
          <w:rFonts w:hint="eastAsia" w:ascii="Arial" w:hAnsi="Arial"/>
          <w:b/>
          <w:bCs/>
          <w:color w:val="auto"/>
          <w:sz w:val="28"/>
          <w:szCs w:val="28"/>
          <w:highlight w:val="none"/>
          <w:u w:val="none"/>
        </w:rPr>
        <w:br w:type="page"/>
      </w:r>
    </w:p>
    <w:p w14:paraId="69C7259A">
      <w:pPr>
        <w:tabs>
          <w:tab w:val="left" w:pos="0"/>
        </w:tabs>
        <w:adjustRightInd/>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w:t>
      </w:r>
    </w:p>
    <w:p w14:paraId="0E340AB4">
      <w:pPr>
        <w:tabs>
          <w:tab w:val="left" w:pos="0"/>
        </w:tabs>
        <w:adjustRightInd/>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鄞州区下应、首南、潘火街道道路及桥梁养护管理保险服务合同</w:t>
      </w:r>
    </w:p>
    <w:p w14:paraId="47CCE2EB">
      <w:pPr>
        <w:pStyle w:val="43"/>
        <w:rPr>
          <w:highlight w:val="none"/>
        </w:rPr>
      </w:pPr>
    </w:p>
    <w:p w14:paraId="605B0A66">
      <w:pPr>
        <w:pStyle w:val="23"/>
        <w:widowControl/>
        <w:snapToGrid w:val="0"/>
        <w:spacing w:before="0" w:beforeLines="0" w:after="0" w:afterLines="0" w:line="360" w:lineRule="auto"/>
        <w:rPr>
          <w:rFonts w:hint="eastAsia" w:ascii="Arial" w:hAnsi="Arial"/>
          <w:color w:val="000000"/>
          <w:sz w:val="21"/>
          <w:szCs w:val="21"/>
          <w:highlight w:val="none"/>
        </w:rPr>
      </w:pPr>
      <w:r>
        <w:rPr>
          <w:rFonts w:hint="eastAsia" w:ascii="Arial" w:hAnsi="Arial"/>
          <w:color w:val="000000"/>
          <w:sz w:val="21"/>
          <w:szCs w:val="21"/>
          <w:highlight w:val="none"/>
        </w:rPr>
        <w:t>甲方：</w:t>
      </w:r>
      <w:r>
        <w:rPr>
          <w:rFonts w:hint="eastAsia" w:ascii="Arial" w:hAnsi="Arial"/>
          <w:color w:val="000000"/>
          <w:sz w:val="21"/>
          <w:szCs w:val="21"/>
          <w:highlight w:val="none"/>
          <w:u w:val="single"/>
        </w:rPr>
        <w:t xml:space="preserve"> </w:t>
      </w:r>
      <w:r>
        <w:rPr>
          <w:rFonts w:hint="eastAsia" w:ascii="Arial" w:hAnsi="Arial"/>
          <w:color w:val="000000"/>
          <w:sz w:val="21"/>
          <w:szCs w:val="21"/>
          <w:highlight w:val="none"/>
          <w:u w:val="single"/>
          <w:lang w:val="en-US" w:eastAsia="zh-CN"/>
        </w:rPr>
        <w:t>宁波市鄞州区市政设施保障中心</w:t>
      </w:r>
      <w:r>
        <w:rPr>
          <w:rFonts w:hint="eastAsia" w:ascii="Arial" w:hAnsi="Arial"/>
          <w:color w:val="000000"/>
          <w:sz w:val="21"/>
          <w:szCs w:val="21"/>
          <w:highlight w:val="none"/>
          <w:u w:val="single"/>
        </w:rPr>
        <w:t xml:space="preserve"> </w:t>
      </w:r>
    </w:p>
    <w:p w14:paraId="136B0549">
      <w:pPr>
        <w:pStyle w:val="23"/>
        <w:widowControl/>
        <w:snapToGrid w:val="0"/>
        <w:spacing w:before="0" w:beforeLines="0" w:after="0" w:afterLines="0" w:line="360" w:lineRule="auto"/>
        <w:rPr>
          <w:rFonts w:hint="eastAsia" w:ascii="Arial" w:hAnsi="Arial"/>
          <w:color w:val="000000"/>
          <w:sz w:val="21"/>
          <w:szCs w:val="21"/>
          <w:highlight w:val="none"/>
        </w:rPr>
      </w:pPr>
      <w:r>
        <w:rPr>
          <w:rFonts w:hint="eastAsia" w:ascii="Arial" w:hAnsi="Arial"/>
          <w:color w:val="000000"/>
          <w:sz w:val="21"/>
          <w:szCs w:val="21"/>
          <w:highlight w:val="none"/>
        </w:rPr>
        <w:t>乙方：</w:t>
      </w:r>
      <w:r>
        <w:rPr>
          <w:rFonts w:hint="eastAsia" w:ascii="Arial" w:hAnsi="Arial"/>
          <w:color w:val="000000"/>
          <w:sz w:val="21"/>
          <w:szCs w:val="21"/>
          <w:highlight w:val="none"/>
          <w:u w:val="single"/>
        </w:rPr>
        <w:t xml:space="preserve">     （</w:t>
      </w:r>
      <w:r>
        <w:rPr>
          <w:rFonts w:hint="eastAsia" w:ascii="Arial" w:hAnsi="Arial"/>
          <w:color w:val="000000"/>
          <w:sz w:val="21"/>
          <w:szCs w:val="21"/>
          <w:highlight w:val="none"/>
          <w:u w:val="single"/>
          <w:lang w:val="en-US" w:eastAsia="zh-CN"/>
        </w:rPr>
        <w:t>保险项目</w:t>
      </w:r>
      <w:r>
        <w:rPr>
          <w:rFonts w:hint="eastAsia" w:ascii="Arial" w:hAnsi="Arial"/>
          <w:color w:val="000000"/>
          <w:sz w:val="21"/>
          <w:szCs w:val="21"/>
          <w:highlight w:val="none"/>
          <w:u w:val="single"/>
        </w:rPr>
        <w:t xml:space="preserve">中标人）       </w:t>
      </w:r>
    </w:p>
    <w:p w14:paraId="65AAD80F">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rPr>
          <w:rFonts w:hint="eastAsia" w:ascii="Arial" w:hAnsi="Arial"/>
          <w:b/>
          <w:color w:val="000000"/>
          <w:sz w:val="21"/>
          <w:szCs w:val="21"/>
          <w:highlight w:val="none"/>
        </w:rPr>
      </w:pPr>
      <w:r>
        <w:rPr>
          <w:rFonts w:hint="eastAsia" w:ascii="Arial" w:hAnsi="Arial"/>
          <w:color w:val="000000"/>
          <w:sz w:val="21"/>
          <w:szCs w:val="21"/>
          <w:highlight w:val="none"/>
        </w:rPr>
        <w:t>甲、乙双方根据《</w:t>
      </w:r>
      <w:r>
        <w:rPr>
          <w:rFonts w:hint="eastAsia"/>
          <w:bCs/>
          <w:color w:val="000000"/>
          <w:sz w:val="21"/>
          <w:szCs w:val="21"/>
          <w:highlight w:val="none"/>
        </w:rPr>
        <w:t>中华人民共和国民法典</w:t>
      </w:r>
      <w:r>
        <w:rPr>
          <w:rFonts w:hint="eastAsia" w:ascii="Arial" w:hAnsi="Arial"/>
          <w:color w:val="000000"/>
          <w:sz w:val="21"/>
          <w:szCs w:val="21"/>
          <w:highlight w:val="none"/>
        </w:rPr>
        <w:t>》和</w:t>
      </w:r>
      <w:r>
        <w:rPr>
          <w:rFonts w:hint="eastAsia" w:ascii="Arial" w:hAnsi="Arial"/>
          <w:color w:val="000000"/>
          <w:sz w:val="21"/>
          <w:szCs w:val="21"/>
          <w:highlight w:val="none"/>
          <w:u w:val="single"/>
          <w:lang w:eastAsia="zh-CN"/>
        </w:rPr>
        <w:t>鄞州区下应、首南、潘火街道道路及桥梁养护管理保险服务项目</w:t>
      </w:r>
      <w:r>
        <w:rPr>
          <w:rFonts w:hint="eastAsia" w:ascii="Arial" w:hAnsi="Arial"/>
          <w:color w:val="000000"/>
          <w:sz w:val="21"/>
          <w:szCs w:val="21"/>
          <w:highlight w:val="none"/>
          <w:u w:val="none"/>
        </w:rPr>
        <w:t>公开招标</w:t>
      </w:r>
      <w:r>
        <w:rPr>
          <w:rFonts w:hint="eastAsia" w:ascii="Arial" w:hAnsi="Arial"/>
          <w:color w:val="000000"/>
          <w:sz w:val="21"/>
          <w:szCs w:val="21"/>
          <w:highlight w:val="none"/>
        </w:rPr>
        <w:t>的结果，甲、乙双方在平等的基础上经充分协商，签署本合同。</w:t>
      </w:r>
    </w:p>
    <w:p w14:paraId="76453E07">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color w:val="000000"/>
          <w:sz w:val="21"/>
          <w:szCs w:val="21"/>
          <w:highlight w:val="none"/>
        </w:rPr>
      </w:pPr>
    </w:p>
    <w:p w14:paraId="231C4D0C">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color w:val="000000"/>
          <w:sz w:val="21"/>
          <w:szCs w:val="21"/>
          <w:highlight w:val="none"/>
        </w:rPr>
      </w:pPr>
      <w:r>
        <w:rPr>
          <w:rFonts w:hint="eastAsia" w:ascii="Arial" w:hAnsi="Arial"/>
          <w:b/>
          <w:color w:val="000000"/>
          <w:sz w:val="21"/>
          <w:szCs w:val="21"/>
          <w:highlight w:val="none"/>
        </w:rPr>
        <w:t>一、服务范围</w:t>
      </w:r>
    </w:p>
    <w:p w14:paraId="67F191C4">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rPr>
          <w:rFonts w:hint="eastAsia" w:hAnsi="Courier New"/>
          <w:color w:val="000000"/>
          <w:sz w:val="21"/>
          <w:szCs w:val="21"/>
          <w:highlight w:val="none"/>
        </w:rPr>
      </w:pPr>
      <w:r>
        <w:rPr>
          <w:rFonts w:hint="eastAsia" w:hAnsi="Courier New"/>
          <w:color w:val="000000"/>
          <w:sz w:val="21"/>
          <w:szCs w:val="21"/>
          <w:highlight w:val="none"/>
        </w:rPr>
        <w:t>对“</w:t>
      </w:r>
      <w:r>
        <w:rPr>
          <w:rFonts w:hint="eastAsia" w:hAnsi="Courier New"/>
          <w:color w:val="000000"/>
          <w:sz w:val="21"/>
          <w:szCs w:val="21"/>
          <w:highlight w:val="none"/>
          <w:lang w:eastAsia="zh-CN"/>
        </w:rPr>
        <w:t>2026年-2028年鄞州区下应、潘火、首南三街道道路桥梁日常养护项目</w:t>
      </w:r>
      <w:r>
        <w:rPr>
          <w:rFonts w:hint="eastAsia" w:hAnsi="Courier New"/>
          <w:color w:val="000000"/>
          <w:sz w:val="21"/>
          <w:szCs w:val="21"/>
          <w:highlight w:val="none"/>
        </w:rPr>
        <w:t>”范围内的</w:t>
      </w:r>
      <w:r>
        <w:rPr>
          <w:rFonts w:hint="eastAsia" w:hAnsi="Courier New"/>
          <w:color w:val="000000"/>
          <w:sz w:val="21"/>
          <w:szCs w:val="21"/>
          <w:highlight w:val="none"/>
          <w:lang w:val="en-US" w:eastAsia="zh-CN"/>
        </w:rPr>
        <w:t>道路、</w:t>
      </w:r>
      <w:r>
        <w:rPr>
          <w:rFonts w:hint="eastAsia" w:hAnsi="Courier New"/>
          <w:color w:val="000000"/>
          <w:sz w:val="21"/>
          <w:szCs w:val="21"/>
          <w:highlight w:val="none"/>
        </w:rPr>
        <w:t>桥梁及附属设施提供综合保险服务，其中包括城市</w:t>
      </w:r>
      <w:r>
        <w:rPr>
          <w:rFonts w:hint="eastAsia" w:hAnsi="Courier New"/>
          <w:color w:val="000000"/>
          <w:sz w:val="21"/>
          <w:szCs w:val="21"/>
          <w:highlight w:val="none"/>
          <w:lang w:val="en-US" w:eastAsia="zh-CN"/>
        </w:rPr>
        <w:t>道路、</w:t>
      </w:r>
      <w:r>
        <w:rPr>
          <w:rFonts w:hint="eastAsia" w:hAnsi="Courier New"/>
          <w:color w:val="000000"/>
          <w:sz w:val="21"/>
          <w:szCs w:val="21"/>
          <w:highlight w:val="none"/>
        </w:rPr>
        <w:t>桥梁设施综合相关险</w:t>
      </w:r>
      <w:r>
        <w:rPr>
          <w:rFonts w:hint="eastAsia" w:hAnsi="Courier New"/>
          <w:color w:val="000000"/>
          <w:sz w:val="21"/>
          <w:szCs w:val="21"/>
          <w:highlight w:val="none"/>
          <w:lang w:eastAsia="zh-CN"/>
        </w:rPr>
        <w:t>（</w:t>
      </w:r>
      <w:r>
        <w:rPr>
          <w:rFonts w:hint="eastAsia" w:hAnsi="Courier New"/>
          <w:color w:val="000000"/>
          <w:sz w:val="21"/>
          <w:szCs w:val="21"/>
          <w:highlight w:val="none"/>
          <w:lang w:val="en-US" w:eastAsia="zh-CN"/>
        </w:rPr>
        <w:t>包括</w:t>
      </w:r>
      <w:r>
        <w:rPr>
          <w:rFonts w:hint="eastAsia" w:hAnsi="Courier New"/>
          <w:color w:val="000000"/>
          <w:sz w:val="21"/>
          <w:szCs w:val="21"/>
          <w:highlight w:val="none"/>
        </w:rPr>
        <w:t>公众责任险</w:t>
      </w:r>
      <w:r>
        <w:rPr>
          <w:rFonts w:hint="eastAsia" w:hAnsi="Courier New"/>
          <w:color w:val="000000"/>
          <w:sz w:val="21"/>
          <w:szCs w:val="21"/>
          <w:highlight w:val="none"/>
          <w:lang w:eastAsia="zh-CN"/>
        </w:rPr>
        <w:t>）</w:t>
      </w:r>
      <w:r>
        <w:rPr>
          <w:rFonts w:hint="eastAsia" w:hAnsi="Courier New"/>
          <w:color w:val="000000"/>
          <w:sz w:val="21"/>
          <w:szCs w:val="21"/>
          <w:highlight w:val="none"/>
        </w:rPr>
        <w:t>、城市</w:t>
      </w:r>
      <w:r>
        <w:rPr>
          <w:rFonts w:hint="eastAsia" w:hAnsi="Courier New"/>
          <w:color w:val="000000"/>
          <w:sz w:val="21"/>
          <w:szCs w:val="21"/>
          <w:highlight w:val="none"/>
          <w:lang w:val="en-US" w:eastAsia="zh-CN"/>
        </w:rPr>
        <w:t>道路、</w:t>
      </w:r>
      <w:r>
        <w:rPr>
          <w:rFonts w:hint="eastAsia" w:hAnsi="Courier New"/>
          <w:color w:val="000000"/>
          <w:sz w:val="21"/>
          <w:szCs w:val="21"/>
          <w:highlight w:val="none"/>
        </w:rPr>
        <w:t>桥梁设施综合相关险附加险。</w:t>
      </w:r>
    </w:p>
    <w:p w14:paraId="3A1B5991">
      <w:pPr>
        <w:bidi w:val="0"/>
        <w:rPr>
          <w:rFonts w:hint="eastAsia"/>
          <w:highlight w:val="none"/>
        </w:rPr>
      </w:pPr>
    </w:p>
    <w:p w14:paraId="38917E91">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Times New Roman" w:hAnsi="Courier New" w:eastAsia="宋体" w:cs="Times New Roman"/>
          <w:color w:val="000000"/>
          <w:kern w:val="2"/>
          <w:sz w:val="21"/>
          <w:szCs w:val="21"/>
          <w:highlight w:val="none"/>
          <w:lang w:val="en-US" w:eastAsia="zh-CN" w:bidi="ar-SA"/>
        </w:rPr>
      </w:pPr>
      <w:r>
        <w:rPr>
          <w:rFonts w:hint="eastAsia" w:hAnsi="宋体"/>
          <w:b/>
          <w:color w:val="000000"/>
          <w:sz w:val="21"/>
          <w:szCs w:val="21"/>
          <w:highlight w:val="none"/>
        </w:rPr>
        <w:t>二、服务期限：</w:t>
      </w:r>
      <w:r>
        <w:rPr>
          <w:rFonts w:hint="eastAsia" w:ascii="Times New Roman" w:hAnsi="Courier New" w:eastAsia="宋体" w:cs="Times New Roman"/>
          <w:color w:val="000000"/>
          <w:kern w:val="2"/>
          <w:sz w:val="21"/>
          <w:szCs w:val="21"/>
          <w:highlight w:val="none"/>
          <w:lang w:val="en-US" w:eastAsia="zh-CN" w:bidi="ar-SA"/>
        </w:rPr>
        <w:t>采用“1+1”模式，总期限</w:t>
      </w:r>
      <w:r>
        <w:rPr>
          <w:rFonts w:hint="eastAsia" w:ascii="Times New Roman" w:cs="Times New Roman"/>
          <w:color w:val="000000"/>
          <w:kern w:val="2"/>
          <w:sz w:val="21"/>
          <w:szCs w:val="21"/>
          <w:highlight w:val="none"/>
          <w:lang w:val="en-US" w:eastAsia="zh-CN" w:bidi="ar-SA"/>
        </w:rPr>
        <w:t>2</w:t>
      </w:r>
      <w:r>
        <w:rPr>
          <w:rFonts w:hint="eastAsia" w:ascii="Times New Roman" w:hAnsi="Courier New" w:eastAsia="宋体" w:cs="Times New Roman"/>
          <w:color w:val="000000"/>
          <w:kern w:val="2"/>
          <w:sz w:val="21"/>
          <w:szCs w:val="21"/>
          <w:highlight w:val="none"/>
          <w:lang w:val="en-US" w:eastAsia="zh-CN" w:bidi="ar-SA"/>
        </w:rPr>
        <w:t>年，保险合同一年一签。本阶段服务期限：</w:t>
      </w:r>
      <w:r>
        <w:rPr>
          <w:rFonts w:hint="eastAsia" w:ascii="Times New Roman" w:hAnsi="Courier New" w:eastAsia="宋体" w:cs="Times New Roman"/>
          <w:color w:val="000000"/>
          <w:kern w:val="2"/>
          <w:sz w:val="21"/>
          <w:szCs w:val="21"/>
          <w:highlight w:val="none"/>
          <w:u w:val="single"/>
          <w:lang w:val="en-US" w:eastAsia="zh-CN" w:bidi="ar-SA"/>
        </w:rPr>
        <w:t xml:space="preserve">      </w:t>
      </w:r>
      <w:r>
        <w:rPr>
          <w:rFonts w:hint="eastAsia" w:ascii="Times New Roman" w:hAnsi="Courier New" w:eastAsia="宋体" w:cs="Times New Roman"/>
          <w:color w:val="000000"/>
          <w:kern w:val="2"/>
          <w:sz w:val="21"/>
          <w:szCs w:val="21"/>
          <w:highlight w:val="none"/>
          <w:lang w:val="en-US" w:eastAsia="zh-CN" w:bidi="ar-SA"/>
        </w:rPr>
        <w:t>。本合同结束前，甲方对乙方本年度保险服务及赔付工作表现满意的，可续签下一期合同。若因政策调整、养护模式或养护经费调整等客观情况需要重新进行招标的，甲方有权单方面终止合同。</w:t>
      </w:r>
    </w:p>
    <w:p w14:paraId="2041B202">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hAnsi="宋体"/>
          <w:b/>
          <w:color w:val="000000"/>
          <w:sz w:val="21"/>
          <w:szCs w:val="21"/>
          <w:highlight w:val="none"/>
        </w:rPr>
      </w:pPr>
    </w:p>
    <w:p w14:paraId="388F4A15">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hAnsi="宋体"/>
          <w:b/>
          <w:bCs/>
          <w:color w:val="000000"/>
          <w:sz w:val="21"/>
          <w:szCs w:val="21"/>
          <w:highlight w:val="none"/>
        </w:rPr>
      </w:pPr>
      <w:r>
        <w:rPr>
          <w:rFonts w:hint="eastAsia" w:hAnsi="宋体"/>
          <w:b/>
          <w:color w:val="000000"/>
          <w:sz w:val="21"/>
          <w:szCs w:val="21"/>
          <w:highlight w:val="none"/>
        </w:rPr>
        <w:t>三、合同金额</w:t>
      </w:r>
    </w:p>
    <w:p w14:paraId="1C1E3F03">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20" w:firstLineChars="200"/>
        <w:rPr>
          <w:rFonts w:hint="eastAsia" w:eastAsia="宋体" w:cs="仿宋"/>
          <w:color w:val="000000"/>
          <w:sz w:val="21"/>
          <w:szCs w:val="21"/>
          <w:highlight w:val="none"/>
          <w:lang w:eastAsia="zh-CN"/>
        </w:rPr>
      </w:pPr>
      <w:r>
        <w:rPr>
          <w:rFonts w:hint="eastAsia" w:cs="Times New Roman"/>
          <w:color w:val="000000"/>
          <w:sz w:val="21"/>
          <w:szCs w:val="21"/>
          <w:highlight w:val="none"/>
          <w:lang w:val="en-US" w:eastAsia="zh-CN" w:bidi="ar-SA"/>
        </w:rPr>
        <w:t>本期综合服务保费合同</w:t>
      </w:r>
      <w:r>
        <w:rPr>
          <w:rFonts w:hint="eastAsia" w:cs="Times New Roman"/>
          <w:color w:val="000000"/>
          <w:sz w:val="21"/>
          <w:szCs w:val="21"/>
          <w:highlight w:val="none"/>
          <w:lang w:bidi="ar-SA"/>
        </w:rPr>
        <w:t>金额为（大写）：人民币</w:t>
      </w:r>
      <w:r>
        <w:rPr>
          <w:rFonts w:hint="eastAsia" w:cs="Times New Roman"/>
          <w:color w:val="000000"/>
          <w:sz w:val="21"/>
          <w:szCs w:val="21"/>
          <w:highlight w:val="none"/>
          <w:u w:val="single"/>
          <w:lang w:bidi="ar-SA"/>
        </w:rPr>
        <w:t xml:space="preserve">             </w:t>
      </w:r>
      <w:r>
        <w:rPr>
          <w:rFonts w:hint="eastAsia" w:cs="Times New Roman"/>
          <w:color w:val="000000"/>
          <w:sz w:val="21"/>
          <w:szCs w:val="21"/>
          <w:highlight w:val="none"/>
          <w:lang w:bidi="ar-SA"/>
        </w:rPr>
        <w:t>元/年（￥</w:t>
      </w:r>
      <w:r>
        <w:rPr>
          <w:rFonts w:hint="eastAsia" w:cs="Times New Roman"/>
          <w:color w:val="000000"/>
          <w:sz w:val="21"/>
          <w:szCs w:val="21"/>
          <w:highlight w:val="none"/>
          <w:u w:val="single"/>
          <w:lang w:bidi="ar-SA"/>
        </w:rPr>
        <w:t xml:space="preserve">           </w:t>
      </w:r>
      <w:r>
        <w:rPr>
          <w:rFonts w:hint="eastAsia" w:cs="Times New Roman"/>
          <w:color w:val="000000"/>
          <w:sz w:val="21"/>
          <w:szCs w:val="21"/>
          <w:highlight w:val="none"/>
          <w:lang w:bidi="ar-SA"/>
        </w:rPr>
        <w:t>元/年）</w:t>
      </w:r>
      <w:r>
        <w:rPr>
          <w:rFonts w:hint="eastAsia" w:cs="Times New Roman"/>
          <w:color w:val="000000"/>
          <w:sz w:val="21"/>
          <w:szCs w:val="21"/>
          <w:highlight w:val="none"/>
          <w:lang w:eastAsia="zh-CN" w:bidi="ar-SA"/>
        </w:rPr>
        <w:t>。</w:t>
      </w:r>
    </w:p>
    <w:p w14:paraId="549AAE68">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hAnsi="宋体"/>
          <w:b/>
          <w:color w:val="000000"/>
          <w:sz w:val="21"/>
          <w:szCs w:val="21"/>
          <w:highlight w:val="none"/>
        </w:rPr>
      </w:pPr>
    </w:p>
    <w:p w14:paraId="436A59ED">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hAnsi="宋体"/>
          <w:b/>
          <w:color w:val="000000"/>
          <w:sz w:val="21"/>
          <w:szCs w:val="21"/>
          <w:highlight w:val="none"/>
        </w:rPr>
      </w:pPr>
      <w:r>
        <w:rPr>
          <w:rFonts w:hint="eastAsia" w:hAnsi="宋体"/>
          <w:b/>
          <w:color w:val="000000"/>
          <w:sz w:val="21"/>
          <w:szCs w:val="21"/>
          <w:highlight w:val="none"/>
        </w:rPr>
        <w:t>四、“综合保险服务”内容</w:t>
      </w:r>
    </w:p>
    <w:p w14:paraId="766F1245">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leftChars="200"/>
        <w:jc w:val="both"/>
        <w:textAlignment w:val="bottom"/>
        <w:rPr>
          <w:rFonts w:hint="eastAsia" w:ascii="Arial" w:hAnsi="Arial" w:eastAsia="宋体" w:cs="Times New Roman"/>
          <w:b/>
          <w:bCs w:val="0"/>
          <w:color w:val="000000"/>
          <w:szCs w:val="21"/>
          <w:highlight w:val="none"/>
          <w:lang w:val="en-US" w:eastAsia="zh-CN"/>
        </w:rPr>
      </w:pPr>
      <w:r>
        <w:rPr>
          <w:rFonts w:hint="eastAsia" w:ascii="Arial" w:hAnsi="Arial" w:eastAsia="宋体" w:cs="Times New Roman"/>
          <w:b/>
          <w:bCs w:val="0"/>
          <w:color w:val="000000"/>
          <w:szCs w:val="21"/>
          <w:highlight w:val="none"/>
          <w:lang w:val="en-US" w:eastAsia="zh-CN"/>
        </w:rPr>
        <w:t>1.保险标的</w:t>
      </w:r>
    </w:p>
    <w:p w14:paraId="666D05C6">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leftChars="200"/>
        <w:jc w:val="both"/>
        <w:textAlignment w:val="bottom"/>
        <w:rPr>
          <w:rFonts w:hint="eastAsia"/>
          <w:color w:val="000000"/>
          <w:szCs w:val="21"/>
          <w:highlight w:val="none"/>
        </w:rPr>
      </w:pPr>
      <w:r>
        <w:rPr>
          <w:rFonts w:hint="eastAsia"/>
          <w:color w:val="000000"/>
          <w:szCs w:val="21"/>
          <w:highlight w:val="none"/>
          <w:lang w:eastAsia="zh-CN"/>
        </w:rPr>
        <w:t>“2026年-2028年鄞州区下应、潘火、首南三街道道路桥梁日常养护项目”</w:t>
      </w:r>
      <w:r>
        <w:rPr>
          <w:rFonts w:hint="eastAsia"/>
          <w:color w:val="000000"/>
          <w:szCs w:val="21"/>
          <w:highlight w:val="none"/>
          <w:lang w:val="en-US" w:eastAsia="zh-CN"/>
        </w:rPr>
        <w:t>范围内的道路、</w:t>
      </w:r>
      <w:r>
        <w:rPr>
          <w:rFonts w:hint="eastAsia" w:cs="Arial"/>
          <w:bCs/>
          <w:color w:val="000000"/>
          <w:szCs w:val="21"/>
          <w:highlight w:val="none"/>
        </w:rPr>
        <w:t>桥梁以及</w:t>
      </w:r>
      <w:r>
        <w:rPr>
          <w:rFonts w:hint="eastAsia" w:cs="Arial"/>
          <w:bCs/>
          <w:color w:val="000000"/>
          <w:szCs w:val="21"/>
          <w:highlight w:val="none"/>
          <w:lang w:val="en-US" w:eastAsia="zh-CN"/>
        </w:rPr>
        <w:t>相关附属</w:t>
      </w:r>
      <w:r>
        <w:rPr>
          <w:rFonts w:hint="eastAsia" w:cs="Arial"/>
          <w:bCs/>
          <w:color w:val="000000"/>
          <w:szCs w:val="21"/>
          <w:highlight w:val="none"/>
        </w:rPr>
        <w:t>设施</w:t>
      </w:r>
      <w:r>
        <w:rPr>
          <w:rFonts w:hint="eastAsia"/>
          <w:color w:val="000000"/>
          <w:szCs w:val="21"/>
          <w:highlight w:val="none"/>
        </w:rPr>
        <w:t>；</w:t>
      </w:r>
    </w:p>
    <w:p w14:paraId="7D8BC981">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leftChars="200"/>
        <w:jc w:val="both"/>
        <w:textAlignment w:val="bottom"/>
        <w:rPr>
          <w:rFonts w:hint="eastAsia" w:ascii="Arial" w:hAnsi="Arial" w:eastAsia="宋体" w:cs="Times New Roman"/>
          <w:b/>
          <w:bCs w:val="0"/>
          <w:color w:val="000000"/>
          <w:szCs w:val="21"/>
          <w:highlight w:val="none"/>
          <w:lang w:val="en-US" w:eastAsia="zh-CN"/>
        </w:rPr>
      </w:pPr>
      <w:r>
        <w:rPr>
          <w:rFonts w:hint="eastAsia" w:ascii="Arial" w:hAnsi="Arial" w:eastAsia="宋体" w:cs="Times New Roman"/>
          <w:b/>
          <w:bCs w:val="0"/>
          <w:color w:val="000000"/>
          <w:szCs w:val="21"/>
          <w:highlight w:val="none"/>
          <w:lang w:val="en-US" w:eastAsia="zh-CN"/>
        </w:rPr>
        <w:t>2</w:t>
      </w:r>
      <w:r>
        <w:rPr>
          <w:rFonts w:hint="eastAsia" w:ascii="Arial" w:hAnsi="Arial" w:cs="Times New Roman"/>
          <w:b/>
          <w:bCs w:val="0"/>
          <w:color w:val="000000"/>
          <w:szCs w:val="21"/>
          <w:highlight w:val="none"/>
          <w:lang w:val="en-US" w:eastAsia="zh-CN"/>
        </w:rPr>
        <w:t>.</w:t>
      </w:r>
      <w:r>
        <w:rPr>
          <w:rFonts w:hint="eastAsia" w:ascii="Arial" w:hAnsi="Arial" w:eastAsia="宋体" w:cs="Times New Roman"/>
          <w:b/>
          <w:bCs w:val="0"/>
          <w:color w:val="000000"/>
          <w:szCs w:val="21"/>
          <w:highlight w:val="none"/>
          <w:lang w:val="en-US" w:eastAsia="zh-CN"/>
        </w:rPr>
        <w:t>险种</w:t>
      </w:r>
    </w:p>
    <w:p w14:paraId="3B32C2B0">
      <w:pPr>
        <w:keepNext w:val="0"/>
        <w:keepLines w:val="0"/>
        <w:pageBreakBefore w:val="0"/>
        <w:kinsoku/>
        <w:wordWrap/>
        <w:overflowPunct/>
        <w:topLinePunct w:val="0"/>
        <w:autoSpaceDE/>
        <w:autoSpaceDN/>
        <w:bidi w:val="0"/>
        <w:adjustRightInd/>
        <w:snapToGrid w:val="0"/>
        <w:spacing w:beforeAutospacing="0" w:afterAutospacing="0" w:line="360" w:lineRule="auto"/>
        <w:ind w:left="440"/>
        <w:jc w:val="both"/>
        <w:rPr>
          <w:rFonts w:hint="eastAsia"/>
          <w:b/>
          <w:bCs/>
          <w:color w:val="000000"/>
          <w:szCs w:val="21"/>
          <w:highlight w:val="none"/>
        </w:rPr>
      </w:pPr>
      <w:r>
        <w:rPr>
          <w:rFonts w:hint="eastAsia"/>
          <w:b/>
          <w:bCs/>
          <w:color w:val="000000"/>
          <w:szCs w:val="21"/>
          <w:highlight w:val="none"/>
        </w:rPr>
        <w:t>城市道路桥梁综合相关保险：</w:t>
      </w:r>
    </w:p>
    <w:p w14:paraId="7333CB9D">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rFonts w:hint="eastAsia"/>
          <w:color w:val="000000"/>
          <w:szCs w:val="21"/>
          <w:highlight w:val="none"/>
        </w:rPr>
      </w:pPr>
      <w:r>
        <w:rPr>
          <w:rFonts w:hint="eastAsia"/>
          <w:color w:val="000000"/>
          <w:szCs w:val="21"/>
          <w:highlight w:val="none"/>
        </w:rPr>
        <w:t>在保险期间内，保险标的因自然灾害或意外事故造成的直接损坏或灭失，保险人按照合同约定负责赔偿。</w:t>
      </w:r>
    </w:p>
    <w:p w14:paraId="65038AB6">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rFonts w:hint="eastAsia"/>
          <w:color w:val="000000"/>
          <w:szCs w:val="21"/>
          <w:highlight w:val="none"/>
        </w:rPr>
      </w:pPr>
      <w:r>
        <w:rPr>
          <w:rFonts w:hint="eastAsia"/>
          <w:color w:val="000000"/>
          <w:szCs w:val="21"/>
          <w:highlight w:val="none"/>
        </w:rPr>
        <w:t>保险事故发生后，被保险人为防止或减少保险标的损失所支付的必要的、合理的费用，保险人按照合同约定负责赔偿。</w:t>
      </w:r>
    </w:p>
    <w:p w14:paraId="377FDD89">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rFonts w:hint="eastAsia"/>
          <w:b w:val="0"/>
          <w:bCs w:val="0"/>
          <w:color w:val="000000"/>
          <w:szCs w:val="21"/>
          <w:highlight w:val="none"/>
        </w:rPr>
      </w:pPr>
      <w:r>
        <w:rPr>
          <w:rFonts w:hint="eastAsia"/>
          <w:b w:val="0"/>
          <w:bCs w:val="0"/>
          <w:color w:val="000000"/>
          <w:szCs w:val="21"/>
          <w:highlight w:val="none"/>
        </w:rPr>
        <w:t>总保额：人民币贰拾亿元/年（¥2,000,000,000.00元）</w:t>
      </w:r>
    </w:p>
    <w:p w14:paraId="594E9D12">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rFonts w:hint="eastAsia"/>
          <w:b w:val="0"/>
          <w:bCs w:val="0"/>
          <w:color w:val="000000"/>
          <w:szCs w:val="21"/>
          <w:highlight w:val="none"/>
        </w:rPr>
      </w:pPr>
      <w:r>
        <w:rPr>
          <w:rFonts w:hint="eastAsia"/>
          <w:b w:val="0"/>
          <w:bCs w:val="0"/>
          <w:color w:val="000000"/>
          <w:szCs w:val="21"/>
          <w:highlight w:val="none"/>
        </w:rPr>
        <w:t>每次事故赔偿限额：人民币贰亿元（¥200,000,000.00元）</w:t>
      </w:r>
    </w:p>
    <w:p w14:paraId="38A815CC">
      <w:pPr>
        <w:keepNext w:val="0"/>
        <w:keepLines w:val="0"/>
        <w:pageBreakBefore w:val="0"/>
        <w:kinsoku/>
        <w:wordWrap/>
        <w:overflowPunct/>
        <w:topLinePunct w:val="0"/>
        <w:autoSpaceDE/>
        <w:autoSpaceDN/>
        <w:bidi w:val="0"/>
        <w:adjustRightInd/>
        <w:snapToGrid w:val="0"/>
        <w:spacing w:beforeAutospacing="0" w:afterAutospacing="0" w:line="360" w:lineRule="auto"/>
        <w:ind w:firstLine="422" w:firstLineChars="200"/>
        <w:rPr>
          <w:rFonts w:hint="eastAsia"/>
          <w:b/>
          <w:bCs/>
          <w:color w:val="000000"/>
          <w:szCs w:val="21"/>
          <w:highlight w:val="none"/>
        </w:rPr>
      </w:pPr>
      <w:r>
        <w:rPr>
          <w:rFonts w:hint="eastAsia"/>
          <w:b/>
          <w:bCs/>
          <w:color w:val="000000"/>
          <w:szCs w:val="21"/>
          <w:highlight w:val="none"/>
        </w:rPr>
        <w:t>城市道路桥梁综合</w:t>
      </w:r>
      <w:r>
        <w:rPr>
          <w:rFonts w:hint="eastAsia" w:cs="仿宋"/>
          <w:b/>
          <w:bCs/>
          <w:color w:val="000000"/>
          <w:sz w:val="21"/>
          <w:szCs w:val="21"/>
          <w:highlight w:val="none"/>
        </w:rPr>
        <w:t>相关</w:t>
      </w:r>
      <w:r>
        <w:rPr>
          <w:rFonts w:hint="eastAsia"/>
          <w:b/>
          <w:bCs/>
          <w:color w:val="000000"/>
          <w:szCs w:val="21"/>
          <w:highlight w:val="none"/>
        </w:rPr>
        <w:t>保险附加险：</w:t>
      </w:r>
    </w:p>
    <w:p w14:paraId="2DBD0DB3">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color w:val="000000"/>
          <w:szCs w:val="21"/>
          <w:highlight w:val="none"/>
        </w:rPr>
      </w:pPr>
      <w:r>
        <w:rPr>
          <w:rFonts w:hint="eastAsia" w:cs="仿宋"/>
          <w:color w:val="000000"/>
          <w:sz w:val="21"/>
          <w:szCs w:val="21"/>
          <w:highlight w:val="none"/>
        </w:rPr>
        <w:t>相关</w:t>
      </w:r>
      <w:r>
        <w:rPr>
          <w:rFonts w:hint="eastAsia"/>
          <w:color w:val="000000"/>
          <w:szCs w:val="21"/>
          <w:highlight w:val="none"/>
        </w:rPr>
        <w:t>坍塌（倒塌）、断裂全部风险扩展条款：</w:t>
      </w:r>
    </w:p>
    <w:p w14:paraId="5148E06C">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color w:val="000000"/>
          <w:szCs w:val="21"/>
          <w:highlight w:val="none"/>
        </w:rPr>
      </w:pPr>
      <w:r>
        <w:rPr>
          <w:rFonts w:hint="eastAsia"/>
          <w:color w:val="000000"/>
          <w:szCs w:val="21"/>
          <w:highlight w:val="none"/>
        </w:rPr>
        <w:t>累计赔偿限额</w:t>
      </w:r>
      <w:r>
        <w:rPr>
          <w:rFonts w:hint="eastAsia"/>
          <w:color w:val="000000"/>
          <w:szCs w:val="21"/>
          <w:highlight w:val="none"/>
          <w:lang w:eastAsia="zh-CN"/>
        </w:rPr>
        <w:t>：</w:t>
      </w:r>
      <w:r>
        <w:rPr>
          <w:rFonts w:hint="eastAsia"/>
          <w:color w:val="000000"/>
          <w:szCs w:val="21"/>
          <w:highlight w:val="none"/>
          <w:lang w:val="en-US" w:eastAsia="zh-CN"/>
        </w:rPr>
        <w:t>人民币壹仟叁佰叁拾万元整（¥13,300,000.00元）</w:t>
      </w:r>
    </w:p>
    <w:p w14:paraId="171BB436">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rFonts w:hint="eastAsia"/>
          <w:color w:val="000000"/>
          <w:szCs w:val="21"/>
          <w:highlight w:val="none"/>
        </w:rPr>
      </w:pPr>
      <w:r>
        <w:rPr>
          <w:rFonts w:hint="eastAsia"/>
          <w:color w:val="000000"/>
          <w:szCs w:val="21"/>
          <w:highlight w:val="none"/>
        </w:rPr>
        <w:t>扩展承保因设计错误或原材料缺陷或工艺不善原因导致城市桥梁、道路、隧道和涵洞及构造物的坍塌（倒塌）或断裂；为避免因主险保险责任以外的事故导致的城市桥梁、道路、隧道和涵洞倒塌或断裂所发生的应急加固维修费用。</w:t>
      </w:r>
    </w:p>
    <w:p w14:paraId="1B027F68">
      <w:pPr>
        <w:keepNext w:val="0"/>
        <w:keepLines w:val="0"/>
        <w:pageBreakBefore w:val="0"/>
        <w:kinsoku/>
        <w:wordWrap/>
        <w:overflowPunct/>
        <w:topLinePunct w:val="0"/>
        <w:autoSpaceDE/>
        <w:autoSpaceDN/>
        <w:bidi w:val="0"/>
        <w:adjustRightInd/>
        <w:snapToGrid w:val="0"/>
        <w:spacing w:beforeAutospacing="0" w:afterAutospacing="0" w:line="360" w:lineRule="auto"/>
        <w:ind w:firstLine="422" w:firstLineChars="200"/>
        <w:rPr>
          <w:rFonts w:hint="eastAsia"/>
          <w:b/>
          <w:bCs/>
          <w:color w:val="000000"/>
          <w:szCs w:val="21"/>
          <w:highlight w:val="none"/>
        </w:rPr>
      </w:pPr>
      <w:r>
        <w:rPr>
          <w:rFonts w:hint="eastAsia"/>
          <w:b/>
          <w:bCs/>
          <w:color w:val="000000"/>
          <w:szCs w:val="21"/>
          <w:highlight w:val="none"/>
        </w:rPr>
        <w:t>公众责任</w:t>
      </w:r>
      <w:r>
        <w:rPr>
          <w:rFonts w:hint="eastAsia" w:cs="仿宋"/>
          <w:b/>
          <w:bCs/>
          <w:color w:val="000000"/>
          <w:sz w:val="21"/>
          <w:szCs w:val="21"/>
          <w:highlight w:val="none"/>
        </w:rPr>
        <w:t>相关</w:t>
      </w:r>
      <w:r>
        <w:rPr>
          <w:rFonts w:hint="eastAsia"/>
          <w:b/>
          <w:bCs/>
          <w:color w:val="000000"/>
          <w:szCs w:val="21"/>
          <w:highlight w:val="none"/>
        </w:rPr>
        <w:t>保险</w:t>
      </w:r>
    </w:p>
    <w:p w14:paraId="06F7D259">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rFonts w:hint="default"/>
          <w:color w:val="auto"/>
          <w:szCs w:val="21"/>
          <w:highlight w:val="none"/>
          <w:lang w:val="en-US" w:eastAsia="zh-CN"/>
        </w:rPr>
      </w:pPr>
      <w:r>
        <w:rPr>
          <w:rFonts w:hint="eastAsia"/>
          <w:color w:val="auto"/>
          <w:szCs w:val="21"/>
          <w:highlight w:val="none"/>
        </w:rPr>
        <w:t>累计赔偿限额</w:t>
      </w:r>
      <w:r>
        <w:rPr>
          <w:rFonts w:hint="eastAsia"/>
          <w:color w:val="auto"/>
          <w:szCs w:val="21"/>
          <w:highlight w:val="none"/>
          <w:lang w:eastAsia="zh-CN"/>
        </w:rPr>
        <w:t>：</w:t>
      </w:r>
      <w:r>
        <w:rPr>
          <w:rFonts w:hint="eastAsia"/>
          <w:color w:val="auto"/>
          <w:szCs w:val="21"/>
          <w:highlight w:val="none"/>
          <w:lang w:val="en-US" w:eastAsia="zh-CN"/>
        </w:rPr>
        <w:t>人民币壹仟万元整（</w:t>
      </w:r>
      <w:r>
        <w:rPr>
          <w:rFonts w:hint="eastAsia"/>
          <w:color w:val="000000"/>
          <w:szCs w:val="21"/>
          <w:highlight w:val="none"/>
          <w:lang w:val="en-US" w:eastAsia="zh-CN"/>
        </w:rPr>
        <w:t>¥</w:t>
      </w:r>
      <w:r>
        <w:rPr>
          <w:rFonts w:hint="eastAsia"/>
          <w:color w:val="auto"/>
          <w:szCs w:val="21"/>
          <w:highlight w:val="none"/>
          <w:lang w:val="en-US" w:eastAsia="zh-CN"/>
        </w:rPr>
        <w:t>10,000,000元）</w:t>
      </w:r>
    </w:p>
    <w:p w14:paraId="6449F354">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rFonts w:hint="eastAsia"/>
          <w:color w:val="000000"/>
          <w:szCs w:val="21"/>
          <w:highlight w:val="none"/>
        </w:rPr>
      </w:pPr>
      <w:r>
        <w:rPr>
          <w:rFonts w:hint="eastAsia"/>
          <w:color w:val="auto"/>
          <w:szCs w:val="21"/>
          <w:highlight w:val="none"/>
          <w:lang w:val="en-US" w:eastAsia="zh-CN"/>
        </w:rPr>
        <w:t>每次赔偿限额：人民币叁佰万元整（¥3,000,000元）</w:t>
      </w:r>
    </w:p>
    <w:p w14:paraId="41750CC0">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rFonts w:hint="eastAsia"/>
          <w:color w:val="000000"/>
          <w:szCs w:val="21"/>
          <w:highlight w:val="none"/>
        </w:rPr>
      </w:pPr>
      <w:r>
        <w:rPr>
          <w:rFonts w:hint="eastAsia"/>
          <w:color w:val="000000"/>
          <w:szCs w:val="21"/>
          <w:highlight w:val="none"/>
        </w:rPr>
        <w:t>被保险人在列明的地点范围内依法从事生产、经营等活动以及由于意外事故造成下列损失或费用，依法应由被保险人承担的民事赔偿责任，保险人负责赔偿：</w:t>
      </w:r>
    </w:p>
    <w:p w14:paraId="52F1E13A">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rFonts w:hint="eastAsia"/>
          <w:color w:val="000000"/>
          <w:szCs w:val="21"/>
          <w:highlight w:val="none"/>
        </w:rPr>
      </w:pPr>
      <w:r>
        <w:rPr>
          <w:rFonts w:hint="eastAsia"/>
          <w:color w:val="000000"/>
          <w:szCs w:val="21"/>
          <w:highlight w:val="none"/>
        </w:rPr>
        <w:t>①第三者人身伤亡或财产损失；</w:t>
      </w:r>
    </w:p>
    <w:p w14:paraId="1D073F2C">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rFonts w:hint="eastAsia"/>
          <w:color w:val="000000"/>
          <w:szCs w:val="21"/>
          <w:highlight w:val="none"/>
        </w:rPr>
      </w:pPr>
      <w:r>
        <w:rPr>
          <w:rFonts w:hint="eastAsia"/>
          <w:color w:val="000000"/>
          <w:szCs w:val="21"/>
          <w:highlight w:val="none"/>
        </w:rPr>
        <w:t>②事先经保险人书面同意的诉讼费用；</w:t>
      </w:r>
    </w:p>
    <w:p w14:paraId="5CC83B8D">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rFonts w:hint="eastAsia"/>
          <w:color w:val="000000"/>
          <w:szCs w:val="21"/>
          <w:highlight w:val="none"/>
        </w:rPr>
      </w:pPr>
      <w:r>
        <w:rPr>
          <w:rFonts w:hint="eastAsia"/>
          <w:color w:val="000000"/>
          <w:szCs w:val="21"/>
          <w:highlight w:val="none"/>
        </w:rPr>
        <w:t>③发生保险责任事故后，被保险人为缩小或减少对第三者人身伤亡或财产损失的赔偿责任所支付的必要的、合理的费用。</w:t>
      </w:r>
    </w:p>
    <w:p w14:paraId="3647CE3A">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leftChars="200"/>
        <w:jc w:val="both"/>
        <w:textAlignment w:val="bottom"/>
        <w:rPr>
          <w:rFonts w:hint="eastAsia" w:ascii="Arial" w:hAnsi="Arial" w:eastAsia="宋体" w:cs="Times New Roman"/>
          <w:b/>
          <w:bCs w:val="0"/>
          <w:color w:val="000000"/>
          <w:szCs w:val="21"/>
          <w:highlight w:val="none"/>
          <w:lang w:val="en-US" w:eastAsia="zh-CN"/>
        </w:rPr>
      </w:pPr>
      <w:r>
        <w:rPr>
          <w:rFonts w:hint="eastAsia" w:ascii="Arial" w:hAnsi="Arial" w:cs="Times New Roman"/>
          <w:b/>
          <w:bCs w:val="0"/>
          <w:color w:val="000000"/>
          <w:szCs w:val="21"/>
          <w:highlight w:val="none"/>
          <w:lang w:val="en-US" w:eastAsia="zh-CN"/>
        </w:rPr>
        <w:t>3.</w:t>
      </w:r>
      <w:r>
        <w:rPr>
          <w:rFonts w:hint="eastAsia" w:ascii="Arial" w:hAnsi="Arial" w:eastAsia="宋体" w:cs="Times New Roman"/>
          <w:b/>
          <w:bCs w:val="0"/>
          <w:color w:val="000000"/>
          <w:szCs w:val="21"/>
          <w:highlight w:val="none"/>
          <w:lang w:val="en-US" w:eastAsia="zh-CN"/>
        </w:rPr>
        <w:t>其它相关要求</w:t>
      </w:r>
    </w:p>
    <w:p w14:paraId="52D56302">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1）建立针对本项目的管理制度、应急服务制度、标准化操作流程，成立专项小组，明确各部门的职责。标准化操作流程应包括服务全过程中的各项细节工作流程，包括但不限于日常巡查管理、常规维修理赔流程、责任保险（公众责任、财产损失、自然灾害等）理赔流程、其他相关工作流程等。</w:t>
      </w:r>
    </w:p>
    <w:p w14:paraId="4BD1086A">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rPr>
          <w:rFonts w:hint="default"/>
          <w:color w:val="000000"/>
          <w:szCs w:val="21"/>
          <w:highlight w:val="none"/>
          <w:lang w:val="en-US" w:eastAsia="zh-CN"/>
        </w:rPr>
      </w:pPr>
      <w:r>
        <w:rPr>
          <w:rFonts w:hint="eastAsia"/>
          <w:color w:val="000000"/>
          <w:szCs w:val="21"/>
          <w:highlight w:val="none"/>
        </w:rPr>
        <w:t>（</w:t>
      </w:r>
      <w:r>
        <w:rPr>
          <w:rFonts w:hint="eastAsia"/>
          <w:color w:val="000000"/>
          <w:szCs w:val="21"/>
          <w:highlight w:val="none"/>
          <w:lang w:val="en-US" w:eastAsia="zh-CN"/>
        </w:rPr>
        <w:t>2</w:t>
      </w:r>
      <w:r>
        <w:rPr>
          <w:rFonts w:hint="eastAsia"/>
          <w:color w:val="000000"/>
          <w:szCs w:val="21"/>
          <w:highlight w:val="none"/>
        </w:rPr>
        <w:t>）服务期限内，</w:t>
      </w:r>
      <w:r>
        <w:rPr>
          <w:rFonts w:hint="eastAsia"/>
          <w:color w:val="000000"/>
          <w:szCs w:val="21"/>
          <w:highlight w:val="none"/>
          <w:lang w:val="en-US" w:eastAsia="zh-CN"/>
        </w:rPr>
        <w:t>乙方</w:t>
      </w:r>
      <w:r>
        <w:rPr>
          <w:rFonts w:hint="eastAsia"/>
          <w:color w:val="000000"/>
          <w:szCs w:val="21"/>
          <w:highlight w:val="none"/>
        </w:rPr>
        <w:t>负责进行保险理赔事项的技术支持</w:t>
      </w:r>
      <w:r>
        <w:rPr>
          <w:rFonts w:hint="eastAsia"/>
          <w:color w:val="000000"/>
          <w:szCs w:val="21"/>
          <w:highlight w:val="none"/>
          <w:lang w:eastAsia="zh-CN"/>
        </w:rPr>
        <w:t>（</w:t>
      </w:r>
      <w:r>
        <w:rPr>
          <w:rFonts w:hint="eastAsia"/>
          <w:color w:val="000000"/>
          <w:szCs w:val="21"/>
          <w:highlight w:val="none"/>
          <w:lang w:val="en-US" w:eastAsia="zh-CN"/>
        </w:rPr>
        <w:t>包括但不限于甲方在进行公众责任险等相关保险理赔时协助与配合甲方对各项理赔材料进行整理、汇总等</w:t>
      </w:r>
      <w:r>
        <w:rPr>
          <w:rFonts w:hint="eastAsia"/>
          <w:color w:val="000000"/>
          <w:szCs w:val="21"/>
          <w:highlight w:val="none"/>
          <w:lang w:eastAsia="zh-CN"/>
        </w:rPr>
        <w:t>）</w:t>
      </w:r>
      <w:r>
        <w:rPr>
          <w:rFonts w:hint="eastAsia"/>
          <w:color w:val="000000"/>
          <w:szCs w:val="21"/>
          <w:highlight w:val="none"/>
        </w:rPr>
        <w:t>、协助进行维权处理工作</w:t>
      </w:r>
      <w:r>
        <w:rPr>
          <w:rFonts w:hint="eastAsia"/>
          <w:color w:val="000000"/>
          <w:szCs w:val="21"/>
          <w:highlight w:val="none"/>
          <w:lang w:eastAsia="zh-CN"/>
        </w:rPr>
        <w:t>，</w:t>
      </w:r>
      <w:r>
        <w:rPr>
          <w:rFonts w:hint="eastAsia" w:ascii="Times New Roman" w:hAnsi="Times New Roman" w:eastAsia="宋体" w:cs="Times New Roman"/>
          <w:color w:val="000000"/>
          <w:szCs w:val="21"/>
          <w:highlight w:val="none"/>
        </w:rPr>
        <w:t>并协助</w:t>
      </w:r>
      <w:r>
        <w:rPr>
          <w:rFonts w:hint="eastAsia" w:ascii="Times New Roman" w:hAnsi="Times New Roman" w:eastAsia="宋体" w:cs="Times New Roman"/>
          <w:color w:val="000000"/>
          <w:szCs w:val="21"/>
          <w:highlight w:val="none"/>
          <w:lang w:val="en-US" w:eastAsia="zh-CN"/>
        </w:rPr>
        <w:t>采购人</w:t>
      </w:r>
      <w:r>
        <w:rPr>
          <w:rFonts w:hint="eastAsia" w:ascii="Times New Roman" w:hAnsi="Times New Roman" w:eastAsia="宋体" w:cs="Times New Roman"/>
          <w:color w:val="000000"/>
          <w:szCs w:val="21"/>
          <w:highlight w:val="none"/>
        </w:rPr>
        <w:t>做好</w:t>
      </w:r>
      <w:r>
        <w:rPr>
          <w:rFonts w:hint="eastAsia"/>
          <w:color w:val="000000"/>
          <w:szCs w:val="21"/>
          <w:highlight w:val="none"/>
          <w:lang w:val="en-US" w:eastAsia="zh-CN"/>
        </w:rPr>
        <w:t>对“2026年-2028年鄞州区下应、潘火、首南三街道道路桥梁日常养护项目”各标项中标养护单位的</w:t>
      </w:r>
      <w:r>
        <w:rPr>
          <w:rFonts w:hint="eastAsia" w:cs="Times New Roman"/>
          <w:color w:val="000000"/>
          <w:szCs w:val="21"/>
          <w:highlight w:val="none"/>
          <w:lang w:val="en-US" w:eastAsia="zh-CN"/>
        </w:rPr>
        <w:t>监督</w:t>
      </w:r>
      <w:r>
        <w:rPr>
          <w:rFonts w:hint="eastAsia" w:ascii="Times New Roman" w:hAnsi="Times New Roman" w:eastAsia="宋体" w:cs="Times New Roman"/>
          <w:color w:val="000000"/>
          <w:szCs w:val="21"/>
          <w:highlight w:val="none"/>
        </w:rPr>
        <w:t>工作</w:t>
      </w:r>
      <w:r>
        <w:rPr>
          <w:rFonts w:hint="eastAsia"/>
          <w:color w:val="000000"/>
          <w:szCs w:val="21"/>
          <w:highlight w:val="none"/>
          <w:lang w:val="en-US" w:eastAsia="zh-CN"/>
        </w:rPr>
        <w:t>。</w:t>
      </w:r>
    </w:p>
    <w:p w14:paraId="7483CD09">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rPr>
          <w:rFonts w:hint="eastAsia"/>
          <w:color w:val="000000"/>
          <w:szCs w:val="21"/>
          <w:highlight w:val="none"/>
        </w:rPr>
      </w:pPr>
      <w:r>
        <w:rPr>
          <w:rFonts w:hint="eastAsia"/>
          <w:color w:val="000000"/>
          <w:szCs w:val="21"/>
          <w:highlight w:val="none"/>
        </w:rPr>
        <w:t>（</w:t>
      </w:r>
      <w:r>
        <w:rPr>
          <w:rFonts w:hint="eastAsia"/>
          <w:color w:val="000000"/>
          <w:szCs w:val="21"/>
          <w:highlight w:val="none"/>
          <w:lang w:val="en-US" w:eastAsia="zh-CN"/>
        </w:rPr>
        <w:t>3</w:t>
      </w:r>
      <w:r>
        <w:rPr>
          <w:rFonts w:hint="eastAsia"/>
          <w:color w:val="000000"/>
          <w:szCs w:val="21"/>
          <w:highlight w:val="none"/>
        </w:rPr>
        <w:t>）</w:t>
      </w:r>
      <w:r>
        <w:rPr>
          <w:rFonts w:hint="eastAsia"/>
          <w:color w:val="000000"/>
          <w:szCs w:val="21"/>
          <w:highlight w:val="none"/>
          <w:lang w:val="en-US" w:eastAsia="zh-CN"/>
        </w:rPr>
        <w:t>乙方</w:t>
      </w:r>
      <w:r>
        <w:rPr>
          <w:rFonts w:hint="eastAsia"/>
          <w:color w:val="000000"/>
          <w:szCs w:val="21"/>
          <w:highlight w:val="none"/>
        </w:rPr>
        <w:t>采用的条款及费率应当向监管部门进行报备并获得注册号。</w:t>
      </w:r>
    </w:p>
    <w:p w14:paraId="11B0C57D">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420" w:leftChars="0"/>
        <w:jc w:val="both"/>
        <w:outlineLvl w:val="1"/>
        <w:rPr>
          <w:rFonts w:hint="default"/>
          <w:b/>
          <w:bCs w:val="0"/>
          <w:color w:val="000000"/>
          <w:szCs w:val="21"/>
          <w:highlight w:val="none"/>
          <w:lang w:val="en-US" w:eastAsia="zh-CN"/>
        </w:rPr>
      </w:pPr>
      <w:r>
        <w:rPr>
          <w:rFonts w:hint="eastAsia" w:ascii="Arial" w:hAnsi="Arial" w:cs="Times New Roman"/>
          <w:b/>
          <w:bCs w:val="0"/>
          <w:color w:val="000000"/>
          <w:szCs w:val="21"/>
          <w:highlight w:val="none"/>
          <w:lang w:val="en-US" w:eastAsia="zh-CN"/>
        </w:rPr>
        <w:t>4.</w:t>
      </w:r>
      <w:r>
        <w:rPr>
          <w:rFonts w:hint="eastAsia" w:ascii="Arial" w:hAnsi="Arial" w:eastAsia="宋体" w:cs="Times New Roman"/>
          <w:b/>
          <w:bCs w:val="0"/>
          <w:color w:val="000000"/>
          <w:szCs w:val="21"/>
          <w:highlight w:val="none"/>
          <w:lang w:val="en-US" w:eastAsia="zh-CN"/>
        </w:rPr>
        <w:t>零星</w:t>
      </w:r>
      <w:r>
        <w:rPr>
          <w:rFonts w:hint="eastAsia"/>
          <w:b/>
          <w:bCs w:val="0"/>
          <w:color w:val="000000"/>
          <w:szCs w:val="21"/>
          <w:highlight w:val="none"/>
          <w:lang w:val="en-US" w:eastAsia="zh-CN"/>
        </w:rPr>
        <w:t>维修经费的赔付流程（按月赔付）</w:t>
      </w:r>
    </w:p>
    <w:p w14:paraId="3B5155A5">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rPr>
          <w:rFonts w:hint="eastAsia" w:ascii="Times New Roman" w:hAnsi="Times New Roman" w:eastAsia="宋体" w:cs="Times New Roman"/>
          <w:color w:val="000000"/>
          <w:szCs w:val="21"/>
          <w:highlight w:val="none"/>
          <w:lang w:val="en-US" w:eastAsia="zh-CN"/>
        </w:rPr>
      </w:pPr>
      <w:r>
        <w:rPr>
          <w:rFonts w:hint="eastAsia"/>
          <w:color w:val="000000"/>
          <w:szCs w:val="21"/>
          <w:highlight w:val="none"/>
        </w:rPr>
        <w:t>在</w:t>
      </w:r>
      <w:r>
        <w:rPr>
          <w:rFonts w:hint="eastAsia"/>
          <w:color w:val="000000"/>
          <w:szCs w:val="21"/>
          <w:highlight w:val="none"/>
          <w:lang w:val="en-US" w:eastAsia="zh-CN"/>
        </w:rPr>
        <w:t>合同期限</w:t>
      </w:r>
      <w:r>
        <w:rPr>
          <w:rFonts w:hint="eastAsia"/>
          <w:color w:val="000000"/>
          <w:szCs w:val="21"/>
          <w:highlight w:val="none"/>
        </w:rPr>
        <w:t>内，</w:t>
      </w:r>
      <w:r>
        <w:rPr>
          <w:rFonts w:hint="eastAsia"/>
          <w:color w:val="000000"/>
          <w:szCs w:val="21"/>
          <w:highlight w:val="none"/>
          <w:lang w:val="en-US" w:eastAsia="zh-CN"/>
        </w:rPr>
        <w:t>“2026年-2028年鄞州区下应、潘火、首南三街道道路桥梁日常养护项目”各标项中标养护单位根据甲方及乙方确认的维修工程量清单编制结算资料，并上报甲方，甲方委托造价咨询单位进行审计。</w:t>
      </w:r>
      <w:r>
        <w:rPr>
          <w:rFonts w:hint="eastAsia" w:ascii="Times New Roman" w:hAnsi="Times New Roman" w:eastAsia="宋体" w:cs="Times New Roman"/>
          <w:color w:val="000000"/>
          <w:szCs w:val="21"/>
          <w:highlight w:val="none"/>
          <w:lang w:val="en-US" w:eastAsia="zh-CN"/>
        </w:rPr>
        <w:t>乙方根据审计报告的金额，</w:t>
      </w:r>
      <w:r>
        <w:rPr>
          <w:rFonts w:hint="eastAsia" w:cs="Times New Roman"/>
          <w:color w:val="000000"/>
          <w:szCs w:val="21"/>
          <w:highlight w:val="none"/>
          <w:lang w:val="en-US" w:eastAsia="zh-CN"/>
        </w:rPr>
        <w:t>以</w:t>
      </w:r>
      <w:r>
        <w:rPr>
          <w:rFonts w:hint="eastAsia" w:ascii="Times New Roman" w:hAnsi="Times New Roman" w:eastAsia="宋体" w:cs="Times New Roman"/>
          <w:color w:val="000000"/>
          <w:szCs w:val="21"/>
          <w:highlight w:val="none"/>
          <w:lang w:val="en-US" w:eastAsia="zh-CN"/>
        </w:rPr>
        <w:t>保险赔付流程进行</w:t>
      </w:r>
      <w:r>
        <w:rPr>
          <w:rFonts w:hint="eastAsia" w:cs="Times New Roman"/>
          <w:color w:val="000000"/>
          <w:szCs w:val="21"/>
          <w:highlight w:val="none"/>
          <w:lang w:val="en-US" w:eastAsia="zh-CN"/>
        </w:rPr>
        <w:t>按月</w:t>
      </w:r>
      <w:r>
        <w:rPr>
          <w:rFonts w:hint="eastAsia" w:ascii="Times New Roman" w:hAnsi="Times New Roman" w:cs="Times New Roman"/>
          <w:color w:val="000000"/>
          <w:szCs w:val="21"/>
          <w:highlight w:val="none"/>
          <w:lang w:val="en-US" w:eastAsia="zh-CN"/>
        </w:rPr>
        <w:t>赔付</w:t>
      </w:r>
      <w:r>
        <w:rPr>
          <w:rFonts w:hint="eastAsia" w:ascii="Times New Roman" w:hAnsi="Times New Roman" w:eastAsia="宋体" w:cs="Times New Roman"/>
          <w:color w:val="000000"/>
          <w:szCs w:val="21"/>
          <w:highlight w:val="none"/>
          <w:lang w:val="en-US" w:eastAsia="zh-CN"/>
        </w:rPr>
        <w:t>。维修工作中出现质量不达标、工期超期、超时等情况，经甲方确认后，根据考核要求在月度考核中扣分；发生直接经济处罚的，由造价咨询单位根据甲方处罚证明，在该项目费用审计时直接扣除。甲方在有需要时可委托专业单位对零星维修工作的质量、安全、工程量认证等进行辅助管理。</w:t>
      </w:r>
    </w:p>
    <w:p w14:paraId="71B39B3C">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contextualSpacing/>
        <w:textAlignment w:val="auto"/>
        <w:rPr>
          <w:rFonts w:hint="eastAsia" w:ascii="宋体" w:eastAsia="宋体" w:cs="宋体"/>
          <w:color w:val="auto"/>
          <w:sz w:val="21"/>
          <w:szCs w:val="21"/>
          <w:highlight w:val="none"/>
          <w:lang w:val="en-US" w:eastAsia="zh-CN" w:bidi="ar"/>
        </w:rPr>
      </w:pPr>
      <w:r>
        <w:rPr>
          <w:rFonts w:hint="eastAsia" w:cs="宋体"/>
          <w:color w:val="auto"/>
          <w:sz w:val="21"/>
          <w:szCs w:val="21"/>
          <w:highlight w:val="none"/>
          <w:lang w:val="en-US" w:eastAsia="zh-CN" w:bidi="ar"/>
        </w:rPr>
        <w:t>养护单位</w:t>
      </w:r>
      <w:r>
        <w:rPr>
          <w:rFonts w:hint="eastAsia" w:cs="宋体"/>
          <w:b w:val="0"/>
          <w:bCs w:val="0"/>
          <w:color w:val="auto"/>
          <w:sz w:val="21"/>
          <w:szCs w:val="21"/>
          <w:highlight w:val="none"/>
          <w:lang w:val="en-US" w:eastAsia="zh-CN" w:bidi="ar"/>
        </w:rPr>
        <w:t>报乙方赔付的材料</w:t>
      </w:r>
      <w:r>
        <w:rPr>
          <w:rFonts w:hint="eastAsia" w:ascii="宋体" w:eastAsia="宋体" w:cs="宋体"/>
          <w:b w:val="0"/>
          <w:bCs w:val="0"/>
          <w:color w:val="auto"/>
          <w:sz w:val="21"/>
          <w:szCs w:val="21"/>
          <w:highlight w:val="none"/>
          <w:lang w:val="en-US" w:eastAsia="zh-CN" w:bidi="ar"/>
        </w:rPr>
        <w:t>应包括以下资料（</w:t>
      </w:r>
      <w:r>
        <w:rPr>
          <w:rFonts w:hint="eastAsia" w:cs="宋体"/>
          <w:color w:val="auto"/>
          <w:sz w:val="21"/>
          <w:szCs w:val="21"/>
          <w:highlight w:val="none"/>
          <w:lang w:val="en-US" w:eastAsia="zh-CN" w:bidi="ar"/>
        </w:rPr>
        <w:t>具体</w:t>
      </w:r>
      <w:r>
        <w:rPr>
          <w:rFonts w:hint="eastAsia" w:ascii="宋体" w:eastAsia="宋体" w:cs="宋体"/>
          <w:color w:val="auto"/>
          <w:sz w:val="21"/>
          <w:szCs w:val="21"/>
          <w:highlight w:val="none"/>
          <w:lang w:val="en-US" w:eastAsia="zh-CN" w:bidi="ar"/>
        </w:rPr>
        <w:t>资料在三方合同签订时协商确定）：</w:t>
      </w:r>
    </w:p>
    <w:p w14:paraId="1276BC08">
      <w:pPr>
        <w:spacing w:line="360" w:lineRule="auto"/>
        <w:ind w:firstLine="420" w:firstLineChars="200"/>
        <w:rPr>
          <w:rFonts w:hint="eastAsia" w:cs="宋体"/>
          <w:b w:val="0"/>
          <w:bCs w:val="0"/>
          <w:color w:val="auto"/>
          <w:szCs w:val="21"/>
          <w:highlight w:val="none"/>
          <w:lang w:val="en-US" w:eastAsia="zh-CN" w:bidi="ar"/>
        </w:rPr>
      </w:pPr>
      <w:r>
        <w:rPr>
          <w:rFonts w:hint="eastAsia" w:cs="宋体"/>
          <w:b w:val="0"/>
          <w:bCs w:val="0"/>
          <w:color w:val="auto"/>
          <w:szCs w:val="21"/>
          <w:highlight w:val="none"/>
          <w:lang w:val="en-US" w:eastAsia="zh-CN" w:bidi="ar"/>
        </w:rPr>
        <w:t>1）索赔申请书；</w:t>
      </w:r>
    </w:p>
    <w:p w14:paraId="04F6088E">
      <w:pPr>
        <w:spacing w:line="360" w:lineRule="auto"/>
        <w:ind w:firstLine="420" w:firstLineChars="200"/>
        <w:rPr>
          <w:rFonts w:hint="eastAsia" w:cs="宋体"/>
          <w:b w:val="0"/>
          <w:bCs w:val="0"/>
          <w:color w:val="auto"/>
          <w:szCs w:val="21"/>
          <w:highlight w:val="none"/>
          <w:lang w:val="en-US" w:eastAsia="zh-CN" w:bidi="ar"/>
        </w:rPr>
      </w:pPr>
      <w:r>
        <w:rPr>
          <w:rFonts w:hint="eastAsia" w:cs="宋体"/>
          <w:b w:val="0"/>
          <w:bCs w:val="0"/>
          <w:color w:val="auto"/>
          <w:szCs w:val="21"/>
          <w:highlight w:val="none"/>
          <w:lang w:val="en-US" w:eastAsia="zh-CN" w:bidi="ar"/>
        </w:rPr>
        <w:t>2）审计报告（造价咨询机构出具）；</w:t>
      </w:r>
    </w:p>
    <w:p w14:paraId="2EA54ED1">
      <w:pPr>
        <w:spacing w:line="360" w:lineRule="auto"/>
        <w:ind w:firstLine="420" w:firstLineChars="200"/>
        <w:rPr>
          <w:rFonts w:hint="eastAsia" w:cs="宋体"/>
          <w:b w:val="0"/>
          <w:bCs w:val="0"/>
          <w:color w:val="auto"/>
          <w:szCs w:val="21"/>
          <w:highlight w:val="none"/>
          <w:lang w:val="en-US" w:eastAsia="zh-CN" w:bidi="ar"/>
        </w:rPr>
      </w:pPr>
      <w:r>
        <w:rPr>
          <w:rFonts w:hint="eastAsia" w:cs="宋体"/>
          <w:b w:val="0"/>
          <w:bCs w:val="0"/>
          <w:color w:val="auto"/>
          <w:szCs w:val="21"/>
          <w:highlight w:val="none"/>
          <w:lang w:val="en-US" w:eastAsia="zh-CN" w:bidi="ar"/>
        </w:rPr>
        <w:t>3）维修款支付报审表（含甲方、乙方、丙方三方盖章确认）</w:t>
      </w:r>
    </w:p>
    <w:p w14:paraId="15BC23EF">
      <w:pPr>
        <w:spacing w:line="360" w:lineRule="auto"/>
        <w:ind w:firstLine="420" w:firstLineChars="200"/>
        <w:rPr>
          <w:rFonts w:hint="eastAsia" w:cs="宋体"/>
          <w:b w:val="0"/>
          <w:bCs w:val="0"/>
          <w:color w:val="auto"/>
          <w:szCs w:val="21"/>
          <w:highlight w:val="none"/>
          <w:lang w:val="en-US" w:eastAsia="zh-CN" w:bidi="ar"/>
        </w:rPr>
      </w:pPr>
      <w:r>
        <w:rPr>
          <w:rFonts w:hint="eastAsia" w:cs="宋体"/>
          <w:b w:val="0"/>
          <w:bCs w:val="0"/>
          <w:color w:val="auto"/>
          <w:szCs w:val="21"/>
          <w:highlight w:val="none"/>
          <w:lang w:val="en-US" w:eastAsia="zh-CN" w:bidi="ar"/>
        </w:rPr>
        <w:t>4）维修证明相关材料（现场照片、记录视频、维修清单等）；</w:t>
      </w:r>
    </w:p>
    <w:p w14:paraId="4EE9E712">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lang w:val="en-US" w:eastAsia="zh-CN"/>
        </w:rPr>
      </w:pPr>
    </w:p>
    <w:p w14:paraId="49958776">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rPr>
      </w:pPr>
      <w:r>
        <w:rPr>
          <w:rFonts w:hint="eastAsia" w:ascii="Arial" w:hAnsi="Arial"/>
          <w:b/>
          <w:bCs/>
          <w:color w:val="000000"/>
          <w:sz w:val="21"/>
          <w:szCs w:val="21"/>
          <w:highlight w:val="none"/>
          <w:lang w:val="en-US" w:eastAsia="zh-CN"/>
        </w:rPr>
        <w:t>五</w:t>
      </w:r>
      <w:r>
        <w:rPr>
          <w:rFonts w:hint="eastAsia" w:ascii="Arial" w:hAnsi="Arial"/>
          <w:b/>
          <w:bCs/>
          <w:color w:val="000000"/>
          <w:sz w:val="21"/>
          <w:szCs w:val="21"/>
          <w:highlight w:val="none"/>
        </w:rPr>
        <w:t>、人员、车辆配置：</w:t>
      </w:r>
    </w:p>
    <w:p w14:paraId="2E1CE3F0">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leftChars="200"/>
        <w:jc w:val="both"/>
        <w:textAlignment w:val="bottom"/>
        <w:rPr>
          <w:rFonts w:hint="eastAsia" w:ascii="Arial" w:hAnsi="Arial" w:eastAsia="宋体"/>
          <w:bCs/>
          <w:color w:val="000000"/>
          <w:szCs w:val="21"/>
          <w:highlight w:val="none"/>
          <w:lang w:eastAsia="zh-CN"/>
        </w:rPr>
      </w:pPr>
      <w:r>
        <w:rPr>
          <w:rFonts w:hint="eastAsia" w:ascii="Arial" w:hAnsi="Arial"/>
          <w:bCs/>
          <w:color w:val="000000"/>
          <w:szCs w:val="21"/>
          <w:highlight w:val="none"/>
          <w:lang w:val="en-US" w:eastAsia="zh-CN"/>
        </w:rPr>
        <w:t>1、</w:t>
      </w:r>
      <w:r>
        <w:rPr>
          <w:rFonts w:hint="eastAsia" w:ascii="Arial" w:hAnsi="Arial"/>
          <w:bCs/>
          <w:color w:val="000000"/>
          <w:szCs w:val="21"/>
          <w:highlight w:val="none"/>
        </w:rPr>
        <w:t>乙方配置项目</w:t>
      </w:r>
      <w:r>
        <w:rPr>
          <w:rFonts w:hint="eastAsia" w:ascii="Arial" w:hAnsi="Arial"/>
          <w:bCs/>
          <w:color w:val="000000"/>
          <w:szCs w:val="21"/>
          <w:highlight w:val="none"/>
          <w:lang w:val="en-US" w:eastAsia="zh-CN"/>
        </w:rPr>
        <w:t>经理</w:t>
      </w:r>
      <w:r>
        <w:rPr>
          <w:rFonts w:hint="eastAsia" w:ascii="Arial" w:hAnsi="Arial"/>
          <w:bCs/>
          <w:color w:val="000000"/>
          <w:szCs w:val="21"/>
          <w:highlight w:val="none"/>
          <w:u w:val="single"/>
        </w:rPr>
        <w:t xml:space="preserve">        </w:t>
      </w:r>
      <w:r>
        <w:rPr>
          <w:rFonts w:hint="eastAsia" w:ascii="Arial" w:hAnsi="Arial"/>
          <w:bCs/>
          <w:color w:val="000000"/>
          <w:szCs w:val="21"/>
          <w:highlight w:val="none"/>
        </w:rPr>
        <w:t>，项目</w:t>
      </w:r>
      <w:r>
        <w:rPr>
          <w:rFonts w:hint="eastAsia" w:ascii="Arial" w:hAnsi="Arial"/>
          <w:bCs/>
          <w:color w:val="000000"/>
          <w:szCs w:val="21"/>
          <w:highlight w:val="none"/>
          <w:lang w:val="en-US" w:eastAsia="zh-CN"/>
        </w:rPr>
        <w:t>服务团队人员</w:t>
      </w:r>
      <w:r>
        <w:rPr>
          <w:rFonts w:hint="eastAsia" w:ascii="Arial" w:hAnsi="Arial"/>
          <w:bCs/>
          <w:color w:val="000000"/>
          <w:szCs w:val="21"/>
          <w:highlight w:val="none"/>
        </w:rPr>
        <w:t>为</w:t>
      </w:r>
      <w:r>
        <w:rPr>
          <w:rFonts w:hint="eastAsia" w:ascii="Arial" w:hAnsi="Arial"/>
          <w:bCs/>
          <w:color w:val="000000"/>
          <w:szCs w:val="21"/>
          <w:highlight w:val="none"/>
          <w:u w:val="single"/>
        </w:rPr>
        <w:t xml:space="preserve">        </w:t>
      </w:r>
      <w:r>
        <w:rPr>
          <w:rFonts w:hint="eastAsia" w:ascii="Arial" w:hAnsi="Arial"/>
          <w:bCs/>
          <w:color w:val="000000"/>
          <w:szCs w:val="21"/>
          <w:highlight w:val="none"/>
        </w:rPr>
        <w:t>、</w:t>
      </w:r>
      <w:r>
        <w:rPr>
          <w:rFonts w:hint="eastAsia" w:ascii="Arial" w:hAnsi="Arial"/>
          <w:bCs/>
          <w:color w:val="000000"/>
          <w:szCs w:val="21"/>
          <w:highlight w:val="none"/>
          <w:u w:val="single"/>
        </w:rPr>
        <w:t xml:space="preserve">        </w:t>
      </w:r>
      <w:r>
        <w:rPr>
          <w:rFonts w:hint="eastAsia" w:ascii="Arial" w:hAnsi="Arial"/>
          <w:bCs/>
          <w:color w:val="000000"/>
          <w:szCs w:val="21"/>
          <w:highlight w:val="none"/>
          <w:lang w:val="en-US" w:eastAsia="zh-CN"/>
        </w:rPr>
        <w:t xml:space="preserve"> </w:t>
      </w:r>
      <w:r>
        <w:rPr>
          <w:rFonts w:hint="eastAsia" w:ascii="Arial" w:hAnsi="Arial"/>
          <w:bCs/>
          <w:color w:val="000000"/>
          <w:szCs w:val="21"/>
          <w:highlight w:val="none"/>
        </w:rPr>
        <w:t>；</w:t>
      </w:r>
      <w:r>
        <w:rPr>
          <w:rFonts w:hint="eastAsia" w:ascii="Arial" w:hAnsi="Arial"/>
          <w:bCs/>
          <w:color w:val="000000"/>
          <w:szCs w:val="21"/>
          <w:highlight w:val="none"/>
          <w:lang w:eastAsia="zh-CN"/>
        </w:rPr>
        <w:t>（</w:t>
      </w:r>
      <w:r>
        <w:rPr>
          <w:rFonts w:hint="eastAsia" w:ascii="Arial" w:hAnsi="Arial"/>
          <w:bCs/>
          <w:color w:val="000000"/>
          <w:szCs w:val="21"/>
          <w:highlight w:val="none"/>
          <w:lang w:val="en-US" w:eastAsia="zh-CN"/>
        </w:rPr>
        <w:t>合同后附人员相关资料</w:t>
      </w:r>
      <w:r>
        <w:rPr>
          <w:rFonts w:hint="eastAsia" w:ascii="Arial" w:hAnsi="Arial"/>
          <w:bCs/>
          <w:color w:val="000000"/>
          <w:szCs w:val="21"/>
          <w:highlight w:val="none"/>
          <w:lang w:eastAsia="zh-CN"/>
        </w:rPr>
        <w:t>）</w:t>
      </w:r>
    </w:p>
    <w:p w14:paraId="73F5004F">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leftChars="200"/>
        <w:jc w:val="both"/>
        <w:textAlignment w:val="bottom"/>
        <w:rPr>
          <w:rFonts w:hint="eastAsia" w:ascii="Arial" w:hAnsi="Arial"/>
          <w:bCs/>
          <w:color w:val="000000"/>
          <w:szCs w:val="21"/>
          <w:highlight w:val="none"/>
        </w:rPr>
      </w:pPr>
      <w:r>
        <w:rPr>
          <w:rFonts w:hint="eastAsia" w:ascii="Arial" w:hAnsi="Arial" w:cs="Arial"/>
          <w:bCs/>
          <w:color w:val="000000"/>
          <w:szCs w:val="21"/>
          <w:highlight w:val="none"/>
          <w:lang w:val="en-US" w:eastAsia="zh-CN"/>
        </w:rPr>
        <w:t>2、</w:t>
      </w:r>
      <w:r>
        <w:rPr>
          <w:rFonts w:hint="eastAsia" w:ascii="Arial" w:hAnsi="Arial" w:cs="Arial"/>
          <w:bCs/>
          <w:color w:val="000000"/>
          <w:szCs w:val="21"/>
          <w:highlight w:val="none"/>
        </w:rPr>
        <w:t>配置</w:t>
      </w:r>
      <w:r>
        <w:rPr>
          <w:rFonts w:hint="eastAsia" w:ascii="Arial" w:hAnsi="Arial" w:cs="Arial"/>
          <w:bCs/>
          <w:color w:val="000000"/>
          <w:szCs w:val="21"/>
          <w:highlight w:val="none"/>
          <w:lang w:val="en-US" w:eastAsia="zh-CN"/>
        </w:rPr>
        <w:t>3</w:t>
      </w:r>
      <w:r>
        <w:rPr>
          <w:rFonts w:hint="eastAsia" w:ascii="Arial" w:hAnsi="Arial" w:cs="Arial"/>
          <w:bCs/>
          <w:color w:val="000000"/>
          <w:szCs w:val="21"/>
          <w:highlight w:val="none"/>
        </w:rPr>
        <w:t>辆专门用于</w:t>
      </w:r>
      <w:r>
        <w:rPr>
          <w:rFonts w:hint="eastAsia" w:ascii="Arial" w:hAnsi="Arial" w:cs="Arial"/>
          <w:bCs/>
          <w:color w:val="000000"/>
          <w:szCs w:val="21"/>
          <w:highlight w:val="none"/>
          <w:lang w:val="en-US" w:eastAsia="zh-CN"/>
        </w:rPr>
        <w:t>服务</w:t>
      </w:r>
      <w:r>
        <w:rPr>
          <w:rFonts w:hint="eastAsia" w:ascii="Arial" w:hAnsi="Arial" w:cs="Arial"/>
          <w:bCs/>
          <w:color w:val="000000"/>
          <w:szCs w:val="21"/>
          <w:highlight w:val="none"/>
        </w:rPr>
        <w:t>的车辆。</w:t>
      </w:r>
    </w:p>
    <w:p w14:paraId="16479B15">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lang w:val="en-US" w:eastAsia="zh-CN"/>
        </w:rPr>
      </w:pPr>
    </w:p>
    <w:p w14:paraId="05E8C398">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rPr>
      </w:pPr>
      <w:r>
        <w:rPr>
          <w:rFonts w:hint="eastAsia" w:ascii="Arial" w:hAnsi="Arial"/>
          <w:b/>
          <w:bCs/>
          <w:color w:val="000000"/>
          <w:sz w:val="21"/>
          <w:szCs w:val="21"/>
          <w:highlight w:val="none"/>
          <w:lang w:val="en-US" w:eastAsia="zh-CN"/>
        </w:rPr>
        <w:t>六</w:t>
      </w:r>
      <w:r>
        <w:rPr>
          <w:rFonts w:hint="eastAsia" w:ascii="Arial" w:hAnsi="Arial"/>
          <w:b/>
          <w:bCs/>
          <w:color w:val="000000"/>
          <w:sz w:val="21"/>
          <w:szCs w:val="21"/>
          <w:highlight w:val="none"/>
        </w:rPr>
        <w:t>、付款方式</w:t>
      </w:r>
    </w:p>
    <w:p w14:paraId="124BABF9">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bottom"/>
        <w:rPr>
          <w:rFonts w:hint="eastAsia" w:cs="仿宋"/>
          <w:b w:val="0"/>
          <w:bCs/>
          <w:color w:val="000000"/>
          <w:sz w:val="21"/>
          <w:szCs w:val="21"/>
          <w:highlight w:val="none"/>
        </w:rPr>
      </w:pPr>
      <w:r>
        <w:rPr>
          <w:rFonts w:hint="eastAsia" w:cs="仿宋"/>
          <w:b w:val="0"/>
          <w:bCs/>
          <w:color w:val="000000"/>
          <w:sz w:val="21"/>
          <w:szCs w:val="21"/>
          <w:highlight w:val="none"/>
        </w:rPr>
        <w:t>（1）合同签订后且已具备实施条件时的7个工作日内，支付综合服务保费的50%</w:t>
      </w:r>
      <w:r>
        <w:rPr>
          <w:rFonts w:hint="eastAsia" w:cs="仿宋"/>
          <w:b w:val="0"/>
          <w:bCs/>
          <w:color w:val="000000"/>
          <w:sz w:val="21"/>
          <w:szCs w:val="21"/>
          <w:highlight w:val="none"/>
          <w:lang w:val="en-US" w:eastAsia="zh-CN"/>
        </w:rPr>
        <w:t>作为预付款</w:t>
      </w:r>
      <w:r>
        <w:rPr>
          <w:rFonts w:hint="eastAsia" w:cs="仿宋"/>
          <w:b w:val="0"/>
          <w:bCs/>
          <w:color w:val="000000"/>
          <w:sz w:val="21"/>
          <w:szCs w:val="21"/>
          <w:highlight w:val="none"/>
        </w:rPr>
        <w:t>；</w:t>
      </w:r>
    </w:p>
    <w:p w14:paraId="29476D3A">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bottom"/>
        <w:rPr>
          <w:rFonts w:hint="eastAsia" w:cs="仿宋"/>
          <w:b w:val="0"/>
          <w:bCs/>
          <w:color w:val="000000"/>
          <w:sz w:val="21"/>
          <w:szCs w:val="21"/>
          <w:highlight w:val="none"/>
        </w:rPr>
      </w:pPr>
      <w:r>
        <w:rPr>
          <w:rFonts w:hint="eastAsia" w:cs="仿宋"/>
          <w:b w:val="0"/>
          <w:bCs/>
          <w:color w:val="000000"/>
          <w:sz w:val="21"/>
          <w:szCs w:val="21"/>
          <w:highlight w:val="none"/>
        </w:rPr>
        <w:t>（2）当期保险结束前支付余款。</w:t>
      </w:r>
    </w:p>
    <w:p w14:paraId="2BECCCAE">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lang w:val="en-US" w:eastAsia="zh-CN"/>
        </w:rPr>
      </w:pPr>
    </w:p>
    <w:p w14:paraId="24462FCB">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default" w:ascii="Arial" w:hAnsi="Arial" w:eastAsia="宋体"/>
          <w:b/>
          <w:bCs/>
          <w:color w:val="000000"/>
          <w:sz w:val="21"/>
          <w:szCs w:val="21"/>
          <w:highlight w:val="none"/>
          <w:lang w:val="en-US" w:eastAsia="zh-CN"/>
        </w:rPr>
      </w:pPr>
      <w:r>
        <w:rPr>
          <w:rFonts w:hint="eastAsia" w:ascii="Arial" w:hAnsi="Arial"/>
          <w:b/>
          <w:bCs/>
          <w:color w:val="000000"/>
          <w:sz w:val="21"/>
          <w:szCs w:val="21"/>
          <w:highlight w:val="none"/>
          <w:lang w:val="en-US" w:eastAsia="zh-CN"/>
        </w:rPr>
        <w:t>七</w:t>
      </w:r>
      <w:r>
        <w:rPr>
          <w:rFonts w:hint="eastAsia" w:ascii="Arial" w:hAnsi="Arial"/>
          <w:b/>
          <w:bCs/>
          <w:color w:val="000000"/>
          <w:sz w:val="21"/>
          <w:szCs w:val="21"/>
          <w:highlight w:val="none"/>
        </w:rPr>
        <w:t>、</w:t>
      </w:r>
      <w:r>
        <w:rPr>
          <w:rFonts w:hint="eastAsia" w:ascii="Arial" w:hAnsi="Arial"/>
          <w:b/>
          <w:bCs/>
          <w:color w:val="000000"/>
          <w:sz w:val="21"/>
          <w:szCs w:val="21"/>
          <w:highlight w:val="none"/>
          <w:lang w:val="en-US" w:eastAsia="zh-CN"/>
        </w:rPr>
        <w:t>履约验收</w:t>
      </w:r>
    </w:p>
    <w:p w14:paraId="1BBFE881">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bottom"/>
        <w:rPr>
          <w:rFonts w:hint="eastAsia" w:cs="仿宋"/>
          <w:bCs/>
          <w:color w:val="000000"/>
          <w:sz w:val="21"/>
          <w:szCs w:val="21"/>
          <w:highlight w:val="none"/>
        </w:rPr>
      </w:pPr>
      <w:r>
        <w:rPr>
          <w:rFonts w:hint="eastAsia" w:cs="仿宋"/>
          <w:bCs/>
          <w:color w:val="000000"/>
          <w:sz w:val="21"/>
          <w:szCs w:val="21"/>
          <w:highlight w:val="none"/>
        </w:rPr>
        <w:t>采购人负责对乙方的履约行为进行</w:t>
      </w:r>
      <w:r>
        <w:rPr>
          <w:rFonts w:hint="eastAsia" w:cs="仿宋"/>
          <w:bCs/>
          <w:color w:val="000000"/>
          <w:sz w:val="21"/>
          <w:szCs w:val="21"/>
          <w:highlight w:val="none"/>
          <w:lang w:val="en-US" w:eastAsia="zh-CN"/>
        </w:rPr>
        <w:t>验收</w:t>
      </w:r>
      <w:r>
        <w:rPr>
          <w:rFonts w:hint="eastAsia" w:cs="仿宋"/>
          <w:bCs/>
          <w:color w:val="000000"/>
          <w:sz w:val="21"/>
          <w:szCs w:val="21"/>
          <w:highlight w:val="none"/>
        </w:rPr>
        <w:t>，</w:t>
      </w:r>
      <w:r>
        <w:rPr>
          <w:rFonts w:hint="eastAsia" w:cs="仿宋"/>
          <w:bCs/>
          <w:color w:val="000000"/>
          <w:sz w:val="21"/>
          <w:szCs w:val="21"/>
          <w:highlight w:val="none"/>
          <w:lang w:val="en-US" w:eastAsia="zh-CN"/>
        </w:rPr>
        <w:t>验收</w:t>
      </w:r>
      <w:r>
        <w:rPr>
          <w:rFonts w:hint="eastAsia" w:cs="仿宋"/>
          <w:bCs/>
          <w:color w:val="000000"/>
          <w:sz w:val="21"/>
          <w:szCs w:val="21"/>
          <w:highlight w:val="none"/>
        </w:rPr>
        <w:t>标准为本项目的招标文件、乙方的投标文件等。</w:t>
      </w:r>
    </w:p>
    <w:p w14:paraId="0BDAA21C">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lang w:val="en-US" w:eastAsia="zh-CN"/>
        </w:rPr>
      </w:pPr>
    </w:p>
    <w:p w14:paraId="0B1EE962">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default" w:ascii="Arial" w:hAnsi="Arial"/>
          <w:b/>
          <w:bCs/>
          <w:color w:val="000000"/>
          <w:sz w:val="21"/>
          <w:szCs w:val="21"/>
          <w:highlight w:val="none"/>
          <w:lang w:val="en-US" w:eastAsia="zh-CN"/>
        </w:rPr>
      </w:pPr>
      <w:r>
        <w:rPr>
          <w:rFonts w:hint="eastAsia" w:ascii="Arial" w:hAnsi="Arial"/>
          <w:b/>
          <w:bCs/>
          <w:color w:val="000000"/>
          <w:sz w:val="21"/>
          <w:szCs w:val="21"/>
          <w:highlight w:val="none"/>
          <w:lang w:val="en-US" w:eastAsia="zh-CN"/>
        </w:rPr>
        <w:t>八、特别约定</w:t>
      </w:r>
    </w:p>
    <w:p w14:paraId="35A72338">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bottom"/>
        <w:rPr>
          <w:rFonts w:hint="default"/>
          <w:highlight w:val="none"/>
          <w:lang w:val="en-US" w:eastAsia="zh-CN"/>
        </w:rPr>
      </w:pPr>
      <w:r>
        <w:rPr>
          <w:rFonts w:hint="eastAsia" w:cs="仿宋"/>
          <w:bCs/>
          <w:color w:val="000000"/>
          <w:sz w:val="21"/>
          <w:szCs w:val="21"/>
          <w:highlight w:val="none"/>
          <w:lang w:val="en-US" w:eastAsia="zh-CN"/>
        </w:rPr>
        <w:t>甲方、</w:t>
      </w:r>
      <w:r>
        <w:rPr>
          <w:rFonts w:hint="eastAsia"/>
          <w:szCs w:val="21"/>
          <w:highlight w:val="none"/>
          <w:lang w:val="en-US" w:eastAsia="zh-CN"/>
        </w:rPr>
        <w:t>乙方</w:t>
      </w:r>
      <w:r>
        <w:rPr>
          <w:rFonts w:hint="eastAsia"/>
          <w:szCs w:val="21"/>
          <w:highlight w:val="none"/>
        </w:rPr>
        <w:t>与“</w:t>
      </w:r>
      <w:r>
        <w:rPr>
          <w:rFonts w:hint="eastAsia"/>
          <w:szCs w:val="21"/>
          <w:highlight w:val="none"/>
          <w:lang w:eastAsia="zh-CN"/>
        </w:rPr>
        <w:t>2026年-2028年鄞州区下应、潘火、首南三街道道路桥梁日常养护项目</w:t>
      </w:r>
      <w:r>
        <w:rPr>
          <w:rFonts w:hint="eastAsia"/>
          <w:szCs w:val="21"/>
          <w:highlight w:val="none"/>
        </w:rPr>
        <w:t>”</w:t>
      </w:r>
      <w:r>
        <w:rPr>
          <w:rFonts w:hint="eastAsia"/>
          <w:szCs w:val="21"/>
          <w:highlight w:val="none"/>
          <w:lang w:val="en-US" w:eastAsia="zh-CN"/>
        </w:rPr>
        <w:t>中标</w:t>
      </w:r>
      <w:r>
        <w:rPr>
          <w:rFonts w:hint="eastAsia"/>
          <w:szCs w:val="21"/>
          <w:highlight w:val="none"/>
        </w:rPr>
        <w:t>养护单位签订</w:t>
      </w:r>
      <w:r>
        <w:rPr>
          <w:rFonts w:hint="eastAsia"/>
          <w:szCs w:val="21"/>
          <w:highlight w:val="none"/>
          <w:lang w:val="en-US" w:eastAsia="zh-CN"/>
        </w:rPr>
        <w:t>的</w:t>
      </w:r>
      <w:r>
        <w:rPr>
          <w:rFonts w:hint="eastAsia"/>
          <w:szCs w:val="21"/>
          <w:highlight w:val="none"/>
        </w:rPr>
        <w:t>三方合同</w:t>
      </w:r>
      <w:r>
        <w:rPr>
          <w:rFonts w:hint="eastAsia"/>
          <w:szCs w:val="21"/>
          <w:highlight w:val="none"/>
          <w:lang w:val="en-US" w:eastAsia="zh-CN"/>
        </w:rPr>
        <w:t>为本合同的补充部分</w:t>
      </w:r>
      <w:r>
        <w:rPr>
          <w:rFonts w:hint="eastAsia"/>
          <w:szCs w:val="21"/>
          <w:highlight w:val="none"/>
        </w:rPr>
        <w:t>。</w:t>
      </w:r>
    </w:p>
    <w:p w14:paraId="453271A9">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lang w:val="en-US" w:eastAsia="zh-CN"/>
        </w:rPr>
      </w:pPr>
    </w:p>
    <w:p w14:paraId="1BB1E5F9">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rPr>
      </w:pPr>
      <w:r>
        <w:rPr>
          <w:rFonts w:hint="eastAsia" w:ascii="Arial" w:hAnsi="Arial"/>
          <w:b/>
          <w:bCs/>
          <w:color w:val="000000"/>
          <w:sz w:val="21"/>
          <w:szCs w:val="21"/>
          <w:highlight w:val="none"/>
          <w:lang w:val="en-US" w:eastAsia="zh-CN"/>
        </w:rPr>
        <w:t>九</w:t>
      </w:r>
      <w:r>
        <w:rPr>
          <w:rFonts w:hint="eastAsia" w:ascii="Arial" w:hAnsi="Arial"/>
          <w:b/>
          <w:bCs/>
          <w:color w:val="000000"/>
          <w:sz w:val="21"/>
          <w:szCs w:val="21"/>
          <w:highlight w:val="none"/>
        </w:rPr>
        <w:t>、</w:t>
      </w:r>
      <w:r>
        <w:rPr>
          <w:rFonts w:hint="eastAsia" w:ascii="Arial" w:hAnsi="Arial"/>
          <w:b/>
          <w:bCs/>
          <w:color w:val="000000"/>
          <w:sz w:val="21"/>
          <w:szCs w:val="21"/>
          <w:highlight w:val="none"/>
          <w:lang w:val="en-US" w:eastAsia="zh-CN"/>
        </w:rPr>
        <w:t>税费</w:t>
      </w:r>
    </w:p>
    <w:p w14:paraId="4D030BA1">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textAlignment w:val="bottom"/>
        <w:rPr>
          <w:rFonts w:hint="eastAsia" w:ascii="Arial" w:hAnsi="Arial" w:cs="Arial"/>
          <w:bCs/>
          <w:color w:val="000000"/>
          <w:szCs w:val="21"/>
          <w:highlight w:val="none"/>
        </w:rPr>
      </w:pPr>
      <w:r>
        <w:rPr>
          <w:rFonts w:hint="eastAsia" w:ascii="Arial" w:hAnsi="Arial" w:cs="Arial"/>
          <w:bCs/>
          <w:color w:val="000000"/>
          <w:szCs w:val="21"/>
          <w:highlight w:val="none"/>
        </w:rPr>
        <w:t>本合同执行中相关的一切税费均由乙方负担。</w:t>
      </w:r>
    </w:p>
    <w:p w14:paraId="42E49E05">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lang w:val="en-US" w:eastAsia="zh-CN"/>
        </w:rPr>
      </w:pPr>
    </w:p>
    <w:p w14:paraId="5D7EC245">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rPr>
      </w:pPr>
      <w:r>
        <w:rPr>
          <w:rFonts w:hint="eastAsia" w:ascii="Arial" w:hAnsi="Arial"/>
          <w:b/>
          <w:bCs/>
          <w:color w:val="000000"/>
          <w:sz w:val="21"/>
          <w:szCs w:val="21"/>
          <w:highlight w:val="none"/>
          <w:lang w:val="en-US" w:eastAsia="zh-CN"/>
        </w:rPr>
        <w:t>十</w:t>
      </w:r>
      <w:r>
        <w:rPr>
          <w:rFonts w:hint="eastAsia" w:ascii="Arial" w:hAnsi="Arial"/>
          <w:b/>
          <w:bCs/>
          <w:color w:val="000000"/>
          <w:sz w:val="21"/>
          <w:szCs w:val="21"/>
          <w:highlight w:val="none"/>
        </w:rPr>
        <w:t>、不可抗力</w:t>
      </w:r>
    </w:p>
    <w:p w14:paraId="5FE78ED7">
      <w:pPr>
        <w:pStyle w:val="23"/>
        <w:keepNext w:val="0"/>
        <w:keepLines w:val="0"/>
        <w:pageBreakBefore w:val="0"/>
        <w:widowControl/>
        <w:numPr>
          <w:ilvl w:val="0"/>
          <w:numId w:val="7"/>
        </w:numPr>
        <w:kinsoku/>
        <w:wordWrap/>
        <w:overflowPunct/>
        <w:topLinePunct w:val="0"/>
        <w:autoSpaceDE/>
        <w:autoSpaceDN/>
        <w:bidi w:val="0"/>
        <w:adjustRightInd/>
        <w:snapToGrid w:val="0"/>
        <w:spacing w:before="0" w:beforeAutospacing="0" w:after="0" w:afterAutospacing="0" w:line="360" w:lineRule="auto"/>
        <w:rPr>
          <w:rFonts w:ascii="Arial" w:hAnsi="Arial"/>
          <w:color w:val="000000"/>
          <w:sz w:val="21"/>
          <w:szCs w:val="28"/>
          <w:highlight w:val="none"/>
        </w:rPr>
      </w:pPr>
      <w:r>
        <w:rPr>
          <w:rFonts w:hint="eastAsia" w:ascii="Arial" w:hAnsi="Arial"/>
          <w:color w:val="000000"/>
          <w:sz w:val="21"/>
          <w:szCs w:val="28"/>
          <w:highlight w:val="none"/>
        </w:rPr>
        <w:t>在合同有效期内，因自然灾害等不可抗力因素造成本合同项目经济损失的，甲、乙双方共同协商妥善解决。</w:t>
      </w:r>
    </w:p>
    <w:p w14:paraId="34AF2683">
      <w:pPr>
        <w:pStyle w:val="23"/>
        <w:keepNext w:val="0"/>
        <w:keepLines w:val="0"/>
        <w:pageBreakBefore w:val="0"/>
        <w:widowControl/>
        <w:numPr>
          <w:ilvl w:val="0"/>
          <w:numId w:val="7"/>
        </w:numPr>
        <w:kinsoku/>
        <w:wordWrap/>
        <w:overflowPunct/>
        <w:topLinePunct w:val="0"/>
        <w:autoSpaceDE/>
        <w:autoSpaceDN/>
        <w:bidi w:val="0"/>
        <w:adjustRightInd/>
        <w:snapToGrid w:val="0"/>
        <w:spacing w:before="0" w:beforeAutospacing="0" w:after="0" w:afterAutospacing="0" w:line="360" w:lineRule="auto"/>
        <w:rPr>
          <w:rFonts w:ascii="Arial" w:hAnsi="Arial"/>
          <w:color w:val="000000"/>
          <w:sz w:val="21"/>
          <w:szCs w:val="28"/>
          <w:highlight w:val="none"/>
        </w:rPr>
      </w:pPr>
      <w:r>
        <w:rPr>
          <w:rFonts w:hint="eastAsia" w:ascii="Arial" w:hAnsi="Arial"/>
          <w:color w:val="000000"/>
          <w:sz w:val="21"/>
          <w:szCs w:val="28"/>
          <w:highlight w:val="none"/>
        </w:rPr>
        <w:t>不可抗力事件发生后，应立即通知对方，并寄送有关权威机构出具的证明。</w:t>
      </w:r>
    </w:p>
    <w:p w14:paraId="6806A5A4">
      <w:pPr>
        <w:pStyle w:val="23"/>
        <w:keepNext w:val="0"/>
        <w:keepLines w:val="0"/>
        <w:pageBreakBefore w:val="0"/>
        <w:widowControl/>
        <w:numPr>
          <w:ilvl w:val="0"/>
          <w:numId w:val="7"/>
        </w:numPr>
        <w:kinsoku/>
        <w:wordWrap/>
        <w:overflowPunct/>
        <w:topLinePunct w:val="0"/>
        <w:autoSpaceDE/>
        <w:autoSpaceDN/>
        <w:bidi w:val="0"/>
        <w:adjustRightInd/>
        <w:snapToGrid w:val="0"/>
        <w:spacing w:before="0" w:beforeAutospacing="0" w:after="0" w:afterAutospacing="0" w:line="360" w:lineRule="auto"/>
        <w:rPr>
          <w:rFonts w:ascii="Arial" w:hAnsi="Arial"/>
          <w:color w:val="000000"/>
          <w:sz w:val="21"/>
          <w:szCs w:val="28"/>
          <w:highlight w:val="none"/>
        </w:rPr>
      </w:pPr>
      <w:r>
        <w:rPr>
          <w:rFonts w:hint="eastAsia" w:ascii="Arial" w:hAnsi="Arial"/>
          <w:color w:val="000000"/>
          <w:sz w:val="21"/>
          <w:szCs w:val="28"/>
          <w:highlight w:val="none"/>
        </w:rPr>
        <w:t>不可抗力事件延续120天以上，双方应通过友好协商，确定是否继续履行合同。</w:t>
      </w:r>
    </w:p>
    <w:p w14:paraId="05D7CBC0">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rPr>
      </w:pPr>
    </w:p>
    <w:p w14:paraId="5A0AB409">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rPr>
      </w:pPr>
      <w:r>
        <w:rPr>
          <w:rFonts w:hint="eastAsia" w:ascii="Arial" w:hAnsi="Arial"/>
          <w:b/>
          <w:bCs/>
          <w:color w:val="000000"/>
          <w:sz w:val="21"/>
          <w:szCs w:val="21"/>
          <w:highlight w:val="none"/>
        </w:rPr>
        <w:t>十</w:t>
      </w:r>
      <w:r>
        <w:rPr>
          <w:rFonts w:hint="eastAsia" w:ascii="Arial" w:hAnsi="Arial"/>
          <w:b/>
          <w:bCs/>
          <w:color w:val="000000"/>
          <w:sz w:val="21"/>
          <w:szCs w:val="21"/>
          <w:highlight w:val="none"/>
          <w:lang w:val="en-US" w:eastAsia="zh-CN"/>
        </w:rPr>
        <w:t>一</w:t>
      </w:r>
      <w:r>
        <w:rPr>
          <w:rFonts w:hint="eastAsia" w:ascii="Arial" w:hAnsi="Arial"/>
          <w:b/>
          <w:bCs/>
          <w:color w:val="000000"/>
          <w:sz w:val="21"/>
          <w:szCs w:val="21"/>
          <w:highlight w:val="none"/>
        </w:rPr>
        <w:t>、附则</w:t>
      </w:r>
    </w:p>
    <w:p w14:paraId="1DA20220">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rPr>
          <w:rFonts w:ascii="Arial" w:hAnsi="Arial"/>
          <w:color w:val="000000"/>
          <w:szCs w:val="28"/>
          <w:highlight w:val="none"/>
        </w:rPr>
      </w:pPr>
      <w:r>
        <w:rPr>
          <w:rFonts w:hint="eastAsia" w:ascii="Arial" w:hAnsi="Arial"/>
          <w:color w:val="000000"/>
          <w:szCs w:val="28"/>
          <w:highlight w:val="none"/>
        </w:rPr>
        <w:t>1、本合同考核办法及招标文件、乙方投标文件及投标澄清或承诺，作为合同附件，对合同条款具有补充作用，具有同等法律效力。</w:t>
      </w:r>
    </w:p>
    <w:p w14:paraId="59A89888">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rPr>
          <w:rFonts w:ascii="Arial" w:hAnsi="Arial"/>
          <w:color w:val="000000"/>
          <w:szCs w:val="28"/>
          <w:highlight w:val="none"/>
        </w:rPr>
      </w:pPr>
      <w:r>
        <w:rPr>
          <w:rFonts w:ascii="Arial" w:hAnsi="Arial"/>
          <w:color w:val="000000"/>
          <w:szCs w:val="28"/>
          <w:highlight w:val="none"/>
        </w:rPr>
        <w:t>2</w:t>
      </w:r>
      <w:r>
        <w:rPr>
          <w:rFonts w:hint="eastAsia" w:ascii="Arial" w:hAnsi="Arial"/>
          <w:color w:val="000000"/>
          <w:szCs w:val="28"/>
          <w:highlight w:val="none"/>
        </w:rPr>
        <w:t>、未尽事宜，甲乙双方协商解决，并签订书面补充协议。补充协议与本合同具有同等效力。</w:t>
      </w:r>
    </w:p>
    <w:p w14:paraId="2FA1616D">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rPr>
      </w:pPr>
    </w:p>
    <w:p w14:paraId="26025151">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rPr>
      </w:pPr>
      <w:r>
        <w:rPr>
          <w:rFonts w:hint="eastAsia" w:ascii="Arial" w:hAnsi="Arial"/>
          <w:b/>
          <w:bCs/>
          <w:color w:val="000000"/>
          <w:sz w:val="21"/>
          <w:szCs w:val="21"/>
          <w:highlight w:val="none"/>
        </w:rPr>
        <w:t>十</w:t>
      </w:r>
      <w:r>
        <w:rPr>
          <w:rFonts w:hint="eastAsia" w:ascii="Arial" w:hAnsi="Arial"/>
          <w:b/>
          <w:bCs/>
          <w:color w:val="000000"/>
          <w:sz w:val="21"/>
          <w:szCs w:val="21"/>
          <w:highlight w:val="none"/>
          <w:lang w:val="en-US" w:eastAsia="zh-CN"/>
        </w:rPr>
        <w:t>二</w:t>
      </w:r>
      <w:r>
        <w:rPr>
          <w:rFonts w:hint="eastAsia" w:ascii="Arial" w:hAnsi="Arial"/>
          <w:b/>
          <w:bCs/>
          <w:color w:val="000000"/>
          <w:sz w:val="21"/>
          <w:szCs w:val="21"/>
          <w:highlight w:val="none"/>
        </w:rPr>
        <w:t>、诉讼</w:t>
      </w:r>
    </w:p>
    <w:p w14:paraId="64AF7DF1">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rPr>
          <w:rFonts w:hint="eastAsia" w:ascii="Arial" w:hAnsi="Arial"/>
          <w:color w:val="000000"/>
          <w:szCs w:val="28"/>
          <w:highlight w:val="none"/>
        </w:rPr>
      </w:pPr>
      <w:r>
        <w:rPr>
          <w:rFonts w:hint="eastAsia" w:ascii="Arial" w:hAnsi="Arial"/>
          <w:color w:val="000000"/>
          <w:szCs w:val="28"/>
          <w:highlight w:val="none"/>
        </w:rPr>
        <w:t>双方在执行合同中所发生的一切争议，应通过协商解决。如协商不成，可向甲方所在地法院起诉。</w:t>
      </w:r>
    </w:p>
    <w:p w14:paraId="66689B46">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rPr>
      </w:pPr>
    </w:p>
    <w:p w14:paraId="6CC86486">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rPr>
          <w:rFonts w:hint="eastAsia" w:ascii="Arial" w:hAnsi="Arial"/>
          <w:b/>
          <w:bCs/>
          <w:color w:val="000000"/>
          <w:sz w:val="21"/>
          <w:szCs w:val="21"/>
          <w:highlight w:val="none"/>
        </w:rPr>
      </w:pPr>
      <w:r>
        <w:rPr>
          <w:rFonts w:hint="eastAsia" w:ascii="Arial" w:hAnsi="Arial"/>
          <w:b/>
          <w:bCs/>
          <w:color w:val="000000"/>
          <w:sz w:val="21"/>
          <w:szCs w:val="21"/>
          <w:highlight w:val="none"/>
        </w:rPr>
        <w:t>十</w:t>
      </w:r>
      <w:r>
        <w:rPr>
          <w:rFonts w:hint="eastAsia" w:ascii="Arial" w:hAnsi="Arial"/>
          <w:b/>
          <w:bCs/>
          <w:color w:val="000000"/>
          <w:sz w:val="21"/>
          <w:szCs w:val="21"/>
          <w:highlight w:val="none"/>
          <w:lang w:val="en-US" w:eastAsia="zh-CN"/>
        </w:rPr>
        <w:t>三</w:t>
      </w:r>
      <w:r>
        <w:rPr>
          <w:rFonts w:hint="eastAsia" w:ascii="Arial" w:hAnsi="Arial"/>
          <w:b/>
          <w:bCs/>
          <w:color w:val="000000"/>
          <w:sz w:val="21"/>
          <w:szCs w:val="21"/>
          <w:highlight w:val="none"/>
        </w:rPr>
        <w:t>、合同生效及其它</w:t>
      </w:r>
    </w:p>
    <w:p w14:paraId="6A55439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rPr>
          <w:rFonts w:hint="eastAsia" w:ascii="Arial" w:hAnsi="Arial"/>
          <w:color w:val="000000"/>
          <w:szCs w:val="28"/>
          <w:highlight w:val="none"/>
        </w:rPr>
      </w:pPr>
      <w:r>
        <w:rPr>
          <w:rFonts w:hint="eastAsia" w:ascii="Arial" w:hAnsi="Arial"/>
          <w:color w:val="000000"/>
          <w:szCs w:val="28"/>
          <w:highlight w:val="none"/>
        </w:rPr>
        <w:t>1、合同经双方法定代表人（负责人）或授权代表签字并加盖单位公章后生效。</w:t>
      </w:r>
    </w:p>
    <w:p w14:paraId="2556BFD5">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rPr>
          <w:rFonts w:hint="eastAsia" w:ascii="Arial" w:hAnsi="Arial"/>
          <w:color w:val="000000"/>
          <w:szCs w:val="28"/>
          <w:highlight w:val="none"/>
        </w:rPr>
      </w:pPr>
      <w:r>
        <w:rPr>
          <w:rFonts w:hint="eastAsia" w:ascii="Arial" w:hAnsi="Arial"/>
          <w:color w:val="000000"/>
          <w:szCs w:val="28"/>
          <w:highlight w:val="none"/>
        </w:rPr>
        <w:t>2、合同执行中涉及采购资金和采购内容修改或补充的，须经财政部门审批，并签书面补充协议报政府采购监督管理部门备案，方可作为主合同不可分割的一部分。</w:t>
      </w:r>
    </w:p>
    <w:p w14:paraId="5C5C4069">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rPr>
          <w:rFonts w:hint="eastAsia" w:ascii="Arial" w:hAnsi="Arial"/>
          <w:color w:val="000000"/>
          <w:szCs w:val="28"/>
          <w:highlight w:val="none"/>
        </w:rPr>
      </w:pPr>
      <w:r>
        <w:rPr>
          <w:rFonts w:hint="eastAsia" w:ascii="Arial" w:hAnsi="Arial"/>
          <w:color w:val="000000"/>
          <w:szCs w:val="28"/>
          <w:highlight w:val="none"/>
        </w:rPr>
        <w:t>3、本合同一式</w:t>
      </w:r>
      <w:r>
        <w:rPr>
          <w:rFonts w:hint="eastAsia" w:ascii="Arial" w:hAnsi="Arial"/>
          <w:color w:val="000000"/>
          <w:szCs w:val="28"/>
          <w:highlight w:val="none"/>
          <w:lang w:val="en-US"/>
        </w:rPr>
        <w:t>八</w:t>
      </w:r>
      <w:r>
        <w:rPr>
          <w:rFonts w:hint="eastAsia" w:ascii="Arial" w:hAnsi="Arial"/>
          <w:color w:val="000000"/>
          <w:szCs w:val="28"/>
          <w:highlight w:val="none"/>
        </w:rPr>
        <w:t>份，具有同等法律效力，甲方执</w:t>
      </w:r>
      <w:r>
        <w:rPr>
          <w:rFonts w:hint="eastAsia" w:ascii="Arial" w:hAnsi="Arial"/>
          <w:color w:val="000000"/>
          <w:szCs w:val="28"/>
          <w:highlight w:val="none"/>
          <w:lang w:val="en-US"/>
        </w:rPr>
        <w:t>四</w:t>
      </w:r>
      <w:r>
        <w:rPr>
          <w:rFonts w:hint="eastAsia" w:ascii="Arial" w:hAnsi="Arial"/>
          <w:color w:val="000000"/>
          <w:szCs w:val="28"/>
          <w:highlight w:val="none"/>
        </w:rPr>
        <w:t>份，</w:t>
      </w:r>
      <w:r>
        <w:rPr>
          <w:rFonts w:hint="eastAsia" w:ascii="Arial" w:hAnsi="Arial"/>
          <w:color w:val="000000"/>
          <w:szCs w:val="28"/>
          <w:highlight w:val="none"/>
          <w:lang w:val="en-US"/>
        </w:rPr>
        <w:t>乙方执四份</w:t>
      </w:r>
      <w:r>
        <w:rPr>
          <w:rFonts w:hint="eastAsia" w:ascii="Arial" w:hAnsi="Arial"/>
          <w:color w:val="000000"/>
          <w:szCs w:val="28"/>
          <w:highlight w:val="none"/>
        </w:rPr>
        <w:t>。</w:t>
      </w:r>
    </w:p>
    <w:p w14:paraId="179185DC">
      <w:pPr>
        <w:widowControl/>
        <w:snapToGrid w:val="0"/>
        <w:spacing w:line="360" w:lineRule="auto"/>
        <w:ind w:firstLine="420" w:firstLineChars="200"/>
        <w:rPr>
          <w:rFonts w:hint="eastAsia"/>
          <w:color w:val="000000"/>
          <w:sz w:val="21"/>
          <w:szCs w:val="21"/>
          <w:highlight w:val="none"/>
          <w:lang w:bidi="ar-SA"/>
        </w:rPr>
      </w:pPr>
    </w:p>
    <w:p w14:paraId="324852EE">
      <w:pPr>
        <w:widowControl/>
        <w:snapToGrid w:val="0"/>
        <w:spacing w:line="360" w:lineRule="auto"/>
        <w:ind w:firstLine="420" w:firstLineChars="200"/>
        <w:rPr>
          <w:rFonts w:hint="eastAsia"/>
          <w:color w:val="000000"/>
          <w:sz w:val="21"/>
          <w:szCs w:val="21"/>
          <w:highlight w:val="none"/>
          <w:lang w:bidi="ar-SA"/>
        </w:rPr>
      </w:pPr>
    </w:p>
    <w:p w14:paraId="64187FFD">
      <w:pPr>
        <w:widowControl/>
        <w:snapToGrid w:val="0"/>
        <w:spacing w:line="360" w:lineRule="auto"/>
        <w:ind w:firstLine="420" w:firstLineChars="200"/>
        <w:rPr>
          <w:rFonts w:cs="Times New Roman"/>
          <w:color w:val="000000"/>
          <w:sz w:val="21"/>
          <w:szCs w:val="21"/>
          <w:highlight w:val="none"/>
          <w:lang w:bidi="ar-SA"/>
        </w:rPr>
      </w:pPr>
      <w:r>
        <w:rPr>
          <w:rFonts w:hint="eastAsia"/>
          <w:color w:val="000000"/>
          <w:sz w:val="21"/>
          <w:szCs w:val="21"/>
          <w:highlight w:val="none"/>
          <w:lang w:bidi="ar-SA"/>
        </w:rPr>
        <w:t xml:space="preserve">甲方： </w:t>
      </w:r>
      <w:r>
        <w:rPr>
          <w:color w:val="000000"/>
          <w:sz w:val="21"/>
          <w:szCs w:val="21"/>
          <w:highlight w:val="none"/>
          <w:lang w:bidi="ar-SA"/>
        </w:rPr>
        <w:t xml:space="preserve">                                 </w:t>
      </w:r>
      <w:r>
        <w:rPr>
          <w:rFonts w:hint="eastAsia" w:cs="Times New Roman"/>
          <w:color w:val="000000"/>
          <w:sz w:val="21"/>
          <w:szCs w:val="21"/>
          <w:highlight w:val="none"/>
          <w:lang w:bidi="ar-SA"/>
        </w:rPr>
        <w:t>乙方：</w:t>
      </w:r>
    </w:p>
    <w:p w14:paraId="78242924">
      <w:pPr>
        <w:widowControl/>
        <w:overflowPunct w:val="0"/>
        <w:adjustRightInd w:val="0"/>
        <w:snapToGrid w:val="0"/>
        <w:spacing w:line="360" w:lineRule="auto"/>
        <w:ind w:firstLine="420" w:firstLineChars="200"/>
        <w:textAlignment w:val="baseline"/>
        <w:rPr>
          <w:color w:val="000000"/>
          <w:sz w:val="21"/>
          <w:szCs w:val="21"/>
          <w:highlight w:val="none"/>
          <w:lang w:bidi="ar-SA"/>
        </w:rPr>
      </w:pPr>
      <w:r>
        <w:rPr>
          <w:rFonts w:hint="eastAsia"/>
          <w:color w:val="000000"/>
          <w:sz w:val="21"/>
          <w:szCs w:val="21"/>
          <w:highlight w:val="none"/>
          <w:lang w:bidi="ar-SA"/>
        </w:rPr>
        <w:t xml:space="preserve">地址： </w:t>
      </w:r>
      <w:r>
        <w:rPr>
          <w:color w:val="000000"/>
          <w:sz w:val="21"/>
          <w:szCs w:val="21"/>
          <w:highlight w:val="none"/>
          <w:lang w:bidi="ar-SA"/>
        </w:rPr>
        <w:t xml:space="preserve">                                 </w:t>
      </w:r>
      <w:r>
        <w:rPr>
          <w:rFonts w:hint="eastAsia"/>
          <w:color w:val="000000"/>
          <w:sz w:val="21"/>
          <w:szCs w:val="21"/>
          <w:highlight w:val="none"/>
          <w:lang w:bidi="ar-SA"/>
        </w:rPr>
        <w:t xml:space="preserve">地址： </w:t>
      </w:r>
      <w:r>
        <w:rPr>
          <w:color w:val="000000"/>
          <w:sz w:val="21"/>
          <w:szCs w:val="21"/>
          <w:highlight w:val="none"/>
          <w:lang w:bidi="ar-SA"/>
        </w:rPr>
        <w:t xml:space="preserve">     </w:t>
      </w:r>
    </w:p>
    <w:p w14:paraId="633BC2CB">
      <w:pPr>
        <w:widowControl/>
        <w:overflowPunct w:val="0"/>
        <w:adjustRightInd w:val="0"/>
        <w:snapToGrid w:val="0"/>
        <w:spacing w:line="360" w:lineRule="auto"/>
        <w:ind w:firstLine="420" w:firstLineChars="200"/>
        <w:textAlignment w:val="baseline"/>
        <w:rPr>
          <w:rFonts w:hint="eastAsia"/>
          <w:color w:val="000000"/>
          <w:sz w:val="21"/>
          <w:szCs w:val="21"/>
          <w:highlight w:val="none"/>
          <w:lang w:bidi="ar-SA"/>
        </w:rPr>
      </w:pPr>
      <w:r>
        <w:rPr>
          <w:rFonts w:hint="eastAsia"/>
          <w:color w:val="000000"/>
          <w:sz w:val="21"/>
          <w:szCs w:val="21"/>
          <w:highlight w:val="none"/>
          <w:lang w:bidi="ar-SA"/>
        </w:rPr>
        <w:t xml:space="preserve">法定（授权）代表人： </w:t>
      </w:r>
      <w:r>
        <w:rPr>
          <w:color w:val="000000"/>
          <w:sz w:val="21"/>
          <w:szCs w:val="21"/>
          <w:highlight w:val="none"/>
          <w:lang w:bidi="ar-SA"/>
        </w:rPr>
        <w:t xml:space="preserve">                   </w:t>
      </w:r>
      <w:r>
        <w:rPr>
          <w:rFonts w:hint="eastAsia"/>
          <w:color w:val="000000"/>
          <w:sz w:val="21"/>
          <w:szCs w:val="21"/>
          <w:highlight w:val="none"/>
          <w:lang w:bidi="ar-SA"/>
        </w:rPr>
        <w:t>法定代表人</w:t>
      </w:r>
      <w:r>
        <w:rPr>
          <w:rFonts w:hint="eastAsia" w:ascii="宋体" w:hAnsi="宋体"/>
          <w:szCs w:val="21"/>
          <w:highlight w:val="none"/>
        </w:rPr>
        <w:t>（负责人）</w:t>
      </w:r>
      <w:r>
        <w:rPr>
          <w:rFonts w:hint="eastAsia"/>
          <w:color w:val="000000"/>
          <w:sz w:val="21"/>
          <w:szCs w:val="21"/>
          <w:highlight w:val="none"/>
          <w:lang w:bidi="ar-SA"/>
        </w:rPr>
        <w:t>或委托代理人：</w:t>
      </w:r>
    </w:p>
    <w:p w14:paraId="416D942C">
      <w:pPr>
        <w:widowControl/>
        <w:overflowPunct w:val="0"/>
        <w:adjustRightInd w:val="0"/>
        <w:snapToGrid w:val="0"/>
        <w:spacing w:line="360" w:lineRule="auto"/>
        <w:ind w:firstLine="420" w:firstLineChars="200"/>
        <w:textAlignment w:val="baseline"/>
        <w:rPr>
          <w:color w:val="000000"/>
          <w:sz w:val="21"/>
          <w:szCs w:val="21"/>
          <w:highlight w:val="none"/>
          <w:lang w:bidi="ar-SA"/>
        </w:rPr>
      </w:pPr>
      <w:r>
        <w:rPr>
          <w:rFonts w:hint="eastAsia"/>
          <w:color w:val="000000"/>
          <w:sz w:val="21"/>
          <w:szCs w:val="21"/>
          <w:highlight w:val="none"/>
          <w:lang w:bidi="ar-SA"/>
        </w:rPr>
        <w:t>签字日期：</w:t>
      </w:r>
      <w:r>
        <w:rPr>
          <w:color w:val="000000"/>
          <w:sz w:val="21"/>
          <w:szCs w:val="21"/>
          <w:highlight w:val="none"/>
          <w:lang w:bidi="ar-SA"/>
        </w:rPr>
        <w:t xml:space="preserve">      年  月  日</w:t>
      </w:r>
      <w:r>
        <w:rPr>
          <w:color w:val="000000"/>
          <w:sz w:val="21"/>
          <w:szCs w:val="21"/>
          <w:highlight w:val="none"/>
          <w:lang w:bidi="ar-SA"/>
        </w:rPr>
        <w:tab/>
      </w:r>
      <w:r>
        <w:rPr>
          <w:color w:val="000000"/>
          <w:sz w:val="21"/>
          <w:szCs w:val="21"/>
          <w:highlight w:val="none"/>
          <w:lang w:bidi="ar-SA"/>
        </w:rPr>
        <w:t xml:space="preserve">            签字日期：      年  月  日</w:t>
      </w:r>
    </w:p>
    <w:p w14:paraId="6E481D92">
      <w:pPr>
        <w:rPr>
          <w:highlight w:val="none"/>
        </w:rPr>
      </w:pPr>
      <w:r>
        <w:rPr>
          <w:highlight w:val="none"/>
        </w:rPr>
        <w:br w:type="page"/>
      </w:r>
    </w:p>
    <w:p w14:paraId="44EADEC3">
      <w:pPr>
        <w:pStyle w:val="43"/>
        <w:rPr>
          <w:rFonts w:hint="default" w:eastAsia="宋体"/>
          <w:b/>
          <w:bCs/>
          <w:highlight w:val="none"/>
          <w:lang w:val="en-US" w:eastAsia="zh-CN"/>
        </w:rPr>
      </w:pPr>
      <w:r>
        <w:rPr>
          <w:rFonts w:hint="eastAsia"/>
          <w:b/>
          <w:bCs/>
          <w:highlight w:val="none"/>
          <w:lang w:val="en-US" w:eastAsia="zh-CN"/>
        </w:rPr>
        <w:t>附件6</w:t>
      </w:r>
    </w:p>
    <w:p w14:paraId="36C981FE">
      <w:pPr>
        <w:rPr>
          <w:highlight w:val="none"/>
        </w:rPr>
      </w:pPr>
    </w:p>
    <w:p w14:paraId="5CFED290">
      <w:pPr>
        <w:bidi w:val="0"/>
        <w:jc w:val="center"/>
        <w:rPr>
          <w:rFonts w:hint="eastAsia" w:ascii="Arial" w:hAnsi="Arial"/>
          <w:b/>
          <w:bCs/>
          <w:color w:val="auto"/>
          <w:sz w:val="24"/>
          <w:szCs w:val="24"/>
          <w:highlight w:val="none"/>
          <w:u w:val="none"/>
          <w:lang w:val="en-US" w:eastAsia="zh-CN"/>
        </w:rPr>
      </w:pPr>
      <w:r>
        <w:rPr>
          <w:rFonts w:hint="eastAsia" w:ascii="Arial" w:hAnsi="Arial"/>
          <w:b/>
          <w:bCs/>
          <w:color w:val="auto"/>
          <w:sz w:val="24"/>
          <w:szCs w:val="24"/>
          <w:highlight w:val="none"/>
          <w:u w:val="none"/>
          <w:lang w:eastAsia="zh-CN"/>
        </w:rPr>
        <w:t>2026年-2028年鄞州区下应、潘火、首南三街道道路桥梁日常养护</w:t>
      </w:r>
      <w:r>
        <w:rPr>
          <w:rFonts w:hint="eastAsia" w:ascii="Arial" w:hAnsi="Arial"/>
          <w:b/>
          <w:bCs/>
          <w:color w:val="auto"/>
          <w:sz w:val="24"/>
          <w:szCs w:val="24"/>
          <w:highlight w:val="none"/>
          <w:u w:val="none"/>
          <w:lang w:val="en-US" w:eastAsia="zh-CN"/>
        </w:rPr>
        <w:t>及保险项目</w:t>
      </w:r>
    </w:p>
    <w:p w14:paraId="2FC06FD6">
      <w:pPr>
        <w:bidi w:val="0"/>
        <w:jc w:val="center"/>
        <w:rPr>
          <w:rFonts w:hint="default" w:eastAsia="宋体"/>
          <w:b/>
          <w:bCs/>
          <w:color w:val="auto"/>
          <w:sz w:val="24"/>
          <w:szCs w:val="24"/>
          <w:highlight w:val="none"/>
          <w:u w:val="none"/>
          <w:lang w:val="en-US" w:eastAsia="zh-CN"/>
        </w:rPr>
      </w:pPr>
      <w:r>
        <w:rPr>
          <w:rFonts w:hint="eastAsia" w:ascii="Arial" w:hAnsi="Arial"/>
          <w:b/>
          <w:bCs/>
          <w:color w:val="auto"/>
          <w:sz w:val="24"/>
          <w:szCs w:val="24"/>
          <w:highlight w:val="none"/>
          <w:u w:val="none"/>
          <w:lang w:val="en-US" w:eastAsia="zh-CN"/>
        </w:rPr>
        <w:t>三方协议</w:t>
      </w:r>
    </w:p>
    <w:p w14:paraId="606706E9">
      <w:pPr>
        <w:keepNext w:val="0"/>
        <w:keepLines w:val="0"/>
        <w:pageBreakBefore w:val="0"/>
        <w:kinsoku/>
        <w:wordWrap/>
        <w:topLinePunct w:val="0"/>
        <w:autoSpaceDE/>
        <w:autoSpaceDN/>
        <w:bidi w:val="0"/>
        <w:spacing w:line="360" w:lineRule="auto"/>
        <w:rPr>
          <w:rFonts w:hint="eastAsia"/>
          <w:color w:val="auto"/>
          <w:highlight w:val="none"/>
        </w:rPr>
      </w:pPr>
    </w:p>
    <w:p w14:paraId="59583BCC">
      <w:pPr>
        <w:pStyle w:val="23"/>
        <w:keepNext w:val="0"/>
        <w:keepLines w:val="0"/>
        <w:pageBreakBefore w:val="0"/>
        <w:widowControl/>
        <w:kinsoku/>
        <w:wordWrap/>
        <w:topLinePunct w:val="0"/>
        <w:autoSpaceDE/>
        <w:autoSpaceDN/>
        <w:bidi w:val="0"/>
        <w:snapToGrid w:val="0"/>
        <w:spacing w:before="0" w:beforeAutospacing="0" w:after="0" w:afterAutospacing="0" w:line="360" w:lineRule="auto"/>
        <w:rPr>
          <w:rFonts w:hint="eastAsia" w:ascii="Arial" w:hAnsi="Arial" w:eastAsia="宋体"/>
          <w:color w:val="auto"/>
          <w:sz w:val="21"/>
          <w:szCs w:val="21"/>
          <w:highlight w:val="none"/>
          <w:lang w:eastAsia="zh-CN"/>
        </w:rPr>
      </w:pPr>
      <w:r>
        <w:rPr>
          <w:rFonts w:hint="eastAsia" w:ascii="Arial" w:hAnsi="Arial"/>
          <w:color w:val="auto"/>
          <w:sz w:val="21"/>
          <w:szCs w:val="21"/>
          <w:highlight w:val="none"/>
        </w:rPr>
        <w:t>甲方：</w:t>
      </w:r>
      <w:r>
        <w:rPr>
          <w:rFonts w:hint="eastAsia" w:ascii="Arial" w:hAnsi="Arial"/>
          <w:color w:val="auto"/>
          <w:sz w:val="21"/>
          <w:szCs w:val="21"/>
          <w:highlight w:val="none"/>
          <w:u w:val="single"/>
        </w:rPr>
        <w:t xml:space="preserve"> </w:t>
      </w:r>
      <w:r>
        <w:rPr>
          <w:rFonts w:hint="eastAsia" w:ascii="Arial" w:hAnsi="Arial"/>
          <w:color w:val="auto"/>
          <w:sz w:val="21"/>
          <w:szCs w:val="21"/>
          <w:highlight w:val="none"/>
          <w:u w:val="single"/>
          <w:lang w:val="en-US" w:eastAsia="zh-CN"/>
        </w:rPr>
        <w:t xml:space="preserve">                                  </w:t>
      </w:r>
      <w:r>
        <w:rPr>
          <w:rFonts w:hint="eastAsia" w:ascii="Arial" w:hAnsi="Arial"/>
          <w:color w:val="auto"/>
          <w:sz w:val="21"/>
          <w:szCs w:val="21"/>
          <w:highlight w:val="none"/>
          <w:u w:val="single"/>
        </w:rPr>
        <w:t xml:space="preserve">   </w:t>
      </w:r>
      <w:r>
        <w:rPr>
          <w:rFonts w:hint="eastAsia" w:ascii="Arial" w:hAnsi="Arial"/>
          <w:color w:val="auto"/>
          <w:sz w:val="21"/>
          <w:szCs w:val="21"/>
          <w:highlight w:val="none"/>
          <w:u w:val="single"/>
          <w:lang w:eastAsia="zh-CN"/>
        </w:rPr>
        <w:t>（</w:t>
      </w:r>
      <w:r>
        <w:rPr>
          <w:rFonts w:hint="eastAsia" w:ascii="Arial" w:hAnsi="Arial"/>
          <w:color w:val="auto"/>
          <w:sz w:val="21"/>
          <w:szCs w:val="21"/>
          <w:highlight w:val="none"/>
          <w:u w:val="single"/>
          <w:lang w:val="en-US" w:eastAsia="zh-CN"/>
        </w:rPr>
        <w:t>采购人</w:t>
      </w:r>
      <w:r>
        <w:rPr>
          <w:rFonts w:hint="eastAsia" w:ascii="Arial" w:hAnsi="Arial"/>
          <w:color w:val="auto"/>
          <w:sz w:val="21"/>
          <w:szCs w:val="21"/>
          <w:highlight w:val="none"/>
          <w:u w:val="single"/>
          <w:lang w:eastAsia="zh-CN"/>
        </w:rPr>
        <w:t>）</w:t>
      </w:r>
    </w:p>
    <w:p w14:paraId="21E26C1B">
      <w:pPr>
        <w:pStyle w:val="23"/>
        <w:keepNext w:val="0"/>
        <w:keepLines w:val="0"/>
        <w:pageBreakBefore w:val="0"/>
        <w:widowControl/>
        <w:kinsoku/>
        <w:wordWrap/>
        <w:topLinePunct w:val="0"/>
        <w:autoSpaceDE/>
        <w:autoSpaceDN/>
        <w:bidi w:val="0"/>
        <w:snapToGrid w:val="0"/>
        <w:spacing w:before="0" w:beforeAutospacing="0" w:after="0" w:afterAutospacing="0" w:line="360" w:lineRule="auto"/>
        <w:rPr>
          <w:rFonts w:hint="eastAsia" w:ascii="Arial" w:hAnsi="Arial"/>
          <w:color w:val="auto"/>
          <w:sz w:val="21"/>
          <w:szCs w:val="21"/>
          <w:highlight w:val="none"/>
          <w:u w:val="single"/>
        </w:rPr>
      </w:pPr>
      <w:r>
        <w:rPr>
          <w:rFonts w:hint="eastAsia" w:ascii="Arial" w:hAnsi="Arial"/>
          <w:color w:val="auto"/>
          <w:sz w:val="21"/>
          <w:szCs w:val="21"/>
          <w:highlight w:val="none"/>
        </w:rPr>
        <w:t>乙方：</w:t>
      </w:r>
      <w:r>
        <w:rPr>
          <w:rFonts w:hint="eastAsia" w:ascii="Arial" w:hAnsi="Arial"/>
          <w:color w:val="auto"/>
          <w:sz w:val="21"/>
          <w:szCs w:val="21"/>
          <w:highlight w:val="none"/>
          <w:u w:val="single"/>
        </w:rPr>
        <w:t xml:space="preserve">                        </w:t>
      </w:r>
      <w:r>
        <w:rPr>
          <w:rFonts w:hint="eastAsia" w:ascii="Arial" w:hAnsi="Arial"/>
          <w:color w:val="auto"/>
          <w:sz w:val="21"/>
          <w:szCs w:val="21"/>
          <w:highlight w:val="none"/>
          <w:u w:val="single"/>
          <w:lang w:val="en-US" w:eastAsia="zh-CN"/>
        </w:rPr>
        <w:t xml:space="preserve">        </w:t>
      </w:r>
      <w:r>
        <w:rPr>
          <w:rFonts w:hint="eastAsia" w:ascii="Arial" w:hAnsi="Arial"/>
          <w:color w:val="auto"/>
          <w:sz w:val="21"/>
          <w:szCs w:val="21"/>
          <w:highlight w:val="none"/>
          <w:u w:val="single"/>
        </w:rPr>
        <w:t xml:space="preserve">      （中标人）</w:t>
      </w:r>
    </w:p>
    <w:p w14:paraId="1EDB5FB2">
      <w:pPr>
        <w:keepNext w:val="0"/>
        <w:keepLines w:val="0"/>
        <w:pageBreakBefore w:val="0"/>
        <w:kinsoku/>
        <w:wordWrap/>
        <w:topLinePunct w:val="0"/>
        <w:autoSpaceDE/>
        <w:autoSpaceDN/>
        <w:bidi w:val="0"/>
        <w:spacing w:line="360" w:lineRule="auto"/>
        <w:rPr>
          <w:rFonts w:hint="default"/>
          <w:color w:val="auto"/>
          <w:highlight w:val="none"/>
          <w:lang w:val="en-US" w:eastAsia="zh-CN"/>
        </w:rPr>
      </w:pPr>
      <w:r>
        <w:rPr>
          <w:rFonts w:hint="eastAsia"/>
          <w:color w:val="auto"/>
          <w:highlight w:val="none"/>
          <w:lang w:val="en-US" w:eastAsia="zh-CN"/>
        </w:rPr>
        <w:t>丙方：</w:t>
      </w:r>
      <w:r>
        <w:rPr>
          <w:rFonts w:hint="eastAsia"/>
          <w:color w:val="auto"/>
          <w:highlight w:val="none"/>
          <w:u w:val="single"/>
          <w:lang w:val="en-US" w:eastAsia="zh-CN"/>
        </w:rPr>
        <w:t xml:space="preserve">                                    </w:t>
      </w:r>
      <w:r>
        <w:rPr>
          <w:rFonts w:hint="eastAsia" w:ascii="Arial" w:hAnsi="Arial"/>
          <w:color w:val="auto"/>
          <w:sz w:val="21"/>
          <w:szCs w:val="21"/>
          <w:highlight w:val="none"/>
          <w:u w:val="single"/>
          <w:lang w:eastAsia="zh-CN"/>
        </w:rPr>
        <w:t>（</w:t>
      </w:r>
      <w:r>
        <w:rPr>
          <w:rFonts w:hint="eastAsia" w:ascii="Arial" w:hAnsi="Arial"/>
          <w:color w:val="auto"/>
          <w:sz w:val="21"/>
          <w:szCs w:val="21"/>
          <w:highlight w:val="none"/>
          <w:u w:val="single"/>
          <w:lang w:val="en-US" w:eastAsia="zh-CN"/>
        </w:rPr>
        <w:t>保险公司</w:t>
      </w:r>
      <w:r>
        <w:rPr>
          <w:rFonts w:hint="eastAsia" w:ascii="Arial" w:hAnsi="Arial"/>
          <w:color w:val="auto"/>
          <w:sz w:val="21"/>
          <w:szCs w:val="21"/>
          <w:highlight w:val="none"/>
          <w:u w:val="single"/>
          <w:lang w:eastAsia="zh-CN"/>
        </w:rPr>
        <w:t>）</w:t>
      </w:r>
    </w:p>
    <w:p w14:paraId="649E922D">
      <w:pPr>
        <w:bidi w:val="0"/>
        <w:rPr>
          <w:rFonts w:hint="eastAsia"/>
          <w:color w:val="auto"/>
          <w:highlight w:val="none"/>
        </w:rPr>
      </w:pPr>
    </w:p>
    <w:p w14:paraId="7F076AA3">
      <w:pPr>
        <w:pStyle w:val="23"/>
        <w:keepNext w:val="0"/>
        <w:keepLines w:val="0"/>
        <w:pageBreakBefore w:val="0"/>
        <w:widowControl/>
        <w:kinsoku/>
        <w:wordWrap/>
        <w:topLinePunct w:val="0"/>
        <w:autoSpaceDE/>
        <w:autoSpaceDN/>
        <w:bidi w:val="0"/>
        <w:snapToGrid w:val="0"/>
        <w:spacing w:before="0" w:beforeAutospacing="0" w:after="0" w:afterAutospacing="0" w:line="360" w:lineRule="auto"/>
        <w:ind w:firstLine="420" w:firstLineChars="200"/>
        <w:rPr>
          <w:rFonts w:hint="eastAsia" w:ascii="Arial" w:hAnsi="Arial"/>
          <w:b/>
          <w:color w:val="auto"/>
          <w:sz w:val="21"/>
          <w:szCs w:val="21"/>
          <w:highlight w:val="none"/>
        </w:rPr>
      </w:pPr>
      <w:r>
        <w:rPr>
          <w:rFonts w:hint="eastAsia" w:ascii="Arial" w:hAnsi="Arial"/>
          <w:color w:val="auto"/>
          <w:sz w:val="21"/>
          <w:szCs w:val="21"/>
          <w:highlight w:val="none"/>
        </w:rPr>
        <w:t>甲、乙</w:t>
      </w:r>
      <w:r>
        <w:rPr>
          <w:rFonts w:hint="eastAsia" w:ascii="Arial" w:hAnsi="Arial"/>
          <w:color w:val="auto"/>
          <w:sz w:val="21"/>
          <w:szCs w:val="21"/>
          <w:highlight w:val="none"/>
          <w:lang w:eastAsia="zh-CN"/>
        </w:rPr>
        <w:t>、</w:t>
      </w:r>
      <w:r>
        <w:rPr>
          <w:rFonts w:hint="eastAsia" w:ascii="Arial" w:hAnsi="Arial"/>
          <w:color w:val="auto"/>
          <w:sz w:val="21"/>
          <w:szCs w:val="21"/>
          <w:highlight w:val="none"/>
          <w:lang w:val="en-US" w:eastAsia="zh-CN"/>
        </w:rPr>
        <w:t>丙三</w:t>
      </w:r>
      <w:r>
        <w:rPr>
          <w:rFonts w:hint="eastAsia" w:ascii="Arial" w:hAnsi="Arial"/>
          <w:color w:val="auto"/>
          <w:sz w:val="21"/>
          <w:szCs w:val="21"/>
          <w:highlight w:val="none"/>
        </w:rPr>
        <w:t>方根据《</w:t>
      </w:r>
      <w:r>
        <w:rPr>
          <w:rFonts w:hint="eastAsia"/>
          <w:bCs/>
          <w:color w:val="auto"/>
          <w:sz w:val="21"/>
          <w:szCs w:val="21"/>
          <w:highlight w:val="none"/>
        </w:rPr>
        <w:t>中华人民共和国民法典</w:t>
      </w:r>
      <w:r>
        <w:rPr>
          <w:rFonts w:hint="eastAsia" w:ascii="Arial" w:hAnsi="Arial"/>
          <w:color w:val="auto"/>
          <w:sz w:val="21"/>
          <w:szCs w:val="21"/>
          <w:highlight w:val="none"/>
        </w:rPr>
        <w:t>》和</w:t>
      </w:r>
      <w:r>
        <w:rPr>
          <w:rFonts w:hint="eastAsia" w:ascii="Arial" w:hAnsi="Arial"/>
          <w:color w:val="auto"/>
          <w:sz w:val="21"/>
          <w:szCs w:val="21"/>
          <w:highlight w:val="none"/>
          <w:u w:val="single"/>
          <w:lang w:eastAsia="zh-CN"/>
        </w:rPr>
        <w:t>2026年-2028年鄞州区下应、潘火、首南三街道道路桥梁日常养护项目</w:t>
      </w:r>
      <w:r>
        <w:rPr>
          <w:rFonts w:hint="eastAsia" w:ascii="Arial" w:hAnsi="Arial"/>
          <w:color w:val="auto"/>
          <w:sz w:val="21"/>
          <w:szCs w:val="21"/>
          <w:highlight w:val="none"/>
          <w:u w:val="single"/>
          <w:lang w:val="en-US" w:eastAsia="zh-CN"/>
        </w:rPr>
        <w:t>及鄞州区下应、首南、潘火街道道路及桥梁养护管理保险服务项目</w:t>
      </w:r>
      <w:r>
        <w:rPr>
          <w:rFonts w:hint="eastAsia" w:ascii="Arial" w:hAnsi="Arial"/>
          <w:color w:val="auto"/>
          <w:sz w:val="21"/>
          <w:szCs w:val="21"/>
          <w:highlight w:val="none"/>
          <w:u w:val="single"/>
        </w:rPr>
        <w:t>公开招标</w:t>
      </w:r>
      <w:r>
        <w:rPr>
          <w:rFonts w:hint="eastAsia" w:ascii="Arial" w:hAnsi="Arial"/>
          <w:color w:val="auto"/>
          <w:sz w:val="21"/>
          <w:szCs w:val="21"/>
          <w:highlight w:val="none"/>
        </w:rPr>
        <w:t>的结果，甲、乙</w:t>
      </w:r>
      <w:r>
        <w:rPr>
          <w:rFonts w:hint="eastAsia" w:ascii="Arial" w:hAnsi="Arial"/>
          <w:color w:val="auto"/>
          <w:sz w:val="21"/>
          <w:szCs w:val="21"/>
          <w:highlight w:val="none"/>
          <w:lang w:eastAsia="zh-CN"/>
        </w:rPr>
        <w:t>、</w:t>
      </w:r>
      <w:r>
        <w:rPr>
          <w:rFonts w:hint="eastAsia" w:ascii="Arial" w:hAnsi="Arial"/>
          <w:color w:val="auto"/>
          <w:sz w:val="21"/>
          <w:szCs w:val="21"/>
          <w:highlight w:val="none"/>
          <w:lang w:val="en-US" w:eastAsia="zh-CN"/>
        </w:rPr>
        <w:t>丙三</w:t>
      </w:r>
      <w:r>
        <w:rPr>
          <w:rFonts w:hint="eastAsia" w:ascii="Arial" w:hAnsi="Arial"/>
          <w:color w:val="auto"/>
          <w:sz w:val="21"/>
          <w:szCs w:val="21"/>
          <w:highlight w:val="none"/>
        </w:rPr>
        <w:t>方在平等的基础上经充分协商，签署本合同。</w:t>
      </w:r>
    </w:p>
    <w:p w14:paraId="444A6F5D">
      <w:pPr>
        <w:pStyle w:val="23"/>
        <w:keepNext w:val="0"/>
        <w:keepLines w:val="0"/>
        <w:pageBreakBefore w:val="0"/>
        <w:widowControl/>
        <w:kinsoku/>
        <w:wordWrap/>
        <w:topLinePunct w:val="0"/>
        <w:autoSpaceDE/>
        <w:autoSpaceDN/>
        <w:bidi w:val="0"/>
        <w:snapToGrid w:val="0"/>
        <w:spacing w:before="0" w:beforeAutospacing="0" w:after="0" w:afterAutospacing="0" w:line="360" w:lineRule="auto"/>
        <w:rPr>
          <w:rFonts w:hint="default" w:ascii="Arial" w:hAnsi="Arial"/>
          <w:b/>
          <w:color w:val="auto"/>
          <w:sz w:val="21"/>
          <w:szCs w:val="21"/>
          <w:highlight w:val="none"/>
          <w:lang w:val="en-US"/>
        </w:rPr>
      </w:pPr>
      <w:r>
        <w:rPr>
          <w:rFonts w:hint="eastAsia" w:ascii="Arial" w:hAnsi="Arial"/>
          <w:b/>
          <w:color w:val="auto"/>
          <w:sz w:val="21"/>
          <w:szCs w:val="21"/>
          <w:highlight w:val="none"/>
        </w:rPr>
        <w:t>一、</w:t>
      </w:r>
      <w:r>
        <w:rPr>
          <w:rFonts w:hint="eastAsia" w:ascii="Arial" w:hAnsi="Arial"/>
          <w:b/>
          <w:color w:val="auto"/>
          <w:sz w:val="21"/>
          <w:szCs w:val="21"/>
          <w:highlight w:val="none"/>
          <w:lang w:val="en-US" w:eastAsia="zh-CN"/>
        </w:rPr>
        <w:t>合同内容</w:t>
      </w:r>
    </w:p>
    <w:p w14:paraId="58C3BEFC">
      <w:pPr>
        <w:keepNext w:val="0"/>
        <w:keepLines w:val="0"/>
        <w:pageBreakBefore w:val="0"/>
        <w:widowControl/>
        <w:kinsoku/>
        <w:wordWrap/>
        <w:topLinePunct w:val="0"/>
        <w:autoSpaceDE/>
        <w:autoSpaceDN/>
        <w:bidi w:val="0"/>
        <w:snapToGrid w:val="0"/>
        <w:spacing w:beforeAutospacing="0" w:afterAutospacing="0" w:line="360" w:lineRule="auto"/>
        <w:ind w:firstLine="420" w:firstLineChars="200"/>
        <w:rPr>
          <w:rFonts w:hint="default" w:hAnsi="Courier New"/>
          <w:color w:val="auto"/>
          <w:sz w:val="21"/>
          <w:szCs w:val="21"/>
          <w:highlight w:val="none"/>
          <w:lang w:val="en-US" w:eastAsia="zh-CN"/>
        </w:rPr>
      </w:pPr>
      <w:r>
        <w:rPr>
          <w:rFonts w:hint="eastAsia" w:hAnsi="Courier New"/>
          <w:color w:val="auto"/>
          <w:sz w:val="21"/>
          <w:szCs w:val="21"/>
          <w:highlight w:val="none"/>
          <w:lang w:val="en-US" w:eastAsia="zh-CN"/>
        </w:rPr>
        <w:t>1.甲方根据</w:t>
      </w:r>
      <w:r>
        <w:rPr>
          <w:rFonts w:hint="eastAsia" w:ascii="Arial" w:hAnsi="Arial"/>
          <w:color w:val="auto"/>
          <w:sz w:val="21"/>
          <w:szCs w:val="21"/>
          <w:highlight w:val="none"/>
          <w:u w:val="single"/>
          <w:lang w:eastAsia="zh-CN"/>
        </w:rPr>
        <w:t>2026年-2028年鄞州区下应、潘火、首南三街道道路桥梁日常养护</w:t>
      </w:r>
      <w:r>
        <w:rPr>
          <w:rFonts w:hint="eastAsia" w:ascii="Arial" w:hAnsi="Arial"/>
          <w:color w:val="auto"/>
          <w:sz w:val="21"/>
          <w:szCs w:val="21"/>
          <w:highlight w:val="none"/>
          <w:u w:val="single"/>
          <w:lang w:val="en-US" w:eastAsia="zh-CN"/>
        </w:rPr>
        <w:t>合同</w:t>
      </w:r>
      <w:r>
        <w:rPr>
          <w:rFonts w:hint="eastAsia" w:ascii="Arial" w:hAnsi="Arial"/>
          <w:color w:val="auto"/>
          <w:sz w:val="21"/>
          <w:szCs w:val="21"/>
          <w:highlight w:val="none"/>
          <w:u w:val="none"/>
          <w:lang w:val="en-US" w:eastAsia="zh-CN"/>
        </w:rPr>
        <w:t>，委托</w:t>
      </w:r>
      <w:r>
        <w:rPr>
          <w:rFonts w:hint="eastAsia" w:hAnsi="Courier New"/>
          <w:color w:val="auto"/>
          <w:sz w:val="21"/>
          <w:szCs w:val="21"/>
          <w:highlight w:val="none"/>
          <w:lang w:val="en-US" w:eastAsia="zh-CN"/>
        </w:rPr>
        <w:t>乙方在对应标项范围内提供日常巡查保养保洁服务，以及零星维修；甲方在服务期内对乙方的工作进行管理与监督，并按上述合同约定向乙方支付日常巡查保养保洁服务费用（包干费用）；同时根据</w:t>
      </w:r>
      <w:r>
        <w:rPr>
          <w:rFonts w:hint="eastAsia" w:ascii="Arial" w:hAnsi="Arial"/>
          <w:color w:val="auto"/>
          <w:sz w:val="21"/>
          <w:szCs w:val="21"/>
          <w:highlight w:val="none"/>
          <w:u w:val="single"/>
          <w:lang w:val="en-US" w:eastAsia="zh-CN"/>
        </w:rPr>
        <w:t>鄞州区下应、首南、潘火街道道路及桥梁养护管理保险服务合同</w:t>
      </w:r>
      <w:r>
        <w:rPr>
          <w:rFonts w:hint="eastAsia" w:ascii="Arial" w:hAnsi="Arial"/>
          <w:color w:val="auto"/>
          <w:sz w:val="21"/>
          <w:szCs w:val="21"/>
          <w:highlight w:val="none"/>
          <w:u w:val="none"/>
          <w:lang w:val="en-US" w:eastAsia="zh-CN"/>
        </w:rPr>
        <w:t>，</w:t>
      </w:r>
      <w:r>
        <w:rPr>
          <w:rFonts w:hint="eastAsia" w:hAnsi="Courier New"/>
          <w:color w:val="auto"/>
          <w:sz w:val="21"/>
          <w:szCs w:val="21"/>
          <w:highlight w:val="none"/>
          <w:lang w:val="en-US" w:eastAsia="zh-CN"/>
        </w:rPr>
        <w:t>委托丙方对乙方的工作进行监督及根据造价咨询单位的审计报告结果，按月通过保险赔付形式向乙方支付零星维修按实结算费用。</w:t>
      </w:r>
    </w:p>
    <w:p w14:paraId="1E7F42AB">
      <w:pPr>
        <w:keepNext w:val="0"/>
        <w:keepLines w:val="0"/>
        <w:pageBreakBefore w:val="0"/>
        <w:widowControl/>
        <w:kinsoku/>
        <w:wordWrap/>
        <w:topLinePunct w:val="0"/>
        <w:autoSpaceDE/>
        <w:autoSpaceDN/>
        <w:bidi w:val="0"/>
        <w:snapToGrid w:val="0"/>
        <w:spacing w:beforeAutospacing="0" w:afterAutospacing="0" w:line="360" w:lineRule="auto"/>
        <w:ind w:firstLine="420" w:firstLineChars="200"/>
        <w:rPr>
          <w:rFonts w:hint="eastAsia" w:hAnsi="Courier New"/>
          <w:color w:val="auto"/>
          <w:sz w:val="21"/>
          <w:szCs w:val="21"/>
          <w:highlight w:val="none"/>
          <w:lang w:val="en-US" w:eastAsia="zh-CN"/>
        </w:rPr>
      </w:pPr>
      <w:r>
        <w:rPr>
          <w:rFonts w:hint="eastAsia" w:hAnsi="Courier New"/>
          <w:color w:val="auto"/>
          <w:sz w:val="21"/>
          <w:szCs w:val="21"/>
          <w:highlight w:val="none"/>
          <w:lang w:val="en-US" w:eastAsia="zh-CN"/>
        </w:rPr>
        <w:t>2.乙方根据</w:t>
      </w:r>
      <w:r>
        <w:rPr>
          <w:rFonts w:hint="eastAsia" w:ascii="Arial" w:hAnsi="Arial"/>
          <w:color w:val="auto"/>
          <w:sz w:val="21"/>
          <w:szCs w:val="21"/>
          <w:highlight w:val="none"/>
          <w:u w:val="single"/>
          <w:lang w:eastAsia="zh-CN"/>
        </w:rPr>
        <w:t>2026年-2028年鄞州区下应、潘火、首南三街道道路桥梁日常养护</w:t>
      </w:r>
      <w:r>
        <w:rPr>
          <w:rFonts w:hint="eastAsia" w:ascii="Arial" w:hAnsi="Arial"/>
          <w:color w:val="auto"/>
          <w:sz w:val="21"/>
          <w:szCs w:val="21"/>
          <w:highlight w:val="none"/>
          <w:u w:val="single"/>
          <w:lang w:val="en-US" w:eastAsia="zh-CN"/>
        </w:rPr>
        <w:t>合同</w:t>
      </w:r>
      <w:r>
        <w:rPr>
          <w:rFonts w:hint="eastAsia" w:ascii="Arial" w:hAnsi="Arial"/>
          <w:color w:val="auto"/>
          <w:sz w:val="21"/>
          <w:szCs w:val="21"/>
          <w:highlight w:val="none"/>
          <w:u w:val="none"/>
          <w:lang w:val="en-US" w:eastAsia="zh-CN"/>
        </w:rPr>
        <w:t>要求履行对应工作内容，接受甲方与丙方的管理与监督，并按要求向甲方、丙方提供相关资料作为费用结算的依据</w:t>
      </w:r>
      <w:r>
        <w:rPr>
          <w:rFonts w:hint="eastAsia" w:hAnsi="Courier New"/>
          <w:color w:val="auto"/>
          <w:sz w:val="21"/>
          <w:szCs w:val="21"/>
          <w:highlight w:val="none"/>
          <w:lang w:val="en-US" w:eastAsia="zh-CN"/>
        </w:rPr>
        <w:t>。</w:t>
      </w:r>
    </w:p>
    <w:p w14:paraId="3B9A6B2D">
      <w:pPr>
        <w:keepNext w:val="0"/>
        <w:keepLines w:val="0"/>
        <w:pageBreakBefore w:val="0"/>
        <w:widowControl/>
        <w:kinsoku/>
        <w:wordWrap/>
        <w:topLinePunct w:val="0"/>
        <w:autoSpaceDE/>
        <w:autoSpaceDN/>
        <w:bidi w:val="0"/>
        <w:snapToGrid w:val="0"/>
        <w:spacing w:beforeAutospacing="0" w:afterAutospacing="0" w:line="360" w:lineRule="auto"/>
        <w:ind w:firstLine="420" w:firstLineChars="200"/>
        <w:rPr>
          <w:rFonts w:hint="default"/>
          <w:highlight w:val="none"/>
          <w:lang w:val="en-US" w:eastAsia="zh-CN"/>
        </w:rPr>
      </w:pPr>
      <w:r>
        <w:rPr>
          <w:rFonts w:hint="eastAsia"/>
          <w:highlight w:val="none"/>
          <w:lang w:val="en-US" w:eastAsia="zh-CN"/>
        </w:rPr>
        <w:t>3.丙方根据</w:t>
      </w:r>
      <w:r>
        <w:rPr>
          <w:rFonts w:hint="eastAsia" w:ascii="Arial" w:hAnsi="Arial"/>
          <w:color w:val="auto"/>
          <w:sz w:val="21"/>
          <w:szCs w:val="21"/>
          <w:highlight w:val="none"/>
          <w:u w:val="single"/>
          <w:lang w:val="en-US" w:eastAsia="zh-CN"/>
        </w:rPr>
        <w:t>鄞州区下应、首南、潘火街道道路及桥梁养护管理保险服务合同</w:t>
      </w:r>
      <w:r>
        <w:rPr>
          <w:rFonts w:hint="eastAsia" w:ascii="Arial" w:hAnsi="Arial"/>
          <w:color w:val="auto"/>
          <w:sz w:val="21"/>
          <w:szCs w:val="21"/>
          <w:highlight w:val="none"/>
          <w:u w:val="none"/>
          <w:lang w:val="en-US" w:eastAsia="zh-CN"/>
        </w:rPr>
        <w:t>要求，配合</w:t>
      </w:r>
      <w:r>
        <w:rPr>
          <w:rFonts w:hint="eastAsia" w:hAnsi="Courier New"/>
          <w:color w:val="auto"/>
          <w:sz w:val="21"/>
          <w:szCs w:val="21"/>
          <w:highlight w:val="none"/>
          <w:lang w:val="en-US" w:eastAsia="zh-CN"/>
        </w:rPr>
        <w:t>甲方对乙方的工作进行监督，并根据造价咨询单位的审计报告结果，按月通过保险赔付形式向乙方支付零星维修按实结算费用。</w:t>
      </w:r>
    </w:p>
    <w:p w14:paraId="4DB2F1D6">
      <w:pPr>
        <w:keepNext w:val="0"/>
        <w:keepLines w:val="0"/>
        <w:pageBreakBefore w:val="0"/>
        <w:widowControl/>
        <w:kinsoku/>
        <w:wordWrap/>
        <w:topLinePunct w:val="0"/>
        <w:autoSpaceDE/>
        <w:autoSpaceDN/>
        <w:bidi w:val="0"/>
        <w:snapToGrid w:val="0"/>
        <w:spacing w:beforeAutospacing="0" w:afterAutospacing="0" w:line="360" w:lineRule="auto"/>
        <w:ind w:firstLine="420" w:firstLineChars="200"/>
        <w:rPr>
          <w:rFonts w:hint="default" w:hAnsi="宋体" w:eastAsia="宋体"/>
          <w:b w:val="0"/>
          <w:bCs/>
          <w:color w:val="auto"/>
          <w:sz w:val="21"/>
          <w:szCs w:val="21"/>
          <w:highlight w:val="none"/>
          <w:u w:val="none"/>
          <w:lang w:val="en-US" w:eastAsia="zh-CN"/>
        </w:rPr>
      </w:pPr>
      <w:r>
        <w:rPr>
          <w:rFonts w:hint="eastAsia" w:hAnsi="宋体"/>
          <w:b w:val="0"/>
          <w:bCs/>
          <w:color w:val="auto"/>
          <w:sz w:val="21"/>
          <w:szCs w:val="21"/>
          <w:highlight w:val="none"/>
          <w:u w:val="none"/>
          <w:lang w:val="en-US" w:eastAsia="zh-CN"/>
        </w:rPr>
        <w:t>其他未尽内容根据</w:t>
      </w:r>
      <w:r>
        <w:rPr>
          <w:rFonts w:hint="eastAsia" w:ascii="Arial" w:hAnsi="Arial"/>
          <w:color w:val="auto"/>
          <w:sz w:val="21"/>
          <w:szCs w:val="21"/>
          <w:highlight w:val="none"/>
          <w:u w:val="none"/>
          <w:lang w:eastAsia="zh-CN"/>
        </w:rPr>
        <w:t>2026年-2028年鄞州区下应、潘火、首南三街道道路桥梁日常养护</w:t>
      </w:r>
      <w:r>
        <w:rPr>
          <w:rFonts w:hint="eastAsia" w:ascii="Arial" w:hAnsi="Arial"/>
          <w:color w:val="auto"/>
          <w:sz w:val="21"/>
          <w:szCs w:val="21"/>
          <w:highlight w:val="none"/>
          <w:u w:val="none"/>
          <w:lang w:val="en-US" w:eastAsia="zh-CN"/>
        </w:rPr>
        <w:t>合同、鄞州区下应、首南、潘火街道道路及桥梁养护管理保险服务合同中的约定执行。</w:t>
      </w:r>
    </w:p>
    <w:p w14:paraId="44D62556">
      <w:pPr>
        <w:bidi w:val="0"/>
        <w:rPr>
          <w:rFonts w:hint="eastAsia" w:hAnsi="宋体"/>
          <w:b/>
          <w:color w:val="auto"/>
          <w:sz w:val="21"/>
          <w:szCs w:val="21"/>
          <w:highlight w:val="none"/>
        </w:rPr>
      </w:pPr>
    </w:p>
    <w:p w14:paraId="0731CDD7">
      <w:pPr>
        <w:pStyle w:val="23"/>
        <w:keepNext w:val="0"/>
        <w:keepLines w:val="0"/>
        <w:pageBreakBefore w:val="0"/>
        <w:widowControl/>
        <w:kinsoku/>
        <w:wordWrap/>
        <w:topLinePunct w:val="0"/>
        <w:autoSpaceDE/>
        <w:autoSpaceDN/>
        <w:bidi w:val="0"/>
        <w:snapToGrid w:val="0"/>
        <w:spacing w:before="0" w:beforeAutospacing="0" w:after="0" w:afterAutospacing="0" w:line="360" w:lineRule="auto"/>
        <w:rPr>
          <w:rFonts w:hint="eastAsia" w:hAnsi="宋体"/>
          <w:b/>
          <w:color w:val="auto"/>
          <w:sz w:val="21"/>
          <w:szCs w:val="21"/>
          <w:highlight w:val="none"/>
        </w:rPr>
      </w:pPr>
      <w:r>
        <w:rPr>
          <w:rFonts w:hint="eastAsia" w:hAnsi="宋体"/>
          <w:b/>
          <w:color w:val="auto"/>
          <w:sz w:val="21"/>
          <w:szCs w:val="21"/>
          <w:highlight w:val="none"/>
        </w:rPr>
        <w:t>二、</w:t>
      </w:r>
      <w:r>
        <w:rPr>
          <w:rFonts w:hint="eastAsia" w:hAnsi="宋体"/>
          <w:b/>
          <w:color w:val="auto"/>
          <w:sz w:val="21"/>
          <w:szCs w:val="21"/>
          <w:highlight w:val="none"/>
          <w:lang w:val="en-US" w:eastAsia="zh-CN"/>
        </w:rPr>
        <w:t>合同</w:t>
      </w:r>
      <w:r>
        <w:rPr>
          <w:rFonts w:hint="eastAsia" w:hAnsi="宋体"/>
          <w:b/>
          <w:color w:val="auto"/>
          <w:sz w:val="21"/>
          <w:szCs w:val="21"/>
          <w:highlight w:val="none"/>
        </w:rPr>
        <w:t>期限：</w:t>
      </w:r>
    </w:p>
    <w:p w14:paraId="12668B27">
      <w:pPr>
        <w:keepNext w:val="0"/>
        <w:keepLines w:val="0"/>
        <w:pageBreakBefore w:val="0"/>
        <w:widowControl/>
        <w:kinsoku/>
        <w:wordWrap/>
        <w:topLinePunct w:val="0"/>
        <w:autoSpaceDE/>
        <w:autoSpaceDN/>
        <w:bidi w:val="0"/>
        <w:snapToGrid w:val="0"/>
        <w:spacing w:beforeAutospacing="0" w:afterAutospacing="0" w:line="360" w:lineRule="auto"/>
        <w:ind w:firstLine="420" w:firstLineChars="200"/>
        <w:rPr>
          <w:rFonts w:hint="eastAsia"/>
          <w:color w:val="auto"/>
          <w:highlight w:val="none"/>
          <w:lang w:val="en-US" w:eastAsia="zh-CN"/>
        </w:rPr>
      </w:pPr>
      <w:r>
        <w:rPr>
          <w:rFonts w:hint="eastAsia"/>
          <w:color w:val="auto"/>
          <w:sz w:val="21"/>
          <w:szCs w:val="21"/>
          <w:highlight w:val="none"/>
          <w:lang w:val="en-US" w:eastAsia="zh-CN"/>
        </w:rPr>
        <w:t>2年，合同一年一签，本次合同期限为：</w:t>
      </w:r>
      <w:r>
        <w:rPr>
          <w:color w:val="auto"/>
          <w:sz w:val="21"/>
          <w:szCs w:val="21"/>
          <w:highlight w:val="none"/>
        </w:rPr>
        <w:t>自</w:t>
      </w:r>
      <w:r>
        <w:rPr>
          <w:rFonts w:hint="eastAsia"/>
          <w:color w:val="auto"/>
          <w:sz w:val="21"/>
          <w:szCs w:val="21"/>
          <w:highlight w:val="none"/>
          <w:lang w:val="en-US" w:eastAsia="zh-CN"/>
        </w:rPr>
        <w:t xml:space="preserve">  </w:t>
      </w:r>
      <w:r>
        <w:rPr>
          <w:color w:val="auto"/>
          <w:sz w:val="21"/>
          <w:szCs w:val="21"/>
          <w:highlight w:val="none"/>
        </w:rPr>
        <w:t>年</w:t>
      </w:r>
      <w:r>
        <w:rPr>
          <w:rFonts w:hint="eastAsia"/>
          <w:color w:val="auto"/>
          <w:sz w:val="21"/>
          <w:szCs w:val="21"/>
          <w:highlight w:val="none"/>
          <w:lang w:val="en-US" w:eastAsia="zh-CN"/>
        </w:rPr>
        <w:t xml:space="preserve">  </w:t>
      </w:r>
      <w:r>
        <w:rPr>
          <w:color w:val="auto"/>
          <w:sz w:val="21"/>
          <w:szCs w:val="21"/>
          <w:highlight w:val="none"/>
        </w:rPr>
        <w:t>月</w:t>
      </w:r>
      <w:r>
        <w:rPr>
          <w:rFonts w:hint="eastAsia"/>
          <w:color w:val="auto"/>
          <w:sz w:val="21"/>
          <w:szCs w:val="21"/>
          <w:highlight w:val="none"/>
          <w:lang w:val="en-US" w:eastAsia="zh-CN"/>
        </w:rPr>
        <w:t xml:space="preserve">  </w:t>
      </w:r>
      <w:r>
        <w:rPr>
          <w:color w:val="auto"/>
          <w:sz w:val="21"/>
          <w:szCs w:val="21"/>
          <w:highlight w:val="none"/>
        </w:rPr>
        <w:t>日起至</w:t>
      </w:r>
      <w:r>
        <w:rPr>
          <w:rFonts w:hint="eastAsia"/>
          <w:color w:val="auto"/>
          <w:sz w:val="21"/>
          <w:szCs w:val="21"/>
          <w:highlight w:val="none"/>
          <w:lang w:val="en-US" w:eastAsia="zh-CN"/>
        </w:rPr>
        <w:t xml:space="preserve">  </w:t>
      </w:r>
      <w:r>
        <w:rPr>
          <w:color w:val="auto"/>
          <w:sz w:val="21"/>
          <w:szCs w:val="21"/>
          <w:highlight w:val="none"/>
        </w:rPr>
        <w:t>年</w:t>
      </w:r>
      <w:r>
        <w:rPr>
          <w:rFonts w:hint="eastAsia"/>
          <w:color w:val="auto"/>
          <w:sz w:val="21"/>
          <w:szCs w:val="21"/>
          <w:highlight w:val="none"/>
          <w:lang w:val="en-US" w:eastAsia="zh-CN"/>
        </w:rPr>
        <w:t xml:space="preserve">  </w:t>
      </w:r>
      <w:r>
        <w:rPr>
          <w:color w:val="auto"/>
          <w:sz w:val="21"/>
          <w:szCs w:val="21"/>
          <w:highlight w:val="none"/>
        </w:rPr>
        <w:t>月</w:t>
      </w:r>
      <w:r>
        <w:rPr>
          <w:rFonts w:hint="eastAsia"/>
          <w:color w:val="auto"/>
          <w:sz w:val="21"/>
          <w:szCs w:val="21"/>
          <w:highlight w:val="none"/>
          <w:lang w:val="en-US" w:eastAsia="zh-CN"/>
        </w:rPr>
        <w:t xml:space="preserve">  </w:t>
      </w:r>
      <w:r>
        <w:rPr>
          <w:color w:val="auto"/>
          <w:sz w:val="21"/>
          <w:szCs w:val="21"/>
          <w:highlight w:val="none"/>
        </w:rPr>
        <w:t>日止。</w:t>
      </w:r>
    </w:p>
    <w:p w14:paraId="57B0DC44">
      <w:pPr>
        <w:bidi w:val="0"/>
        <w:rPr>
          <w:rFonts w:hint="eastAsia" w:ascii="Arial" w:hAnsi="Arial" w:cs="宋体"/>
          <w:b/>
          <w:bCs/>
          <w:color w:val="auto"/>
          <w:sz w:val="21"/>
          <w:szCs w:val="21"/>
          <w:highlight w:val="none"/>
          <w:lang w:val="en-US" w:eastAsia="zh-CN"/>
        </w:rPr>
      </w:pPr>
    </w:p>
    <w:p w14:paraId="655A5B2D">
      <w:pPr>
        <w:pStyle w:val="2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textAlignment w:val="auto"/>
        <w:rPr>
          <w:rFonts w:hint="eastAsia" w:ascii="Arial" w:hAnsi="Arial" w:eastAsia="宋体" w:cs="宋体"/>
          <w:b/>
          <w:bCs/>
          <w:color w:val="auto"/>
          <w:sz w:val="21"/>
          <w:szCs w:val="21"/>
          <w:highlight w:val="none"/>
        </w:rPr>
      </w:pPr>
      <w:r>
        <w:rPr>
          <w:rFonts w:hint="eastAsia" w:ascii="Arial" w:hAnsi="Arial" w:cs="宋体"/>
          <w:b/>
          <w:bCs/>
          <w:color w:val="auto"/>
          <w:sz w:val="21"/>
          <w:szCs w:val="21"/>
          <w:highlight w:val="none"/>
          <w:lang w:val="en-US" w:eastAsia="zh-CN"/>
        </w:rPr>
        <w:t>三</w:t>
      </w:r>
      <w:r>
        <w:rPr>
          <w:rFonts w:hint="eastAsia" w:ascii="Arial" w:hAnsi="Arial" w:eastAsia="宋体" w:cs="宋体"/>
          <w:b/>
          <w:bCs/>
          <w:color w:val="auto"/>
          <w:sz w:val="21"/>
          <w:szCs w:val="21"/>
          <w:highlight w:val="none"/>
        </w:rPr>
        <w:t>、付款方式</w:t>
      </w:r>
    </w:p>
    <w:p w14:paraId="008056E4">
      <w:pPr>
        <w:pStyle w:val="2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2" w:firstLineChars="200"/>
        <w:contextualSpacing/>
        <w:textAlignment w:val="auto"/>
        <w:rPr>
          <w:rFonts w:hint="default" w:eastAsia="宋体" w:cs="宋体"/>
          <w:b w:val="0"/>
          <w:bCs w:val="0"/>
          <w:color w:val="auto"/>
          <w:sz w:val="21"/>
          <w:szCs w:val="21"/>
          <w:highlight w:val="none"/>
          <w:lang w:val="en-US" w:bidi="ar"/>
        </w:rPr>
      </w:pPr>
      <w:r>
        <w:rPr>
          <w:rFonts w:hint="eastAsia" w:cs="宋体"/>
          <w:b/>
          <w:bCs/>
          <w:color w:val="auto"/>
          <w:sz w:val="21"/>
          <w:szCs w:val="21"/>
          <w:highlight w:val="none"/>
          <w:lang w:val="en-US" w:eastAsia="zh-CN" w:bidi="ar"/>
        </w:rPr>
        <w:t>1、日常</w:t>
      </w:r>
      <w:r>
        <w:rPr>
          <w:rFonts w:hint="eastAsia" w:cs="宋体"/>
          <w:b/>
          <w:bCs/>
          <w:color w:val="auto"/>
          <w:sz w:val="21"/>
          <w:szCs w:val="21"/>
          <w:highlight w:val="none"/>
          <w:lang w:bidi="ar"/>
        </w:rPr>
        <w:t>养护费</w:t>
      </w:r>
      <w:r>
        <w:rPr>
          <w:rFonts w:hint="eastAsia" w:cs="宋体"/>
          <w:b/>
          <w:bCs/>
          <w:color w:val="auto"/>
          <w:sz w:val="21"/>
          <w:szCs w:val="21"/>
          <w:highlight w:val="none"/>
          <w:lang w:val="en-US" w:eastAsia="zh-CN" w:bidi="ar"/>
        </w:rPr>
        <w:t>用（包干费用，由甲方按月支付）：</w:t>
      </w:r>
      <w:r>
        <w:rPr>
          <w:rFonts w:hint="eastAsia" w:cs="宋体"/>
          <w:b w:val="0"/>
          <w:bCs w:val="0"/>
          <w:color w:val="auto"/>
          <w:sz w:val="21"/>
          <w:szCs w:val="21"/>
          <w:highlight w:val="none"/>
          <w:lang w:val="en-US" w:eastAsia="zh-CN" w:bidi="ar"/>
        </w:rPr>
        <w:t>由甲方根据“2026年-2028年鄞州区下应、潘火、首南三街道道路桥梁日常养护项目养护服务合同”约定执行。</w:t>
      </w:r>
    </w:p>
    <w:p w14:paraId="536EE6B8">
      <w:pPr>
        <w:pStyle w:val="2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2" w:firstLineChars="200"/>
        <w:contextualSpacing/>
        <w:textAlignment w:val="auto"/>
        <w:rPr>
          <w:rFonts w:hint="default" w:eastAsia="宋体" w:cs="宋体"/>
          <w:b/>
          <w:bCs/>
          <w:color w:val="auto"/>
          <w:sz w:val="21"/>
          <w:szCs w:val="21"/>
          <w:highlight w:val="none"/>
          <w:lang w:val="en-US" w:eastAsia="zh-CN" w:bidi="ar"/>
        </w:rPr>
      </w:pPr>
      <w:r>
        <w:rPr>
          <w:rFonts w:hint="eastAsia" w:cs="宋体"/>
          <w:b/>
          <w:bCs/>
          <w:color w:val="auto"/>
          <w:sz w:val="21"/>
          <w:szCs w:val="21"/>
          <w:highlight w:val="none"/>
          <w:lang w:val="en-US" w:eastAsia="zh-CN" w:bidi="ar"/>
        </w:rPr>
        <w:t>2、零星维修费用（按实结算，由丙方按月赔付）：</w:t>
      </w:r>
    </w:p>
    <w:p w14:paraId="26FC6CCD">
      <w:pPr>
        <w:pStyle w:val="2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0" w:firstLineChars="200"/>
        <w:contextualSpacing/>
        <w:textAlignment w:val="auto"/>
        <w:rPr>
          <w:rFonts w:hint="eastAsia" w:ascii="宋体" w:eastAsia="宋体" w:cs="宋体"/>
          <w:color w:val="auto"/>
          <w:sz w:val="21"/>
          <w:szCs w:val="21"/>
          <w:highlight w:val="none"/>
          <w:lang w:val="en-US" w:eastAsia="zh-CN" w:bidi="ar"/>
        </w:rPr>
      </w:pPr>
      <w:r>
        <w:rPr>
          <w:rFonts w:hint="eastAsia" w:ascii="宋体" w:eastAsia="宋体" w:cs="宋体"/>
          <w:color w:val="auto"/>
          <w:sz w:val="21"/>
          <w:szCs w:val="21"/>
          <w:highlight w:val="none"/>
          <w:lang w:val="en-US" w:eastAsia="zh-CN" w:bidi="ar"/>
        </w:rPr>
        <w:t>结算依据：乙方根据甲方及丙方确认的维修工程量清单编制结算资料，并上报甲方，甲方委托造价咨询单位进行审计。丙方根据审计报告的金额，以保险赔付流程进行按月赔付。维修工作中出现质量不达标、工期超期、超时等情况，经甲方确认后，根据考核要求在月度考核中扣分；发生直接经济处罚的，由造价咨询单位根据甲方处罚证明，在该项目费用审计时直接扣除。甲方在有需要时可委托专业单位对零星维修工作的质量、安全、工程量认证等进行辅助管理。</w:t>
      </w:r>
    </w:p>
    <w:p w14:paraId="0EC99C46">
      <w:pPr>
        <w:pStyle w:val="2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22" w:firstLineChars="200"/>
        <w:contextualSpacing/>
        <w:textAlignment w:val="auto"/>
        <w:rPr>
          <w:rFonts w:hint="eastAsia" w:ascii="宋体" w:eastAsia="宋体" w:cs="宋体"/>
          <w:b/>
          <w:bCs/>
          <w:color w:val="auto"/>
          <w:sz w:val="21"/>
          <w:szCs w:val="21"/>
          <w:highlight w:val="none"/>
          <w:lang w:val="en-US" w:eastAsia="zh-CN" w:bidi="ar"/>
        </w:rPr>
      </w:pPr>
      <w:r>
        <w:rPr>
          <w:rFonts w:hint="eastAsia" w:ascii="宋体" w:eastAsia="宋体" w:cs="宋体"/>
          <w:b/>
          <w:bCs/>
          <w:color w:val="auto"/>
          <w:sz w:val="21"/>
          <w:szCs w:val="21"/>
          <w:highlight w:val="none"/>
          <w:lang w:val="en-US" w:eastAsia="zh-CN" w:bidi="ar"/>
        </w:rPr>
        <w:t>实际维修费用支付金额=审计审定金额</w:t>
      </w:r>
    </w:p>
    <w:p w14:paraId="76D1D334">
      <w:pPr>
        <w:pStyle w:val="2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00" w:firstLineChars="200"/>
        <w:contextualSpacing/>
        <w:textAlignment w:val="auto"/>
        <w:rPr>
          <w:rFonts w:hint="eastAsia" w:ascii="宋体" w:eastAsia="宋体" w:cs="宋体"/>
          <w:color w:val="auto"/>
          <w:sz w:val="21"/>
          <w:szCs w:val="21"/>
          <w:highlight w:val="none"/>
          <w:lang w:val="en-US" w:eastAsia="zh-CN" w:bidi="ar"/>
        </w:rPr>
      </w:pPr>
      <w:r>
        <w:rPr>
          <w:rFonts w:hint="eastAsia" w:cs="宋体"/>
          <w:color w:val="auto"/>
          <w:szCs w:val="21"/>
          <w:highlight w:val="none"/>
          <w:lang w:val="en-US" w:eastAsia="zh-CN" w:bidi="ar"/>
        </w:rPr>
        <w:t>乙方</w:t>
      </w:r>
      <w:r>
        <w:rPr>
          <w:rFonts w:hint="eastAsia" w:cs="宋体"/>
          <w:b w:val="0"/>
          <w:bCs w:val="0"/>
          <w:color w:val="auto"/>
          <w:sz w:val="21"/>
          <w:szCs w:val="21"/>
          <w:highlight w:val="none"/>
          <w:lang w:val="en-US" w:eastAsia="zh-CN" w:bidi="ar"/>
        </w:rPr>
        <w:t>报丙方赔付的材料</w:t>
      </w:r>
      <w:r>
        <w:rPr>
          <w:rFonts w:hint="eastAsia" w:ascii="宋体" w:eastAsia="宋体" w:cs="宋体"/>
          <w:b w:val="0"/>
          <w:bCs w:val="0"/>
          <w:color w:val="auto"/>
          <w:sz w:val="21"/>
          <w:szCs w:val="21"/>
          <w:highlight w:val="none"/>
          <w:lang w:val="en-US" w:eastAsia="zh-CN" w:bidi="ar"/>
        </w:rPr>
        <w:t>应包括以下资料（</w:t>
      </w:r>
      <w:r>
        <w:rPr>
          <w:rFonts w:hint="eastAsia" w:cs="宋体"/>
          <w:color w:val="auto"/>
          <w:sz w:val="21"/>
          <w:szCs w:val="21"/>
          <w:highlight w:val="none"/>
          <w:lang w:val="en-US" w:eastAsia="zh-CN" w:bidi="ar"/>
        </w:rPr>
        <w:t>具体</w:t>
      </w:r>
      <w:r>
        <w:rPr>
          <w:rFonts w:hint="eastAsia" w:ascii="宋体" w:eastAsia="宋体" w:cs="宋体"/>
          <w:color w:val="auto"/>
          <w:sz w:val="21"/>
          <w:szCs w:val="21"/>
          <w:highlight w:val="none"/>
          <w:lang w:val="en-US" w:eastAsia="zh-CN" w:bidi="ar"/>
        </w:rPr>
        <w:t>资料由甲、乙、丙三方在合同签订时协商确定）：</w:t>
      </w:r>
    </w:p>
    <w:p w14:paraId="42D059F8">
      <w:pPr>
        <w:spacing w:line="360" w:lineRule="auto"/>
        <w:ind w:firstLine="420" w:firstLineChars="200"/>
        <w:rPr>
          <w:rFonts w:hint="eastAsia" w:cs="宋体"/>
          <w:b w:val="0"/>
          <w:bCs w:val="0"/>
          <w:color w:val="auto"/>
          <w:szCs w:val="21"/>
          <w:highlight w:val="none"/>
          <w:lang w:val="en-US" w:eastAsia="zh-CN" w:bidi="ar"/>
        </w:rPr>
      </w:pPr>
      <w:r>
        <w:rPr>
          <w:rFonts w:hint="eastAsia" w:cs="宋体"/>
          <w:b w:val="0"/>
          <w:bCs w:val="0"/>
          <w:color w:val="auto"/>
          <w:szCs w:val="21"/>
          <w:highlight w:val="none"/>
          <w:lang w:val="en-US" w:eastAsia="zh-CN" w:bidi="ar"/>
        </w:rPr>
        <w:t>1）索赔申请书；</w:t>
      </w:r>
    </w:p>
    <w:p w14:paraId="6AA0E997">
      <w:pPr>
        <w:spacing w:line="360" w:lineRule="auto"/>
        <w:ind w:firstLine="420" w:firstLineChars="200"/>
        <w:rPr>
          <w:rFonts w:hint="eastAsia" w:cs="宋体"/>
          <w:b w:val="0"/>
          <w:bCs w:val="0"/>
          <w:color w:val="auto"/>
          <w:szCs w:val="21"/>
          <w:highlight w:val="none"/>
          <w:lang w:val="en-US" w:eastAsia="zh-CN" w:bidi="ar"/>
        </w:rPr>
      </w:pPr>
      <w:r>
        <w:rPr>
          <w:rFonts w:hint="eastAsia" w:cs="宋体"/>
          <w:b w:val="0"/>
          <w:bCs w:val="0"/>
          <w:color w:val="auto"/>
          <w:szCs w:val="21"/>
          <w:highlight w:val="none"/>
          <w:lang w:val="en-US" w:eastAsia="zh-CN" w:bidi="ar"/>
        </w:rPr>
        <w:t>2）审计报告（造价咨询机构出具）；</w:t>
      </w:r>
    </w:p>
    <w:p w14:paraId="2B9B4ACD">
      <w:pPr>
        <w:spacing w:line="360" w:lineRule="auto"/>
        <w:ind w:firstLine="420" w:firstLineChars="200"/>
        <w:rPr>
          <w:rFonts w:hint="eastAsia" w:cs="宋体"/>
          <w:b w:val="0"/>
          <w:bCs w:val="0"/>
          <w:color w:val="auto"/>
          <w:szCs w:val="21"/>
          <w:highlight w:val="none"/>
          <w:lang w:val="en-US" w:eastAsia="zh-CN" w:bidi="ar"/>
        </w:rPr>
      </w:pPr>
      <w:r>
        <w:rPr>
          <w:rFonts w:hint="eastAsia" w:cs="宋体"/>
          <w:b w:val="0"/>
          <w:bCs w:val="0"/>
          <w:color w:val="auto"/>
          <w:szCs w:val="21"/>
          <w:highlight w:val="none"/>
          <w:lang w:val="en-US" w:eastAsia="zh-CN" w:bidi="ar"/>
        </w:rPr>
        <w:t>3）维修款支付报审表（含甲方、乙方、丙方三方盖章确认）</w:t>
      </w:r>
    </w:p>
    <w:p w14:paraId="23527037">
      <w:pPr>
        <w:spacing w:line="360" w:lineRule="auto"/>
        <w:ind w:firstLine="420" w:firstLineChars="200"/>
        <w:rPr>
          <w:rFonts w:hint="eastAsia" w:cs="宋体"/>
          <w:b w:val="0"/>
          <w:bCs w:val="0"/>
          <w:color w:val="auto"/>
          <w:szCs w:val="21"/>
          <w:highlight w:val="none"/>
          <w:lang w:val="en-US" w:eastAsia="zh-CN" w:bidi="ar"/>
        </w:rPr>
      </w:pPr>
      <w:r>
        <w:rPr>
          <w:rFonts w:hint="eastAsia" w:cs="宋体"/>
          <w:b w:val="0"/>
          <w:bCs w:val="0"/>
          <w:color w:val="auto"/>
          <w:szCs w:val="21"/>
          <w:highlight w:val="none"/>
          <w:lang w:val="en-US" w:eastAsia="zh-CN" w:bidi="ar"/>
        </w:rPr>
        <w:t>4）维修证明相关材料（现场照片、记录视频、维修清单等）；</w:t>
      </w:r>
    </w:p>
    <w:p w14:paraId="40B28A7F">
      <w:pPr>
        <w:bidi w:val="0"/>
        <w:rPr>
          <w:rFonts w:hint="eastAsia"/>
          <w:color w:val="auto"/>
          <w:highlight w:val="none"/>
          <w:lang w:val="en-US" w:eastAsia="zh-CN"/>
        </w:rPr>
      </w:pPr>
    </w:p>
    <w:p w14:paraId="737EFF70">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contextualSpacing/>
        <w:textAlignment w:val="auto"/>
        <w:rPr>
          <w:rFonts w:hint="default" w:ascii="Arial" w:hAnsi="Arial" w:eastAsia="宋体" w:cs="宋体"/>
          <w:b/>
          <w:bCs/>
          <w:color w:val="auto"/>
          <w:sz w:val="21"/>
          <w:szCs w:val="21"/>
          <w:highlight w:val="none"/>
          <w:lang w:val="en-US" w:eastAsia="zh-CN"/>
        </w:rPr>
      </w:pPr>
      <w:r>
        <w:rPr>
          <w:rFonts w:hint="eastAsia" w:ascii="Arial" w:hAnsi="Arial" w:cs="宋体"/>
          <w:b/>
          <w:bCs/>
          <w:color w:val="auto"/>
          <w:sz w:val="21"/>
          <w:szCs w:val="21"/>
          <w:highlight w:val="none"/>
          <w:lang w:val="en-US" w:eastAsia="zh-CN"/>
        </w:rPr>
        <w:t>四</w:t>
      </w:r>
      <w:r>
        <w:rPr>
          <w:rFonts w:hint="eastAsia" w:ascii="Arial" w:hAnsi="Arial" w:eastAsia="宋体" w:cs="宋体"/>
          <w:b/>
          <w:bCs/>
          <w:color w:val="auto"/>
          <w:sz w:val="21"/>
          <w:szCs w:val="21"/>
          <w:highlight w:val="none"/>
          <w:lang w:val="en-US" w:eastAsia="zh-CN"/>
        </w:rPr>
        <w:t>、</w:t>
      </w:r>
      <w:r>
        <w:rPr>
          <w:rFonts w:hint="eastAsia" w:ascii="Arial" w:hAnsi="Arial" w:cs="宋体"/>
          <w:b/>
          <w:bCs/>
          <w:color w:val="auto"/>
          <w:sz w:val="21"/>
          <w:szCs w:val="21"/>
          <w:highlight w:val="none"/>
          <w:lang w:val="en-US" w:eastAsia="zh-CN"/>
        </w:rPr>
        <w:t>特别约定</w:t>
      </w:r>
    </w:p>
    <w:p w14:paraId="6AC50A5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contextualSpacing/>
        <w:textAlignment w:val="auto"/>
        <w:rPr>
          <w:rFonts w:hint="eastAsia" w:ascii="宋体" w:eastAsia="宋体" w:cs="宋体"/>
          <w:color w:val="auto"/>
          <w:sz w:val="21"/>
          <w:szCs w:val="21"/>
          <w:highlight w:val="none"/>
          <w:lang w:val="en-US" w:eastAsia="zh-CN" w:bidi="ar"/>
        </w:rPr>
      </w:pPr>
      <w:r>
        <w:rPr>
          <w:rFonts w:hint="eastAsia" w:cs="宋体"/>
          <w:color w:val="auto"/>
          <w:sz w:val="21"/>
          <w:szCs w:val="21"/>
          <w:highlight w:val="none"/>
          <w:lang w:val="en-US" w:eastAsia="zh-CN" w:bidi="ar"/>
        </w:rPr>
        <w:t>乙方提供给丙方的维修费用发票应开具建筑行业增值税专用发票，税率按现行一般计税税率执行</w:t>
      </w:r>
      <w:r>
        <w:rPr>
          <w:rFonts w:hint="eastAsia" w:ascii="宋体" w:eastAsia="宋体" w:cs="宋体"/>
          <w:color w:val="auto"/>
          <w:sz w:val="21"/>
          <w:szCs w:val="21"/>
          <w:highlight w:val="none"/>
          <w:lang w:val="en-US" w:eastAsia="zh-CN" w:bidi="ar"/>
        </w:rPr>
        <w:t>。</w:t>
      </w:r>
    </w:p>
    <w:p w14:paraId="18282835">
      <w:pPr>
        <w:keepNext w:val="0"/>
        <w:keepLines w:val="0"/>
        <w:pageBreakBefore w:val="0"/>
        <w:kinsoku/>
        <w:wordWrap/>
        <w:topLinePunct w:val="0"/>
        <w:autoSpaceDE/>
        <w:autoSpaceDN/>
        <w:bidi w:val="0"/>
        <w:spacing w:line="360" w:lineRule="auto"/>
        <w:rPr>
          <w:rFonts w:hint="eastAsia"/>
          <w:color w:val="auto"/>
          <w:highlight w:val="none"/>
          <w:lang w:val="en-US" w:eastAsia="zh-CN"/>
        </w:rPr>
      </w:pPr>
    </w:p>
    <w:p w14:paraId="1ECDC55F">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contextualSpacing/>
        <w:textAlignment w:val="auto"/>
        <w:rPr>
          <w:rFonts w:hint="eastAsia" w:ascii="Arial" w:hAnsi="Arial" w:eastAsia="宋体" w:cs="宋体"/>
          <w:b/>
          <w:bCs/>
          <w:color w:val="auto"/>
          <w:sz w:val="21"/>
          <w:szCs w:val="21"/>
          <w:highlight w:val="none"/>
          <w:lang w:val="en-US" w:eastAsia="zh-CN"/>
        </w:rPr>
      </w:pPr>
      <w:r>
        <w:rPr>
          <w:rFonts w:hint="eastAsia" w:ascii="Arial" w:hAnsi="Arial" w:cs="宋体"/>
          <w:b/>
          <w:bCs/>
          <w:color w:val="auto"/>
          <w:sz w:val="21"/>
          <w:szCs w:val="21"/>
          <w:highlight w:val="none"/>
          <w:lang w:val="en-US" w:eastAsia="zh-CN"/>
        </w:rPr>
        <w:t>五</w:t>
      </w:r>
      <w:r>
        <w:rPr>
          <w:rFonts w:hint="eastAsia" w:ascii="Arial" w:hAnsi="Arial" w:eastAsia="宋体" w:cs="宋体"/>
          <w:b/>
          <w:bCs/>
          <w:color w:val="auto"/>
          <w:sz w:val="21"/>
          <w:szCs w:val="21"/>
          <w:highlight w:val="none"/>
          <w:lang w:val="en-US" w:eastAsia="zh-CN"/>
        </w:rPr>
        <w:t>、不可抗力</w:t>
      </w:r>
    </w:p>
    <w:p w14:paraId="27B6EA24">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contextualSpacing/>
        <w:textAlignment w:val="auto"/>
        <w:rPr>
          <w:rFonts w:hint="eastAsia" w:ascii="宋体" w:eastAsia="宋体" w:cs="宋体"/>
          <w:color w:val="auto"/>
          <w:sz w:val="21"/>
          <w:szCs w:val="21"/>
          <w:highlight w:val="none"/>
          <w:lang w:val="en-US" w:eastAsia="zh-CN" w:bidi="ar"/>
        </w:rPr>
      </w:pPr>
      <w:r>
        <w:rPr>
          <w:rFonts w:hint="eastAsia" w:ascii="宋体" w:eastAsia="宋体" w:cs="宋体"/>
          <w:color w:val="auto"/>
          <w:sz w:val="21"/>
          <w:szCs w:val="21"/>
          <w:highlight w:val="none"/>
          <w:lang w:val="en-US" w:eastAsia="zh-CN" w:bidi="ar"/>
        </w:rPr>
        <w:t>1、在合同有效期内，因自然灾害等不可抗力因素造成本合同项目经济损失的，甲、乙、丙三方共同协商妥善解决。</w:t>
      </w:r>
    </w:p>
    <w:p w14:paraId="2C0BB636">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contextualSpacing/>
        <w:textAlignment w:val="auto"/>
        <w:rPr>
          <w:rFonts w:hint="eastAsia" w:ascii="宋体" w:eastAsia="宋体" w:cs="宋体"/>
          <w:color w:val="auto"/>
          <w:sz w:val="21"/>
          <w:szCs w:val="21"/>
          <w:highlight w:val="none"/>
          <w:lang w:val="en-US" w:eastAsia="zh-CN" w:bidi="ar"/>
        </w:rPr>
      </w:pPr>
      <w:r>
        <w:rPr>
          <w:rFonts w:hint="eastAsia" w:ascii="宋体" w:eastAsia="宋体" w:cs="宋体"/>
          <w:color w:val="auto"/>
          <w:sz w:val="21"/>
          <w:szCs w:val="21"/>
          <w:highlight w:val="none"/>
          <w:lang w:val="en-US" w:eastAsia="zh-CN" w:bidi="ar"/>
        </w:rPr>
        <w:t>2、不可抗力事件发生后，应立即通知其余两方，并寄送有关权威机构出具的证明。</w:t>
      </w:r>
    </w:p>
    <w:p w14:paraId="4A37E0D3">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contextualSpacing/>
        <w:textAlignment w:val="auto"/>
        <w:rPr>
          <w:rFonts w:hint="eastAsia" w:ascii="宋体" w:eastAsia="宋体" w:cs="宋体"/>
          <w:color w:val="auto"/>
          <w:sz w:val="21"/>
          <w:szCs w:val="21"/>
          <w:highlight w:val="none"/>
          <w:lang w:val="en-US" w:eastAsia="zh-CN" w:bidi="ar"/>
        </w:rPr>
      </w:pPr>
      <w:r>
        <w:rPr>
          <w:rFonts w:hint="eastAsia" w:ascii="宋体" w:eastAsia="宋体" w:cs="宋体"/>
          <w:color w:val="auto"/>
          <w:sz w:val="21"/>
          <w:szCs w:val="21"/>
          <w:highlight w:val="none"/>
          <w:lang w:val="en-US" w:eastAsia="zh-CN" w:bidi="ar"/>
        </w:rPr>
        <w:t>3、不可抗力事件延续120天以上，三方应通过友好协商，确定是否继续履行合同。</w:t>
      </w:r>
    </w:p>
    <w:p w14:paraId="12504348">
      <w:pPr>
        <w:keepNext w:val="0"/>
        <w:keepLines w:val="0"/>
        <w:pageBreakBefore w:val="0"/>
        <w:kinsoku/>
        <w:wordWrap/>
        <w:topLinePunct w:val="0"/>
        <w:autoSpaceDE/>
        <w:autoSpaceDN/>
        <w:bidi w:val="0"/>
        <w:spacing w:line="360" w:lineRule="auto"/>
        <w:rPr>
          <w:rFonts w:hint="eastAsia"/>
          <w:color w:val="auto"/>
          <w:highlight w:val="none"/>
          <w:lang w:val="en-US" w:eastAsia="zh-CN"/>
        </w:rPr>
      </w:pPr>
    </w:p>
    <w:p w14:paraId="45378E5C">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contextualSpacing/>
        <w:textAlignment w:val="auto"/>
        <w:rPr>
          <w:rFonts w:hint="eastAsia" w:ascii="Arial" w:hAnsi="Arial" w:eastAsia="宋体" w:cs="宋体"/>
          <w:b/>
          <w:bCs/>
          <w:color w:val="auto"/>
          <w:sz w:val="21"/>
          <w:szCs w:val="21"/>
          <w:highlight w:val="none"/>
          <w:lang w:val="en-US" w:eastAsia="zh-CN"/>
        </w:rPr>
      </w:pPr>
      <w:r>
        <w:rPr>
          <w:rFonts w:hint="eastAsia" w:ascii="Arial" w:hAnsi="Arial" w:cs="宋体"/>
          <w:b/>
          <w:bCs/>
          <w:color w:val="auto"/>
          <w:sz w:val="21"/>
          <w:szCs w:val="21"/>
          <w:highlight w:val="none"/>
          <w:lang w:val="en-US" w:eastAsia="zh-CN"/>
        </w:rPr>
        <w:t>六</w:t>
      </w:r>
      <w:r>
        <w:rPr>
          <w:rFonts w:hint="eastAsia" w:ascii="Arial" w:hAnsi="Arial" w:eastAsia="宋体" w:cs="宋体"/>
          <w:b/>
          <w:bCs/>
          <w:color w:val="auto"/>
          <w:sz w:val="21"/>
          <w:szCs w:val="21"/>
          <w:highlight w:val="none"/>
          <w:lang w:val="en-US" w:eastAsia="zh-CN"/>
        </w:rPr>
        <w:t>、附则</w:t>
      </w:r>
    </w:p>
    <w:p w14:paraId="1D2568D2">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contextualSpacing/>
        <w:textAlignment w:val="auto"/>
        <w:rPr>
          <w:rFonts w:hint="eastAsia" w:ascii="宋体" w:eastAsia="宋体" w:cs="宋体"/>
          <w:color w:val="auto"/>
          <w:sz w:val="21"/>
          <w:szCs w:val="21"/>
          <w:highlight w:val="none"/>
          <w:lang w:val="en-US" w:eastAsia="zh-CN" w:bidi="ar"/>
        </w:rPr>
      </w:pPr>
      <w:r>
        <w:rPr>
          <w:rFonts w:hint="eastAsia" w:ascii="宋体" w:eastAsia="宋体" w:cs="宋体"/>
          <w:color w:val="auto"/>
          <w:sz w:val="21"/>
          <w:szCs w:val="21"/>
          <w:highlight w:val="none"/>
          <w:lang w:val="en-US" w:eastAsia="zh-CN" w:bidi="ar"/>
        </w:rPr>
        <w:t>1、本三方合同作为甲方与乙方签订的“2026年-2028年鄞州区下应、潘火、首南三街道道路桥梁日常养护服务合同”，以及甲方与丙方签订的“鄞州区下应、首南、潘火街道道路及桥梁养护管理保险服务项目保险服务合同”的共同补充部分，以上2个合同任意一个合同履约完毕或提前终止的，本合同自动失效。</w:t>
      </w:r>
    </w:p>
    <w:p w14:paraId="51E79ACC">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contextualSpacing/>
        <w:textAlignment w:val="auto"/>
        <w:rPr>
          <w:rFonts w:hint="eastAsia" w:ascii="宋体" w:eastAsia="宋体" w:cs="宋体"/>
          <w:color w:val="auto"/>
          <w:sz w:val="21"/>
          <w:szCs w:val="21"/>
          <w:highlight w:val="none"/>
          <w:lang w:val="en-US" w:eastAsia="zh-CN" w:bidi="ar"/>
        </w:rPr>
      </w:pPr>
      <w:r>
        <w:rPr>
          <w:rFonts w:hint="eastAsia" w:ascii="宋体" w:eastAsia="宋体" w:cs="宋体"/>
          <w:color w:val="auto"/>
          <w:sz w:val="21"/>
          <w:szCs w:val="21"/>
          <w:highlight w:val="none"/>
          <w:lang w:val="en-US" w:eastAsia="zh-CN" w:bidi="ar"/>
        </w:rPr>
        <w:t>2、未尽事宜，三方协商解决，并签订书面补充协议。补充协议与本合同具有同等效力。</w:t>
      </w:r>
    </w:p>
    <w:p w14:paraId="0285EA4E">
      <w:pPr>
        <w:keepNext w:val="0"/>
        <w:keepLines w:val="0"/>
        <w:pageBreakBefore w:val="0"/>
        <w:kinsoku/>
        <w:wordWrap/>
        <w:topLinePunct w:val="0"/>
        <w:autoSpaceDE/>
        <w:autoSpaceDN/>
        <w:bidi w:val="0"/>
        <w:spacing w:line="360" w:lineRule="auto"/>
        <w:rPr>
          <w:rFonts w:hint="eastAsia"/>
          <w:color w:val="auto"/>
          <w:highlight w:val="none"/>
          <w:lang w:val="en-US" w:eastAsia="zh-CN"/>
        </w:rPr>
      </w:pPr>
    </w:p>
    <w:p w14:paraId="335E6221">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contextualSpacing/>
        <w:textAlignment w:val="auto"/>
        <w:rPr>
          <w:rFonts w:hint="eastAsia" w:ascii="Arial" w:hAnsi="Arial" w:eastAsia="宋体" w:cs="宋体"/>
          <w:b/>
          <w:bCs/>
          <w:color w:val="auto"/>
          <w:sz w:val="21"/>
          <w:szCs w:val="21"/>
          <w:highlight w:val="none"/>
          <w:lang w:val="en-US" w:eastAsia="zh-CN"/>
        </w:rPr>
      </w:pPr>
      <w:r>
        <w:rPr>
          <w:rFonts w:hint="eastAsia" w:ascii="Arial" w:hAnsi="Arial" w:cs="宋体"/>
          <w:b/>
          <w:bCs/>
          <w:color w:val="auto"/>
          <w:sz w:val="21"/>
          <w:szCs w:val="21"/>
          <w:highlight w:val="none"/>
          <w:lang w:val="en-US" w:eastAsia="zh-CN"/>
        </w:rPr>
        <w:t>七</w:t>
      </w:r>
      <w:r>
        <w:rPr>
          <w:rFonts w:hint="eastAsia" w:ascii="Arial" w:hAnsi="Arial" w:eastAsia="宋体" w:cs="宋体"/>
          <w:b/>
          <w:bCs/>
          <w:color w:val="auto"/>
          <w:sz w:val="21"/>
          <w:szCs w:val="21"/>
          <w:highlight w:val="none"/>
          <w:lang w:val="en-US" w:eastAsia="zh-CN"/>
        </w:rPr>
        <w:t>、诉讼</w:t>
      </w:r>
    </w:p>
    <w:p w14:paraId="23425D2E">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contextualSpacing/>
        <w:textAlignment w:val="auto"/>
        <w:rPr>
          <w:rFonts w:hint="eastAsia" w:ascii="宋体" w:eastAsia="宋体" w:cs="宋体"/>
          <w:color w:val="auto"/>
          <w:sz w:val="21"/>
          <w:szCs w:val="21"/>
          <w:highlight w:val="none"/>
          <w:lang w:val="en-US" w:eastAsia="zh-CN" w:bidi="ar"/>
        </w:rPr>
      </w:pPr>
      <w:r>
        <w:rPr>
          <w:rFonts w:hint="eastAsia" w:ascii="宋体" w:eastAsia="宋体" w:cs="宋体"/>
          <w:color w:val="auto"/>
          <w:sz w:val="21"/>
          <w:szCs w:val="21"/>
          <w:highlight w:val="none"/>
          <w:lang w:val="en-US" w:eastAsia="zh-CN" w:bidi="ar"/>
        </w:rPr>
        <w:t>三方在执行合同中所发生的一切争议，应通过协商解决。如协商不成，可向甲方所在地法院起诉。</w:t>
      </w:r>
    </w:p>
    <w:p w14:paraId="48C4A0C6">
      <w:pPr>
        <w:keepNext w:val="0"/>
        <w:keepLines w:val="0"/>
        <w:pageBreakBefore w:val="0"/>
        <w:kinsoku/>
        <w:wordWrap/>
        <w:topLinePunct w:val="0"/>
        <w:autoSpaceDE/>
        <w:autoSpaceDN/>
        <w:bidi w:val="0"/>
        <w:spacing w:line="360" w:lineRule="auto"/>
        <w:rPr>
          <w:rFonts w:hint="eastAsia"/>
          <w:color w:val="auto"/>
          <w:highlight w:val="none"/>
          <w:lang w:val="en-US" w:eastAsia="zh-CN"/>
        </w:rPr>
      </w:pPr>
    </w:p>
    <w:p w14:paraId="282C0738">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contextualSpacing/>
        <w:textAlignment w:val="auto"/>
        <w:rPr>
          <w:rFonts w:hint="eastAsia" w:ascii="Arial" w:hAnsi="Arial" w:eastAsia="宋体" w:cs="宋体"/>
          <w:b/>
          <w:bCs/>
          <w:color w:val="auto"/>
          <w:sz w:val="21"/>
          <w:szCs w:val="21"/>
          <w:highlight w:val="none"/>
          <w:lang w:val="en-US" w:eastAsia="zh-CN"/>
        </w:rPr>
      </w:pPr>
      <w:r>
        <w:rPr>
          <w:rFonts w:hint="eastAsia" w:ascii="Arial" w:hAnsi="Arial" w:cs="宋体"/>
          <w:b/>
          <w:bCs/>
          <w:color w:val="auto"/>
          <w:sz w:val="21"/>
          <w:szCs w:val="21"/>
          <w:highlight w:val="none"/>
          <w:lang w:val="en-US" w:eastAsia="zh-CN"/>
        </w:rPr>
        <w:t>八</w:t>
      </w:r>
      <w:r>
        <w:rPr>
          <w:rFonts w:hint="eastAsia" w:ascii="Arial" w:hAnsi="Arial" w:eastAsia="宋体" w:cs="宋体"/>
          <w:b/>
          <w:bCs/>
          <w:color w:val="auto"/>
          <w:sz w:val="21"/>
          <w:szCs w:val="21"/>
          <w:highlight w:val="none"/>
          <w:lang w:val="en-US" w:eastAsia="zh-CN"/>
        </w:rPr>
        <w:t>、合同生效及其它</w:t>
      </w:r>
    </w:p>
    <w:p w14:paraId="5D31FC62">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contextualSpacing/>
        <w:textAlignment w:val="auto"/>
        <w:rPr>
          <w:rFonts w:hint="eastAsia" w:ascii="宋体" w:eastAsia="宋体" w:cs="宋体"/>
          <w:color w:val="auto"/>
          <w:sz w:val="21"/>
          <w:szCs w:val="21"/>
          <w:highlight w:val="none"/>
          <w:lang w:val="en-US" w:eastAsia="zh-CN" w:bidi="ar"/>
        </w:rPr>
      </w:pPr>
      <w:r>
        <w:rPr>
          <w:rFonts w:hint="eastAsia" w:ascii="宋体" w:eastAsia="宋体" w:cs="宋体"/>
          <w:color w:val="auto"/>
          <w:sz w:val="21"/>
          <w:szCs w:val="21"/>
          <w:highlight w:val="none"/>
          <w:lang w:val="en-US" w:eastAsia="zh-CN" w:bidi="ar"/>
        </w:rPr>
        <w:t>1、合同经</w:t>
      </w:r>
      <w:r>
        <w:rPr>
          <w:rFonts w:hint="eastAsia" w:cs="宋体"/>
          <w:color w:val="auto"/>
          <w:sz w:val="21"/>
          <w:szCs w:val="21"/>
          <w:highlight w:val="none"/>
          <w:lang w:val="en-US" w:eastAsia="zh-CN" w:bidi="ar"/>
        </w:rPr>
        <w:t>三</w:t>
      </w:r>
      <w:r>
        <w:rPr>
          <w:rFonts w:hint="eastAsia" w:ascii="宋体" w:eastAsia="宋体" w:cs="宋体"/>
          <w:color w:val="auto"/>
          <w:sz w:val="21"/>
          <w:szCs w:val="21"/>
          <w:highlight w:val="none"/>
          <w:lang w:val="en-US" w:eastAsia="zh-CN" w:bidi="ar"/>
        </w:rPr>
        <w:t>方法定代表人（负责人）或授权代表签字并加盖单位公章后生效。</w:t>
      </w:r>
    </w:p>
    <w:p w14:paraId="4677C905">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contextualSpacing/>
        <w:textAlignment w:val="auto"/>
        <w:rPr>
          <w:rFonts w:hint="eastAsia" w:ascii="宋体" w:eastAsia="宋体" w:cs="宋体"/>
          <w:color w:val="auto"/>
          <w:sz w:val="21"/>
          <w:szCs w:val="21"/>
          <w:highlight w:val="none"/>
          <w:lang w:val="en-US" w:eastAsia="zh-CN" w:bidi="ar"/>
        </w:rPr>
      </w:pPr>
      <w:r>
        <w:rPr>
          <w:rFonts w:hint="eastAsia" w:ascii="宋体" w:eastAsia="宋体" w:cs="宋体"/>
          <w:color w:val="auto"/>
          <w:sz w:val="21"/>
          <w:szCs w:val="21"/>
          <w:highlight w:val="none"/>
          <w:lang w:val="en-US" w:eastAsia="zh-CN" w:bidi="ar"/>
        </w:rPr>
        <w:t>2、合同执行中涉及采购资金和采购内容修改或补充的，须经财政部门审批，并签书面补充协议报政府采购监督管理部门备案，方可作为主合同不可分割的一部分。</w:t>
      </w:r>
    </w:p>
    <w:p w14:paraId="132379CD">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contextualSpacing/>
        <w:textAlignment w:val="auto"/>
        <w:rPr>
          <w:rFonts w:hint="eastAsia" w:ascii="宋体" w:eastAsia="宋体" w:cs="宋体"/>
          <w:color w:val="auto"/>
          <w:sz w:val="21"/>
          <w:szCs w:val="21"/>
          <w:highlight w:val="none"/>
          <w:lang w:val="en-US" w:eastAsia="zh-CN" w:bidi="ar"/>
        </w:rPr>
      </w:pPr>
      <w:r>
        <w:rPr>
          <w:rFonts w:hint="eastAsia" w:ascii="宋体" w:eastAsia="宋体" w:cs="宋体"/>
          <w:color w:val="auto"/>
          <w:sz w:val="21"/>
          <w:szCs w:val="21"/>
          <w:highlight w:val="none"/>
          <w:lang w:val="en-US" w:eastAsia="zh-CN" w:bidi="ar"/>
        </w:rPr>
        <w:t>3、本合同一式八份，具有同等法律效力，甲方执三份，乙方执三份，丙方执二份。</w:t>
      </w:r>
    </w:p>
    <w:p w14:paraId="05B6C09B">
      <w:pPr>
        <w:keepNext w:val="0"/>
        <w:keepLines w:val="0"/>
        <w:pageBreakBefore w:val="0"/>
        <w:kinsoku/>
        <w:wordWrap/>
        <w:topLinePunct w:val="0"/>
        <w:autoSpaceDE/>
        <w:autoSpaceDN/>
        <w:bidi w:val="0"/>
        <w:spacing w:beforeAutospacing="0" w:afterAutospacing="0" w:line="360" w:lineRule="auto"/>
        <w:rPr>
          <w:rFonts w:hint="eastAsia"/>
          <w:color w:val="auto"/>
          <w:highlight w:val="none"/>
        </w:rPr>
      </w:pPr>
    </w:p>
    <w:p w14:paraId="381CD65C">
      <w:pPr>
        <w:keepNext w:val="0"/>
        <w:keepLines w:val="0"/>
        <w:pageBreakBefore w:val="0"/>
        <w:widowControl/>
        <w:kinsoku/>
        <w:wordWrap/>
        <w:overflowPunct w:val="0"/>
        <w:topLinePunct w:val="0"/>
        <w:autoSpaceDE/>
        <w:autoSpaceDN/>
        <w:bidi w:val="0"/>
        <w:adjustRightInd w:val="0"/>
        <w:snapToGrid w:val="0"/>
        <w:spacing w:beforeAutospacing="0" w:afterAutospacing="0" w:line="360" w:lineRule="auto"/>
        <w:ind w:firstLine="420" w:firstLineChars="200"/>
        <w:textAlignment w:val="baseline"/>
        <w:rPr>
          <w:color w:val="auto"/>
          <w:sz w:val="21"/>
          <w:szCs w:val="21"/>
          <w:highlight w:val="none"/>
          <w:lang w:bidi="ar-SA"/>
        </w:rPr>
      </w:pPr>
      <w:r>
        <w:rPr>
          <w:rFonts w:hint="eastAsia"/>
          <w:color w:val="auto"/>
          <w:sz w:val="21"/>
          <w:szCs w:val="21"/>
          <w:highlight w:val="none"/>
          <w:lang w:val="en-US" w:eastAsia="zh-CN" w:bidi="ar-SA"/>
        </w:rPr>
        <w:t xml:space="preserve">甲方                                       </w:t>
      </w:r>
      <w:r>
        <w:rPr>
          <w:rFonts w:hint="eastAsia"/>
          <w:color w:val="auto"/>
          <w:sz w:val="21"/>
          <w:szCs w:val="21"/>
          <w:highlight w:val="none"/>
          <w:lang w:bidi="ar-SA"/>
        </w:rPr>
        <w:t>乙方：</w:t>
      </w:r>
    </w:p>
    <w:p w14:paraId="32FC2908">
      <w:pPr>
        <w:keepNext w:val="0"/>
        <w:keepLines w:val="0"/>
        <w:pageBreakBefore w:val="0"/>
        <w:widowControl/>
        <w:kinsoku/>
        <w:wordWrap/>
        <w:overflowPunct w:val="0"/>
        <w:topLinePunct w:val="0"/>
        <w:autoSpaceDE/>
        <w:autoSpaceDN/>
        <w:bidi w:val="0"/>
        <w:adjustRightInd w:val="0"/>
        <w:snapToGrid w:val="0"/>
        <w:spacing w:beforeAutospacing="0" w:afterAutospacing="0" w:line="360" w:lineRule="auto"/>
        <w:ind w:firstLine="420" w:firstLineChars="200"/>
        <w:textAlignment w:val="baseline"/>
        <w:rPr>
          <w:color w:val="auto"/>
          <w:sz w:val="21"/>
          <w:szCs w:val="21"/>
          <w:highlight w:val="none"/>
          <w:lang w:bidi="ar-SA"/>
        </w:rPr>
      </w:pPr>
      <w:r>
        <w:rPr>
          <w:rFonts w:hint="eastAsia"/>
          <w:color w:val="auto"/>
          <w:sz w:val="21"/>
          <w:szCs w:val="21"/>
          <w:highlight w:val="none"/>
          <w:lang w:bidi="ar-SA"/>
        </w:rPr>
        <w:t>法定代表人或委托代理人：</w:t>
      </w:r>
      <w:r>
        <w:rPr>
          <w:rFonts w:hint="eastAsia"/>
          <w:color w:val="auto"/>
          <w:sz w:val="21"/>
          <w:szCs w:val="21"/>
          <w:highlight w:val="none"/>
          <w:lang w:val="en-US" w:eastAsia="zh-CN" w:bidi="ar-SA"/>
        </w:rPr>
        <w:t xml:space="preserve">                   </w:t>
      </w:r>
      <w:r>
        <w:rPr>
          <w:rFonts w:hint="eastAsia"/>
          <w:color w:val="auto"/>
          <w:sz w:val="21"/>
          <w:szCs w:val="21"/>
          <w:highlight w:val="none"/>
          <w:lang w:bidi="ar-SA"/>
        </w:rPr>
        <w:t>法定代表人或委托代理人：</w:t>
      </w:r>
    </w:p>
    <w:p w14:paraId="1A70B376">
      <w:pPr>
        <w:keepNext w:val="0"/>
        <w:keepLines w:val="0"/>
        <w:pageBreakBefore w:val="0"/>
        <w:widowControl/>
        <w:kinsoku/>
        <w:wordWrap/>
        <w:overflowPunct w:val="0"/>
        <w:topLinePunct w:val="0"/>
        <w:autoSpaceDE/>
        <w:autoSpaceDN/>
        <w:bidi w:val="0"/>
        <w:adjustRightInd w:val="0"/>
        <w:snapToGrid w:val="0"/>
        <w:spacing w:beforeAutospacing="0" w:afterAutospacing="0" w:line="360" w:lineRule="auto"/>
        <w:ind w:firstLine="420" w:firstLineChars="200"/>
        <w:textAlignment w:val="baseline"/>
        <w:rPr>
          <w:color w:val="auto"/>
          <w:sz w:val="21"/>
          <w:szCs w:val="21"/>
          <w:highlight w:val="none"/>
          <w:lang w:bidi="ar-SA"/>
        </w:rPr>
      </w:pPr>
      <w:r>
        <w:rPr>
          <w:rFonts w:hint="eastAsia"/>
          <w:color w:val="auto"/>
          <w:sz w:val="21"/>
          <w:szCs w:val="21"/>
          <w:highlight w:val="none"/>
          <w:lang w:bidi="ar-SA"/>
        </w:rPr>
        <w:t>地址：</w:t>
      </w:r>
      <w:r>
        <w:rPr>
          <w:rFonts w:hint="eastAsia"/>
          <w:color w:val="auto"/>
          <w:sz w:val="21"/>
          <w:szCs w:val="21"/>
          <w:highlight w:val="none"/>
          <w:lang w:val="en-US" w:eastAsia="zh-CN" w:bidi="ar-SA"/>
        </w:rPr>
        <w:t xml:space="preserve">                                     </w:t>
      </w:r>
      <w:r>
        <w:rPr>
          <w:rFonts w:hint="eastAsia"/>
          <w:color w:val="auto"/>
          <w:sz w:val="21"/>
          <w:szCs w:val="21"/>
          <w:highlight w:val="none"/>
          <w:lang w:bidi="ar-SA"/>
        </w:rPr>
        <w:t>地址：</w:t>
      </w:r>
    </w:p>
    <w:p w14:paraId="7202B1F7">
      <w:pPr>
        <w:keepNext w:val="0"/>
        <w:keepLines w:val="0"/>
        <w:pageBreakBefore w:val="0"/>
        <w:widowControl/>
        <w:kinsoku/>
        <w:wordWrap/>
        <w:overflowPunct w:val="0"/>
        <w:topLinePunct w:val="0"/>
        <w:autoSpaceDE/>
        <w:autoSpaceDN/>
        <w:bidi w:val="0"/>
        <w:adjustRightInd w:val="0"/>
        <w:snapToGrid w:val="0"/>
        <w:spacing w:beforeAutospacing="0" w:afterAutospacing="0" w:line="360" w:lineRule="auto"/>
        <w:ind w:firstLine="420" w:firstLineChars="200"/>
        <w:textAlignment w:val="baseline"/>
        <w:rPr>
          <w:rFonts w:hint="eastAsia"/>
          <w:color w:val="auto"/>
          <w:sz w:val="21"/>
          <w:szCs w:val="21"/>
          <w:highlight w:val="none"/>
          <w:lang w:bidi="ar-SA"/>
        </w:rPr>
      </w:pPr>
      <w:r>
        <w:rPr>
          <w:rFonts w:hint="eastAsia"/>
          <w:color w:val="auto"/>
          <w:sz w:val="21"/>
          <w:szCs w:val="21"/>
          <w:highlight w:val="none"/>
          <w:lang w:bidi="ar-SA"/>
        </w:rPr>
        <w:t>电话：</w:t>
      </w:r>
      <w:r>
        <w:rPr>
          <w:rFonts w:hint="eastAsia"/>
          <w:color w:val="auto"/>
          <w:sz w:val="21"/>
          <w:szCs w:val="21"/>
          <w:highlight w:val="none"/>
          <w:lang w:val="en-US" w:eastAsia="zh-CN" w:bidi="ar-SA"/>
        </w:rPr>
        <w:t xml:space="preserve">                                     </w:t>
      </w:r>
      <w:r>
        <w:rPr>
          <w:rFonts w:hint="eastAsia"/>
          <w:color w:val="auto"/>
          <w:sz w:val="21"/>
          <w:szCs w:val="21"/>
          <w:highlight w:val="none"/>
          <w:lang w:bidi="ar-SA"/>
        </w:rPr>
        <w:t>电话：</w:t>
      </w:r>
    </w:p>
    <w:p w14:paraId="7A19B5F0">
      <w:pPr>
        <w:keepNext w:val="0"/>
        <w:keepLines w:val="0"/>
        <w:pageBreakBefore w:val="0"/>
        <w:kinsoku/>
        <w:wordWrap/>
        <w:topLinePunct w:val="0"/>
        <w:autoSpaceDE/>
        <w:autoSpaceDN/>
        <w:bidi w:val="0"/>
        <w:spacing w:beforeAutospacing="0" w:afterAutospacing="0" w:line="360" w:lineRule="auto"/>
        <w:rPr>
          <w:rFonts w:hint="eastAsia"/>
          <w:color w:val="auto"/>
          <w:highlight w:val="none"/>
        </w:rPr>
      </w:pPr>
    </w:p>
    <w:p w14:paraId="10B946F3">
      <w:pPr>
        <w:keepNext w:val="0"/>
        <w:keepLines w:val="0"/>
        <w:pageBreakBefore w:val="0"/>
        <w:widowControl/>
        <w:kinsoku/>
        <w:wordWrap/>
        <w:overflowPunct w:val="0"/>
        <w:topLinePunct w:val="0"/>
        <w:autoSpaceDE/>
        <w:autoSpaceDN/>
        <w:bidi w:val="0"/>
        <w:adjustRightInd w:val="0"/>
        <w:snapToGrid w:val="0"/>
        <w:spacing w:beforeAutospacing="0" w:afterAutospacing="0" w:line="360" w:lineRule="auto"/>
        <w:ind w:firstLine="420" w:firstLineChars="200"/>
        <w:textAlignment w:val="baseline"/>
        <w:rPr>
          <w:color w:val="auto"/>
          <w:sz w:val="21"/>
          <w:szCs w:val="21"/>
          <w:highlight w:val="none"/>
          <w:lang w:bidi="ar-SA"/>
        </w:rPr>
      </w:pPr>
      <w:r>
        <w:rPr>
          <w:rFonts w:hint="eastAsia"/>
          <w:color w:val="auto"/>
          <w:sz w:val="21"/>
          <w:szCs w:val="21"/>
          <w:highlight w:val="none"/>
          <w:lang w:val="en-US" w:eastAsia="zh-CN" w:bidi="ar-SA"/>
        </w:rPr>
        <w:t>丙</w:t>
      </w:r>
      <w:r>
        <w:rPr>
          <w:rFonts w:hint="eastAsia"/>
          <w:color w:val="auto"/>
          <w:sz w:val="21"/>
          <w:szCs w:val="21"/>
          <w:highlight w:val="none"/>
          <w:lang w:bidi="ar-SA"/>
        </w:rPr>
        <w:t>方：</w:t>
      </w:r>
    </w:p>
    <w:p w14:paraId="1EB6DE11">
      <w:pPr>
        <w:keepNext w:val="0"/>
        <w:keepLines w:val="0"/>
        <w:pageBreakBefore w:val="0"/>
        <w:widowControl/>
        <w:kinsoku/>
        <w:wordWrap/>
        <w:overflowPunct w:val="0"/>
        <w:topLinePunct w:val="0"/>
        <w:autoSpaceDE/>
        <w:autoSpaceDN/>
        <w:bidi w:val="0"/>
        <w:adjustRightInd w:val="0"/>
        <w:snapToGrid w:val="0"/>
        <w:spacing w:beforeAutospacing="0" w:afterAutospacing="0" w:line="360" w:lineRule="auto"/>
        <w:ind w:firstLine="420" w:firstLineChars="200"/>
        <w:textAlignment w:val="baseline"/>
        <w:rPr>
          <w:color w:val="auto"/>
          <w:sz w:val="21"/>
          <w:szCs w:val="21"/>
          <w:highlight w:val="none"/>
          <w:lang w:bidi="ar-SA"/>
        </w:rPr>
      </w:pPr>
      <w:r>
        <w:rPr>
          <w:rFonts w:hint="eastAsia"/>
          <w:color w:val="auto"/>
          <w:sz w:val="21"/>
          <w:szCs w:val="21"/>
          <w:highlight w:val="none"/>
          <w:lang w:bidi="ar-SA"/>
        </w:rPr>
        <w:t>法定代表人</w:t>
      </w:r>
      <w:r>
        <w:rPr>
          <w:rFonts w:hint="eastAsia" w:ascii="宋体" w:eastAsia="宋体" w:cs="宋体"/>
          <w:color w:val="auto"/>
          <w:sz w:val="21"/>
          <w:szCs w:val="21"/>
          <w:highlight w:val="none"/>
          <w:lang w:val="en-US" w:eastAsia="zh-CN" w:bidi="ar"/>
        </w:rPr>
        <w:t>（负责人）</w:t>
      </w:r>
      <w:r>
        <w:rPr>
          <w:rFonts w:hint="eastAsia"/>
          <w:color w:val="auto"/>
          <w:sz w:val="21"/>
          <w:szCs w:val="21"/>
          <w:highlight w:val="none"/>
          <w:lang w:bidi="ar-SA"/>
        </w:rPr>
        <w:t>或委托代理人：</w:t>
      </w:r>
    </w:p>
    <w:p w14:paraId="34FCD873">
      <w:pPr>
        <w:keepNext w:val="0"/>
        <w:keepLines w:val="0"/>
        <w:pageBreakBefore w:val="0"/>
        <w:widowControl/>
        <w:kinsoku/>
        <w:wordWrap/>
        <w:overflowPunct w:val="0"/>
        <w:topLinePunct w:val="0"/>
        <w:autoSpaceDE/>
        <w:autoSpaceDN/>
        <w:bidi w:val="0"/>
        <w:adjustRightInd w:val="0"/>
        <w:snapToGrid w:val="0"/>
        <w:spacing w:beforeAutospacing="0" w:afterAutospacing="0" w:line="360" w:lineRule="auto"/>
        <w:ind w:firstLine="420" w:firstLineChars="200"/>
        <w:textAlignment w:val="baseline"/>
        <w:rPr>
          <w:color w:val="auto"/>
          <w:sz w:val="21"/>
          <w:szCs w:val="21"/>
          <w:highlight w:val="none"/>
          <w:lang w:bidi="ar-SA"/>
        </w:rPr>
      </w:pPr>
      <w:r>
        <w:rPr>
          <w:rFonts w:hint="eastAsia"/>
          <w:color w:val="auto"/>
          <w:sz w:val="21"/>
          <w:szCs w:val="21"/>
          <w:highlight w:val="none"/>
          <w:lang w:bidi="ar-SA"/>
        </w:rPr>
        <w:t>地址：</w:t>
      </w:r>
    </w:p>
    <w:p w14:paraId="1A9A76E7">
      <w:pPr>
        <w:keepNext w:val="0"/>
        <w:keepLines w:val="0"/>
        <w:pageBreakBefore w:val="0"/>
        <w:widowControl/>
        <w:kinsoku/>
        <w:wordWrap/>
        <w:overflowPunct w:val="0"/>
        <w:topLinePunct w:val="0"/>
        <w:autoSpaceDE/>
        <w:autoSpaceDN/>
        <w:bidi w:val="0"/>
        <w:adjustRightInd w:val="0"/>
        <w:snapToGrid w:val="0"/>
        <w:spacing w:beforeAutospacing="0" w:afterAutospacing="0" w:line="360" w:lineRule="auto"/>
        <w:ind w:firstLine="420" w:firstLineChars="200"/>
        <w:textAlignment w:val="baseline"/>
        <w:rPr>
          <w:rFonts w:hint="eastAsia"/>
          <w:color w:val="auto"/>
          <w:sz w:val="21"/>
          <w:szCs w:val="21"/>
          <w:highlight w:val="none"/>
          <w:lang w:bidi="ar-SA"/>
        </w:rPr>
      </w:pPr>
      <w:r>
        <w:rPr>
          <w:rFonts w:hint="eastAsia"/>
          <w:color w:val="auto"/>
          <w:sz w:val="21"/>
          <w:szCs w:val="21"/>
          <w:highlight w:val="none"/>
          <w:lang w:bidi="ar-SA"/>
        </w:rPr>
        <w:t>电话：</w:t>
      </w:r>
    </w:p>
    <w:p w14:paraId="491CAE93">
      <w:pPr>
        <w:keepNext w:val="0"/>
        <w:keepLines w:val="0"/>
        <w:pageBreakBefore w:val="0"/>
        <w:widowControl/>
        <w:kinsoku/>
        <w:wordWrap/>
        <w:overflowPunct w:val="0"/>
        <w:topLinePunct w:val="0"/>
        <w:autoSpaceDE/>
        <w:autoSpaceDN/>
        <w:bidi w:val="0"/>
        <w:adjustRightInd w:val="0"/>
        <w:snapToGrid w:val="0"/>
        <w:spacing w:beforeAutospacing="0" w:afterAutospacing="0" w:line="360" w:lineRule="auto"/>
        <w:jc w:val="right"/>
        <w:textAlignment w:val="baseline"/>
        <w:rPr>
          <w:color w:val="auto"/>
          <w:sz w:val="21"/>
          <w:szCs w:val="21"/>
          <w:highlight w:val="none"/>
          <w:lang w:bidi="ar-SA"/>
        </w:rPr>
      </w:pPr>
      <w:r>
        <w:rPr>
          <w:rFonts w:hint="eastAsia"/>
          <w:color w:val="auto"/>
          <w:sz w:val="21"/>
          <w:szCs w:val="21"/>
          <w:highlight w:val="none"/>
          <w:lang w:bidi="ar-SA"/>
        </w:rPr>
        <w:t>签</w:t>
      </w:r>
      <w:r>
        <w:rPr>
          <w:rFonts w:hint="eastAsia"/>
          <w:color w:val="auto"/>
          <w:sz w:val="21"/>
          <w:szCs w:val="21"/>
          <w:highlight w:val="none"/>
          <w:lang w:val="en-US" w:eastAsia="zh-CN" w:bidi="ar-SA"/>
        </w:rPr>
        <w:t>订</w:t>
      </w:r>
      <w:r>
        <w:rPr>
          <w:rFonts w:hint="eastAsia"/>
          <w:color w:val="auto"/>
          <w:sz w:val="21"/>
          <w:szCs w:val="21"/>
          <w:highlight w:val="none"/>
          <w:lang w:bidi="ar-SA"/>
        </w:rPr>
        <w:t>日期：</w:t>
      </w:r>
      <w:r>
        <w:rPr>
          <w:color w:val="auto"/>
          <w:sz w:val="21"/>
          <w:szCs w:val="21"/>
          <w:highlight w:val="none"/>
          <w:lang w:bidi="ar-SA"/>
        </w:rPr>
        <w:t xml:space="preserve">     年  月  日</w:t>
      </w:r>
    </w:p>
    <w:p w14:paraId="13082D7D">
      <w:pPr>
        <w:rPr>
          <w:highlight w:val="none"/>
        </w:rPr>
      </w:pPr>
    </w:p>
    <w:p w14:paraId="27326D4F">
      <w:pPr>
        <w:pStyle w:val="43"/>
        <w:rPr>
          <w:highlight w:val="none"/>
        </w:rPr>
      </w:pPr>
    </w:p>
    <w:p w14:paraId="303E6EC2">
      <w:pPr>
        <w:spacing w:after="120" w:afterLines="50" w:line="360" w:lineRule="auto"/>
        <w:rPr>
          <w:rFonts w:hint="eastAsia" w:hAnsi="宋体"/>
          <w:color w:val="auto"/>
          <w:sz w:val="24"/>
          <w:szCs w:val="24"/>
          <w:highlight w:val="none"/>
        </w:rPr>
        <w:sectPr>
          <w:headerReference r:id="rId16" w:type="default"/>
          <w:pgSz w:w="11907" w:h="16840"/>
          <w:pgMar w:top="1440" w:right="1080" w:bottom="1440" w:left="1080" w:header="284" w:footer="420" w:gutter="0"/>
          <w:cols w:space="720" w:num="1"/>
          <w:docGrid w:linePitch="285" w:charSpace="0"/>
        </w:sectPr>
      </w:pPr>
    </w:p>
    <w:p w14:paraId="3498663D">
      <w:pPr>
        <w:wordWrap w:val="0"/>
        <w:spacing w:line="400" w:lineRule="exact"/>
        <w:jc w:val="center"/>
        <w:outlineLvl w:val="0"/>
        <w:rPr>
          <w:rFonts w:ascii="宋体" w:hAnsi="宋体"/>
          <w:b/>
          <w:color w:val="auto"/>
          <w:sz w:val="32"/>
          <w:highlight w:val="none"/>
        </w:rPr>
      </w:pPr>
      <w:bookmarkStart w:id="67" w:name="_Toc135513221"/>
      <w:r>
        <w:rPr>
          <w:rFonts w:hint="eastAsia" w:ascii="宋体" w:hAnsi="宋体"/>
          <w:b/>
          <w:color w:val="auto"/>
          <w:sz w:val="32"/>
          <w:highlight w:val="none"/>
        </w:rPr>
        <w:t>第七章</w:t>
      </w:r>
      <w:r>
        <w:rPr>
          <w:rFonts w:ascii="宋体" w:hAnsi="宋体"/>
          <w:b/>
          <w:color w:val="auto"/>
          <w:sz w:val="32"/>
          <w:highlight w:val="none"/>
        </w:rPr>
        <w:t xml:space="preserve">  </w:t>
      </w:r>
      <w:r>
        <w:rPr>
          <w:rFonts w:hint="eastAsia" w:ascii="宋体" w:hAnsi="宋体"/>
          <w:b/>
          <w:color w:val="auto"/>
          <w:sz w:val="32"/>
          <w:highlight w:val="none"/>
        </w:rPr>
        <w:t>附件</w:t>
      </w:r>
      <w:bookmarkEnd w:id="67"/>
    </w:p>
    <w:p w14:paraId="1A874545">
      <w:pPr>
        <w:wordWrap w:val="0"/>
        <w:spacing w:line="360" w:lineRule="auto"/>
        <w:ind w:firstLine="1124" w:firstLineChars="400"/>
        <w:rPr>
          <w:rFonts w:ascii="宋体" w:hAnsi="宋体"/>
          <w:b/>
          <w:color w:val="auto"/>
          <w:sz w:val="28"/>
          <w:highlight w:val="none"/>
        </w:rPr>
      </w:pPr>
    </w:p>
    <w:p w14:paraId="369AF858">
      <w:pPr>
        <w:wordWrap w:val="0"/>
        <w:spacing w:line="360" w:lineRule="auto"/>
        <w:ind w:firstLine="1124" w:firstLineChars="400"/>
        <w:rPr>
          <w:rFonts w:ascii="宋体" w:hAnsi="宋体"/>
          <w:b/>
          <w:color w:val="auto"/>
          <w:sz w:val="28"/>
          <w:highlight w:val="none"/>
        </w:rPr>
      </w:pPr>
    </w:p>
    <w:p w14:paraId="6C0C10F1">
      <w:pPr>
        <w:wordWrap w:val="0"/>
        <w:spacing w:line="360" w:lineRule="auto"/>
        <w:ind w:firstLine="1124" w:firstLineChars="400"/>
        <w:rPr>
          <w:rFonts w:ascii="宋体" w:hAnsi="宋体"/>
          <w:b/>
          <w:color w:val="auto"/>
          <w:sz w:val="28"/>
          <w:highlight w:val="none"/>
        </w:rPr>
      </w:pPr>
    </w:p>
    <w:p w14:paraId="4F3D8D97">
      <w:pPr>
        <w:wordWrap w:val="0"/>
        <w:spacing w:line="360" w:lineRule="auto"/>
        <w:ind w:firstLine="1124" w:firstLineChars="400"/>
        <w:rPr>
          <w:rFonts w:ascii="宋体" w:hAnsi="宋体"/>
          <w:b/>
          <w:color w:val="auto"/>
          <w:sz w:val="28"/>
          <w:highlight w:val="none"/>
        </w:rPr>
      </w:pPr>
    </w:p>
    <w:p w14:paraId="2F1F7010">
      <w:pPr>
        <w:wordWrap w:val="0"/>
        <w:spacing w:line="400" w:lineRule="exact"/>
        <w:jc w:val="center"/>
        <w:outlineLvl w:val="0"/>
        <w:rPr>
          <w:rStyle w:val="242"/>
          <w:rFonts w:ascii="宋体" w:hAnsi="宋体"/>
          <w:color w:val="auto"/>
          <w:sz w:val="32"/>
          <w:szCs w:val="32"/>
          <w:highlight w:val="none"/>
        </w:rPr>
      </w:pPr>
      <w:bookmarkStart w:id="68" w:name="_Toc130307174"/>
      <w:bookmarkStart w:id="69" w:name="_Toc135513222"/>
      <w:r>
        <w:rPr>
          <w:rStyle w:val="242"/>
          <w:rFonts w:ascii="宋体" w:hAnsi="宋体"/>
          <w:color w:val="auto"/>
          <w:sz w:val="32"/>
          <w:szCs w:val="32"/>
          <w:highlight w:val="none"/>
        </w:rPr>
        <w:t>A</w:t>
      </w:r>
      <w:r>
        <w:rPr>
          <w:rStyle w:val="242"/>
          <w:rFonts w:hint="eastAsia" w:ascii="宋体" w:hAnsi="宋体"/>
          <w:color w:val="auto"/>
          <w:sz w:val="32"/>
          <w:szCs w:val="32"/>
          <w:highlight w:val="none"/>
        </w:rPr>
        <w:t>、资格文件</w:t>
      </w:r>
      <w:bookmarkEnd w:id="68"/>
      <w:bookmarkEnd w:id="69"/>
    </w:p>
    <w:p w14:paraId="55D78BC1">
      <w:pPr>
        <w:wordWrap w:val="0"/>
        <w:spacing w:line="360" w:lineRule="auto"/>
        <w:ind w:firstLine="1120" w:firstLineChars="400"/>
        <w:rPr>
          <w:rFonts w:ascii="宋体" w:hAnsi="宋体"/>
          <w:color w:val="auto"/>
          <w:sz w:val="28"/>
          <w:highlight w:val="none"/>
        </w:rPr>
      </w:pPr>
    </w:p>
    <w:p w14:paraId="493764B5">
      <w:pPr>
        <w:wordWrap w:val="0"/>
        <w:spacing w:line="360" w:lineRule="auto"/>
        <w:rPr>
          <w:rFonts w:ascii="宋体" w:hAnsi="宋体"/>
          <w:b/>
          <w:color w:val="auto"/>
          <w:sz w:val="32"/>
          <w:szCs w:val="32"/>
          <w:highlight w:val="none"/>
        </w:rPr>
      </w:pPr>
      <w:r>
        <w:rPr>
          <w:rFonts w:ascii="宋体" w:hAnsi="宋体"/>
          <w:color w:val="auto"/>
          <w:sz w:val="28"/>
          <w:highlight w:val="none"/>
        </w:rPr>
        <w:br w:type="page"/>
      </w:r>
      <w:r>
        <w:rPr>
          <w:rFonts w:hint="eastAsia" w:ascii="宋体" w:hAnsi="宋体"/>
          <w:b/>
          <w:color w:val="auto"/>
          <w:sz w:val="32"/>
          <w:szCs w:val="32"/>
          <w:highlight w:val="none"/>
        </w:rPr>
        <w:t>封面</w:t>
      </w:r>
      <w:r>
        <w:rPr>
          <w:rFonts w:ascii="宋体" w:hAnsi="宋体"/>
          <w:b/>
          <w:color w:val="auto"/>
          <w:sz w:val="32"/>
          <w:szCs w:val="32"/>
          <w:highlight w:val="none"/>
        </w:rPr>
        <w:t xml:space="preserve">                                       </w:t>
      </w:r>
    </w:p>
    <w:p w14:paraId="3F43BA51">
      <w:pPr>
        <w:wordWrap w:val="0"/>
        <w:spacing w:line="360" w:lineRule="auto"/>
        <w:jc w:val="right"/>
        <w:rPr>
          <w:rFonts w:ascii="宋体" w:hAnsi="宋体"/>
          <w:b/>
          <w:color w:val="auto"/>
          <w:sz w:val="32"/>
          <w:szCs w:val="32"/>
          <w:highlight w:val="none"/>
        </w:rPr>
      </w:pPr>
      <w:r>
        <w:rPr>
          <w:rFonts w:hint="eastAsia" w:ascii="宋体" w:hAnsi="宋体"/>
          <w:b/>
          <w:color w:val="auto"/>
          <w:sz w:val="32"/>
          <w:szCs w:val="32"/>
          <w:highlight w:val="none"/>
        </w:rPr>
        <w:t>正本</w:t>
      </w:r>
    </w:p>
    <w:p w14:paraId="1BB4CEE8">
      <w:pPr>
        <w:wordWrap w:val="0"/>
        <w:spacing w:line="360" w:lineRule="auto"/>
        <w:rPr>
          <w:rFonts w:ascii="宋体" w:hAnsi="宋体"/>
          <w:color w:val="auto"/>
          <w:sz w:val="28"/>
          <w:szCs w:val="28"/>
          <w:highlight w:val="none"/>
        </w:rPr>
      </w:pPr>
    </w:p>
    <w:p w14:paraId="14527D95">
      <w:pPr>
        <w:wordWrap w:val="0"/>
        <w:spacing w:line="360" w:lineRule="auto"/>
        <w:jc w:val="center"/>
        <w:rPr>
          <w:rFonts w:hint="eastAsia" w:ascii="宋体" w:hAnsi="宋体" w:eastAsia="宋体"/>
          <w:color w:val="auto"/>
          <w:sz w:val="48"/>
          <w:szCs w:val="52"/>
          <w:highlight w:val="none"/>
          <w:lang w:eastAsia="zh-CN"/>
        </w:rPr>
      </w:pPr>
      <w:r>
        <w:rPr>
          <w:rFonts w:hint="eastAsia" w:ascii="宋体" w:hAnsi="宋体"/>
          <w:color w:val="auto"/>
          <w:sz w:val="48"/>
          <w:szCs w:val="52"/>
          <w:highlight w:val="none"/>
          <w:lang w:eastAsia="zh-CN"/>
        </w:rPr>
        <w:t>2026年-2028年鄞州区下应、潘火、首南三街道道路桥梁日常养护项目</w:t>
      </w:r>
    </w:p>
    <w:p w14:paraId="0701264D">
      <w:pPr>
        <w:wordWrap w:val="0"/>
        <w:spacing w:line="360" w:lineRule="auto"/>
        <w:jc w:val="center"/>
        <w:rPr>
          <w:rFonts w:hint="eastAsia" w:ascii="宋体" w:hAnsi="宋体" w:eastAsia="宋体"/>
          <w:color w:val="auto"/>
          <w:sz w:val="36"/>
          <w:szCs w:val="36"/>
          <w:highlight w:val="none"/>
          <w:lang w:eastAsia="zh-CN"/>
        </w:rPr>
      </w:pPr>
      <w:r>
        <w:rPr>
          <w:rFonts w:hint="eastAsia" w:ascii="宋体" w:hAnsi="宋体"/>
          <w:color w:val="auto"/>
          <w:sz w:val="36"/>
          <w:szCs w:val="36"/>
          <w:highlight w:val="none"/>
        </w:rPr>
        <w:t>采购编号：</w:t>
      </w:r>
      <w:r>
        <w:rPr>
          <w:rFonts w:hint="eastAsia" w:ascii="宋体" w:hAnsi="宋体"/>
          <w:color w:val="auto"/>
          <w:sz w:val="36"/>
          <w:szCs w:val="36"/>
          <w:highlight w:val="none"/>
          <w:u w:val="single"/>
          <w:lang w:eastAsia="zh-CN"/>
        </w:rPr>
        <w:t>NBITC-202620214G</w:t>
      </w:r>
    </w:p>
    <w:p w14:paraId="5E95310D">
      <w:pPr>
        <w:wordWrap w:val="0"/>
        <w:spacing w:line="360" w:lineRule="auto"/>
        <w:rPr>
          <w:rFonts w:ascii="宋体" w:hAnsi="宋体"/>
          <w:color w:val="auto"/>
          <w:sz w:val="28"/>
          <w:szCs w:val="28"/>
          <w:highlight w:val="none"/>
        </w:rPr>
      </w:pPr>
    </w:p>
    <w:p w14:paraId="438F14F6">
      <w:pPr>
        <w:wordWrap w:val="0"/>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（资格文件）</w:t>
      </w:r>
    </w:p>
    <w:p w14:paraId="7C44264C">
      <w:pPr>
        <w:wordWrap w:val="0"/>
        <w:jc w:val="center"/>
        <w:rPr>
          <w:rFonts w:ascii="宋体" w:hAnsi="宋体"/>
          <w:color w:val="auto"/>
          <w:sz w:val="28"/>
          <w:szCs w:val="28"/>
          <w:highlight w:val="none"/>
        </w:rPr>
      </w:pPr>
    </w:p>
    <w:p w14:paraId="01E475CE">
      <w:pPr>
        <w:wordWrap w:val="0"/>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投标文件</w:t>
      </w:r>
    </w:p>
    <w:p w14:paraId="756FC1C7">
      <w:pPr>
        <w:wordWrap w:val="0"/>
        <w:spacing w:line="360" w:lineRule="auto"/>
        <w:jc w:val="center"/>
        <w:rPr>
          <w:rFonts w:ascii="宋体" w:hAnsi="宋体"/>
          <w:color w:val="auto"/>
          <w:sz w:val="36"/>
          <w:szCs w:val="36"/>
          <w:highlight w:val="none"/>
        </w:rPr>
      </w:pPr>
    </w:p>
    <w:p w14:paraId="65D0B2AA">
      <w:pPr>
        <w:wordWrap w:val="0"/>
        <w:spacing w:line="360" w:lineRule="auto"/>
        <w:jc w:val="center"/>
        <w:rPr>
          <w:rFonts w:ascii="宋体" w:hAnsi="宋体"/>
          <w:color w:val="auto"/>
          <w:sz w:val="36"/>
          <w:szCs w:val="36"/>
          <w:highlight w:val="none"/>
        </w:rPr>
      </w:pPr>
    </w:p>
    <w:p w14:paraId="65B55F17">
      <w:pPr>
        <w:wordWrap w:val="0"/>
        <w:spacing w:line="360" w:lineRule="auto"/>
        <w:jc w:val="center"/>
        <w:rPr>
          <w:rFonts w:ascii="宋体" w:hAnsi="宋体"/>
          <w:color w:val="auto"/>
          <w:sz w:val="36"/>
          <w:szCs w:val="36"/>
          <w:highlight w:val="none"/>
        </w:rPr>
      </w:pPr>
    </w:p>
    <w:p w14:paraId="5F814C0F">
      <w:pPr>
        <w:wordWrap w:val="0"/>
        <w:spacing w:line="480" w:lineRule="auto"/>
        <w:rPr>
          <w:rFonts w:ascii="宋体" w:hAnsi="宋体"/>
          <w:color w:val="auto"/>
          <w:sz w:val="32"/>
          <w:szCs w:val="36"/>
          <w:highlight w:val="none"/>
          <w:u w:val="single"/>
        </w:rPr>
      </w:pPr>
      <w:r>
        <w:rPr>
          <w:rFonts w:hint="eastAsia" w:ascii="宋体" w:hAnsi="宋体"/>
          <w:color w:val="auto"/>
          <w:sz w:val="32"/>
          <w:szCs w:val="36"/>
          <w:highlight w:val="none"/>
        </w:rPr>
        <w:t>投标人全称：</w:t>
      </w:r>
      <w:r>
        <w:rPr>
          <w:rFonts w:hint="eastAsia" w:ascii="宋体" w:hAnsi="宋体"/>
          <w:color w:val="auto"/>
          <w:sz w:val="32"/>
          <w:szCs w:val="36"/>
          <w:highlight w:val="none"/>
          <w:u w:val="single"/>
        </w:rPr>
        <w:t>（加盖单位公章）</w:t>
      </w:r>
    </w:p>
    <w:p w14:paraId="5994978A">
      <w:pPr>
        <w:wordWrap w:val="0"/>
        <w:spacing w:line="480" w:lineRule="auto"/>
        <w:rPr>
          <w:rFonts w:ascii="宋体" w:hAnsi="宋体"/>
          <w:color w:val="auto"/>
          <w:sz w:val="32"/>
          <w:szCs w:val="36"/>
          <w:highlight w:val="none"/>
          <w:u w:val="single"/>
        </w:rPr>
      </w:pPr>
      <w:r>
        <w:rPr>
          <w:rFonts w:hint="eastAsia" w:ascii="宋体" w:hAnsi="宋体"/>
          <w:color w:val="auto"/>
          <w:sz w:val="32"/>
          <w:szCs w:val="36"/>
          <w:highlight w:val="none"/>
        </w:rPr>
        <w:t>法定代表人或其授权委托人（签名或印章）：</w:t>
      </w:r>
      <w:r>
        <w:rPr>
          <w:rFonts w:hint="eastAsia" w:ascii="宋体" w:hAnsi="宋体"/>
          <w:color w:val="auto"/>
          <w:sz w:val="32"/>
          <w:szCs w:val="36"/>
          <w:highlight w:val="none"/>
          <w:u w:val="single"/>
        </w:rPr>
        <w:t xml:space="preserve">  </w:t>
      </w:r>
      <w:r>
        <w:rPr>
          <w:rFonts w:ascii="宋体" w:hAnsi="宋体"/>
          <w:color w:val="auto"/>
          <w:sz w:val="32"/>
          <w:szCs w:val="36"/>
          <w:highlight w:val="none"/>
          <w:u w:val="single"/>
        </w:rPr>
        <w:t xml:space="preserve">   </w:t>
      </w:r>
      <w:r>
        <w:rPr>
          <w:rFonts w:hint="eastAsia" w:ascii="宋体" w:hAnsi="宋体"/>
          <w:color w:val="auto"/>
          <w:sz w:val="32"/>
          <w:szCs w:val="36"/>
          <w:highlight w:val="none"/>
          <w:u w:val="single"/>
        </w:rPr>
        <w:t xml:space="preserve">        </w:t>
      </w:r>
    </w:p>
    <w:p w14:paraId="63AA86AC">
      <w:pPr>
        <w:wordWrap w:val="0"/>
        <w:spacing w:line="480" w:lineRule="auto"/>
        <w:rPr>
          <w:rFonts w:ascii="宋体" w:hAnsi="宋体"/>
          <w:color w:val="auto"/>
          <w:sz w:val="32"/>
          <w:szCs w:val="36"/>
          <w:highlight w:val="none"/>
        </w:rPr>
      </w:pPr>
      <w:r>
        <w:rPr>
          <w:rFonts w:hint="eastAsia" w:ascii="宋体" w:hAnsi="宋体"/>
          <w:color w:val="auto"/>
          <w:sz w:val="32"/>
          <w:szCs w:val="36"/>
          <w:highlight w:val="none"/>
        </w:rPr>
        <w:t>日期</w:t>
      </w:r>
      <w:r>
        <w:rPr>
          <w:rFonts w:ascii="宋体" w:hAnsi="宋体"/>
          <w:color w:val="auto"/>
          <w:sz w:val="32"/>
          <w:szCs w:val="36"/>
          <w:highlight w:val="none"/>
        </w:rPr>
        <w:t>：</w:t>
      </w:r>
      <w:r>
        <w:rPr>
          <w:rFonts w:hint="eastAsia" w:ascii="宋体" w:hAnsi="宋体"/>
          <w:color w:val="auto"/>
          <w:sz w:val="32"/>
          <w:szCs w:val="36"/>
          <w:highlight w:val="none"/>
          <w:u w:val="single"/>
        </w:rPr>
        <w:t xml:space="preserve">       </w:t>
      </w:r>
      <w:r>
        <w:rPr>
          <w:rFonts w:hint="eastAsia" w:ascii="宋体" w:hAnsi="宋体"/>
          <w:color w:val="auto"/>
          <w:sz w:val="32"/>
          <w:szCs w:val="36"/>
          <w:highlight w:val="none"/>
        </w:rPr>
        <w:t>年</w:t>
      </w:r>
      <w:r>
        <w:rPr>
          <w:rFonts w:hint="eastAsia" w:ascii="宋体" w:hAnsi="宋体"/>
          <w:color w:val="auto"/>
          <w:sz w:val="32"/>
          <w:szCs w:val="36"/>
          <w:highlight w:val="none"/>
          <w:u w:val="single"/>
        </w:rPr>
        <w:t xml:space="preserve">       </w:t>
      </w:r>
      <w:r>
        <w:rPr>
          <w:rFonts w:hint="eastAsia" w:ascii="宋体" w:hAnsi="宋体"/>
          <w:color w:val="auto"/>
          <w:sz w:val="32"/>
          <w:szCs w:val="36"/>
          <w:highlight w:val="none"/>
        </w:rPr>
        <w:t>月</w:t>
      </w:r>
      <w:r>
        <w:rPr>
          <w:rFonts w:hint="eastAsia" w:ascii="宋体" w:hAnsi="宋体"/>
          <w:color w:val="auto"/>
          <w:sz w:val="32"/>
          <w:szCs w:val="36"/>
          <w:highlight w:val="none"/>
          <w:u w:val="single"/>
        </w:rPr>
        <w:t xml:space="preserve">       </w:t>
      </w:r>
      <w:r>
        <w:rPr>
          <w:rFonts w:hint="eastAsia" w:ascii="宋体" w:hAnsi="宋体"/>
          <w:color w:val="auto"/>
          <w:sz w:val="32"/>
          <w:szCs w:val="36"/>
          <w:highlight w:val="none"/>
        </w:rPr>
        <w:t>日</w:t>
      </w:r>
    </w:p>
    <w:p w14:paraId="487B60D7">
      <w:pPr>
        <w:wordWrap w:val="0"/>
        <w:spacing w:line="360" w:lineRule="auto"/>
        <w:rPr>
          <w:rStyle w:val="242"/>
          <w:rFonts w:ascii="宋体" w:hAnsi="宋体"/>
          <w:color w:val="auto"/>
          <w:szCs w:val="21"/>
          <w:highlight w:val="none"/>
        </w:rPr>
      </w:pPr>
      <w:r>
        <w:rPr>
          <w:rStyle w:val="242"/>
          <w:rFonts w:ascii="宋体" w:hAnsi="宋体"/>
          <w:color w:val="auto"/>
          <w:szCs w:val="21"/>
          <w:highlight w:val="none"/>
        </w:rPr>
        <w:br w:type="page"/>
      </w:r>
    </w:p>
    <w:p w14:paraId="56838474">
      <w:pPr>
        <w:wordWrap w:val="0"/>
        <w:spacing w:line="400" w:lineRule="exact"/>
        <w:rPr>
          <w:rFonts w:ascii="宋体" w:hAnsi="宋体"/>
          <w:b/>
          <w:color w:val="auto"/>
          <w:sz w:val="24"/>
          <w:szCs w:val="24"/>
          <w:highlight w:val="none"/>
        </w:rPr>
      </w:pPr>
      <w:r>
        <w:rPr>
          <w:rFonts w:ascii="宋体" w:hAnsi="宋体"/>
          <w:b/>
          <w:color w:val="auto"/>
          <w:sz w:val="24"/>
          <w:szCs w:val="24"/>
          <w:highlight w:val="none"/>
        </w:rPr>
        <w:t>A1</w:t>
      </w:r>
      <w:r>
        <w:rPr>
          <w:rFonts w:hint="eastAsia" w:ascii="宋体" w:hAnsi="宋体"/>
          <w:b/>
          <w:color w:val="auto"/>
          <w:sz w:val="24"/>
          <w:szCs w:val="24"/>
          <w:highlight w:val="none"/>
        </w:rPr>
        <w:t>、</w:t>
      </w:r>
      <w:r>
        <w:rPr>
          <w:rStyle w:val="242"/>
          <w:rFonts w:hint="eastAsia" w:ascii="宋体" w:hAnsi="宋体"/>
          <w:color w:val="auto"/>
          <w:szCs w:val="24"/>
          <w:highlight w:val="none"/>
        </w:rPr>
        <w:t>关于</w:t>
      </w:r>
      <w:r>
        <w:rPr>
          <w:rFonts w:hint="eastAsia" w:ascii="宋体" w:hAnsi="宋体"/>
          <w:b/>
          <w:color w:val="auto"/>
          <w:sz w:val="24"/>
          <w:szCs w:val="24"/>
          <w:highlight w:val="none"/>
        </w:rPr>
        <w:t>资格的承诺函</w:t>
      </w:r>
    </w:p>
    <w:p w14:paraId="1D249245">
      <w:pPr>
        <w:wordWrap w:val="0"/>
        <w:spacing w:line="400" w:lineRule="exact"/>
        <w:jc w:val="center"/>
        <w:rPr>
          <w:rFonts w:ascii="宋体" w:hAnsi="宋体"/>
          <w:b/>
          <w:color w:val="auto"/>
          <w:sz w:val="24"/>
          <w:szCs w:val="24"/>
          <w:highlight w:val="none"/>
        </w:rPr>
      </w:pPr>
      <w:r>
        <w:rPr>
          <w:rStyle w:val="242"/>
          <w:rFonts w:hint="eastAsia" w:ascii="宋体" w:hAnsi="宋体"/>
          <w:color w:val="auto"/>
          <w:szCs w:val="24"/>
          <w:highlight w:val="none"/>
        </w:rPr>
        <w:t>关于</w:t>
      </w:r>
      <w:r>
        <w:rPr>
          <w:rFonts w:hint="eastAsia" w:ascii="宋体" w:hAnsi="宋体"/>
          <w:b/>
          <w:color w:val="auto"/>
          <w:sz w:val="24"/>
          <w:szCs w:val="24"/>
          <w:highlight w:val="none"/>
        </w:rPr>
        <w:t>资格的承诺函</w:t>
      </w:r>
    </w:p>
    <w:p w14:paraId="491F7791">
      <w:pPr>
        <w:wordWrap w:val="0"/>
        <w:spacing w:line="400" w:lineRule="exact"/>
        <w:rPr>
          <w:rFonts w:ascii="宋体" w:hAnsi="宋体"/>
          <w:b/>
          <w:color w:val="auto"/>
          <w:sz w:val="24"/>
          <w:szCs w:val="24"/>
          <w:highlight w:val="none"/>
        </w:rPr>
      </w:pPr>
      <w:r>
        <w:rPr>
          <w:rFonts w:hint="eastAsia" w:ascii="宋体" w:hAnsi="宋体"/>
          <w:color w:val="auto"/>
          <w:sz w:val="24"/>
          <w:szCs w:val="24"/>
          <w:highlight w:val="none"/>
        </w:rPr>
        <w:t>致：采购人</w:t>
      </w:r>
    </w:p>
    <w:p w14:paraId="631BEC53">
      <w:pPr>
        <w:wordWrap w:val="0"/>
        <w:spacing w:line="400" w:lineRule="exact"/>
        <w:ind w:firstLine="480" w:firstLineChars="200"/>
        <w:rPr>
          <w:rFonts w:ascii="宋体" w:hAnsi="宋体"/>
          <w:color w:val="auto"/>
          <w:sz w:val="24"/>
          <w:szCs w:val="24"/>
          <w:highlight w:val="none"/>
        </w:rPr>
      </w:pPr>
      <w:r>
        <w:rPr>
          <w:rFonts w:hint="eastAsia" w:ascii="宋体" w:hAnsi="宋体"/>
          <w:bCs/>
          <w:color w:val="auto"/>
          <w:sz w:val="24"/>
          <w:szCs w:val="24"/>
          <w:highlight w:val="none"/>
        </w:rPr>
        <w:t>我单位承诺：</w:t>
      </w:r>
    </w:p>
    <w:p w14:paraId="4374CB78">
      <w:pPr>
        <w:wordWrap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我单位满足《中华人民共和国政府采购法》第二十二条 供应商参加政府采购活动应当具备的下列条件：</w:t>
      </w:r>
    </w:p>
    <w:p w14:paraId="067D3636">
      <w:pPr>
        <w:wordWrap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（一）具有独立承担民事责任的能力；</w:t>
      </w:r>
    </w:p>
    <w:p w14:paraId="0BCA24A6">
      <w:pPr>
        <w:wordWrap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（二）具有良好的商业信誉和健全的财务会计制度；</w:t>
      </w:r>
    </w:p>
    <w:p w14:paraId="4379BF86">
      <w:pPr>
        <w:wordWrap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（三）具有履行合同所必需的设备和专业技术能力；</w:t>
      </w:r>
    </w:p>
    <w:p w14:paraId="56DDDCF9">
      <w:pPr>
        <w:wordWrap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（四）有依法缴纳税收和社会保障资金的良好记录；</w:t>
      </w:r>
    </w:p>
    <w:p w14:paraId="2F206DE1">
      <w:pPr>
        <w:wordWrap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（五）参加政府采购活动前三年内，在经营活动中没有重大违法记录；</w:t>
      </w:r>
    </w:p>
    <w:p w14:paraId="3C370CFD">
      <w:pPr>
        <w:wordWrap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（六）法律、行政法规规定的其他条件。</w:t>
      </w:r>
    </w:p>
    <w:p w14:paraId="01A0D649">
      <w:pPr>
        <w:wordWrap w:val="0"/>
        <w:spacing w:line="400" w:lineRule="exact"/>
        <w:ind w:firstLine="480" w:firstLineChars="200"/>
        <w:rPr>
          <w:rFonts w:ascii="宋体" w:hAnsi="宋体"/>
          <w:color w:val="auto"/>
          <w:sz w:val="24"/>
          <w:szCs w:val="24"/>
          <w:highlight w:val="none"/>
        </w:rPr>
      </w:pPr>
    </w:p>
    <w:p w14:paraId="09C9113F">
      <w:pPr>
        <w:wordWrap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243BE69F">
      <w:pPr>
        <w:wordWrap w:val="0"/>
        <w:spacing w:line="400" w:lineRule="exact"/>
        <w:ind w:firstLine="480" w:firstLineChars="200"/>
        <w:rPr>
          <w:rFonts w:ascii="宋体" w:hAnsi="宋体"/>
          <w:color w:val="auto"/>
          <w:sz w:val="24"/>
          <w:szCs w:val="24"/>
          <w:highlight w:val="none"/>
        </w:rPr>
      </w:pPr>
    </w:p>
    <w:p w14:paraId="5F1EBFFF">
      <w:pPr>
        <w:wordWrap w:val="0"/>
        <w:spacing w:line="400" w:lineRule="exact"/>
        <w:ind w:firstLine="480" w:firstLineChars="200"/>
        <w:rPr>
          <w:rFonts w:ascii="宋体" w:hAnsi="宋体"/>
          <w:color w:val="auto"/>
          <w:sz w:val="24"/>
          <w:szCs w:val="24"/>
          <w:highlight w:val="none"/>
        </w:rPr>
      </w:pPr>
    </w:p>
    <w:p w14:paraId="23B9363A">
      <w:pPr>
        <w:wordWrap w:val="0"/>
        <w:spacing w:line="400" w:lineRule="exact"/>
        <w:ind w:firstLine="480" w:firstLineChars="200"/>
        <w:rPr>
          <w:rFonts w:ascii="宋体" w:hAnsi="宋体"/>
          <w:color w:val="auto"/>
          <w:sz w:val="24"/>
          <w:szCs w:val="24"/>
          <w:highlight w:val="none"/>
        </w:rPr>
      </w:pPr>
    </w:p>
    <w:p w14:paraId="4C1A7DB9">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投标人（盖章）：         </w:t>
      </w:r>
    </w:p>
    <w:p w14:paraId="46CB4BD0">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法定代表人或其授权委托人（签名或印章）：        </w:t>
      </w:r>
    </w:p>
    <w:p w14:paraId="79ED1AAB">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日  期：        </w:t>
      </w:r>
    </w:p>
    <w:p w14:paraId="0475A87A">
      <w:pPr>
        <w:wordWrap w:val="0"/>
        <w:spacing w:line="360" w:lineRule="auto"/>
        <w:ind w:firstLine="415" w:firstLineChars="197"/>
        <w:rPr>
          <w:rFonts w:ascii="宋体" w:hAnsi="宋体" w:cs="宋体"/>
          <w:b/>
          <w:color w:val="auto"/>
          <w:sz w:val="24"/>
          <w:szCs w:val="24"/>
          <w:highlight w:val="none"/>
        </w:rPr>
      </w:pPr>
      <w:r>
        <w:rPr>
          <w:rFonts w:ascii="宋体" w:hAnsi="宋体"/>
          <w:b/>
          <w:color w:val="auto"/>
          <w:highlight w:val="none"/>
        </w:rPr>
        <w:br w:type="page"/>
      </w:r>
      <w:r>
        <w:rPr>
          <w:rFonts w:ascii="宋体" w:hAnsi="宋体" w:cs="宋体"/>
          <w:b/>
          <w:color w:val="auto"/>
          <w:sz w:val="24"/>
          <w:szCs w:val="24"/>
          <w:highlight w:val="none"/>
        </w:rPr>
        <w:t>A</w:t>
      </w:r>
      <w:r>
        <w:rPr>
          <w:rFonts w:hint="eastAsia" w:ascii="宋体" w:hAnsi="宋体" w:cs="宋体"/>
          <w:b/>
          <w:color w:val="auto"/>
          <w:sz w:val="24"/>
          <w:szCs w:val="24"/>
          <w:highlight w:val="none"/>
        </w:rPr>
        <w:t>2、营业执照副本（或事业法人登记证副本或其他登记证明材料）扫描件加盖投标人公章（投标人如果有名称变更的，应提供由行政主管部门出具的变更证明文件扫描件加盖投标人公章）；</w:t>
      </w:r>
    </w:p>
    <w:p w14:paraId="24C4844E">
      <w:pPr>
        <w:pStyle w:val="12"/>
        <w:ind w:firstLine="536"/>
        <w:rPr>
          <w:rFonts w:hint="eastAsia"/>
          <w:color w:val="auto"/>
          <w:highlight w:val="none"/>
        </w:rPr>
      </w:pPr>
    </w:p>
    <w:p w14:paraId="2979717E">
      <w:pPr>
        <w:rPr>
          <w:rStyle w:val="242"/>
          <w:rFonts w:ascii="宋体" w:hAnsi="宋体"/>
          <w:color w:val="auto"/>
          <w:szCs w:val="21"/>
          <w:highlight w:val="none"/>
        </w:rPr>
      </w:pPr>
      <w:r>
        <w:rPr>
          <w:rStyle w:val="242"/>
          <w:rFonts w:ascii="宋体" w:hAnsi="宋体"/>
          <w:color w:val="auto"/>
          <w:szCs w:val="21"/>
          <w:highlight w:val="none"/>
        </w:rPr>
        <w:br w:type="page"/>
      </w:r>
      <w:r>
        <w:rPr>
          <w:rStyle w:val="242"/>
          <w:rFonts w:hint="eastAsia" w:ascii="宋体" w:hAnsi="宋体"/>
          <w:color w:val="auto"/>
          <w:szCs w:val="21"/>
          <w:highlight w:val="none"/>
          <w:lang w:val="en-US"/>
        </w:rPr>
        <w:t>A3、有效的市政公用施工总承包资质证书扫描件加盖投标人公章</w:t>
      </w:r>
      <w:r>
        <w:rPr>
          <w:rStyle w:val="242"/>
          <w:rFonts w:ascii="宋体" w:hAnsi="宋体"/>
          <w:color w:val="auto"/>
          <w:szCs w:val="21"/>
          <w:highlight w:val="none"/>
        </w:rPr>
        <w:br w:type="page"/>
      </w:r>
    </w:p>
    <w:p w14:paraId="2C6A2EE3">
      <w:pPr>
        <w:wordWrap w:val="0"/>
        <w:jc w:val="center"/>
        <w:rPr>
          <w:rFonts w:ascii="宋体" w:hAnsi="宋体"/>
          <w:b/>
          <w:color w:val="auto"/>
          <w:sz w:val="24"/>
          <w:szCs w:val="24"/>
          <w:highlight w:val="none"/>
        </w:rPr>
      </w:pPr>
      <w:r>
        <w:rPr>
          <w:rFonts w:ascii="宋体" w:hAnsi="宋体" w:cs="宋体"/>
          <w:b/>
          <w:color w:val="auto"/>
          <w:sz w:val="24"/>
          <w:szCs w:val="24"/>
          <w:highlight w:val="none"/>
        </w:rPr>
        <w:t>A</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w:t>
      </w:r>
      <w:r>
        <w:rPr>
          <w:rFonts w:ascii="宋体" w:hAnsi="宋体" w:cs="宋体"/>
          <w:b/>
          <w:color w:val="auto"/>
          <w:sz w:val="24"/>
          <w:szCs w:val="24"/>
          <w:highlight w:val="none"/>
        </w:rPr>
        <w:t>投标</w:t>
      </w:r>
      <w:r>
        <w:rPr>
          <w:rFonts w:hint="eastAsia" w:ascii="宋体" w:hAnsi="宋体" w:cs="宋体"/>
          <w:b/>
          <w:color w:val="auto"/>
          <w:sz w:val="24"/>
          <w:szCs w:val="24"/>
          <w:highlight w:val="none"/>
        </w:rPr>
        <w:t>人</w:t>
      </w:r>
      <w:r>
        <w:rPr>
          <w:rFonts w:ascii="宋体" w:hAnsi="宋体" w:cs="宋体"/>
          <w:b/>
          <w:color w:val="auto"/>
          <w:sz w:val="24"/>
          <w:szCs w:val="24"/>
          <w:highlight w:val="none"/>
        </w:rPr>
        <w:t>承诺书</w:t>
      </w:r>
    </w:p>
    <w:p w14:paraId="3A865FDF">
      <w:pPr>
        <w:wordWrap w:val="0"/>
        <w:ind w:firstLine="420"/>
        <w:rPr>
          <w:rFonts w:ascii="宋体" w:hAnsi="宋体"/>
          <w:color w:val="auto"/>
          <w:sz w:val="24"/>
          <w:szCs w:val="24"/>
          <w:highlight w:val="none"/>
        </w:rPr>
      </w:pPr>
    </w:p>
    <w:p w14:paraId="78D280DF">
      <w:pPr>
        <w:wordWrap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本投标人遵循公开、公平、公正和诚实信用的原则，参加</w:t>
      </w:r>
      <w:r>
        <w:rPr>
          <w:rFonts w:hint="eastAsia" w:ascii="宋体" w:hAnsi="宋体"/>
          <w:color w:val="auto"/>
          <w:sz w:val="24"/>
          <w:szCs w:val="24"/>
          <w:highlight w:val="none"/>
          <w:u w:val="single"/>
          <w:lang w:eastAsia="zh-CN"/>
        </w:rPr>
        <w:t>2026年-2028年鄞州区下应、潘火、首南三街道道路桥梁日常养护项目</w:t>
      </w:r>
      <w:r>
        <w:rPr>
          <w:rFonts w:ascii="宋体" w:hAnsi="宋体"/>
          <w:color w:val="auto"/>
          <w:sz w:val="24"/>
          <w:szCs w:val="24"/>
          <w:highlight w:val="none"/>
        </w:rPr>
        <w:t>投标(响应)，特郑重承诺如下</w:t>
      </w:r>
      <w:r>
        <w:rPr>
          <w:rFonts w:hint="eastAsia" w:ascii="宋体" w:hAnsi="宋体"/>
          <w:color w:val="auto"/>
          <w:sz w:val="24"/>
          <w:szCs w:val="24"/>
          <w:highlight w:val="none"/>
        </w:rPr>
        <w:t>：</w:t>
      </w:r>
    </w:p>
    <w:p w14:paraId="28901028">
      <w:pPr>
        <w:wordWrap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一、所提供的一切资料都是真实、有效、合法的</w:t>
      </w:r>
      <w:r>
        <w:rPr>
          <w:rFonts w:hint="eastAsia" w:ascii="宋体" w:hAnsi="宋体"/>
          <w:color w:val="auto"/>
          <w:sz w:val="24"/>
          <w:szCs w:val="24"/>
          <w:highlight w:val="none"/>
        </w:rPr>
        <w:t>；</w:t>
      </w:r>
    </w:p>
    <w:p w14:paraId="13DDD77C">
      <w:pPr>
        <w:wordWrap w:val="0"/>
        <w:snapToGrid w:val="0"/>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w:t>
      </w:r>
      <w:r>
        <w:rPr>
          <w:rFonts w:hint="eastAsia" w:ascii="宋体" w:hAnsi="宋体"/>
          <w:color w:val="auto"/>
          <w:sz w:val="24"/>
          <w:szCs w:val="24"/>
          <w:highlight w:val="none"/>
        </w:rPr>
        <w:t>本公司（企业）的法定代表人或单位负责人与所参投的本采购项目的其他投标人的法定代表人或单位负责人不为同一人且与其他投标人之间不存在直接控股、管理关系。</w:t>
      </w:r>
    </w:p>
    <w:p w14:paraId="7369A1D0">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三、未为本项目提供整体设计、规范编制或者项目管理、监理、检测等服务。</w:t>
      </w:r>
    </w:p>
    <w:p w14:paraId="14DF8FF3">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四、与采购人不存在以下利害关系：采购人在该投标人中有股份的。</w:t>
      </w:r>
    </w:p>
    <w:p w14:paraId="67CCB37C">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、无资质挂靠或出卖资质让他人挂靠投标(响应)的行为</w:t>
      </w:r>
      <w:r>
        <w:rPr>
          <w:rFonts w:hint="eastAsia" w:ascii="宋体" w:hAnsi="宋体"/>
          <w:color w:val="auto"/>
          <w:sz w:val="24"/>
          <w:szCs w:val="24"/>
          <w:highlight w:val="none"/>
        </w:rPr>
        <w:t>；</w:t>
      </w:r>
    </w:p>
    <w:p w14:paraId="5AF5F612">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、不以他人名义投标(响应)或者以其他方式弄虚作假，骗取中标(成交)</w:t>
      </w:r>
      <w:r>
        <w:rPr>
          <w:rFonts w:hint="eastAsia" w:ascii="宋体" w:hAnsi="宋体"/>
          <w:color w:val="auto"/>
          <w:sz w:val="24"/>
          <w:szCs w:val="24"/>
          <w:highlight w:val="none"/>
        </w:rPr>
        <w:t xml:space="preserve"> ；</w:t>
      </w:r>
    </w:p>
    <w:p w14:paraId="07078D3B">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、没有被各级行政主管部门做出停止市场行为的处罚</w:t>
      </w:r>
      <w:r>
        <w:rPr>
          <w:rFonts w:hint="eastAsia" w:ascii="宋体" w:hAnsi="宋体"/>
          <w:color w:val="auto"/>
          <w:sz w:val="24"/>
          <w:szCs w:val="24"/>
          <w:highlight w:val="none"/>
        </w:rPr>
        <w:t>；</w:t>
      </w:r>
    </w:p>
    <w:p w14:paraId="382B4D83">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、不参与串标、围标及抬标(响应)情形，不排挤其他投标(响应)人的公平竞争</w:t>
      </w:r>
      <w:r>
        <w:rPr>
          <w:rFonts w:hint="eastAsia" w:ascii="宋体" w:hAnsi="宋体"/>
          <w:color w:val="auto"/>
          <w:sz w:val="24"/>
          <w:szCs w:val="24"/>
          <w:highlight w:val="none"/>
        </w:rPr>
        <w:t>；</w:t>
      </w:r>
    </w:p>
    <w:p w14:paraId="73C4F86B">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、不与采购人或采购代理机构串通投标(响应)，损害国家利益、社会公共利益或者他人的合法权益</w:t>
      </w:r>
      <w:r>
        <w:rPr>
          <w:rFonts w:hint="eastAsia" w:ascii="宋体" w:hAnsi="宋体"/>
          <w:color w:val="auto"/>
          <w:sz w:val="24"/>
          <w:szCs w:val="24"/>
          <w:highlight w:val="none"/>
        </w:rPr>
        <w:t>；</w:t>
      </w:r>
    </w:p>
    <w:p w14:paraId="492F5535">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w:t>
      </w:r>
      <w:r>
        <w:rPr>
          <w:rFonts w:ascii="宋体" w:hAnsi="宋体"/>
          <w:color w:val="auto"/>
          <w:sz w:val="24"/>
          <w:szCs w:val="24"/>
          <w:highlight w:val="none"/>
        </w:rPr>
        <w:t>、不向采购人或者评审委员会成员行贿以牟取中标(成交)</w:t>
      </w:r>
      <w:r>
        <w:rPr>
          <w:rFonts w:hint="eastAsia" w:ascii="宋体" w:hAnsi="宋体"/>
          <w:color w:val="auto"/>
          <w:sz w:val="24"/>
          <w:szCs w:val="24"/>
          <w:highlight w:val="none"/>
        </w:rPr>
        <w:t xml:space="preserve"> ；</w:t>
      </w:r>
    </w:p>
    <w:p w14:paraId="7BDAE42A">
      <w:pPr>
        <w:wordWrap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十一、本项目</w:t>
      </w:r>
      <w:r>
        <w:rPr>
          <w:rFonts w:ascii="宋体" w:hAnsi="宋体"/>
          <w:color w:val="auto"/>
          <w:sz w:val="24"/>
          <w:szCs w:val="24"/>
          <w:highlight w:val="none"/>
        </w:rPr>
        <w:t>我公司未</w:t>
      </w:r>
      <w:r>
        <w:rPr>
          <w:rFonts w:hint="eastAsia" w:ascii="宋体" w:hAnsi="宋体"/>
          <w:color w:val="auto"/>
          <w:sz w:val="24"/>
          <w:szCs w:val="24"/>
          <w:highlight w:val="none"/>
        </w:rPr>
        <w:t xml:space="preserve">联合体投标； </w:t>
      </w:r>
    </w:p>
    <w:p w14:paraId="6220D948">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十二</w:t>
      </w:r>
      <w:r>
        <w:rPr>
          <w:rFonts w:ascii="宋体" w:hAnsi="宋体"/>
          <w:color w:val="auto"/>
          <w:sz w:val="24"/>
          <w:szCs w:val="24"/>
          <w:highlight w:val="none"/>
        </w:rPr>
        <w:t>、不扰乱采购人招标采购秩序，不在招标采购过程中进行虚假恶意投标(响应)、质疑或投诉</w:t>
      </w:r>
      <w:r>
        <w:rPr>
          <w:rFonts w:hint="eastAsia" w:ascii="宋体" w:hAnsi="宋体"/>
          <w:color w:val="auto"/>
          <w:sz w:val="24"/>
          <w:szCs w:val="24"/>
          <w:highlight w:val="none"/>
        </w:rPr>
        <w:t>；</w:t>
      </w:r>
    </w:p>
    <w:p w14:paraId="5FA653DA">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十三</w:t>
      </w:r>
      <w:r>
        <w:rPr>
          <w:rFonts w:ascii="宋体" w:hAnsi="宋体"/>
          <w:color w:val="auto"/>
          <w:sz w:val="24"/>
          <w:szCs w:val="24"/>
          <w:highlight w:val="none"/>
        </w:rPr>
        <w:t>、若我方中标(成交)，将严格按照投标(响应)文件所承诺的报价、质量、</w:t>
      </w:r>
      <w:r>
        <w:rPr>
          <w:rFonts w:hint="eastAsia" w:ascii="宋体" w:hAnsi="宋体"/>
          <w:color w:val="auto"/>
          <w:sz w:val="24"/>
          <w:szCs w:val="24"/>
          <w:highlight w:val="none"/>
        </w:rPr>
        <w:t>交货</w:t>
      </w:r>
      <w:r>
        <w:rPr>
          <w:rFonts w:ascii="宋体" w:hAnsi="宋体"/>
          <w:color w:val="auto"/>
          <w:sz w:val="24"/>
          <w:szCs w:val="24"/>
          <w:highlight w:val="none"/>
        </w:rPr>
        <w:t xml:space="preserve">期、投标(响应)方案等内容签署合同并组织实施。 </w:t>
      </w:r>
    </w:p>
    <w:p w14:paraId="311F510F">
      <w:pPr>
        <w:wordWrap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本公司若有违反本承诺内容的行为之一，愿意承担法律责任，接受政府相关行政主管部门、行业组织及学校等依法依规进行的任何处罚。若造成财产损失，承担全部赔偿责任。 </w:t>
      </w:r>
    </w:p>
    <w:p w14:paraId="292453FE">
      <w:pPr>
        <w:wordWrap w:val="0"/>
        <w:spacing w:line="360" w:lineRule="auto"/>
        <w:rPr>
          <w:rFonts w:ascii="宋体" w:hAnsi="宋体"/>
          <w:b/>
          <w:color w:val="auto"/>
          <w:sz w:val="24"/>
          <w:szCs w:val="24"/>
          <w:highlight w:val="none"/>
        </w:rPr>
      </w:pPr>
    </w:p>
    <w:p w14:paraId="424F2E10">
      <w:pPr>
        <w:wordWrap w:val="0"/>
        <w:spacing w:line="360" w:lineRule="auto"/>
        <w:ind w:firstLine="420"/>
        <w:rPr>
          <w:rFonts w:hint="eastAsia" w:ascii="宋体" w:hAnsi="宋体"/>
          <w:b/>
          <w:color w:val="auto"/>
          <w:sz w:val="24"/>
          <w:szCs w:val="24"/>
          <w:highlight w:val="none"/>
        </w:rPr>
      </w:pPr>
      <w:r>
        <w:rPr>
          <w:rFonts w:hint="eastAsia" w:ascii="宋体" w:hAnsi="宋体"/>
          <w:b/>
          <w:color w:val="auto"/>
          <w:sz w:val="24"/>
          <w:szCs w:val="24"/>
          <w:highlight w:val="none"/>
        </w:rPr>
        <w:t>特此声明！</w:t>
      </w:r>
    </w:p>
    <w:p w14:paraId="2C6AEA40">
      <w:pPr>
        <w:wordWrap w:val="0"/>
        <w:spacing w:line="360" w:lineRule="auto"/>
        <w:rPr>
          <w:rFonts w:ascii="宋体" w:hAnsi="宋体"/>
          <w:color w:val="auto"/>
          <w:sz w:val="24"/>
          <w:szCs w:val="24"/>
          <w:highlight w:val="none"/>
        </w:rPr>
      </w:pPr>
    </w:p>
    <w:p w14:paraId="51C3381D">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投标人（盖章）：         </w:t>
      </w:r>
    </w:p>
    <w:p w14:paraId="02FD57E5">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法定代表人或其授权委托人（签名或印章）：        </w:t>
      </w:r>
    </w:p>
    <w:p w14:paraId="463FDB8F">
      <w:pPr>
        <w:wordWrap w:val="0"/>
        <w:spacing w:line="440" w:lineRule="exact"/>
        <w:jc w:val="left"/>
        <w:rPr>
          <w:rStyle w:val="242"/>
          <w:rFonts w:ascii="宋体" w:hAnsi="宋体"/>
          <w:color w:val="auto"/>
          <w:szCs w:val="21"/>
          <w:highlight w:val="none"/>
        </w:rPr>
      </w:pPr>
      <w:r>
        <w:rPr>
          <w:rFonts w:hint="eastAsia" w:ascii="宋体" w:hAnsi="宋体"/>
          <w:color w:val="auto"/>
          <w:sz w:val="24"/>
          <w:szCs w:val="24"/>
          <w:highlight w:val="none"/>
        </w:rPr>
        <w:t xml:space="preserve">日  期：        </w:t>
      </w:r>
      <w:r>
        <w:rPr>
          <w:rStyle w:val="242"/>
          <w:rFonts w:ascii="宋体" w:hAnsi="宋体"/>
          <w:color w:val="auto"/>
          <w:szCs w:val="21"/>
          <w:highlight w:val="none"/>
        </w:rPr>
        <w:br w:type="page"/>
      </w:r>
      <w:r>
        <w:rPr>
          <w:rStyle w:val="242"/>
          <w:rFonts w:hint="eastAsia" w:ascii="宋体" w:hAnsi="宋体"/>
          <w:color w:val="auto"/>
          <w:szCs w:val="21"/>
          <w:highlight w:val="none"/>
        </w:rPr>
        <w:t>A</w:t>
      </w:r>
      <w:r>
        <w:rPr>
          <w:rStyle w:val="242"/>
          <w:rFonts w:hint="eastAsia" w:ascii="宋体" w:hAnsi="宋体"/>
          <w:color w:val="auto"/>
          <w:szCs w:val="21"/>
          <w:highlight w:val="none"/>
          <w:lang w:val="en-US"/>
        </w:rPr>
        <w:t>5</w:t>
      </w:r>
      <w:r>
        <w:rPr>
          <w:rStyle w:val="242"/>
          <w:rFonts w:hint="eastAsia" w:ascii="宋体" w:hAnsi="宋体"/>
          <w:color w:val="auto"/>
          <w:szCs w:val="21"/>
          <w:highlight w:val="none"/>
        </w:rPr>
        <w:t>、投标人认为需要的其他资料（如有请提供）。</w:t>
      </w:r>
      <w:r>
        <w:rPr>
          <w:rStyle w:val="242"/>
          <w:rFonts w:ascii="宋体" w:hAnsi="宋体"/>
          <w:color w:val="auto"/>
          <w:szCs w:val="21"/>
          <w:highlight w:val="none"/>
        </w:rPr>
        <w:br w:type="page"/>
      </w:r>
    </w:p>
    <w:p w14:paraId="48EA134D">
      <w:pPr>
        <w:wordWrap w:val="0"/>
        <w:spacing w:line="400" w:lineRule="exact"/>
        <w:jc w:val="left"/>
        <w:rPr>
          <w:rStyle w:val="242"/>
          <w:rFonts w:ascii="宋体" w:hAnsi="宋体"/>
          <w:color w:val="auto"/>
          <w:sz w:val="28"/>
          <w:szCs w:val="28"/>
          <w:highlight w:val="none"/>
        </w:rPr>
      </w:pPr>
    </w:p>
    <w:p w14:paraId="51903E6C">
      <w:pPr>
        <w:wordWrap w:val="0"/>
        <w:spacing w:line="400" w:lineRule="exact"/>
        <w:jc w:val="center"/>
        <w:outlineLvl w:val="0"/>
        <w:rPr>
          <w:rStyle w:val="242"/>
          <w:rFonts w:ascii="宋体" w:hAnsi="宋体"/>
          <w:color w:val="auto"/>
          <w:sz w:val="32"/>
          <w:szCs w:val="32"/>
          <w:highlight w:val="none"/>
        </w:rPr>
      </w:pPr>
      <w:bookmarkStart w:id="70" w:name="_Toc44162157"/>
      <w:bookmarkStart w:id="71" w:name="_Toc130307176"/>
      <w:bookmarkStart w:id="72" w:name="_Toc21541026"/>
      <w:bookmarkStart w:id="73" w:name="_Toc135513224"/>
      <w:bookmarkStart w:id="74" w:name="_Toc16913"/>
      <w:r>
        <w:rPr>
          <w:rStyle w:val="242"/>
          <w:rFonts w:ascii="宋体" w:hAnsi="宋体"/>
          <w:color w:val="auto"/>
          <w:sz w:val="32"/>
          <w:szCs w:val="32"/>
          <w:highlight w:val="none"/>
        </w:rPr>
        <w:t>B</w:t>
      </w:r>
      <w:r>
        <w:rPr>
          <w:rStyle w:val="242"/>
          <w:rFonts w:hint="eastAsia" w:ascii="宋体" w:hAnsi="宋体"/>
          <w:color w:val="auto"/>
          <w:sz w:val="32"/>
          <w:szCs w:val="32"/>
          <w:highlight w:val="none"/>
        </w:rPr>
        <w:t>、商务和技术文件</w:t>
      </w:r>
      <w:bookmarkEnd w:id="70"/>
      <w:bookmarkEnd w:id="71"/>
      <w:bookmarkEnd w:id="72"/>
      <w:bookmarkEnd w:id="73"/>
      <w:bookmarkEnd w:id="74"/>
    </w:p>
    <w:p w14:paraId="40C917D8">
      <w:pPr>
        <w:wordWrap w:val="0"/>
        <w:autoSpaceDE w:val="0"/>
        <w:autoSpaceDN w:val="0"/>
        <w:adjustRightInd w:val="0"/>
        <w:spacing w:line="420" w:lineRule="exact"/>
        <w:rPr>
          <w:rStyle w:val="242"/>
          <w:rFonts w:ascii="宋体" w:hAnsi="宋体"/>
          <w:b w:val="0"/>
          <w:color w:val="auto"/>
          <w:highlight w:val="none"/>
          <w:lang w:val="zh-CN"/>
        </w:rPr>
      </w:pPr>
      <w:r>
        <w:rPr>
          <w:rStyle w:val="242"/>
          <w:rFonts w:ascii="宋体" w:hAnsi="宋体"/>
          <w:color w:val="auto"/>
          <w:sz w:val="32"/>
          <w:szCs w:val="32"/>
          <w:highlight w:val="none"/>
        </w:rPr>
        <w:br w:type="page"/>
      </w:r>
      <w:r>
        <w:rPr>
          <w:rStyle w:val="242"/>
          <w:rFonts w:hint="eastAsia" w:ascii="宋体" w:hAnsi="宋体"/>
          <w:color w:val="auto"/>
          <w:szCs w:val="21"/>
          <w:highlight w:val="none"/>
        </w:rPr>
        <w:t>封面</w:t>
      </w:r>
    </w:p>
    <w:p w14:paraId="6963588D">
      <w:pPr>
        <w:wordWrap w:val="0"/>
        <w:spacing w:line="360" w:lineRule="auto"/>
        <w:ind w:firstLine="1285" w:firstLineChars="400"/>
        <w:jc w:val="right"/>
        <w:rPr>
          <w:rFonts w:ascii="宋体" w:hAnsi="宋体"/>
          <w:b/>
          <w:color w:val="auto"/>
          <w:sz w:val="32"/>
          <w:szCs w:val="32"/>
          <w:highlight w:val="none"/>
        </w:rPr>
      </w:pPr>
      <w:r>
        <w:rPr>
          <w:rFonts w:hint="eastAsia" w:ascii="宋体" w:hAnsi="宋体"/>
          <w:b/>
          <w:color w:val="auto"/>
          <w:sz w:val="32"/>
          <w:szCs w:val="32"/>
          <w:highlight w:val="none"/>
        </w:rPr>
        <w:t>正本</w:t>
      </w:r>
    </w:p>
    <w:p w14:paraId="323BD055">
      <w:pPr>
        <w:wordWrap w:val="0"/>
        <w:spacing w:line="360" w:lineRule="auto"/>
        <w:rPr>
          <w:rFonts w:ascii="宋体" w:hAnsi="宋体"/>
          <w:color w:val="auto"/>
          <w:sz w:val="28"/>
          <w:szCs w:val="28"/>
          <w:highlight w:val="none"/>
        </w:rPr>
      </w:pPr>
    </w:p>
    <w:p w14:paraId="51AFA561">
      <w:pPr>
        <w:wordWrap w:val="0"/>
        <w:spacing w:after="120" w:line="900" w:lineRule="exact"/>
        <w:jc w:val="center"/>
        <w:rPr>
          <w:rFonts w:hint="eastAsia" w:ascii="宋体" w:hAnsi="宋体" w:eastAsia="宋体"/>
          <w:b/>
          <w:color w:val="auto"/>
          <w:sz w:val="48"/>
          <w:szCs w:val="52"/>
          <w:highlight w:val="none"/>
          <w:lang w:eastAsia="zh-CN"/>
        </w:rPr>
      </w:pPr>
      <w:r>
        <w:rPr>
          <w:rFonts w:hint="eastAsia" w:ascii="宋体" w:hAnsi="宋体"/>
          <w:color w:val="auto"/>
          <w:sz w:val="48"/>
          <w:szCs w:val="52"/>
          <w:highlight w:val="none"/>
          <w:lang w:eastAsia="zh-CN"/>
        </w:rPr>
        <w:t>2026年-2028年鄞州区下应、潘火、首南三街道道路桥梁日常养护项目</w:t>
      </w:r>
    </w:p>
    <w:p w14:paraId="37ABD53F">
      <w:pPr>
        <w:wordWrap w:val="0"/>
        <w:spacing w:line="360" w:lineRule="auto"/>
        <w:jc w:val="center"/>
        <w:rPr>
          <w:rFonts w:hint="eastAsia" w:ascii="宋体" w:hAnsi="宋体" w:eastAsia="宋体"/>
          <w:color w:val="auto"/>
          <w:sz w:val="36"/>
          <w:szCs w:val="36"/>
          <w:highlight w:val="none"/>
          <w:u w:val="single"/>
          <w:lang w:eastAsia="zh-CN"/>
        </w:rPr>
      </w:pPr>
      <w:r>
        <w:rPr>
          <w:rFonts w:hint="eastAsia" w:ascii="宋体" w:hAnsi="宋体"/>
          <w:color w:val="auto"/>
          <w:sz w:val="36"/>
          <w:szCs w:val="36"/>
          <w:highlight w:val="none"/>
          <w:u w:val="single"/>
        </w:rPr>
        <w:t>采购编号：</w:t>
      </w:r>
      <w:r>
        <w:rPr>
          <w:rFonts w:hint="eastAsia" w:ascii="宋体" w:hAnsi="宋体"/>
          <w:color w:val="auto"/>
          <w:sz w:val="36"/>
          <w:szCs w:val="36"/>
          <w:highlight w:val="none"/>
          <w:u w:val="single"/>
          <w:lang w:eastAsia="zh-CN"/>
        </w:rPr>
        <w:t>NBITC-202620214G</w:t>
      </w:r>
    </w:p>
    <w:p w14:paraId="55A16C0D">
      <w:pPr>
        <w:wordWrap w:val="0"/>
        <w:rPr>
          <w:rFonts w:ascii="宋体" w:hAnsi="宋体"/>
          <w:color w:val="auto"/>
          <w:sz w:val="28"/>
          <w:szCs w:val="28"/>
          <w:highlight w:val="none"/>
        </w:rPr>
      </w:pPr>
    </w:p>
    <w:p w14:paraId="3D4E51FD">
      <w:pPr>
        <w:wordWrap w:val="0"/>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（商务和技术文件）</w:t>
      </w:r>
    </w:p>
    <w:p w14:paraId="2C8B10A6">
      <w:pPr>
        <w:wordWrap w:val="0"/>
        <w:jc w:val="center"/>
        <w:rPr>
          <w:rFonts w:ascii="宋体" w:hAnsi="宋体"/>
          <w:color w:val="auto"/>
          <w:sz w:val="28"/>
          <w:szCs w:val="28"/>
          <w:highlight w:val="none"/>
        </w:rPr>
      </w:pPr>
    </w:p>
    <w:p w14:paraId="56C52E0B">
      <w:pPr>
        <w:wordWrap w:val="0"/>
        <w:spacing w:line="360" w:lineRule="auto"/>
        <w:jc w:val="center"/>
        <w:rPr>
          <w:rFonts w:ascii="宋体" w:hAnsi="宋体"/>
          <w:b/>
          <w:color w:val="auto"/>
          <w:sz w:val="72"/>
          <w:szCs w:val="72"/>
          <w:highlight w:val="none"/>
        </w:rPr>
      </w:pPr>
    </w:p>
    <w:p w14:paraId="7D86532C">
      <w:pPr>
        <w:wordWrap w:val="0"/>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投标文件</w:t>
      </w:r>
    </w:p>
    <w:p w14:paraId="1BA2FCDF">
      <w:pPr>
        <w:wordWrap w:val="0"/>
        <w:spacing w:line="360" w:lineRule="auto"/>
        <w:jc w:val="center"/>
        <w:rPr>
          <w:rFonts w:ascii="宋体" w:hAnsi="宋体"/>
          <w:color w:val="auto"/>
          <w:sz w:val="36"/>
          <w:szCs w:val="36"/>
          <w:highlight w:val="none"/>
        </w:rPr>
      </w:pPr>
    </w:p>
    <w:p w14:paraId="131C2B72">
      <w:pPr>
        <w:wordWrap w:val="0"/>
        <w:spacing w:line="360" w:lineRule="auto"/>
        <w:jc w:val="center"/>
        <w:rPr>
          <w:rFonts w:ascii="宋体" w:hAnsi="宋体"/>
          <w:color w:val="auto"/>
          <w:sz w:val="36"/>
          <w:szCs w:val="36"/>
          <w:highlight w:val="none"/>
        </w:rPr>
      </w:pPr>
    </w:p>
    <w:p w14:paraId="4191200F">
      <w:pPr>
        <w:wordWrap w:val="0"/>
        <w:spacing w:line="360" w:lineRule="auto"/>
        <w:rPr>
          <w:rFonts w:ascii="宋体" w:hAnsi="宋体"/>
          <w:color w:val="auto"/>
          <w:sz w:val="36"/>
          <w:szCs w:val="36"/>
          <w:highlight w:val="none"/>
        </w:rPr>
      </w:pPr>
    </w:p>
    <w:p w14:paraId="4165A96C">
      <w:pPr>
        <w:wordWrap w:val="0"/>
        <w:spacing w:line="480" w:lineRule="auto"/>
        <w:rPr>
          <w:rFonts w:ascii="宋体" w:hAnsi="宋体"/>
          <w:color w:val="auto"/>
          <w:sz w:val="32"/>
          <w:szCs w:val="36"/>
          <w:highlight w:val="none"/>
          <w:u w:val="single"/>
        </w:rPr>
      </w:pPr>
      <w:r>
        <w:rPr>
          <w:rFonts w:hint="eastAsia" w:ascii="宋体" w:hAnsi="宋体"/>
          <w:color w:val="auto"/>
          <w:sz w:val="32"/>
          <w:szCs w:val="36"/>
          <w:highlight w:val="none"/>
        </w:rPr>
        <w:t>投标人全称：</w:t>
      </w:r>
      <w:r>
        <w:rPr>
          <w:rFonts w:hint="eastAsia" w:ascii="宋体" w:hAnsi="宋体"/>
          <w:color w:val="auto"/>
          <w:sz w:val="32"/>
          <w:szCs w:val="36"/>
          <w:highlight w:val="none"/>
          <w:u w:val="single"/>
        </w:rPr>
        <w:t>（加盖单位公章）</w:t>
      </w:r>
    </w:p>
    <w:p w14:paraId="7FCB5212">
      <w:pPr>
        <w:wordWrap w:val="0"/>
        <w:spacing w:line="480" w:lineRule="auto"/>
        <w:rPr>
          <w:rFonts w:hint="eastAsia" w:ascii="宋体" w:hAnsi="宋体"/>
          <w:color w:val="auto"/>
          <w:sz w:val="32"/>
          <w:szCs w:val="36"/>
          <w:highlight w:val="none"/>
          <w:u w:val="single"/>
        </w:rPr>
      </w:pPr>
      <w:r>
        <w:rPr>
          <w:rFonts w:hint="eastAsia" w:ascii="宋体" w:hAnsi="宋体"/>
          <w:color w:val="auto"/>
          <w:sz w:val="32"/>
          <w:szCs w:val="36"/>
          <w:highlight w:val="none"/>
        </w:rPr>
        <w:t>法定代表人或其授权委托人（签名或印章）：</w:t>
      </w:r>
      <w:r>
        <w:rPr>
          <w:rFonts w:hint="eastAsia" w:ascii="宋体" w:hAnsi="宋体"/>
          <w:color w:val="auto"/>
          <w:sz w:val="32"/>
          <w:szCs w:val="36"/>
          <w:highlight w:val="none"/>
          <w:u w:val="single"/>
        </w:rPr>
        <w:t xml:space="preserve">             </w:t>
      </w:r>
    </w:p>
    <w:p w14:paraId="2AF668EB">
      <w:pPr>
        <w:wordWrap w:val="0"/>
        <w:spacing w:line="480" w:lineRule="auto"/>
        <w:rPr>
          <w:rFonts w:hint="eastAsia" w:ascii="宋体" w:hAnsi="宋体"/>
          <w:color w:val="auto"/>
          <w:sz w:val="32"/>
          <w:szCs w:val="36"/>
          <w:highlight w:val="none"/>
        </w:rPr>
      </w:pPr>
      <w:r>
        <w:rPr>
          <w:rFonts w:hint="eastAsia" w:ascii="宋体" w:hAnsi="宋体"/>
          <w:color w:val="auto"/>
          <w:sz w:val="32"/>
          <w:szCs w:val="36"/>
          <w:highlight w:val="none"/>
        </w:rPr>
        <w:t>日期：</w:t>
      </w:r>
      <w:r>
        <w:rPr>
          <w:rFonts w:hint="eastAsia" w:ascii="宋体" w:hAnsi="宋体"/>
          <w:color w:val="auto"/>
          <w:sz w:val="32"/>
          <w:szCs w:val="36"/>
          <w:highlight w:val="none"/>
          <w:u w:val="single"/>
        </w:rPr>
        <w:t xml:space="preserve">       </w:t>
      </w:r>
      <w:r>
        <w:rPr>
          <w:rFonts w:hint="eastAsia" w:ascii="宋体" w:hAnsi="宋体"/>
          <w:color w:val="auto"/>
          <w:sz w:val="32"/>
          <w:szCs w:val="36"/>
          <w:highlight w:val="none"/>
        </w:rPr>
        <w:t>年</w:t>
      </w:r>
      <w:r>
        <w:rPr>
          <w:rFonts w:hint="eastAsia" w:ascii="宋体" w:hAnsi="宋体"/>
          <w:color w:val="auto"/>
          <w:sz w:val="32"/>
          <w:szCs w:val="36"/>
          <w:highlight w:val="none"/>
          <w:u w:val="single"/>
        </w:rPr>
        <w:t xml:space="preserve">       </w:t>
      </w:r>
      <w:r>
        <w:rPr>
          <w:rFonts w:hint="eastAsia" w:ascii="宋体" w:hAnsi="宋体"/>
          <w:color w:val="auto"/>
          <w:sz w:val="32"/>
          <w:szCs w:val="36"/>
          <w:highlight w:val="none"/>
        </w:rPr>
        <w:t>月</w:t>
      </w:r>
      <w:r>
        <w:rPr>
          <w:rFonts w:hint="eastAsia" w:ascii="宋体" w:hAnsi="宋体"/>
          <w:color w:val="auto"/>
          <w:sz w:val="32"/>
          <w:szCs w:val="36"/>
          <w:highlight w:val="none"/>
          <w:u w:val="single"/>
        </w:rPr>
        <w:t xml:space="preserve">       </w:t>
      </w:r>
      <w:r>
        <w:rPr>
          <w:rFonts w:hint="eastAsia" w:ascii="宋体" w:hAnsi="宋体"/>
          <w:color w:val="auto"/>
          <w:sz w:val="32"/>
          <w:szCs w:val="36"/>
          <w:highlight w:val="none"/>
        </w:rPr>
        <w:t>日</w:t>
      </w:r>
    </w:p>
    <w:p w14:paraId="7633977B">
      <w:pPr>
        <w:wordWrap w:val="0"/>
        <w:spacing w:line="360" w:lineRule="auto"/>
        <w:ind w:firstLine="4200" w:firstLineChars="2000"/>
        <w:jc w:val="left"/>
        <w:rPr>
          <w:rFonts w:ascii="宋体" w:hAnsi="宋体"/>
          <w:color w:val="auto"/>
          <w:szCs w:val="21"/>
          <w:highlight w:val="none"/>
        </w:rPr>
      </w:pPr>
    </w:p>
    <w:p w14:paraId="6DCF29BC">
      <w:pPr>
        <w:wordWrap w:val="0"/>
        <w:spacing w:line="360" w:lineRule="auto"/>
        <w:jc w:val="center"/>
        <w:rPr>
          <w:rFonts w:ascii="宋体" w:hAnsi="宋体"/>
          <w:b/>
          <w:color w:val="auto"/>
          <w:szCs w:val="21"/>
          <w:highlight w:val="none"/>
        </w:rPr>
      </w:pPr>
      <w:r>
        <w:rPr>
          <w:rStyle w:val="242"/>
          <w:rFonts w:ascii="宋体" w:hAnsi="宋体"/>
          <w:color w:val="auto"/>
          <w:szCs w:val="21"/>
          <w:highlight w:val="none"/>
        </w:rPr>
        <w:br w:type="page"/>
      </w:r>
      <w:r>
        <w:rPr>
          <w:rFonts w:hint="eastAsia" w:ascii="宋体" w:hAnsi="宋体"/>
          <w:b/>
          <w:color w:val="auto"/>
          <w:szCs w:val="21"/>
          <w:highlight w:val="none"/>
        </w:rPr>
        <w:t>评分索引表</w:t>
      </w:r>
    </w:p>
    <w:p w14:paraId="42B3EEED">
      <w:pPr>
        <w:wordWrap w:val="0"/>
        <w:spacing w:line="400" w:lineRule="exact"/>
        <w:jc w:val="center"/>
        <w:rPr>
          <w:rFonts w:ascii="宋体" w:hAnsi="宋体"/>
          <w:b/>
          <w:color w:val="auto"/>
          <w:szCs w:val="21"/>
          <w:highlight w:val="none"/>
        </w:rPr>
      </w:pPr>
      <w:r>
        <w:rPr>
          <w:rFonts w:hint="eastAsia" w:ascii="宋体" w:hAnsi="宋体"/>
          <w:b/>
          <w:color w:val="auto"/>
          <w:szCs w:val="21"/>
          <w:highlight w:val="none"/>
        </w:rPr>
        <w:t>商务和技术评分表</w:t>
      </w:r>
    </w:p>
    <w:tbl>
      <w:tblPr>
        <w:tblStyle w:val="48"/>
        <w:tblW w:w="9513"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3"/>
        <w:gridCol w:w="6096"/>
        <w:gridCol w:w="851"/>
        <w:gridCol w:w="992"/>
        <w:gridCol w:w="851"/>
      </w:tblGrid>
      <w:tr w14:paraId="75CEEF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23" w:type="dxa"/>
            <w:tcBorders>
              <w:right w:val="single" w:color="auto" w:sz="4" w:space="0"/>
            </w:tcBorders>
            <w:noWrap w:val="0"/>
            <w:vAlign w:val="center"/>
          </w:tcPr>
          <w:p w14:paraId="65CAB53B">
            <w:pPr>
              <w:jc w:val="center"/>
              <w:rPr>
                <w:rFonts w:ascii="宋体" w:hAnsi="宋体"/>
                <w:b/>
                <w:color w:val="auto"/>
                <w:sz w:val="24"/>
                <w:szCs w:val="24"/>
                <w:highlight w:val="none"/>
              </w:rPr>
            </w:pPr>
            <w:r>
              <w:rPr>
                <w:rFonts w:hint="eastAsia" w:ascii="宋体" w:hAnsi="宋体"/>
                <w:b/>
                <w:color w:val="auto"/>
                <w:sz w:val="24"/>
                <w:szCs w:val="24"/>
                <w:highlight w:val="none"/>
              </w:rPr>
              <w:t>评标项目</w:t>
            </w:r>
          </w:p>
        </w:tc>
        <w:tc>
          <w:tcPr>
            <w:tcW w:w="6096" w:type="dxa"/>
            <w:tcBorders>
              <w:right w:val="single" w:color="auto" w:sz="4" w:space="0"/>
            </w:tcBorders>
            <w:noWrap w:val="0"/>
            <w:vAlign w:val="center"/>
          </w:tcPr>
          <w:p w14:paraId="66D70E46">
            <w:pPr>
              <w:wordWrap w:val="0"/>
              <w:jc w:val="center"/>
              <w:rPr>
                <w:rFonts w:ascii="宋体" w:hAnsi="宋体"/>
                <w:b/>
                <w:color w:val="auto"/>
                <w:sz w:val="24"/>
                <w:szCs w:val="24"/>
                <w:highlight w:val="none"/>
              </w:rPr>
            </w:pPr>
            <w:r>
              <w:rPr>
                <w:rFonts w:hint="eastAsia" w:ascii="宋体" w:hAnsi="宋体"/>
                <w:b/>
                <w:color w:val="auto"/>
                <w:sz w:val="24"/>
                <w:szCs w:val="24"/>
                <w:highlight w:val="none"/>
              </w:rPr>
              <w:t>评分内容</w:t>
            </w:r>
          </w:p>
        </w:tc>
        <w:tc>
          <w:tcPr>
            <w:tcW w:w="851" w:type="dxa"/>
            <w:tcBorders>
              <w:left w:val="single" w:color="auto" w:sz="4" w:space="0"/>
              <w:right w:val="single" w:color="auto" w:sz="4" w:space="0"/>
            </w:tcBorders>
            <w:noWrap w:val="0"/>
            <w:vAlign w:val="center"/>
          </w:tcPr>
          <w:p w14:paraId="58706275">
            <w:pPr>
              <w:wordWrap w:val="0"/>
              <w:jc w:val="center"/>
              <w:rPr>
                <w:rFonts w:ascii="宋体" w:hAnsi="宋体"/>
                <w:b/>
                <w:color w:val="auto"/>
                <w:sz w:val="24"/>
                <w:szCs w:val="24"/>
                <w:highlight w:val="none"/>
              </w:rPr>
            </w:pPr>
            <w:r>
              <w:rPr>
                <w:rFonts w:hint="eastAsia" w:ascii="宋体" w:hAnsi="宋体"/>
                <w:b/>
                <w:color w:val="auto"/>
                <w:sz w:val="24"/>
                <w:szCs w:val="24"/>
                <w:highlight w:val="none"/>
              </w:rPr>
              <w:t>分值</w:t>
            </w:r>
          </w:p>
        </w:tc>
        <w:tc>
          <w:tcPr>
            <w:tcW w:w="992" w:type="dxa"/>
            <w:tcBorders>
              <w:left w:val="single" w:color="auto" w:sz="4" w:space="0"/>
              <w:right w:val="single" w:color="auto" w:sz="4" w:space="0"/>
            </w:tcBorders>
            <w:noWrap w:val="0"/>
            <w:vAlign w:val="center"/>
          </w:tcPr>
          <w:p w14:paraId="5018E5CB">
            <w:pPr>
              <w:wordWrap w:val="0"/>
              <w:jc w:val="center"/>
              <w:rPr>
                <w:rFonts w:ascii="宋体" w:hAnsi="宋体"/>
                <w:b/>
                <w:color w:val="auto"/>
                <w:sz w:val="24"/>
                <w:szCs w:val="24"/>
                <w:highlight w:val="none"/>
              </w:rPr>
            </w:pPr>
            <w:r>
              <w:rPr>
                <w:rFonts w:hint="eastAsia" w:ascii="宋体" w:hAnsi="宋体"/>
                <w:b/>
                <w:color w:val="auto"/>
                <w:sz w:val="24"/>
                <w:szCs w:val="24"/>
                <w:highlight w:val="none"/>
              </w:rPr>
              <w:t>自评分</w:t>
            </w:r>
          </w:p>
        </w:tc>
        <w:tc>
          <w:tcPr>
            <w:tcW w:w="851" w:type="dxa"/>
            <w:tcBorders>
              <w:left w:val="single" w:color="auto" w:sz="4" w:space="0"/>
            </w:tcBorders>
            <w:noWrap w:val="0"/>
            <w:vAlign w:val="center"/>
          </w:tcPr>
          <w:p w14:paraId="14D35AF4">
            <w:pPr>
              <w:wordWrap w:val="0"/>
              <w:jc w:val="center"/>
              <w:rPr>
                <w:rFonts w:ascii="宋体" w:hAnsi="宋体"/>
                <w:b/>
                <w:color w:val="auto"/>
                <w:sz w:val="24"/>
                <w:szCs w:val="24"/>
                <w:highlight w:val="none"/>
              </w:rPr>
            </w:pPr>
            <w:r>
              <w:rPr>
                <w:rFonts w:hint="eastAsia" w:ascii="宋体" w:hAnsi="宋体"/>
                <w:b/>
                <w:color w:val="auto"/>
                <w:sz w:val="24"/>
                <w:szCs w:val="24"/>
                <w:highlight w:val="none"/>
              </w:rPr>
              <w:t>页码</w:t>
            </w:r>
          </w:p>
        </w:tc>
      </w:tr>
      <w:tr w14:paraId="44EBF6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23" w:type="dxa"/>
            <w:vMerge w:val="restart"/>
            <w:tcBorders>
              <w:right w:val="single" w:color="auto" w:sz="4" w:space="0"/>
            </w:tcBorders>
            <w:noWrap w:val="0"/>
            <w:vAlign w:val="center"/>
          </w:tcPr>
          <w:p w14:paraId="56C8D3AB">
            <w:pPr>
              <w:wordWrap w:val="0"/>
              <w:rPr>
                <w:rFonts w:ascii="宋体" w:hAnsi="宋体"/>
                <w:b/>
                <w:color w:val="auto"/>
                <w:sz w:val="24"/>
                <w:szCs w:val="24"/>
                <w:highlight w:val="none"/>
              </w:rPr>
            </w:pPr>
            <w:r>
              <w:rPr>
                <w:rFonts w:ascii="宋体" w:hAnsi="宋体"/>
                <w:b/>
                <w:color w:val="auto"/>
                <w:sz w:val="24"/>
                <w:szCs w:val="24"/>
                <w:highlight w:val="none"/>
              </w:rPr>
              <w:t>商务技术分</w:t>
            </w:r>
          </w:p>
        </w:tc>
        <w:tc>
          <w:tcPr>
            <w:tcW w:w="6096" w:type="dxa"/>
            <w:tcBorders>
              <w:right w:val="single" w:color="auto" w:sz="4" w:space="0"/>
            </w:tcBorders>
            <w:noWrap w:val="0"/>
            <w:vAlign w:val="center"/>
          </w:tcPr>
          <w:p w14:paraId="505EFAE6">
            <w:pPr>
              <w:widowControl/>
              <w:wordWrap w:val="0"/>
              <w:jc w:val="left"/>
              <w:rPr>
                <w:rFonts w:ascii="宋体" w:hAnsi="宋体"/>
                <w:color w:val="auto"/>
                <w:sz w:val="24"/>
                <w:szCs w:val="24"/>
                <w:highlight w:val="none"/>
              </w:rPr>
            </w:pPr>
          </w:p>
        </w:tc>
        <w:tc>
          <w:tcPr>
            <w:tcW w:w="851" w:type="dxa"/>
            <w:tcBorders>
              <w:left w:val="single" w:color="auto" w:sz="4" w:space="0"/>
              <w:right w:val="single" w:color="auto" w:sz="4" w:space="0"/>
            </w:tcBorders>
            <w:noWrap w:val="0"/>
            <w:vAlign w:val="center"/>
          </w:tcPr>
          <w:p w14:paraId="6E54F531">
            <w:pPr>
              <w:widowControl/>
              <w:wordWrap w:val="0"/>
              <w:jc w:val="center"/>
              <w:rPr>
                <w:rFonts w:ascii="宋体" w:hAnsi="宋体"/>
                <w:color w:val="auto"/>
                <w:kern w:val="0"/>
                <w:sz w:val="24"/>
                <w:szCs w:val="24"/>
                <w:highlight w:val="none"/>
              </w:rPr>
            </w:pPr>
          </w:p>
        </w:tc>
        <w:tc>
          <w:tcPr>
            <w:tcW w:w="992" w:type="dxa"/>
            <w:tcBorders>
              <w:left w:val="single" w:color="auto" w:sz="4" w:space="0"/>
              <w:right w:val="single" w:color="auto" w:sz="4" w:space="0"/>
            </w:tcBorders>
            <w:noWrap w:val="0"/>
            <w:vAlign w:val="center"/>
          </w:tcPr>
          <w:p w14:paraId="42389536">
            <w:pPr>
              <w:widowControl/>
              <w:wordWrap w:val="0"/>
              <w:jc w:val="center"/>
              <w:rPr>
                <w:rFonts w:ascii="宋体" w:hAnsi="宋体"/>
                <w:color w:val="auto"/>
                <w:kern w:val="0"/>
                <w:sz w:val="24"/>
                <w:szCs w:val="24"/>
                <w:highlight w:val="none"/>
              </w:rPr>
            </w:pPr>
          </w:p>
        </w:tc>
        <w:tc>
          <w:tcPr>
            <w:tcW w:w="851" w:type="dxa"/>
            <w:tcBorders>
              <w:left w:val="single" w:color="auto" w:sz="4" w:space="0"/>
            </w:tcBorders>
            <w:noWrap w:val="0"/>
            <w:vAlign w:val="center"/>
          </w:tcPr>
          <w:p w14:paraId="4E452B42">
            <w:pPr>
              <w:widowControl/>
              <w:wordWrap w:val="0"/>
              <w:jc w:val="center"/>
              <w:rPr>
                <w:rFonts w:ascii="宋体" w:hAnsi="宋体"/>
                <w:color w:val="auto"/>
                <w:kern w:val="0"/>
                <w:sz w:val="24"/>
                <w:szCs w:val="24"/>
                <w:highlight w:val="none"/>
              </w:rPr>
            </w:pPr>
          </w:p>
        </w:tc>
      </w:tr>
      <w:tr w14:paraId="1EC426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23" w:type="dxa"/>
            <w:vMerge w:val="continue"/>
            <w:tcBorders>
              <w:right w:val="single" w:color="auto" w:sz="4" w:space="0"/>
            </w:tcBorders>
            <w:noWrap w:val="0"/>
            <w:vAlign w:val="center"/>
          </w:tcPr>
          <w:p w14:paraId="0853791E">
            <w:pPr>
              <w:wordWrap w:val="0"/>
              <w:rPr>
                <w:rFonts w:ascii="宋体" w:hAnsi="宋体"/>
                <w:b/>
                <w:color w:val="auto"/>
                <w:sz w:val="24"/>
                <w:szCs w:val="24"/>
                <w:highlight w:val="none"/>
              </w:rPr>
            </w:pPr>
          </w:p>
        </w:tc>
        <w:tc>
          <w:tcPr>
            <w:tcW w:w="6096" w:type="dxa"/>
            <w:tcBorders>
              <w:right w:val="single" w:color="auto" w:sz="4" w:space="0"/>
            </w:tcBorders>
            <w:noWrap w:val="0"/>
            <w:vAlign w:val="center"/>
          </w:tcPr>
          <w:p w14:paraId="18576826">
            <w:pPr>
              <w:widowControl/>
              <w:wordWrap w:val="0"/>
              <w:jc w:val="left"/>
              <w:rPr>
                <w:rFonts w:ascii="宋体" w:hAnsi="宋体"/>
                <w:color w:val="auto"/>
                <w:sz w:val="24"/>
                <w:szCs w:val="24"/>
                <w:highlight w:val="none"/>
              </w:rPr>
            </w:pPr>
          </w:p>
        </w:tc>
        <w:tc>
          <w:tcPr>
            <w:tcW w:w="851" w:type="dxa"/>
            <w:tcBorders>
              <w:left w:val="single" w:color="auto" w:sz="4" w:space="0"/>
              <w:right w:val="single" w:color="auto" w:sz="4" w:space="0"/>
            </w:tcBorders>
            <w:noWrap w:val="0"/>
            <w:vAlign w:val="center"/>
          </w:tcPr>
          <w:p w14:paraId="1ED59CA1">
            <w:pPr>
              <w:widowControl/>
              <w:wordWrap w:val="0"/>
              <w:jc w:val="center"/>
              <w:rPr>
                <w:rFonts w:ascii="宋体" w:hAnsi="宋体"/>
                <w:color w:val="auto"/>
                <w:kern w:val="0"/>
                <w:sz w:val="24"/>
                <w:szCs w:val="24"/>
                <w:highlight w:val="none"/>
              </w:rPr>
            </w:pPr>
          </w:p>
        </w:tc>
        <w:tc>
          <w:tcPr>
            <w:tcW w:w="992" w:type="dxa"/>
            <w:tcBorders>
              <w:left w:val="single" w:color="auto" w:sz="4" w:space="0"/>
              <w:right w:val="single" w:color="auto" w:sz="4" w:space="0"/>
            </w:tcBorders>
            <w:noWrap w:val="0"/>
            <w:vAlign w:val="center"/>
          </w:tcPr>
          <w:p w14:paraId="0FCC1D45">
            <w:pPr>
              <w:widowControl/>
              <w:wordWrap w:val="0"/>
              <w:jc w:val="center"/>
              <w:rPr>
                <w:rFonts w:ascii="宋体" w:hAnsi="宋体"/>
                <w:color w:val="auto"/>
                <w:kern w:val="0"/>
                <w:sz w:val="24"/>
                <w:szCs w:val="24"/>
                <w:highlight w:val="none"/>
              </w:rPr>
            </w:pPr>
          </w:p>
        </w:tc>
        <w:tc>
          <w:tcPr>
            <w:tcW w:w="851" w:type="dxa"/>
            <w:tcBorders>
              <w:left w:val="single" w:color="auto" w:sz="4" w:space="0"/>
            </w:tcBorders>
            <w:noWrap w:val="0"/>
            <w:vAlign w:val="center"/>
          </w:tcPr>
          <w:p w14:paraId="0BD364D7">
            <w:pPr>
              <w:widowControl/>
              <w:wordWrap w:val="0"/>
              <w:jc w:val="center"/>
              <w:rPr>
                <w:rFonts w:ascii="宋体" w:hAnsi="宋体"/>
                <w:color w:val="auto"/>
                <w:kern w:val="0"/>
                <w:sz w:val="24"/>
                <w:szCs w:val="24"/>
                <w:highlight w:val="none"/>
              </w:rPr>
            </w:pPr>
          </w:p>
        </w:tc>
      </w:tr>
      <w:tr w14:paraId="0C28D1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23" w:type="dxa"/>
            <w:vMerge w:val="continue"/>
            <w:tcBorders>
              <w:right w:val="single" w:color="auto" w:sz="4" w:space="0"/>
            </w:tcBorders>
            <w:noWrap w:val="0"/>
            <w:vAlign w:val="center"/>
          </w:tcPr>
          <w:p w14:paraId="0E0C7F1B">
            <w:pPr>
              <w:wordWrap w:val="0"/>
              <w:rPr>
                <w:rFonts w:ascii="宋体" w:hAnsi="宋体"/>
                <w:b/>
                <w:color w:val="auto"/>
                <w:sz w:val="24"/>
                <w:szCs w:val="24"/>
                <w:highlight w:val="none"/>
              </w:rPr>
            </w:pPr>
          </w:p>
        </w:tc>
        <w:tc>
          <w:tcPr>
            <w:tcW w:w="6096" w:type="dxa"/>
            <w:tcBorders>
              <w:right w:val="single" w:color="auto" w:sz="4" w:space="0"/>
            </w:tcBorders>
            <w:noWrap w:val="0"/>
            <w:vAlign w:val="center"/>
          </w:tcPr>
          <w:p w14:paraId="0A683285">
            <w:pPr>
              <w:widowControl/>
              <w:wordWrap w:val="0"/>
              <w:jc w:val="left"/>
              <w:rPr>
                <w:rFonts w:ascii="宋体" w:hAnsi="宋体"/>
                <w:color w:val="auto"/>
                <w:sz w:val="24"/>
                <w:szCs w:val="24"/>
                <w:highlight w:val="none"/>
              </w:rPr>
            </w:pPr>
          </w:p>
        </w:tc>
        <w:tc>
          <w:tcPr>
            <w:tcW w:w="851" w:type="dxa"/>
            <w:tcBorders>
              <w:left w:val="single" w:color="auto" w:sz="4" w:space="0"/>
              <w:right w:val="single" w:color="auto" w:sz="4" w:space="0"/>
            </w:tcBorders>
            <w:noWrap w:val="0"/>
            <w:vAlign w:val="center"/>
          </w:tcPr>
          <w:p w14:paraId="237A89A0">
            <w:pPr>
              <w:widowControl/>
              <w:wordWrap w:val="0"/>
              <w:jc w:val="center"/>
              <w:rPr>
                <w:rFonts w:ascii="宋体" w:hAnsi="宋体"/>
                <w:color w:val="auto"/>
                <w:kern w:val="0"/>
                <w:sz w:val="24"/>
                <w:szCs w:val="24"/>
                <w:highlight w:val="none"/>
              </w:rPr>
            </w:pPr>
          </w:p>
        </w:tc>
        <w:tc>
          <w:tcPr>
            <w:tcW w:w="992" w:type="dxa"/>
            <w:tcBorders>
              <w:left w:val="single" w:color="auto" w:sz="4" w:space="0"/>
              <w:right w:val="single" w:color="auto" w:sz="4" w:space="0"/>
            </w:tcBorders>
            <w:noWrap w:val="0"/>
            <w:vAlign w:val="center"/>
          </w:tcPr>
          <w:p w14:paraId="545EC5B8">
            <w:pPr>
              <w:widowControl/>
              <w:wordWrap w:val="0"/>
              <w:jc w:val="center"/>
              <w:rPr>
                <w:rFonts w:ascii="宋体" w:hAnsi="宋体"/>
                <w:color w:val="auto"/>
                <w:kern w:val="0"/>
                <w:sz w:val="24"/>
                <w:szCs w:val="24"/>
                <w:highlight w:val="none"/>
              </w:rPr>
            </w:pPr>
          </w:p>
        </w:tc>
        <w:tc>
          <w:tcPr>
            <w:tcW w:w="851" w:type="dxa"/>
            <w:tcBorders>
              <w:left w:val="single" w:color="auto" w:sz="4" w:space="0"/>
            </w:tcBorders>
            <w:noWrap w:val="0"/>
            <w:vAlign w:val="center"/>
          </w:tcPr>
          <w:p w14:paraId="63567118">
            <w:pPr>
              <w:widowControl/>
              <w:wordWrap w:val="0"/>
              <w:jc w:val="center"/>
              <w:rPr>
                <w:rFonts w:ascii="宋体" w:hAnsi="宋体"/>
                <w:color w:val="auto"/>
                <w:kern w:val="0"/>
                <w:sz w:val="24"/>
                <w:szCs w:val="24"/>
                <w:highlight w:val="none"/>
              </w:rPr>
            </w:pPr>
          </w:p>
        </w:tc>
      </w:tr>
      <w:tr w14:paraId="2ADB95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23" w:type="dxa"/>
            <w:vMerge w:val="continue"/>
            <w:tcBorders>
              <w:right w:val="single" w:color="auto" w:sz="4" w:space="0"/>
            </w:tcBorders>
            <w:noWrap w:val="0"/>
            <w:vAlign w:val="center"/>
          </w:tcPr>
          <w:p w14:paraId="0EB53C72">
            <w:pPr>
              <w:wordWrap w:val="0"/>
              <w:rPr>
                <w:rFonts w:ascii="宋体" w:hAnsi="宋体"/>
                <w:b/>
                <w:color w:val="auto"/>
                <w:sz w:val="24"/>
                <w:szCs w:val="24"/>
                <w:highlight w:val="none"/>
              </w:rPr>
            </w:pPr>
          </w:p>
        </w:tc>
        <w:tc>
          <w:tcPr>
            <w:tcW w:w="6096" w:type="dxa"/>
            <w:tcBorders>
              <w:right w:val="single" w:color="auto" w:sz="4" w:space="0"/>
            </w:tcBorders>
            <w:noWrap w:val="0"/>
            <w:vAlign w:val="center"/>
          </w:tcPr>
          <w:p w14:paraId="3E5C6B95">
            <w:pPr>
              <w:widowControl/>
              <w:wordWrap w:val="0"/>
              <w:jc w:val="left"/>
              <w:rPr>
                <w:rFonts w:ascii="宋体" w:hAnsi="宋体"/>
                <w:color w:val="auto"/>
                <w:sz w:val="24"/>
                <w:szCs w:val="24"/>
                <w:highlight w:val="none"/>
              </w:rPr>
            </w:pPr>
          </w:p>
        </w:tc>
        <w:tc>
          <w:tcPr>
            <w:tcW w:w="851" w:type="dxa"/>
            <w:tcBorders>
              <w:left w:val="single" w:color="auto" w:sz="4" w:space="0"/>
              <w:right w:val="single" w:color="auto" w:sz="4" w:space="0"/>
            </w:tcBorders>
            <w:noWrap w:val="0"/>
            <w:vAlign w:val="center"/>
          </w:tcPr>
          <w:p w14:paraId="2CB79682">
            <w:pPr>
              <w:widowControl/>
              <w:wordWrap w:val="0"/>
              <w:jc w:val="center"/>
              <w:rPr>
                <w:rFonts w:ascii="宋体" w:hAnsi="宋体"/>
                <w:color w:val="auto"/>
                <w:kern w:val="0"/>
                <w:sz w:val="24"/>
                <w:szCs w:val="24"/>
                <w:highlight w:val="none"/>
              </w:rPr>
            </w:pPr>
          </w:p>
        </w:tc>
        <w:tc>
          <w:tcPr>
            <w:tcW w:w="992" w:type="dxa"/>
            <w:tcBorders>
              <w:left w:val="single" w:color="auto" w:sz="4" w:space="0"/>
              <w:right w:val="single" w:color="auto" w:sz="4" w:space="0"/>
            </w:tcBorders>
            <w:noWrap w:val="0"/>
            <w:vAlign w:val="center"/>
          </w:tcPr>
          <w:p w14:paraId="74A43079">
            <w:pPr>
              <w:widowControl/>
              <w:wordWrap w:val="0"/>
              <w:jc w:val="center"/>
              <w:rPr>
                <w:rFonts w:ascii="宋体" w:hAnsi="宋体"/>
                <w:color w:val="auto"/>
                <w:kern w:val="0"/>
                <w:sz w:val="24"/>
                <w:szCs w:val="24"/>
                <w:highlight w:val="none"/>
              </w:rPr>
            </w:pPr>
          </w:p>
        </w:tc>
        <w:tc>
          <w:tcPr>
            <w:tcW w:w="851" w:type="dxa"/>
            <w:tcBorders>
              <w:left w:val="single" w:color="auto" w:sz="4" w:space="0"/>
            </w:tcBorders>
            <w:noWrap w:val="0"/>
            <w:vAlign w:val="center"/>
          </w:tcPr>
          <w:p w14:paraId="7121EBB6">
            <w:pPr>
              <w:widowControl/>
              <w:wordWrap w:val="0"/>
              <w:jc w:val="center"/>
              <w:rPr>
                <w:rFonts w:ascii="宋体" w:hAnsi="宋体"/>
                <w:color w:val="auto"/>
                <w:kern w:val="0"/>
                <w:sz w:val="24"/>
                <w:szCs w:val="24"/>
                <w:highlight w:val="none"/>
              </w:rPr>
            </w:pPr>
          </w:p>
        </w:tc>
      </w:tr>
      <w:tr w14:paraId="782ABB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23" w:type="dxa"/>
            <w:vMerge w:val="continue"/>
            <w:tcBorders>
              <w:right w:val="single" w:color="auto" w:sz="4" w:space="0"/>
            </w:tcBorders>
            <w:noWrap w:val="0"/>
            <w:vAlign w:val="center"/>
          </w:tcPr>
          <w:p w14:paraId="582946C8">
            <w:pPr>
              <w:wordWrap w:val="0"/>
              <w:rPr>
                <w:rFonts w:ascii="宋体" w:hAnsi="宋体"/>
                <w:b/>
                <w:color w:val="auto"/>
                <w:sz w:val="24"/>
                <w:szCs w:val="24"/>
                <w:highlight w:val="none"/>
              </w:rPr>
            </w:pPr>
          </w:p>
        </w:tc>
        <w:tc>
          <w:tcPr>
            <w:tcW w:w="6096" w:type="dxa"/>
            <w:tcBorders>
              <w:right w:val="single" w:color="auto" w:sz="4" w:space="0"/>
            </w:tcBorders>
            <w:noWrap w:val="0"/>
            <w:vAlign w:val="center"/>
          </w:tcPr>
          <w:p w14:paraId="43A0500F">
            <w:pPr>
              <w:widowControl/>
              <w:wordWrap w:val="0"/>
              <w:jc w:val="left"/>
              <w:rPr>
                <w:rFonts w:ascii="宋体" w:hAnsi="宋体"/>
                <w:color w:val="auto"/>
                <w:sz w:val="24"/>
                <w:szCs w:val="24"/>
                <w:highlight w:val="none"/>
              </w:rPr>
            </w:pPr>
          </w:p>
        </w:tc>
        <w:tc>
          <w:tcPr>
            <w:tcW w:w="851" w:type="dxa"/>
            <w:tcBorders>
              <w:left w:val="single" w:color="auto" w:sz="4" w:space="0"/>
              <w:right w:val="single" w:color="auto" w:sz="4" w:space="0"/>
            </w:tcBorders>
            <w:noWrap w:val="0"/>
            <w:vAlign w:val="center"/>
          </w:tcPr>
          <w:p w14:paraId="5E7849C0">
            <w:pPr>
              <w:widowControl/>
              <w:wordWrap w:val="0"/>
              <w:jc w:val="center"/>
              <w:rPr>
                <w:rFonts w:ascii="宋体" w:hAnsi="宋体"/>
                <w:color w:val="auto"/>
                <w:kern w:val="0"/>
                <w:sz w:val="24"/>
                <w:szCs w:val="24"/>
                <w:highlight w:val="none"/>
              </w:rPr>
            </w:pPr>
          </w:p>
        </w:tc>
        <w:tc>
          <w:tcPr>
            <w:tcW w:w="992" w:type="dxa"/>
            <w:tcBorders>
              <w:left w:val="single" w:color="auto" w:sz="4" w:space="0"/>
              <w:right w:val="single" w:color="auto" w:sz="4" w:space="0"/>
            </w:tcBorders>
            <w:noWrap w:val="0"/>
            <w:vAlign w:val="center"/>
          </w:tcPr>
          <w:p w14:paraId="19DB54D8">
            <w:pPr>
              <w:widowControl/>
              <w:wordWrap w:val="0"/>
              <w:jc w:val="center"/>
              <w:rPr>
                <w:rFonts w:ascii="宋体" w:hAnsi="宋体"/>
                <w:color w:val="auto"/>
                <w:kern w:val="0"/>
                <w:sz w:val="24"/>
                <w:szCs w:val="24"/>
                <w:highlight w:val="none"/>
              </w:rPr>
            </w:pPr>
          </w:p>
        </w:tc>
        <w:tc>
          <w:tcPr>
            <w:tcW w:w="851" w:type="dxa"/>
            <w:tcBorders>
              <w:left w:val="single" w:color="auto" w:sz="4" w:space="0"/>
            </w:tcBorders>
            <w:noWrap w:val="0"/>
            <w:vAlign w:val="center"/>
          </w:tcPr>
          <w:p w14:paraId="5C055E9D">
            <w:pPr>
              <w:widowControl/>
              <w:wordWrap w:val="0"/>
              <w:jc w:val="center"/>
              <w:rPr>
                <w:rFonts w:ascii="宋体" w:hAnsi="宋体"/>
                <w:color w:val="auto"/>
                <w:kern w:val="0"/>
                <w:sz w:val="24"/>
                <w:szCs w:val="24"/>
                <w:highlight w:val="none"/>
              </w:rPr>
            </w:pPr>
          </w:p>
        </w:tc>
      </w:tr>
      <w:tr w14:paraId="6AF32C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23" w:type="dxa"/>
            <w:vMerge w:val="continue"/>
            <w:tcBorders>
              <w:right w:val="single" w:color="auto" w:sz="4" w:space="0"/>
            </w:tcBorders>
            <w:noWrap w:val="0"/>
            <w:vAlign w:val="center"/>
          </w:tcPr>
          <w:p w14:paraId="2AF7C459">
            <w:pPr>
              <w:wordWrap w:val="0"/>
              <w:rPr>
                <w:rFonts w:ascii="宋体" w:hAnsi="宋体"/>
                <w:b/>
                <w:color w:val="auto"/>
                <w:sz w:val="24"/>
                <w:szCs w:val="24"/>
                <w:highlight w:val="none"/>
              </w:rPr>
            </w:pPr>
          </w:p>
        </w:tc>
        <w:tc>
          <w:tcPr>
            <w:tcW w:w="6096" w:type="dxa"/>
            <w:tcBorders>
              <w:right w:val="single" w:color="auto" w:sz="4" w:space="0"/>
            </w:tcBorders>
            <w:noWrap w:val="0"/>
            <w:vAlign w:val="center"/>
          </w:tcPr>
          <w:p w14:paraId="5AAD1FDF">
            <w:pPr>
              <w:widowControl/>
              <w:wordWrap w:val="0"/>
              <w:jc w:val="left"/>
              <w:rPr>
                <w:rFonts w:ascii="宋体" w:hAnsi="宋体"/>
                <w:color w:val="auto"/>
                <w:sz w:val="24"/>
                <w:szCs w:val="24"/>
                <w:highlight w:val="none"/>
              </w:rPr>
            </w:pPr>
          </w:p>
        </w:tc>
        <w:tc>
          <w:tcPr>
            <w:tcW w:w="851" w:type="dxa"/>
            <w:tcBorders>
              <w:left w:val="single" w:color="auto" w:sz="4" w:space="0"/>
              <w:right w:val="single" w:color="auto" w:sz="4" w:space="0"/>
            </w:tcBorders>
            <w:noWrap w:val="0"/>
            <w:vAlign w:val="center"/>
          </w:tcPr>
          <w:p w14:paraId="2F470B8A">
            <w:pPr>
              <w:widowControl/>
              <w:wordWrap w:val="0"/>
              <w:jc w:val="center"/>
              <w:rPr>
                <w:rFonts w:ascii="宋体" w:hAnsi="宋体"/>
                <w:color w:val="auto"/>
                <w:kern w:val="0"/>
                <w:sz w:val="24"/>
                <w:szCs w:val="24"/>
                <w:highlight w:val="none"/>
              </w:rPr>
            </w:pPr>
          </w:p>
        </w:tc>
        <w:tc>
          <w:tcPr>
            <w:tcW w:w="992" w:type="dxa"/>
            <w:tcBorders>
              <w:left w:val="single" w:color="auto" w:sz="4" w:space="0"/>
              <w:right w:val="single" w:color="auto" w:sz="4" w:space="0"/>
            </w:tcBorders>
            <w:noWrap w:val="0"/>
            <w:vAlign w:val="center"/>
          </w:tcPr>
          <w:p w14:paraId="275ECA1D">
            <w:pPr>
              <w:widowControl/>
              <w:wordWrap w:val="0"/>
              <w:jc w:val="center"/>
              <w:rPr>
                <w:rFonts w:ascii="宋体" w:hAnsi="宋体"/>
                <w:color w:val="auto"/>
                <w:kern w:val="0"/>
                <w:sz w:val="24"/>
                <w:szCs w:val="24"/>
                <w:highlight w:val="none"/>
              </w:rPr>
            </w:pPr>
          </w:p>
        </w:tc>
        <w:tc>
          <w:tcPr>
            <w:tcW w:w="851" w:type="dxa"/>
            <w:tcBorders>
              <w:left w:val="single" w:color="auto" w:sz="4" w:space="0"/>
            </w:tcBorders>
            <w:noWrap w:val="0"/>
            <w:vAlign w:val="center"/>
          </w:tcPr>
          <w:p w14:paraId="55D5E871">
            <w:pPr>
              <w:widowControl/>
              <w:wordWrap w:val="0"/>
              <w:jc w:val="center"/>
              <w:rPr>
                <w:rFonts w:ascii="宋体" w:hAnsi="宋体"/>
                <w:color w:val="auto"/>
                <w:kern w:val="0"/>
                <w:sz w:val="24"/>
                <w:szCs w:val="24"/>
                <w:highlight w:val="none"/>
              </w:rPr>
            </w:pPr>
          </w:p>
        </w:tc>
      </w:tr>
      <w:tr w14:paraId="279B8A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23" w:type="dxa"/>
            <w:vMerge w:val="continue"/>
            <w:tcBorders>
              <w:right w:val="single" w:color="auto" w:sz="4" w:space="0"/>
            </w:tcBorders>
            <w:noWrap w:val="0"/>
            <w:vAlign w:val="center"/>
          </w:tcPr>
          <w:p w14:paraId="51125774">
            <w:pPr>
              <w:wordWrap w:val="0"/>
              <w:rPr>
                <w:rFonts w:ascii="宋体" w:hAnsi="宋体"/>
                <w:b/>
                <w:color w:val="auto"/>
                <w:sz w:val="24"/>
                <w:szCs w:val="24"/>
                <w:highlight w:val="none"/>
              </w:rPr>
            </w:pPr>
          </w:p>
        </w:tc>
        <w:tc>
          <w:tcPr>
            <w:tcW w:w="6096" w:type="dxa"/>
            <w:tcBorders>
              <w:right w:val="single" w:color="auto" w:sz="4" w:space="0"/>
            </w:tcBorders>
            <w:noWrap w:val="0"/>
            <w:vAlign w:val="center"/>
          </w:tcPr>
          <w:p w14:paraId="7591AA0E">
            <w:pPr>
              <w:widowControl/>
              <w:wordWrap w:val="0"/>
              <w:jc w:val="left"/>
              <w:rPr>
                <w:rFonts w:ascii="宋体" w:hAnsi="宋体"/>
                <w:color w:val="auto"/>
                <w:sz w:val="24"/>
                <w:szCs w:val="24"/>
                <w:highlight w:val="none"/>
              </w:rPr>
            </w:pPr>
          </w:p>
        </w:tc>
        <w:tc>
          <w:tcPr>
            <w:tcW w:w="851" w:type="dxa"/>
            <w:tcBorders>
              <w:left w:val="single" w:color="auto" w:sz="4" w:space="0"/>
              <w:right w:val="single" w:color="auto" w:sz="4" w:space="0"/>
            </w:tcBorders>
            <w:noWrap w:val="0"/>
            <w:vAlign w:val="center"/>
          </w:tcPr>
          <w:p w14:paraId="611C74BC">
            <w:pPr>
              <w:widowControl/>
              <w:wordWrap w:val="0"/>
              <w:jc w:val="center"/>
              <w:rPr>
                <w:rFonts w:ascii="宋体" w:hAnsi="宋体"/>
                <w:color w:val="auto"/>
                <w:kern w:val="0"/>
                <w:sz w:val="24"/>
                <w:szCs w:val="24"/>
                <w:highlight w:val="none"/>
              </w:rPr>
            </w:pPr>
          </w:p>
        </w:tc>
        <w:tc>
          <w:tcPr>
            <w:tcW w:w="992" w:type="dxa"/>
            <w:tcBorders>
              <w:left w:val="single" w:color="auto" w:sz="4" w:space="0"/>
              <w:right w:val="single" w:color="auto" w:sz="4" w:space="0"/>
            </w:tcBorders>
            <w:noWrap w:val="0"/>
            <w:vAlign w:val="center"/>
          </w:tcPr>
          <w:p w14:paraId="67B6B2FB">
            <w:pPr>
              <w:widowControl/>
              <w:wordWrap w:val="0"/>
              <w:jc w:val="center"/>
              <w:rPr>
                <w:rFonts w:ascii="宋体" w:hAnsi="宋体"/>
                <w:color w:val="auto"/>
                <w:kern w:val="0"/>
                <w:sz w:val="24"/>
                <w:szCs w:val="24"/>
                <w:highlight w:val="none"/>
              </w:rPr>
            </w:pPr>
          </w:p>
        </w:tc>
        <w:tc>
          <w:tcPr>
            <w:tcW w:w="851" w:type="dxa"/>
            <w:tcBorders>
              <w:left w:val="single" w:color="auto" w:sz="4" w:space="0"/>
            </w:tcBorders>
            <w:noWrap w:val="0"/>
            <w:vAlign w:val="center"/>
          </w:tcPr>
          <w:p w14:paraId="6A68F7BD">
            <w:pPr>
              <w:widowControl/>
              <w:wordWrap w:val="0"/>
              <w:jc w:val="center"/>
              <w:rPr>
                <w:rFonts w:ascii="宋体" w:hAnsi="宋体"/>
                <w:color w:val="auto"/>
                <w:kern w:val="0"/>
                <w:sz w:val="24"/>
                <w:szCs w:val="24"/>
                <w:highlight w:val="none"/>
              </w:rPr>
            </w:pPr>
          </w:p>
        </w:tc>
      </w:tr>
    </w:tbl>
    <w:p w14:paraId="0666848F">
      <w:pPr>
        <w:pStyle w:val="17"/>
        <w:wordWrap w:val="0"/>
        <w:rPr>
          <w:rFonts w:hint="eastAsia"/>
          <w:color w:val="auto"/>
          <w:sz w:val="24"/>
          <w:highlight w:val="none"/>
        </w:rPr>
      </w:pPr>
      <w:r>
        <w:rPr>
          <w:rFonts w:hint="eastAsia"/>
          <w:color w:val="auto"/>
          <w:sz w:val="24"/>
          <w:highlight w:val="none"/>
        </w:rPr>
        <w:t>注</w:t>
      </w:r>
      <w:r>
        <w:rPr>
          <w:color w:val="auto"/>
          <w:sz w:val="24"/>
          <w:highlight w:val="none"/>
        </w:rPr>
        <w:t>：</w:t>
      </w:r>
      <w:r>
        <w:rPr>
          <w:rFonts w:hint="eastAsia"/>
          <w:color w:val="auto"/>
          <w:sz w:val="24"/>
          <w:highlight w:val="none"/>
        </w:rPr>
        <w:t>具体评分内容详见第五章评标办法及标准。</w:t>
      </w:r>
    </w:p>
    <w:p w14:paraId="7DD6E8F9">
      <w:pPr>
        <w:wordWrap w:val="0"/>
        <w:spacing w:line="360" w:lineRule="auto"/>
        <w:jc w:val="center"/>
        <w:rPr>
          <w:rFonts w:hint="eastAsia" w:ascii="宋体" w:hAnsi="宋体"/>
          <w:b/>
          <w:color w:val="auto"/>
          <w:sz w:val="24"/>
          <w:szCs w:val="24"/>
          <w:highlight w:val="none"/>
        </w:rPr>
      </w:pPr>
      <w:r>
        <w:rPr>
          <w:rStyle w:val="242"/>
          <w:rFonts w:ascii="宋体" w:hAnsi="宋体"/>
          <w:color w:val="auto"/>
          <w:szCs w:val="21"/>
          <w:highlight w:val="none"/>
        </w:rPr>
        <w:br w:type="page"/>
      </w:r>
      <w:r>
        <w:rPr>
          <w:rFonts w:hint="eastAsia" w:ascii="宋体" w:hAnsi="宋体"/>
          <w:b/>
          <w:color w:val="auto"/>
          <w:sz w:val="24"/>
          <w:szCs w:val="24"/>
          <w:highlight w:val="none"/>
        </w:rPr>
        <w:t>B1、投标书</w:t>
      </w:r>
    </w:p>
    <w:p w14:paraId="42B729FD">
      <w:pPr>
        <w:wordWrap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致：宁波市国际招标有限公司</w:t>
      </w:r>
    </w:p>
    <w:p w14:paraId="200D8280">
      <w:pPr>
        <w:wordWrap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u w:val="single"/>
        </w:rPr>
        <w:t>（供应商全称）</w:t>
      </w:r>
      <w:r>
        <w:rPr>
          <w:rFonts w:hint="eastAsia" w:ascii="宋体" w:hAnsi="宋体"/>
          <w:color w:val="auto"/>
          <w:sz w:val="24"/>
          <w:szCs w:val="24"/>
          <w:highlight w:val="none"/>
        </w:rPr>
        <w:t>授权</w:t>
      </w:r>
      <w:r>
        <w:rPr>
          <w:rFonts w:hint="eastAsia" w:ascii="宋体" w:hAnsi="宋体"/>
          <w:color w:val="auto"/>
          <w:sz w:val="24"/>
          <w:szCs w:val="24"/>
          <w:highlight w:val="none"/>
          <w:u w:val="single"/>
        </w:rPr>
        <w:t xml:space="preserve">  （全名、职务）  </w:t>
      </w:r>
      <w:r>
        <w:rPr>
          <w:rFonts w:hint="eastAsia" w:ascii="宋体" w:hAnsi="宋体"/>
          <w:color w:val="auto"/>
          <w:sz w:val="24"/>
          <w:szCs w:val="24"/>
          <w:highlight w:val="none"/>
        </w:rPr>
        <w:t>为全权代表，参加贵方组织的</w:t>
      </w:r>
      <w:r>
        <w:rPr>
          <w:rFonts w:hint="eastAsia" w:ascii="宋体" w:hAnsi="宋体"/>
          <w:color w:val="auto"/>
          <w:sz w:val="24"/>
          <w:szCs w:val="24"/>
          <w:highlight w:val="none"/>
          <w:u w:val="single"/>
          <w:lang w:eastAsia="zh-CN"/>
        </w:rPr>
        <w:t>2026年-2028年鄞州区下应、潘火、首南三街道道路桥梁日常养护项目</w:t>
      </w:r>
      <w:r>
        <w:rPr>
          <w:rFonts w:hint="eastAsia" w:ascii="宋体" w:hAnsi="宋体"/>
          <w:color w:val="auto"/>
          <w:sz w:val="24"/>
          <w:szCs w:val="24"/>
          <w:highlight w:val="none"/>
        </w:rPr>
        <w:t>（采购编号：</w:t>
      </w:r>
      <w:r>
        <w:rPr>
          <w:rFonts w:hint="eastAsia" w:ascii="宋体" w:hAnsi="宋体"/>
          <w:color w:val="auto"/>
          <w:sz w:val="24"/>
          <w:szCs w:val="24"/>
          <w:highlight w:val="none"/>
          <w:u w:val="single"/>
          <w:lang w:eastAsia="zh-CN"/>
        </w:rPr>
        <w:t>NBITC-202620214G</w:t>
      </w:r>
      <w:r>
        <w:rPr>
          <w:rFonts w:hint="eastAsia" w:ascii="宋体" w:hAnsi="宋体"/>
          <w:color w:val="auto"/>
          <w:sz w:val="24"/>
          <w:szCs w:val="24"/>
          <w:highlight w:val="none"/>
        </w:rPr>
        <w:t>）招标活动并投标，为便于采购人公正、择优地确定中标供应商及其服务，我方就本次投标有关事项郑重声明如下：</w:t>
      </w:r>
    </w:p>
    <w:p w14:paraId="305407D8">
      <w:pPr>
        <w:wordWrap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1、我方提交的所有投标文件、资料都是准确的和真实的。如有虚假或隐瞒，我方愿意承担一切后果，并不再寻求任何旨在减轻或免除法律责任的辩解。</w:t>
      </w:r>
    </w:p>
    <w:p w14:paraId="3A25661F">
      <w:pPr>
        <w:wordWrap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2、我方不是为本项目提供整体设计、规范编制或者项目管理、监理、检测等服务的供应商。</w:t>
      </w:r>
    </w:p>
    <w:p w14:paraId="09B4CE00">
      <w:pPr>
        <w:wordWrap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我方</w:t>
      </w:r>
      <w:r>
        <w:rPr>
          <w:rFonts w:hint="eastAsia" w:ascii="宋体" w:hAnsi="宋体"/>
          <w:color w:val="auto"/>
          <w:sz w:val="24"/>
          <w:szCs w:val="24"/>
          <w:highlight w:val="none"/>
        </w:rPr>
        <w:t>已详细审查并理解全部采购文件，已完全明确采购文件中告知的全部内容。如有违反，愿意接受监管机构相应的处理。</w:t>
      </w:r>
    </w:p>
    <w:p w14:paraId="2A8CAC3B">
      <w:pPr>
        <w:wordWrap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4、保证遵守采购文件有关条款规定。</w:t>
      </w:r>
    </w:p>
    <w:p w14:paraId="33834197">
      <w:pPr>
        <w:wordWrap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5、本项目的投标报价详见“开标一览表”。</w:t>
      </w:r>
    </w:p>
    <w:p w14:paraId="0FBC9505">
      <w:pPr>
        <w:wordWrap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6、投标文件有效期为自开标之日起 90 个日历日。</w:t>
      </w:r>
    </w:p>
    <w:p w14:paraId="029D67EA">
      <w:pPr>
        <w:wordWrap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7、保证在中标后忠实地执行与采购人所签署的合同，并承担合同规定的责任义务。</w:t>
      </w:r>
    </w:p>
    <w:p w14:paraId="0278EE39">
      <w:pPr>
        <w:wordWrap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同意招标（采购）文件中有关招标代理服务费的条款，如有异议在投标前会以书面方式向招标代理机构提出，保证在中标后按照招标（采购）文件规定的金额、时间和方式，向招标代理机构一次性交纳招标代理服务费。我方如逾期未交纳（含未足额）的，愿凭招标代理机构开出的违约通知，按上述规定应交纳金额（含欠交纳）的200%交纳违约金和滞纳的银行利息。对招标代理服务费交纳的异议，我方服从招标（采购）人的协调。</w:t>
      </w:r>
    </w:p>
    <w:p w14:paraId="5DCE015E">
      <w:pPr>
        <w:wordWrap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9、与本投标有关的一切正式来往通讯请寄：</w:t>
      </w:r>
    </w:p>
    <w:p w14:paraId="75E1B83B">
      <w:pPr>
        <w:wordWrap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邮编：</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456321D">
      <w:pPr>
        <w:wordWrap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电话：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传真：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B4B2174">
      <w:pPr>
        <w:wordWrap w:val="0"/>
        <w:spacing w:line="400" w:lineRule="exact"/>
        <w:ind w:left="540" w:firstLine="30"/>
        <w:jc w:val="left"/>
        <w:rPr>
          <w:rFonts w:hint="eastAsia" w:ascii="宋体" w:hAnsi="宋体"/>
          <w:color w:val="auto"/>
          <w:sz w:val="24"/>
          <w:szCs w:val="24"/>
          <w:highlight w:val="none"/>
        </w:rPr>
      </w:pPr>
    </w:p>
    <w:p w14:paraId="3B6D2E65">
      <w:pPr>
        <w:wordWrap w:val="0"/>
        <w:spacing w:line="400" w:lineRule="exact"/>
        <w:jc w:val="left"/>
        <w:rPr>
          <w:rFonts w:hint="eastAsia" w:ascii="宋体" w:hAnsi="宋体"/>
          <w:color w:val="auto"/>
          <w:sz w:val="24"/>
          <w:szCs w:val="24"/>
          <w:highlight w:val="none"/>
        </w:rPr>
      </w:pPr>
    </w:p>
    <w:p w14:paraId="628606AA">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投标人（盖章）：         </w:t>
      </w:r>
    </w:p>
    <w:p w14:paraId="4E4D7689">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法定代表人或其授权委托人（签名或印章）：        </w:t>
      </w:r>
    </w:p>
    <w:p w14:paraId="3D35FCCF">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日  期：        </w:t>
      </w:r>
    </w:p>
    <w:p w14:paraId="2DBDF563">
      <w:pPr>
        <w:wordWrap w:val="0"/>
        <w:spacing w:line="360" w:lineRule="auto"/>
        <w:rPr>
          <w:rStyle w:val="242"/>
          <w:rFonts w:ascii="宋体" w:hAnsi="宋体"/>
          <w:color w:val="auto"/>
          <w:szCs w:val="21"/>
          <w:highlight w:val="none"/>
        </w:rPr>
      </w:pPr>
      <w:r>
        <w:rPr>
          <w:rStyle w:val="242"/>
          <w:rFonts w:ascii="宋体" w:hAnsi="宋体"/>
          <w:color w:val="auto"/>
          <w:szCs w:val="21"/>
          <w:highlight w:val="none"/>
        </w:rPr>
        <w:br w:type="page"/>
      </w:r>
      <w:r>
        <w:rPr>
          <w:rStyle w:val="242"/>
          <w:rFonts w:hint="eastAsia" w:ascii="宋体" w:hAnsi="宋体"/>
          <w:color w:val="auto"/>
          <w:szCs w:val="21"/>
          <w:highlight w:val="none"/>
        </w:rPr>
        <w:t>B2、营业执照副本（或事业法人登记证副本或其他登记证明材料）扫描件加盖供应商公章（供应商如果有名称变更的，应提供由行政主管部门出具的变更证明文件扫描件加盖供应商公章）；</w:t>
      </w:r>
    </w:p>
    <w:p w14:paraId="2ED93B7D">
      <w:pPr>
        <w:wordWrap w:val="0"/>
        <w:spacing w:line="360" w:lineRule="auto"/>
        <w:jc w:val="center"/>
        <w:rPr>
          <w:rFonts w:ascii="宋体" w:hAnsi="宋体"/>
          <w:b/>
          <w:bCs/>
          <w:color w:val="auto"/>
          <w:sz w:val="24"/>
          <w:szCs w:val="24"/>
          <w:highlight w:val="none"/>
        </w:rPr>
      </w:pPr>
      <w:r>
        <w:rPr>
          <w:rStyle w:val="242"/>
          <w:rFonts w:ascii="宋体" w:hAnsi="宋体"/>
          <w:color w:val="auto"/>
          <w:szCs w:val="21"/>
          <w:highlight w:val="none"/>
        </w:rPr>
        <w:br w:type="page"/>
      </w:r>
      <w:r>
        <w:rPr>
          <w:rFonts w:hint="eastAsia" w:ascii="宋体" w:hAnsi="宋体"/>
          <w:b/>
          <w:bCs/>
          <w:color w:val="auto"/>
          <w:sz w:val="24"/>
          <w:szCs w:val="24"/>
          <w:highlight w:val="none"/>
        </w:rPr>
        <w:t>B</w:t>
      </w:r>
      <w:r>
        <w:rPr>
          <w:rFonts w:ascii="宋体" w:hAnsi="宋体"/>
          <w:b/>
          <w:bCs/>
          <w:color w:val="auto"/>
          <w:sz w:val="24"/>
          <w:szCs w:val="24"/>
          <w:highlight w:val="none"/>
        </w:rPr>
        <w:t>3</w:t>
      </w:r>
      <w:r>
        <w:rPr>
          <w:rFonts w:hint="eastAsia" w:ascii="宋体" w:hAnsi="宋体"/>
          <w:b/>
          <w:bCs/>
          <w:color w:val="auto"/>
          <w:sz w:val="24"/>
          <w:szCs w:val="24"/>
          <w:highlight w:val="none"/>
        </w:rPr>
        <w:t>、法定代表人身份证明</w:t>
      </w:r>
    </w:p>
    <w:p w14:paraId="743A631F">
      <w:pPr>
        <w:wordWrap w:val="0"/>
        <w:spacing w:after="120" w:afterLines="50" w:line="400" w:lineRule="exact"/>
        <w:rPr>
          <w:rFonts w:ascii="宋体" w:hAnsi="宋体"/>
          <w:color w:val="auto"/>
          <w:sz w:val="24"/>
          <w:szCs w:val="24"/>
          <w:highlight w:val="none"/>
          <w:u w:val="single"/>
        </w:rPr>
      </w:pPr>
      <w:r>
        <w:rPr>
          <w:rFonts w:hint="eastAsia" w:ascii="宋体" w:hAnsi="宋体"/>
          <w:color w:val="auto"/>
          <w:sz w:val="24"/>
          <w:szCs w:val="24"/>
          <w:highlight w:val="none"/>
        </w:rPr>
        <w:t>供应商名称：</w:t>
      </w:r>
      <w:r>
        <w:rPr>
          <w:rFonts w:ascii="宋体" w:hAnsi="宋体"/>
          <w:color w:val="auto"/>
          <w:sz w:val="24"/>
          <w:szCs w:val="24"/>
          <w:highlight w:val="none"/>
          <w:u w:val="single"/>
        </w:rPr>
        <w:t xml:space="preserve">                   </w:t>
      </w:r>
    </w:p>
    <w:p w14:paraId="65401C26">
      <w:pPr>
        <w:wordWrap w:val="0"/>
        <w:spacing w:after="120" w:afterLines="50" w:line="400" w:lineRule="exact"/>
        <w:rPr>
          <w:rFonts w:ascii="宋体" w:hAnsi="宋体"/>
          <w:color w:val="auto"/>
          <w:sz w:val="24"/>
          <w:szCs w:val="24"/>
          <w:highlight w:val="none"/>
          <w:u w:val="single"/>
        </w:rPr>
      </w:pPr>
      <w:r>
        <w:rPr>
          <w:rFonts w:hint="eastAsia" w:ascii="宋体" w:hAnsi="宋体"/>
          <w:color w:val="auto"/>
          <w:sz w:val="24"/>
          <w:szCs w:val="24"/>
          <w:highlight w:val="none"/>
        </w:rPr>
        <w:t>单位性质：</w:t>
      </w:r>
      <w:r>
        <w:rPr>
          <w:rFonts w:ascii="宋体" w:hAnsi="宋体"/>
          <w:color w:val="auto"/>
          <w:sz w:val="24"/>
          <w:szCs w:val="24"/>
          <w:highlight w:val="none"/>
          <w:u w:val="single"/>
        </w:rPr>
        <w:t xml:space="preserve">                     </w:t>
      </w:r>
    </w:p>
    <w:p w14:paraId="4846DCDC">
      <w:pPr>
        <w:wordWrap w:val="0"/>
        <w:spacing w:after="120" w:afterLines="50" w:line="400" w:lineRule="exact"/>
        <w:rPr>
          <w:rFonts w:ascii="宋体" w:hAnsi="宋体"/>
          <w:color w:val="auto"/>
          <w:sz w:val="24"/>
          <w:szCs w:val="24"/>
          <w:highlight w:val="none"/>
          <w:u w:val="single"/>
        </w:rPr>
      </w:pPr>
      <w:r>
        <w:rPr>
          <w:rFonts w:hint="eastAsia" w:ascii="宋体" w:hAnsi="宋体"/>
          <w:color w:val="auto"/>
          <w:sz w:val="24"/>
          <w:szCs w:val="24"/>
          <w:highlight w:val="none"/>
        </w:rPr>
        <w:t>地址：</w:t>
      </w:r>
      <w:r>
        <w:rPr>
          <w:rFonts w:ascii="宋体" w:hAnsi="宋体"/>
          <w:color w:val="auto"/>
          <w:sz w:val="24"/>
          <w:szCs w:val="24"/>
          <w:highlight w:val="none"/>
          <w:u w:val="single"/>
        </w:rPr>
        <w:t xml:space="preserve">                         </w:t>
      </w:r>
    </w:p>
    <w:p w14:paraId="36185BB9">
      <w:pPr>
        <w:wordWrap w:val="0"/>
        <w:spacing w:after="120" w:afterLines="50" w:line="400" w:lineRule="exact"/>
        <w:rPr>
          <w:rFonts w:ascii="宋体" w:hAnsi="宋体"/>
          <w:color w:val="auto"/>
          <w:sz w:val="24"/>
          <w:szCs w:val="24"/>
          <w:highlight w:val="none"/>
          <w:u w:val="single"/>
        </w:rPr>
      </w:pPr>
      <w:r>
        <w:rPr>
          <w:rFonts w:hint="eastAsia" w:ascii="宋体" w:hAnsi="宋体"/>
          <w:color w:val="auto"/>
          <w:sz w:val="24"/>
          <w:szCs w:val="24"/>
          <w:highlight w:val="none"/>
        </w:rPr>
        <w:t>成立时间：</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36255B10">
      <w:pPr>
        <w:wordWrap w:val="0"/>
        <w:spacing w:after="120" w:afterLines="50" w:line="400" w:lineRule="exact"/>
        <w:rPr>
          <w:rFonts w:ascii="宋体" w:hAnsi="宋体"/>
          <w:color w:val="auto"/>
          <w:sz w:val="24"/>
          <w:szCs w:val="24"/>
          <w:highlight w:val="none"/>
          <w:u w:val="single"/>
        </w:rPr>
      </w:pPr>
      <w:r>
        <w:rPr>
          <w:rFonts w:hint="eastAsia" w:ascii="宋体" w:hAnsi="宋体"/>
          <w:color w:val="auto"/>
          <w:sz w:val="24"/>
          <w:szCs w:val="24"/>
          <w:highlight w:val="none"/>
        </w:rPr>
        <w:t>经营期限：</w:t>
      </w:r>
    </w:p>
    <w:p w14:paraId="1506A7CB">
      <w:pPr>
        <w:wordWrap w:val="0"/>
        <w:spacing w:after="120" w:afterLines="50" w:line="400" w:lineRule="exact"/>
        <w:rPr>
          <w:rFonts w:ascii="宋体" w:hAnsi="宋体"/>
          <w:color w:val="auto"/>
          <w:sz w:val="24"/>
          <w:szCs w:val="24"/>
          <w:highlight w:val="none"/>
          <w:u w:val="single"/>
        </w:rPr>
      </w:pPr>
      <w:r>
        <w:rPr>
          <w:rFonts w:hint="eastAsia" w:ascii="宋体" w:hAnsi="宋体"/>
          <w:color w:val="auto"/>
          <w:sz w:val="24"/>
          <w:szCs w:val="24"/>
          <w:highlight w:val="none"/>
        </w:rPr>
        <w:t>姓名：</w:t>
      </w:r>
      <w:r>
        <w:rPr>
          <w:rFonts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ascii="宋体" w:hAnsi="宋体"/>
          <w:color w:val="auto"/>
          <w:sz w:val="24"/>
          <w:szCs w:val="24"/>
          <w:highlight w:val="none"/>
          <w:u w:val="single"/>
        </w:rPr>
        <w:t xml:space="preserve">          </w:t>
      </w:r>
    </w:p>
    <w:p w14:paraId="39F4A00D">
      <w:pPr>
        <w:wordWrap w:val="0"/>
        <w:spacing w:after="120" w:afterLines="50" w:line="400" w:lineRule="exact"/>
        <w:rPr>
          <w:rFonts w:ascii="宋体" w:hAnsi="宋体"/>
          <w:color w:val="auto"/>
          <w:sz w:val="24"/>
          <w:szCs w:val="24"/>
          <w:highlight w:val="none"/>
          <w:u w:val="single"/>
        </w:rPr>
      </w:pPr>
      <w:r>
        <w:rPr>
          <w:rFonts w:hint="eastAsia" w:ascii="宋体" w:hAnsi="宋体"/>
          <w:color w:val="auto"/>
          <w:sz w:val="24"/>
          <w:szCs w:val="24"/>
          <w:highlight w:val="none"/>
        </w:rPr>
        <w:t>身份证号码：</w:t>
      </w:r>
      <w:r>
        <w:rPr>
          <w:rFonts w:ascii="宋体" w:hAnsi="宋体"/>
          <w:color w:val="auto"/>
          <w:sz w:val="24"/>
          <w:szCs w:val="24"/>
          <w:highlight w:val="none"/>
          <w:u w:val="single"/>
        </w:rPr>
        <w:t xml:space="preserve">                   </w:t>
      </w:r>
    </w:p>
    <w:p w14:paraId="7262C3F2">
      <w:pPr>
        <w:wordWrap w:val="0"/>
        <w:spacing w:line="400" w:lineRule="exact"/>
        <w:ind w:firstLine="560"/>
        <w:rPr>
          <w:rFonts w:ascii="宋体" w:hAnsi="宋体"/>
          <w:color w:val="auto"/>
          <w:sz w:val="24"/>
          <w:szCs w:val="24"/>
          <w:highlight w:val="none"/>
        </w:rPr>
      </w:pPr>
    </w:p>
    <w:p w14:paraId="30050AD6">
      <w:pPr>
        <w:wordWrap w:val="0"/>
        <w:spacing w:line="400" w:lineRule="exact"/>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系</w:t>
      </w:r>
      <w:r>
        <w:rPr>
          <w:rFonts w:hint="eastAsia" w:ascii="宋体" w:hAnsi="宋体"/>
          <w:color w:val="auto"/>
          <w:sz w:val="24"/>
          <w:szCs w:val="24"/>
          <w:highlight w:val="none"/>
          <w:u w:val="single"/>
        </w:rPr>
        <w:t>（供应商名称）</w:t>
      </w:r>
      <w:r>
        <w:rPr>
          <w:rFonts w:hint="eastAsia" w:ascii="宋体" w:hAnsi="宋体"/>
          <w:color w:val="auto"/>
          <w:sz w:val="24"/>
          <w:szCs w:val="24"/>
          <w:highlight w:val="none"/>
        </w:rPr>
        <w:t>的法定代表人。</w:t>
      </w:r>
    </w:p>
    <w:p w14:paraId="7CC29CC3">
      <w:pPr>
        <w:wordWrap w:val="0"/>
        <w:spacing w:line="400" w:lineRule="exact"/>
        <w:ind w:firstLine="560"/>
        <w:rPr>
          <w:rFonts w:ascii="宋体" w:hAnsi="宋体"/>
          <w:color w:val="auto"/>
          <w:sz w:val="24"/>
          <w:szCs w:val="24"/>
          <w:highlight w:val="none"/>
        </w:rPr>
      </w:pPr>
    </w:p>
    <w:p w14:paraId="697C9408">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特此证明。</w:t>
      </w:r>
    </w:p>
    <w:p w14:paraId="40301AB7">
      <w:pPr>
        <w:wordWrap w:val="0"/>
        <w:spacing w:line="400" w:lineRule="exact"/>
        <w:rPr>
          <w:rFonts w:ascii="宋体" w:hAnsi="宋体"/>
          <w:color w:val="auto"/>
          <w:sz w:val="24"/>
          <w:szCs w:val="24"/>
          <w:highlight w:val="none"/>
        </w:rPr>
      </w:pPr>
    </w:p>
    <w:p w14:paraId="1A0BFE61">
      <w:pPr>
        <w:wordWrap w:val="0"/>
        <w:spacing w:line="400" w:lineRule="atLeast"/>
        <w:jc w:val="left"/>
        <w:rPr>
          <w:rFonts w:ascii="宋体" w:hAnsi="宋体"/>
          <w:color w:val="auto"/>
          <w:sz w:val="24"/>
          <w:szCs w:val="24"/>
          <w:highlight w:val="none"/>
        </w:rPr>
      </w:pPr>
      <w:r>
        <w:rPr>
          <w:rFonts w:hint="eastAsia" w:ascii="宋体" w:hAnsi="宋体"/>
          <w:color w:val="auto"/>
          <w:sz w:val="24"/>
          <w:szCs w:val="24"/>
          <w:highlight w:val="none"/>
        </w:rPr>
        <w:t>投标人（盖章）：</w:t>
      </w:r>
    </w:p>
    <w:p w14:paraId="4F635A3B">
      <w:pPr>
        <w:wordWrap w:val="0"/>
        <w:spacing w:line="400" w:lineRule="atLeast"/>
        <w:rPr>
          <w:rFonts w:ascii="宋体" w:hAnsi="宋体"/>
          <w:color w:val="auto"/>
          <w:sz w:val="24"/>
          <w:szCs w:val="24"/>
          <w:highlight w:val="none"/>
          <w:u w:val="single"/>
        </w:rPr>
      </w:pPr>
      <w:r>
        <w:rPr>
          <w:rFonts w:hint="eastAsia" w:ascii="宋体" w:hAnsi="宋体"/>
          <w:color w:val="auto"/>
          <w:sz w:val="24"/>
          <w:szCs w:val="24"/>
          <w:highlight w:val="none"/>
        </w:rPr>
        <w:t>日</w:t>
      </w:r>
      <w:r>
        <w:rPr>
          <w:rFonts w:ascii="宋体" w:hAnsi="宋体"/>
          <w:color w:val="auto"/>
          <w:sz w:val="24"/>
          <w:szCs w:val="24"/>
          <w:highlight w:val="none"/>
        </w:rPr>
        <w:t xml:space="preserve">          </w:t>
      </w:r>
      <w:r>
        <w:rPr>
          <w:rFonts w:hint="eastAsia" w:ascii="宋体" w:hAnsi="宋体"/>
          <w:color w:val="auto"/>
          <w:sz w:val="24"/>
          <w:szCs w:val="24"/>
          <w:highlight w:val="none"/>
        </w:rPr>
        <w:t>期：</w:t>
      </w:r>
    </w:p>
    <w:p w14:paraId="52E41250">
      <w:pPr>
        <w:wordWrap w:val="0"/>
        <w:spacing w:line="400" w:lineRule="atLeast"/>
        <w:rPr>
          <w:rFonts w:ascii="宋体" w:hAnsi="宋体"/>
          <w:color w:val="auto"/>
          <w:sz w:val="24"/>
          <w:szCs w:val="24"/>
          <w:highlight w:val="none"/>
          <w:u w:val="single"/>
        </w:rPr>
      </w:pPr>
    </w:p>
    <w:p w14:paraId="6035E39D">
      <w:pPr>
        <w:wordWrap w:val="0"/>
        <w:spacing w:line="400" w:lineRule="atLeast"/>
        <w:rPr>
          <w:rFonts w:ascii="宋体" w:hAnsi="宋体"/>
          <w:color w:val="auto"/>
          <w:sz w:val="24"/>
          <w:szCs w:val="24"/>
          <w:highlight w:val="none"/>
          <w:u w:val="single"/>
        </w:rPr>
      </w:pPr>
    </w:p>
    <w:p w14:paraId="7C988DBC">
      <w:pPr>
        <w:wordWrap w:val="0"/>
        <w:spacing w:line="360" w:lineRule="auto"/>
        <w:rPr>
          <w:rFonts w:hint="eastAsia" w:ascii="宋体" w:hAnsi="宋体"/>
          <w:color w:val="auto"/>
          <w:sz w:val="24"/>
          <w:szCs w:val="24"/>
          <w:highlight w:val="none"/>
        </w:rPr>
      </w:pPr>
    </w:p>
    <w:p w14:paraId="6E10EE32">
      <w:pPr>
        <w:wordWrap w:val="0"/>
        <w:spacing w:line="360" w:lineRule="auto"/>
        <w:rPr>
          <w:rFonts w:ascii="宋体" w:hAnsi="宋体"/>
          <w:color w:val="auto"/>
          <w:sz w:val="24"/>
          <w:szCs w:val="24"/>
          <w:highlight w:val="none"/>
        </w:rPr>
      </w:pPr>
      <w:r>
        <w:rPr>
          <w:rFonts w:hint="eastAsia" w:ascii="宋体" w:hAnsi="宋体"/>
          <w:color w:val="auto"/>
          <w:sz w:val="24"/>
          <w:szCs w:val="24"/>
          <w:highlight w:val="none"/>
        </w:rPr>
        <w:t>后附：法定代表人身份证复印件加盖供应商公章。</w:t>
      </w:r>
    </w:p>
    <w:p w14:paraId="4E1BBCE7">
      <w:pPr>
        <w:wordWrap w:val="0"/>
        <w:spacing w:line="400" w:lineRule="atLeast"/>
        <w:rPr>
          <w:rFonts w:ascii="宋体" w:hAnsi="宋体"/>
          <w:color w:val="auto"/>
          <w:szCs w:val="21"/>
          <w:highlight w:val="none"/>
          <w:u w:val="single"/>
        </w:rPr>
      </w:pPr>
    </w:p>
    <w:p w14:paraId="3585D5F2">
      <w:pPr>
        <w:wordWrap w:val="0"/>
        <w:spacing w:line="400" w:lineRule="exact"/>
        <w:jc w:val="center"/>
        <w:rPr>
          <w:rFonts w:ascii="宋体" w:hAnsi="宋体"/>
          <w:b/>
          <w:color w:val="auto"/>
          <w:sz w:val="24"/>
          <w:szCs w:val="24"/>
          <w:highlight w:val="none"/>
        </w:rPr>
      </w:pPr>
      <w:r>
        <w:rPr>
          <w:rStyle w:val="242"/>
          <w:rFonts w:ascii="宋体" w:hAnsi="宋体"/>
          <w:color w:val="auto"/>
          <w:szCs w:val="21"/>
          <w:highlight w:val="none"/>
        </w:rPr>
        <w:br w:type="page"/>
      </w:r>
      <w:r>
        <w:rPr>
          <w:rFonts w:hint="eastAsia" w:ascii="宋体" w:hAnsi="宋体"/>
          <w:b/>
          <w:color w:val="auto"/>
          <w:sz w:val="24"/>
          <w:szCs w:val="24"/>
          <w:highlight w:val="none"/>
        </w:rPr>
        <w:t>B</w:t>
      </w:r>
      <w:r>
        <w:rPr>
          <w:rFonts w:ascii="宋体" w:hAnsi="宋体"/>
          <w:b/>
          <w:color w:val="auto"/>
          <w:sz w:val="24"/>
          <w:szCs w:val="24"/>
          <w:highlight w:val="none"/>
        </w:rPr>
        <w:t>4</w:t>
      </w:r>
      <w:r>
        <w:rPr>
          <w:rFonts w:hint="eastAsia" w:ascii="宋体" w:hAnsi="宋体"/>
          <w:b/>
          <w:color w:val="auto"/>
          <w:sz w:val="24"/>
          <w:szCs w:val="24"/>
          <w:highlight w:val="none"/>
        </w:rPr>
        <w:t>、法定代表人授权书</w:t>
      </w:r>
    </w:p>
    <w:p w14:paraId="3AE36DC1">
      <w:pPr>
        <w:wordWrap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（投标文件由授权代表签字的须提供）</w:t>
      </w:r>
    </w:p>
    <w:p w14:paraId="4F86B4F9">
      <w:pPr>
        <w:wordWrap w:val="0"/>
        <w:spacing w:line="360" w:lineRule="auto"/>
        <w:rPr>
          <w:rFonts w:ascii="宋体" w:hAnsi="宋体"/>
          <w:color w:val="auto"/>
          <w:sz w:val="24"/>
          <w:szCs w:val="24"/>
          <w:highlight w:val="none"/>
        </w:rPr>
      </w:pPr>
      <w:r>
        <w:rPr>
          <w:rFonts w:hint="eastAsia" w:ascii="宋体" w:hAnsi="宋体"/>
          <w:color w:val="auto"/>
          <w:sz w:val="24"/>
          <w:szCs w:val="24"/>
          <w:highlight w:val="none"/>
        </w:rPr>
        <w:t>致：采购人</w:t>
      </w:r>
    </w:p>
    <w:p w14:paraId="6193ABFD">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（供应商全称）</w:t>
      </w: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（法定代表人姓名）</w:t>
      </w:r>
      <w:r>
        <w:rPr>
          <w:rFonts w:hint="eastAsia" w:ascii="宋体" w:hAnsi="宋体"/>
          <w:color w:val="auto"/>
          <w:sz w:val="24"/>
          <w:szCs w:val="24"/>
          <w:highlight w:val="none"/>
        </w:rPr>
        <w:t>授权</w:t>
      </w:r>
      <w:r>
        <w:rPr>
          <w:rFonts w:hint="eastAsia" w:ascii="宋体" w:hAnsi="宋体"/>
          <w:color w:val="auto"/>
          <w:sz w:val="24"/>
          <w:szCs w:val="24"/>
          <w:highlight w:val="none"/>
          <w:u w:val="single"/>
        </w:rPr>
        <w:t>（授权代表姓名）</w:t>
      </w:r>
      <w:r>
        <w:rPr>
          <w:rFonts w:hint="eastAsia" w:ascii="宋体" w:hAnsi="宋体"/>
          <w:color w:val="auto"/>
          <w:sz w:val="24"/>
          <w:szCs w:val="24"/>
          <w:highlight w:val="none"/>
        </w:rPr>
        <w:t>为授权代表，参加</w:t>
      </w:r>
      <w:r>
        <w:rPr>
          <w:rFonts w:hint="eastAsia" w:ascii="宋体" w:hAnsi="宋体"/>
          <w:color w:val="auto"/>
          <w:sz w:val="24"/>
          <w:szCs w:val="24"/>
          <w:highlight w:val="none"/>
          <w:u w:val="single"/>
          <w:lang w:eastAsia="zh-CN"/>
        </w:rPr>
        <w:t>2026年-2028年鄞州区下应、潘火、首南三街道道路桥梁日常养护项目</w:t>
      </w:r>
      <w:r>
        <w:rPr>
          <w:rFonts w:hint="eastAsia" w:ascii="宋体" w:hAnsi="宋体"/>
          <w:color w:val="auto"/>
          <w:sz w:val="24"/>
          <w:szCs w:val="24"/>
          <w:highlight w:val="none"/>
        </w:rPr>
        <w:t>，采购编号为</w:t>
      </w:r>
      <w:r>
        <w:rPr>
          <w:rFonts w:hint="eastAsia" w:ascii="宋体" w:hAnsi="宋体"/>
          <w:color w:val="auto"/>
          <w:sz w:val="24"/>
          <w:szCs w:val="24"/>
          <w:highlight w:val="none"/>
          <w:u w:val="single"/>
          <w:lang w:eastAsia="zh-CN"/>
        </w:rPr>
        <w:t>NBITC-202620214G</w:t>
      </w:r>
      <w:r>
        <w:rPr>
          <w:rFonts w:hint="eastAsia" w:ascii="宋体" w:hAnsi="宋体"/>
          <w:color w:val="auto"/>
          <w:sz w:val="24"/>
          <w:szCs w:val="24"/>
          <w:highlight w:val="none"/>
        </w:rPr>
        <w:t>，其在招投标活动中的一切活动本公司均予承认。</w:t>
      </w:r>
    </w:p>
    <w:p w14:paraId="778D42FF">
      <w:pPr>
        <w:wordWrap w:val="0"/>
        <w:spacing w:line="400" w:lineRule="atLeast"/>
        <w:jc w:val="left"/>
        <w:rPr>
          <w:rFonts w:ascii="宋体" w:hAnsi="宋体"/>
          <w:color w:val="auto"/>
          <w:sz w:val="24"/>
          <w:szCs w:val="24"/>
          <w:highlight w:val="none"/>
        </w:rPr>
      </w:pPr>
    </w:p>
    <w:p w14:paraId="7445FBBA">
      <w:pPr>
        <w:wordWrap w:val="0"/>
        <w:spacing w:line="400" w:lineRule="atLeast"/>
        <w:jc w:val="left"/>
        <w:rPr>
          <w:rFonts w:ascii="宋体" w:hAnsi="宋体"/>
          <w:color w:val="auto"/>
          <w:sz w:val="24"/>
          <w:szCs w:val="24"/>
          <w:highlight w:val="none"/>
        </w:rPr>
      </w:pPr>
      <w:r>
        <w:rPr>
          <w:rFonts w:hint="eastAsia" w:ascii="宋体" w:hAnsi="宋体"/>
          <w:color w:val="auto"/>
          <w:sz w:val="24"/>
          <w:szCs w:val="24"/>
          <w:highlight w:val="none"/>
        </w:rPr>
        <w:t>供应商（盖章）：</w:t>
      </w:r>
    </w:p>
    <w:p w14:paraId="32D91152">
      <w:pPr>
        <w:wordWrap w:val="0"/>
        <w:spacing w:line="400" w:lineRule="atLeast"/>
        <w:jc w:val="left"/>
        <w:rPr>
          <w:rFonts w:ascii="宋体" w:hAnsi="宋体"/>
          <w:color w:val="auto"/>
          <w:sz w:val="24"/>
          <w:szCs w:val="24"/>
          <w:highlight w:val="none"/>
        </w:rPr>
      </w:pPr>
      <w:r>
        <w:rPr>
          <w:rFonts w:hint="eastAsia" w:ascii="宋体" w:hAnsi="宋体"/>
          <w:color w:val="auto"/>
          <w:sz w:val="24"/>
          <w:szCs w:val="24"/>
          <w:highlight w:val="none"/>
        </w:rPr>
        <w:t>法定代表人（签字）：</w:t>
      </w:r>
    </w:p>
    <w:p w14:paraId="4E678895">
      <w:pPr>
        <w:wordWrap w:val="0"/>
        <w:spacing w:line="400" w:lineRule="atLeast"/>
        <w:rPr>
          <w:rFonts w:ascii="宋体" w:hAnsi="宋体"/>
          <w:color w:val="auto"/>
          <w:sz w:val="24"/>
          <w:szCs w:val="24"/>
          <w:highlight w:val="none"/>
          <w:u w:val="single"/>
        </w:rPr>
      </w:pPr>
      <w:r>
        <w:rPr>
          <w:rFonts w:hint="eastAsia" w:ascii="宋体" w:hAnsi="宋体"/>
          <w:color w:val="auto"/>
          <w:sz w:val="24"/>
          <w:szCs w:val="24"/>
          <w:highlight w:val="none"/>
        </w:rPr>
        <w:t>日</w:t>
      </w:r>
      <w:r>
        <w:rPr>
          <w:rFonts w:ascii="宋体" w:hAnsi="宋体"/>
          <w:color w:val="auto"/>
          <w:sz w:val="24"/>
          <w:szCs w:val="24"/>
          <w:highlight w:val="none"/>
        </w:rPr>
        <w:t xml:space="preserve">            </w:t>
      </w:r>
      <w:r>
        <w:rPr>
          <w:rFonts w:hint="eastAsia" w:ascii="宋体" w:hAnsi="宋体"/>
          <w:color w:val="auto"/>
          <w:sz w:val="24"/>
          <w:szCs w:val="24"/>
          <w:highlight w:val="none"/>
        </w:rPr>
        <w:t>期：</w:t>
      </w:r>
    </w:p>
    <w:p w14:paraId="560B8B2C">
      <w:pPr>
        <w:wordWrap w:val="0"/>
        <w:spacing w:line="360" w:lineRule="auto"/>
        <w:rPr>
          <w:rFonts w:ascii="宋体" w:hAnsi="宋体"/>
          <w:color w:val="auto"/>
          <w:sz w:val="24"/>
          <w:szCs w:val="24"/>
          <w:highlight w:val="none"/>
        </w:rPr>
      </w:pPr>
    </w:p>
    <w:p w14:paraId="48B1A0E8">
      <w:pPr>
        <w:wordWrap w:val="0"/>
        <w:spacing w:line="360" w:lineRule="auto"/>
        <w:rPr>
          <w:rFonts w:ascii="宋体" w:hAnsi="宋体"/>
          <w:color w:val="auto"/>
          <w:sz w:val="24"/>
          <w:szCs w:val="24"/>
          <w:highlight w:val="none"/>
        </w:rPr>
      </w:pPr>
    </w:p>
    <w:p w14:paraId="678651ED">
      <w:pPr>
        <w:wordWrap w:val="0"/>
        <w:spacing w:line="360" w:lineRule="auto"/>
        <w:rPr>
          <w:rFonts w:ascii="宋体" w:hAnsi="宋体"/>
          <w:color w:val="auto"/>
          <w:sz w:val="24"/>
          <w:szCs w:val="24"/>
          <w:highlight w:val="none"/>
        </w:rPr>
      </w:pPr>
      <w:r>
        <w:rPr>
          <w:rFonts w:hint="eastAsia" w:ascii="宋体" w:hAnsi="宋体"/>
          <w:color w:val="auto"/>
          <w:sz w:val="24"/>
          <w:szCs w:val="24"/>
          <w:highlight w:val="none"/>
        </w:rPr>
        <w:t>附：</w:t>
      </w:r>
    </w:p>
    <w:p w14:paraId="775F996E">
      <w:pPr>
        <w:wordWrap w:val="0"/>
        <w:spacing w:line="360" w:lineRule="auto"/>
        <w:ind w:firstLine="555"/>
        <w:rPr>
          <w:rFonts w:ascii="宋体" w:hAnsi="宋体"/>
          <w:color w:val="auto"/>
          <w:sz w:val="24"/>
          <w:szCs w:val="24"/>
          <w:highlight w:val="none"/>
          <w:u w:val="single"/>
        </w:rPr>
      </w:pPr>
      <w:r>
        <w:rPr>
          <w:rFonts w:hint="eastAsia" w:ascii="宋体" w:hAnsi="宋体"/>
          <w:color w:val="auto"/>
          <w:sz w:val="24"/>
          <w:szCs w:val="24"/>
          <w:highlight w:val="none"/>
        </w:rPr>
        <w:t>授权代表姓名（签字）：</w:t>
      </w:r>
      <w:r>
        <w:rPr>
          <w:rFonts w:ascii="宋体" w:hAnsi="宋体"/>
          <w:color w:val="auto"/>
          <w:sz w:val="24"/>
          <w:szCs w:val="24"/>
          <w:highlight w:val="none"/>
          <w:u w:val="single"/>
        </w:rPr>
        <w:t xml:space="preserve">                 </w:t>
      </w:r>
    </w:p>
    <w:p w14:paraId="2458D883">
      <w:pPr>
        <w:wordWrap w:val="0"/>
        <w:spacing w:line="360" w:lineRule="auto"/>
        <w:ind w:firstLine="555"/>
        <w:rPr>
          <w:rFonts w:hint="eastAsia" w:ascii="宋体" w:hAnsi="宋体"/>
          <w:color w:val="auto"/>
          <w:sz w:val="24"/>
          <w:szCs w:val="24"/>
          <w:highlight w:val="none"/>
          <w:u w:val="single"/>
        </w:rPr>
      </w:pPr>
      <w:r>
        <w:rPr>
          <w:rFonts w:hint="eastAsia" w:ascii="宋体" w:hAnsi="宋体"/>
          <w:color w:val="auto"/>
          <w:sz w:val="24"/>
          <w:szCs w:val="24"/>
          <w:highlight w:val="none"/>
        </w:rPr>
        <w:t>授权代表身份证号码：</w:t>
      </w:r>
      <w:r>
        <w:rPr>
          <w:rFonts w:ascii="宋体" w:hAnsi="宋体"/>
          <w:color w:val="auto"/>
          <w:sz w:val="24"/>
          <w:szCs w:val="24"/>
          <w:highlight w:val="none"/>
          <w:u w:val="single"/>
        </w:rPr>
        <w:t xml:space="preserve">                   </w:t>
      </w:r>
    </w:p>
    <w:p w14:paraId="0563F0EC">
      <w:pPr>
        <w:wordWrap w:val="0"/>
        <w:spacing w:line="360" w:lineRule="auto"/>
        <w:ind w:firstLine="555"/>
        <w:rPr>
          <w:rFonts w:hint="eastAsia" w:ascii="宋体" w:hAnsi="宋体"/>
          <w:color w:val="auto"/>
          <w:sz w:val="24"/>
          <w:szCs w:val="24"/>
          <w:highlight w:val="none"/>
          <w:u w:val="single"/>
        </w:rPr>
      </w:pPr>
      <w:r>
        <w:rPr>
          <w:rFonts w:hint="eastAsia" w:ascii="宋体" w:hAnsi="宋体"/>
          <w:color w:val="auto"/>
          <w:sz w:val="24"/>
          <w:szCs w:val="24"/>
          <w:highlight w:val="none"/>
        </w:rPr>
        <w:t>职务：</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50C00A7C">
      <w:pPr>
        <w:wordWrap w:val="0"/>
        <w:spacing w:line="360" w:lineRule="auto"/>
        <w:ind w:firstLine="555"/>
        <w:rPr>
          <w:rFonts w:hint="eastAsia" w:ascii="宋体" w:hAnsi="宋体"/>
          <w:color w:val="auto"/>
          <w:sz w:val="24"/>
          <w:szCs w:val="24"/>
          <w:highlight w:val="none"/>
          <w:u w:val="single"/>
        </w:rPr>
      </w:pPr>
      <w:r>
        <w:rPr>
          <w:rFonts w:hint="eastAsia" w:ascii="宋体" w:hAnsi="宋体"/>
          <w:color w:val="auto"/>
          <w:sz w:val="24"/>
          <w:szCs w:val="24"/>
          <w:highlight w:val="none"/>
        </w:rPr>
        <w:t>详细通讯地址：</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1897B6AC">
      <w:pPr>
        <w:wordWrap w:val="0"/>
        <w:spacing w:line="360" w:lineRule="auto"/>
        <w:ind w:firstLine="555"/>
        <w:rPr>
          <w:rFonts w:hint="eastAsia" w:ascii="宋体" w:hAnsi="宋体"/>
          <w:color w:val="auto"/>
          <w:sz w:val="24"/>
          <w:szCs w:val="24"/>
          <w:highlight w:val="none"/>
        </w:rPr>
      </w:pPr>
      <w:r>
        <w:rPr>
          <w:rFonts w:hint="eastAsia" w:ascii="宋体" w:hAnsi="宋体"/>
          <w:color w:val="auto"/>
          <w:sz w:val="24"/>
          <w:szCs w:val="24"/>
          <w:highlight w:val="none"/>
        </w:rPr>
        <w:t>电话：</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142DA0C6">
      <w:pPr>
        <w:wordWrap w:val="0"/>
        <w:spacing w:line="360" w:lineRule="auto"/>
        <w:ind w:firstLine="555"/>
        <w:rPr>
          <w:rFonts w:hint="eastAsia" w:ascii="宋体" w:hAnsi="宋体"/>
          <w:color w:val="auto"/>
          <w:sz w:val="24"/>
          <w:szCs w:val="24"/>
          <w:highlight w:val="none"/>
          <w:u w:val="single"/>
        </w:rPr>
      </w:pPr>
      <w:r>
        <w:rPr>
          <w:rFonts w:hint="eastAsia" w:ascii="宋体" w:hAnsi="宋体"/>
          <w:color w:val="auto"/>
          <w:sz w:val="24"/>
          <w:szCs w:val="24"/>
          <w:highlight w:val="none"/>
        </w:rPr>
        <w:t>传真：</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0CB52CC2">
      <w:pPr>
        <w:wordWrap w:val="0"/>
        <w:spacing w:line="360" w:lineRule="auto"/>
        <w:ind w:firstLine="600" w:firstLineChars="250"/>
        <w:rPr>
          <w:rFonts w:ascii="宋体" w:hAnsi="宋体"/>
          <w:color w:val="auto"/>
          <w:sz w:val="24"/>
          <w:szCs w:val="24"/>
          <w:highlight w:val="none"/>
          <w:u w:val="single"/>
        </w:rPr>
      </w:pPr>
    </w:p>
    <w:p w14:paraId="33CAC90C">
      <w:pPr>
        <w:wordWrap w:val="0"/>
        <w:spacing w:line="360" w:lineRule="auto"/>
        <w:ind w:firstLine="600" w:firstLineChars="250"/>
        <w:rPr>
          <w:rFonts w:ascii="宋体" w:hAnsi="宋体"/>
          <w:color w:val="auto"/>
          <w:sz w:val="24"/>
          <w:szCs w:val="24"/>
          <w:highlight w:val="none"/>
          <w:u w:val="single"/>
        </w:rPr>
      </w:pPr>
    </w:p>
    <w:p w14:paraId="64E04900">
      <w:pPr>
        <w:wordWrap w:val="0"/>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后附：</w:t>
      </w:r>
    </w:p>
    <w:p w14:paraId="2B24C0B3">
      <w:pPr>
        <w:wordWrap w:val="0"/>
        <w:spacing w:line="360" w:lineRule="auto"/>
        <w:ind w:firstLine="600" w:firstLineChars="25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、法定代表人及授权代表身份证复印件加盖供应商公章；</w:t>
      </w:r>
    </w:p>
    <w:p w14:paraId="32A20931">
      <w:pPr>
        <w:wordWrap w:val="0"/>
        <w:spacing w:line="360" w:lineRule="auto"/>
        <w:ind w:firstLine="600" w:firstLineChars="25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、提供社保部门出具的供应商单位为授权代表缴纳社保的证明资料复印件。</w:t>
      </w:r>
    </w:p>
    <w:p w14:paraId="5D493170">
      <w:pPr>
        <w:wordWrap w:val="0"/>
        <w:spacing w:line="360" w:lineRule="auto"/>
        <w:ind w:firstLine="592" w:firstLineChars="250"/>
        <w:jc w:val="center"/>
        <w:rPr>
          <w:rFonts w:ascii="宋体" w:hAnsi="宋体"/>
          <w:b/>
          <w:color w:val="auto"/>
          <w:szCs w:val="21"/>
          <w:highlight w:val="none"/>
        </w:rPr>
      </w:pPr>
      <w:r>
        <w:rPr>
          <w:rStyle w:val="242"/>
          <w:rFonts w:ascii="宋体" w:hAnsi="宋体"/>
          <w:color w:val="auto"/>
          <w:szCs w:val="21"/>
          <w:highlight w:val="none"/>
        </w:rPr>
        <w:br w:type="page"/>
      </w:r>
    </w:p>
    <w:p w14:paraId="236F04E8">
      <w:pPr>
        <w:wordWrap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B</w:t>
      </w:r>
      <w:r>
        <w:rPr>
          <w:rFonts w:ascii="宋体" w:hAnsi="宋体"/>
          <w:b/>
          <w:color w:val="auto"/>
          <w:sz w:val="24"/>
          <w:szCs w:val="24"/>
          <w:highlight w:val="none"/>
        </w:rPr>
        <w:t>5</w:t>
      </w:r>
      <w:r>
        <w:rPr>
          <w:rFonts w:hint="eastAsia" w:ascii="宋体" w:hAnsi="宋体"/>
          <w:b/>
          <w:color w:val="auto"/>
          <w:sz w:val="24"/>
          <w:szCs w:val="24"/>
          <w:highlight w:val="none"/>
        </w:rPr>
        <w:t>、投标人一般情况表</w:t>
      </w:r>
    </w:p>
    <w:p w14:paraId="5415BE1E">
      <w:pPr>
        <w:pStyle w:val="18"/>
        <w:rPr>
          <w:color w:val="auto"/>
          <w:highlight w:val="none"/>
        </w:rPr>
      </w:pPr>
    </w:p>
    <w:tbl>
      <w:tblPr>
        <w:tblStyle w:val="48"/>
        <w:tblW w:w="877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305"/>
        <w:gridCol w:w="9"/>
        <w:gridCol w:w="3833"/>
      </w:tblGrid>
      <w:tr w14:paraId="2FF5C5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0"/>
            <w:vAlign w:val="center"/>
          </w:tcPr>
          <w:p w14:paraId="0B060BF4">
            <w:pPr>
              <w:wordWrap w:val="0"/>
              <w:spacing w:line="400" w:lineRule="exact"/>
              <w:jc w:val="center"/>
              <w:rPr>
                <w:rFonts w:ascii="宋体" w:hAnsi="宋体"/>
                <w:color w:val="auto"/>
                <w:sz w:val="24"/>
                <w:szCs w:val="24"/>
                <w:highlight w:val="none"/>
              </w:rPr>
            </w:pPr>
            <w:r>
              <w:rPr>
                <w:rFonts w:ascii="宋体" w:hAnsi="宋体"/>
                <w:color w:val="auto"/>
                <w:sz w:val="24"/>
                <w:szCs w:val="24"/>
                <w:highlight w:val="none"/>
              </w:rPr>
              <w:t>1</w:t>
            </w:r>
          </w:p>
        </w:tc>
        <w:tc>
          <w:tcPr>
            <w:tcW w:w="8147" w:type="dxa"/>
            <w:gridSpan w:val="3"/>
            <w:noWrap w:val="0"/>
            <w:vAlign w:val="center"/>
          </w:tcPr>
          <w:p w14:paraId="384F4581">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单位名称：</w:t>
            </w:r>
          </w:p>
        </w:tc>
      </w:tr>
      <w:tr w14:paraId="13598E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0"/>
            <w:vAlign w:val="center"/>
          </w:tcPr>
          <w:p w14:paraId="7CD3A999">
            <w:pPr>
              <w:wordWrap w:val="0"/>
              <w:spacing w:line="400" w:lineRule="exact"/>
              <w:jc w:val="center"/>
              <w:rPr>
                <w:rFonts w:ascii="宋体" w:hAnsi="宋体"/>
                <w:color w:val="auto"/>
                <w:sz w:val="24"/>
                <w:szCs w:val="24"/>
                <w:highlight w:val="none"/>
              </w:rPr>
            </w:pPr>
            <w:r>
              <w:rPr>
                <w:rFonts w:ascii="宋体" w:hAnsi="宋体"/>
                <w:color w:val="auto"/>
                <w:sz w:val="24"/>
                <w:szCs w:val="24"/>
                <w:highlight w:val="none"/>
              </w:rPr>
              <w:t>2</w:t>
            </w:r>
          </w:p>
        </w:tc>
        <w:tc>
          <w:tcPr>
            <w:tcW w:w="8147" w:type="dxa"/>
            <w:gridSpan w:val="3"/>
            <w:noWrap w:val="0"/>
            <w:vAlign w:val="center"/>
          </w:tcPr>
          <w:p w14:paraId="025EE72F">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总部地址：</w:t>
            </w:r>
          </w:p>
        </w:tc>
      </w:tr>
      <w:tr w14:paraId="7BB8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0"/>
            <w:vAlign w:val="center"/>
          </w:tcPr>
          <w:p w14:paraId="39384AED">
            <w:pPr>
              <w:wordWrap w:val="0"/>
              <w:spacing w:line="400" w:lineRule="exact"/>
              <w:jc w:val="center"/>
              <w:rPr>
                <w:rFonts w:ascii="宋体" w:hAnsi="宋体"/>
                <w:color w:val="auto"/>
                <w:sz w:val="24"/>
                <w:szCs w:val="24"/>
                <w:highlight w:val="none"/>
              </w:rPr>
            </w:pPr>
            <w:r>
              <w:rPr>
                <w:rFonts w:ascii="宋体" w:hAnsi="宋体"/>
                <w:color w:val="auto"/>
                <w:sz w:val="24"/>
                <w:szCs w:val="24"/>
                <w:highlight w:val="none"/>
              </w:rPr>
              <w:t>3</w:t>
            </w:r>
          </w:p>
        </w:tc>
        <w:tc>
          <w:tcPr>
            <w:tcW w:w="8147" w:type="dxa"/>
            <w:gridSpan w:val="3"/>
            <w:noWrap w:val="0"/>
            <w:vAlign w:val="center"/>
          </w:tcPr>
          <w:p w14:paraId="757CCBE0">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当地代表处地址：</w:t>
            </w:r>
          </w:p>
        </w:tc>
      </w:tr>
      <w:tr w14:paraId="2C4255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0"/>
            <w:vAlign w:val="center"/>
          </w:tcPr>
          <w:p w14:paraId="726BAA3A">
            <w:pPr>
              <w:wordWrap w:val="0"/>
              <w:spacing w:line="400" w:lineRule="exact"/>
              <w:jc w:val="center"/>
              <w:rPr>
                <w:rFonts w:ascii="宋体" w:hAnsi="宋体"/>
                <w:color w:val="auto"/>
                <w:sz w:val="24"/>
                <w:szCs w:val="24"/>
                <w:highlight w:val="none"/>
              </w:rPr>
            </w:pPr>
            <w:r>
              <w:rPr>
                <w:rFonts w:ascii="宋体" w:hAnsi="宋体"/>
                <w:color w:val="auto"/>
                <w:sz w:val="24"/>
                <w:szCs w:val="24"/>
                <w:highlight w:val="none"/>
              </w:rPr>
              <w:t>4</w:t>
            </w:r>
          </w:p>
        </w:tc>
        <w:tc>
          <w:tcPr>
            <w:tcW w:w="4305" w:type="dxa"/>
            <w:noWrap w:val="0"/>
            <w:vAlign w:val="center"/>
          </w:tcPr>
          <w:p w14:paraId="18F37CDC">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w:t>
            </w:r>
            <w:r>
              <w:rPr>
                <w:rFonts w:hint="eastAsia" w:ascii="宋体" w:hAnsi="宋体"/>
                <w:color w:val="auto"/>
                <w:sz w:val="24"/>
                <w:szCs w:val="24"/>
                <w:highlight w:val="none"/>
              </w:rPr>
              <w:t>话：</w:t>
            </w:r>
          </w:p>
        </w:tc>
        <w:tc>
          <w:tcPr>
            <w:tcW w:w="3842" w:type="dxa"/>
            <w:gridSpan w:val="2"/>
            <w:noWrap w:val="0"/>
            <w:vAlign w:val="center"/>
          </w:tcPr>
          <w:p w14:paraId="43D6CAEB">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联</w:t>
            </w:r>
            <w:r>
              <w:rPr>
                <w:rFonts w:ascii="宋体" w:hAnsi="宋体"/>
                <w:color w:val="auto"/>
                <w:sz w:val="24"/>
                <w:szCs w:val="24"/>
                <w:highlight w:val="none"/>
              </w:rPr>
              <w:t xml:space="preserve"> </w:t>
            </w:r>
            <w:r>
              <w:rPr>
                <w:rFonts w:hint="eastAsia" w:ascii="宋体" w:hAnsi="宋体"/>
                <w:color w:val="auto"/>
                <w:sz w:val="24"/>
                <w:szCs w:val="24"/>
                <w:highlight w:val="none"/>
              </w:rPr>
              <w:t>系</w:t>
            </w:r>
            <w:r>
              <w:rPr>
                <w:rFonts w:ascii="宋体" w:hAnsi="宋体"/>
                <w:color w:val="auto"/>
                <w:sz w:val="24"/>
                <w:szCs w:val="24"/>
                <w:highlight w:val="none"/>
              </w:rPr>
              <w:t xml:space="preserve"> </w:t>
            </w:r>
            <w:r>
              <w:rPr>
                <w:rFonts w:hint="eastAsia" w:ascii="宋体" w:hAnsi="宋体"/>
                <w:color w:val="auto"/>
                <w:sz w:val="24"/>
                <w:szCs w:val="24"/>
                <w:highlight w:val="none"/>
              </w:rPr>
              <w:t>人：</w:t>
            </w:r>
          </w:p>
        </w:tc>
      </w:tr>
      <w:tr w14:paraId="5F580E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0"/>
            <w:vAlign w:val="center"/>
          </w:tcPr>
          <w:p w14:paraId="4C5723EB">
            <w:pPr>
              <w:wordWrap w:val="0"/>
              <w:spacing w:line="400" w:lineRule="exact"/>
              <w:jc w:val="center"/>
              <w:rPr>
                <w:rFonts w:ascii="宋体" w:hAnsi="宋体"/>
                <w:color w:val="auto"/>
                <w:sz w:val="24"/>
                <w:szCs w:val="24"/>
                <w:highlight w:val="none"/>
              </w:rPr>
            </w:pPr>
            <w:r>
              <w:rPr>
                <w:rFonts w:ascii="宋体" w:hAnsi="宋体"/>
                <w:color w:val="auto"/>
                <w:sz w:val="24"/>
                <w:szCs w:val="24"/>
                <w:highlight w:val="none"/>
              </w:rPr>
              <w:t>5</w:t>
            </w:r>
          </w:p>
        </w:tc>
        <w:tc>
          <w:tcPr>
            <w:tcW w:w="4305" w:type="dxa"/>
            <w:noWrap w:val="0"/>
            <w:vAlign w:val="center"/>
          </w:tcPr>
          <w:p w14:paraId="42AE2FDA">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w:t>
            </w:r>
            <w:r>
              <w:rPr>
                <w:rFonts w:hint="eastAsia" w:ascii="宋体" w:hAnsi="宋体"/>
                <w:color w:val="auto"/>
                <w:sz w:val="24"/>
                <w:szCs w:val="24"/>
                <w:highlight w:val="none"/>
              </w:rPr>
              <w:t>真：</w:t>
            </w:r>
          </w:p>
        </w:tc>
        <w:tc>
          <w:tcPr>
            <w:tcW w:w="3842" w:type="dxa"/>
            <w:gridSpan w:val="2"/>
            <w:noWrap w:val="0"/>
            <w:vAlign w:val="center"/>
          </w:tcPr>
          <w:p w14:paraId="46AAC6EA">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电子信箱：</w:t>
            </w:r>
          </w:p>
        </w:tc>
      </w:tr>
      <w:tr w14:paraId="2ED176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0"/>
            <w:vAlign w:val="center"/>
          </w:tcPr>
          <w:p w14:paraId="243C07F4">
            <w:pPr>
              <w:wordWrap w:val="0"/>
              <w:spacing w:line="400" w:lineRule="exact"/>
              <w:jc w:val="center"/>
              <w:rPr>
                <w:rFonts w:ascii="宋体" w:hAnsi="宋体"/>
                <w:color w:val="auto"/>
                <w:sz w:val="24"/>
                <w:szCs w:val="24"/>
                <w:highlight w:val="none"/>
              </w:rPr>
            </w:pPr>
            <w:r>
              <w:rPr>
                <w:rFonts w:ascii="宋体" w:hAnsi="宋体"/>
                <w:color w:val="auto"/>
                <w:sz w:val="24"/>
                <w:szCs w:val="24"/>
                <w:highlight w:val="none"/>
              </w:rPr>
              <w:t>6</w:t>
            </w:r>
          </w:p>
        </w:tc>
        <w:tc>
          <w:tcPr>
            <w:tcW w:w="4305" w:type="dxa"/>
            <w:noWrap w:val="0"/>
            <w:vAlign w:val="center"/>
          </w:tcPr>
          <w:p w14:paraId="1E8C006A">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注册地：</w:t>
            </w:r>
          </w:p>
        </w:tc>
        <w:tc>
          <w:tcPr>
            <w:tcW w:w="3842" w:type="dxa"/>
            <w:gridSpan w:val="2"/>
            <w:noWrap w:val="0"/>
            <w:vAlign w:val="center"/>
          </w:tcPr>
          <w:p w14:paraId="7EF8F2D7">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注册年份：</w:t>
            </w:r>
          </w:p>
        </w:tc>
      </w:tr>
      <w:tr w14:paraId="50BACF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0"/>
            <w:vAlign w:val="center"/>
          </w:tcPr>
          <w:p w14:paraId="16685DF6">
            <w:pPr>
              <w:wordWrap w:val="0"/>
              <w:spacing w:line="400" w:lineRule="exact"/>
              <w:jc w:val="center"/>
              <w:rPr>
                <w:rFonts w:ascii="宋体" w:hAnsi="宋体"/>
                <w:color w:val="auto"/>
                <w:sz w:val="24"/>
                <w:szCs w:val="24"/>
                <w:highlight w:val="none"/>
              </w:rPr>
            </w:pPr>
            <w:r>
              <w:rPr>
                <w:rFonts w:ascii="宋体" w:hAnsi="宋体"/>
                <w:color w:val="auto"/>
                <w:sz w:val="24"/>
                <w:szCs w:val="24"/>
                <w:highlight w:val="none"/>
              </w:rPr>
              <w:t>7</w:t>
            </w:r>
          </w:p>
        </w:tc>
        <w:tc>
          <w:tcPr>
            <w:tcW w:w="8147" w:type="dxa"/>
            <w:gridSpan w:val="3"/>
            <w:noWrap w:val="0"/>
            <w:vAlign w:val="center"/>
          </w:tcPr>
          <w:p w14:paraId="2E67B9F1">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公司的资质等级（请附上有关证书的复印件）</w:t>
            </w:r>
          </w:p>
        </w:tc>
      </w:tr>
      <w:tr w14:paraId="66DEA1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0"/>
            <w:vAlign w:val="center"/>
          </w:tcPr>
          <w:p w14:paraId="7AB13B21">
            <w:pPr>
              <w:wordWrap w:val="0"/>
              <w:spacing w:line="400" w:lineRule="exact"/>
              <w:jc w:val="center"/>
              <w:rPr>
                <w:rFonts w:ascii="宋体" w:hAnsi="宋体"/>
                <w:color w:val="auto"/>
                <w:sz w:val="24"/>
                <w:szCs w:val="24"/>
                <w:highlight w:val="none"/>
              </w:rPr>
            </w:pPr>
            <w:r>
              <w:rPr>
                <w:rFonts w:ascii="宋体" w:hAnsi="宋体"/>
                <w:color w:val="auto"/>
                <w:sz w:val="24"/>
                <w:szCs w:val="24"/>
                <w:highlight w:val="none"/>
              </w:rPr>
              <w:t>8</w:t>
            </w:r>
          </w:p>
        </w:tc>
        <w:tc>
          <w:tcPr>
            <w:tcW w:w="8147" w:type="dxa"/>
            <w:gridSpan w:val="3"/>
            <w:noWrap w:val="0"/>
            <w:vAlign w:val="center"/>
          </w:tcPr>
          <w:p w14:paraId="14D05754">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公司（是否通过，何种）质量保证体系认证（如通过请附相关证书复印件，提供认证机构年审监督报告）</w:t>
            </w:r>
          </w:p>
        </w:tc>
      </w:tr>
      <w:tr w14:paraId="5626FE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0"/>
            <w:vAlign w:val="center"/>
          </w:tcPr>
          <w:p w14:paraId="5CEAA6A0">
            <w:pPr>
              <w:wordWrap w:val="0"/>
              <w:spacing w:line="400" w:lineRule="exact"/>
              <w:jc w:val="center"/>
              <w:rPr>
                <w:rFonts w:ascii="宋体" w:hAnsi="宋体"/>
                <w:color w:val="auto"/>
                <w:sz w:val="24"/>
                <w:szCs w:val="24"/>
                <w:highlight w:val="none"/>
              </w:rPr>
            </w:pPr>
            <w:r>
              <w:rPr>
                <w:rFonts w:ascii="宋体" w:hAnsi="宋体"/>
                <w:color w:val="auto"/>
                <w:sz w:val="24"/>
                <w:szCs w:val="24"/>
                <w:highlight w:val="none"/>
              </w:rPr>
              <w:t>9</w:t>
            </w:r>
          </w:p>
        </w:tc>
        <w:tc>
          <w:tcPr>
            <w:tcW w:w="4314" w:type="dxa"/>
            <w:gridSpan w:val="2"/>
            <w:noWrap w:val="0"/>
            <w:vAlign w:val="center"/>
          </w:tcPr>
          <w:p w14:paraId="178F9CE8">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从业人员数量</w:t>
            </w:r>
          </w:p>
        </w:tc>
        <w:tc>
          <w:tcPr>
            <w:tcW w:w="3833" w:type="dxa"/>
            <w:noWrap w:val="0"/>
            <w:vAlign w:val="center"/>
          </w:tcPr>
          <w:p w14:paraId="6CA357ED">
            <w:pPr>
              <w:wordWrap w:val="0"/>
              <w:spacing w:line="400" w:lineRule="exact"/>
              <w:rPr>
                <w:rFonts w:ascii="宋体" w:hAnsi="宋体"/>
                <w:color w:val="auto"/>
                <w:sz w:val="24"/>
                <w:szCs w:val="24"/>
                <w:highlight w:val="none"/>
              </w:rPr>
            </w:pPr>
          </w:p>
        </w:tc>
      </w:tr>
      <w:tr w14:paraId="6847FB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0"/>
            <w:vAlign w:val="center"/>
          </w:tcPr>
          <w:p w14:paraId="1CB7C05A">
            <w:pPr>
              <w:wordWrap w:val="0"/>
              <w:spacing w:line="400" w:lineRule="exact"/>
              <w:jc w:val="center"/>
              <w:rPr>
                <w:rFonts w:ascii="宋体" w:hAnsi="宋体"/>
                <w:color w:val="auto"/>
                <w:sz w:val="24"/>
                <w:szCs w:val="24"/>
                <w:highlight w:val="none"/>
              </w:rPr>
            </w:pPr>
            <w:r>
              <w:rPr>
                <w:rFonts w:ascii="宋体" w:hAnsi="宋体"/>
                <w:color w:val="auto"/>
                <w:sz w:val="24"/>
                <w:szCs w:val="24"/>
                <w:highlight w:val="none"/>
              </w:rPr>
              <w:t>10</w:t>
            </w:r>
          </w:p>
        </w:tc>
        <w:tc>
          <w:tcPr>
            <w:tcW w:w="4314" w:type="dxa"/>
            <w:gridSpan w:val="2"/>
            <w:noWrap w:val="0"/>
            <w:vAlign w:val="center"/>
          </w:tcPr>
          <w:p w14:paraId="39B4EB30">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营业收入</w:t>
            </w:r>
          </w:p>
        </w:tc>
        <w:tc>
          <w:tcPr>
            <w:tcW w:w="3833" w:type="dxa"/>
            <w:noWrap w:val="0"/>
            <w:vAlign w:val="center"/>
          </w:tcPr>
          <w:p w14:paraId="2A3E89C3">
            <w:pPr>
              <w:wordWrap w:val="0"/>
              <w:spacing w:line="400" w:lineRule="exact"/>
              <w:rPr>
                <w:rFonts w:ascii="宋体" w:hAnsi="宋体"/>
                <w:color w:val="auto"/>
                <w:sz w:val="24"/>
                <w:szCs w:val="24"/>
                <w:highlight w:val="none"/>
              </w:rPr>
            </w:pPr>
          </w:p>
        </w:tc>
      </w:tr>
      <w:tr w14:paraId="46119A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0"/>
            <w:vAlign w:val="center"/>
          </w:tcPr>
          <w:p w14:paraId="1CE3DBEA">
            <w:pPr>
              <w:wordWrap w:val="0"/>
              <w:spacing w:line="400" w:lineRule="exact"/>
              <w:jc w:val="center"/>
              <w:rPr>
                <w:rFonts w:ascii="宋体" w:hAnsi="宋体"/>
                <w:color w:val="auto"/>
                <w:sz w:val="24"/>
                <w:szCs w:val="24"/>
                <w:highlight w:val="none"/>
              </w:rPr>
            </w:pPr>
            <w:r>
              <w:rPr>
                <w:rFonts w:ascii="宋体" w:hAnsi="宋体"/>
                <w:color w:val="auto"/>
                <w:sz w:val="24"/>
                <w:szCs w:val="24"/>
                <w:highlight w:val="none"/>
              </w:rPr>
              <w:t>11</w:t>
            </w:r>
          </w:p>
        </w:tc>
        <w:tc>
          <w:tcPr>
            <w:tcW w:w="4314" w:type="dxa"/>
            <w:gridSpan w:val="2"/>
            <w:noWrap w:val="0"/>
            <w:vAlign w:val="center"/>
          </w:tcPr>
          <w:p w14:paraId="2EA54952">
            <w:pPr>
              <w:wordWrap w:val="0"/>
              <w:spacing w:line="400" w:lineRule="exact"/>
              <w:rPr>
                <w:rFonts w:ascii="宋体" w:hAnsi="宋体"/>
                <w:color w:val="auto"/>
                <w:sz w:val="24"/>
                <w:szCs w:val="24"/>
                <w:highlight w:val="none"/>
              </w:rPr>
            </w:pPr>
            <w:r>
              <w:rPr>
                <w:rFonts w:hint="eastAsia" w:ascii="宋体" w:hAnsi="宋体"/>
                <w:color w:val="auto"/>
                <w:sz w:val="24"/>
                <w:szCs w:val="24"/>
                <w:highlight w:val="none"/>
              </w:rPr>
              <w:t>其他需要说明的情况</w:t>
            </w:r>
          </w:p>
        </w:tc>
        <w:tc>
          <w:tcPr>
            <w:tcW w:w="3833" w:type="dxa"/>
            <w:noWrap w:val="0"/>
            <w:vAlign w:val="center"/>
          </w:tcPr>
          <w:p w14:paraId="7D1BB75F">
            <w:pPr>
              <w:wordWrap w:val="0"/>
              <w:spacing w:line="400" w:lineRule="exact"/>
              <w:rPr>
                <w:rFonts w:ascii="宋体" w:hAnsi="宋体"/>
                <w:color w:val="auto"/>
                <w:sz w:val="24"/>
                <w:szCs w:val="24"/>
                <w:highlight w:val="none"/>
              </w:rPr>
            </w:pPr>
          </w:p>
        </w:tc>
      </w:tr>
    </w:tbl>
    <w:p w14:paraId="3E75DFA9">
      <w:pPr>
        <w:wordWrap w:val="0"/>
        <w:spacing w:line="400" w:lineRule="atLeast"/>
        <w:jc w:val="left"/>
        <w:rPr>
          <w:rFonts w:ascii="宋体" w:hAnsi="宋体"/>
          <w:color w:val="auto"/>
          <w:sz w:val="24"/>
          <w:szCs w:val="24"/>
          <w:highlight w:val="none"/>
        </w:rPr>
      </w:pPr>
    </w:p>
    <w:p w14:paraId="756E0976">
      <w:pPr>
        <w:wordWrap w:val="0"/>
        <w:spacing w:line="400" w:lineRule="atLeast"/>
        <w:jc w:val="left"/>
        <w:rPr>
          <w:rFonts w:ascii="宋体" w:hAnsi="宋体"/>
          <w:color w:val="auto"/>
          <w:sz w:val="24"/>
          <w:szCs w:val="24"/>
          <w:highlight w:val="none"/>
        </w:rPr>
      </w:pPr>
    </w:p>
    <w:p w14:paraId="704D466D">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投标人（盖章）：         </w:t>
      </w:r>
    </w:p>
    <w:p w14:paraId="4DC59DB7">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法定代表人或其授权委托人（签名或印章）：        </w:t>
      </w:r>
    </w:p>
    <w:p w14:paraId="59515AAF">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日  期：        </w:t>
      </w:r>
    </w:p>
    <w:p w14:paraId="58FD1B2D">
      <w:pPr>
        <w:wordWrap w:val="0"/>
        <w:spacing w:line="360" w:lineRule="auto"/>
        <w:rPr>
          <w:rStyle w:val="242"/>
          <w:rFonts w:ascii="宋体" w:hAnsi="宋体"/>
          <w:color w:val="auto"/>
          <w:szCs w:val="24"/>
          <w:highlight w:val="none"/>
        </w:rPr>
      </w:pPr>
      <w:r>
        <w:rPr>
          <w:rFonts w:ascii="宋体" w:hAnsi="宋体"/>
          <w:color w:val="auto"/>
          <w:szCs w:val="21"/>
          <w:highlight w:val="none"/>
        </w:rPr>
        <w:br w:type="page"/>
      </w:r>
    </w:p>
    <w:p w14:paraId="29C906D0">
      <w:pPr>
        <w:widowControl/>
        <w:snapToGrid w:val="0"/>
        <w:spacing w:line="360" w:lineRule="auto"/>
        <w:ind w:firstLine="3975" w:firstLineChars="1650"/>
        <w:rPr>
          <w:rFonts w:ascii="宋体" w:hAnsi="宋体"/>
          <w:b/>
          <w:color w:val="auto"/>
          <w:sz w:val="24"/>
          <w:szCs w:val="24"/>
          <w:highlight w:val="none"/>
        </w:rPr>
      </w:pPr>
      <w:r>
        <w:rPr>
          <w:rFonts w:ascii="宋体" w:hAnsi="宋体"/>
          <w:b/>
          <w:color w:val="auto"/>
          <w:sz w:val="24"/>
          <w:szCs w:val="24"/>
          <w:highlight w:val="none"/>
        </w:rPr>
        <w:t>B6</w:t>
      </w:r>
      <w:r>
        <w:rPr>
          <w:rFonts w:hint="eastAsia" w:ascii="宋体" w:hAnsi="宋体"/>
          <w:b/>
          <w:color w:val="auto"/>
          <w:sz w:val="24"/>
          <w:szCs w:val="24"/>
          <w:highlight w:val="none"/>
        </w:rPr>
        <w:t>、商务条款响应表</w:t>
      </w:r>
    </w:p>
    <w:p w14:paraId="17B7DFEE">
      <w:pPr>
        <w:bidi w:val="0"/>
        <w:rPr>
          <w:highlight w:val="none"/>
        </w:rPr>
      </w:pPr>
    </w:p>
    <w:p w14:paraId="68241EEF">
      <w:pPr>
        <w:wordWrap w:val="0"/>
        <w:adjustRightInd w:val="0"/>
        <w:snapToGrid w:val="0"/>
        <w:spacing w:line="360" w:lineRule="auto"/>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采购编号：</w:t>
      </w:r>
      <w:r>
        <w:rPr>
          <w:rFonts w:hint="eastAsia" w:ascii="宋体" w:hAnsi="宋体"/>
          <w:color w:val="auto"/>
          <w:sz w:val="24"/>
          <w:szCs w:val="24"/>
          <w:highlight w:val="none"/>
          <w:u w:val="single"/>
          <w:lang w:eastAsia="zh-CN"/>
        </w:rPr>
        <w:t>NBITC-202620214G</w:t>
      </w:r>
    </w:p>
    <w:p w14:paraId="27448117">
      <w:pPr>
        <w:wordWrap w:val="0"/>
        <w:adjustRightInd w:val="0"/>
        <w:snapToGrid w:val="0"/>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lang w:eastAsia="zh-CN"/>
        </w:rPr>
        <w:t>2026年-2028年鄞州区下应、潘火、首南三街道道路桥梁日常养护项目</w:t>
      </w:r>
    </w:p>
    <w:tbl>
      <w:tblPr>
        <w:tblStyle w:val="48"/>
        <w:tblW w:w="9651"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6040"/>
        <w:gridCol w:w="1340"/>
        <w:gridCol w:w="1287"/>
      </w:tblGrid>
      <w:tr w14:paraId="15E9F3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84" w:type="dxa"/>
            <w:noWrap w:val="0"/>
            <w:vAlign w:val="center"/>
          </w:tcPr>
          <w:p w14:paraId="0083D899">
            <w:pPr>
              <w:wordWrap w:val="0"/>
              <w:adjustRightInd w:val="0"/>
              <w:snapToGrid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6040" w:type="dxa"/>
            <w:noWrap w:val="0"/>
            <w:vAlign w:val="center"/>
          </w:tcPr>
          <w:p w14:paraId="13233703">
            <w:pPr>
              <w:wordWrap w:val="0"/>
              <w:adjustRightInd w:val="0"/>
              <w:snapToGrid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340" w:type="dxa"/>
            <w:noWrap w:val="0"/>
            <w:vAlign w:val="center"/>
          </w:tcPr>
          <w:p w14:paraId="1F785C00">
            <w:pPr>
              <w:wordWrap w:val="0"/>
              <w:adjustRightInd w:val="0"/>
              <w:snapToGrid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投标响应</w:t>
            </w:r>
          </w:p>
        </w:tc>
        <w:tc>
          <w:tcPr>
            <w:tcW w:w="1287" w:type="dxa"/>
            <w:noWrap w:val="0"/>
            <w:vAlign w:val="center"/>
          </w:tcPr>
          <w:p w14:paraId="1AAD3C47">
            <w:pPr>
              <w:wordWrap w:val="0"/>
              <w:adjustRightInd w:val="0"/>
              <w:snapToGrid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偏离说明</w:t>
            </w:r>
          </w:p>
        </w:tc>
      </w:tr>
      <w:tr w14:paraId="70C60D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84" w:type="dxa"/>
            <w:noWrap w:val="0"/>
            <w:vAlign w:val="center"/>
          </w:tcPr>
          <w:p w14:paraId="647D81DB">
            <w:pPr>
              <w:wordWrap w:val="0"/>
              <w:spacing w:line="400" w:lineRule="exact"/>
              <w:jc w:val="center"/>
              <w:rPr>
                <w:rFonts w:ascii="宋体" w:hAnsi="宋体"/>
                <w:color w:val="auto"/>
                <w:sz w:val="24"/>
                <w:szCs w:val="24"/>
                <w:highlight w:val="none"/>
              </w:rPr>
            </w:pPr>
          </w:p>
        </w:tc>
        <w:tc>
          <w:tcPr>
            <w:tcW w:w="6040" w:type="dxa"/>
            <w:noWrap w:val="0"/>
            <w:vAlign w:val="center"/>
          </w:tcPr>
          <w:p w14:paraId="7A1E8457">
            <w:pPr>
              <w:wordWrap w:val="0"/>
              <w:spacing w:line="400" w:lineRule="exact"/>
              <w:rPr>
                <w:rFonts w:hint="eastAsia" w:ascii="宋体" w:hAnsi="宋体"/>
                <w:color w:val="auto"/>
                <w:sz w:val="24"/>
                <w:szCs w:val="24"/>
                <w:highlight w:val="none"/>
              </w:rPr>
            </w:pPr>
          </w:p>
        </w:tc>
        <w:tc>
          <w:tcPr>
            <w:tcW w:w="1340" w:type="dxa"/>
            <w:noWrap w:val="0"/>
            <w:vAlign w:val="center"/>
          </w:tcPr>
          <w:p w14:paraId="34672EAB">
            <w:pPr>
              <w:wordWrap w:val="0"/>
              <w:adjustRightInd w:val="0"/>
              <w:snapToGrid w:val="0"/>
              <w:spacing w:line="400" w:lineRule="exact"/>
              <w:jc w:val="center"/>
              <w:rPr>
                <w:rFonts w:ascii="宋体" w:hAnsi="宋体"/>
                <w:color w:val="auto"/>
                <w:sz w:val="24"/>
                <w:szCs w:val="24"/>
                <w:highlight w:val="none"/>
              </w:rPr>
            </w:pPr>
          </w:p>
        </w:tc>
        <w:tc>
          <w:tcPr>
            <w:tcW w:w="1287" w:type="dxa"/>
            <w:noWrap w:val="0"/>
            <w:vAlign w:val="center"/>
          </w:tcPr>
          <w:p w14:paraId="66E58AA2">
            <w:pPr>
              <w:wordWrap w:val="0"/>
              <w:adjustRightInd w:val="0"/>
              <w:snapToGrid w:val="0"/>
              <w:spacing w:line="400" w:lineRule="exact"/>
              <w:jc w:val="center"/>
              <w:rPr>
                <w:rFonts w:ascii="宋体" w:hAnsi="宋体"/>
                <w:color w:val="auto"/>
                <w:sz w:val="24"/>
                <w:szCs w:val="24"/>
                <w:highlight w:val="none"/>
              </w:rPr>
            </w:pPr>
          </w:p>
        </w:tc>
      </w:tr>
      <w:tr w14:paraId="3A9643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84" w:type="dxa"/>
            <w:noWrap w:val="0"/>
            <w:vAlign w:val="center"/>
          </w:tcPr>
          <w:p w14:paraId="18209203">
            <w:pPr>
              <w:wordWrap w:val="0"/>
              <w:spacing w:line="400" w:lineRule="exact"/>
              <w:jc w:val="center"/>
              <w:rPr>
                <w:rFonts w:ascii="宋体" w:hAnsi="宋体"/>
                <w:color w:val="auto"/>
                <w:sz w:val="24"/>
                <w:szCs w:val="24"/>
                <w:highlight w:val="none"/>
              </w:rPr>
            </w:pPr>
          </w:p>
        </w:tc>
        <w:tc>
          <w:tcPr>
            <w:tcW w:w="6040" w:type="dxa"/>
            <w:noWrap w:val="0"/>
            <w:vAlign w:val="center"/>
          </w:tcPr>
          <w:p w14:paraId="40A2E6B5">
            <w:pPr>
              <w:wordWrap w:val="0"/>
              <w:spacing w:line="400" w:lineRule="exact"/>
              <w:rPr>
                <w:rFonts w:hint="eastAsia" w:ascii="宋体" w:hAnsi="宋体" w:cs="宋体"/>
                <w:color w:val="auto"/>
                <w:sz w:val="24"/>
                <w:szCs w:val="24"/>
                <w:highlight w:val="none"/>
              </w:rPr>
            </w:pPr>
          </w:p>
        </w:tc>
        <w:tc>
          <w:tcPr>
            <w:tcW w:w="1340" w:type="dxa"/>
            <w:noWrap w:val="0"/>
            <w:vAlign w:val="center"/>
          </w:tcPr>
          <w:p w14:paraId="30378446">
            <w:pPr>
              <w:wordWrap w:val="0"/>
              <w:adjustRightInd w:val="0"/>
              <w:snapToGrid w:val="0"/>
              <w:spacing w:line="400" w:lineRule="exact"/>
              <w:jc w:val="center"/>
              <w:rPr>
                <w:rFonts w:ascii="宋体" w:hAnsi="宋体"/>
                <w:color w:val="auto"/>
                <w:sz w:val="24"/>
                <w:szCs w:val="24"/>
                <w:highlight w:val="none"/>
              </w:rPr>
            </w:pPr>
          </w:p>
        </w:tc>
        <w:tc>
          <w:tcPr>
            <w:tcW w:w="1287" w:type="dxa"/>
            <w:noWrap w:val="0"/>
            <w:vAlign w:val="center"/>
          </w:tcPr>
          <w:p w14:paraId="7DEB29AA">
            <w:pPr>
              <w:wordWrap w:val="0"/>
              <w:adjustRightInd w:val="0"/>
              <w:snapToGrid w:val="0"/>
              <w:spacing w:line="400" w:lineRule="exact"/>
              <w:jc w:val="center"/>
              <w:rPr>
                <w:rFonts w:ascii="宋体" w:hAnsi="宋体"/>
                <w:color w:val="auto"/>
                <w:sz w:val="24"/>
                <w:szCs w:val="24"/>
                <w:highlight w:val="none"/>
              </w:rPr>
            </w:pPr>
          </w:p>
        </w:tc>
      </w:tr>
      <w:tr w14:paraId="1B98CE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84" w:type="dxa"/>
            <w:noWrap w:val="0"/>
            <w:vAlign w:val="center"/>
          </w:tcPr>
          <w:p w14:paraId="58B36E77">
            <w:pPr>
              <w:wordWrap w:val="0"/>
              <w:spacing w:line="400" w:lineRule="exact"/>
              <w:jc w:val="center"/>
              <w:rPr>
                <w:rFonts w:hint="eastAsia" w:ascii="宋体" w:hAnsi="宋体"/>
                <w:color w:val="auto"/>
                <w:sz w:val="24"/>
                <w:szCs w:val="24"/>
                <w:highlight w:val="none"/>
              </w:rPr>
            </w:pPr>
          </w:p>
        </w:tc>
        <w:tc>
          <w:tcPr>
            <w:tcW w:w="6040" w:type="dxa"/>
            <w:noWrap w:val="0"/>
            <w:vAlign w:val="center"/>
          </w:tcPr>
          <w:p w14:paraId="13CCBEBE">
            <w:pPr>
              <w:wordWrap w:val="0"/>
              <w:autoSpaceDE w:val="0"/>
              <w:autoSpaceDN w:val="0"/>
              <w:snapToGrid w:val="0"/>
              <w:spacing w:line="360" w:lineRule="auto"/>
              <w:textAlignment w:val="bottom"/>
              <w:rPr>
                <w:rFonts w:ascii="宋体" w:hAnsi="宋体"/>
                <w:color w:val="auto"/>
                <w:sz w:val="24"/>
                <w:szCs w:val="24"/>
                <w:highlight w:val="none"/>
              </w:rPr>
            </w:pPr>
          </w:p>
        </w:tc>
        <w:tc>
          <w:tcPr>
            <w:tcW w:w="1340" w:type="dxa"/>
            <w:noWrap w:val="0"/>
            <w:vAlign w:val="center"/>
          </w:tcPr>
          <w:p w14:paraId="5D9714C4">
            <w:pPr>
              <w:wordWrap w:val="0"/>
              <w:adjustRightInd w:val="0"/>
              <w:snapToGrid w:val="0"/>
              <w:spacing w:line="400" w:lineRule="exact"/>
              <w:jc w:val="center"/>
              <w:rPr>
                <w:rFonts w:ascii="宋体" w:hAnsi="宋体"/>
                <w:color w:val="auto"/>
                <w:sz w:val="24"/>
                <w:szCs w:val="24"/>
                <w:highlight w:val="none"/>
              </w:rPr>
            </w:pPr>
          </w:p>
        </w:tc>
        <w:tc>
          <w:tcPr>
            <w:tcW w:w="1287" w:type="dxa"/>
            <w:noWrap w:val="0"/>
            <w:vAlign w:val="center"/>
          </w:tcPr>
          <w:p w14:paraId="2E5E3B82">
            <w:pPr>
              <w:wordWrap w:val="0"/>
              <w:adjustRightInd w:val="0"/>
              <w:snapToGrid w:val="0"/>
              <w:spacing w:line="400" w:lineRule="exact"/>
              <w:jc w:val="center"/>
              <w:rPr>
                <w:rFonts w:ascii="宋体" w:hAnsi="宋体"/>
                <w:color w:val="auto"/>
                <w:sz w:val="24"/>
                <w:szCs w:val="24"/>
                <w:highlight w:val="none"/>
              </w:rPr>
            </w:pPr>
          </w:p>
        </w:tc>
      </w:tr>
      <w:tr w14:paraId="3B4AF5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84" w:type="dxa"/>
            <w:noWrap w:val="0"/>
            <w:vAlign w:val="center"/>
          </w:tcPr>
          <w:p w14:paraId="1C33F8CD">
            <w:pPr>
              <w:wordWrap w:val="0"/>
              <w:spacing w:line="400" w:lineRule="exact"/>
              <w:jc w:val="center"/>
              <w:rPr>
                <w:rFonts w:ascii="宋体" w:hAnsi="宋体"/>
                <w:color w:val="auto"/>
                <w:sz w:val="24"/>
                <w:szCs w:val="24"/>
                <w:highlight w:val="none"/>
              </w:rPr>
            </w:pPr>
          </w:p>
        </w:tc>
        <w:tc>
          <w:tcPr>
            <w:tcW w:w="6040" w:type="dxa"/>
            <w:noWrap w:val="0"/>
            <w:vAlign w:val="center"/>
          </w:tcPr>
          <w:p w14:paraId="2F9A5DEC">
            <w:pPr>
              <w:wordWrap w:val="0"/>
              <w:autoSpaceDE w:val="0"/>
              <w:autoSpaceDN w:val="0"/>
              <w:adjustRightInd w:val="0"/>
              <w:spacing w:line="400" w:lineRule="exact"/>
              <w:rPr>
                <w:rFonts w:ascii="宋体" w:hAnsi="宋体"/>
                <w:color w:val="auto"/>
                <w:sz w:val="24"/>
                <w:szCs w:val="24"/>
                <w:highlight w:val="none"/>
              </w:rPr>
            </w:pPr>
          </w:p>
        </w:tc>
        <w:tc>
          <w:tcPr>
            <w:tcW w:w="1340" w:type="dxa"/>
            <w:noWrap w:val="0"/>
            <w:vAlign w:val="center"/>
          </w:tcPr>
          <w:p w14:paraId="58656455">
            <w:pPr>
              <w:wordWrap w:val="0"/>
              <w:adjustRightInd w:val="0"/>
              <w:snapToGrid w:val="0"/>
              <w:spacing w:line="400" w:lineRule="exact"/>
              <w:jc w:val="center"/>
              <w:rPr>
                <w:rFonts w:ascii="宋体" w:hAnsi="宋体"/>
                <w:color w:val="auto"/>
                <w:sz w:val="24"/>
                <w:szCs w:val="24"/>
                <w:highlight w:val="none"/>
              </w:rPr>
            </w:pPr>
          </w:p>
        </w:tc>
        <w:tc>
          <w:tcPr>
            <w:tcW w:w="1287" w:type="dxa"/>
            <w:noWrap w:val="0"/>
            <w:vAlign w:val="center"/>
          </w:tcPr>
          <w:p w14:paraId="6E17147F">
            <w:pPr>
              <w:wordWrap w:val="0"/>
              <w:adjustRightInd w:val="0"/>
              <w:snapToGrid w:val="0"/>
              <w:spacing w:line="400" w:lineRule="exact"/>
              <w:jc w:val="center"/>
              <w:rPr>
                <w:rFonts w:ascii="宋体" w:hAnsi="宋体"/>
                <w:color w:val="auto"/>
                <w:sz w:val="24"/>
                <w:szCs w:val="24"/>
                <w:highlight w:val="none"/>
              </w:rPr>
            </w:pPr>
          </w:p>
        </w:tc>
      </w:tr>
    </w:tbl>
    <w:p w14:paraId="1E86480A">
      <w:pPr>
        <w:wordWrap w:val="0"/>
        <w:adjustRightInd w:val="0"/>
        <w:snapToGrid w:val="0"/>
        <w:spacing w:line="360" w:lineRule="auto"/>
        <w:ind w:left="240" w:hanging="240" w:hangingChars="100"/>
        <w:rPr>
          <w:rFonts w:ascii="宋体" w:hAnsi="宋体"/>
          <w:color w:val="auto"/>
          <w:sz w:val="24"/>
          <w:szCs w:val="24"/>
          <w:highlight w:val="none"/>
        </w:rPr>
      </w:pPr>
      <w:r>
        <w:rPr>
          <w:rFonts w:hint="eastAsia" w:ascii="宋体" w:hAnsi="宋体"/>
          <w:color w:val="auto"/>
          <w:sz w:val="24"/>
          <w:szCs w:val="24"/>
          <w:highlight w:val="none"/>
        </w:rPr>
        <w:t>注：须与“第四章  商务条款”逐项比较填写。</w:t>
      </w:r>
    </w:p>
    <w:p w14:paraId="2EB1623F">
      <w:pPr>
        <w:wordWrap w:val="0"/>
        <w:adjustRightInd w:val="0"/>
        <w:snapToGrid w:val="0"/>
        <w:spacing w:line="360" w:lineRule="auto"/>
        <w:rPr>
          <w:rFonts w:ascii="宋体" w:hAnsi="宋体"/>
          <w:color w:val="auto"/>
          <w:sz w:val="24"/>
          <w:szCs w:val="24"/>
          <w:highlight w:val="none"/>
        </w:rPr>
      </w:pPr>
    </w:p>
    <w:p w14:paraId="72B8D396">
      <w:pPr>
        <w:spacing w:line="360" w:lineRule="auto"/>
        <w:jc w:val="left"/>
        <w:rPr>
          <w:rFonts w:ascii="宋体" w:hAnsi="宋体"/>
          <w:color w:val="auto"/>
          <w:sz w:val="24"/>
          <w:szCs w:val="24"/>
          <w:highlight w:val="none"/>
        </w:rPr>
      </w:pPr>
      <w:bookmarkStart w:id="75" w:name="_Toc436408720"/>
      <w:bookmarkStart w:id="76" w:name="_Toc441316563"/>
      <w:r>
        <w:rPr>
          <w:rFonts w:hint="eastAsia" w:ascii="宋体" w:hAnsi="宋体"/>
          <w:color w:val="auto"/>
          <w:sz w:val="24"/>
          <w:szCs w:val="24"/>
          <w:highlight w:val="none"/>
        </w:rPr>
        <w:t xml:space="preserve">投标人（盖章）：         </w:t>
      </w:r>
    </w:p>
    <w:p w14:paraId="0F021A3D">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法定代表人或其授权委托人（签名或印章）：        </w:t>
      </w:r>
    </w:p>
    <w:p w14:paraId="0C8DA0EF">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日  期：        </w:t>
      </w:r>
    </w:p>
    <w:p w14:paraId="4824826F">
      <w:pPr>
        <w:wordWrap w:val="0"/>
        <w:spacing w:line="400" w:lineRule="exact"/>
        <w:jc w:val="center"/>
        <w:rPr>
          <w:rFonts w:hint="eastAsia" w:ascii="宋体" w:hAnsi="宋体"/>
          <w:b/>
          <w:bCs/>
          <w:color w:val="auto"/>
          <w:sz w:val="24"/>
          <w:szCs w:val="24"/>
          <w:highlight w:val="none"/>
        </w:rPr>
      </w:pPr>
      <w:r>
        <w:rPr>
          <w:rFonts w:ascii="宋体" w:hAnsi="宋体"/>
          <w:color w:val="auto"/>
          <w:szCs w:val="21"/>
          <w:highlight w:val="none"/>
        </w:rPr>
        <w:br w:type="page"/>
      </w:r>
      <w:bookmarkEnd w:id="75"/>
      <w:bookmarkStart w:id="77" w:name="_Toc441316564"/>
      <w:r>
        <w:rPr>
          <w:rFonts w:ascii="宋体" w:hAnsi="宋体"/>
          <w:b/>
          <w:color w:val="auto"/>
          <w:sz w:val="24"/>
          <w:szCs w:val="24"/>
          <w:highlight w:val="none"/>
        </w:rPr>
        <w:t>B7</w:t>
      </w:r>
      <w:r>
        <w:rPr>
          <w:rFonts w:hint="eastAsia" w:ascii="宋体" w:hAnsi="宋体"/>
          <w:b/>
          <w:color w:val="auto"/>
          <w:sz w:val="24"/>
          <w:szCs w:val="24"/>
          <w:highlight w:val="none"/>
        </w:rPr>
        <w:t>、技术条款响应表</w:t>
      </w:r>
    </w:p>
    <w:p w14:paraId="21602C09">
      <w:pPr>
        <w:wordWrap w:val="0"/>
        <w:adjustRightInd w:val="0"/>
        <w:snapToGrid w:val="0"/>
        <w:spacing w:line="360" w:lineRule="auto"/>
        <w:rPr>
          <w:rFonts w:ascii="宋体" w:hAnsi="宋体"/>
          <w:color w:val="auto"/>
          <w:sz w:val="24"/>
          <w:szCs w:val="24"/>
          <w:highlight w:val="none"/>
          <w:u w:val="single"/>
        </w:rPr>
      </w:pPr>
      <w:r>
        <w:rPr>
          <w:rFonts w:hint="eastAsia" w:ascii="宋体" w:hAnsi="宋体"/>
          <w:color w:val="auto"/>
          <w:sz w:val="24"/>
          <w:szCs w:val="24"/>
          <w:highlight w:val="none"/>
        </w:rPr>
        <w:t>采购编号：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NBITC-202620214G</w:t>
      </w:r>
      <w:r>
        <w:rPr>
          <w:rFonts w:hint="eastAsia" w:ascii="宋体" w:hAnsi="宋体"/>
          <w:color w:val="auto"/>
          <w:sz w:val="24"/>
          <w:szCs w:val="24"/>
          <w:highlight w:val="none"/>
          <w:u w:val="single"/>
        </w:rPr>
        <w:t xml:space="preserve"> </w:t>
      </w:r>
    </w:p>
    <w:p w14:paraId="641189A7">
      <w:pPr>
        <w:wordWrap w:val="0"/>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2026年-2028年鄞州区下应、潘火、首南三街道道路桥梁日常养护项目</w:t>
      </w:r>
      <w:r>
        <w:rPr>
          <w:rFonts w:hint="eastAsia" w:ascii="宋体" w:hAnsi="宋体"/>
          <w:color w:val="auto"/>
          <w:sz w:val="24"/>
          <w:szCs w:val="24"/>
          <w:highlight w:val="none"/>
          <w:u w:val="single"/>
        </w:rPr>
        <w:t xml:space="preserve"> </w:t>
      </w:r>
    </w:p>
    <w:tbl>
      <w:tblPr>
        <w:tblStyle w:val="48"/>
        <w:tblW w:w="977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3885"/>
        <w:gridCol w:w="3316"/>
        <w:gridCol w:w="1705"/>
      </w:tblGrid>
      <w:tr w14:paraId="453196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71" w:type="dxa"/>
            <w:noWrap w:val="0"/>
            <w:vAlign w:val="center"/>
          </w:tcPr>
          <w:p w14:paraId="4AC5813B">
            <w:pPr>
              <w:wordWrap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885" w:type="dxa"/>
            <w:noWrap w:val="0"/>
            <w:vAlign w:val="center"/>
          </w:tcPr>
          <w:p w14:paraId="06281354">
            <w:pPr>
              <w:wordWrap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采购文件要求</w:t>
            </w:r>
          </w:p>
        </w:tc>
        <w:tc>
          <w:tcPr>
            <w:tcW w:w="3316" w:type="dxa"/>
            <w:noWrap w:val="0"/>
            <w:vAlign w:val="center"/>
          </w:tcPr>
          <w:p w14:paraId="3E7A4C60">
            <w:pPr>
              <w:wordWrap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投标文件响应</w:t>
            </w:r>
          </w:p>
        </w:tc>
        <w:tc>
          <w:tcPr>
            <w:tcW w:w="1705" w:type="dxa"/>
            <w:noWrap w:val="0"/>
            <w:vAlign w:val="center"/>
          </w:tcPr>
          <w:p w14:paraId="621344F3">
            <w:pPr>
              <w:wordWrap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偏离说明</w:t>
            </w:r>
          </w:p>
        </w:tc>
      </w:tr>
      <w:tr w14:paraId="52B100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71" w:type="dxa"/>
            <w:noWrap w:val="0"/>
            <w:vAlign w:val="center"/>
          </w:tcPr>
          <w:p w14:paraId="03DAFFF0">
            <w:pPr>
              <w:wordWrap w:val="0"/>
              <w:spacing w:line="400" w:lineRule="exact"/>
              <w:jc w:val="center"/>
              <w:rPr>
                <w:rFonts w:ascii="宋体" w:hAnsi="宋体"/>
                <w:color w:val="auto"/>
                <w:sz w:val="24"/>
                <w:szCs w:val="24"/>
                <w:highlight w:val="none"/>
              </w:rPr>
            </w:pPr>
          </w:p>
        </w:tc>
        <w:tc>
          <w:tcPr>
            <w:tcW w:w="3885" w:type="dxa"/>
            <w:noWrap w:val="0"/>
            <w:vAlign w:val="center"/>
          </w:tcPr>
          <w:p w14:paraId="45E865F6">
            <w:pPr>
              <w:wordWrap w:val="0"/>
              <w:spacing w:line="400" w:lineRule="exact"/>
              <w:rPr>
                <w:rFonts w:ascii="宋体" w:hAnsi="宋体"/>
                <w:color w:val="auto"/>
                <w:sz w:val="24"/>
                <w:szCs w:val="24"/>
                <w:highlight w:val="none"/>
              </w:rPr>
            </w:pPr>
          </w:p>
        </w:tc>
        <w:tc>
          <w:tcPr>
            <w:tcW w:w="3316" w:type="dxa"/>
            <w:noWrap w:val="0"/>
            <w:vAlign w:val="center"/>
          </w:tcPr>
          <w:p w14:paraId="1DE79927">
            <w:pPr>
              <w:wordWrap w:val="0"/>
              <w:spacing w:line="400" w:lineRule="exact"/>
              <w:rPr>
                <w:rFonts w:ascii="宋体" w:hAnsi="宋体"/>
                <w:color w:val="auto"/>
                <w:sz w:val="24"/>
                <w:szCs w:val="24"/>
                <w:highlight w:val="none"/>
              </w:rPr>
            </w:pPr>
          </w:p>
        </w:tc>
        <w:tc>
          <w:tcPr>
            <w:tcW w:w="1705" w:type="dxa"/>
            <w:noWrap w:val="0"/>
            <w:vAlign w:val="center"/>
          </w:tcPr>
          <w:p w14:paraId="7704A6AC">
            <w:pPr>
              <w:wordWrap w:val="0"/>
              <w:spacing w:line="400" w:lineRule="exact"/>
              <w:rPr>
                <w:rFonts w:ascii="宋体" w:hAnsi="宋体"/>
                <w:color w:val="auto"/>
                <w:sz w:val="24"/>
                <w:szCs w:val="24"/>
                <w:highlight w:val="none"/>
              </w:rPr>
            </w:pPr>
          </w:p>
        </w:tc>
      </w:tr>
      <w:tr w14:paraId="4F07C2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71" w:type="dxa"/>
            <w:noWrap w:val="0"/>
            <w:vAlign w:val="center"/>
          </w:tcPr>
          <w:p w14:paraId="4841C47A">
            <w:pPr>
              <w:wordWrap w:val="0"/>
              <w:spacing w:line="400" w:lineRule="exact"/>
              <w:jc w:val="center"/>
              <w:rPr>
                <w:rFonts w:ascii="宋体" w:hAnsi="宋体"/>
                <w:color w:val="auto"/>
                <w:sz w:val="24"/>
                <w:szCs w:val="24"/>
                <w:highlight w:val="none"/>
              </w:rPr>
            </w:pPr>
          </w:p>
        </w:tc>
        <w:tc>
          <w:tcPr>
            <w:tcW w:w="3885" w:type="dxa"/>
            <w:noWrap w:val="0"/>
            <w:vAlign w:val="center"/>
          </w:tcPr>
          <w:p w14:paraId="2C998A08">
            <w:pPr>
              <w:wordWrap w:val="0"/>
              <w:spacing w:line="400" w:lineRule="exact"/>
              <w:rPr>
                <w:rFonts w:ascii="宋体" w:hAnsi="宋体"/>
                <w:color w:val="auto"/>
                <w:sz w:val="24"/>
                <w:szCs w:val="24"/>
                <w:highlight w:val="none"/>
              </w:rPr>
            </w:pPr>
          </w:p>
        </w:tc>
        <w:tc>
          <w:tcPr>
            <w:tcW w:w="3316" w:type="dxa"/>
            <w:noWrap w:val="0"/>
            <w:vAlign w:val="center"/>
          </w:tcPr>
          <w:p w14:paraId="36965D9A">
            <w:pPr>
              <w:wordWrap w:val="0"/>
              <w:spacing w:line="400" w:lineRule="exact"/>
              <w:rPr>
                <w:rFonts w:ascii="宋体" w:hAnsi="宋体"/>
                <w:color w:val="auto"/>
                <w:sz w:val="24"/>
                <w:szCs w:val="24"/>
                <w:highlight w:val="none"/>
              </w:rPr>
            </w:pPr>
          </w:p>
        </w:tc>
        <w:tc>
          <w:tcPr>
            <w:tcW w:w="1705" w:type="dxa"/>
            <w:noWrap w:val="0"/>
            <w:vAlign w:val="center"/>
          </w:tcPr>
          <w:p w14:paraId="63C06BC6">
            <w:pPr>
              <w:wordWrap w:val="0"/>
              <w:spacing w:line="400" w:lineRule="exact"/>
              <w:rPr>
                <w:rFonts w:ascii="宋体" w:hAnsi="宋体"/>
                <w:color w:val="auto"/>
                <w:sz w:val="24"/>
                <w:szCs w:val="24"/>
                <w:highlight w:val="none"/>
              </w:rPr>
            </w:pPr>
          </w:p>
        </w:tc>
      </w:tr>
      <w:tr w14:paraId="041A87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71" w:type="dxa"/>
            <w:noWrap w:val="0"/>
            <w:vAlign w:val="center"/>
          </w:tcPr>
          <w:p w14:paraId="10A873F3">
            <w:pPr>
              <w:wordWrap w:val="0"/>
              <w:spacing w:line="400" w:lineRule="exact"/>
              <w:jc w:val="center"/>
              <w:rPr>
                <w:rFonts w:hint="eastAsia" w:ascii="宋体" w:hAnsi="宋体"/>
                <w:color w:val="auto"/>
                <w:sz w:val="24"/>
                <w:szCs w:val="24"/>
                <w:highlight w:val="none"/>
              </w:rPr>
            </w:pPr>
          </w:p>
        </w:tc>
        <w:tc>
          <w:tcPr>
            <w:tcW w:w="3885" w:type="dxa"/>
            <w:noWrap w:val="0"/>
            <w:vAlign w:val="center"/>
          </w:tcPr>
          <w:p w14:paraId="36C7D00E">
            <w:pPr>
              <w:wordWrap w:val="0"/>
              <w:spacing w:line="400" w:lineRule="exact"/>
              <w:rPr>
                <w:rFonts w:ascii="宋体" w:hAnsi="宋体"/>
                <w:color w:val="auto"/>
                <w:sz w:val="24"/>
                <w:szCs w:val="24"/>
                <w:highlight w:val="none"/>
              </w:rPr>
            </w:pPr>
          </w:p>
        </w:tc>
        <w:tc>
          <w:tcPr>
            <w:tcW w:w="3316" w:type="dxa"/>
            <w:noWrap w:val="0"/>
            <w:vAlign w:val="center"/>
          </w:tcPr>
          <w:p w14:paraId="4D800D36">
            <w:pPr>
              <w:wordWrap w:val="0"/>
              <w:spacing w:line="400" w:lineRule="exact"/>
              <w:rPr>
                <w:rFonts w:ascii="宋体" w:hAnsi="宋体"/>
                <w:color w:val="auto"/>
                <w:sz w:val="24"/>
                <w:szCs w:val="24"/>
                <w:highlight w:val="none"/>
              </w:rPr>
            </w:pPr>
          </w:p>
        </w:tc>
        <w:tc>
          <w:tcPr>
            <w:tcW w:w="1705" w:type="dxa"/>
            <w:noWrap w:val="0"/>
            <w:vAlign w:val="center"/>
          </w:tcPr>
          <w:p w14:paraId="52B80DE1">
            <w:pPr>
              <w:wordWrap w:val="0"/>
              <w:spacing w:line="400" w:lineRule="exact"/>
              <w:rPr>
                <w:rFonts w:ascii="宋体" w:hAnsi="宋体"/>
                <w:color w:val="auto"/>
                <w:sz w:val="24"/>
                <w:szCs w:val="24"/>
                <w:highlight w:val="none"/>
              </w:rPr>
            </w:pPr>
          </w:p>
        </w:tc>
      </w:tr>
      <w:tr w14:paraId="5CDB78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71" w:type="dxa"/>
            <w:noWrap w:val="0"/>
            <w:vAlign w:val="center"/>
          </w:tcPr>
          <w:p w14:paraId="18A4EACE">
            <w:pPr>
              <w:wordWrap w:val="0"/>
              <w:spacing w:line="400" w:lineRule="exact"/>
              <w:jc w:val="center"/>
              <w:rPr>
                <w:rFonts w:hint="eastAsia" w:ascii="宋体" w:hAnsi="宋体"/>
                <w:color w:val="auto"/>
                <w:sz w:val="24"/>
                <w:szCs w:val="24"/>
                <w:highlight w:val="none"/>
              </w:rPr>
            </w:pPr>
          </w:p>
        </w:tc>
        <w:tc>
          <w:tcPr>
            <w:tcW w:w="3885" w:type="dxa"/>
            <w:noWrap w:val="0"/>
            <w:vAlign w:val="center"/>
          </w:tcPr>
          <w:p w14:paraId="4F1863B8">
            <w:pPr>
              <w:wordWrap w:val="0"/>
              <w:spacing w:line="400" w:lineRule="exact"/>
              <w:rPr>
                <w:rFonts w:ascii="宋体" w:hAnsi="宋体"/>
                <w:color w:val="auto"/>
                <w:sz w:val="24"/>
                <w:szCs w:val="24"/>
                <w:highlight w:val="none"/>
              </w:rPr>
            </w:pPr>
          </w:p>
        </w:tc>
        <w:tc>
          <w:tcPr>
            <w:tcW w:w="3316" w:type="dxa"/>
            <w:noWrap w:val="0"/>
            <w:vAlign w:val="center"/>
          </w:tcPr>
          <w:p w14:paraId="3B07B92B">
            <w:pPr>
              <w:wordWrap w:val="0"/>
              <w:spacing w:line="400" w:lineRule="exact"/>
              <w:rPr>
                <w:rFonts w:ascii="宋体" w:hAnsi="宋体"/>
                <w:color w:val="auto"/>
                <w:sz w:val="24"/>
                <w:szCs w:val="24"/>
                <w:highlight w:val="none"/>
              </w:rPr>
            </w:pPr>
          </w:p>
        </w:tc>
        <w:tc>
          <w:tcPr>
            <w:tcW w:w="1705" w:type="dxa"/>
            <w:noWrap w:val="0"/>
            <w:vAlign w:val="center"/>
          </w:tcPr>
          <w:p w14:paraId="54AF00AE">
            <w:pPr>
              <w:wordWrap w:val="0"/>
              <w:spacing w:line="400" w:lineRule="exact"/>
              <w:rPr>
                <w:rFonts w:ascii="宋体" w:hAnsi="宋体"/>
                <w:color w:val="auto"/>
                <w:sz w:val="24"/>
                <w:szCs w:val="24"/>
                <w:highlight w:val="none"/>
              </w:rPr>
            </w:pPr>
          </w:p>
        </w:tc>
      </w:tr>
      <w:tr w14:paraId="1B9B5A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71" w:type="dxa"/>
            <w:noWrap w:val="0"/>
            <w:vAlign w:val="center"/>
          </w:tcPr>
          <w:p w14:paraId="470CCAAD">
            <w:pPr>
              <w:wordWrap w:val="0"/>
              <w:spacing w:line="400" w:lineRule="exact"/>
              <w:jc w:val="center"/>
              <w:rPr>
                <w:rFonts w:hint="eastAsia" w:ascii="宋体" w:hAnsi="宋体"/>
                <w:color w:val="auto"/>
                <w:sz w:val="24"/>
                <w:szCs w:val="24"/>
                <w:highlight w:val="none"/>
              </w:rPr>
            </w:pPr>
          </w:p>
        </w:tc>
        <w:tc>
          <w:tcPr>
            <w:tcW w:w="3885" w:type="dxa"/>
            <w:noWrap w:val="0"/>
            <w:vAlign w:val="center"/>
          </w:tcPr>
          <w:p w14:paraId="3173A771">
            <w:pPr>
              <w:wordWrap w:val="0"/>
              <w:spacing w:line="400" w:lineRule="exact"/>
              <w:rPr>
                <w:rFonts w:ascii="宋体" w:hAnsi="宋体"/>
                <w:color w:val="auto"/>
                <w:sz w:val="24"/>
                <w:szCs w:val="24"/>
                <w:highlight w:val="none"/>
              </w:rPr>
            </w:pPr>
          </w:p>
        </w:tc>
        <w:tc>
          <w:tcPr>
            <w:tcW w:w="3316" w:type="dxa"/>
            <w:noWrap w:val="0"/>
            <w:vAlign w:val="center"/>
          </w:tcPr>
          <w:p w14:paraId="324CDBF4">
            <w:pPr>
              <w:wordWrap w:val="0"/>
              <w:spacing w:line="400" w:lineRule="exact"/>
              <w:rPr>
                <w:rFonts w:ascii="宋体" w:hAnsi="宋体"/>
                <w:color w:val="auto"/>
                <w:sz w:val="24"/>
                <w:szCs w:val="24"/>
                <w:highlight w:val="none"/>
              </w:rPr>
            </w:pPr>
          </w:p>
        </w:tc>
        <w:tc>
          <w:tcPr>
            <w:tcW w:w="1705" w:type="dxa"/>
            <w:noWrap w:val="0"/>
            <w:vAlign w:val="center"/>
          </w:tcPr>
          <w:p w14:paraId="7C8BA221">
            <w:pPr>
              <w:wordWrap w:val="0"/>
              <w:spacing w:line="400" w:lineRule="exact"/>
              <w:rPr>
                <w:rFonts w:ascii="宋体" w:hAnsi="宋体"/>
                <w:color w:val="auto"/>
                <w:sz w:val="24"/>
                <w:szCs w:val="24"/>
                <w:highlight w:val="none"/>
              </w:rPr>
            </w:pPr>
          </w:p>
        </w:tc>
      </w:tr>
      <w:tr w14:paraId="347745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71" w:type="dxa"/>
            <w:noWrap w:val="0"/>
            <w:vAlign w:val="center"/>
          </w:tcPr>
          <w:p w14:paraId="3E1E356C">
            <w:pPr>
              <w:wordWrap w:val="0"/>
              <w:spacing w:line="400" w:lineRule="exact"/>
              <w:jc w:val="center"/>
              <w:rPr>
                <w:rFonts w:hint="eastAsia" w:ascii="宋体" w:hAnsi="宋体"/>
                <w:color w:val="auto"/>
                <w:sz w:val="24"/>
                <w:szCs w:val="24"/>
                <w:highlight w:val="none"/>
              </w:rPr>
            </w:pPr>
          </w:p>
        </w:tc>
        <w:tc>
          <w:tcPr>
            <w:tcW w:w="3885" w:type="dxa"/>
            <w:noWrap w:val="0"/>
            <w:vAlign w:val="center"/>
          </w:tcPr>
          <w:p w14:paraId="2E13FDDA">
            <w:pPr>
              <w:wordWrap w:val="0"/>
              <w:spacing w:line="400" w:lineRule="exact"/>
              <w:rPr>
                <w:rFonts w:ascii="宋体" w:hAnsi="宋体"/>
                <w:color w:val="auto"/>
                <w:sz w:val="24"/>
                <w:szCs w:val="24"/>
                <w:highlight w:val="none"/>
              </w:rPr>
            </w:pPr>
          </w:p>
        </w:tc>
        <w:tc>
          <w:tcPr>
            <w:tcW w:w="3316" w:type="dxa"/>
            <w:noWrap w:val="0"/>
            <w:vAlign w:val="center"/>
          </w:tcPr>
          <w:p w14:paraId="293C47AF">
            <w:pPr>
              <w:wordWrap w:val="0"/>
              <w:spacing w:line="400" w:lineRule="exact"/>
              <w:rPr>
                <w:rFonts w:ascii="宋体" w:hAnsi="宋体"/>
                <w:color w:val="auto"/>
                <w:sz w:val="24"/>
                <w:szCs w:val="24"/>
                <w:highlight w:val="none"/>
              </w:rPr>
            </w:pPr>
          </w:p>
        </w:tc>
        <w:tc>
          <w:tcPr>
            <w:tcW w:w="1705" w:type="dxa"/>
            <w:noWrap w:val="0"/>
            <w:vAlign w:val="center"/>
          </w:tcPr>
          <w:p w14:paraId="25785514">
            <w:pPr>
              <w:wordWrap w:val="0"/>
              <w:spacing w:line="400" w:lineRule="exact"/>
              <w:rPr>
                <w:rFonts w:ascii="宋体" w:hAnsi="宋体"/>
                <w:color w:val="auto"/>
                <w:sz w:val="24"/>
                <w:szCs w:val="24"/>
                <w:highlight w:val="none"/>
              </w:rPr>
            </w:pPr>
          </w:p>
        </w:tc>
      </w:tr>
      <w:tr w14:paraId="6237C5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71" w:type="dxa"/>
            <w:noWrap w:val="0"/>
            <w:vAlign w:val="center"/>
          </w:tcPr>
          <w:p w14:paraId="09B9CCE9">
            <w:pPr>
              <w:wordWrap w:val="0"/>
              <w:spacing w:line="400" w:lineRule="exact"/>
              <w:jc w:val="center"/>
              <w:rPr>
                <w:rFonts w:hint="eastAsia" w:ascii="宋体" w:hAnsi="宋体"/>
                <w:color w:val="auto"/>
                <w:sz w:val="24"/>
                <w:szCs w:val="24"/>
                <w:highlight w:val="none"/>
              </w:rPr>
            </w:pPr>
          </w:p>
        </w:tc>
        <w:tc>
          <w:tcPr>
            <w:tcW w:w="3885" w:type="dxa"/>
            <w:noWrap w:val="0"/>
            <w:vAlign w:val="center"/>
          </w:tcPr>
          <w:p w14:paraId="3CA981B7">
            <w:pPr>
              <w:wordWrap w:val="0"/>
              <w:spacing w:line="400" w:lineRule="exact"/>
              <w:rPr>
                <w:rFonts w:ascii="宋体" w:hAnsi="宋体"/>
                <w:color w:val="auto"/>
                <w:sz w:val="24"/>
                <w:szCs w:val="24"/>
                <w:highlight w:val="none"/>
              </w:rPr>
            </w:pPr>
          </w:p>
        </w:tc>
        <w:tc>
          <w:tcPr>
            <w:tcW w:w="3316" w:type="dxa"/>
            <w:noWrap w:val="0"/>
            <w:vAlign w:val="center"/>
          </w:tcPr>
          <w:p w14:paraId="564873FB">
            <w:pPr>
              <w:wordWrap w:val="0"/>
              <w:spacing w:line="400" w:lineRule="exact"/>
              <w:rPr>
                <w:rFonts w:ascii="宋体" w:hAnsi="宋体"/>
                <w:color w:val="auto"/>
                <w:sz w:val="24"/>
                <w:szCs w:val="24"/>
                <w:highlight w:val="none"/>
              </w:rPr>
            </w:pPr>
          </w:p>
        </w:tc>
        <w:tc>
          <w:tcPr>
            <w:tcW w:w="1705" w:type="dxa"/>
            <w:noWrap w:val="0"/>
            <w:vAlign w:val="center"/>
          </w:tcPr>
          <w:p w14:paraId="792DFDE2">
            <w:pPr>
              <w:wordWrap w:val="0"/>
              <w:spacing w:line="400" w:lineRule="exact"/>
              <w:rPr>
                <w:rFonts w:ascii="宋体" w:hAnsi="宋体"/>
                <w:color w:val="auto"/>
                <w:sz w:val="24"/>
                <w:szCs w:val="24"/>
                <w:highlight w:val="none"/>
              </w:rPr>
            </w:pPr>
          </w:p>
        </w:tc>
      </w:tr>
      <w:tr w14:paraId="5E096D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71" w:type="dxa"/>
            <w:noWrap w:val="0"/>
            <w:vAlign w:val="center"/>
          </w:tcPr>
          <w:p w14:paraId="566A0E92">
            <w:pPr>
              <w:wordWrap w:val="0"/>
              <w:spacing w:line="400" w:lineRule="exact"/>
              <w:jc w:val="center"/>
              <w:rPr>
                <w:rFonts w:hint="eastAsia" w:ascii="宋体" w:hAnsi="宋体"/>
                <w:color w:val="auto"/>
                <w:sz w:val="24"/>
                <w:szCs w:val="24"/>
                <w:highlight w:val="none"/>
              </w:rPr>
            </w:pPr>
          </w:p>
        </w:tc>
        <w:tc>
          <w:tcPr>
            <w:tcW w:w="3885" w:type="dxa"/>
            <w:noWrap w:val="0"/>
            <w:vAlign w:val="center"/>
          </w:tcPr>
          <w:p w14:paraId="39D5FF86">
            <w:pPr>
              <w:wordWrap w:val="0"/>
              <w:spacing w:line="400" w:lineRule="exact"/>
              <w:rPr>
                <w:rFonts w:ascii="宋体" w:hAnsi="宋体"/>
                <w:color w:val="auto"/>
                <w:sz w:val="24"/>
                <w:szCs w:val="24"/>
                <w:highlight w:val="none"/>
              </w:rPr>
            </w:pPr>
          </w:p>
        </w:tc>
        <w:tc>
          <w:tcPr>
            <w:tcW w:w="3316" w:type="dxa"/>
            <w:noWrap w:val="0"/>
            <w:vAlign w:val="center"/>
          </w:tcPr>
          <w:p w14:paraId="3E4E46A2">
            <w:pPr>
              <w:wordWrap w:val="0"/>
              <w:spacing w:line="400" w:lineRule="exact"/>
              <w:rPr>
                <w:rFonts w:ascii="宋体" w:hAnsi="宋体"/>
                <w:color w:val="auto"/>
                <w:sz w:val="24"/>
                <w:szCs w:val="24"/>
                <w:highlight w:val="none"/>
              </w:rPr>
            </w:pPr>
          </w:p>
        </w:tc>
        <w:tc>
          <w:tcPr>
            <w:tcW w:w="1705" w:type="dxa"/>
            <w:noWrap w:val="0"/>
            <w:vAlign w:val="center"/>
          </w:tcPr>
          <w:p w14:paraId="32ACE79F">
            <w:pPr>
              <w:wordWrap w:val="0"/>
              <w:spacing w:line="400" w:lineRule="exact"/>
              <w:rPr>
                <w:rFonts w:ascii="宋体" w:hAnsi="宋体"/>
                <w:color w:val="auto"/>
                <w:sz w:val="24"/>
                <w:szCs w:val="24"/>
                <w:highlight w:val="none"/>
              </w:rPr>
            </w:pPr>
          </w:p>
        </w:tc>
      </w:tr>
      <w:tr w14:paraId="64ABC5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71" w:type="dxa"/>
            <w:noWrap w:val="0"/>
            <w:vAlign w:val="center"/>
          </w:tcPr>
          <w:p w14:paraId="2A510066">
            <w:pPr>
              <w:wordWrap w:val="0"/>
              <w:spacing w:line="400" w:lineRule="exact"/>
              <w:jc w:val="center"/>
              <w:rPr>
                <w:rFonts w:hint="eastAsia" w:ascii="宋体" w:hAnsi="宋体"/>
                <w:color w:val="auto"/>
                <w:sz w:val="24"/>
                <w:szCs w:val="24"/>
                <w:highlight w:val="none"/>
              </w:rPr>
            </w:pPr>
          </w:p>
        </w:tc>
        <w:tc>
          <w:tcPr>
            <w:tcW w:w="3885" w:type="dxa"/>
            <w:noWrap w:val="0"/>
            <w:vAlign w:val="center"/>
          </w:tcPr>
          <w:p w14:paraId="4EB0DCCD">
            <w:pPr>
              <w:wordWrap w:val="0"/>
              <w:spacing w:line="400" w:lineRule="exact"/>
              <w:rPr>
                <w:rFonts w:ascii="宋体" w:hAnsi="宋体"/>
                <w:color w:val="auto"/>
                <w:sz w:val="24"/>
                <w:szCs w:val="24"/>
                <w:highlight w:val="none"/>
              </w:rPr>
            </w:pPr>
          </w:p>
        </w:tc>
        <w:tc>
          <w:tcPr>
            <w:tcW w:w="3316" w:type="dxa"/>
            <w:noWrap w:val="0"/>
            <w:vAlign w:val="center"/>
          </w:tcPr>
          <w:p w14:paraId="52F1E752">
            <w:pPr>
              <w:wordWrap w:val="0"/>
              <w:spacing w:line="400" w:lineRule="exact"/>
              <w:rPr>
                <w:rFonts w:ascii="宋体" w:hAnsi="宋体"/>
                <w:color w:val="auto"/>
                <w:sz w:val="24"/>
                <w:szCs w:val="24"/>
                <w:highlight w:val="none"/>
              </w:rPr>
            </w:pPr>
          </w:p>
        </w:tc>
        <w:tc>
          <w:tcPr>
            <w:tcW w:w="1705" w:type="dxa"/>
            <w:noWrap w:val="0"/>
            <w:vAlign w:val="center"/>
          </w:tcPr>
          <w:p w14:paraId="3985AB36">
            <w:pPr>
              <w:wordWrap w:val="0"/>
              <w:spacing w:line="400" w:lineRule="exact"/>
              <w:rPr>
                <w:rFonts w:ascii="宋体" w:hAnsi="宋体"/>
                <w:color w:val="auto"/>
                <w:sz w:val="24"/>
                <w:szCs w:val="24"/>
                <w:highlight w:val="none"/>
              </w:rPr>
            </w:pPr>
          </w:p>
        </w:tc>
      </w:tr>
      <w:tr w14:paraId="535E3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71" w:type="dxa"/>
            <w:noWrap w:val="0"/>
            <w:vAlign w:val="center"/>
          </w:tcPr>
          <w:p w14:paraId="494E8CE5">
            <w:pPr>
              <w:wordWrap w:val="0"/>
              <w:spacing w:line="400" w:lineRule="exact"/>
              <w:jc w:val="center"/>
              <w:rPr>
                <w:rFonts w:hint="eastAsia" w:ascii="宋体" w:hAnsi="宋体"/>
                <w:color w:val="auto"/>
                <w:sz w:val="24"/>
                <w:szCs w:val="24"/>
                <w:highlight w:val="none"/>
              </w:rPr>
            </w:pPr>
          </w:p>
        </w:tc>
        <w:tc>
          <w:tcPr>
            <w:tcW w:w="3885" w:type="dxa"/>
            <w:noWrap w:val="0"/>
            <w:vAlign w:val="center"/>
          </w:tcPr>
          <w:p w14:paraId="0B3CDA57">
            <w:pPr>
              <w:wordWrap w:val="0"/>
              <w:spacing w:line="400" w:lineRule="exact"/>
              <w:rPr>
                <w:rFonts w:ascii="宋体" w:hAnsi="宋体"/>
                <w:color w:val="auto"/>
                <w:sz w:val="24"/>
                <w:szCs w:val="24"/>
                <w:highlight w:val="none"/>
              </w:rPr>
            </w:pPr>
          </w:p>
        </w:tc>
        <w:tc>
          <w:tcPr>
            <w:tcW w:w="3316" w:type="dxa"/>
            <w:noWrap w:val="0"/>
            <w:vAlign w:val="center"/>
          </w:tcPr>
          <w:p w14:paraId="03397B37">
            <w:pPr>
              <w:wordWrap w:val="0"/>
              <w:spacing w:line="400" w:lineRule="exact"/>
              <w:rPr>
                <w:rFonts w:ascii="宋体" w:hAnsi="宋体"/>
                <w:color w:val="auto"/>
                <w:sz w:val="24"/>
                <w:szCs w:val="24"/>
                <w:highlight w:val="none"/>
              </w:rPr>
            </w:pPr>
          </w:p>
        </w:tc>
        <w:tc>
          <w:tcPr>
            <w:tcW w:w="1705" w:type="dxa"/>
            <w:noWrap w:val="0"/>
            <w:vAlign w:val="center"/>
          </w:tcPr>
          <w:p w14:paraId="4356243C">
            <w:pPr>
              <w:wordWrap w:val="0"/>
              <w:spacing w:line="400" w:lineRule="exact"/>
              <w:rPr>
                <w:rFonts w:ascii="宋体" w:hAnsi="宋体"/>
                <w:color w:val="auto"/>
                <w:sz w:val="24"/>
                <w:szCs w:val="24"/>
                <w:highlight w:val="none"/>
              </w:rPr>
            </w:pPr>
          </w:p>
        </w:tc>
      </w:tr>
    </w:tbl>
    <w:p w14:paraId="1CCFB102">
      <w:pPr>
        <w:wordWrap w:val="0"/>
        <w:rPr>
          <w:rFonts w:hint="eastAsia" w:ascii="宋体" w:hAnsi="宋体"/>
          <w:color w:val="auto"/>
          <w:sz w:val="24"/>
          <w:szCs w:val="24"/>
          <w:highlight w:val="none"/>
        </w:rPr>
      </w:pPr>
      <w:r>
        <w:rPr>
          <w:rFonts w:hint="eastAsia" w:ascii="宋体" w:hAnsi="宋体"/>
          <w:b/>
          <w:color w:val="auto"/>
          <w:sz w:val="24"/>
          <w:szCs w:val="24"/>
          <w:highlight w:val="none"/>
        </w:rPr>
        <w:t>注：</w:t>
      </w:r>
      <w:r>
        <w:rPr>
          <w:rFonts w:hint="eastAsia" w:ascii="宋体" w:hAnsi="宋体"/>
          <w:color w:val="auto"/>
          <w:sz w:val="24"/>
          <w:szCs w:val="24"/>
          <w:highlight w:val="none"/>
        </w:rPr>
        <w:t>根据“第三章  招标</w:t>
      </w:r>
      <w:r>
        <w:rPr>
          <w:rFonts w:ascii="宋体" w:hAnsi="宋体"/>
          <w:color w:val="auto"/>
          <w:sz w:val="24"/>
          <w:szCs w:val="24"/>
          <w:highlight w:val="none"/>
        </w:rPr>
        <w:t>需求</w:t>
      </w:r>
      <w:r>
        <w:rPr>
          <w:rFonts w:hint="eastAsia" w:ascii="宋体" w:hAnsi="宋体"/>
          <w:color w:val="auto"/>
          <w:sz w:val="24"/>
          <w:szCs w:val="24"/>
          <w:highlight w:val="none"/>
        </w:rPr>
        <w:t>”比较填写。如有偏离的，须在本表中列明，并提供详细的偏离说明。如供应商未在本表中列出偏离说明，即使其在投标文件的其他部分说明与采购文件要求有所不同或回避不答，亦视为完全符合采购文件中所要求的最佳值并写入合同。若中标供应商在定标及合同签订前，以上述事项为借口而不履行合同签订手续及执行合同，则视作其放弃中标资格。</w:t>
      </w:r>
    </w:p>
    <w:p w14:paraId="58234750">
      <w:pPr>
        <w:wordWrap w:val="0"/>
        <w:spacing w:line="400" w:lineRule="exact"/>
        <w:rPr>
          <w:rFonts w:hint="eastAsia" w:ascii="宋体" w:hAnsi="宋体"/>
          <w:color w:val="auto"/>
          <w:sz w:val="24"/>
          <w:szCs w:val="24"/>
          <w:highlight w:val="none"/>
        </w:rPr>
      </w:pPr>
    </w:p>
    <w:p w14:paraId="715A354C">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投标人（盖章）：         </w:t>
      </w:r>
    </w:p>
    <w:p w14:paraId="7AD082E0">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法定代表人或其授权委托人（签名或印章）：        </w:t>
      </w:r>
    </w:p>
    <w:p w14:paraId="63AF4406">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日  期：        </w:t>
      </w:r>
    </w:p>
    <w:p w14:paraId="7FCD61FB">
      <w:pPr>
        <w:spacing w:line="400" w:lineRule="exact"/>
        <w:rPr>
          <w:rFonts w:ascii="宋体" w:hAnsi="宋体"/>
          <w:b/>
          <w:color w:val="auto"/>
          <w:sz w:val="24"/>
          <w:szCs w:val="24"/>
          <w:highlight w:val="none"/>
        </w:rPr>
      </w:pPr>
      <w:r>
        <w:rPr>
          <w:rFonts w:ascii="宋体" w:hAnsi="宋体"/>
          <w:color w:val="auto"/>
          <w:szCs w:val="21"/>
          <w:highlight w:val="none"/>
        </w:rPr>
        <w:br w:type="page"/>
      </w:r>
      <w:r>
        <w:rPr>
          <w:rFonts w:hint="eastAsia" w:ascii="宋体" w:hAnsi="宋体"/>
          <w:b/>
          <w:color w:val="auto"/>
          <w:sz w:val="24"/>
          <w:szCs w:val="24"/>
          <w:highlight w:val="none"/>
        </w:rPr>
        <w:t>B8、</w:t>
      </w:r>
      <w:r>
        <w:rPr>
          <w:rFonts w:hint="eastAsia" w:ascii="宋体" w:hAnsi="宋体"/>
          <w:b/>
          <w:color w:val="auto"/>
          <w:sz w:val="24"/>
          <w:szCs w:val="24"/>
          <w:highlight w:val="none"/>
          <w:lang w:val="en-US" w:eastAsia="zh-CN"/>
        </w:rPr>
        <w:t>桥梁</w:t>
      </w:r>
      <w:r>
        <w:rPr>
          <w:rFonts w:hint="eastAsia" w:ascii="宋体" w:hAnsi="宋体"/>
          <w:b/>
          <w:color w:val="auto"/>
          <w:sz w:val="24"/>
          <w:szCs w:val="24"/>
          <w:highlight w:val="none"/>
        </w:rPr>
        <w:t>养护方案</w:t>
      </w:r>
    </w:p>
    <w:p w14:paraId="0D1E5711">
      <w:pPr>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（根据采购文件要求提供，格式自拟）</w:t>
      </w:r>
    </w:p>
    <w:p w14:paraId="5F275D28">
      <w:pPr>
        <w:pStyle w:val="12"/>
        <w:ind w:firstLine="0" w:firstLineChars="0"/>
        <w:rPr>
          <w:rFonts w:hint="eastAsia"/>
          <w:color w:val="auto"/>
          <w:highlight w:val="none"/>
        </w:rPr>
      </w:pPr>
    </w:p>
    <w:p w14:paraId="51D3EDF4">
      <w:pPr>
        <w:spacing w:line="360" w:lineRule="auto"/>
        <w:rPr>
          <w:rFonts w:ascii="宋体" w:hAnsi="宋体"/>
          <w:b/>
          <w:color w:val="auto"/>
          <w:sz w:val="24"/>
          <w:szCs w:val="24"/>
          <w:highlight w:val="none"/>
        </w:rPr>
      </w:pPr>
      <w:r>
        <w:rPr>
          <w:rFonts w:ascii="宋体" w:hAnsi="宋体"/>
          <w:color w:val="auto"/>
          <w:highlight w:val="none"/>
        </w:rPr>
        <w:br w:type="page"/>
      </w:r>
      <w:r>
        <w:rPr>
          <w:rFonts w:hint="eastAsia" w:ascii="宋体" w:hAnsi="宋体"/>
          <w:b/>
          <w:color w:val="auto"/>
          <w:sz w:val="24"/>
          <w:szCs w:val="24"/>
          <w:highlight w:val="none"/>
        </w:rPr>
        <w:t>B9、本项目负责人简历</w:t>
      </w:r>
    </w:p>
    <w:p w14:paraId="586C376F">
      <w:pPr>
        <w:jc w:val="center"/>
        <w:rPr>
          <w:rFonts w:hint="eastAsia" w:ascii="宋体" w:hAnsi="宋体"/>
          <w:b/>
          <w:color w:val="auto"/>
          <w:sz w:val="24"/>
          <w:szCs w:val="24"/>
          <w:highlight w:val="none"/>
        </w:rPr>
      </w:pPr>
      <w:r>
        <w:rPr>
          <w:rFonts w:hint="eastAsia" w:ascii="宋体" w:hAnsi="宋体"/>
          <w:b/>
          <w:color w:val="auto"/>
          <w:sz w:val="24"/>
          <w:szCs w:val="24"/>
          <w:highlight w:val="none"/>
        </w:rPr>
        <w:t>本项目负责人简历</w:t>
      </w:r>
    </w:p>
    <w:p w14:paraId="60B97D4F">
      <w:pPr>
        <w:spacing w:line="360" w:lineRule="exact"/>
        <w:jc w:val="center"/>
        <w:rPr>
          <w:rFonts w:hint="eastAsia" w:ascii="宋体" w:hAnsi="宋体"/>
          <w:b/>
          <w:color w:val="auto"/>
          <w:sz w:val="24"/>
          <w:szCs w:val="24"/>
          <w:highlight w:val="none"/>
        </w:rPr>
      </w:pPr>
    </w:p>
    <w:tbl>
      <w:tblPr>
        <w:tblStyle w:val="4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404"/>
        <w:gridCol w:w="1155"/>
        <w:gridCol w:w="558"/>
        <w:gridCol w:w="1002"/>
        <w:gridCol w:w="167"/>
        <w:gridCol w:w="1392"/>
        <w:gridCol w:w="1559"/>
        <w:gridCol w:w="1560"/>
      </w:tblGrid>
      <w:tr w14:paraId="0E5A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63" w:type="dxa"/>
            <w:gridSpan w:val="2"/>
            <w:noWrap w:val="0"/>
            <w:vAlign w:val="center"/>
          </w:tcPr>
          <w:p w14:paraId="785BF01B">
            <w:pPr>
              <w:spacing w:line="32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155" w:type="dxa"/>
            <w:noWrap w:val="0"/>
            <w:vAlign w:val="center"/>
          </w:tcPr>
          <w:p w14:paraId="6AD1A2E9">
            <w:pPr>
              <w:spacing w:line="320" w:lineRule="exact"/>
              <w:rPr>
                <w:rFonts w:hint="eastAsia" w:ascii="宋体" w:hAnsi="宋体"/>
                <w:color w:val="auto"/>
                <w:sz w:val="24"/>
                <w:szCs w:val="24"/>
                <w:highlight w:val="none"/>
              </w:rPr>
            </w:pPr>
          </w:p>
        </w:tc>
        <w:tc>
          <w:tcPr>
            <w:tcW w:w="1560" w:type="dxa"/>
            <w:gridSpan w:val="2"/>
            <w:noWrap w:val="0"/>
            <w:vAlign w:val="center"/>
          </w:tcPr>
          <w:p w14:paraId="6F033874">
            <w:pPr>
              <w:spacing w:line="320" w:lineRule="exact"/>
              <w:jc w:val="center"/>
              <w:rPr>
                <w:rFonts w:ascii="宋体" w:hAnsi="宋体"/>
                <w:color w:val="auto"/>
                <w:sz w:val="24"/>
                <w:szCs w:val="24"/>
                <w:highlight w:val="none"/>
              </w:rPr>
            </w:pPr>
            <w:r>
              <w:rPr>
                <w:rFonts w:ascii="宋体" w:hAnsi="宋体"/>
                <w:color w:val="auto"/>
                <w:sz w:val="24"/>
                <w:szCs w:val="24"/>
                <w:highlight w:val="none"/>
              </w:rPr>
              <w:t>性   别</w:t>
            </w:r>
          </w:p>
        </w:tc>
        <w:tc>
          <w:tcPr>
            <w:tcW w:w="1559" w:type="dxa"/>
            <w:gridSpan w:val="2"/>
            <w:noWrap w:val="0"/>
            <w:vAlign w:val="center"/>
          </w:tcPr>
          <w:p w14:paraId="7377F8C1">
            <w:pPr>
              <w:spacing w:line="320" w:lineRule="exact"/>
              <w:rPr>
                <w:rFonts w:hint="eastAsia" w:ascii="宋体" w:hAnsi="宋体"/>
                <w:color w:val="auto"/>
                <w:sz w:val="24"/>
                <w:szCs w:val="24"/>
                <w:highlight w:val="none"/>
              </w:rPr>
            </w:pPr>
          </w:p>
        </w:tc>
        <w:tc>
          <w:tcPr>
            <w:tcW w:w="1559" w:type="dxa"/>
            <w:noWrap w:val="0"/>
            <w:vAlign w:val="center"/>
          </w:tcPr>
          <w:p w14:paraId="2DB2834F">
            <w:pPr>
              <w:spacing w:line="320" w:lineRule="exact"/>
              <w:jc w:val="center"/>
              <w:rPr>
                <w:rFonts w:ascii="宋体" w:hAnsi="宋体"/>
                <w:color w:val="auto"/>
                <w:sz w:val="24"/>
                <w:szCs w:val="24"/>
                <w:highlight w:val="none"/>
              </w:rPr>
            </w:pPr>
            <w:r>
              <w:rPr>
                <w:rFonts w:ascii="宋体" w:hAnsi="宋体"/>
                <w:color w:val="auto"/>
                <w:sz w:val="24"/>
                <w:szCs w:val="24"/>
                <w:highlight w:val="none"/>
              </w:rPr>
              <w:t>出生年月</w:t>
            </w:r>
          </w:p>
        </w:tc>
        <w:tc>
          <w:tcPr>
            <w:tcW w:w="1560" w:type="dxa"/>
            <w:noWrap w:val="0"/>
            <w:vAlign w:val="center"/>
          </w:tcPr>
          <w:p w14:paraId="4B28C9CC">
            <w:pPr>
              <w:spacing w:line="320" w:lineRule="exact"/>
              <w:rPr>
                <w:rFonts w:hint="eastAsia" w:ascii="宋体" w:hAnsi="宋体"/>
                <w:color w:val="auto"/>
                <w:sz w:val="24"/>
                <w:szCs w:val="24"/>
                <w:highlight w:val="none"/>
              </w:rPr>
            </w:pPr>
          </w:p>
        </w:tc>
      </w:tr>
      <w:tr w14:paraId="6457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63" w:type="dxa"/>
            <w:gridSpan w:val="2"/>
            <w:noWrap w:val="0"/>
            <w:vAlign w:val="center"/>
          </w:tcPr>
          <w:p w14:paraId="36E616FB">
            <w:pPr>
              <w:spacing w:line="320" w:lineRule="exact"/>
              <w:jc w:val="center"/>
              <w:rPr>
                <w:rFonts w:ascii="宋体" w:hAnsi="宋体"/>
                <w:color w:val="auto"/>
                <w:sz w:val="24"/>
                <w:szCs w:val="24"/>
                <w:highlight w:val="none"/>
              </w:rPr>
            </w:pPr>
            <w:r>
              <w:rPr>
                <w:rFonts w:ascii="宋体" w:hAnsi="宋体"/>
                <w:color w:val="auto"/>
                <w:sz w:val="24"/>
                <w:szCs w:val="24"/>
                <w:highlight w:val="none"/>
              </w:rPr>
              <w:t>专    业</w:t>
            </w:r>
          </w:p>
        </w:tc>
        <w:tc>
          <w:tcPr>
            <w:tcW w:w="1155" w:type="dxa"/>
            <w:noWrap w:val="0"/>
            <w:vAlign w:val="center"/>
          </w:tcPr>
          <w:p w14:paraId="22486D51">
            <w:pPr>
              <w:spacing w:line="320" w:lineRule="exact"/>
              <w:rPr>
                <w:rFonts w:hint="eastAsia" w:ascii="宋体" w:hAnsi="宋体"/>
                <w:color w:val="auto"/>
                <w:sz w:val="24"/>
                <w:szCs w:val="24"/>
                <w:highlight w:val="none"/>
              </w:rPr>
            </w:pPr>
          </w:p>
        </w:tc>
        <w:tc>
          <w:tcPr>
            <w:tcW w:w="1560" w:type="dxa"/>
            <w:gridSpan w:val="2"/>
            <w:noWrap w:val="0"/>
            <w:vAlign w:val="center"/>
          </w:tcPr>
          <w:p w14:paraId="651EBCAC">
            <w:pPr>
              <w:spacing w:line="320" w:lineRule="exact"/>
              <w:jc w:val="center"/>
              <w:rPr>
                <w:rFonts w:ascii="宋体" w:hAnsi="宋体"/>
                <w:color w:val="auto"/>
                <w:sz w:val="24"/>
                <w:szCs w:val="24"/>
                <w:highlight w:val="none"/>
              </w:rPr>
            </w:pPr>
            <w:r>
              <w:rPr>
                <w:rFonts w:ascii="宋体" w:hAnsi="宋体"/>
                <w:color w:val="auto"/>
                <w:sz w:val="24"/>
                <w:szCs w:val="24"/>
                <w:highlight w:val="none"/>
              </w:rPr>
              <w:t>学   历</w:t>
            </w:r>
          </w:p>
        </w:tc>
        <w:tc>
          <w:tcPr>
            <w:tcW w:w="1559" w:type="dxa"/>
            <w:gridSpan w:val="2"/>
            <w:noWrap w:val="0"/>
            <w:vAlign w:val="center"/>
          </w:tcPr>
          <w:p w14:paraId="7A3009F3">
            <w:pPr>
              <w:spacing w:line="320" w:lineRule="exact"/>
              <w:rPr>
                <w:rFonts w:hint="eastAsia" w:ascii="宋体" w:hAnsi="宋体"/>
                <w:color w:val="auto"/>
                <w:sz w:val="24"/>
                <w:szCs w:val="24"/>
                <w:highlight w:val="none"/>
              </w:rPr>
            </w:pPr>
          </w:p>
        </w:tc>
        <w:tc>
          <w:tcPr>
            <w:tcW w:w="1559" w:type="dxa"/>
            <w:noWrap w:val="0"/>
            <w:vAlign w:val="center"/>
          </w:tcPr>
          <w:p w14:paraId="2EF30513">
            <w:pPr>
              <w:spacing w:line="32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60" w:type="dxa"/>
            <w:noWrap w:val="0"/>
            <w:vAlign w:val="center"/>
          </w:tcPr>
          <w:p w14:paraId="6FB6AF5C">
            <w:pPr>
              <w:spacing w:line="320" w:lineRule="exact"/>
              <w:rPr>
                <w:rFonts w:hint="eastAsia" w:ascii="宋体" w:hAnsi="宋体"/>
                <w:color w:val="auto"/>
                <w:sz w:val="24"/>
                <w:szCs w:val="24"/>
                <w:highlight w:val="none"/>
              </w:rPr>
            </w:pPr>
          </w:p>
        </w:tc>
      </w:tr>
      <w:tr w14:paraId="5AB5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63" w:type="dxa"/>
            <w:gridSpan w:val="2"/>
            <w:noWrap w:val="0"/>
            <w:vAlign w:val="center"/>
          </w:tcPr>
          <w:p w14:paraId="0C2ADBDC">
            <w:pPr>
              <w:spacing w:line="320" w:lineRule="exact"/>
              <w:jc w:val="center"/>
              <w:rPr>
                <w:rFonts w:ascii="宋体" w:hAnsi="宋体"/>
                <w:color w:val="auto"/>
                <w:sz w:val="24"/>
                <w:szCs w:val="24"/>
                <w:highlight w:val="none"/>
              </w:rPr>
            </w:pPr>
            <w:r>
              <w:rPr>
                <w:rFonts w:ascii="宋体" w:hAnsi="宋体"/>
                <w:color w:val="auto"/>
                <w:sz w:val="24"/>
                <w:szCs w:val="24"/>
                <w:highlight w:val="none"/>
              </w:rPr>
              <w:t>何时参加工作</w:t>
            </w:r>
          </w:p>
        </w:tc>
        <w:tc>
          <w:tcPr>
            <w:tcW w:w="7393" w:type="dxa"/>
            <w:gridSpan w:val="7"/>
            <w:noWrap w:val="0"/>
            <w:vAlign w:val="center"/>
          </w:tcPr>
          <w:p w14:paraId="7954117C">
            <w:pPr>
              <w:spacing w:line="320" w:lineRule="exact"/>
              <w:rPr>
                <w:rFonts w:hint="eastAsia" w:ascii="宋体" w:hAnsi="宋体"/>
                <w:color w:val="auto"/>
                <w:sz w:val="24"/>
                <w:szCs w:val="24"/>
                <w:highlight w:val="none"/>
              </w:rPr>
            </w:pPr>
          </w:p>
        </w:tc>
      </w:tr>
      <w:tr w14:paraId="5B8E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63" w:type="dxa"/>
            <w:gridSpan w:val="2"/>
            <w:noWrap w:val="0"/>
            <w:vAlign w:val="center"/>
          </w:tcPr>
          <w:p w14:paraId="7D779E92">
            <w:pPr>
              <w:spacing w:line="320" w:lineRule="exact"/>
              <w:jc w:val="center"/>
              <w:rPr>
                <w:rFonts w:ascii="宋体" w:hAnsi="宋体"/>
                <w:color w:val="auto"/>
                <w:sz w:val="24"/>
                <w:szCs w:val="24"/>
                <w:highlight w:val="none"/>
              </w:rPr>
            </w:pPr>
            <w:r>
              <w:rPr>
                <w:rFonts w:ascii="宋体" w:hAnsi="宋体"/>
                <w:color w:val="auto"/>
                <w:sz w:val="24"/>
                <w:szCs w:val="24"/>
                <w:highlight w:val="none"/>
              </w:rPr>
              <w:t>何时进入公司</w:t>
            </w:r>
          </w:p>
        </w:tc>
        <w:tc>
          <w:tcPr>
            <w:tcW w:w="7393" w:type="dxa"/>
            <w:gridSpan w:val="7"/>
            <w:noWrap w:val="0"/>
            <w:vAlign w:val="center"/>
          </w:tcPr>
          <w:p w14:paraId="4439BF72">
            <w:pPr>
              <w:spacing w:line="320" w:lineRule="exact"/>
              <w:rPr>
                <w:rFonts w:hint="eastAsia" w:ascii="宋体" w:hAnsi="宋体"/>
                <w:color w:val="auto"/>
                <w:sz w:val="24"/>
                <w:szCs w:val="24"/>
                <w:highlight w:val="none"/>
              </w:rPr>
            </w:pPr>
          </w:p>
        </w:tc>
      </w:tr>
      <w:tr w14:paraId="58B8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63" w:type="dxa"/>
            <w:gridSpan w:val="2"/>
            <w:noWrap w:val="0"/>
            <w:vAlign w:val="center"/>
          </w:tcPr>
          <w:p w14:paraId="1B0176F8">
            <w:pPr>
              <w:spacing w:line="320" w:lineRule="exact"/>
              <w:jc w:val="center"/>
              <w:rPr>
                <w:rFonts w:ascii="宋体" w:hAnsi="宋体"/>
                <w:color w:val="auto"/>
                <w:sz w:val="24"/>
                <w:szCs w:val="24"/>
                <w:highlight w:val="none"/>
              </w:rPr>
            </w:pPr>
            <w:r>
              <w:rPr>
                <w:rFonts w:ascii="宋体" w:hAnsi="宋体"/>
                <w:color w:val="auto"/>
                <w:sz w:val="24"/>
                <w:szCs w:val="24"/>
                <w:highlight w:val="none"/>
              </w:rPr>
              <w:t>从事项目年限</w:t>
            </w:r>
          </w:p>
        </w:tc>
        <w:tc>
          <w:tcPr>
            <w:tcW w:w="7393" w:type="dxa"/>
            <w:gridSpan w:val="7"/>
            <w:noWrap w:val="0"/>
            <w:vAlign w:val="center"/>
          </w:tcPr>
          <w:p w14:paraId="459D2CF0">
            <w:pPr>
              <w:spacing w:line="320" w:lineRule="exact"/>
              <w:rPr>
                <w:rFonts w:hint="eastAsia" w:ascii="宋体" w:hAnsi="宋体"/>
                <w:color w:val="auto"/>
                <w:sz w:val="24"/>
                <w:szCs w:val="24"/>
                <w:highlight w:val="none"/>
              </w:rPr>
            </w:pPr>
          </w:p>
        </w:tc>
      </w:tr>
      <w:tr w14:paraId="257A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356" w:type="dxa"/>
            <w:gridSpan w:val="9"/>
            <w:noWrap w:val="0"/>
            <w:vAlign w:val="center"/>
          </w:tcPr>
          <w:p w14:paraId="5EE5CF63">
            <w:pPr>
              <w:spacing w:line="320" w:lineRule="exact"/>
              <w:jc w:val="center"/>
              <w:rPr>
                <w:rFonts w:ascii="宋体" w:hAnsi="宋体"/>
                <w:b/>
                <w:color w:val="auto"/>
                <w:sz w:val="24"/>
                <w:szCs w:val="24"/>
                <w:highlight w:val="none"/>
              </w:rPr>
            </w:pPr>
            <w:r>
              <w:rPr>
                <w:rFonts w:ascii="宋体" w:hAnsi="宋体"/>
                <w:color w:val="auto"/>
                <w:sz w:val="24"/>
                <w:szCs w:val="24"/>
                <w:highlight w:val="none"/>
              </w:rPr>
              <w:t>已完成项目情况</w:t>
            </w:r>
          </w:p>
        </w:tc>
      </w:tr>
      <w:tr w14:paraId="126D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59" w:type="dxa"/>
            <w:noWrap w:val="0"/>
            <w:vAlign w:val="center"/>
          </w:tcPr>
          <w:p w14:paraId="12E0DEBD">
            <w:pPr>
              <w:spacing w:line="3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业主</w:t>
            </w:r>
          </w:p>
        </w:tc>
        <w:tc>
          <w:tcPr>
            <w:tcW w:w="2117" w:type="dxa"/>
            <w:gridSpan w:val="3"/>
            <w:noWrap w:val="0"/>
            <w:vAlign w:val="center"/>
          </w:tcPr>
          <w:p w14:paraId="388BE12A">
            <w:pPr>
              <w:spacing w:line="320" w:lineRule="exact"/>
              <w:jc w:val="center"/>
              <w:rPr>
                <w:rFonts w:ascii="宋体" w:hAnsi="宋体"/>
                <w:color w:val="auto"/>
                <w:sz w:val="24"/>
                <w:szCs w:val="24"/>
                <w:highlight w:val="none"/>
              </w:rPr>
            </w:pPr>
            <w:r>
              <w:rPr>
                <w:rFonts w:ascii="宋体" w:hAnsi="宋体"/>
                <w:color w:val="auto"/>
                <w:sz w:val="24"/>
                <w:szCs w:val="24"/>
                <w:highlight w:val="none"/>
              </w:rPr>
              <w:t>项目名称</w:t>
            </w:r>
          </w:p>
        </w:tc>
        <w:tc>
          <w:tcPr>
            <w:tcW w:w="1169" w:type="dxa"/>
            <w:gridSpan w:val="2"/>
            <w:noWrap w:val="0"/>
            <w:vAlign w:val="center"/>
          </w:tcPr>
          <w:p w14:paraId="6F0D7684">
            <w:pPr>
              <w:spacing w:line="320" w:lineRule="exact"/>
              <w:jc w:val="center"/>
              <w:rPr>
                <w:rFonts w:ascii="宋体" w:hAnsi="宋体"/>
                <w:color w:val="auto"/>
                <w:sz w:val="24"/>
                <w:szCs w:val="24"/>
                <w:highlight w:val="none"/>
              </w:rPr>
            </w:pPr>
            <w:r>
              <w:rPr>
                <w:rFonts w:ascii="宋体" w:hAnsi="宋体"/>
                <w:color w:val="auto"/>
                <w:sz w:val="24"/>
                <w:szCs w:val="24"/>
                <w:highlight w:val="none"/>
              </w:rPr>
              <w:t>规模</w:t>
            </w:r>
          </w:p>
        </w:tc>
        <w:tc>
          <w:tcPr>
            <w:tcW w:w="1392" w:type="dxa"/>
            <w:noWrap w:val="0"/>
            <w:vAlign w:val="center"/>
          </w:tcPr>
          <w:p w14:paraId="12BCFC9E">
            <w:pPr>
              <w:spacing w:line="320" w:lineRule="exact"/>
              <w:jc w:val="center"/>
              <w:rPr>
                <w:rFonts w:ascii="宋体" w:hAnsi="宋体"/>
                <w:color w:val="auto"/>
                <w:sz w:val="24"/>
                <w:szCs w:val="24"/>
                <w:highlight w:val="none"/>
              </w:rPr>
            </w:pPr>
            <w:r>
              <w:rPr>
                <w:rFonts w:ascii="宋体" w:hAnsi="宋体"/>
                <w:color w:val="auto"/>
                <w:sz w:val="24"/>
                <w:szCs w:val="24"/>
                <w:highlight w:val="none"/>
              </w:rPr>
              <w:t>合同时间</w:t>
            </w:r>
          </w:p>
        </w:tc>
        <w:tc>
          <w:tcPr>
            <w:tcW w:w="3119" w:type="dxa"/>
            <w:gridSpan w:val="2"/>
            <w:noWrap w:val="0"/>
            <w:vAlign w:val="center"/>
          </w:tcPr>
          <w:p w14:paraId="2AD35CF3">
            <w:pPr>
              <w:spacing w:line="320" w:lineRule="exact"/>
              <w:jc w:val="center"/>
              <w:rPr>
                <w:rFonts w:ascii="宋体" w:hAnsi="宋体"/>
                <w:color w:val="auto"/>
                <w:sz w:val="24"/>
                <w:szCs w:val="24"/>
                <w:highlight w:val="none"/>
              </w:rPr>
            </w:pPr>
            <w:r>
              <w:rPr>
                <w:rFonts w:ascii="宋体" w:hAnsi="宋体"/>
                <w:color w:val="auto"/>
                <w:sz w:val="24"/>
                <w:szCs w:val="24"/>
                <w:highlight w:val="none"/>
              </w:rPr>
              <w:t>管理业绩</w:t>
            </w:r>
          </w:p>
        </w:tc>
      </w:tr>
      <w:tr w14:paraId="52F0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59" w:type="dxa"/>
            <w:noWrap w:val="0"/>
            <w:vAlign w:val="center"/>
          </w:tcPr>
          <w:p w14:paraId="36898A99">
            <w:pPr>
              <w:spacing w:line="320" w:lineRule="exact"/>
              <w:jc w:val="center"/>
              <w:rPr>
                <w:rFonts w:ascii="宋体" w:hAnsi="宋体"/>
                <w:b/>
                <w:color w:val="auto"/>
                <w:sz w:val="24"/>
                <w:szCs w:val="24"/>
                <w:highlight w:val="none"/>
              </w:rPr>
            </w:pPr>
          </w:p>
        </w:tc>
        <w:tc>
          <w:tcPr>
            <w:tcW w:w="2117" w:type="dxa"/>
            <w:gridSpan w:val="3"/>
            <w:noWrap w:val="0"/>
            <w:vAlign w:val="center"/>
          </w:tcPr>
          <w:p w14:paraId="5902E724">
            <w:pPr>
              <w:spacing w:line="320" w:lineRule="exact"/>
              <w:jc w:val="center"/>
              <w:rPr>
                <w:rFonts w:ascii="宋体" w:hAnsi="宋体"/>
                <w:b/>
                <w:color w:val="auto"/>
                <w:sz w:val="24"/>
                <w:szCs w:val="24"/>
                <w:highlight w:val="none"/>
              </w:rPr>
            </w:pPr>
          </w:p>
        </w:tc>
        <w:tc>
          <w:tcPr>
            <w:tcW w:w="1169" w:type="dxa"/>
            <w:gridSpan w:val="2"/>
            <w:noWrap w:val="0"/>
            <w:vAlign w:val="center"/>
          </w:tcPr>
          <w:p w14:paraId="031A8D79">
            <w:pPr>
              <w:spacing w:line="320" w:lineRule="exact"/>
              <w:jc w:val="center"/>
              <w:rPr>
                <w:rFonts w:ascii="宋体" w:hAnsi="宋体"/>
                <w:b/>
                <w:color w:val="auto"/>
                <w:sz w:val="24"/>
                <w:szCs w:val="24"/>
                <w:highlight w:val="none"/>
              </w:rPr>
            </w:pPr>
          </w:p>
        </w:tc>
        <w:tc>
          <w:tcPr>
            <w:tcW w:w="1392" w:type="dxa"/>
            <w:noWrap w:val="0"/>
            <w:vAlign w:val="center"/>
          </w:tcPr>
          <w:p w14:paraId="35620B88">
            <w:pPr>
              <w:spacing w:line="320" w:lineRule="exact"/>
              <w:jc w:val="center"/>
              <w:rPr>
                <w:rFonts w:ascii="宋体" w:hAnsi="宋体"/>
                <w:b/>
                <w:color w:val="auto"/>
                <w:sz w:val="24"/>
                <w:szCs w:val="24"/>
                <w:highlight w:val="none"/>
              </w:rPr>
            </w:pPr>
          </w:p>
        </w:tc>
        <w:tc>
          <w:tcPr>
            <w:tcW w:w="3119" w:type="dxa"/>
            <w:gridSpan w:val="2"/>
            <w:noWrap w:val="0"/>
            <w:vAlign w:val="center"/>
          </w:tcPr>
          <w:p w14:paraId="08A9BCEE">
            <w:pPr>
              <w:spacing w:line="320" w:lineRule="exact"/>
              <w:jc w:val="center"/>
              <w:rPr>
                <w:rFonts w:ascii="宋体" w:hAnsi="宋体"/>
                <w:b/>
                <w:color w:val="auto"/>
                <w:sz w:val="24"/>
                <w:szCs w:val="24"/>
                <w:highlight w:val="none"/>
              </w:rPr>
            </w:pPr>
          </w:p>
        </w:tc>
      </w:tr>
      <w:tr w14:paraId="03B2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59" w:type="dxa"/>
            <w:noWrap w:val="0"/>
            <w:vAlign w:val="center"/>
          </w:tcPr>
          <w:p w14:paraId="685BB239">
            <w:pPr>
              <w:spacing w:line="320" w:lineRule="exact"/>
              <w:jc w:val="center"/>
              <w:rPr>
                <w:rFonts w:ascii="宋体" w:hAnsi="宋体"/>
                <w:b/>
                <w:color w:val="auto"/>
                <w:sz w:val="24"/>
                <w:szCs w:val="24"/>
                <w:highlight w:val="none"/>
              </w:rPr>
            </w:pPr>
          </w:p>
        </w:tc>
        <w:tc>
          <w:tcPr>
            <w:tcW w:w="2117" w:type="dxa"/>
            <w:gridSpan w:val="3"/>
            <w:noWrap w:val="0"/>
            <w:vAlign w:val="center"/>
          </w:tcPr>
          <w:p w14:paraId="3607B0F7">
            <w:pPr>
              <w:spacing w:line="320" w:lineRule="exact"/>
              <w:jc w:val="center"/>
              <w:rPr>
                <w:rFonts w:ascii="宋体" w:hAnsi="宋体"/>
                <w:b/>
                <w:color w:val="auto"/>
                <w:sz w:val="24"/>
                <w:szCs w:val="24"/>
                <w:highlight w:val="none"/>
              </w:rPr>
            </w:pPr>
          </w:p>
        </w:tc>
        <w:tc>
          <w:tcPr>
            <w:tcW w:w="1169" w:type="dxa"/>
            <w:gridSpan w:val="2"/>
            <w:noWrap w:val="0"/>
            <w:vAlign w:val="center"/>
          </w:tcPr>
          <w:p w14:paraId="41B0B668">
            <w:pPr>
              <w:spacing w:line="320" w:lineRule="exact"/>
              <w:jc w:val="center"/>
              <w:rPr>
                <w:rFonts w:ascii="宋体" w:hAnsi="宋体"/>
                <w:b/>
                <w:color w:val="auto"/>
                <w:sz w:val="24"/>
                <w:szCs w:val="24"/>
                <w:highlight w:val="none"/>
              </w:rPr>
            </w:pPr>
          </w:p>
        </w:tc>
        <w:tc>
          <w:tcPr>
            <w:tcW w:w="1392" w:type="dxa"/>
            <w:noWrap w:val="0"/>
            <w:vAlign w:val="center"/>
          </w:tcPr>
          <w:p w14:paraId="51601D0C">
            <w:pPr>
              <w:spacing w:line="320" w:lineRule="exact"/>
              <w:jc w:val="center"/>
              <w:rPr>
                <w:rFonts w:ascii="宋体" w:hAnsi="宋体"/>
                <w:b/>
                <w:color w:val="auto"/>
                <w:sz w:val="24"/>
                <w:szCs w:val="24"/>
                <w:highlight w:val="none"/>
              </w:rPr>
            </w:pPr>
          </w:p>
        </w:tc>
        <w:tc>
          <w:tcPr>
            <w:tcW w:w="3119" w:type="dxa"/>
            <w:gridSpan w:val="2"/>
            <w:noWrap w:val="0"/>
            <w:vAlign w:val="center"/>
          </w:tcPr>
          <w:p w14:paraId="7CE26FDF">
            <w:pPr>
              <w:spacing w:line="320" w:lineRule="exact"/>
              <w:jc w:val="center"/>
              <w:rPr>
                <w:rFonts w:ascii="宋体" w:hAnsi="宋体"/>
                <w:b/>
                <w:color w:val="auto"/>
                <w:sz w:val="24"/>
                <w:szCs w:val="24"/>
                <w:highlight w:val="none"/>
              </w:rPr>
            </w:pPr>
          </w:p>
        </w:tc>
      </w:tr>
      <w:tr w14:paraId="67D3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59" w:type="dxa"/>
            <w:noWrap w:val="0"/>
            <w:vAlign w:val="center"/>
          </w:tcPr>
          <w:p w14:paraId="3A39E78B">
            <w:pPr>
              <w:spacing w:line="320" w:lineRule="exact"/>
              <w:jc w:val="center"/>
              <w:rPr>
                <w:rFonts w:ascii="宋体" w:hAnsi="宋体"/>
                <w:b/>
                <w:color w:val="auto"/>
                <w:sz w:val="24"/>
                <w:szCs w:val="24"/>
                <w:highlight w:val="none"/>
              </w:rPr>
            </w:pPr>
          </w:p>
        </w:tc>
        <w:tc>
          <w:tcPr>
            <w:tcW w:w="2117" w:type="dxa"/>
            <w:gridSpan w:val="3"/>
            <w:noWrap w:val="0"/>
            <w:vAlign w:val="center"/>
          </w:tcPr>
          <w:p w14:paraId="0B498BC8">
            <w:pPr>
              <w:spacing w:line="320" w:lineRule="exact"/>
              <w:jc w:val="center"/>
              <w:rPr>
                <w:rFonts w:ascii="宋体" w:hAnsi="宋体"/>
                <w:b/>
                <w:color w:val="auto"/>
                <w:sz w:val="24"/>
                <w:szCs w:val="24"/>
                <w:highlight w:val="none"/>
              </w:rPr>
            </w:pPr>
          </w:p>
        </w:tc>
        <w:tc>
          <w:tcPr>
            <w:tcW w:w="1169" w:type="dxa"/>
            <w:gridSpan w:val="2"/>
            <w:noWrap w:val="0"/>
            <w:vAlign w:val="center"/>
          </w:tcPr>
          <w:p w14:paraId="4CB37E87">
            <w:pPr>
              <w:spacing w:line="320" w:lineRule="exact"/>
              <w:jc w:val="center"/>
              <w:rPr>
                <w:rFonts w:ascii="宋体" w:hAnsi="宋体"/>
                <w:b/>
                <w:color w:val="auto"/>
                <w:sz w:val="24"/>
                <w:szCs w:val="24"/>
                <w:highlight w:val="none"/>
              </w:rPr>
            </w:pPr>
          </w:p>
        </w:tc>
        <w:tc>
          <w:tcPr>
            <w:tcW w:w="1392" w:type="dxa"/>
            <w:noWrap w:val="0"/>
            <w:vAlign w:val="center"/>
          </w:tcPr>
          <w:p w14:paraId="388018C6">
            <w:pPr>
              <w:spacing w:line="320" w:lineRule="exact"/>
              <w:jc w:val="center"/>
              <w:rPr>
                <w:rFonts w:ascii="宋体" w:hAnsi="宋体"/>
                <w:b/>
                <w:color w:val="auto"/>
                <w:sz w:val="24"/>
                <w:szCs w:val="24"/>
                <w:highlight w:val="none"/>
              </w:rPr>
            </w:pPr>
          </w:p>
        </w:tc>
        <w:tc>
          <w:tcPr>
            <w:tcW w:w="3119" w:type="dxa"/>
            <w:gridSpan w:val="2"/>
            <w:noWrap w:val="0"/>
            <w:vAlign w:val="center"/>
          </w:tcPr>
          <w:p w14:paraId="2D8A98E3">
            <w:pPr>
              <w:spacing w:line="320" w:lineRule="exact"/>
              <w:jc w:val="center"/>
              <w:rPr>
                <w:rFonts w:ascii="宋体" w:hAnsi="宋体"/>
                <w:b/>
                <w:color w:val="auto"/>
                <w:sz w:val="24"/>
                <w:szCs w:val="24"/>
                <w:highlight w:val="none"/>
              </w:rPr>
            </w:pPr>
          </w:p>
        </w:tc>
      </w:tr>
      <w:tr w14:paraId="2618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59" w:type="dxa"/>
            <w:noWrap w:val="0"/>
            <w:vAlign w:val="center"/>
          </w:tcPr>
          <w:p w14:paraId="6B9AFC45">
            <w:pPr>
              <w:spacing w:line="320" w:lineRule="exact"/>
              <w:jc w:val="center"/>
              <w:rPr>
                <w:rFonts w:ascii="宋体" w:hAnsi="宋体"/>
                <w:b/>
                <w:color w:val="auto"/>
                <w:sz w:val="24"/>
                <w:szCs w:val="24"/>
                <w:highlight w:val="none"/>
              </w:rPr>
            </w:pPr>
          </w:p>
        </w:tc>
        <w:tc>
          <w:tcPr>
            <w:tcW w:w="2117" w:type="dxa"/>
            <w:gridSpan w:val="3"/>
            <w:noWrap w:val="0"/>
            <w:vAlign w:val="center"/>
          </w:tcPr>
          <w:p w14:paraId="2D81425D">
            <w:pPr>
              <w:spacing w:line="320" w:lineRule="exact"/>
              <w:jc w:val="center"/>
              <w:rPr>
                <w:rFonts w:ascii="宋体" w:hAnsi="宋体"/>
                <w:b/>
                <w:color w:val="auto"/>
                <w:sz w:val="24"/>
                <w:szCs w:val="24"/>
                <w:highlight w:val="none"/>
              </w:rPr>
            </w:pPr>
          </w:p>
        </w:tc>
        <w:tc>
          <w:tcPr>
            <w:tcW w:w="1169" w:type="dxa"/>
            <w:gridSpan w:val="2"/>
            <w:noWrap w:val="0"/>
            <w:vAlign w:val="center"/>
          </w:tcPr>
          <w:p w14:paraId="02DED2B9">
            <w:pPr>
              <w:spacing w:line="320" w:lineRule="exact"/>
              <w:jc w:val="center"/>
              <w:rPr>
                <w:rFonts w:ascii="宋体" w:hAnsi="宋体"/>
                <w:b/>
                <w:color w:val="auto"/>
                <w:sz w:val="24"/>
                <w:szCs w:val="24"/>
                <w:highlight w:val="none"/>
              </w:rPr>
            </w:pPr>
          </w:p>
        </w:tc>
        <w:tc>
          <w:tcPr>
            <w:tcW w:w="1392" w:type="dxa"/>
            <w:noWrap w:val="0"/>
            <w:vAlign w:val="center"/>
          </w:tcPr>
          <w:p w14:paraId="23289A8A">
            <w:pPr>
              <w:spacing w:line="320" w:lineRule="exact"/>
              <w:jc w:val="center"/>
              <w:rPr>
                <w:rFonts w:ascii="宋体" w:hAnsi="宋体"/>
                <w:b/>
                <w:color w:val="auto"/>
                <w:sz w:val="24"/>
                <w:szCs w:val="24"/>
                <w:highlight w:val="none"/>
              </w:rPr>
            </w:pPr>
          </w:p>
        </w:tc>
        <w:tc>
          <w:tcPr>
            <w:tcW w:w="3119" w:type="dxa"/>
            <w:gridSpan w:val="2"/>
            <w:noWrap w:val="0"/>
            <w:vAlign w:val="center"/>
          </w:tcPr>
          <w:p w14:paraId="5CB5178D">
            <w:pPr>
              <w:spacing w:line="320" w:lineRule="exact"/>
              <w:jc w:val="center"/>
              <w:rPr>
                <w:rFonts w:ascii="宋体" w:hAnsi="宋体"/>
                <w:b/>
                <w:color w:val="auto"/>
                <w:sz w:val="24"/>
                <w:szCs w:val="24"/>
                <w:highlight w:val="none"/>
              </w:rPr>
            </w:pPr>
          </w:p>
        </w:tc>
      </w:tr>
      <w:tr w14:paraId="202D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59" w:type="dxa"/>
            <w:noWrap w:val="0"/>
            <w:vAlign w:val="center"/>
          </w:tcPr>
          <w:p w14:paraId="569E3526">
            <w:pPr>
              <w:spacing w:line="320" w:lineRule="exact"/>
              <w:jc w:val="center"/>
              <w:rPr>
                <w:rFonts w:ascii="宋体" w:hAnsi="宋体"/>
                <w:b/>
                <w:color w:val="auto"/>
                <w:sz w:val="24"/>
                <w:szCs w:val="24"/>
                <w:highlight w:val="none"/>
              </w:rPr>
            </w:pPr>
          </w:p>
        </w:tc>
        <w:tc>
          <w:tcPr>
            <w:tcW w:w="2117" w:type="dxa"/>
            <w:gridSpan w:val="3"/>
            <w:noWrap w:val="0"/>
            <w:vAlign w:val="center"/>
          </w:tcPr>
          <w:p w14:paraId="2C9AA752">
            <w:pPr>
              <w:spacing w:line="320" w:lineRule="exact"/>
              <w:jc w:val="center"/>
              <w:rPr>
                <w:rFonts w:ascii="宋体" w:hAnsi="宋体"/>
                <w:b/>
                <w:color w:val="auto"/>
                <w:sz w:val="24"/>
                <w:szCs w:val="24"/>
                <w:highlight w:val="none"/>
              </w:rPr>
            </w:pPr>
          </w:p>
        </w:tc>
        <w:tc>
          <w:tcPr>
            <w:tcW w:w="1169" w:type="dxa"/>
            <w:gridSpan w:val="2"/>
            <w:noWrap w:val="0"/>
            <w:vAlign w:val="center"/>
          </w:tcPr>
          <w:p w14:paraId="1CAEE384">
            <w:pPr>
              <w:spacing w:line="320" w:lineRule="exact"/>
              <w:jc w:val="center"/>
              <w:rPr>
                <w:rFonts w:ascii="宋体" w:hAnsi="宋体"/>
                <w:b/>
                <w:color w:val="auto"/>
                <w:sz w:val="24"/>
                <w:szCs w:val="24"/>
                <w:highlight w:val="none"/>
              </w:rPr>
            </w:pPr>
          </w:p>
        </w:tc>
        <w:tc>
          <w:tcPr>
            <w:tcW w:w="1392" w:type="dxa"/>
            <w:noWrap w:val="0"/>
            <w:vAlign w:val="center"/>
          </w:tcPr>
          <w:p w14:paraId="3DD5708F">
            <w:pPr>
              <w:spacing w:line="320" w:lineRule="exact"/>
              <w:jc w:val="center"/>
              <w:rPr>
                <w:rFonts w:ascii="宋体" w:hAnsi="宋体"/>
                <w:b/>
                <w:color w:val="auto"/>
                <w:sz w:val="24"/>
                <w:szCs w:val="24"/>
                <w:highlight w:val="none"/>
              </w:rPr>
            </w:pPr>
          </w:p>
        </w:tc>
        <w:tc>
          <w:tcPr>
            <w:tcW w:w="3119" w:type="dxa"/>
            <w:gridSpan w:val="2"/>
            <w:noWrap w:val="0"/>
            <w:vAlign w:val="center"/>
          </w:tcPr>
          <w:p w14:paraId="5FD8B7F4">
            <w:pPr>
              <w:spacing w:line="320" w:lineRule="exact"/>
              <w:jc w:val="center"/>
              <w:rPr>
                <w:rFonts w:ascii="宋体" w:hAnsi="宋体"/>
                <w:b/>
                <w:color w:val="auto"/>
                <w:sz w:val="24"/>
                <w:szCs w:val="24"/>
                <w:highlight w:val="none"/>
              </w:rPr>
            </w:pPr>
          </w:p>
        </w:tc>
      </w:tr>
    </w:tbl>
    <w:p w14:paraId="1430F3AD">
      <w:pPr>
        <w:ind w:firstLine="241" w:firstLineChars="100"/>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根据招标文件要求，表后附项目负责人相关证书及资料</w:t>
      </w:r>
    </w:p>
    <w:p w14:paraId="615D306A">
      <w:pPr>
        <w:pStyle w:val="18"/>
        <w:rPr>
          <w:rFonts w:hint="eastAsia"/>
          <w:color w:val="auto"/>
          <w:highlight w:val="none"/>
        </w:rPr>
      </w:pPr>
    </w:p>
    <w:p w14:paraId="50D8C8FB">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投标人（盖章）：         </w:t>
      </w:r>
    </w:p>
    <w:p w14:paraId="0DCE35FE">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法定代表人或其授权委托人（签名或印章）：        </w:t>
      </w:r>
    </w:p>
    <w:p w14:paraId="65F64710">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日  期：        </w:t>
      </w:r>
    </w:p>
    <w:p w14:paraId="5995AFD7">
      <w:pPr>
        <w:spacing w:line="400" w:lineRule="exact"/>
        <w:rPr>
          <w:rFonts w:ascii="宋体" w:hAnsi="宋体"/>
          <w:b/>
          <w:color w:val="auto"/>
          <w:sz w:val="24"/>
          <w:szCs w:val="24"/>
          <w:highlight w:val="none"/>
        </w:rPr>
      </w:pPr>
      <w:r>
        <w:rPr>
          <w:rFonts w:ascii="宋体" w:hAnsi="宋体"/>
          <w:b/>
          <w:color w:val="auto"/>
          <w:highlight w:val="none"/>
        </w:rPr>
        <w:br w:type="page"/>
      </w:r>
      <w:r>
        <w:rPr>
          <w:rFonts w:hint="eastAsia" w:ascii="宋体" w:hAnsi="宋体"/>
          <w:b/>
          <w:color w:val="auto"/>
          <w:sz w:val="24"/>
          <w:szCs w:val="24"/>
          <w:highlight w:val="none"/>
        </w:rPr>
        <w:t>B10、本项目服务人员配置表</w:t>
      </w:r>
    </w:p>
    <w:p w14:paraId="6A69A94C">
      <w:pPr>
        <w:spacing w:line="440" w:lineRule="exact"/>
        <w:jc w:val="center"/>
        <w:rPr>
          <w:rFonts w:ascii="宋体" w:hAnsi="宋体"/>
          <w:b/>
          <w:color w:val="auto"/>
          <w:sz w:val="28"/>
          <w:szCs w:val="24"/>
          <w:highlight w:val="none"/>
        </w:rPr>
      </w:pPr>
    </w:p>
    <w:p w14:paraId="6E5760B1">
      <w:pPr>
        <w:spacing w:line="440" w:lineRule="exact"/>
        <w:jc w:val="center"/>
        <w:rPr>
          <w:rFonts w:hint="eastAsia" w:ascii="宋体" w:hAnsi="宋体"/>
          <w:b/>
          <w:color w:val="auto"/>
          <w:sz w:val="28"/>
          <w:szCs w:val="24"/>
          <w:highlight w:val="none"/>
        </w:rPr>
      </w:pPr>
      <w:r>
        <w:rPr>
          <w:rFonts w:hint="eastAsia" w:ascii="宋体" w:hAnsi="宋体"/>
          <w:b/>
          <w:color w:val="auto"/>
          <w:sz w:val="28"/>
          <w:szCs w:val="24"/>
          <w:highlight w:val="none"/>
        </w:rPr>
        <w:t>本项目服务人员配置表</w:t>
      </w:r>
    </w:p>
    <w:tbl>
      <w:tblPr>
        <w:tblStyle w:val="48"/>
        <w:tblW w:w="9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784"/>
        <w:gridCol w:w="1574"/>
        <w:gridCol w:w="1574"/>
        <w:gridCol w:w="1574"/>
        <w:gridCol w:w="1267"/>
      </w:tblGrid>
      <w:tr w14:paraId="5A78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05" w:type="dxa"/>
            <w:noWrap w:val="0"/>
            <w:vAlign w:val="center"/>
          </w:tcPr>
          <w:p w14:paraId="721946D7">
            <w:pPr>
              <w:spacing w:line="36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序号</w:t>
            </w:r>
          </w:p>
        </w:tc>
        <w:tc>
          <w:tcPr>
            <w:tcW w:w="2784" w:type="dxa"/>
            <w:noWrap w:val="0"/>
            <w:vAlign w:val="center"/>
          </w:tcPr>
          <w:p w14:paraId="66B6D828">
            <w:pPr>
              <w:spacing w:line="36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岗位名称</w:t>
            </w:r>
          </w:p>
        </w:tc>
        <w:tc>
          <w:tcPr>
            <w:tcW w:w="1574" w:type="dxa"/>
            <w:noWrap w:val="0"/>
            <w:vAlign w:val="center"/>
          </w:tcPr>
          <w:p w14:paraId="4A554EF4">
            <w:pPr>
              <w:spacing w:line="36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数量</w:t>
            </w:r>
          </w:p>
        </w:tc>
        <w:tc>
          <w:tcPr>
            <w:tcW w:w="1574" w:type="dxa"/>
            <w:noWrap w:val="0"/>
            <w:vAlign w:val="center"/>
          </w:tcPr>
          <w:p w14:paraId="35D0D2E0">
            <w:pPr>
              <w:spacing w:line="36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性别</w:t>
            </w:r>
          </w:p>
        </w:tc>
        <w:tc>
          <w:tcPr>
            <w:tcW w:w="1574" w:type="dxa"/>
            <w:noWrap w:val="0"/>
            <w:vAlign w:val="center"/>
          </w:tcPr>
          <w:p w14:paraId="5C822240">
            <w:pPr>
              <w:spacing w:line="36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年龄</w:t>
            </w:r>
          </w:p>
        </w:tc>
        <w:tc>
          <w:tcPr>
            <w:tcW w:w="1267" w:type="dxa"/>
            <w:noWrap w:val="0"/>
            <w:vAlign w:val="center"/>
          </w:tcPr>
          <w:p w14:paraId="4000AFD4">
            <w:pPr>
              <w:spacing w:line="36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备注</w:t>
            </w:r>
          </w:p>
        </w:tc>
      </w:tr>
      <w:tr w14:paraId="2022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05" w:type="dxa"/>
            <w:noWrap w:val="0"/>
            <w:vAlign w:val="center"/>
          </w:tcPr>
          <w:p w14:paraId="22BEFB75">
            <w:pPr>
              <w:spacing w:line="360" w:lineRule="exact"/>
              <w:jc w:val="center"/>
              <w:rPr>
                <w:rFonts w:hint="eastAsia" w:ascii="宋体" w:hAnsi="宋体"/>
                <w:bCs/>
                <w:color w:val="auto"/>
                <w:sz w:val="24"/>
                <w:szCs w:val="24"/>
                <w:highlight w:val="none"/>
              </w:rPr>
            </w:pPr>
          </w:p>
        </w:tc>
        <w:tc>
          <w:tcPr>
            <w:tcW w:w="2784" w:type="dxa"/>
            <w:noWrap w:val="0"/>
            <w:vAlign w:val="center"/>
          </w:tcPr>
          <w:p w14:paraId="1A4B5976">
            <w:pPr>
              <w:spacing w:line="360" w:lineRule="exact"/>
              <w:jc w:val="center"/>
              <w:rPr>
                <w:rFonts w:hint="eastAsia" w:ascii="宋体" w:hAnsi="宋体"/>
                <w:bCs/>
                <w:color w:val="auto"/>
                <w:sz w:val="24"/>
                <w:szCs w:val="24"/>
                <w:highlight w:val="none"/>
              </w:rPr>
            </w:pPr>
          </w:p>
        </w:tc>
        <w:tc>
          <w:tcPr>
            <w:tcW w:w="1574" w:type="dxa"/>
            <w:noWrap w:val="0"/>
            <w:vAlign w:val="center"/>
          </w:tcPr>
          <w:p w14:paraId="15B5350D">
            <w:pPr>
              <w:spacing w:line="360" w:lineRule="exact"/>
              <w:jc w:val="center"/>
              <w:rPr>
                <w:rFonts w:hint="eastAsia" w:ascii="宋体" w:hAnsi="宋体"/>
                <w:bCs/>
                <w:color w:val="auto"/>
                <w:sz w:val="24"/>
                <w:szCs w:val="24"/>
                <w:highlight w:val="none"/>
              </w:rPr>
            </w:pPr>
          </w:p>
        </w:tc>
        <w:tc>
          <w:tcPr>
            <w:tcW w:w="1574" w:type="dxa"/>
            <w:noWrap w:val="0"/>
            <w:vAlign w:val="center"/>
          </w:tcPr>
          <w:p w14:paraId="592F8DC2">
            <w:pPr>
              <w:spacing w:line="360" w:lineRule="exact"/>
              <w:jc w:val="center"/>
              <w:rPr>
                <w:rFonts w:hint="eastAsia" w:ascii="宋体" w:hAnsi="宋体"/>
                <w:bCs/>
                <w:color w:val="auto"/>
                <w:sz w:val="24"/>
                <w:szCs w:val="24"/>
                <w:highlight w:val="none"/>
              </w:rPr>
            </w:pPr>
          </w:p>
        </w:tc>
        <w:tc>
          <w:tcPr>
            <w:tcW w:w="1574" w:type="dxa"/>
            <w:noWrap w:val="0"/>
            <w:vAlign w:val="center"/>
          </w:tcPr>
          <w:p w14:paraId="381656A6">
            <w:pPr>
              <w:spacing w:line="360" w:lineRule="exact"/>
              <w:jc w:val="center"/>
              <w:rPr>
                <w:rFonts w:hint="eastAsia" w:ascii="宋体" w:hAnsi="宋体"/>
                <w:bCs/>
                <w:color w:val="auto"/>
                <w:sz w:val="24"/>
                <w:szCs w:val="24"/>
                <w:highlight w:val="none"/>
              </w:rPr>
            </w:pPr>
          </w:p>
        </w:tc>
        <w:tc>
          <w:tcPr>
            <w:tcW w:w="1267" w:type="dxa"/>
            <w:noWrap w:val="0"/>
            <w:vAlign w:val="center"/>
          </w:tcPr>
          <w:p w14:paraId="2EB97EB0">
            <w:pPr>
              <w:spacing w:line="360" w:lineRule="exact"/>
              <w:jc w:val="center"/>
              <w:rPr>
                <w:rFonts w:hint="eastAsia" w:ascii="宋体" w:hAnsi="宋体"/>
                <w:bCs/>
                <w:color w:val="auto"/>
                <w:sz w:val="24"/>
                <w:szCs w:val="24"/>
                <w:highlight w:val="none"/>
              </w:rPr>
            </w:pPr>
          </w:p>
        </w:tc>
      </w:tr>
      <w:tr w14:paraId="5C39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05" w:type="dxa"/>
            <w:noWrap w:val="0"/>
            <w:vAlign w:val="center"/>
          </w:tcPr>
          <w:p w14:paraId="2471DB81">
            <w:pPr>
              <w:spacing w:line="360" w:lineRule="exact"/>
              <w:jc w:val="center"/>
              <w:rPr>
                <w:rFonts w:hint="eastAsia" w:ascii="宋体" w:hAnsi="宋体"/>
                <w:bCs/>
                <w:color w:val="auto"/>
                <w:sz w:val="24"/>
                <w:szCs w:val="24"/>
                <w:highlight w:val="none"/>
              </w:rPr>
            </w:pPr>
          </w:p>
        </w:tc>
        <w:tc>
          <w:tcPr>
            <w:tcW w:w="2784" w:type="dxa"/>
            <w:noWrap w:val="0"/>
            <w:vAlign w:val="center"/>
          </w:tcPr>
          <w:p w14:paraId="3930D47B">
            <w:pPr>
              <w:spacing w:line="360" w:lineRule="exact"/>
              <w:jc w:val="center"/>
              <w:rPr>
                <w:rFonts w:hint="eastAsia" w:ascii="宋体" w:hAnsi="宋体"/>
                <w:bCs/>
                <w:color w:val="auto"/>
                <w:sz w:val="24"/>
                <w:szCs w:val="24"/>
                <w:highlight w:val="none"/>
              </w:rPr>
            </w:pPr>
          </w:p>
        </w:tc>
        <w:tc>
          <w:tcPr>
            <w:tcW w:w="1574" w:type="dxa"/>
            <w:noWrap w:val="0"/>
            <w:vAlign w:val="center"/>
          </w:tcPr>
          <w:p w14:paraId="5AC96ABD">
            <w:pPr>
              <w:spacing w:line="360" w:lineRule="exact"/>
              <w:jc w:val="center"/>
              <w:rPr>
                <w:rFonts w:hint="eastAsia" w:ascii="宋体" w:hAnsi="宋体"/>
                <w:bCs/>
                <w:color w:val="auto"/>
                <w:sz w:val="24"/>
                <w:szCs w:val="24"/>
                <w:highlight w:val="none"/>
              </w:rPr>
            </w:pPr>
          </w:p>
        </w:tc>
        <w:tc>
          <w:tcPr>
            <w:tcW w:w="1574" w:type="dxa"/>
            <w:noWrap w:val="0"/>
            <w:vAlign w:val="center"/>
          </w:tcPr>
          <w:p w14:paraId="54AD9AEF">
            <w:pPr>
              <w:spacing w:line="360" w:lineRule="exact"/>
              <w:jc w:val="center"/>
              <w:rPr>
                <w:rFonts w:hint="eastAsia" w:ascii="宋体" w:hAnsi="宋体"/>
                <w:bCs/>
                <w:color w:val="auto"/>
                <w:sz w:val="24"/>
                <w:szCs w:val="24"/>
                <w:highlight w:val="none"/>
              </w:rPr>
            </w:pPr>
          </w:p>
        </w:tc>
        <w:tc>
          <w:tcPr>
            <w:tcW w:w="1574" w:type="dxa"/>
            <w:noWrap w:val="0"/>
            <w:vAlign w:val="center"/>
          </w:tcPr>
          <w:p w14:paraId="0177C116">
            <w:pPr>
              <w:spacing w:line="360" w:lineRule="exact"/>
              <w:jc w:val="center"/>
              <w:rPr>
                <w:rFonts w:hint="eastAsia" w:ascii="宋体" w:hAnsi="宋体"/>
                <w:bCs/>
                <w:color w:val="auto"/>
                <w:sz w:val="24"/>
                <w:szCs w:val="24"/>
                <w:highlight w:val="none"/>
              </w:rPr>
            </w:pPr>
          </w:p>
        </w:tc>
        <w:tc>
          <w:tcPr>
            <w:tcW w:w="1267" w:type="dxa"/>
            <w:noWrap w:val="0"/>
            <w:vAlign w:val="center"/>
          </w:tcPr>
          <w:p w14:paraId="195242DB">
            <w:pPr>
              <w:spacing w:line="360" w:lineRule="exact"/>
              <w:jc w:val="center"/>
              <w:rPr>
                <w:rFonts w:hint="eastAsia" w:ascii="宋体" w:hAnsi="宋体"/>
                <w:bCs/>
                <w:color w:val="auto"/>
                <w:sz w:val="24"/>
                <w:szCs w:val="24"/>
                <w:highlight w:val="none"/>
              </w:rPr>
            </w:pPr>
          </w:p>
        </w:tc>
      </w:tr>
      <w:tr w14:paraId="36DE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05" w:type="dxa"/>
            <w:noWrap w:val="0"/>
            <w:vAlign w:val="center"/>
          </w:tcPr>
          <w:p w14:paraId="37762070">
            <w:pPr>
              <w:spacing w:line="360" w:lineRule="exact"/>
              <w:jc w:val="center"/>
              <w:rPr>
                <w:rFonts w:hint="eastAsia" w:ascii="宋体" w:hAnsi="宋体"/>
                <w:bCs/>
                <w:color w:val="auto"/>
                <w:sz w:val="24"/>
                <w:szCs w:val="24"/>
                <w:highlight w:val="none"/>
              </w:rPr>
            </w:pPr>
          </w:p>
        </w:tc>
        <w:tc>
          <w:tcPr>
            <w:tcW w:w="2784" w:type="dxa"/>
            <w:noWrap w:val="0"/>
            <w:vAlign w:val="center"/>
          </w:tcPr>
          <w:p w14:paraId="2F8031D0">
            <w:pPr>
              <w:spacing w:line="360" w:lineRule="exact"/>
              <w:jc w:val="center"/>
              <w:rPr>
                <w:rFonts w:hint="eastAsia" w:ascii="宋体" w:hAnsi="宋体"/>
                <w:bCs/>
                <w:color w:val="auto"/>
                <w:sz w:val="24"/>
                <w:szCs w:val="24"/>
                <w:highlight w:val="none"/>
              </w:rPr>
            </w:pPr>
          </w:p>
        </w:tc>
        <w:tc>
          <w:tcPr>
            <w:tcW w:w="1574" w:type="dxa"/>
            <w:noWrap w:val="0"/>
            <w:vAlign w:val="center"/>
          </w:tcPr>
          <w:p w14:paraId="1914F377">
            <w:pPr>
              <w:spacing w:line="360" w:lineRule="exact"/>
              <w:jc w:val="center"/>
              <w:rPr>
                <w:rFonts w:hint="eastAsia" w:ascii="宋体" w:hAnsi="宋体"/>
                <w:bCs/>
                <w:color w:val="auto"/>
                <w:sz w:val="24"/>
                <w:szCs w:val="24"/>
                <w:highlight w:val="none"/>
              </w:rPr>
            </w:pPr>
          </w:p>
        </w:tc>
        <w:tc>
          <w:tcPr>
            <w:tcW w:w="1574" w:type="dxa"/>
            <w:noWrap w:val="0"/>
            <w:vAlign w:val="center"/>
          </w:tcPr>
          <w:p w14:paraId="3FE09A17">
            <w:pPr>
              <w:spacing w:line="360" w:lineRule="exact"/>
              <w:jc w:val="center"/>
              <w:rPr>
                <w:rFonts w:hint="eastAsia" w:ascii="宋体" w:hAnsi="宋体"/>
                <w:bCs/>
                <w:color w:val="auto"/>
                <w:sz w:val="24"/>
                <w:szCs w:val="24"/>
                <w:highlight w:val="none"/>
              </w:rPr>
            </w:pPr>
          </w:p>
        </w:tc>
        <w:tc>
          <w:tcPr>
            <w:tcW w:w="1574" w:type="dxa"/>
            <w:noWrap w:val="0"/>
            <w:vAlign w:val="center"/>
          </w:tcPr>
          <w:p w14:paraId="49205CCC">
            <w:pPr>
              <w:spacing w:line="360" w:lineRule="exact"/>
              <w:jc w:val="center"/>
              <w:rPr>
                <w:rFonts w:hint="eastAsia" w:ascii="宋体" w:hAnsi="宋体"/>
                <w:bCs/>
                <w:color w:val="auto"/>
                <w:sz w:val="24"/>
                <w:szCs w:val="24"/>
                <w:highlight w:val="none"/>
              </w:rPr>
            </w:pPr>
          </w:p>
        </w:tc>
        <w:tc>
          <w:tcPr>
            <w:tcW w:w="1267" w:type="dxa"/>
            <w:noWrap w:val="0"/>
            <w:vAlign w:val="center"/>
          </w:tcPr>
          <w:p w14:paraId="60C6E51F">
            <w:pPr>
              <w:spacing w:line="360" w:lineRule="exact"/>
              <w:jc w:val="center"/>
              <w:rPr>
                <w:rFonts w:hint="eastAsia" w:ascii="宋体" w:hAnsi="宋体"/>
                <w:bCs/>
                <w:color w:val="auto"/>
                <w:sz w:val="24"/>
                <w:szCs w:val="24"/>
                <w:highlight w:val="none"/>
              </w:rPr>
            </w:pPr>
          </w:p>
        </w:tc>
      </w:tr>
      <w:tr w14:paraId="7505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05" w:type="dxa"/>
            <w:noWrap w:val="0"/>
            <w:vAlign w:val="center"/>
          </w:tcPr>
          <w:p w14:paraId="79905148">
            <w:pPr>
              <w:spacing w:line="360" w:lineRule="exact"/>
              <w:jc w:val="center"/>
              <w:rPr>
                <w:rFonts w:hint="eastAsia" w:ascii="宋体" w:hAnsi="宋体"/>
                <w:bCs/>
                <w:color w:val="auto"/>
                <w:sz w:val="24"/>
                <w:szCs w:val="24"/>
                <w:highlight w:val="none"/>
              </w:rPr>
            </w:pPr>
          </w:p>
        </w:tc>
        <w:tc>
          <w:tcPr>
            <w:tcW w:w="2784" w:type="dxa"/>
            <w:noWrap w:val="0"/>
            <w:vAlign w:val="center"/>
          </w:tcPr>
          <w:p w14:paraId="01E5B8FE">
            <w:pPr>
              <w:spacing w:line="360" w:lineRule="exact"/>
              <w:jc w:val="center"/>
              <w:rPr>
                <w:rFonts w:hint="eastAsia" w:ascii="宋体" w:hAnsi="宋体"/>
                <w:bCs/>
                <w:color w:val="auto"/>
                <w:sz w:val="24"/>
                <w:szCs w:val="24"/>
                <w:highlight w:val="none"/>
              </w:rPr>
            </w:pPr>
          </w:p>
        </w:tc>
        <w:tc>
          <w:tcPr>
            <w:tcW w:w="1574" w:type="dxa"/>
            <w:noWrap w:val="0"/>
            <w:vAlign w:val="center"/>
          </w:tcPr>
          <w:p w14:paraId="4A4C2F8C">
            <w:pPr>
              <w:spacing w:line="360" w:lineRule="exact"/>
              <w:jc w:val="center"/>
              <w:rPr>
                <w:rFonts w:hint="eastAsia" w:ascii="宋体" w:hAnsi="宋体"/>
                <w:bCs/>
                <w:color w:val="auto"/>
                <w:sz w:val="24"/>
                <w:szCs w:val="24"/>
                <w:highlight w:val="none"/>
              </w:rPr>
            </w:pPr>
          </w:p>
        </w:tc>
        <w:tc>
          <w:tcPr>
            <w:tcW w:w="1574" w:type="dxa"/>
            <w:noWrap w:val="0"/>
            <w:vAlign w:val="center"/>
          </w:tcPr>
          <w:p w14:paraId="11C359B7">
            <w:pPr>
              <w:spacing w:line="360" w:lineRule="exact"/>
              <w:jc w:val="center"/>
              <w:rPr>
                <w:rFonts w:hint="eastAsia" w:ascii="宋体" w:hAnsi="宋体"/>
                <w:bCs/>
                <w:color w:val="auto"/>
                <w:sz w:val="24"/>
                <w:szCs w:val="24"/>
                <w:highlight w:val="none"/>
              </w:rPr>
            </w:pPr>
          </w:p>
        </w:tc>
        <w:tc>
          <w:tcPr>
            <w:tcW w:w="1574" w:type="dxa"/>
            <w:noWrap w:val="0"/>
            <w:vAlign w:val="center"/>
          </w:tcPr>
          <w:p w14:paraId="0B5EA2D4">
            <w:pPr>
              <w:spacing w:line="360" w:lineRule="exact"/>
              <w:jc w:val="center"/>
              <w:rPr>
                <w:rFonts w:hint="eastAsia" w:ascii="宋体" w:hAnsi="宋体"/>
                <w:bCs/>
                <w:color w:val="auto"/>
                <w:sz w:val="24"/>
                <w:szCs w:val="24"/>
                <w:highlight w:val="none"/>
              </w:rPr>
            </w:pPr>
          </w:p>
        </w:tc>
        <w:tc>
          <w:tcPr>
            <w:tcW w:w="1267" w:type="dxa"/>
            <w:noWrap w:val="0"/>
            <w:vAlign w:val="center"/>
          </w:tcPr>
          <w:p w14:paraId="43BB0D40">
            <w:pPr>
              <w:spacing w:line="360" w:lineRule="exact"/>
              <w:jc w:val="center"/>
              <w:rPr>
                <w:rFonts w:hint="eastAsia" w:ascii="宋体" w:hAnsi="宋体"/>
                <w:bCs/>
                <w:color w:val="auto"/>
                <w:sz w:val="24"/>
                <w:szCs w:val="24"/>
                <w:highlight w:val="none"/>
              </w:rPr>
            </w:pPr>
          </w:p>
        </w:tc>
      </w:tr>
      <w:tr w14:paraId="4774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05" w:type="dxa"/>
            <w:noWrap w:val="0"/>
            <w:vAlign w:val="center"/>
          </w:tcPr>
          <w:p w14:paraId="0507B24F">
            <w:pPr>
              <w:spacing w:line="360" w:lineRule="exact"/>
              <w:jc w:val="center"/>
              <w:rPr>
                <w:rFonts w:hint="eastAsia" w:ascii="宋体" w:hAnsi="宋体"/>
                <w:bCs/>
                <w:color w:val="auto"/>
                <w:sz w:val="24"/>
                <w:szCs w:val="24"/>
                <w:highlight w:val="none"/>
              </w:rPr>
            </w:pPr>
          </w:p>
        </w:tc>
        <w:tc>
          <w:tcPr>
            <w:tcW w:w="2784" w:type="dxa"/>
            <w:noWrap w:val="0"/>
            <w:vAlign w:val="center"/>
          </w:tcPr>
          <w:p w14:paraId="577D2BCE">
            <w:pPr>
              <w:spacing w:line="360" w:lineRule="exact"/>
              <w:jc w:val="center"/>
              <w:rPr>
                <w:rFonts w:hint="eastAsia" w:ascii="宋体" w:hAnsi="宋体"/>
                <w:bCs/>
                <w:color w:val="auto"/>
                <w:sz w:val="24"/>
                <w:szCs w:val="24"/>
                <w:highlight w:val="none"/>
              </w:rPr>
            </w:pPr>
          </w:p>
        </w:tc>
        <w:tc>
          <w:tcPr>
            <w:tcW w:w="1574" w:type="dxa"/>
            <w:noWrap w:val="0"/>
            <w:vAlign w:val="center"/>
          </w:tcPr>
          <w:p w14:paraId="02E87121">
            <w:pPr>
              <w:spacing w:line="360" w:lineRule="exact"/>
              <w:jc w:val="center"/>
              <w:rPr>
                <w:rFonts w:hint="eastAsia" w:ascii="宋体" w:hAnsi="宋体"/>
                <w:bCs/>
                <w:color w:val="auto"/>
                <w:sz w:val="24"/>
                <w:szCs w:val="24"/>
                <w:highlight w:val="none"/>
              </w:rPr>
            </w:pPr>
          </w:p>
        </w:tc>
        <w:tc>
          <w:tcPr>
            <w:tcW w:w="1574" w:type="dxa"/>
            <w:noWrap w:val="0"/>
            <w:vAlign w:val="center"/>
          </w:tcPr>
          <w:p w14:paraId="12B0DF58">
            <w:pPr>
              <w:spacing w:line="360" w:lineRule="exact"/>
              <w:jc w:val="center"/>
              <w:rPr>
                <w:rFonts w:hint="eastAsia" w:ascii="宋体" w:hAnsi="宋体"/>
                <w:bCs/>
                <w:color w:val="auto"/>
                <w:sz w:val="24"/>
                <w:szCs w:val="24"/>
                <w:highlight w:val="none"/>
              </w:rPr>
            </w:pPr>
          </w:p>
        </w:tc>
        <w:tc>
          <w:tcPr>
            <w:tcW w:w="1574" w:type="dxa"/>
            <w:noWrap w:val="0"/>
            <w:vAlign w:val="center"/>
          </w:tcPr>
          <w:p w14:paraId="433BC415">
            <w:pPr>
              <w:spacing w:line="360" w:lineRule="exact"/>
              <w:jc w:val="center"/>
              <w:rPr>
                <w:rFonts w:hint="eastAsia" w:ascii="宋体" w:hAnsi="宋体"/>
                <w:bCs/>
                <w:color w:val="auto"/>
                <w:sz w:val="24"/>
                <w:szCs w:val="24"/>
                <w:highlight w:val="none"/>
              </w:rPr>
            </w:pPr>
          </w:p>
        </w:tc>
        <w:tc>
          <w:tcPr>
            <w:tcW w:w="1267" w:type="dxa"/>
            <w:noWrap w:val="0"/>
            <w:vAlign w:val="center"/>
          </w:tcPr>
          <w:p w14:paraId="443C9430">
            <w:pPr>
              <w:spacing w:line="360" w:lineRule="exact"/>
              <w:jc w:val="center"/>
              <w:rPr>
                <w:rFonts w:hint="eastAsia" w:ascii="宋体" w:hAnsi="宋体"/>
                <w:bCs/>
                <w:color w:val="auto"/>
                <w:sz w:val="24"/>
                <w:szCs w:val="24"/>
                <w:highlight w:val="none"/>
              </w:rPr>
            </w:pPr>
          </w:p>
        </w:tc>
      </w:tr>
      <w:tr w14:paraId="7450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05" w:type="dxa"/>
            <w:noWrap w:val="0"/>
            <w:vAlign w:val="center"/>
          </w:tcPr>
          <w:p w14:paraId="48621788">
            <w:pPr>
              <w:spacing w:line="360" w:lineRule="exact"/>
              <w:jc w:val="center"/>
              <w:rPr>
                <w:rFonts w:hint="eastAsia" w:ascii="宋体" w:hAnsi="宋体"/>
                <w:bCs/>
                <w:color w:val="auto"/>
                <w:sz w:val="24"/>
                <w:szCs w:val="24"/>
                <w:highlight w:val="none"/>
              </w:rPr>
            </w:pPr>
          </w:p>
        </w:tc>
        <w:tc>
          <w:tcPr>
            <w:tcW w:w="2784" w:type="dxa"/>
            <w:noWrap w:val="0"/>
            <w:vAlign w:val="center"/>
          </w:tcPr>
          <w:p w14:paraId="38D8B731">
            <w:pPr>
              <w:spacing w:line="360" w:lineRule="exact"/>
              <w:jc w:val="center"/>
              <w:rPr>
                <w:rFonts w:hint="eastAsia" w:ascii="宋体" w:hAnsi="宋体"/>
                <w:bCs/>
                <w:color w:val="auto"/>
                <w:sz w:val="24"/>
                <w:szCs w:val="24"/>
                <w:highlight w:val="none"/>
              </w:rPr>
            </w:pPr>
          </w:p>
        </w:tc>
        <w:tc>
          <w:tcPr>
            <w:tcW w:w="1574" w:type="dxa"/>
            <w:noWrap w:val="0"/>
            <w:vAlign w:val="center"/>
          </w:tcPr>
          <w:p w14:paraId="7B290938">
            <w:pPr>
              <w:spacing w:line="360" w:lineRule="exact"/>
              <w:jc w:val="center"/>
              <w:rPr>
                <w:rFonts w:hint="eastAsia" w:ascii="宋体" w:hAnsi="宋体"/>
                <w:bCs/>
                <w:color w:val="auto"/>
                <w:sz w:val="24"/>
                <w:szCs w:val="24"/>
                <w:highlight w:val="none"/>
              </w:rPr>
            </w:pPr>
          </w:p>
        </w:tc>
        <w:tc>
          <w:tcPr>
            <w:tcW w:w="1574" w:type="dxa"/>
            <w:noWrap w:val="0"/>
            <w:vAlign w:val="center"/>
          </w:tcPr>
          <w:p w14:paraId="4A6B3438">
            <w:pPr>
              <w:spacing w:line="360" w:lineRule="exact"/>
              <w:jc w:val="center"/>
              <w:rPr>
                <w:rFonts w:hint="eastAsia" w:ascii="宋体" w:hAnsi="宋体"/>
                <w:bCs/>
                <w:color w:val="auto"/>
                <w:sz w:val="24"/>
                <w:szCs w:val="24"/>
                <w:highlight w:val="none"/>
              </w:rPr>
            </w:pPr>
          </w:p>
        </w:tc>
        <w:tc>
          <w:tcPr>
            <w:tcW w:w="1574" w:type="dxa"/>
            <w:noWrap w:val="0"/>
            <w:vAlign w:val="center"/>
          </w:tcPr>
          <w:p w14:paraId="0C61D755">
            <w:pPr>
              <w:spacing w:line="360" w:lineRule="exact"/>
              <w:jc w:val="center"/>
              <w:rPr>
                <w:rFonts w:hint="eastAsia" w:ascii="宋体" w:hAnsi="宋体"/>
                <w:bCs/>
                <w:color w:val="auto"/>
                <w:sz w:val="24"/>
                <w:szCs w:val="24"/>
                <w:highlight w:val="none"/>
              </w:rPr>
            </w:pPr>
          </w:p>
        </w:tc>
        <w:tc>
          <w:tcPr>
            <w:tcW w:w="1267" w:type="dxa"/>
            <w:noWrap w:val="0"/>
            <w:vAlign w:val="center"/>
          </w:tcPr>
          <w:p w14:paraId="486EDBC9">
            <w:pPr>
              <w:spacing w:line="360" w:lineRule="exact"/>
              <w:jc w:val="center"/>
              <w:rPr>
                <w:rFonts w:hint="eastAsia" w:ascii="宋体" w:hAnsi="宋体"/>
                <w:bCs/>
                <w:color w:val="auto"/>
                <w:sz w:val="24"/>
                <w:szCs w:val="24"/>
                <w:highlight w:val="none"/>
              </w:rPr>
            </w:pPr>
          </w:p>
        </w:tc>
      </w:tr>
      <w:tr w14:paraId="07F4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905" w:type="dxa"/>
            <w:noWrap w:val="0"/>
            <w:vAlign w:val="center"/>
          </w:tcPr>
          <w:p w14:paraId="0A2B174B">
            <w:pPr>
              <w:spacing w:line="360" w:lineRule="exact"/>
              <w:jc w:val="center"/>
              <w:rPr>
                <w:rFonts w:hint="eastAsia" w:ascii="宋体" w:hAnsi="宋体"/>
                <w:bCs/>
                <w:color w:val="auto"/>
                <w:sz w:val="24"/>
                <w:szCs w:val="24"/>
                <w:highlight w:val="none"/>
              </w:rPr>
            </w:pPr>
          </w:p>
        </w:tc>
        <w:tc>
          <w:tcPr>
            <w:tcW w:w="2784" w:type="dxa"/>
            <w:noWrap w:val="0"/>
            <w:vAlign w:val="center"/>
          </w:tcPr>
          <w:p w14:paraId="543D1482">
            <w:pPr>
              <w:spacing w:line="360" w:lineRule="exact"/>
              <w:jc w:val="center"/>
              <w:rPr>
                <w:rFonts w:hint="eastAsia" w:ascii="宋体" w:hAnsi="宋体"/>
                <w:bCs/>
                <w:color w:val="auto"/>
                <w:sz w:val="24"/>
                <w:szCs w:val="24"/>
                <w:highlight w:val="none"/>
              </w:rPr>
            </w:pPr>
          </w:p>
        </w:tc>
        <w:tc>
          <w:tcPr>
            <w:tcW w:w="1574" w:type="dxa"/>
            <w:noWrap w:val="0"/>
            <w:vAlign w:val="center"/>
          </w:tcPr>
          <w:p w14:paraId="1B3F4CBA">
            <w:pPr>
              <w:spacing w:line="360" w:lineRule="exact"/>
              <w:jc w:val="center"/>
              <w:rPr>
                <w:rFonts w:hint="eastAsia" w:ascii="宋体" w:hAnsi="宋体"/>
                <w:bCs/>
                <w:color w:val="auto"/>
                <w:sz w:val="24"/>
                <w:szCs w:val="24"/>
                <w:highlight w:val="none"/>
              </w:rPr>
            </w:pPr>
          </w:p>
        </w:tc>
        <w:tc>
          <w:tcPr>
            <w:tcW w:w="1574" w:type="dxa"/>
            <w:noWrap w:val="0"/>
            <w:vAlign w:val="center"/>
          </w:tcPr>
          <w:p w14:paraId="53AD3312">
            <w:pPr>
              <w:spacing w:line="360" w:lineRule="exact"/>
              <w:jc w:val="center"/>
              <w:rPr>
                <w:rFonts w:hint="eastAsia" w:ascii="宋体" w:hAnsi="宋体"/>
                <w:bCs/>
                <w:color w:val="auto"/>
                <w:sz w:val="24"/>
                <w:szCs w:val="24"/>
                <w:highlight w:val="none"/>
              </w:rPr>
            </w:pPr>
          </w:p>
        </w:tc>
        <w:tc>
          <w:tcPr>
            <w:tcW w:w="1574" w:type="dxa"/>
            <w:noWrap w:val="0"/>
            <w:vAlign w:val="center"/>
          </w:tcPr>
          <w:p w14:paraId="21E80ECD">
            <w:pPr>
              <w:spacing w:line="360" w:lineRule="exact"/>
              <w:jc w:val="center"/>
              <w:rPr>
                <w:rFonts w:hint="eastAsia" w:ascii="宋体" w:hAnsi="宋体"/>
                <w:bCs/>
                <w:color w:val="auto"/>
                <w:sz w:val="24"/>
                <w:szCs w:val="24"/>
                <w:highlight w:val="none"/>
              </w:rPr>
            </w:pPr>
          </w:p>
        </w:tc>
        <w:tc>
          <w:tcPr>
            <w:tcW w:w="1267" w:type="dxa"/>
            <w:noWrap w:val="0"/>
            <w:vAlign w:val="center"/>
          </w:tcPr>
          <w:p w14:paraId="4E5E2FD0">
            <w:pPr>
              <w:spacing w:line="360" w:lineRule="exact"/>
              <w:jc w:val="center"/>
              <w:rPr>
                <w:rFonts w:hint="eastAsia" w:ascii="宋体" w:hAnsi="宋体"/>
                <w:bCs/>
                <w:color w:val="auto"/>
                <w:sz w:val="24"/>
                <w:szCs w:val="24"/>
                <w:highlight w:val="none"/>
              </w:rPr>
            </w:pPr>
          </w:p>
        </w:tc>
      </w:tr>
    </w:tbl>
    <w:p w14:paraId="482BEE53">
      <w:pPr>
        <w:ind w:firstLine="241" w:firstLineChars="100"/>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根据招标文件要求，表后附服务人员相关证书及资料</w:t>
      </w:r>
    </w:p>
    <w:p w14:paraId="1C174603">
      <w:pPr>
        <w:pStyle w:val="18"/>
        <w:rPr>
          <w:rFonts w:hint="eastAsia"/>
          <w:color w:val="auto"/>
          <w:highlight w:val="none"/>
        </w:rPr>
      </w:pPr>
    </w:p>
    <w:p w14:paraId="6BDAC4D6">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投标人（盖章）：         </w:t>
      </w:r>
    </w:p>
    <w:p w14:paraId="2FF3BC69">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法定代表人或其授权委托人（签名或印章）：        </w:t>
      </w:r>
    </w:p>
    <w:p w14:paraId="3CAE9C47">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日  期：        </w:t>
      </w:r>
    </w:p>
    <w:p w14:paraId="0FF0FB5E">
      <w:pPr>
        <w:rPr>
          <w:rFonts w:hint="eastAsia" w:ascii="宋体" w:hAnsi="宋体"/>
          <w:color w:val="auto"/>
          <w:sz w:val="24"/>
          <w:highlight w:val="none"/>
          <w:u w:val="single"/>
        </w:rPr>
      </w:pPr>
    </w:p>
    <w:p w14:paraId="0A18B5D3">
      <w:pPr>
        <w:wordWrap w:val="0"/>
        <w:spacing w:line="360" w:lineRule="auto"/>
        <w:jc w:val="left"/>
        <w:rPr>
          <w:rFonts w:ascii="宋体" w:hAnsi="宋体"/>
          <w:b/>
          <w:color w:val="auto"/>
          <w:sz w:val="24"/>
          <w:szCs w:val="24"/>
          <w:highlight w:val="none"/>
        </w:rPr>
      </w:pPr>
      <w:r>
        <w:rPr>
          <w:rFonts w:ascii="宋体" w:hAnsi="宋体"/>
          <w:b/>
          <w:color w:val="auto"/>
          <w:highlight w:val="none"/>
        </w:rPr>
        <w:br w:type="page"/>
      </w:r>
      <w:r>
        <w:rPr>
          <w:rFonts w:hint="eastAsia" w:ascii="宋体" w:hAnsi="宋体"/>
          <w:b/>
          <w:color w:val="auto"/>
          <w:sz w:val="24"/>
          <w:szCs w:val="24"/>
          <w:highlight w:val="none"/>
        </w:rPr>
        <w:t>B11、本项目所需设备、工具配置表</w:t>
      </w:r>
    </w:p>
    <w:p w14:paraId="619C78BE">
      <w:pPr>
        <w:pStyle w:val="12"/>
        <w:ind w:firstLine="0" w:firstLineChars="0"/>
        <w:rPr>
          <w:color w:val="auto"/>
          <w:highlight w:val="none"/>
        </w:rPr>
      </w:pPr>
    </w:p>
    <w:p w14:paraId="25C47A34">
      <w:pPr>
        <w:jc w:val="center"/>
        <w:rPr>
          <w:rFonts w:ascii="宋体" w:hAnsi="宋体"/>
          <w:b/>
          <w:color w:val="auto"/>
          <w:sz w:val="28"/>
          <w:szCs w:val="24"/>
          <w:highlight w:val="none"/>
        </w:rPr>
      </w:pPr>
      <w:r>
        <w:rPr>
          <w:rFonts w:hint="eastAsia" w:ascii="宋体" w:hAnsi="宋体"/>
          <w:b/>
          <w:color w:val="auto"/>
          <w:sz w:val="28"/>
          <w:szCs w:val="24"/>
          <w:highlight w:val="none"/>
        </w:rPr>
        <w:t>本项目所需设备、工具配置表</w:t>
      </w:r>
    </w:p>
    <w:tbl>
      <w:tblPr>
        <w:tblStyle w:val="48"/>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50"/>
        <w:gridCol w:w="2475"/>
        <w:gridCol w:w="1223"/>
        <w:gridCol w:w="2901"/>
      </w:tblGrid>
      <w:tr w14:paraId="6775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787" w:type="dxa"/>
            <w:noWrap w:val="0"/>
            <w:vAlign w:val="center"/>
          </w:tcPr>
          <w:p w14:paraId="66B75F6C">
            <w:pPr>
              <w:spacing w:line="36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编号</w:t>
            </w:r>
          </w:p>
        </w:tc>
        <w:tc>
          <w:tcPr>
            <w:tcW w:w="2250" w:type="dxa"/>
            <w:noWrap w:val="0"/>
            <w:vAlign w:val="center"/>
          </w:tcPr>
          <w:p w14:paraId="425D5215">
            <w:pPr>
              <w:spacing w:line="36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设备、工具名称</w:t>
            </w:r>
          </w:p>
        </w:tc>
        <w:tc>
          <w:tcPr>
            <w:tcW w:w="2475" w:type="dxa"/>
            <w:noWrap w:val="0"/>
            <w:vAlign w:val="center"/>
          </w:tcPr>
          <w:p w14:paraId="301B2583">
            <w:pPr>
              <w:spacing w:line="36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品牌型号</w:t>
            </w:r>
          </w:p>
        </w:tc>
        <w:tc>
          <w:tcPr>
            <w:tcW w:w="1223" w:type="dxa"/>
            <w:noWrap w:val="0"/>
            <w:vAlign w:val="center"/>
          </w:tcPr>
          <w:p w14:paraId="06F14C4D">
            <w:pPr>
              <w:spacing w:line="36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数量</w:t>
            </w:r>
          </w:p>
        </w:tc>
        <w:tc>
          <w:tcPr>
            <w:tcW w:w="2901" w:type="dxa"/>
            <w:noWrap w:val="0"/>
            <w:vAlign w:val="center"/>
          </w:tcPr>
          <w:p w14:paraId="67E7DD05">
            <w:pPr>
              <w:spacing w:line="36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备注</w:t>
            </w:r>
          </w:p>
        </w:tc>
      </w:tr>
      <w:tr w14:paraId="49F0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787" w:type="dxa"/>
            <w:noWrap w:val="0"/>
            <w:vAlign w:val="center"/>
          </w:tcPr>
          <w:p w14:paraId="4616201D">
            <w:pPr>
              <w:spacing w:line="360" w:lineRule="exact"/>
              <w:jc w:val="center"/>
              <w:rPr>
                <w:rFonts w:hint="eastAsia" w:ascii="宋体" w:hAnsi="宋体"/>
                <w:bCs/>
                <w:color w:val="auto"/>
                <w:sz w:val="24"/>
                <w:szCs w:val="24"/>
                <w:highlight w:val="none"/>
              </w:rPr>
            </w:pPr>
          </w:p>
        </w:tc>
        <w:tc>
          <w:tcPr>
            <w:tcW w:w="2250" w:type="dxa"/>
            <w:noWrap w:val="0"/>
            <w:vAlign w:val="center"/>
          </w:tcPr>
          <w:p w14:paraId="1FB5795E">
            <w:pPr>
              <w:spacing w:line="360" w:lineRule="exact"/>
              <w:jc w:val="center"/>
              <w:rPr>
                <w:rFonts w:hint="eastAsia" w:ascii="宋体" w:hAnsi="宋体"/>
                <w:bCs/>
                <w:color w:val="auto"/>
                <w:sz w:val="24"/>
                <w:szCs w:val="24"/>
                <w:highlight w:val="none"/>
              </w:rPr>
            </w:pPr>
          </w:p>
        </w:tc>
        <w:tc>
          <w:tcPr>
            <w:tcW w:w="2475" w:type="dxa"/>
            <w:noWrap w:val="0"/>
            <w:vAlign w:val="center"/>
          </w:tcPr>
          <w:p w14:paraId="2565431D">
            <w:pPr>
              <w:spacing w:line="360" w:lineRule="exact"/>
              <w:jc w:val="center"/>
              <w:rPr>
                <w:rFonts w:hint="eastAsia" w:ascii="宋体" w:hAnsi="宋体"/>
                <w:bCs/>
                <w:color w:val="auto"/>
                <w:sz w:val="24"/>
                <w:szCs w:val="24"/>
                <w:highlight w:val="none"/>
              </w:rPr>
            </w:pPr>
          </w:p>
        </w:tc>
        <w:tc>
          <w:tcPr>
            <w:tcW w:w="1223" w:type="dxa"/>
            <w:noWrap w:val="0"/>
            <w:vAlign w:val="center"/>
          </w:tcPr>
          <w:p w14:paraId="5FB32455">
            <w:pPr>
              <w:spacing w:line="360" w:lineRule="exact"/>
              <w:jc w:val="center"/>
              <w:rPr>
                <w:rFonts w:hint="eastAsia" w:ascii="宋体" w:hAnsi="宋体"/>
                <w:bCs/>
                <w:color w:val="auto"/>
                <w:sz w:val="24"/>
                <w:szCs w:val="24"/>
                <w:highlight w:val="none"/>
              </w:rPr>
            </w:pPr>
          </w:p>
        </w:tc>
        <w:tc>
          <w:tcPr>
            <w:tcW w:w="2901" w:type="dxa"/>
            <w:noWrap w:val="0"/>
            <w:vAlign w:val="center"/>
          </w:tcPr>
          <w:p w14:paraId="5F084635">
            <w:pPr>
              <w:spacing w:line="360" w:lineRule="exact"/>
              <w:jc w:val="center"/>
              <w:rPr>
                <w:rFonts w:hint="eastAsia" w:ascii="宋体" w:hAnsi="宋体"/>
                <w:bCs/>
                <w:color w:val="auto"/>
                <w:sz w:val="24"/>
                <w:szCs w:val="24"/>
                <w:highlight w:val="none"/>
              </w:rPr>
            </w:pPr>
          </w:p>
        </w:tc>
      </w:tr>
      <w:tr w14:paraId="1998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787" w:type="dxa"/>
            <w:noWrap w:val="0"/>
            <w:vAlign w:val="center"/>
          </w:tcPr>
          <w:p w14:paraId="4E0D2640">
            <w:pPr>
              <w:spacing w:line="360" w:lineRule="exact"/>
              <w:jc w:val="center"/>
              <w:rPr>
                <w:rFonts w:hint="eastAsia" w:ascii="宋体" w:hAnsi="宋体"/>
                <w:bCs/>
                <w:color w:val="auto"/>
                <w:sz w:val="24"/>
                <w:szCs w:val="24"/>
                <w:highlight w:val="none"/>
              </w:rPr>
            </w:pPr>
          </w:p>
        </w:tc>
        <w:tc>
          <w:tcPr>
            <w:tcW w:w="2250" w:type="dxa"/>
            <w:noWrap w:val="0"/>
            <w:vAlign w:val="center"/>
          </w:tcPr>
          <w:p w14:paraId="3DB00C2A">
            <w:pPr>
              <w:spacing w:line="360" w:lineRule="exact"/>
              <w:jc w:val="center"/>
              <w:rPr>
                <w:rFonts w:hint="eastAsia" w:ascii="宋体" w:hAnsi="宋体"/>
                <w:bCs/>
                <w:color w:val="auto"/>
                <w:sz w:val="24"/>
                <w:szCs w:val="24"/>
                <w:highlight w:val="none"/>
              </w:rPr>
            </w:pPr>
          </w:p>
        </w:tc>
        <w:tc>
          <w:tcPr>
            <w:tcW w:w="2475" w:type="dxa"/>
            <w:noWrap w:val="0"/>
            <w:vAlign w:val="center"/>
          </w:tcPr>
          <w:p w14:paraId="0396EAC2">
            <w:pPr>
              <w:spacing w:line="360" w:lineRule="exact"/>
              <w:jc w:val="center"/>
              <w:rPr>
                <w:rFonts w:hint="eastAsia" w:ascii="宋体" w:hAnsi="宋体"/>
                <w:bCs/>
                <w:color w:val="auto"/>
                <w:sz w:val="24"/>
                <w:szCs w:val="24"/>
                <w:highlight w:val="none"/>
              </w:rPr>
            </w:pPr>
          </w:p>
        </w:tc>
        <w:tc>
          <w:tcPr>
            <w:tcW w:w="1223" w:type="dxa"/>
            <w:noWrap w:val="0"/>
            <w:vAlign w:val="center"/>
          </w:tcPr>
          <w:p w14:paraId="707F29BE">
            <w:pPr>
              <w:spacing w:line="360" w:lineRule="exact"/>
              <w:jc w:val="center"/>
              <w:rPr>
                <w:rFonts w:hint="eastAsia" w:ascii="宋体" w:hAnsi="宋体"/>
                <w:bCs/>
                <w:color w:val="auto"/>
                <w:sz w:val="24"/>
                <w:szCs w:val="24"/>
                <w:highlight w:val="none"/>
              </w:rPr>
            </w:pPr>
          </w:p>
        </w:tc>
        <w:tc>
          <w:tcPr>
            <w:tcW w:w="2901" w:type="dxa"/>
            <w:noWrap w:val="0"/>
            <w:vAlign w:val="center"/>
          </w:tcPr>
          <w:p w14:paraId="29571D07">
            <w:pPr>
              <w:spacing w:line="360" w:lineRule="exact"/>
              <w:jc w:val="center"/>
              <w:rPr>
                <w:rFonts w:hint="eastAsia" w:ascii="宋体" w:hAnsi="宋体"/>
                <w:bCs/>
                <w:color w:val="auto"/>
                <w:sz w:val="24"/>
                <w:szCs w:val="24"/>
                <w:highlight w:val="none"/>
              </w:rPr>
            </w:pPr>
          </w:p>
        </w:tc>
      </w:tr>
      <w:tr w14:paraId="4082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787" w:type="dxa"/>
            <w:noWrap w:val="0"/>
            <w:vAlign w:val="center"/>
          </w:tcPr>
          <w:p w14:paraId="51E7BD23">
            <w:pPr>
              <w:spacing w:line="360" w:lineRule="exact"/>
              <w:jc w:val="center"/>
              <w:rPr>
                <w:rFonts w:hint="eastAsia" w:ascii="宋体" w:hAnsi="宋体"/>
                <w:bCs/>
                <w:color w:val="auto"/>
                <w:sz w:val="24"/>
                <w:szCs w:val="24"/>
                <w:highlight w:val="none"/>
              </w:rPr>
            </w:pPr>
          </w:p>
        </w:tc>
        <w:tc>
          <w:tcPr>
            <w:tcW w:w="2250" w:type="dxa"/>
            <w:noWrap w:val="0"/>
            <w:vAlign w:val="center"/>
          </w:tcPr>
          <w:p w14:paraId="2C2B7E1B">
            <w:pPr>
              <w:spacing w:line="360" w:lineRule="exact"/>
              <w:jc w:val="center"/>
              <w:rPr>
                <w:rFonts w:hint="eastAsia" w:ascii="宋体" w:hAnsi="宋体"/>
                <w:bCs/>
                <w:color w:val="auto"/>
                <w:sz w:val="24"/>
                <w:szCs w:val="24"/>
                <w:highlight w:val="none"/>
              </w:rPr>
            </w:pPr>
          </w:p>
        </w:tc>
        <w:tc>
          <w:tcPr>
            <w:tcW w:w="2475" w:type="dxa"/>
            <w:noWrap w:val="0"/>
            <w:vAlign w:val="center"/>
          </w:tcPr>
          <w:p w14:paraId="47E4E011">
            <w:pPr>
              <w:spacing w:line="360" w:lineRule="exact"/>
              <w:jc w:val="center"/>
              <w:rPr>
                <w:rFonts w:hint="eastAsia" w:ascii="宋体" w:hAnsi="宋体"/>
                <w:bCs/>
                <w:color w:val="auto"/>
                <w:sz w:val="24"/>
                <w:szCs w:val="24"/>
                <w:highlight w:val="none"/>
              </w:rPr>
            </w:pPr>
          </w:p>
        </w:tc>
        <w:tc>
          <w:tcPr>
            <w:tcW w:w="1223" w:type="dxa"/>
            <w:noWrap w:val="0"/>
            <w:vAlign w:val="center"/>
          </w:tcPr>
          <w:p w14:paraId="7FB22CC7">
            <w:pPr>
              <w:spacing w:line="360" w:lineRule="exact"/>
              <w:jc w:val="center"/>
              <w:rPr>
                <w:rFonts w:hint="eastAsia" w:ascii="宋体" w:hAnsi="宋体"/>
                <w:bCs/>
                <w:color w:val="auto"/>
                <w:sz w:val="24"/>
                <w:szCs w:val="24"/>
                <w:highlight w:val="none"/>
              </w:rPr>
            </w:pPr>
          </w:p>
        </w:tc>
        <w:tc>
          <w:tcPr>
            <w:tcW w:w="2901" w:type="dxa"/>
            <w:noWrap w:val="0"/>
            <w:vAlign w:val="center"/>
          </w:tcPr>
          <w:p w14:paraId="5C6E8943">
            <w:pPr>
              <w:spacing w:line="360" w:lineRule="exact"/>
              <w:jc w:val="center"/>
              <w:rPr>
                <w:rFonts w:hint="eastAsia" w:ascii="宋体" w:hAnsi="宋体"/>
                <w:bCs/>
                <w:color w:val="auto"/>
                <w:sz w:val="24"/>
                <w:szCs w:val="24"/>
                <w:highlight w:val="none"/>
              </w:rPr>
            </w:pPr>
          </w:p>
        </w:tc>
      </w:tr>
      <w:tr w14:paraId="6EDD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787" w:type="dxa"/>
            <w:noWrap w:val="0"/>
            <w:vAlign w:val="center"/>
          </w:tcPr>
          <w:p w14:paraId="5476847A">
            <w:pPr>
              <w:spacing w:line="360" w:lineRule="exact"/>
              <w:jc w:val="center"/>
              <w:rPr>
                <w:rFonts w:hint="eastAsia" w:ascii="宋体" w:hAnsi="宋体"/>
                <w:bCs/>
                <w:color w:val="auto"/>
                <w:sz w:val="24"/>
                <w:szCs w:val="24"/>
                <w:highlight w:val="none"/>
              </w:rPr>
            </w:pPr>
          </w:p>
        </w:tc>
        <w:tc>
          <w:tcPr>
            <w:tcW w:w="2250" w:type="dxa"/>
            <w:noWrap w:val="0"/>
            <w:vAlign w:val="center"/>
          </w:tcPr>
          <w:p w14:paraId="24D2B600">
            <w:pPr>
              <w:spacing w:line="360" w:lineRule="exact"/>
              <w:jc w:val="center"/>
              <w:rPr>
                <w:rFonts w:hint="eastAsia" w:ascii="宋体" w:hAnsi="宋体"/>
                <w:bCs/>
                <w:color w:val="auto"/>
                <w:sz w:val="24"/>
                <w:szCs w:val="24"/>
                <w:highlight w:val="none"/>
              </w:rPr>
            </w:pPr>
          </w:p>
        </w:tc>
        <w:tc>
          <w:tcPr>
            <w:tcW w:w="2475" w:type="dxa"/>
            <w:noWrap w:val="0"/>
            <w:vAlign w:val="center"/>
          </w:tcPr>
          <w:p w14:paraId="058669B6">
            <w:pPr>
              <w:spacing w:line="360" w:lineRule="exact"/>
              <w:jc w:val="center"/>
              <w:rPr>
                <w:rFonts w:hint="eastAsia" w:ascii="宋体" w:hAnsi="宋体"/>
                <w:bCs/>
                <w:color w:val="auto"/>
                <w:sz w:val="24"/>
                <w:szCs w:val="24"/>
                <w:highlight w:val="none"/>
              </w:rPr>
            </w:pPr>
          </w:p>
        </w:tc>
        <w:tc>
          <w:tcPr>
            <w:tcW w:w="1223" w:type="dxa"/>
            <w:noWrap w:val="0"/>
            <w:vAlign w:val="center"/>
          </w:tcPr>
          <w:p w14:paraId="51C19631">
            <w:pPr>
              <w:spacing w:line="360" w:lineRule="exact"/>
              <w:jc w:val="center"/>
              <w:rPr>
                <w:rFonts w:hint="eastAsia" w:ascii="宋体" w:hAnsi="宋体"/>
                <w:bCs/>
                <w:color w:val="auto"/>
                <w:sz w:val="24"/>
                <w:szCs w:val="24"/>
                <w:highlight w:val="none"/>
              </w:rPr>
            </w:pPr>
          </w:p>
        </w:tc>
        <w:tc>
          <w:tcPr>
            <w:tcW w:w="2901" w:type="dxa"/>
            <w:noWrap w:val="0"/>
            <w:vAlign w:val="center"/>
          </w:tcPr>
          <w:p w14:paraId="7ADCD061">
            <w:pPr>
              <w:spacing w:line="360" w:lineRule="exact"/>
              <w:jc w:val="center"/>
              <w:rPr>
                <w:rFonts w:hint="eastAsia" w:ascii="宋体" w:hAnsi="宋体"/>
                <w:bCs/>
                <w:color w:val="auto"/>
                <w:sz w:val="24"/>
                <w:szCs w:val="24"/>
                <w:highlight w:val="none"/>
              </w:rPr>
            </w:pPr>
          </w:p>
        </w:tc>
      </w:tr>
      <w:tr w14:paraId="5DB2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787" w:type="dxa"/>
            <w:noWrap w:val="0"/>
            <w:vAlign w:val="center"/>
          </w:tcPr>
          <w:p w14:paraId="3D607ED6">
            <w:pPr>
              <w:spacing w:line="360" w:lineRule="exact"/>
              <w:jc w:val="center"/>
              <w:rPr>
                <w:rFonts w:hint="eastAsia" w:ascii="宋体" w:hAnsi="宋体"/>
                <w:bCs/>
                <w:color w:val="auto"/>
                <w:sz w:val="24"/>
                <w:szCs w:val="24"/>
                <w:highlight w:val="none"/>
              </w:rPr>
            </w:pPr>
          </w:p>
        </w:tc>
        <w:tc>
          <w:tcPr>
            <w:tcW w:w="2250" w:type="dxa"/>
            <w:noWrap w:val="0"/>
            <w:vAlign w:val="center"/>
          </w:tcPr>
          <w:p w14:paraId="4D046CF8">
            <w:pPr>
              <w:spacing w:line="360" w:lineRule="exact"/>
              <w:jc w:val="center"/>
              <w:rPr>
                <w:rFonts w:hint="eastAsia" w:ascii="宋体" w:hAnsi="宋体"/>
                <w:bCs/>
                <w:color w:val="auto"/>
                <w:sz w:val="24"/>
                <w:szCs w:val="24"/>
                <w:highlight w:val="none"/>
              </w:rPr>
            </w:pPr>
          </w:p>
        </w:tc>
        <w:tc>
          <w:tcPr>
            <w:tcW w:w="2475" w:type="dxa"/>
            <w:noWrap w:val="0"/>
            <w:vAlign w:val="center"/>
          </w:tcPr>
          <w:p w14:paraId="6D0C0E87">
            <w:pPr>
              <w:spacing w:line="360" w:lineRule="exact"/>
              <w:jc w:val="center"/>
              <w:rPr>
                <w:rFonts w:hint="eastAsia" w:ascii="宋体" w:hAnsi="宋体"/>
                <w:bCs/>
                <w:color w:val="auto"/>
                <w:sz w:val="24"/>
                <w:szCs w:val="24"/>
                <w:highlight w:val="none"/>
              </w:rPr>
            </w:pPr>
          </w:p>
        </w:tc>
        <w:tc>
          <w:tcPr>
            <w:tcW w:w="1223" w:type="dxa"/>
            <w:noWrap w:val="0"/>
            <w:vAlign w:val="center"/>
          </w:tcPr>
          <w:p w14:paraId="294160E7">
            <w:pPr>
              <w:spacing w:line="360" w:lineRule="exact"/>
              <w:jc w:val="center"/>
              <w:rPr>
                <w:rFonts w:hint="eastAsia" w:ascii="宋体" w:hAnsi="宋体"/>
                <w:bCs/>
                <w:color w:val="auto"/>
                <w:sz w:val="24"/>
                <w:szCs w:val="24"/>
                <w:highlight w:val="none"/>
              </w:rPr>
            </w:pPr>
          </w:p>
        </w:tc>
        <w:tc>
          <w:tcPr>
            <w:tcW w:w="2901" w:type="dxa"/>
            <w:noWrap w:val="0"/>
            <w:vAlign w:val="center"/>
          </w:tcPr>
          <w:p w14:paraId="4A75C4B9">
            <w:pPr>
              <w:spacing w:line="360" w:lineRule="exact"/>
              <w:jc w:val="center"/>
              <w:rPr>
                <w:rFonts w:hint="eastAsia" w:ascii="宋体" w:hAnsi="宋体"/>
                <w:bCs/>
                <w:color w:val="auto"/>
                <w:sz w:val="24"/>
                <w:szCs w:val="24"/>
                <w:highlight w:val="none"/>
              </w:rPr>
            </w:pPr>
          </w:p>
        </w:tc>
      </w:tr>
      <w:tr w14:paraId="4917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787" w:type="dxa"/>
            <w:noWrap w:val="0"/>
            <w:vAlign w:val="center"/>
          </w:tcPr>
          <w:p w14:paraId="553B0545">
            <w:pPr>
              <w:spacing w:line="360" w:lineRule="exact"/>
              <w:jc w:val="center"/>
              <w:rPr>
                <w:rFonts w:hint="eastAsia" w:ascii="宋体" w:hAnsi="宋体"/>
                <w:bCs/>
                <w:color w:val="auto"/>
                <w:sz w:val="24"/>
                <w:szCs w:val="24"/>
                <w:highlight w:val="none"/>
              </w:rPr>
            </w:pPr>
          </w:p>
        </w:tc>
        <w:tc>
          <w:tcPr>
            <w:tcW w:w="2250" w:type="dxa"/>
            <w:noWrap w:val="0"/>
            <w:vAlign w:val="center"/>
          </w:tcPr>
          <w:p w14:paraId="000A54A9">
            <w:pPr>
              <w:spacing w:line="360" w:lineRule="exact"/>
              <w:jc w:val="center"/>
              <w:rPr>
                <w:rFonts w:hint="eastAsia" w:ascii="宋体" w:hAnsi="宋体"/>
                <w:bCs/>
                <w:color w:val="auto"/>
                <w:sz w:val="24"/>
                <w:szCs w:val="24"/>
                <w:highlight w:val="none"/>
              </w:rPr>
            </w:pPr>
          </w:p>
        </w:tc>
        <w:tc>
          <w:tcPr>
            <w:tcW w:w="2475" w:type="dxa"/>
            <w:noWrap w:val="0"/>
            <w:vAlign w:val="center"/>
          </w:tcPr>
          <w:p w14:paraId="4E5C2B17">
            <w:pPr>
              <w:spacing w:line="360" w:lineRule="exact"/>
              <w:jc w:val="center"/>
              <w:rPr>
                <w:rFonts w:hint="eastAsia" w:ascii="宋体" w:hAnsi="宋体"/>
                <w:bCs/>
                <w:color w:val="auto"/>
                <w:sz w:val="24"/>
                <w:szCs w:val="24"/>
                <w:highlight w:val="none"/>
              </w:rPr>
            </w:pPr>
          </w:p>
        </w:tc>
        <w:tc>
          <w:tcPr>
            <w:tcW w:w="1223" w:type="dxa"/>
            <w:noWrap w:val="0"/>
            <w:vAlign w:val="center"/>
          </w:tcPr>
          <w:p w14:paraId="0A730078">
            <w:pPr>
              <w:spacing w:line="360" w:lineRule="exact"/>
              <w:jc w:val="center"/>
              <w:rPr>
                <w:rFonts w:hint="eastAsia" w:ascii="宋体" w:hAnsi="宋体"/>
                <w:bCs/>
                <w:color w:val="auto"/>
                <w:sz w:val="24"/>
                <w:szCs w:val="24"/>
                <w:highlight w:val="none"/>
              </w:rPr>
            </w:pPr>
          </w:p>
        </w:tc>
        <w:tc>
          <w:tcPr>
            <w:tcW w:w="2901" w:type="dxa"/>
            <w:noWrap w:val="0"/>
            <w:vAlign w:val="center"/>
          </w:tcPr>
          <w:p w14:paraId="09F9C17B">
            <w:pPr>
              <w:spacing w:line="360" w:lineRule="exact"/>
              <w:jc w:val="center"/>
              <w:rPr>
                <w:rFonts w:hint="eastAsia" w:ascii="宋体" w:hAnsi="宋体"/>
                <w:bCs/>
                <w:color w:val="auto"/>
                <w:sz w:val="24"/>
                <w:szCs w:val="24"/>
                <w:highlight w:val="none"/>
              </w:rPr>
            </w:pPr>
          </w:p>
        </w:tc>
      </w:tr>
    </w:tbl>
    <w:p w14:paraId="3EBF57F8">
      <w:pPr>
        <w:pStyle w:val="18"/>
        <w:spacing w:before="120" w:beforeLines="50" w:line="360" w:lineRule="exact"/>
        <w:ind w:firstLine="0"/>
        <w:rPr>
          <w:rFonts w:ascii="宋体" w:hAnsi="宋体" w:eastAsia="宋体"/>
          <w:color w:val="auto"/>
          <w:szCs w:val="24"/>
          <w:highlight w:val="none"/>
        </w:rPr>
      </w:pPr>
    </w:p>
    <w:p w14:paraId="072A0C37">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投标人（盖章）：         </w:t>
      </w:r>
    </w:p>
    <w:p w14:paraId="14A5549B">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法定代表人或其授权委托人（签名或印章）：        </w:t>
      </w:r>
    </w:p>
    <w:p w14:paraId="212D79FC">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日  期：        </w:t>
      </w:r>
    </w:p>
    <w:p w14:paraId="1772A01D">
      <w:pPr>
        <w:rPr>
          <w:rFonts w:hint="eastAsia" w:ascii="宋体" w:hAnsi="宋体"/>
          <w:color w:val="auto"/>
          <w:highlight w:val="none"/>
        </w:rPr>
      </w:pPr>
    </w:p>
    <w:p w14:paraId="71BB75E7">
      <w:pPr>
        <w:wordWrap w:val="0"/>
        <w:spacing w:line="360" w:lineRule="auto"/>
        <w:jc w:val="left"/>
        <w:rPr>
          <w:rFonts w:hint="eastAsia" w:ascii="宋体" w:hAnsi="宋体"/>
          <w:color w:val="auto"/>
          <w:sz w:val="24"/>
          <w:szCs w:val="24"/>
          <w:highlight w:val="none"/>
        </w:rPr>
      </w:pPr>
      <w:r>
        <w:rPr>
          <w:rFonts w:ascii="宋体" w:hAnsi="宋体"/>
          <w:color w:val="auto"/>
          <w:highlight w:val="none"/>
        </w:rPr>
        <w:br w:type="page"/>
      </w:r>
      <w:r>
        <w:rPr>
          <w:rFonts w:ascii="宋体" w:hAnsi="宋体"/>
          <w:color w:val="auto"/>
          <w:sz w:val="24"/>
          <w:szCs w:val="24"/>
          <w:highlight w:val="none"/>
        </w:rPr>
        <w:t>B12</w:t>
      </w:r>
      <w:r>
        <w:rPr>
          <w:rFonts w:hint="eastAsia" w:ascii="宋体" w:hAnsi="宋体"/>
          <w:color w:val="auto"/>
          <w:sz w:val="24"/>
          <w:szCs w:val="24"/>
          <w:highlight w:val="none"/>
        </w:rPr>
        <w:t>、同类项目业绩表</w:t>
      </w:r>
    </w:p>
    <w:p w14:paraId="4604D75B">
      <w:pPr>
        <w:rPr>
          <w:rFonts w:hint="eastAsia" w:ascii="宋体" w:hAnsi="宋体"/>
          <w:b/>
          <w:color w:val="auto"/>
          <w:sz w:val="24"/>
          <w:szCs w:val="24"/>
          <w:highlight w:val="none"/>
        </w:rPr>
      </w:pPr>
    </w:p>
    <w:p w14:paraId="78CAB24C">
      <w:pPr>
        <w:jc w:val="center"/>
        <w:rPr>
          <w:rFonts w:ascii="宋体" w:hAnsi="宋体" w:cs="Arial"/>
          <w:bCs/>
          <w:color w:val="auto"/>
          <w:sz w:val="36"/>
          <w:szCs w:val="24"/>
          <w:highlight w:val="none"/>
        </w:rPr>
      </w:pPr>
      <w:r>
        <w:rPr>
          <w:rFonts w:hint="eastAsia" w:ascii="宋体" w:hAnsi="宋体" w:cs="Arial"/>
          <w:bCs/>
          <w:color w:val="auto"/>
          <w:sz w:val="36"/>
          <w:szCs w:val="24"/>
          <w:highlight w:val="none"/>
        </w:rPr>
        <w:t>同类项目业绩表</w:t>
      </w:r>
    </w:p>
    <w:p w14:paraId="4C8049F9">
      <w:pPr>
        <w:wordWrap w:val="0"/>
        <w:adjustRightInd w:val="0"/>
        <w:snapToGrid w:val="0"/>
        <w:spacing w:line="360" w:lineRule="auto"/>
        <w:rPr>
          <w:rFonts w:ascii="宋体" w:hAnsi="宋体"/>
          <w:color w:val="auto"/>
          <w:sz w:val="24"/>
          <w:szCs w:val="24"/>
          <w:highlight w:val="none"/>
          <w:u w:val="single"/>
        </w:rPr>
      </w:pPr>
      <w:r>
        <w:rPr>
          <w:rFonts w:hint="eastAsia" w:ascii="宋体" w:hAnsi="宋体"/>
          <w:color w:val="auto"/>
          <w:sz w:val="24"/>
          <w:szCs w:val="24"/>
          <w:highlight w:val="none"/>
        </w:rPr>
        <w:t>采购编号：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NBITC-202620214G</w:t>
      </w:r>
      <w:r>
        <w:rPr>
          <w:rFonts w:hint="eastAsia" w:ascii="宋体" w:hAnsi="宋体"/>
          <w:color w:val="auto"/>
          <w:sz w:val="24"/>
          <w:szCs w:val="24"/>
          <w:highlight w:val="none"/>
          <w:u w:val="single"/>
        </w:rPr>
        <w:t xml:space="preserve"> </w:t>
      </w:r>
    </w:p>
    <w:p w14:paraId="337524CC">
      <w:pPr>
        <w:wordWrap w:val="0"/>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2026年-2028年鄞州区下应、潘火、首南三街道道路桥梁日常养护项目</w:t>
      </w:r>
      <w:r>
        <w:rPr>
          <w:rFonts w:hint="eastAsia" w:ascii="宋体" w:hAnsi="宋体"/>
          <w:color w:val="auto"/>
          <w:sz w:val="24"/>
          <w:szCs w:val="24"/>
          <w:highlight w:val="none"/>
          <w:u w:val="single"/>
        </w:rPr>
        <w:t xml:space="preserve"> </w:t>
      </w:r>
    </w:p>
    <w:tbl>
      <w:tblPr>
        <w:tblStyle w:val="4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008"/>
        <w:gridCol w:w="1342"/>
        <w:gridCol w:w="1342"/>
        <w:gridCol w:w="1844"/>
        <w:gridCol w:w="1807"/>
      </w:tblGrid>
      <w:tr w14:paraId="3AFD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37" w:type="dxa"/>
            <w:noWrap w:val="0"/>
            <w:vAlign w:val="center"/>
          </w:tcPr>
          <w:p w14:paraId="7818A36A">
            <w:pPr>
              <w:spacing w:line="360" w:lineRule="exact"/>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2008" w:type="dxa"/>
            <w:noWrap w:val="0"/>
            <w:vAlign w:val="center"/>
          </w:tcPr>
          <w:p w14:paraId="47EFE70F">
            <w:pPr>
              <w:spacing w:line="360" w:lineRule="exact"/>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项目名称</w:t>
            </w:r>
          </w:p>
        </w:tc>
        <w:tc>
          <w:tcPr>
            <w:tcW w:w="1342" w:type="dxa"/>
            <w:noWrap w:val="0"/>
            <w:vAlign w:val="center"/>
          </w:tcPr>
          <w:p w14:paraId="39F2CB8D">
            <w:pPr>
              <w:spacing w:line="360" w:lineRule="exact"/>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业主</w:t>
            </w:r>
          </w:p>
        </w:tc>
        <w:tc>
          <w:tcPr>
            <w:tcW w:w="1342" w:type="dxa"/>
            <w:noWrap w:val="0"/>
            <w:vAlign w:val="center"/>
          </w:tcPr>
          <w:p w14:paraId="6EC0238E">
            <w:pPr>
              <w:spacing w:line="360" w:lineRule="exact"/>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合同金额</w:t>
            </w:r>
          </w:p>
        </w:tc>
        <w:tc>
          <w:tcPr>
            <w:tcW w:w="1844" w:type="dxa"/>
            <w:noWrap w:val="0"/>
            <w:vAlign w:val="center"/>
          </w:tcPr>
          <w:p w14:paraId="696AE7CD">
            <w:pPr>
              <w:spacing w:line="360" w:lineRule="exact"/>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合同签订日期</w:t>
            </w:r>
          </w:p>
        </w:tc>
        <w:tc>
          <w:tcPr>
            <w:tcW w:w="1807" w:type="dxa"/>
            <w:noWrap w:val="0"/>
            <w:vAlign w:val="center"/>
          </w:tcPr>
          <w:p w14:paraId="0FAAF48C">
            <w:pPr>
              <w:spacing w:line="360" w:lineRule="exact"/>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联系人/电话</w:t>
            </w:r>
          </w:p>
        </w:tc>
      </w:tr>
      <w:tr w14:paraId="29CB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37" w:type="dxa"/>
            <w:noWrap w:val="0"/>
            <w:vAlign w:val="top"/>
          </w:tcPr>
          <w:p w14:paraId="264C03FA">
            <w:pPr>
              <w:spacing w:line="360" w:lineRule="exact"/>
              <w:jc w:val="center"/>
              <w:rPr>
                <w:rFonts w:hint="eastAsia" w:ascii="宋体" w:hAnsi="宋体" w:cs="宋体"/>
                <w:bCs/>
                <w:color w:val="auto"/>
                <w:sz w:val="24"/>
                <w:szCs w:val="24"/>
                <w:highlight w:val="none"/>
              </w:rPr>
            </w:pPr>
          </w:p>
        </w:tc>
        <w:tc>
          <w:tcPr>
            <w:tcW w:w="2008" w:type="dxa"/>
            <w:noWrap w:val="0"/>
            <w:vAlign w:val="top"/>
          </w:tcPr>
          <w:p w14:paraId="04B5FCBD">
            <w:pPr>
              <w:spacing w:line="360" w:lineRule="exact"/>
              <w:jc w:val="center"/>
              <w:rPr>
                <w:rFonts w:hint="eastAsia" w:ascii="宋体" w:hAnsi="宋体" w:cs="宋体"/>
                <w:bCs/>
                <w:color w:val="auto"/>
                <w:sz w:val="24"/>
                <w:szCs w:val="24"/>
                <w:highlight w:val="none"/>
              </w:rPr>
            </w:pPr>
          </w:p>
        </w:tc>
        <w:tc>
          <w:tcPr>
            <w:tcW w:w="1342" w:type="dxa"/>
            <w:noWrap w:val="0"/>
            <w:vAlign w:val="top"/>
          </w:tcPr>
          <w:p w14:paraId="69BBCE48">
            <w:pPr>
              <w:spacing w:line="360" w:lineRule="exact"/>
              <w:jc w:val="center"/>
              <w:rPr>
                <w:rFonts w:hint="eastAsia" w:ascii="宋体" w:hAnsi="宋体" w:cs="宋体"/>
                <w:bCs/>
                <w:color w:val="auto"/>
                <w:sz w:val="24"/>
                <w:szCs w:val="24"/>
                <w:highlight w:val="none"/>
              </w:rPr>
            </w:pPr>
          </w:p>
        </w:tc>
        <w:tc>
          <w:tcPr>
            <w:tcW w:w="1342" w:type="dxa"/>
            <w:noWrap w:val="0"/>
            <w:vAlign w:val="top"/>
          </w:tcPr>
          <w:p w14:paraId="139A7B9E">
            <w:pPr>
              <w:spacing w:line="360" w:lineRule="exact"/>
              <w:jc w:val="center"/>
              <w:rPr>
                <w:rFonts w:hint="eastAsia" w:ascii="宋体" w:hAnsi="宋体" w:cs="宋体"/>
                <w:bCs/>
                <w:color w:val="auto"/>
                <w:sz w:val="24"/>
                <w:szCs w:val="24"/>
                <w:highlight w:val="none"/>
              </w:rPr>
            </w:pPr>
          </w:p>
        </w:tc>
        <w:tc>
          <w:tcPr>
            <w:tcW w:w="1844" w:type="dxa"/>
            <w:noWrap w:val="0"/>
            <w:vAlign w:val="top"/>
          </w:tcPr>
          <w:p w14:paraId="35328F8A">
            <w:pPr>
              <w:spacing w:line="360" w:lineRule="exact"/>
              <w:jc w:val="center"/>
              <w:rPr>
                <w:rFonts w:hint="eastAsia" w:ascii="宋体" w:hAnsi="宋体" w:cs="宋体"/>
                <w:bCs/>
                <w:color w:val="auto"/>
                <w:sz w:val="24"/>
                <w:szCs w:val="24"/>
                <w:highlight w:val="none"/>
              </w:rPr>
            </w:pPr>
          </w:p>
        </w:tc>
        <w:tc>
          <w:tcPr>
            <w:tcW w:w="1807" w:type="dxa"/>
            <w:noWrap w:val="0"/>
            <w:vAlign w:val="top"/>
          </w:tcPr>
          <w:p w14:paraId="5775A4DF">
            <w:pPr>
              <w:spacing w:line="360" w:lineRule="exact"/>
              <w:jc w:val="center"/>
              <w:rPr>
                <w:rFonts w:hint="eastAsia" w:ascii="宋体" w:hAnsi="宋体" w:cs="宋体"/>
                <w:bCs/>
                <w:color w:val="auto"/>
                <w:sz w:val="24"/>
                <w:szCs w:val="24"/>
                <w:highlight w:val="none"/>
              </w:rPr>
            </w:pPr>
          </w:p>
        </w:tc>
      </w:tr>
      <w:tr w14:paraId="0226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37" w:type="dxa"/>
            <w:noWrap w:val="0"/>
            <w:vAlign w:val="top"/>
          </w:tcPr>
          <w:p w14:paraId="6EFEF3B8">
            <w:pPr>
              <w:spacing w:line="360" w:lineRule="exact"/>
              <w:jc w:val="center"/>
              <w:rPr>
                <w:rFonts w:hint="eastAsia" w:ascii="宋体" w:hAnsi="宋体" w:cs="宋体"/>
                <w:bCs/>
                <w:color w:val="auto"/>
                <w:sz w:val="24"/>
                <w:szCs w:val="24"/>
                <w:highlight w:val="none"/>
              </w:rPr>
            </w:pPr>
          </w:p>
        </w:tc>
        <w:tc>
          <w:tcPr>
            <w:tcW w:w="2008" w:type="dxa"/>
            <w:noWrap w:val="0"/>
            <w:vAlign w:val="top"/>
          </w:tcPr>
          <w:p w14:paraId="45167F55">
            <w:pPr>
              <w:spacing w:line="360" w:lineRule="exact"/>
              <w:jc w:val="center"/>
              <w:rPr>
                <w:rFonts w:hint="eastAsia" w:ascii="宋体" w:hAnsi="宋体" w:cs="宋体"/>
                <w:bCs/>
                <w:color w:val="auto"/>
                <w:sz w:val="24"/>
                <w:szCs w:val="24"/>
                <w:highlight w:val="none"/>
              </w:rPr>
            </w:pPr>
          </w:p>
        </w:tc>
        <w:tc>
          <w:tcPr>
            <w:tcW w:w="1342" w:type="dxa"/>
            <w:noWrap w:val="0"/>
            <w:vAlign w:val="top"/>
          </w:tcPr>
          <w:p w14:paraId="169F6763">
            <w:pPr>
              <w:spacing w:line="360" w:lineRule="exact"/>
              <w:jc w:val="center"/>
              <w:rPr>
                <w:rFonts w:hint="eastAsia" w:ascii="宋体" w:hAnsi="宋体" w:cs="宋体"/>
                <w:bCs/>
                <w:color w:val="auto"/>
                <w:sz w:val="24"/>
                <w:szCs w:val="24"/>
                <w:highlight w:val="none"/>
              </w:rPr>
            </w:pPr>
          </w:p>
        </w:tc>
        <w:tc>
          <w:tcPr>
            <w:tcW w:w="1342" w:type="dxa"/>
            <w:noWrap w:val="0"/>
            <w:vAlign w:val="top"/>
          </w:tcPr>
          <w:p w14:paraId="28B2132A">
            <w:pPr>
              <w:spacing w:line="360" w:lineRule="exact"/>
              <w:jc w:val="center"/>
              <w:rPr>
                <w:rFonts w:hint="eastAsia" w:ascii="宋体" w:hAnsi="宋体" w:cs="宋体"/>
                <w:bCs/>
                <w:color w:val="auto"/>
                <w:sz w:val="24"/>
                <w:szCs w:val="24"/>
                <w:highlight w:val="none"/>
              </w:rPr>
            </w:pPr>
          </w:p>
        </w:tc>
        <w:tc>
          <w:tcPr>
            <w:tcW w:w="1844" w:type="dxa"/>
            <w:noWrap w:val="0"/>
            <w:vAlign w:val="top"/>
          </w:tcPr>
          <w:p w14:paraId="459DA2CE">
            <w:pPr>
              <w:spacing w:line="360" w:lineRule="exact"/>
              <w:jc w:val="center"/>
              <w:rPr>
                <w:rFonts w:hint="eastAsia" w:ascii="宋体" w:hAnsi="宋体" w:cs="宋体"/>
                <w:bCs/>
                <w:color w:val="auto"/>
                <w:sz w:val="24"/>
                <w:szCs w:val="24"/>
                <w:highlight w:val="none"/>
              </w:rPr>
            </w:pPr>
          </w:p>
        </w:tc>
        <w:tc>
          <w:tcPr>
            <w:tcW w:w="1807" w:type="dxa"/>
            <w:noWrap w:val="0"/>
            <w:vAlign w:val="top"/>
          </w:tcPr>
          <w:p w14:paraId="2204C0C5">
            <w:pPr>
              <w:spacing w:line="360" w:lineRule="exact"/>
              <w:jc w:val="center"/>
              <w:rPr>
                <w:rFonts w:hint="eastAsia" w:ascii="宋体" w:hAnsi="宋体" w:cs="宋体"/>
                <w:bCs/>
                <w:color w:val="auto"/>
                <w:sz w:val="24"/>
                <w:szCs w:val="24"/>
                <w:highlight w:val="none"/>
              </w:rPr>
            </w:pPr>
          </w:p>
        </w:tc>
      </w:tr>
      <w:tr w14:paraId="1008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37" w:type="dxa"/>
            <w:noWrap w:val="0"/>
            <w:vAlign w:val="top"/>
          </w:tcPr>
          <w:p w14:paraId="01C07128">
            <w:pPr>
              <w:spacing w:line="360" w:lineRule="exact"/>
              <w:jc w:val="center"/>
              <w:rPr>
                <w:rFonts w:hint="eastAsia" w:ascii="宋体" w:hAnsi="宋体" w:cs="宋体"/>
                <w:bCs/>
                <w:color w:val="auto"/>
                <w:sz w:val="24"/>
                <w:szCs w:val="24"/>
                <w:highlight w:val="none"/>
              </w:rPr>
            </w:pPr>
          </w:p>
        </w:tc>
        <w:tc>
          <w:tcPr>
            <w:tcW w:w="2008" w:type="dxa"/>
            <w:noWrap w:val="0"/>
            <w:vAlign w:val="top"/>
          </w:tcPr>
          <w:p w14:paraId="334995C2">
            <w:pPr>
              <w:spacing w:line="360" w:lineRule="exact"/>
              <w:jc w:val="center"/>
              <w:rPr>
                <w:rFonts w:hint="eastAsia" w:ascii="宋体" w:hAnsi="宋体" w:cs="宋体"/>
                <w:bCs/>
                <w:color w:val="auto"/>
                <w:sz w:val="24"/>
                <w:szCs w:val="24"/>
                <w:highlight w:val="none"/>
              </w:rPr>
            </w:pPr>
          </w:p>
        </w:tc>
        <w:tc>
          <w:tcPr>
            <w:tcW w:w="1342" w:type="dxa"/>
            <w:noWrap w:val="0"/>
            <w:vAlign w:val="top"/>
          </w:tcPr>
          <w:p w14:paraId="6B2AACA9">
            <w:pPr>
              <w:spacing w:line="360" w:lineRule="exact"/>
              <w:jc w:val="center"/>
              <w:rPr>
                <w:rFonts w:hint="eastAsia" w:ascii="宋体" w:hAnsi="宋体" w:cs="宋体"/>
                <w:bCs/>
                <w:color w:val="auto"/>
                <w:sz w:val="24"/>
                <w:szCs w:val="24"/>
                <w:highlight w:val="none"/>
              </w:rPr>
            </w:pPr>
          </w:p>
        </w:tc>
        <w:tc>
          <w:tcPr>
            <w:tcW w:w="1342" w:type="dxa"/>
            <w:noWrap w:val="0"/>
            <w:vAlign w:val="top"/>
          </w:tcPr>
          <w:p w14:paraId="61FBB99A">
            <w:pPr>
              <w:spacing w:line="360" w:lineRule="exact"/>
              <w:jc w:val="center"/>
              <w:rPr>
                <w:rFonts w:hint="eastAsia" w:ascii="宋体" w:hAnsi="宋体" w:cs="宋体"/>
                <w:bCs/>
                <w:color w:val="auto"/>
                <w:sz w:val="24"/>
                <w:szCs w:val="24"/>
                <w:highlight w:val="none"/>
              </w:rPr>
            </w:pPr>
          </w:p>
        </w:tc>
        <w:tc>
          <w:tcPr>
            <w:tcW w:w="1844" w:type="dxa"/>
            <w:noWrap w:val="0"/>
            <w:vAlign w:val="top"/>
          </w:tcPr>
          <w:p w14:paraId="3FBD2668">
            <w:pPr>
              <w:spacing w:line="360" w:lineRule="exact"/>
              <w:jc w:val="center"/>
              <w:rPr>
                <w:rFonts w:hint="eastAsia" w:ascii="宋体" w:hAnsi="宋体" w:cs="宋体"/>
                <w:bCs/>
                <w:color w:val="auto"/>
                <w:sz w:val="24"/>
                <w:szCs w:val="24"/>
                <w:highlight w:val="none"/>
              </w:rPr>
            </w:pPr>
          </w:p>
        </w:tc>
        <w:tc>
          <w:tcPr>
            <w:tcW w:w="1807" w:type="dxa"/>
            <w:noWrap w:val="0"/>
            <w:vAlign w:val="top"/>
          </w:tcPr>
          <w:p w14:paraId="3CA3A6FA">
            <w:pPr>
              <w:spacing w:line="360" w:lineRule="exact"/>
              <w:jc w:val="center"/>
              <w:rPr>
                <w:rFonts w:hint="eastAsia" w:ascii="宋体" w:hAnsi="宋体" w:cs="宋体"/>
                <w:bCs/>
                <w:color w:val="auto"/>
                <w:sz w:val="24"/>
                <w:szCs w:val="24"/>
                <w:highlight w:val="none"/>
              </w:rPr>
            </w:pPr>
          </w:p>
        </w:tc>
      </w:tr>
      <w:tr w14:paraId="7371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37" w:type="dxa"/>
            <w:noWrap w:val="0"/>
            <w:vAlign w:val="top"/>
          </w:tcPr>
          <w:p w14:paraId="4F586195">
            <w:pPr>
              <w:spacing w:line="360" w:lineRule="exact"/>
              <w:jc w:val="center"/>
              <w:rPr>
                <w:rFonts w:hint="eastAsia" w:ascii="宋体" w:hAnsi="宋体" w:cs="宋体"/>
                <w:bCs/>
                <w:color w:val="auto"/>
                <w:sz w:val="24"/>
                <w:szCs w:val="24"/>
                <w:highlight w:val="none"/>
              </w:rPr>
            </w:pPr>
          </w:p>
        </w:tc>
        <w:tc>
          <w:tcPr>
            <w:tcW w:w="2008" w:type="dxa"/>
            <w:noWrap w:val="0"/>
            <w:vAlign w:val="top"/>
          </w:tcPr>
          <w:p w14:paraId="00DFB502">
            <w:pPr>
              <w:spacing w:line="360" w:lineRule="exact"/>
              <w:jc w:val="center"/>
              <w:rPr>
                <w:rFonts w:hint="eastAsia" w:ascii="宋体" w:hAnsi="宋体" w:cs="宋体"/>
                <w:bCs/>
                <w:color w:val="auto"/>
                <w:sz w:val="24"/>
                <w:szCs w:val="24"/>
                <w:highlight w:val="none"/>
              </w:rPr>
            </w:pPr>
          </w:p>
        </w:tc>
        <w:tc>
          <w:tcPr>
            <w:tcW w:w="1342" w:type="dxa"/>
            <w:noWrap w:val="0"/>
            <w:vAlign w:val="top"/>
          </w:tcPr>
          <w:p w14:paraId="04A83379">
            <w:pPr>
              <w:spacing w:line="360" w:lineRule="exact"/>
              <w:jc w:val="center"/>
              <w:rPr>
                <w:rFonts w:hint="eastAsia" w:ascii="宋体" w:hAnsi="宋体" w:cs="宋体"/>
                <w:bCs/>
                <w:color w:val="auto"/>
                <w:sz w:val="24"/>
                <w:szCs w:val="24"/>
                <w:highlight w:val="none"/>
              </w:rPr>
            </w:pPr>
          </w:p>
        </w:tc>
        <w:tc>
          <w:tcPr>
            <w:tcW w:w="1342" w:type="dxa"/>
            <w:noWrap w:val="0"/>
            <w:vAlign w:val="top"/>
          </w:tcPr>
          <w:p w14:paraId="748CE643">
            <w:pPr>
              <w:spacing w:line="360" w:lineRule="exact"/>
              <w:jc w:val="center"/>
              <w:rPr>
                <w:rFonts w:hint="eastAsia" w:ascii="宋体" w:hAnsi="宋体" w:cs="宋体"/>
                <w:bCs/>
                <w:color w:val="auto"/>
                <w:sz w:val="24"/>
                <w:szCs w:val="24"/>
                <w:highlight w:val="none"/>
              </w:rPr>
            </w:pPr>
          </w:p>
        </w:tc>
        <w:tc>
          <w:tcPr>
            <w:tcW w:w="1844" w:type="dxa"/>
            <w:noWrap w:val="0"/>
            <w:vAlign w:val="top"/>
          </w:tcPr>
          <w:p w14:paraId="19E64ADB">
            <w:pPr>
              <w:spacing w:line="360" w:lineRule="exact"/>
              <w:jc w:val="center"/>
              <w:rPr>
                <w:rFonts w:hint="eastAsia" w:ascii="宋体" w:hAnsi="宋体" w:cs="宋体"/>
                <w:bCs/>
                <w:color w:val="auto"/>
                <w:sz w:val="24"/>
                <w:szCs w:val="24"/>
                <w:highlight w:val="none"/>
              </w:rPr>
            </w:pPr>
          </w:p>
        </w:tc>
        <w:tc>
          <w:tcPr>
            <w:tcW w:w="1807" w:type="dxa"/>
            <w:noWrap w:val="0"/>
            <w:vAlign w:val="top"/>
          </w:tcPr>
          <w:p w14:paraId="09792B2D">
            <w:pPr>
              <w:spacing w:line="360" w:lineRule="exact"/>
              <w:jc w:val="center"/>
              <w:rPr>
                <w:rFonts w:hint="eastAsia" w:ascii="宋体" w:hAnsi="宋体" w:cs="宋体"/>
                <w:bCs/>
                <w:color w:val="auto"/>
                <w:sz w:val="24"/>
                <w:szCs w:val="24"/>
                <w:highlight w:val="none"/>
              </w:rPr>
            </w:pPr>
          </w:p>
        </w:tc>
      </w:tr>
    </w:tbl>
    <w:p w14:paraId="5E289122">
      <w:pPr>
        <w:spacing w:line="360" w:lineRule="exact"/>
        <w:ind w:firstLine="480" w:firstLineChars="200"/>
        <w:jc w:val="left"/>
        <w:rPr>
          <w:rFonts w:hint="eastAsia" w:ascii="宋体" w:hAnsi="宋体" w:cs="宋体"/>
          <w:bCs/>
          <w:color w:val="auto"/>
          <w:sz w:val="24"/>
          <w:szCs w:val="24"/>
          <w:highlight w:val="none"/>
        </w:rPr>
      </w:pPr>
      <w:r>
        <w:rPr>
          <w:rFonts w:hint="eastAsia" w:ascii="宋体" w:hAnsi="宋体"/>
          <w:color w:val="auto"/>
          <w:sz w:val="24"/>
          <w:szCs w:val="24"/>
          <w:highlight w:val="none"/>
        </w:rPr>
        <w:t>1、列出符合采</w:t>
      </w:r>
      <w:r>
        <w:rPr>
          <w:rFonts w:hint="eastAsia" w:ascii="宋体" w:hAnsi="宋体" w:cs="宋体"/>
          <w:bCs/>
          <w:color w:val="auto"/>
          <w:sz w:val="24"/>
          <w:szCs w:val="24"/>
          <w:highlight w:val="none"/>
        </w:rPr>
        <w:t>购文件要求的类似项目业绩，表后附对应合同复印件、中标通知书复印件以及合同期间任意一个月开具的养护服务费用发票复印件（加盖投标人公章）。</w:t>
      </w:r>
    </w:p>
    <w:p w14:paraId="39598AE5">
      <w:pPr>
        <w:spacing w:line="3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2、投标人所提供证明材料必须是真实有效的。在合同签订前，如采购人经核实后发现与实际情况不符，取消其中标资格，并按有关规定处理。</w:t>
      </w:r>
    </w:p>
    <w:p w14:paraId="0109A27D">
      <w:pPr>
        <w:spacing w:line="3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3、此表在不改变表式的情况下，可自行制作。</w:t>
      </w:r>
    </w:p>
    <w:p w14:paraId="08AABBD3">
      <w:pPr>
        <w:pStyle w:val="18"/>
        <w:spacing w:before="120" w:beforeLines="50" w:line="360" w:lineRule="exact"/>
        <w:ind w:firstLine="0"/>
        <w:rPr>
          <w:rFonts w:hint="eastAsia" w:ascii="宋体" w:hAnsi="宋体" w:eastAsia="宋体"/>
          <w:color w:val="auto"/>
          <w:szCs w:val="24"/>
          <w:highlight w:val="none"/>
        </w:rPr>
      </w:pPr>
    </w:p>
    <w:p w14:paraId="6FD3DEB6">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投标人（盖章）：         </w:t>
      </w:r>
    </w:p>
    <w:p w14:paraId="30EC454E">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法定代表人或其授权委托人（签名或印章）：        </w:t>
      </w:r>
    </w:p>
    <w:p w14:paraId="59B1BEE1">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日  期：        </w:t>
      </w:r>
    </w:p>
    <w:p w14:paraId="22B9CB82">
      <w:pPr>
        <w:wordWrap w:val="0"/>
        <w:spacing w:line="360" w:lineRule="auto"/>
        <w:jc w:val="left"/>
        <w:rPr>
          <w:rFonts w:ascii="宋体" w:hAnsi="宋体"/>
          <w:color w:val="auto"/>
          <w:sz w:val="24"/>
          <w:szCs w:val="24"/>
          <w:highlight w:val="none"/>
        </w:rPr>
      </w:pPr>
      <w:r>
        <w:rPr>
          <w:rFonts w:ascii="宋体" w:hAnsi="宋体"/>
          <w:color w:val="auto"/>
          <w:highlight w:val="none"/>
        </w:rPr>
        <w:br w:type="page"/>
      </w:r>
      <w:r>
        <w:rPr>
          <w:rFonts w:ascii="宋体" w:hAnsi="宋体"/>
          <w:color w:val="auto"/>
          <w:sz w:val="24"/>
          <w:szCs w:val="24"/>
          <w:highlight w:val="none"/>
        </w:rPr>
        <w:t>B13</w:t>
      </w:r>
      <w:r>
        <w:rPr>
          <w:rFonts w:hint="eastAsia" w:ascii="宋体" w:hAnsi="宋体"/>
          <w:color w:val="auto"/>
          <w:sz w:val="24"/>
          <w:szCs w:val="24"/>
          <w:highlight w:val="none"/>
        </w:rPr>
        <w:t>、投标人声明</w:t>
      </w:r>
    </w:p>
    <w:p w14:paraId="535BDFAF">
      <w:pPr>
        <w:spacing w:line="360" w:lineRule="auto"/>
        <w:jc w:val="center"/>
        <w:rPr>
          <w:rFonts w:ascii="宋体" w:hAnsi="宋体" w:cs="Arial"/>
          <w:bCs/>
          <w:color w:val="auto"/>
          <w:sz w:val="32"/>
          <w:szCs w:val="24"/>
          <w:highlight w:val="none"/>
        </w:rPr>
      </w:pPr>
    </w:p>
    <w:p w14:paraId="4D9A59C8">
      <w:pPr>
        <w:spacing w:line="360" w:lineRule="auto"/>
        <w:jc w:val="center"/>
        <w:rPr>
          <w:rFonts w:hint="eastAsia" w:ascii="宋体" w:hAnsi="宋体" w:cs="Arial"/>
          <w:bCs/>
          <w:color w:val="auto"/>
          <w:sz w:val="32"/>
          <w:szCs w:val="24"/>
          <w:highlight w:val="none"/>
        </w:rPr>
      </w:pPr>
      <w:r>
        <w:rPr>
          <w:rFonts w:hint="eastAsia" w:ascii="宋体" w:hAnsi="宋体" w:cs="Arial"/>
          <w:bCs/>
          <w:color w:val="auto"/>
          <w:sz w:val="32"/>
          <w:szCs w:val="24"/>
          <w:highlight w:val="none"/>
        </w:rPr>
        <w:t>投标人声明</w:t>
      </w:r>
    </w:p>
    <w:p w14:paraId="790CF769">
      <w:pPr>
        <w:pStyle w:val="18"/>
        <w:spacing w:line="360" w:lineRule="auto"/>
        <w:ind w:firstLineChars="200"/>
        <w:rPr>
          <w:rFonts w:ascii="宋体" w:hAnsi="宋体" w:eastAsia="宋体"/>
          <w:color w:val="auto"/>
          <w:szCs w:val="24"/>
          <w:highlight w:val="none"/>
        </w:rPr>
      </w:pPr>
    </w:p>
    <w:p w14:paraId="7B2D5954">
      <w:pPr>
        <w:pStyle w:val="18"/>
        <w:spacing w:line="360" w:lineRule="auto"/>
        <w:ind w:firstLineChars="200"/>
        <w:rPr>
          <w:rFonts w:hint="eastAsia" w:ascii="宋体" w:hAnsi="宋体" w:eastAsia="宋体"/>
          <w:color w:val="auto"/>
          <w:szCs w:val="24"/>
          <w:highlight w:val="none"/>
        </w:rPr>
      </w:pPr>
      <w:r>
        <w:rPr>
          <w:rFonts w:hint="eastAsia" w:ascii="宋体" w:hAnsi="宋体" w:eastAsia="宋体"/>
          <w:color w:val="auto"/>
          <w:szCs w:val="24"/>
          <w:highlight w:val="none"/>
          <w:lang w:val="en-US" w:eastAsia="zh-CN"/>
        </w:rPr>
        <w:t>1.</w:t>
      </w:r>
      <w:r>
        <w:rPr>
          <w:rFonts w:hint="eastAsia" w:ascii="宋体" w:hAnsi="宋体" w:eastAsia="宋体"/>
          <w:color w:val="auto"/>
          <w:szCs w:val="24"/>
          <w:highlight w:val="none"/>
        </w:rPr>
        <w:t>我公司已完全明确采购文件中鄞州政府采购特殊规定“加强政府采购售后服务、质量管理须知”告知的全部内容，保证按采购文件、投标承诺及政府采购合同要求履行；并在本投标人违反采购文件、投标承诺、政府采购合同和有关法规时愿意按告知内容接受处罚。</w:t>
      </w:r>
    </w:p>
    <w:p w14:paraId="060F906B">
      <w:pPr>
        <w:pStyle w:val="18"/>
        <w:spacing w:line="360" w:lineRule="auto"/>
        <w:ind w:firstLineChars="200"/>
        <w:rPr>
          <w:rFonts w:hint="default" w:ascii="宋体" w:hAnsi="宋体" w:eastAsia="宋体"/>
          <w:color w:val="auto"/>
          <w:szCs w:val="24"/>
          <w:highlight w:val="none"/>
          <w:lang w:val="en-US" w:eastAsia="zh-CN"/>
        </w:rPr>
      </w:pPr>
      <w:r>
        <w:rPr>
          <w:rFonts w:hint="eastAsia" w:ascii="宋体" w:hAnsi="宋体" w:eastAsia="宋体"/>
          <w:color w:val="auto"/>
          <w:szCs w:val="24"/>
          <w:highlight w:val="none"/>
          <w:lang w:val="en-US" w:eastAsia="zh-CN"/>
        </w:rPr>
        <w:t>2.我公司承诺若我公司中标，则在本项目开标日至2年合同履约期限届满之日期间，拟派项目经理、技术负责人均不在其他任何在建合同项目中担任项目经理，否则愿意接受采购人根据违约条款做出的处罚。</w:t>
      </w:r>
    </w:p>
    <w:p w14:paraId="5C6C68F1">
      <w:pPr>
        <w:pStyle w:val="18"/>
        <w:spacing w:line="360" w:lineRule="auto"/>
        <w:ind w:firstLineChars="200"/>
        <w:rPr>
          <w:rFonts w:hint="eastAsia" w:ascii="宋体" w:hAnsi="宋体"/>
          <w:color w:val="auto"/>
          <w:sz w:val="24"/>
          <w:szCs w:val="24"/>
          <w:highlight w:val="none"/>
        </w:rPr>
      </w:pPr>
    </w:p>
    <w:p w14:paraId="4DD080F4">
      <w:pPr>
        <w:spacing w:line="360" w:lineRule="auto"/>
        <w:rPr>
          <w:rFonts w:hint="eastAsia" w:ascii="宋体" w:hAnsi="宋体"/>
          <w:color w:val="auto"/>
          <w:sz w:val="24"/>
          <w:szCs w:val="24"/>
          <w:highlight w:val="none"/>
        </w:rPr>
      </w:pPr>
    </w:p>
    <w:p w14:paraId="36CF4BF7">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投标人（盖章）：         </w:t>
      </w:r>
    </w:p>
    <w:p w14:paraId="37C8467A">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法定代表人或其授权委托人（签名或印章）：        </w:t>
      </w:r>
    </w:p>
    <w:p w14:paraId="76CE9B6C">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日  期：        </w:t>
      </w:r>
    </w:p>
    <w:p w14:paraId="1D04162F">
      <w:pPr>
        <w:wordWrap w:val="0"/>
        <w:spacing w:line="360" w:lineRule="auto"/>
        <w:jc w:val="left"/>
        <w:rPr>
          <w:rFonts w:hint="eastAsia" w:ascii="宋体" w:hAnsi="宋体"/>
          <w:color w:val="auto"/>
          <w:sz w:val="24"/>
          <w:szCs w:val="24"/>
          <w:highlight w:val="none"/>
        </w:rPr>
      </w:pPr>
      <w:r>
        <w:rPr>
          <w:rFonts w:ascii="宋体" w:hAnsi="宋体"/>
          <w:color w:val="auto"/>
          <w:highlight w:val="none"/>
        </w:rPr>
        <w:br w:type="page"/>
      </w:r>
      <w:r>
        <w:rPr>
          <w:rFonts w:hint="eastAsia" w:ascii="宋体" w:hAnsi="宋体"/>
          <w:color w:val="auto"/>
          <w:sz w:val="24"/>
          <w:szCs w:val="24"/>
          <w:highlight w:val="none"/>
        </w:rPr>
        <w:t>B</w:t>
      </w:r>
      <w:r>
        <w:rPr>
          <w:rFonts w:ascii="宋体" w:hAnsi="宋体"/>
          <w:color w:val="auto"/>
          <w:sz w:val="24"/>
          <w:szCs w:val="24"/>
          <w:highlight w:val="none"/>
        </w:rPr>
        <w:t>14</w:t>
      </w:r>
      <w:r>
        <w:rPr>
          <w:rFonts w:hint="eastAsia" w:ascii="宋体" w:hAnsi="宋体"/>
          <w:color w:val="auto"/>
          <w:sz w:val="24"/>
          <w:szCs w:val="24"/>
          <w:highlight w:val="none"/>
        </w:rPr>
        <w:t>、第五章“评标办法及标准”中商务和技术评分表要求提供的资料（如有请提供）；</w:t>
      </w:r>
    </w:p>
    <w:p w14:paraId="2965B987">
      <w:pPr>
        <w:wordWrap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B</w:t>
      </w:r>
      <w:r>
        <w:rPr>
          <w:rFonts w:ascii="宋体" w:hAnsi="宋体"/>
          <w:color w:val="auto"/>
          <w:sz w:val="24"/>
          <w:szCs w:val="24"/>
          <w:highlight w:val="none"/>
        </w:rPr>
        <w:t>15</w:t>
      </w:r>
      <w:r>
        <w:rPr>
          <w:rFonts w:hint="eastAsia" w:ascii="宋体" w:hAnsi="宋体"/>
          <w:color w:val="auto"/>
          <w:sz w:val="24"/>
          <w:szCs w:val="24"/>
          <w:highlight w:val="none"/>
        </w:rPr>
        <w:t>、投标人认为需要的其他资料（如有请提供）。</w:t>
      </w:r>
    </w:p>
    <w:p w14:paraId="25EB1B51">
      <w:pPr>
        <w:wordWrap w:val="0"/>
        <w:spacing w:line="400" w:lineRule="exact"/>
        <w:jc w:val="left"/>
        <w:rPr>
          <w:rStyle w:val="242"/>
          <w:rFonts w:ascii="宋体" w:hAnsi="宋体"/>
          <w:color w:val="auto"/>
          <w:szCs w:val="21"/>
          <w:highlight w:val="none"/>
        </w:rPr>
      </w:pPr>
      <w:r>
        <w:rPr>
          <w:rFonts w:ascii="宋体" w:hAnsi="宋体"/>
          <w:b/>
          <w:color w:val="auto"/>
          <w:szCs w:val="21"/>
          <w:highlight w:val="none"/>
        </w:rPr>
        <w:br w:type="page"/>
      </w:r>
    </w:p>
    <w:p w14:paraId="616523D3">
      <w:pPr>
        <w:spacing w:line="400" w:lineRule="exact"/>
        <w:jc w:val="center"/>
        <w:rPr>
          <w:rStyle w:val="242"/>
          <w:rFonts w:ascii="宋体" w:hAnsi="宋体"/>
          <w:color w:val="auto"/>
          <w:szCs w:val="21"/>
          <w:highlight w:val="none"/>
        </w:rPr>
      </w:pPr>
    </w:p>
    <w:p w14:paraId="77BAF523">
      <w:pPr>
        <w:wordWrap w:val="0"/>
        <w:spacing w:line="400" w:lineRule="exact"/>
        <w:jc w:val="left"/>
        <w:rPr>
          <w:rStyle w:val="242"/>
          <w:rFonts w:ascii="宋体" w:hAnsi="宋体"/>
          <w:color w:val="auto"/>
          <w:sz w:val="28"/>
          <w:szCs w:val="28"/>
          <w:highlight w:val="none"/>
        </w:rPr>
      </w:pPr>
    </w:p>
    <w:p w14:paraId="6FEAAAD0">
      <w:pPr>
        <w:wordWrap w:val="0"/>
        <w:spacing w:line="400" w:lineRule="exact"/>
        <w:jc w:val="center"/>
        <w:outlineLvl w:val="0"/>
        <w:rPr>
          <w:rStyle w:val="242"/>
          <w:rFonts w:ascii="宋体" w:hAnsi="宋体"/>
          <w:color w:val="auto"/>
          <w:sz w:val="32"/>
          <w:szCs w:val="32"/>
          <w:highlight w:val="none"/>
        </w:rPr>
      </w:pPr>
      <w:bookmarkStart w:id="78" w:name="_Toc44162159"/>
      <w:bookmarkStart w:id="79" w:name="_Toc443468293"/>
      <w:bookmarkStart w:id="80" w:name="_Toc130307177"/>
      <w:bookmarkStart w:id="81" w:name="_Toc8677"/>
      <w:bookmarkStart w:id="82" w:name="_Toc21541028"/>
      <w:bookmarkStart w:id="83" w:name="_Toc135513225"/>
      <w:r>
        <w:rPr>
          <w:rStyle w:val="242"/>
          <w:rFonts w:ascii="宋体" w:hAnsi="宋体"/>
          <w:color w:val="auto"/>
          <w:sz w:val="32"/>
          <w:szCs w:val="32"/>
          <w:highlight w:val="none"/>
        </w:rPr>
        <w:t>C</w:t>
      </w:r>
      <w:r>
        <w:rPr>
          <w:rStyle w:val="242"/>
          <w:rFonts w:hint="eastAsia" w:ascii="宋体" w:hAnsi="宋体"/>
          <w:color w:val="auto"/>
          <w:sz w:val="32"/>
          <w:szCs w:val="32"/>
          <w:highlight w:val="none"/>
        </w:rPr>
        <w:t>、报价文件</w:t>
      </w:r>
      <w:bookmarkEnd w:id="78"/>
      <w:bookmarkEnd w:id="79"/>
      <w:bookmarkEnd w:id="80"/>
      <w:bookmarkEnd w:id="81"/>
      <w:bookmarkEnd w:id="82"/>
      <w:bookmarkEnd w:id="83"/>
    </w:p>
    <w:p w14:paraId="299A9ED8">
      <w:pPr>
        <w:wordWrap w:val="0"/>
        <w:autoSpaceDE w:val="0"/>
        <w:autoSpaceDN w:val="0"/>
        <w:adjustRightInd w:val="0"/>
        <w:spacing w:line="420" w:lineRule="exact"/>
        <w:rPr>
          <w:rStyle w:val="242"/>
          <w:rFonts w:ascii="宋体" w:hAnsi="宋体"/>
          <w:b w:val="0"/>
          <w:color w:val="auto"/>
          <w:highlight w:val="none"/>
          <w:lang w:val="zh-CN"/>
        </w:rPr>
      </w:pPr>
      <w:r>
        <w:rPr>
          <w:rStyle w:val="242"/>
          <w:rFonts w:ascii="宋体" w:hAnsi="宋体"/>
          <w:color w:val="auto"/>
          <w:sz w:val="32"/>
          <w:szCs w:val="32"/>
          <w:highlight w:val="none"/>
        </w:rPr>
        <w:br w:type="page"/>
      </w:r>
      <w:r>
        <w:rPr>
          <w:rStyle w:val="242"/>
          <w:rFonts w:hint="eastAsia" w:ascii="宋体" w:hAnsi="宋体"/>
          <w:color w:val="auto"/>
          <w:szCs w:val="21"/>
          <w:highlight w:val="none"/>
        </w:rPr>
        <w:t>封面</w:t>
      </w:r>
    </w:p>
    <w:p w14:paraId="73BADBA9">
      <w:pPr>
        <w:wordWrap w:val="0"/>
        <w:spacing w:line="360" w:lineRule="auto"/>
        <w:ind w:firstLine="1285" w:firstLineChars="400"/>
        <w:jc w:val="right"/>
        <w:rPr>
          <w:rFonts w:ascii="宋体" w:hAnsi="宋体"/>
          <w:b/>
          <w:color w:val="auto"/>
          <w:sz w:val="32"/>
          <w:szCs w:val="32"/>
          <w:highlight w:val="none"/>
        </w:rPr>
      </w:pPr>
      <w:r>
        <w:rPr>
          <w:rFonts w:hint="eastAsia" w:ascii="宋体" w:hAnsi="宋体"/>
          <w:b/>
          <w:color w:val="auto"/>
          <w:sz w:val="32"/>
          <w:szCs w:val="32"/>
          <w:highlight w:val="none"/>
        </w:rPr>
        <w:t>正本</w:t>
      </w:r>
    </w:p>
    <w:p w14:paraId="1AF40216">
      <w:pPr>
        <w:wordWrap w:val="0"/>
        <w:spacing w:line="360" w:lineRule="auto"/>
        <w:rPr>
          <w:rFonts w:ascii="宋体" w:hAnsi="宋体"/>
          <w:color w:val="auto"/>
          <w:sz w:val="28"/>
          <w:szCs w:val="28"/>
          <w:highlight w:val="none"/>
        </w:rPr>
      </w:pPr>
    </w:p>
    <w:p w14:paraId="1AAC6B7B">
      <w:pPr>
        <w:wordWrap w:val="0"/>
        <w:spacing w:after="120" w:line="900" w:lineRule="exact"/>
        <w:jc w:val="center"/>
        <w:rPr>
          <w:rFonts w:hint="eastAsia" w:ascii="宋体" w:hAnsi="宋体" w:eastAsia="宋体"/>
          <w:b/>
          <w:color w:val="auto"/>
          <w:sz w:val="48"/>
          <w:szCs w:val="52"/>
          <w:highlight w:val="none"/>
          <w:lang w:eastAsia="zh-CN"/>
        </w:rPr>
      </w:pPr>
      <w:r>
        <w:rPr>
          <w:rFonts w:hint="eastAsia" w:ascii="宋体" w:hAnsi="宋体"/>
          <w:color w:val="auto"/>
          <w:sz w:val="48"/>
          <w:szCs w:val="52"/>
          <w:highlight w:val="none"/>
          <w:lang w:eastAsia="zh-CN"/>
        </w:rPr>
        <w:t>2026年-2028年鄞州区下应、潘火、首南三街道道路桥梁日常养护项目</w:t>
      </w:r>
    </w:p>
    <w:p w14:paraId="475CD969">
      <w:pPr>
        <w:wordWrap w:val="0"/>
        <w:spacing w:line="360" w:lineRule="auto"/>
        <w:jc w:val="center"/>
        <w:rPr>
          <w:rFonts w:hint="eastAsia" w:ascii="宋体" w:hAnsi="宋体" w:eastAsia="宋体"/>
          <w:color w:val="auto"/>
          <w:sz w:val="36"/>
          <w:szCs w:val="36"/>
          <w:highlight w:val="none"/>
          <w:u w:val="single"/>
          <w:lang w:eastAsia="zh-CN"/>
        </w:rPr>
      </w:pPr>
      <w:r>
        <w:rPr>
          <w:rFonts w:hint="eastAsia" w:ascii="宋体" w:hAnsi="宋体"/>
          <w:color w:val="auto"/>
          <w:sz w:val="36"/>
          <w:szCs w:val="36"/>
          <w:highlight w:val="none"/>
          <w:u w:val="single"/>
        </w:rPr>
        <w:t>采购编号：</w:t>
      </w:r>
      <w:r>
        <w:rPr>
          <w:rFonts w:hint="eastAsia" w:ascii="宋体" w:hAnsi="宋体"/>
          <w:color w:val="auto"/>
          <w:sz w:val="36"/>
          <w:szCs w:val="36"/>
          <w:highlight w:val="none"/>
          <w:u w:val="single"/>
          <w:lang w:eastAsia="zh-CN"/>
        </w:rPr>
        <w:t>NBITC-202620214G</w:t>
      </w:r>
    </w:p>
    <w:p w14:paraId="58EF44BA">
      <w:pPr>
        <w:wordWrap w:val="0"/>
        <w:rPr>
          <w:rFonts w:ascii="宋体" w:hAnsi="宋体"/>
          <w:color w:val="auto"/>
          <w:sz w:val="28"/>
          <w:szCs w:val="28"/>
          <w:highlight w:val="none"/>
        </w:rPr>
      </w:pPr>
    </w:p>
    <w:p w14:paraId="3872A2C3">
      <w:pPr>
        <w:wordWrap w:val="0"/>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（报价文件）</w:t>
      </w:r>
    </w:p>
    <w:p w14:paraId="42E3A5CE">
      <w:pPr>
        <w:wordWrap w:val="0"/>
        <w:jc w:val="center"/>
        <w:rPr>
          <w:rFonts w:ascii="宋体" w:hAnsi="宋体"/>
          <w:color w:val="auto"/>
          <w:sz w:val="28"/>
          <w:szCs w:val="28"/>
          <w:highlight w:val="none"/>
        </w:rPr>
      </w:pPr>
    </w:p>
    <w:p w14:paraId="602B12A3">
      <w:pPr>
        <w:wordWrap w:val="0"/>
        <w:spacing w:line="360" w:lineRule="auto"/>
        <w:jc w:val="center"/>
        <w:rPr>
          <w:rFonts w:ascii="宋体" w:hAnsi="宋体"/>
          <w:b/>
          <w:color w:val="auto"/>
          <w:sz w:val="72"/>
          <w:szCs w:val="72"/>
          <w:highlight w:val="none"/>
        </w:rPr>
      </w:pPr>
    </w:p>
    <w:p w14:paraId="73CF7649">
      <w:pPr>
        <w:wordWrap w:val="0"/>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投标文件</w:t>
      </w:r>
    </w:p>
    <w:p w14:paraId="335C877B">
      <w:pPr>
        <w:wordWrap w:val="0"/>
        <w:spacing w:line="360" w:lineRule="auto"/>
        <w:jc w:val="center"/>
        <w:rPr>
          <w:rFonts w:ascii="宋体" w:hAnsi="宋体"/>
          <w:color w:val="auto"/>
          <w:sz w:val="36"/>
          <w:szCs w:val="36"/>
          <w:highlight w:val="none"/>
        </w:rPr>
      </w:pPr>
    </w:p>
    <w:p w14:paraId="3E37728E">
      <w:pPr>
        <w:wordWrap w:val="0"/>
        <w:spacing w:line="360" w:lineRule="auto"/>
        <w:jc w:val="center"/>
        <w:rPr>
          <w:rFonts w:ascii="宋体" w:hAnsi="宋体"/>
          <w:color w:val="auto"/>
          <w:sz w:val="36"/>
          <w:szCs w:val="36"/>
          <w:highlight w:val="none"/>
        </w:rPr>
      </w:pPr>
    </w:p>
    <w:p w14:paraId="5AB1F0B7">
      <w:pPr>
        <w:wordWrap w:val="0"/>
        <w:spacing w:line="360" w:lineRule="auto"/>
        <w:jc w:val="center"/>
        <w:rPr>
          <w:rFonts w:ascii="宋体" w:hAnsi="宋体"/>
          <w:color w:val="auto"/>
          <w:sz w:val="36"/>
          <w:szCs w:val="36"/>
          <w:highlight w:val="none"/>
        </w:rPr>
      </w:pPr>
    </w:p>
    <w:p w14:paraId="509956BC">
      <w:pPr>
        <w:wordWrap w:val="0"/>
        <w:spacing w:line="480" w:lineRule="auto"/>
        <w:rPr>
          <w:rFonts w:ascii="宋体" w:hAnsi="宋体"/>
          <w:color w:val="auto"/>
          <w:sz w:val="32"/>
          <w:szCs w:val="36"/>
          <w:highlight w:val="none"/>
          <w:u w:val="single"/>
        </w:rPr>
      </w:pPr>
      <w:r>
        <w:rPr>
          <w:rFonts w:hint="eastAsia" w:ascii="宋体" w:hAnsi="宋体"/>
          <w:color w:val="auto"/>
          <w:sz w:val="32"/>
          <w:szCs w:val="36"/>
          <w:highlight w:val="none"/>
        </w:rPr>
        <w:t>投标人全称：</w:t>
      </w:r>
      <w:r>
        <w:rPr>
          <w:rFonts w:hint="eastAsia" w:ascii="宋体" w:hAnsi="宋体"/>
          <w:color w:val="auto"/>
          <w:sz w:val="32"/>
          <w:szCs w:val="36"/>
          <w:highlight w:val="none"/>
          <w:u w:val="single"/>
        </w:rPr>
        <w:t>（加盖单位公章）</w:t>
      </w:r>
    </w:p>
    <w:p w14:paraId="7944BCC5">
      <w:pPr>
        <w:wordWrap w:val="0"/>
        <w:spacing w:line="480" w:lineRule="auto"/>
        <w:rPr>
          <w:rFonts w:hint="eastAsia" w:ascii="宋体" w:hAnsi="宋体"/>
          <w:color w:val="auto"/>
          <w:sz w:val="32"/>
          <w:szCs w:val="36"/>
          <w:highlight w:val="none"/>
          <w:u w:val="single"/>
        </w:rPr>
      </w:pPr>
      <w:r>
        <w:rPr>
          <w:rFonts w:hint="eastAsia" w:ascii="宋体" w:hAnsi="宋体"/>
          <w:color w:val="auto"/>
          <w:sz w:val="32"/>
          <w:szCs w:val="36"/>
          <w:highlight w:val="none"/>
        </w:rPr>
        <w:t>法定代表人或其授权委托人（签名或印章）：</w:t>
      </w:r>
      <w:r>
        <w:rPr>
          <w:rFonts w:hint="eastAsia" w:ascii="宋体" w:hAnsi="宋体"/>
          <w:color w:val="auto"/>
          <w:sz w:val="32"/>
          <w:szCs w:val="36"/>
          <w:highlight w:val="none"/>
          <w:u w:val="single"/>
        </w:rPr>
        <w:t xml:space="preserve">             </w:t>
      </w:r>
    </w:p>
    <w:p w14:paraId="373C0195">
      <w:pPr>
        <w:wordWrap w:val="0"/>
        <w:spacing w:line="480" w:lineRule="auto"/>
        <w:rPr>
          <w:rFonts w:hint="eastAsia" w:ascii="宋体" w:hAnsi="宋体"/>
          <w:color w:val="auto"/>
          <w:sz w:val="32"/>
          <w:szCs w:val="36"/>
          <w:highlight w:val="none"/>
        </w:rPr>
      </w:pPr>
      <w:r>
        <w:rPr>
          <w:rFonts w:hint="eastAsia" w:ascii="宋体" w:hAnsi="宋体"/>
          <w:color w:val="auto"/>
          <w:sz w:val="32"/>
          <w:szCs w:val="36"/>
          <w:highlight w:val="none"/>
        </w:rPr>
        <w:t>日期：</w:t>
      </w:r>
      <w:r>
        <w:rPr>
          <w:rFonts w:hint="eastAsia" w:ascii="宋体" w:hAnsi="宋体"/>
          <w:color w:val="auto"/>
          <w:sz w:val="32"/>
          <w:szCs w:val="36"/>
          <w:highlight w:val="none"/>
          <w:u w:val="single"/>
        </w:rPr>
        <w:t xml:space="preserve">       </w:t>
      </w:r>
      <w:r>
        <w:rPr>
          <w:rFonts w:hint="eastAsia" w:ascii="宋体" w:hAnsi="宋体"/>
          <w:color w:val="auto"/>
          <w:sz w:val="32"/>
          <w:szCs w:val="36"/>
          <w:highlight w:val="none"/>
        </w:rPr>
        <w:t>年</w:t>
      </w:r>
      <w:r>
        <w:rPr>
          <w:rFonts w:hint="eastAsia" w:ascii="宋体" w:hAnsi="宋体"/>
          <w:color w:val="auto"/>
          <w:sz w:val="32"/>
          <w:szCs w:val="36"/>
          <w:highlight w:val="none"/>
          <w:u w:val="single"/>
        </w:rPr>
        <w:t xml:space="preserve">       </w:t>
      </w:r>
      <w:r>
        <w:rPr>
          <w:rFonts w:hint="eastAsia" w:ascii="宋体" w:hAnsi="宋体"/>
          <w:color w:val="auto"/>
          <w:sz w:val="32"/>
          <w:szCs w:val="36"/>
          <w:highlight w:val="none"/>
        </w:rPr>
        <w:t>月</w:t>
      </w:r>
      <w:r>
        <w:rPr>
          <w:rFonts w:hint="eastAsia" w:ascii="宋体" w:hAnsi="宋体"/>
          <w:color w:val="auto"/>
          <w:sz w:val="32"/>
          <w:szCs w:val="36"/>
          <w:highlight w:val="none"/>
          <w:u w:val="single"/>
        </w:rPr>
        <w:t xml:space="preserve">       </w:t>
      </w:r>
      <w:r>
        <w:rPr>
          <w:rFonts w:hint="eastAsia" w:ascii="宋体" w:hAnsi="宋体"/>
          <w:color w:val="auto"/>
          <w:sz w:val="32"/>
          <w:szCs w:val="36"/>
          <w:highlight w:val="none"/>
        </w:rPr>
        <w:t>日</w:t>
      </w:r>
    </w:p>
    <w:p w14:paraId="185955B6">
      <w:pPr>
        <w:wordWrap w:val="0"/>
        <w:autoSpaceDE w:val="0"/>
        <w:autoSpaceDN w:val="0"/>
        <w:adjustRightInd w:val="0"/>
        <w:spacing w:line="400" w:lineRule="exact"/>
        <w:jc w:val="center"/>
        <w:outlineLvl w:val="0"/>
        <w:rPr>
          <w:rFonts w:hint="eastAsia" w:ascii="宋体" w:hAnsi="宋体"/>
          <w:b/>
          <w:color w:val="auto"/>
          <w:sz w:val="24"/>
          <w:szCs w:val="24"/>
          <w:highlight w:val="none"/>
        </w:rPr>
      </w:pPr>
      <w:r>
        <w:rPr>
          <w:rStyle w:val="242"/>
          <w:rFonts w:ascii="宋体" w:hAnsi="宋体"/>
          <w:color w:val="auto"/>
          <w:sz w:val="28"/>
          <w:szCs w:val="28"/>
          <w:highlight w:val="none"/>
        </w:rPr>
        <w:br w:type="page"/>
      </w:r>
      <w:bookmarkEnd w:id="76"/>
      <w:bookmarkEnd w:id="77"/>
      <w:bookmarkStart w:id="84" w:name="_Toc14907"/>
      <w:bookmarkStart w:id="85" w:name="_Toc130307178"/>
      <w:bookmarkStart w:id="86" w:name="_Toc135513226"/>
      <w:bookmarkStart w:id="87" w:name="_Toc69399600"/>
      <w:bookmarkStart w:id="88" w:name="_Toc44162161"/>
      <w:bookmarkStart w:id="89" w:name="_Toc21541030"/>
      <w:r>
        <w:rPr>
          <w:rFonts w:ascii="宋体" w:hAnsi="宋体"/>
          <w:b/>
          <w:color w:val="auto"/>
          <w:sz w:val="24"/>
          <w:szCs w:val="24"/>
          <w:highlight w:val="none"/>
        </w:rPr>
        <w:t>C1</w:t>
      </w:r>
      <w:r>
        <w:rPr>
          <w:rFonts w:hint="eastAsia" w:ascii="宋体" w:hAnsi="宋体"/>
          <w:b/>
          <w:color w:val="auto"/>
          <w:sz w:val="24"/>
          <w:szCs w:val="24"/>
          <w:highlight w:val="none"/>
        </w:rPr>
        <w:t>、开标一览表</w:t>
      </w:r>
      <w:bookmarkEnd w:id="84"/>
      <w:bookmarkEnd w:id="85"/>
      <w:bookmarkEnd w:id="86"/>
      <w:bookmarkEnd w:id="87"/>
      <w:bookmarkEnd w:id="88"/>
      <w:bookmarkEnd w:id="89"/>
    </w:p>
    <w:p w14:paraId="0E12D48C">
      <w:pPr>
        <w:pStyle w:val="18"/>
        <w:wordWrap w:val="0"/>
        <w:spacing w:line="400" w:lineRule="exact"/>
        <w:ind w:firstLine="0"/>
        <w:rPr>
          <w:rFonts w:ascii="宋体" w:hAnsi="宋体" w:eastAsia="宋体"/>
          <w:color w:val="auto"/>
          <w:szCs w:val="24"/>
          <w:highlight w:val="none"/>
        </w:rPr>
      </w:pPr>
    </w:p>
    <w:p w14:paraId="6B71FB74">
      <w:pPr>
        <w:wordWrap w:val="0"/>
        <w:adjustRightInd w:val="0"/>
        <w:snapToGrid w:val="0"/>
        <w:spacing w:line="360" w:lineRule="auto"/>
        <w:rPr>
          <w:rFonts w:ascii="宋体" w:hAnsi="宋体"/>
          <w:color w:val="auto"/>
          <w:sz w:val="24"/>
          <w:szCs w:val="24"/>
          <w:highlight w:val="none"/>
          <w:u w:val="single"/>
        </w:rPr>
      </w:pPr>
      <w:r>
        <w:rPr>
          <w:rFonts w:hint="eastAsia" w:ascii="宋体" w:hAnsi="宋体"/>
          <w:color w:val="auto"/>
          <w:sz w:val="24"/>
          <w:szCs w:val="24"/>
          <w:highlight w:val="none"/>
        </w:rPr>
        <w:t>采购编号：</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NBITC-202620214G</w:t>
      </w:r>
      <w:r>
        <w:rPr>
          <w:rFonts w:hint="eastAsia" w:ascii="宋体" w:hAnsi="宋体"/>
          <w:color w:val="auto"/>
          <w:szCs w:val="21"/>
          <w:highlight w:val="none"/>
          <w:u w:val="single"/>
        </w:rPr>
        <w:t xml:space="preserve"> </w:t>
      </w:r>
    </w:p>
    <w:p w14:paraId="703FAAB0">
      <w:pPr>
        <w:wordWrap w:val="0"/>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2026年-2028年鄞州区下应、潘火、首南三街道道路桥梁日常养护项目</w:t>
      </w:r>
      <w:r>
        <w:rPr>
          <w:rFonts w:ascii="宋体" w:hAnsi="宋体"/>
          <w:color w:val="auto"/>
          <w:szCs w:val="21"/>
          <w:highlight w:val="none"/>
          <w:u w:val="single"/>
        </w:rPr>
        <w:t xml:space="preserve"> </w:t>
      </w:r>
    </w:p>
    <w:p w14:paraId="190B6856">
      <w:pPr>
        <w:pStyle w:val="47"/>
        <w:wordWrap w:val="0"/>
        <w:ind w:firstLine="480"/>
        <w:jc w:val="right"/>
        <w:rPr>
          <w:rFonts w:hint="eastAsia" w:ascii="宋体" w:hAnsi="宋体" w:eastAsia="宋体"/>
          <w:color w:val="auto"/>
          <w:sz w:val="24"/>
          <w:highlight w:val="none"/>
        </w:rPr>
      </w:pPr>
      <w:r>
        <w:rPr>
          <w:rFonts w:hint="eastAsia" w:ascii="宋体" w:hAnsi="宋体" w:eastAsia="宋体"/>
          <w:color w:val="auto"/>
          <w:sz w:val="24"/>
          <w:highlight w:val="none"/>
        </w:rPr>
        <w:t>货币单位：人民币元</w:t>
      </w:r>
    </w:p>
    <w:tbl>
      <w:tblPr>
        <w:tblStyle w:val="48"/>
        <w:tblW w:w="94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3"/>
        <w:gridCol w:w="3402"/>
        <w:gridCol w:w="2450"/>
        <w:gridCol w:w="2693"/>
      </w:tblGrid>
      <w:tr w14:paraId="3B429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1B5CF533">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rPr>
              <w:t>标项号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89EFCA9">
            <w:pPr>
              <w:snapToGrid w:val="0"/>
              <w:spacing w:before="50" w:after="50"/>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项目名称</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39670194">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rPr>
              <w:t>服务期限</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17708CC">
            <w:pPr>
              <w:snapToGrid w:val="0"/>
              <w:spacing w:before="50" w:after="50"/>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投标报价（统一折扣）</w:t>
            </w:r>
          </w:p>
        </w:tc>
      </w:tr>
      <w:tr w14:paraId="47A5B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4" w:hRule="atLeast"/>
          <w:jc w:val="center"/>
        </w:trPr>
        <w:tc>
          <w:tcPr>
            <w:tcW w:w="933" w:type="dxa"/>
            <w:tcBorders>
              <w:top w:val="single" w:color="auto" w:sz="4" w:space="0"/>
              <w:left w:val="single" w:color="auto" w:sz="4" w:space="0"/>
              <w:right w:val="single" w:color="auto" w:sz="4" w:space="0"/>
            </w:tcBorders>
            <w:noWrap w:val="0"/>
            <w:vAlign w:val="center"/>
          </w:tcPr>
          <w:p w14:paraId="0A913415">
            <w:pPr>
              <w:snapToGrid w:val="0"/>
              <w:spacing w:before="50" w:after="50"/>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1</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824AE94">
            <w:pPr>
              <w:snapToGrid w:val="0"/>
              <w:spacing w:before="50" w:after="50"/>
              <w:jc w:val="center"/>
              <w:rPr>
                <w:rFonts w:hint="eastAsia" w:hAnsi="宋体" w:eastAsia="宋体"/>
                <w:color w:val="auto"/>
                <w:szCs w:val="21"/>
                <w:highlight w:val="none"/>
                <w:lang w:eastAsia="zh-CN"/>
              </w:rPr>
            </w:pPr>
            <w:r>
              <w:rPr>
                <w:rFonts w:hint="eastAsia" w:hAnsi="宋体" w:eastAsia="宋体"/>
                <w:color w:val="auto"/>
                <w:szCs w:val="21"/>
                <w:highlight w:val="none"/>
                <w:lang w:eastAsia="zh-CN"/>
              </w:rPr>
              <w:t>2026年-2028年鄞州区下应、潘火、首南三街道道路桥梁日常养护</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24019A14">
            <w:pPr>
              <w:snapToGrid w:val="0"/>
              <w:spacing w:before="50" w:after="50"/>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2年，合同一年一签</w:t>
            </w:r>
          </w:p>
        </w:tc>
        <w:tc>
          <w:tcPr>
            <w:tcW w:w="2693" w:type="dxa"/>
            <w:tcBorders>
              <w:top w:val="single" w:color="auto" w:sz="4" w:space="0"/>
              <w:left w:val="single" w:color="auto" w:sz="4" w:space="0"/>
              <w:right w:val="single" w:color="auto" w:sz="4" w:space="0"/>
            </w:tcBorders>
            <w:noWrap w:val="0"/>
            <w:vAlign w:val="center"/>
          </w:tcPr>
          <w:p w14:paraId="6B79DFB4">
            <w:pPr>
              <w:snapToGrid w:val="0"/>
              <w:spacing w:before="50" w:after="50"/>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w:t>
            </w:r>
          </w:p>
        </w:tc>
      </w:tr>
      <w:tr w14:paraId="6E1F1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4"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39F04EA9">
            <w:pPr>
              <w:snapToGrid w:val="0"/>
              <w:spacing w:before="50" w:after="50"/>
              <w:jc w:val="center"/>
              <w:rPr>
                <w:rFonts w:hint="eastAsia" w:ascii="宋体" w:hAnsi="宋体"/>
                <w:color w:val="auto"/>
                <w:szCs w:val="21"/>
                <w:highlight w:val="none"/>
              </w:rPr>
            </w:pPr>
            <w:r>
              <w:rPr>
                <w:rFonts w:hint="eastAsia" w:ascii="宋体" w:hAnsi="宋体"/>
                <w:color w:val="auto"/>
                <w:szCs w:val="21"/>
                <w:highlight w:val="none"/>
              </w:rPr>
              <w:t>投标</w:t>
            </w:r>
          </w:p>
          <w:p w14:paraId="7D99C950">
            <w:pPr>
              <w:snapToGrid w:val="0"/>
              <w:spacing w:before="50" w:after="50"/>
              <w:jc w:val="center"/>
              <w:rPr>
                <w:rFonts w:hint="eastAsia" w:ascii="宋体" w:hAnsi="宋体"/>
                <w:color w:val="auto"/>
                <w:szCs w:val="21"/>
                <w:highlight w:val="none"/>
              </w:rPr>
            </w:pPr>
            <w:r>
              <w:rPr>
                <w:rFonts w:hint="eastAsia" w:ascii="宋体" w:hAnsi="宋体"/>
                <w:color w:val="auto"/>
                <w:szCs w:val="21"/>
                <w:highlight w:val="none"/>
              </w:rPr>
              <w:t>声明</w:t>
            </w:r>
          </w:p>
        </w:tc>
        <w:tc>
          <w:tcPr>
            <w:tcW w:w="8545" w:type="dxa"/>
            <w:gridSpan w:val="3"/>
            <w:tcBorders>
              <w:top w:val="single" w:color="auto" w:sz="4" w:space="0"/>
              <w:left w:val="single" w:color="auto" w:sz="4" w:space="0"/>
              <w:bottom w:val="single" w:color="auto" w:sz="4" w:space="0"/>
              <w:right w:val="single" w:color="auto" w:sz="4" w:space="0"/>
            </w:tcBorders>
            <w:noWrap w:val="0"/>
            <w:vAlign w:val="top"/>
          </w:tcPr>
          <w:p w14:paraId="38FC78B3">
            <w:pPr>
              <w:snapToGrid w:val="0"/>
              <w:spacing w:before="50" w:after="50"/>
              <w:rPr>
                <w:rFonts w:hint="eastAsia" w:ascii="宋体" w:hAnsi="宋体"/>
                <w:color w:val="auto"/>
                <w:szCs w:val="21"/>
                <w:highlight w:val="none"/>
              </w:rPr>
            </w:pPr>
          </w:p>
        </w:tc>
      </w:tr>
    </w:tbl>
    <w:p w14:paraId="27B6B222">
      <w:pPr>
        <w:spacing w:line="360" w:lineRule="exact"/>
        <w:rPr>
          <w:rFonts w:hint="eastAsia" w:ascii="宋体" w:hAnsi="宋体"/>
          <w:color w:val="auto"/>
          <w:sz w:val="24"/>
          <w:szCs w:val="24"/>
          <w:highlight w:val="none"/>
        </w:rPr>
      </w:pPr>
      <w:r>
        <w:rPr>
          <w:rFonts w:hint="eastAsia" w:ascii="宋体" w:hAnsi="宋体"/>
          <w:color w:val="auto"/>
          <w:sz w:val="24"/>
          <w:szCs w:val="24"/>
          <w:highlight w:val="none"/>
        </w:rPr>
        <w:t>注：1、报价一经涂改，应在涂改处加盖单位公章或者由法定代表人或授权委托人签名或盖章，否则其投标作无效标处理。</w:t>
      </w:r>
    </w:p>
    <w:p w14:paraId="70F4C02D">
      <w:pPr>
        <w:spacing w:line="36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统一折扣填报正数，保留到小数点后1位，如填报90.5%即中标单价在预算价格基础上×90.5%</w:t>
      </w:r>
      <w:r>
        <w:rPr>
          <w:rFonts w:hint="eastAsia" w:ascii="宋体" w:hAnsi="宋体"/>
          <w:color w:val="auto"/>
          <w:sz w:val="24"/>
          <w:szCs w:val="24"/>
          <w:highlight w:val="none"/>
        </w:rPr>
        <w:t>。</w:t>
      </w:r>
    </w:p>
    <w:p w14:paraId="6BD4C7AD">
      <w:pPr>
        <w:spacing w:line="360" w:lineRule="exact"/>
        <w:ind w:right="-363" w:rightChars="-173" w:firstLine="480" w:firstLineChars="200"/>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、投标文件中本表内容与政采云系统“开标一览表”中录入的内容不一致的，以本表为准。</w:t>
      </w:r>
    </w:p>
    <w:p w14:paraId="0D7A9212">
      <w:pPr>
        <w:wordWrap w:val="0"/>
        <w:rPr>
          <w:rFonts w:hint="eastAsia" w:ascii="宋体" w:hAnsi="宋体"/>
          <w:color w:val="auto"/>
          <w:sz w:val="24"/>
          <w:szCs w:val="24"/>
          <w:highlight w:val="none"/>
        </w:rPr>
      </w:pPr>
    </w:p>
    <w:p w14:paraId="24DD0368">
      <w:pPr>
        <w:spacing w:line="360" w:lineRule="auto"/>
        <w:rPr>
          <w:rFonts w:ascii="宋体" w:hAnsi="宋体"/>
          <w:color w:val="auto"/>
          <w:sz w:val="24"/>
          <w:szCs w:val="24"/>
          <w:highlight w:val="none"/>
        </w:rPr>
      </w:pPr>
      <w:bookmarkStart w:id="90" w:name="_Toc14922"/>
      <w:bookmarkStart w:id="91" w:name="_Toc44162162"/>
      <w:bookmarkStart w:id="92" w:name="_Toc21541032"/>
    </w:p>
    <w:p w14:paraId="46048256">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投标人（盖章）：         </w:t>
      </w:r>
    </w:p>
    <w:p w14:paraId="6D1FA7EB">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法定代表人或其授权委托人（签名或印章）：        </w:t>
      </w:r>
    </w:p>
    <w:p w14:paraId="49416863">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 xml:space="preserve">日  期：        </w:t>
      </w:r>
    </w:p>
    <w:p w14:paraId="287C25B9">
      <w:pPr>
        <w:wordWrap w:val="0"/>
        <w:spacing w:line="400" w:lineRule="atLeast"/>
        <w:rPr>
          <w:rFonts w:ascii="宋体" w:hAnsi="宋体"/>
          <w:color w:val="auto"/>
          <w:szCs w:val="21"/>
          <w:highlight w:val="none"/>
        </w:rPr>
      </w:pPr>
    </w:p>
    <w:p w14:paraId="39564437">
      <w:pPr>
        <w:pStyle w:val="18"/>
        <w:wordWrap w:val="0"/>
        <w:spacing w:line="400" w:lineRule="exact"/>
        <w:ind w:firstLine="0"/>
        <w:rPr>
          <w:rFonts w:ascii="宋体" w:hAnsi="宋体" w:eastAsia="宋体"/>
          <w:color w:val="auto"/>
          <w:sz w:val="21"/>
          <w:szCs w:val="21"/>
          <w:highlight w:val="none"/>
          <w:u w:val="single"/>
        </w:rPr>
        <w:sectPr>
          <w:headerReference r:id="rId17" w:type="default"/>
          <w:footerReference r:id="rId18" w:type="default"/>
          <w:pgSz w:w="11907" w:h="16840"/>
          <w:pgMar w:top="1440" w:right="1080" w:bottom="1440" w:left="1080" w:header="284" w:footer="992" w:gutter="0"/>
          <w:cols w:space="720" w:num="1"/>
          <w:docGrid w:linePitch="286" w:charSpace="0"/>
        </w:sectPr>
      </w:pPr>
    </w:p>
    <w:bookmarkEnd w:id="90"/>
    <w:bookmarkEnd w:id="91"/>
    <w:bookmarkEnd w:id="92"/>
    <w:p w14:paraId="72635F07">
      <w:pPr>
        <w:wordWrap w:val="0"/>
        <w:autoSpaceDE w:val="0"/>
        <w:autoSpaceDN w:val="0"/>
        <w:adjustRightInd w:val="0"/>
        <w:spacing w:line="400" w:lineRule="exact"/>
        <w:jc w:val="center"/>
        <w:outlineLvl w:val="0"/>
        <w:rPr>
          <w:rFonts w:ascii="宋体" w:hAnsi="宋体"/>
          <w:b/>
          <w:color w:val="auto"/>
          <w:sz w:val="24"/>
          <w:szCs w:val="24"/>
          <w:highlight w:val="none"/>
        </w:rPr>
      </w:pPr>
      <w:bookmarkStart w:id="93" w:name="_Toc69399601"/>
      <w:bookmarkStart w:id="94" w:name="_Toc135513223"/>
      <w:bookmarkStart w:id="95" w:name="_Toc130307175"/>
      <w:bookmarkStart w:id="96" w:name="_Toc44162163"/>
      <w:bookmarkStart w:id="97" w:name="_Toc135513228"/>
      <w:bookmarkStart w:id="98" w:name="_Toc69399602"/>
      <w:bookmarkStart w:id="99" w:name="_Toc21541033"/>
      <w:bookmarkStart w:id="100" w:name="_Toc26806"/>
      <w:bookmarkStart w:id="101" w:name="_Toc130307180"/>
      <w:r>
        <w:rPr>
          <w:rFonts w:hint="eastAsia" w:ascii="宋体" w:hAnsi="宋体"/>
          <w:b/>
          <w:color w:val="auto"/>
          <w:sz w:val="24"/>
          <w:szCs w:val="24"/>
          <w:highlight w:val="none"/>
          <w:lang w:val="en-US" w:eastAsia="zh-CN"/>
        </w:rPr>
        <w:t>C2</w:t>
      </w:r>
      <w:r>
        <w:rPr>
          <w:rFonts w:hint="eastAsia" w:ascii="宋体" w:hAnsi="宋体"/>
          <w:b/>
          <w:color w:val="auto"/>
          <w:sz w:val="24"/>
          <w:szCs w:val="24"/>
          <w:highlight w:val="none"/>
        </w:rPr>
        <w:t>、中小企业声明函</w:t>
      </w:r>
      <w:bookmarkEnd w:id="93"/>
      <w:bookmarkEnd w:id="94"/>
      <w:bookmarkEnd w:id="95"/>
    </w:p>
    <w:p w14:paraId="42990D56">
      <w:pPr>
        <w:wordWrap w:val="0"/>
        <w:spacing w:line="400" w:lineRule="exact"/>
        <w:rPr>
          <w:rFonts w:ascii="宋体" w:hAnsi="宋体"/>
          <w:b/>
          <w:color w:val="auto"/>
          <w:sz w:val="24"/>
          <w:szCs w:val="24"/>
          <w:highlight w:val="none"/>
        </w:rPr>
      </w:pPr>
    </w:p>
    <w:p w14:paraId="228CCB42">
      <w:pPr>
        <w:jc w:val="center"/>
        <w:rPr>
          <w:rFonts w:hint="eastAsia" w:ascii="宋体" w:hAnsi="宋体"/>
          <w:b/>
          <w:color w:val="auto"/>
          <w:sz w:val="24"/>
          <w:szCs w:val="24"/>
          <w:highlight w:val="none"/>
        </w:rPr>
      </w:pPr>
      <w:r>
        <w:rPr>
          <w:rFonts w:hint="eastAsia" w:ascii="宋体" w:hAnsi="宋体"/>
          <w:b/>
          <w:color w:val="auto"/>
          <w:sz w:val="24"/>
          <w:szCs w:val="24"/>
          <w:highlight w:val="none"/>
        </w:rPr>
        <w:t>中小企业</w:t>
      </w:r>
      <w:r>
        <w:rPr>
          <w:rFonts w:ascii="宋体" w:hAnsi="宋体"/>
          <w:b/>
          <w:color w:val="auto"/>
          <w:sz w:val="24"/>
          <w:szCs w:val="24"/>
          <w:highlight w:val="none"/>
        </w:rPr>
        <w:t>声明函</w:t>
      </w:r>
      <w:r>
        <w:rPr>
          <w:rFonts w:hint="eastAsia" w:ascii="宋体" w:hAnsi="宋体"/>
          <w:b/>
          <w:color w:val="auto"/>
          <w:sz w:val="24"/>
          <w:szCs w:val="24"/>
          <w:highlight w:val="none"/>
        </w:rPr>
        <w:t>（服务）</w:t>
      </w:r>
    </w:p>
    <w:p w14:paraId="5BE6AC1C">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本公司郑重声明，根据《政府采购促进中小企业发展管理办法》（财库﹝2020﹞46号）的规定，本公司参加</w:t>
      </w:r>
      <w:r>
        <w:rPr>
          <w:rFonts w:ascii="宋体" w:hAnsi="宋体"/>
          <w:color w:val="auto"/>
          <w:sz w:val="24"/>
          <w:szCs w:val="24"/>
          <w:highlight w:val="none"/>
          <w:u w:val="single"/>
        </w:rPr>
        <w:t>（单位名称）（项目名称）</w:t>
      </w:r>
      <w:r>
        <w:rPr>
          <w:rFonts w:ascii="宋体" w:hAnsi="宋体"/>
          <w:color w:val="auto"/>
          <w:sz w:val="24"/>
          <w:szCs w:val="24"/>
          <w:highlight w:val="none"/>
        </w:rPr>
        <w:t>采购活动，服务全部由符合政策要求的中小企业承接。相关企业的具体情况如下：</w:t>
      </w:r>
    </w:p>
    <w:p w14:paraId="0111C703">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u w:val="single"/>
          <w:lang w:eastAsia="zh-CN"/>
        </w:rPr>
        <w:t>2026年-2028年鄞州区下应、潘火、首南三街道道路桥梁日常养护</w:t>
      </w:r>
      <w:r>
        <w:rPr>
          <w:rFonts w:ascii="宋体" w:hAnsi="宋体"/>
          <w:color w:val="auto"/>
          <w:sz w:val="24"/>
          <w:szCs w:val="24"/>
          <w:highlight w:val="none"/>
        </w:rPr>
        <w:t>，属于</w:t>
      </w:r>
      <w:r>
        <w:rPr>
          <w:rFonts w:hint="eastAsia" w:ascii="宋体" w:hAnsi="宋体"/>
          <w:color w:val="auto"/>
          <w:sz w:val="24"/>
          <w:szCs w:val="24"/>
          <w:highlight w:val="none"/>
          <w:u w:val="single"/>
        </w:rPr>
        <w:t>其他未列明行业</w:t>
      </w:r>
      <w:r>
        <w:rPr>
          <w:rFonts w:ascii="宋体" w:hAnsi="宋体"/>
          <w:color w:val="auto"/>
          <w:sz w:val="24"/>
          <w:szCs w:val="24"/>
          <w:highlight w:val="none"/>
        </w:rPr>
        <w:t>；承接企业为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人</w:t>
      </w:r>
      <w:r>
        <w:rPr>
          <w:rFonts w:ascii="宋体" w:hAnsi="宋体"/>
          <w:color w:val="auto"/>
          <w:sz w:val="24"/>
          <w:szCs w:val="24"/>
          <w:highlight w:val="none"/>
        </w:rPr>
        <w:t>，营业收入为</w:t>
      </w:r>
      <w:r>
        <w:rPr>
          <w:rFonts w:ascii="宋体" w:hAnsi="宋体"/>
          <w:color w:val="auto"/>
          <w:sz w:val="24"/>
          <w:szCs w:val="24"/>
          <w:highlight w:val="none"/>
          <w:u w:val="single"/>
        </w:rPr>
        <w:t xml:space="preserve">   万元</w:t>
      </w:r>
      <w:r>
        <w:rPr>
          <w:rFonts w:ascii="宋体" w:hAnsi="宋体"/>
          <w:color w:val="auto"/>
          <w:sz w:val="24"/>
          <w:szCs w:val="24"/>
          <w:highlight w:val="none"/>
        </w:rPr>
        <w:t>，资产总额为</w:t>
      </w:r>
      <w:r>
        <w:rPr>
          <w:rFonts w:ascii="宋体" w:hAnsi="宋体"/>
          <w:color w:val="auto"/>
          <w:sz w:val="24"/>
          <w:szCs w:val="24"/>
          <w:highlight w:val="none"/>
          <w:u w:val="single"/>
        </w:rPr>
        <w:t xml:space="preserve">   万元</w:t>
      </w:r>
      <w:r>
        <w:rPr>
          <w:rFonts w:ascii="宋体" w:hAnsi="宋体"/>
          <w:color w:val="auto"/>
          <w:sz w:val="24"/>
          <w:szCs w:val="24"/>
          <w:highlight w:val="none"/>
        </w:rPr>
        <w:t>，属于</w:t>
      </w:r>
      <w:r>
        <w:rPr>
          <w:rFonts w:ascii="宋体" w:hAnsi="宋体"/>
          <w:color w:val="auto"/>
          <w:sz w:val="24"/>
          <w:szCs w:val="24"/>
          <w:highlight w:val="none"/>
          <w:u w:val="single"/>
        </w:rPr>
        <w:t>（中型企业、小型企业、微型企业）</w:t>
      </w:r>
      <w:r>
        <w:rPr>
          <w:rFonts w:ascii="宋体" w:hAnsi="宋体"/>
          <w:color w:val="auto"/>
          <w:sz w:val="24"/>
          <w:szCs w:val="24"/>
          <w:highlight w:val="none"/>
        </w:rPr>
        <w:t>；</w:t>
      </w:r>
    </w:p>
    <w:p w14:paraId="19BC475C">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以上企业，不属于大企业的分支机构，不存在控股股东为大企业的情形，也不存在与大企业的负责人为同一人的情形。</w:t>
      </w:r>
    </w:p>
    <w:p w14:paraId="4B0F0E04">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本企业对上述声明内容的真实性负责。如有虚假，将依法承担相应责任。</w:t>
      </w:r>
    </w:p>
    <w:p w14:paraId="076189B0">
      <w:pPr>
        <w:spacing w:line="440" w:lineRule="exact"/>
        <w:ind w:firstLine="4920" w:firstLineChars="2050"/>
        <w:rPr>
          <w:rFonts w:ascii="宋体" w:hAnsi="宋体"/>
          <w:color w:val="auto"/>
          <w:sz w:val="24"/>
          <w:szCs w:val="24"/>
          <w:highlight w:val="none"/>
        </w:rPr>
      </w:pPr>
    </w:p>
    <w:p w14:paraId="75E422E9">
      <w:pPr>
        <w:spacing w:line="440" w:lineRule="exact"/>
        <w:ind w:firstLine="4920" w:firstLineChars="2050"/>
        <w:rPr>
          <w:rFonts w:ascii="宋体" w:hAnsi="宋体"/>
          <w:color w:val="auto"/>
          <w:sz w:val="24"/>
          <w:szCs w:val="24"/>
          <w:highlight w:val="none"/>
        </w:rPr>
      </w:pPr>
      <w:r>
        <w:rPr>
          <w:rFonts w:ascii="宋体" w:hAnsi="宋体"/>
          <w:color w:val="auto"/>
          <w:sz w:val="24"/>
          <w:szCs w:val="24"/>
          <w:highlight w:val="none"/>
        </w:rPr>
        <w:t>企业名称（盖章）：</w:t>
      </w:r>
    </w:p>
    <w:p w14:paraId="3A5C48A3">
      <w:pPr>
        <w:spacing w:line="440" w:lineRule="exact"/>
        <w:ind w:firstLine="5160" w:firstLineChars="2150"/>
        <w:rPr>
          <w:rFonts w:ascii="宋体" w:hAnsi="宋体"/>
          <w:color w:val="auto"/>
          <w:sz w:val="24"/>
          <w:szCs w:val="24"/>
          <w:highlight w:val="none"/>
        </w:rPr>
      </w:pPr>
      <w:r>
        <w:rPr>
          <w:rFonts w:ascii="宋体" w:hAnsi="宋体"/>
          <w:color w:val="auto"/>
          <w:sz w:val="24"/>
          <w:szCs w:val="24"/>
          <w:highlight w:val="none"/>
        </w:rPr>
        <w:t>日 期：</w:t>
      </w:r>
    </w:p>
    <w:p w14:paraId="05A0D055">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注：</w:t>
      </w:r>
    </w:p>
    <w:p w14:paraId="53E4853F">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1）从业人员、营业收入、资产总额填报上一年度数据。无上一年度数据的新成立企业可不填报。</w:t>
      </w:r>
    </w:p>
    <w:p w14:paraId="4CD38559">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2）中小企业划型标准按工信部联企业〔2011〕300号文件，提供虚假资料者责任自负。</w:t>
      </w:r>
    </w:p>
    <w:p w14:paraId="0976ED5A">
      <w:pPr>
        <w:rPr>
          <w:rFonts w:hint="eastAsia" w:ascii="宋体" w:hAnsi="宋体"/>
          <w:color w:val="auto"/>
          <w:szCs w:val="21"/>
          <w:highlight w:val="none"/>
        </w:rPr>
      </w:pPr>
    </w:p>
    <w:p w14:paraId="778FEAFC">
      <w:pPr>
        <w:rPr>
          <w:rFonts w:hint="eastAsia" w:ascii="宋体" w:hAnsi="宋体"/>
          <w:color w:val="auto"/>
          <w:szCs w:val="21"/>
          <w:highlight w:val="none"/>
        </w:rPr>
      </w:pPr>
    </w:p>
    <w:p w14:paraId="301F3D0F">
      <w:pPr>
        <w:contextualSpacing/>
        <w:rPr>
          <w:rFonts w:ascii="宋体" w:hAnsi="宋体" w:cs="宋体"/>
          <w:color w:val="auto"/>
          <w:szCs w:val="21"/>
          <w:highlight w:val="none"/>
        </w:rPr>
        <w:sectPr>
          <w:headerReference r:id="rId19" w:type="default"/>
          <w:footerReference r:id="rId20" w:type="default"/>
          <w:pgSz w:w="11907" w:h="16840"/>
          <w:pgMar w:top="1440" w:right="1080" w:bottom="1440" w:left="1080" w:header="285" w:footer="990" w:gutter="0"/>
          <w:cols w:space="720" w:num="1"/>
          <w:docGrid w:linePitch="286" w:charSpace="0"/>
        </w:sectPr>
      </w:pPr>
    </w:p>
    <w:tbl>
      <w:tblPr>
        <w:tblStyle w:val="48"/>
        <w:tblW w:w="15110" w:type="dxa"/>
        <w:tblInd w:w="-176" w:type="dxa"/>
        <w:tblLayout w:type="fixed"/>
        <w:tblCellMar>
          <w:top w:w="0" w:type="dxa"/>
          <w:left w:w="108" w:type="dxa"/>
          <w:bottom w:w="0" w:type="dxa"/>
          <w:right w:w="108" w:type="dxa"/>
        </w:tblCellMar>
      </w:tblPr>
      <w:tblGrid>
        <w:gridCol w:w="2005"/>
        <w:gridCol w:w="1514"/>
        <w:gridCol w:w="1781"/>
        <w:gridCol w:w="1681"/>
        <w:gridCol w:w="1254"/>
        <w:gridCol w:w="1497"/>
        <w:gridCol w:w="1540"/>
        <w:gridCol w:w="1299"/>
        <w:gridCol w:w="1289"/>
        <w:gridCol w:w="1238"/>
        <w:gridCol w:w="12"/>
      </w:tblGrid>
      <w:tr w14:paraId="09DD17FE">
        <w:tblPrEx>
          <w:tblCellMar>
            <w:top w:w="0" w:type="dxa"/>
            <w:left w:w="108" w:type="dxa"/>
            <w:bottom w:w="0" w:type="dxa"/>
            <w:right w:w="108" w:type="dxa"/>
          </w:tblCellMar>
        </w:tblPrEx>
        <w:trPr>
          <w:trHeight w:val="127" w:hRule="atLeast"/>
        </w:trPr>
        <w:tc>
          <w:tcPr>
            <w:tcW w:w="15110" w:type="dxa"/>
            <w:gridSpan w:val="11"/>
            <w:tcBorders>
              <w:top w:val="nil"/>
              <w:left w:val="nil"/>
              <w:bottom w:val="nil"/>
              <w:right w:val="nil"/>
            </w:tcBorders>
            <w:noWrap w:val="0"/>
            <w:vAlign w:val="bottom"/>
          </w:tcPr>
          <w:p w14:paraId="27BA27A8">
            <w:pPr>
              <w:widowControl/>
              <w:wordWrap w:val="0"/>
              <w:jc w:val="center"/>
              <w:rPr>
                <w:rFonts w:ascii="宋体" w:hAnsi="宋体" w:cs="宋体"/>
                <w:b/>
                <w:bCs/>
                <w:color w:val="auto"/>
                <w:kern w:val="0"/>
                <w:sz w:val="32"/>
                <w:szCs w:val="32"/>
                <w:highlight w:val="none"/>
              </w:rPr>
            </w:pPr>
            <w:r>
              <w:rPr>
                <w:rFonts w:hint="eastAsia" w:ascii="宋体" w:hAnsi="宋体" w:cs="宋体"/>
                <w:b/>
                <w:bCs/>
                <w:color w:val="auto"/>
                <w:kern w:val="0"/>
                <w:sz w:val="24"/>
                <w:highlight w:val="none"/>
              </w:rPr>
              <w:t>中小微行业划型标准规定（根据工信部联企业〔</w:t>
            </w:r>
            <w:r>
              <w:rPr>
                <w:rFonts w:ascii="宋体" w:hAnsi="宋体" w:cs="宋体"/>
                <w:b/>
                <w:bCs/>
                <w:color w:val="auto"/>
                <w:kern w:val="0"/>
                <w:sz w:val="24"/>
                <w:highlight w:val="none"/>
              </w:rPr>
              <w:t>2011</w:t>
            </w:r>
            <w:r>
              <w:rPr>
                <w:rFonts w:hint="eastAsia" w:ascii="宋体" w:hAnsi="宋体" w:cs="宋体"/>
                <w:b/>
                <w:bCs/>
                <w:color w:val="auto"/>
                <w:kern w:val="0"/>
                <w:sz w:val="24"/>
                <w:highlight w:val="none"/>
              </w:rPr>
              <w:t>〕</w:t>
            </w:r>
            <w:r>
              <w:rPr>
                <w:rFonts w:ascii="宋体" w:hAnsi="宋体" w:cs="宋体"/>
                <w:b/>
                <w:bCs/>
                <w:color w:val="auto"/>
                <w:kern w:val="0"/>
                <w:sz w:val="24"/>
                <w:highlight w:val="none"/>
              </w:rPr>
              <w:t>300</w:t>
            </w:r>
            <w:r>
              <w:rPr>
                <w:rFonts w:hint="eastAsia" w:ascii="宋体" w:hAnsi="宋体" w:cs="宋体"/>
                <w:b/>
                <w:bCs/>
                <w:color w:val="auto"/>
                <w:kern w:val="0"/>
                <w:sz w:val="24"/>
                <w:highlight w:val="none"/>
              </w:rPr>
              <w:t>号制定）</w:t>
            </w:r>
          </w:p>
        </w:tc>
      </w:tr>
      <w:tr w14:paraId="098D758B">
        <w:tblPrEx>
          <w:tblCellMar>
            <w:top w:w="0" w:type="dxa"/>
            <w:left w:w="108" w:type="dxa"/>
            <w:bottom w:w="0" w:type="dxa"/>
            <w:right w:w="108" w:type="dxa"/>
          </w:tblCellMar>
        </w:tblPrEx>
        <w:trPr>
          <w:gridAfter w:val="1"/>
          <w:wAfter w:w="12" w:type="dxa"/>
          <w:trHeight w:val="394" w:hRule="atLeast"/>
        </w:trPr>
        <w:tc>
          <w:tcPr>
            <w:tcW w:w="2005" w:type="dxa"/>
            <w:vMerge w:val="restart"/>
            <w:tcBorders>
              <w:top w:val="single" w:color="auto" w:sz="8" w:space="0"/>
              <w:left w:val="single" w:color="auto" w:sz="8" w:space="0"/>
              <w:bottom w:val="single" w:color="000000" w:sz="4" w:space="0"/>
              <w:right w:val="single" w:color="auto" w:sz="8" w:space="0"/>
            </w:tcBorders>
            <w:noWrap w:val="0"/>
            <w:vAlign w:val="center"/>
          </w:tcPr>
          <w:p w14:paraId="08BBDF31">
            <w:pPr>
              <w:widowControl/>
              <w:wordWrap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行业</w:t>
            </w:r>
          </w:p>
        </w:tc>
        <w:tc>
          <w:tcPr>
            <w:tcW w:w="4976" w:type="dxa"/>
            <w:gridSpan w:val="3"/>
            <w:tcBorders>
              <w:top w:val="single" w:color="auto" w:sz="8" w:space="0"/>
              <w:left w:val="nil"/>
              <w:bottom w:val="single" w:color="auto" w:sz="4" w:space="0"/>
              <w:right w:val="single" w:color="000000" w:sz="8" w:space="0"/>
            </w:tcBorders>
            <w:noWrap w:val="0"/>
            <w:vAlign w:val="bottom"/>
          </w:tcPr>
          <w:p w14:paraId="5D2D4915">
            <w:pPr>
              <w:widowControl/>
              <w:wordWrap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中型企业</w:t>
            </w:r>
          </w:p>
        </w:tc>
        <w:tc>
          <w:tcPr>
            <w:tcW w:w="4291" w:type="dxa"/>
            <w:gridSpan w:val="3"/>
            <w:tcBorders>
              <w:top w:val="single" w:color="auto" w:sz="8" w:space="0"/>
              <w:left w:val="nil"/>
              <w:bottom w:val="single" w:color="auto" w:sz="4" w:space="0"/>
              <w:right w:val="single" w:color="000000" w:sz="8" w:space="0"/>
            </w:tcBorders>
            <w:noWrap w:val="0"/>
            <w:vAlign w:val="bottom"/>
          </w:tcPr>
          <w:p w14:paraId="75772A7B">
            <w:pPr>
              <w:widowControl/>
              <w:wordWrap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小型企业</w:t>
            </w:r>
          </w:p>
        </w:tc>
        <w:tc>
          <w:tcPr>
            <w:tcW w:w="3826" w:type="dxa"/>
            <w:gridSpan w:val="3"/>
            <w:tcBorders>
              <w:top w:val="single" w:color="auto" w:sz="8" w:space="0"/>
              <w:left w:val="nil"/>
              <w:bottom w:val="single" w:color="auto" w:sz="4" w:space="0"/>
              <w:right w:val="single" w:color="000000" w:sz="8" w:space="0"/>
            </w:tcBorders>
            <w:noWrap w:val="0"/>
            <w:vAlign w:val="bottom"/>
          </w:tcPr>
          <w:p w14:paraId="131DB7CB">
            <w:pPr>
              <w:widowControl/>
              <w:wordWrap w:val="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微型企业</w:t>
            </w:r>
          </w:p>
        </w:tc>
      </w:tr>
      <w:tr w14:paraId="6A17169F">
        <w:tblPrEx>
          <w:tblCellMar>
            <w:top w:w="0" w:type="dxa"/>
            <w:left w:w="108" w:type="dxa"/>
            <w:bottom w:w="0" w:type="dxa"/>
            <w:right w:w="108" w:type="dxa"/>
          </w:tblCellMar>
        </w:tblPrEx>
        <w:trPr>
          <w:gridAfter w:val="1"/>
          <w:wAfter w:w="12" w:type="dxa"/>
          <w:trHeight w:val="445" w:hRule="atLeast"/>
        </w:trPr>
        <w:tc>
          <w:tcPr>
            <w:tcW w:w="2005" w:type="dxa"/>
            <w:vMerge w:val="continue"/>
            <w:tcBorders>
              <w:top w:val="single" w:color="auto" w:sz="8" w:space="0"/>
              <w:left w:val="single" w:color="auto" w:sz="8" w:space="0"/>
              <w:bottom w:val="single" w:color="000000" w:sz="4" w:space="0"/>
              <w:right w:val="single" w:color="auto" w:sz="8" w:space="0"/>
            </w:tcBorders>
            <w:noWrap w:val="0"/>
            <w:vAlign w:val="center"/>
          </w:tcPr>
          <w:p w14:paraId="1751BDEC">
            <w:pPr>
              <w:widowControl/>
              <w:wordWrap w:val="0"/>
              <w:jc w:val="left"/>
              <w:rPr>
                <w:rFonts w:ascii="宋体" w:hAnsi="宋体" w:cs="宋体"/>
                <w:b/>
                <w:bCs/>
                <w:color w:val="auto"/>
                <w:kern w:val="0"/>
                <w:sz w:val="24"/>
                <w:highlight w:val="none"/>
              </w:rPr>
            </w:pPr>
          </w:p>
        </w:tc>
        <w:tc>
          <w:tcPr>
            <w:tcW w:w="1514" w:type="dxa"/>
            <w:tcBorders>
              <w:top w:val="nil"/>
              <w:left w:val="nil"/>
              <w:bottom w:val="single" w:color="auto" w:sz="4" w:space="0"/>
              <w:right w:val="single" w:color="auto" w:sz="4" w:space="0"/>
            </w:tcBorders>
            <w:noWrap w:val="0"/>
            <w:vAlign w:val="bottom"/>
          </w:tcPr>
          <w:p w14:paraId="429EDD45">
            <w:pPr>
              <w:widowControl/>
              <w:wordWrap w:val="0"/>
              <w:jc w:val="center"/>
              <w:rPr>
                <w:rFonts w:ascii="宋体" w:hAnsi="宋体" w:cs="宋体"/>
                <w:color w:val="auto"/>
                <w:kern w:val="0"/>
                <w:sz w:val="20"/>
                <w:highlight w:val="none"/>
              </w:rPr>
            </w:pPr>
            <w:r>
              <w:rPr>
                <w:rFonts w:hint="eastAsia" w:ascii="宋体" w:hAnsi="宋体" w:cs="宋体"/>
                <w:color w:val="auto"/>
                <w:kern w:val="0"/>
                <w:sz w:val="20"/>
                <w:highlight w:val="none"/>
              </w:rPr>
              <w:t>从业人员</w:t>
            </w:r>
            <w:r>
              <w:rPr>
                <w:rFonts w:ascii="宋体" w:hAnsi="宋体" w:cs="宋体"/>
                <w:color w:val="auto"/>
                <w:kern w:val="0"/>
                <w:sz w:val="20"/>
                <w:highlight w:val="none"/>
              </w:rPr>
              <w:t>X</w:t>
            </w:r>
            <w:r>
              <w:rPr>
                <w:rFonts w:hint="eastAsia" w:ascii="宋体" w:hAnsi="宋体" w:cs="宋体"/>
                <w:color w:val="auto"/>
                <w:kern w:val="0"/>
                <w:sz w:val="20"/>
                <w:highlight w:val="none"/>
              </w:rPr>
              <w:t>（人）</w:t>
            </w:r>
          </w:p>
        </w:tc>
        <w:tc>
          <w:tcPr>
            <w:tcW w:w="1781" w:type="dxa"/>
            <w:tcBorders>
              <w:top w:val="nil"/>
              <w:left w:val="nil"/>
              <w:bottom w:val="single" w:color="auto" w:sz="4" w:space="0"/>
              <w:right w:val="single" w:color="auto" w:sz="4" w:space="0"/>
            </w:tcBorders>
            <w:noWrap w:val="0"/>
            <w:vAlign w:val="bottom"/>
          </w:tcPr>
          <w:p w14:paraId="21AB9F75">
            <w:pPr>
              <w:widowControl/>
              <w:wordWrap w:val="0"/>
              <w:jc w:val="center"/>
              <w:rPr>
                <w:rFonts w:ascii="宋体" w:hAnsi="宋体" w:cs="宋体"/>
                <w:color w:val="auto"/>
                <w:kern w:val="0"/>
                <w:sz w:val="20"/>
                <w:highlight w:val="none"/>
              </w:rPr>
            </w:pPr>
            <w:r>
              <w:rPr>
                <w:rFonts w:hint="eastAsia" w:ascii="宋体" w:hAnsi="宋体" w:cs="宋体"/>
                <w:color w:val="auto"/>
                <w:kern w:val="0"/>
                <w:sz w:val="20"/>
                <w:highlight w:val="none"/>
              </w:rPr>
              <w:t>营业收入</w:t>
            </w:r>
            <w:r>
              <w:rPr>
                <w:rFonts w:ascii="宋体" w:hAnsi="宋体" w:cs="宋体"/>
                <w:color w:val="auto"/>
                <w:kern w:val="0"/>
                <w:sz w:val="20"/>
                <w:highlight w:val="none"/>
              </w:rPr>
              <w:t>Y</w:t>
            </w:r>
          </w:p>
          <w:p w14:paraId="104DBC46">
            <w:pPr>
              <w:widowControl/>
              <w:wordWrap w:val="0"/>
              <w:jc w:val="center"/>
              <w:rPr>
                <w:rFonts w:ascii="宋体" w:hAnsi="宋体" w:cs="宋体"/>
                <w:color w:val="auto"/>
                <w:kern w:val="0"/>
                <w:sz w:val="20"/>
                <w:highlight w:val="none"/>
              </w:rPr>
            </w:pPr>
            <w:r>
              <w:rPr>
                <w:rFonts w:hint="eastAsia" w:ascii="宋体" w:hAnsi="宋体" w:cs="宋体"/>
                <w:color w:val="auto"/>
                <w:kern w:val="0"/>
                <w:sz w:val="20"/>
                <w:highlight w:val="none"/>
              </w:rPr>
              <w:t>（万元）</w:t>
            </w:r>
          </w:p>
        </w:tc>
        <w:tc>
          <w:tcPr>
            <w:tcW w:w="1681" w:type="dxa"/>
            <w:tcBorders>
              <w:top w:val="nil"/>
              <w:left w:val="nil"/>
              <w:bottom w:val="single" w:color="auto" w:sz="4" w:space="0"/>
              <w:right w:val="single" w:color="auto" w:sz="8" w:space="0"/>
            </w:tcBorders>
            <w:noWrap w:val="0"/>
            <w:vAlign w:val="bottom"/>
          </w:tcPr>
          <w:p w14:paraId="07CB7975">
            <w:pPr>
              <w:widowControl/>
              <w:wordWrap w:val="0"/>
              <w:jc w:val="center"/>
              <w:rPr>
                <w:rFonts w:ascii="宋体" w:hAnsi="宋体" w:cs="宋体"/>
                <w:color w:val="auto"/>
                <w:kern w:val="0"/>
                <w:sz w:val="20"/>
                <w:highlight w:val="none"/>
              </w:rPr>
            </w:pPr>
            <w:r>
              <w:rPr>
                <w:rFonts w:hint="eastAsia" w:ascii="宋体" w:hAnsi="宋体" w:cs="宋体"/>
                <w:color w:val="auto"/>
                <w:kern w:val="0"/>
                <w:sz w:val="20"/>
                <w:highlight w:val="none"/>
              </w:rPr>
              <w:t>资产总额</w:t>
            </w:r>
            <w:r>
              <w:rPr>
                <w:rFonts w:ascii="宋体" w:hAnsi="宋体" w:cs="宋体"/>
                <w:color w:val="auto"/>
                <w:kern w:val="0"/>
                <w:sz w:val="20"/>
                <w:highlight w:val="none"/>
              </w:rPr>
              <w:t>Z</w:t>
            </w:r>
          </w:p>
          <w:p w14:paraId="5682F187">
            <w:pPr>
              <w:widowControl/>
              <w:wordWrap w:val="0"/>
              <w:jc w:val="center"/>
              <w:rPr>
                <w:rFonts w:ascii="宋体" w:hAnsi="宋体" w:cs="宋体"/>
                <w:color w:val="auto"/>
                <w:kern w:val="0"/>
                <w:sz w:val="20"/>
                <w:highlight w:val="none"/>
              </w:rPr>
            </w:pPr>
            <w:r>
              <w:rPr>
                <w:rFonts w:hint="eastAsia" w:ascii="宋体" w:hAnsi="宋体" w:cs="宋体"/>
                <w:color w:val="auto"/>
                <w:kern w:val="0"/>
                <w:sz w:val="20"/>
                <w:highlight w:val="none"/>
              </w:rPr>
              <w:t>（万元）</w:t>
            </w:r>
          </w:p>
        </w:tc>
        <w:tc>
          <w:tcPr>
            <w:tcW w:w="1254" w:type="dxa"/>
            <w:tcBorders>
              <w:top w:val="nil"/>
              <w:left w:val="nil"/>
              <w:bottom w:val="single" w:color="auto" w:sz="4" w:space="0"/>
              <w:right w:val="single" w:color="auto" w:sz="4" w:space="0"/>
            </w:tcBorders>
            <w:noWrap w:val="0"/>
            <w:vAlign w:val="bottom"/>
          </w:tcPr>
          <w:p w14:paraId="1E6189F4">
            <w:pPr>
              <w:widowControl/>
              <w:wordWrap w:val="0"/>
              <w:jc w:val="center"/>
              <w:rPr>
                <w:rFonts w:ascii="宋体" w:hAnsi="宋体" w:cs="宋体"/>
                <w:color w:val="auto"/>
                <w:kern w:val="0"/>
                <w:sz w:val="20"/>
                <w:highlight w:val="none"/>
              </w:rPr>
            </w:pPr>
            <w:r>
              <w:rPr>
                <w:rFonts w:hint="eastAsia" w:ascii="宋体" w:hAnsi="宋体" w:cs="宋体"/>
                <w:color w:val="auto"/>
                <w:kern w:val="0"/>
                <w:sz w:val="20"/>
                <w:highlight w:val="none"/>
              </w:rPr>
              <w:t>从业人员</w:t>
            </w:r>
            <w:r>
              <w:rPr>
                <w:rFonts w:ascii="宋体" w:hAnsi="宋体" w:cs="宋体"/>
                <w:color w:val="auto"/>
                <w:kern w:val="0"/>
                <w:sz w:val="20"/>
                <w:highlight w:val="none"/>
              </w:rPr>
              <w:t>X</w:t>
            </w:r>
            <w:r>
              <w:rPr>
                <w:rFonts w:hint="eastAsia" w:ascii="宋体" w:hAnsi="宋体" w:cs="宋体"/>
                <w:color w:val="auto"/>
                <w:kern w:val="0"/>
                <w:sz w:val="20"/>
                <w:highlight w:val="none"/>
              </w:rPr>
              <w:t>（人）</w:t>
            </w:r>
          </w:p>
        </w:tc>
        <w:tc>
          <w:tcPr>
            <w:tcW w:w="1497" w:type="dxa"/>
            <w:tcBorders>
              <w:top w:val="nil"/>
              <w:left w:val="nil"/>
              <w:bottom w:val="single" w:color="auto" w:sz="4" w:space="0"/>
              <w:right w:val="single" w:color="auto" w:sz="4" w:space="0"/>
            </w:tcBorders>
            <w:noWrap w:val="0"/>
            <w:vAlign w:val="bottom"/>
          </w:tcPr>
          <w:p w14:paraId="5502F5B8">
            <w:pPr>
              <w:widowControl/>
              <w:wordWrap w:val="0"/>
              <w:jc w:val="center"/>
              <w:rPr>
                <w:rFonts w:ascii="宋体" w:hAnsi="宋体" w:cs="宋体"/>
                <w:color w:val="auto"/>
                <w:kern w:val="0"/>
                <w:sz w:val="20"/>
                <w:highlight w:val="none"/>
              </w:rPr>
            </w:pPr>
            <w:r>
              <w:rPr>
                <w:rFonts w:hint="eastAsia" w:ascii="宋体" w:hAnsi="宋体" w:cs="宋体"/>
                <w:color w:val="auto"/>
                <w:kern w:val="0"/>
                <w:sz w:val="20"/>
                <w:highlight w:val="none"/>
              </w:rPr>
              <w:t>营业收入</w:t>
            </w:r>
            <w:r>
              <w:rPr>
                <w:rFonts w:ascii="宋体" w:hAnsi="宋体" w:cs="宋体"/>
                <w:color w:val="auto"/>
                <w:kern w:val="0"/>
                <w:sz w:val="20"/>
                <w:highlight w:val="none"/>
              </w:rPr>
              <w:t>Y</w:t>
            </w:r>
          </w:p>
          <w:p w14:paraId="7FF34366">
            <w:pPr>
              <w:widowControl/>
              <w:wordWrap w:val="0"/>
              <w:jc w:val="center"/>
              <w:rPr>
                <w:rFonts w:ascii="宋体" w:hAnsi="宋体" w:cs="宋体"/>
                <w:color w:val="auto"/>
                <w:kern w:val="0"/>
                <w:sz w:val="20"/>
                <w:highlight w:val="none"/>
              </w:rPr>
            </w:pPr>
            <w:r>
              <w:rPr>
                <w:rFonts w:hint="eastAsia" w:ascii="宋体" w:hAnsi="宋体" w:cs="宋体"/>
                <w:color w:val="auto"/>
                <w:kern w:val="0"/>
                <w:sz w:val="20"/>
                <w:highlight w:val="none"/>
              </w:rPr>
              <w:t>（万元）</w:t>
            </w:r>
          </w:p>
        </w:tc>
        <w:tc>
          <w:tcPr>
            <w:tcW w:w="1540" w:type="dxa"/>
            <w:tcBorders>
              <w:top w:val="nil"/>
              <w:left w:val="nil"/>
              <w:bottom w:val="single" w:color="auto" w:sz="4" w:space="0"/>
              <w:right w:val="single" w:color="auto" w:sz="8" w:space="0"/>
            </w:tcBorders>
            <w:noWrap w:val="0"/>
            <w:vAlign w:val="bottom"/>
          </w:tcPr>
          <w:p w14:paraId="7B14C5BD">
            <w:pPr>
              <w:widowControl/>
              <w:wordWrap w:val="0"/>
              <w:jc w:val="center"/>
              <w:rPr>
                <w:rFonts w:ascii="宋体" w:hAnsi="宋体" w:cs="宋体"/>
                <w:color w:val="auto"/>
                <w:kern w:val="0"/>
                <w:sz w:val="20"/>
                <w:highlight w:val="none"/>
              </w:rPr>
            </w:pPr>
            <w:r>
              <w:rPr>
                <w:rFonts w:hint="eastAsia" w:ascii="宋体" w:hAnsi="宋体" w:cs="宋体"/>
                <w:color w:val="auto"/>
                <w:kern w:val="0"/>
                <w:sz w:val="20"/>
                <w:highlight w:val="none"/>
              </w:rPr>
              <w:t>资产总额</w:t>
            </w:r>
            <w:r>
              <w:rPr>
                <w:rFonts w:ascii="宋体" w:hAnsi="宋体" w:cs="宋体"/>
                <w:color w:val="auto"/>
                <w:kern w:val="0"/>
                <w:sz w:val="20"/>
                <w:highlight w:val="none"/>
              </w:rPr>
              <w:t>Z</w:t>
            </w:r>
          </w:p>
          <w:p w14:paraId="7F42C873">
            <w:pPr>
              <w:widowControl/>
              <w:wordWrap w:val="0"/>
              <w:jc w:val="center"/>
              <w:rPr>
                <w:rFonts w:ascii="宋体" w:hAnsi="宋体" w:cs="宋体"/>
                <w:color w:val="auto"/>
                <w:kern w:val="0"/>
                <w:sz w:val="20"/>
                <w:highlight w:val="none"/>
              </w:rPr>
            </w:pPr>
            <w:r>
              <w:rPr>
                <w:rFonts w:hint="eastAsia" w:ascii="宋体" w:hAnsi="宋体" w:cs="宋体"/>
                <w:color w:val="auto"/>
                <w:kern w:val="0"/>
                <w:sz w:val="20"/>
                <w:highlight w:val="none"/>
              </w:rPr>
              <w:t>（万元）</w:t>
            </w:r>
          </w:p>
        </w:tc>
        <w:tc>
          <w:tcPr>
            <w:tcW w:w="1299" w:type="dxa"/>
            <w:tcBorders>
              <w:top w:val="nil"/>
              <w:left w:val="nil"/>
              <w:bottom w:val="single" w:color="auto" w:sz="4" w:space="0"/>
              <w:right w:val="single" w:color="auto" w:sz="4" w:space="0"/>
            </w:tcBorders>
            <w:noWrap w:val="0"/>
            <w:vAlign w:val="bottom"/>
          </w:tcPr>
          <w:p w14:paraId="314FAA64">
            <w:pPr>
              <w:widowControl/>
              <w:wordWrap w:val="0"/>
              <w:jc w:val="center"/>
              <w:rPr>
                <w:rFonts w:ascii="宋体" w:hAnsi="宋体" w:cs="宋体"/>
                <w:color w:val="auto"/>
                <w:kern w:val="0"/>
                <w:sz w:val="20"/>
                <w:highlight w:val="none"/>
              </w:rPr>
            </w:pPr>
            <w:r>
              <w:rPr>
                <w:rFonts w:hint="eastAsia" w:ascii="宋体" w:hAnsi="宋体" w:cs="宋体"/>
                <w:color w:val="auto"/>
                <w:kern w:val="0"/>
                <w:sz w:val="20"/>
                <w:highlight w:val="none"/>
              </w:rPr>
              <w:t>从业人员</w:t>
            </w:r>
            <w:r>
              <w:rPr>
                <w:rFonts w:ascii="宋体" w:hAnsi="宋体" w:cs="宋体"/>
                <w:color w:val="auto"/>
                <w:kern w:val="0"/>
                <w:sz w:val="20"/>
                <w:highlight w:val="none"/>
              </w:rPr>
              <w:t>X</w:t>
            </w:r>
            <w:r>
              <w:rPr>
                <w:rFonts w:hint="eastAsia" w:ascii="宋体" w:hAnsi="宋体" w:cs="宋体"/>
                <w:color w:val="auto"/>
                <w:kern w:val="0"/>
                <w:sz w:val="20"/>
                <w:highlight w:val="none"/>
              </w:rPr>
              <w:t>（人）</w:t>
            </w:r>
          </w:p>
        </w:tc>
        <w:tc>
          <w:tcPr>
            <w:tcW w:w="1289" w:type="dxa"/>
            <w:tcBorders>
              <w:top w:val="nil"/>
              <w:left w:val="nil"/>
              <w:bottom w:val="single" w:color="auto" w:sz="4" w:space="0"/>
              <w:right w:val="single" w:color="auto" w:sz="4" w:space="0"/>
            </w:tcBorders>
            <w:noWrap w:val="0"/>
            <w:vAlign w:val="bottom"/>
          </w:tcPr>
          <w:p w14:paraId="2FE84116">
            <w:pPr>
              <w:widowControl/>
              <w:wordWrap w:val="0"/>
              <w:jc w:val="center"/>
              <w:rPr>
                <w:rFonts w:ascii="宋体" w:hAnsi="宋体" w:cs="宋体"/>
                <w:color w:val="auto"/>
                <w:kern w:val="0"/>
                <w:sz w:val="20"/>
                <w:highlight w:val="none"/>
              </w:rPr>
            </w:pPr>
            <w:r>
              <w:rPr>
                <w:rFonts w:hint="eastAsia" w:ascii="宋体" w:hAnsi="宋体" w:cs="宋体"/>
                <w:color w:val="auto"/>
                <w:kern w:val="0"/>
                <w:sz w:val="20"/>
                <w:highlight w:val="none"/>
              </w:rPr>
              <w:t>营业收入</w:t>
            </w:r>
            <w:r>
              <w:rPr>
                <w:rFonts w:ascii="宋体" w:hAnsi="宋体" w:cs="宋体"/>
                <w:color w:val="auto"/>
                <w:kern w:val="0"/>
                <w:sz w:val="20"/>
                <w:highlight w:val="none"/>
              </w:rPr>
              <w:t>Y</w:t>
            </w:r>
            <w:r>
              <w:rPr>
                <w:rFonts w:hint="eastAsia" w:ascii="宋体" w:hAnsi="宋体" w:cs="宋体"/>
                <w:color w:val="auto"/>
                <w:kern w:val="0"/>
                <w:sz w:val="20"/>
                <w:highlight w:val="none"/>
              </w:rPr>
              <w:t>（万元）</w:t>
            </w:r>
          </w:p>
        </w:tc>
        <w:tc>
          <w:tcPr>
            <w:tcW w:w="1238" w:type="dxa"/>
            <w:tcBorders>
              <w:top w:val="nil"/>
              <w:left w:val="nil"/>
              <w:bottom w:val="single" w:color="auto" w:sz="4" w:space="0"/>
              <w:right w:val="single" w:color="auto" w:sz="8" w:space="0"/>
            </w:tcBorders>
            <w:noWrap w:val="0"/>
            <w:vAlign w:val="bottom"/>
          </w:tcPr>
          <w:p w14:paraId="548E5F56">
            <w:pPr>
              <w:widowControl/>
              <w:wordWrap w:val="0"/>
              <w:jc w:val="center"/>
              <w:rPr>
                <w:rFonts w:ascii="宋体" w:hAnsi="宋体" w:cs="宋体"/>
                <w:color w:val="auto"/>
                <w:kern w:val="0"/>
                <w:sz w:val="20"/>
                <w:highlight w:val="none"/>
              </w:rPr>
            </w:pPr>
            <w:r>
              <w:rPr>
                <w:rFonts w:hint="eastAsia" w:ascii="宋体" w:hAnsi="宋体" w:cs="宋体"/>
                <w:color w:val="auto"/>
                <w:kern w:val="0"/>
                <w:sz w:val="20"/>
                <w:highlight w:val="none"/>
              </w:rPr>
              <w:t>资产总额</w:t>
            </w:r>
            <w:r>
              <w:rPr>
                <w:rFonts w:ascii="宋体" w:hAnsi="宋体" w:cs="宋体"/>
                <w:color w:val="auto"/>
                <w:kern w:val="0"/>
                <w:sz w:val="20"/>
                <w:highlight w:val="none"/>
              </w:rPr>
              <w:t>Z</w:t>
            </w:r>
            <w:r>
              <w:rPr>
                <w:rFonts w:hint="eastAsia" w:ascii="宋体" w:hAnsi="宋体" w:cs="宋体"/>
                <w:color w:val="auto"/>
                <w:kern w:val="0"/>
                <w:sz w:val="20"/>
                <w:highlight w:val="none"/>
              </w:rPr>
              <w:t>（万元）</w:t>
            </w:r>
          </w:p>
        </w:tc>
      </w:tr>
      <w:tr w14:paraId="07A5DE48">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79C09745">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 xml:space="preserve"> 1</w:t>
            </w:r>
            <w:r>
              <w:rPr>
                <w:rFonts w:hint="eastAsia" w:ascii="宋体" w:hAnsi="宋体" w:cs="宋体"/>
                <w:color w:val="auto"/>
                <w:kern w:val="0"/>
                <w:sz w:val="20"/>
                <w:highlight w:val="none"/>
              </w:rPr>
              <w:t>、农林牧渔业</w:t>
            </w:r>
          </w:p>
        </w:tc>
        <w:tc>
          <w:tcPr>
            <w:tcW w:w="1514" w:type="dxa"/>
            <w:tcBorders>
              <w:top w:val="nil"/>
              <w:left w:val="nil"/>
              <w:bottom w:val="single" w:color="auto" w:sz="4" w:space="0"/>
              <w:right w:val="single" w:color="auto" w:sz="4" w:space="0"/>
            </w:tcBorders>
            <w:noWrap w:val="0"/>
            <w:vAlign w:val="center"/>
          </w:tcPr>
          <w:p w14:paraId="4E772FC4">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781" w:type="dxa"/>
            <w:tcBorders>
              <w:top w:val="nil"/>
              <w:left w:val="nil"/>
              <w:bottom w:val="single" w:color="auto" w:sz="4" w:space="0"/>
              <w:right w:val="single" w:color="auto" w:sz="4" w:space="0"/>
            </w:tcBorders>
            <w:noWrap w:val="0"/>
            <w:vAlign w:val="center"/>
          </w:tcPr>
          <w:p w14:paraId="53B52441">
            <w:pPr>
              <w:widowControl/>
              <w:wordWrap w:val="0"/>
              <w:rPr>
                <w:rFonts w:ascii="宋体" w:hAnsi="宋体" w:cs="宋体"/>
                <w:color w:val="auto"/>
                <w:kern w:val="0"/>
                <w:sz w:val="20"/>
                <w:highlight w:val="none"/>
              </w:rPr>
            </w:pPr>
            <w:r>
              <w:rPr>
                <w:rFonts w:ascii="宋体" w:hAnsi="宋体" w:cs="宋体"/>
                <w:color w:val="auto"/>
                <w:kern w:val="0"/>
                <w:sz w:val="20"/>
                <w:highlight w:val="none"/>
              </w:rPr>
              <w:t>500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20000</w:t>
            </w:r>
          </w:p>
        </w:tc>
        <w:tc>
          <w:tcPr>
            <w:tcW w:w="1681" w:type="dxa"/>
            <w:tcBorders>
              <w:top w:val="nil"/>
              <w:left w:val="nil"/>
              <w:bottom w:val="single" w:color="auto" w:sz="4" w:space="0"/>
              <w:right w:val="single" w:color="auto" w:sz="8" w:space="0"/>
            </w:tcBorders>
            <w:noWrap w:val="0"/>
            <w:vAlign w:val="center"/>
          </w:tcPr>
          <w:p w14:paraId="6D469BE7">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54" w:type="dxa"/>
            <w:tcBorders>
              <w:top w:val="nil"/>
              <w:left w:val="nil"/>
              <w:bottom w:val="single" w:color="auto" w:sz="4" w:space="0"/>
              <w:right w:val="single" w:color="auto" w:sz="4" w:space="0"/>
            </w:tcBorders>
            <w:noWrap w:val="0"/>
            <w:vAlign w:val="center"/>
          </w:tcPr>
          <w:p w14:paraId="7D0BC0B3">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497" w:type="dxa"/>
            <w:tcBorders>
              <w:top w:val="nil"/>
              <w:left w:val="nil"/>
              <w:bottom w:val="single" w:color="auto" w:sz="4" w:space="0"/>
              <w:right w:val="single" w:color="auto" w:sz="4" w:space="0"/>
            </w:tcBorders>
            <w:noWrap w:val="0"/>
            <w:vAlign w:val="center"/>
          </w:tcPr>
          <w:p w14:paraId="419AD7E9">
            <w:pPr>
              <w:widowControl/>
              <w:wordWrap w:val="0"/>
              <w:rPr>
                <w:rFonts w:ascii="宋体" w:hAnsi="宋体" w:cs="宋体"/>
                <w:color w:val="auto"/>
                <w:kern w:val="0"/>
                <w:sz w:val="20"/>
                <w:highlight w:val="none"/>
              </w:rPr>
            </w:pPr>
            <w:r>
              <w:rPr>
                <w:rFonts w:ascii="宋体" w:hAnsi="宋体" w:cs="宋体"/>
                <w:color w:val="auto"/>
                <w:kern w:val="0"/>
                <w:sz w:val="20"/>
                <w:highlight w:val="none"/>
              </w:rPr>
              <w:t>50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500</w:t>
            </w:r>
          </w:p>
        </w:tc>
        <w:tc>
          <w:tcPr>
            <w:tcW w:w="1540" w:type="dxa"/>
            <w:tcBorders>
              <w:top w:val="nil"/>
              <w:left w:val="nil"/>
              <w:bottom w:val="single" w:color="auto" w:sz="4" w:space="0"/>
              <w:right w:val="single" w:color="auto" w:sz="8" w:space="0"/>
            </w:tcBorders>
            <w:noWrap w:val="0"/>
            <w:vAlign w:val="center"/>
          </w:tcPr>
          <w:p w14:paraId="5BE9A7F9">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99" w:type="dxa"/>
            <w:tcBorders>
              <w:top w:val="nil"/>
              <w:left w:val="nil"/>
              <w:bottom w:val="single" w:color="auto" w:sz="4" w:space="0"/>
              <w:right w:val="single" w:color="auto" w:sz="4" w:space="0"/>
            </w:tcBorders>
            <w:noWrap w:val="0"/>
            <w:vAlign w:val="center"/>
          </w:tcPr>
          <w:p w14:paraId="658C0E31">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9" w:type="dxa"/>
            <w:tcBorders>
              <w:top w:val="nil"/>
              <w:left w:val="nil"/>
              <w:bottom w:val="single" w:color="auto" w:sz="4" w:space="0"/>
              <w:right w:val="single" w:color="auto" w:sz="4" w:space="0"/>
            </w:tcBorders>
            <w:noWrap w:val="0"/>
            <w:vAlign w:val="center"/>
          </w:tcPr>
          <w:p w14:paraId="61CE0DEB">
            <w:pPr>
              <w:widowControl/>
              <w:wordWrap w:val="0"/>
              <w:rPr>
                <w:rFonts w:ascii="宋体" w:hAnsi="宋体" w:cs="宋体"/>
                <w:color w:val="auto"/>
                <w:kern w:val="0"/>
                <w:sz w:val="20"/>
                <w:highlight w:val="none"/>
              </w:rPr>
            </w:pP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50</w:t>
            </w:r>
          </w:p>
        </w:tc>
        <w:tc>
          <w:tcPr>
            <w:tcW w:w="1238" w:type="dxa"/>
            <w:tcBorders>
              <w:top w:val="nil"/>
              <w:left w:val="nil"/>
              <w:bottom w:val="single" w:color="auto" w:sz="4" w:space="0"/>
              <w:right w:val="single" w:color="auto" w:sz="8" w:space="0"/>
            </w:tcBorders>
            <w:noWrap w:val="0"/>
            <w:vAlign w:val="center"/>
          </w:tcPr>
          <w:p w14:paraId="3B979B42">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18A77B9B">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517C4D2B">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 xml:space="preserve"> 2</w:t>
            </w:r>
            <w:r>
              <w:rPr>
                <w:rFonts w:hint="eastAsia" w:ascii="宋体" w:hAnsi="宋体" w:cs="宋体"/>
                <w:color w:val="auto"/>
                <w:kern w:val="0"/>
                <w:sz w:val="20"/>
                <w:highlight w:val="none"/>
              </w:rPr>
              <w:t>、工业</w:t>
            </w:r>
          </w:p>
        </w:tc>
        <w:tc>
          <w:tcPr>
            <w:tcW w:w="1514" w:type="dxa"/>
            <w:tcBorders>
              <w:top w:val="nil"/>
              <w:left w:val="nil"/>
              <w:bottom w:val="single" w:color="auto" w:sz="4" w:space="0"/>
              <w:right w:val="single" w:color="auto" w:sz="4" w:space="0"/>
            </w:tcBorders>
            <w:noWrap w:val="0"/>
            <w:vAlign w:val="center"/>
          </w:tcPr>
          <w:p w14:paraId="622A2A06">
            <w:pPr>
              <w:widowControl/>
              <w:wordWrap w:val="0"/>
              <w:rPr>
                <w:rFonts w:ascii="宋体" w:hAnsi="宋体" w:cs="宋体"/>
                <w:color w:val="auto"/>
                <w:kern w:val="0"/>
                <w:sz w:val="20"/>
                <w:highlight w:val="none"/>
              </w:rPr>
            </w:pPr>
            <w:r>
              <w:rPr>
                <w:rFonts w:ascii="宋体" w:hAnsi="宋体" w:cs="宋体"/>
                <w:color w:val="auto"/>
                <w:kern w:val="0"/>
                <w:sz w:val="20"/>
                <w:highlight w:val="none"/>
              </w:rPr>
              <w:t>300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1000</w:t>
            </w:r>
          </w:p>
        </w:tc>
        <w:tc>
          <w:tcPr>
            <w:tcW w:w="1781" w:type="dxa"/>
            <w:tcBorders>
              <w:top w:val="nil"/>
              <w:left w:val="nil"/>
              <w:bottom w:val="single" w:color="auto" w:sz="4" w:space="0"/>
              <w:right w:val="single" w:color="auto" w:sz="4" w:space="0"/>
            </w:tcBorders>
            <w:noWrap w:val="0"/>
            <w:vAlign w:val="center"/>
          </w:tcPr>
          <w:p w14:paraId="5CD745E9">
            <w:pPr>
              <w:widowControl/>
              <w:wordWrap w:val="0"/>
              <w:rPr>
                <w:rFonts w:ascii="宋体" w:hAnsi="宋体" w:cs="宋体"/>
                <w:color w:val="auto"/>
                <w:kern w:val="0"/>
                <w:sz w:val="20"/>
                <w:highlight w:val="none"/>
              </w:rPr>
            </w:pPr>
            <w:r>
              <w:rPr>
                <w:rFonts w:ascii="宋体" w:hAnsi="宋体" w:cs="宋体"/>
                <w:color w:val="auto"/>
                <w:kern w:val="0"/>
                <w:sz w:val="20"/>
                <w:highlight w:val="none"/>
              </w:rPr>
              <w:t>2000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40000</w:t>
            </w:r>
          </w:p>
        </w:tc>
        <w:tc>
          <w:tcPr>
            <w:tcW w:w="1681" w:type="dxa"/>
            <w:tcBorders>
              <w:top w:val="nil"/>
              <w:left w:val="nil"/>
              <w:bottom w:val="single" w:color="auto" w:sz="4" w:space="0"/>
              <w:right w:val="single" w:color="auto" w:sz="8" w:space="0"/>
            </w:tcBorders>
            <w:noWrap w:val="0"/>
            <w:vAlign w:val="center"/>
          </w:tcPr>
          <w:p w14:paraId="763558CA">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54" w:type="dxa"/>
            <w:tcBorders>
              <w:top w:val="nil"/>
              <w:left w:val="nil"/>
              <w:bottom w:val="single" w:color="auto" w:sz="4" w:space="0"/>
              <w:right w:val="single" w:color="auto" w:sz="4" w:space="0"/>
            </w:tcBorders>
            <w:noWrap w:val="0"/>
            <w:vAlign w:val="center"/>
          </w:tcPr>
          <w:p w14:paraId="3607A11E">
            <w:pPr>
              <w:widowControl/>
              <w:wordWrap w:val="0"/>
              <w:rPr>
                <w:rFonts w:ascii="宋体" w:hAnsi="宋体" w:cs="宋体"/>
                <w:color w:val="auto"/>
                <w:kern w:val="0"/>
                <w:sz w:val="20"/>
                <w:highlight w:val="none"/>
              </w:rPr>
            </w:pPr>
            <w:r>
              <w:rPr>
                <w:rFonts w:ascii="宋体" w:hAnsi="宋体" w:cs="宋体"/>
                <w:color w:val="auto"/>
                <w:kern w:val="0"/>
                <w:sz w:val="20"/>
                <w:highlight w:val="none"/>
              </w:rPr>
              <w:t>20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300</w:t>
            </w:r>
          </w:p>
        </w:tc>
        <w:tc>
          <w:tcPr>
            <w:tcW w:w="1497" w:type="dxa"/>
            <w:tcBorders>
              <w:top w:val="nil"/>
              <w:left w:val="nil"/>
              <w:bottom w:val="single" w:color="auto" w:sz="4" w:space="0"/>
              <w:right w:val="single" w:color="auto" w:sz="4" w:space="0"/>
            </w:tcBorders>
            <w:noWrap w:val="0"/>
            <w:vAlign w:val="center"/>
          </w:tcPr>
          <w:p w14:paraId="03802BDA">
            <w:pPr>
              <w:widowControl/>
              <w:wordWrap w:val="0"/>
              <w:rPr>
                <w:rFonts w:ascii="宋体" w:hAnsi="宋体" w:cs="宋体"/>
                <w:color w:val="auto"/>
                <w:kern w:val="0"/>
                <w:sz w:val="20"/>
                <w:highlight w:val="none"/>
              </w:rPr>
            </w:pPr>
            <w:r>
              <w:rPr>
                <w:rFonts w:ascii="宋体" w:hAnsi="宋体" w:cs="宋体"/>
                <w:color w:val="auto"/>
                <w:kern w:val="0"/>
                <w:sz w:val="20"/>
                <w:highlight w:val="none"/>
              </w:rPr>
              <w:t>300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2000</w:t>
            </w:r>
          </w:p>
        </w:tc>
        <w:tc>
          <w:tcPr>
            <w:tcW w:w="1540" w:type="dxa"/>
            <w:tcBorders>
              <w:top w:val="nil"/>
              <w:left w:val="nil"/>
              <w:bottom w:val="single" w:color="auto" w:sz="4" w:space="0"/>
              <w:right w:val="single" w:color="auto" w:sz="8" w:space="0"/>
            </w:tcBorders>
            <w:noWrap w:val="0"/>
            <w:vAlign w:val="center"/>
          </w:tcPr>
          <w:p w14:paraId="3E4A4DD1">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99" w:type="dxa"/>
            <w:tcBorders>
              <w:top w:val="nil"/>
              <w:left w:val="nil"/>
              <w:bottom w:val="single" w:color="auto" w:sz="4" w:space="0"/>
              <w:right w:val="single" w:color="auto" w:sz="4" w:space="0"/>
            </w:tcBorders>
            <w:noWrap w:val="0"/>
            <w:vAlign w:val="center"/>
          </w:tcPr>
          <w:p w14:paraId="1E5E2723">
            <w:pPr>
              <w:widowControl/>
              <w:wordWrap w:val="0"/>
              <w:rPr>
                <w:rFonts w:ascii="宋体" w:hAnsi="宋体" w:cs="宋体"/>
                <w:color w:val="auto"/>
                <w:kern w:val="0"/>
                <w:sz w:val="20"/>
                <w:highlight w:val="none"/>
              </w:rPr>
            </w:pP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20</w:t>
            </w:r>
          </w:p>
        </w:tc>
        <w:tc>
          <w:tcPr>
            <w:tcW w:w="1289" w:type="dxa"/>
            <w:tcBorders>
              <w:top w:val="nil"/>
              <w:left w:val="nil"/>
              <w:bottom w:val="single" w:color="auto" w:sz="4" w:space="0"/>
              <w:right w:val="single" w:color="auto" w:sz="4" w:space="0"/>
            </w:tcBorders>
            <w:noWrap w:val="0"/>
            <w:vAlign w:val="center"/>
          </w:tcPr>
          <w:p w14:paraId="7F367E51">
            <w:pPr>
              <w:widowControl/>
              <w:wordWrap w:val="0"/>
              <w:rPr>
                <w:rFonts w:ascii="宋体" w:hAnsi="宋体" w:cs="宋体"/>
                <w:color w:val="auto"/>
                <w:kern w:val="0"/>
                <w:sz w:val="20"/>
                <w:highlight w:val="none"/>
              </w:rPr>
            </w:pP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300</w:t>
            </w:r>
          </w:p>
        </w:tc>
        <w:tc>
          <w:tcPr>
            <w:tcW w:w="1238" w:type="dxa"/>
            <w:tcBorders>
              <w:top w:val="nil"/>
              <w:left w:val="nil"/>
              <w:bottom w:val="single" w:color="auto" w:sz="4" w:space="0"/>
              <w:right w:val="single" w:color="auto" w:sz="8" w:space="0"/>
            </w:tcBorders>
            <w:noWrap w:val="0"/>
            <w:vAlign w:val="center"/>
          </w:tcPr>
          <w:p w14:paraId="02C5AC57">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672A87D0">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51DD45F4">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 xml:space="preserve"> 3</w:t>
            </w:r>
            <w:r>
              <w:rPr>
                <w:rFonts w:hint="eastAsia" w:ascii="宋体" w:hAnsi="宋体" w:cs="宋体"/>
                <w:color w:val="auto"/>
                <w:kern w:val="0"/>
                <w:sz w:val="20"/>
                <w:highlight w:val="none"/>
              </w:rPr>
              <w:t>、建筑业</w:t>
            </w:r>
          </w:p>
        </w:tc>
        <w:tc>
          <w:tcPr>
            <w:tcW w:w="1514" w:type="dxa"/>
            <w:tcBorders>
              <w:top w:val="nil"/>
              <w:left w:val="nil"/>
              <w:bottom w:val="single" w:color="auto" w:sz="4" w:space="0"/>
              <w:right w:val="single" w:color="auto" w:sz="4" w:space="0"/>
            </w:tcBorders>
            <w:noWrap w:val="0"/>
            <w:vAlign w:val="center"/>
          </w:tcPr>
          <w:p w14:paraId="2FE62DFC">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781" w:type="dxa"/>
            <w:tcBorders>
              <w:top w:val="nil"/>
              <w:left w:val="nil"/>
              <w:bottom w:val="single" w:color="auto" w:sz="4" w:space="0"/>
              <w:right w:val="single" w:color="auto" w:sz="4" w:space="0"/>
            </w:tcBorders>
            <w:noWrap w:val="0"/>
            <w:vAlign w:val="center"/>
          </w:tcPr>
          <w:p w14:paraId="56141E5E">
            <w:pPr>
              <w:widowControl/>
              <w:wordWrap w:val="0"/>
              <w:rPr>
                <w:rFonts w:ascii="宋体" w:hAnsi="宋体" w:cs="宋体"/>
                <w:color w:val="auto"/>
                <w:kern w:val="0"/>
                <w:sz w:val="20"/>
                <w:highlight w:val="none"/>
              </w:rPr>
            </w:pPr>
            <w:r>
              <w:rPr>
                <w:rFonts w:ascii="宋体" w:hAnsi="宋体" w:cs="宋体"/>
                <w:color w:val="auto"/>
                <w:kern w:val="0"/>
                <w:sz w:val="20"/>
                <w:highlight w:val="none"/>
              </w:rPr>
              <w:t>6000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80000</w:t>
            </w:r>
          </w:p>
        </w:tc>
        <w:tc>
          <w:tcPr>
            <w:tcW w:w="1681" w:type="dxa"/>
            <w:tcBorders>
              <w:top w:val="nil"/>
              <w:left w:val="nil"/>
              <w:bottom w:val="single" w:color="auto" w:sz="4" w:space="0"/>
              <w:right w:val="single" w:color="auto" w:sz="8" w:space="0"/>
            </w:tcBorders>
            <w:noWrap w:val="0"/>
            <w:vAlign w:val="center"/>
          </w:tcPr>
          <w:p w14:paraId="1D308F50">
            <w:pPr>
              <w:widowControl/>
              <w:wordWrap w:val="0"/>
              <w:rPr>
                <w:rFonts w:ascii="宋体" w:hAnsi="宋体" w:cs="宋体"/>
                <w:color w:val="auto"/>
                <w:kern w:val="0"/>
                <w:sz w:val="20"/>
                <w:highlight w:val="none"/>
              </w:rPr>
            </w:pPr>
            <w:r>
              <w:rPr>
                <w:rFonts w:ascii="宋体" w:hAnsi="宋体" w:cs="宋体"/>
                <w:color w:val="auto"/>
                <w:kern w:val="0"/>
                <w:sz w:val="20"/>
                <w:highlight w:val="none"/>
              </w:rPr>
              <w:t>5000</w:t>
            </w:r>
            <w:r>
              <w:rPr>
                <w:rFonts w:hint="eastAsia" w:ascii="宋体" w:hAnsi="宋体" w:cs="宋体"/>
                <w:color w:val="auto"/>
                <w:kern w:val="0"/>
                <w:sz w:val="20"/>
                <w:highlight w:val="none"/>
              </w:rPr>
              <w:t>≤</w:t>
            </w:r>
            <w:r>
              <w:rPr>
                <w:rFonts w:ascii="宋体" w:hAnsi="宋体" w:cs="宋体"/>
                <w:color w:val="auto"/>
                <w:kern w:val="0"/>
                <w:sz w:val="20"/>
                <w:highlight w:val="none"/>
              </w:rPr>
              <w:t>Z</w:t>
            </w:r>
            <w:r>
              <w:rPr>
                <w:rFonts w:hint="eastAsia" w:ascii="宋体" w:hAnsi="宋体" w:cs="宋体"/>
                <w:color w:val="auto"/>
                <w:kern w:val="0"/>
                <w:sz w:val="20"/>
                <w:highlight w:val="none"/>
              </w:rPr>
              <w:t>＜</w:t>
            </w:r>
            <w:r>
              <w:rPr>
                <w:rFonts w:ascii="宋体" w:hAnsi="宋体" w:cs="宋体"/>
                <w:color w:val="auto"/>
                <w:kern w:val="0"/>
                <w:sz w:val="20"/>
                <w:highlight w:val="none"/>
              </w:rPr>
              <w:t>80000</w:t>
            </w:r>
          </w:p>
        </w:tc>
        <w:tc>
          <w:tcPr>
            <w:tcW w:w="1254" w:type="dxa"/>
            <w:tcBorders>
              <w:top w:val="nil"/>
              <w:left w:val="nil"/>
              <w:bottom w:val="single" w:color="auto" w:sz="4" w:space="0"/>
              <w:right w:val="single" w:color="auto" w:sz="4" w:space="0"/>
            </w:tcBorders>
            <w:noWrap w:val="0"/>
            <w:vAlign w:val="center"/>
          </w:tcPr>
          <w:p w14:paraId="53231FCA">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497" w:type="dxa"/>
            <w:tcBorders>
              <w:top w:val="nil"/>
              <w:left w:val="nil"/>
              <w:bottom w:val="single" w:color="auto" w:sz="4" w:space="0"/>
              <w:right w:val="single" w:color="auto" w:sz="4" w:space="0"/>
            </w:tcBorders>
            <w:noWrap w:val="0"/>
            <w:vAlign w:val="center"/>
          </w:tcPr>
          <w:p w14:paraId="1F2EC6D4">
            <w:pPr>
              <w:widowControl/>
              <w:wordWrap w:val="0"/>
              <w:rPr>
                <w:rFonts w:ascii="宋体" w:hAnsi="宋体" w:cs="宋体"/>
                <w:color w:val="auto"/>
                <w:kern w:val="0"/>
                <w:sz w:val="20"/>
                <w:highlight w:val="none"/>
              </w:rPr>
            </w:pPr>
            <w:r>
              <w:rPr>
                <w:rFonts w:ascii="宋体" w:hAnsi="宋体" w:cs="宋体"/>
                <w:color w:val="auto"/>
                <w:kern w:val="0"/>
                <w:sz w:val="20"/>
                <w:highlight w:val="none"/>
              </w:rPr>
              <w:t>300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6000</w:t>
            </w:r>
          </w:p>
        </w:tc>
        <w:tc>
          <w:tcPr>
            <w:tcW w:w="1540" w:type="dxa"/>
            <w:tcBorders>
              <w:top w:val="nil"/>
              <w:left w:val="nil"/>
              <w:bottom w:val="single" w:color="auto" w:sz="4" w:space="0"/>
              <w:right w:val="single" w:color="auto" w:sz="8" w:space="0"/>
            </w:tcBorders>
            <w:noWrap w:val="0"/>
            <w:vAlign w:val="center"/>
          </w:tcPr>
          <w:p w14:paraId="20B525A5">
            <w:pPr>
              <w:widowControl/>
              <w:wordWrap w:val="0"/>
              <w:rPr>
                <w:rFonts w:ascii="宋体" w:hAnsi="宋体" w:cs="宋体"/>
                <w:color w:val="auto"/>
                <w:kern w:val="0"/>
                <w:sz w:val="20"/>
                <w:highlight w:val="none"/>
              </w:rPr>
            </w:pPr>
            <w:r>
              <w:rPr>
                <w:rFonts w:ascii="宋体" w:hAnsi="宋体" w:cs="宋体"/>
                <w:color w:val="auto"/>
                <w:kern w:val="0"/>
                <w:sz w:val="20"/>
                <w:highlight w:val="none"/>
              </w:rPr>
              <w:t>300</w:t>
            </w:r>
            <w:r>
              <w:rPr>
                <w:rFonts w:hint="eastAsia" w:ascii="宋体" w:hAnsi="宋体" w:cs="宋体"/>
                <w:color w:val="auto"/>
                <w:kern w:val="0"/>
                <w:sz w:val="20"/>
                <w:highlight w:val="none"/>
              </w:rPr>
              <w:t>≤</w:t>
            </w:r>
            <w:r>
              <w:rPr>
                <w:rFonts w:ascii="宋体" w:hAnsi="宋体" w:cs="宋体"/>
                <w:color w:val="auto"/>
                <w:kern w:val="0"/>
                <w:sz w:val="20"/>
                <w:highlight w:val="none"/>
              </w:rPr>
              <w:t>Z</w:t>
            </w:r>
            <w:r>
              <w:rPr>
                <w:rFonts w:hint="eastAsia" w:ascii="宋体" w:hAnsi="宋体" w:cs="宋体"/>
                <w:color w:val="auto"/>
                <w:kern w:val="0"/>
                <w:sz w:val="20"/>
                <w:highlight w:val="none"/>
              </w:rPr>
              <w:t>＜</w:t>
            </w:r>
            <w:r>
              <w:rPr>
                <w:rFonts w:ascii="宋体" w:hAnsi="宋体" w:cs="宋体"/>
                <w:color w:val="auto"/>
                <w:kern w:val="0"/>
                <w:sz w:val="20"/>
                <w:highlight w:val="none"/>
              </w:rPr>
              <w:t>5000</w:t>
            </w:r>
          </w:p>
        </w:tc>
        <w:tc>
          <w:tcPr>
            <w:tcW w:w="1299" w:type="dxa"/>
            <w:tcBorders>
              <w:top w:val="nil"/>
              <w:left w:val="nil"/>
              <w:bottom w:val="single" w:color="auto" w:sz="4" w:space="0"/>
              <w:right w:val="single" w:color="auto" w:sz="4" w:space="0"/>
            </w:tcBorders>
            <w:noWrap w:val="0"/>
            <w:vAlign w:val="center"/>
          </w:tcPr>
          <w:p w14:paraId="5A82BD7A">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9" w:type="dxa"/>
            <w:tcBorders>
              <w:top w:val="nil"/>
              <w:left w:val="nil"/>
              <w:bottom w:val="single" w:color="auto" w:sz="4" w:space="0"/>
              <w:right w:val="single" w:color="auto" w:sz="4" w:space="0"/>
            </w:tcBorders>
            <w:noWrap w:val="0"/>
            <w:vAlign w:val="center"/>
          </w:tcPr>
          <w:p w14:paraId="1E8BE2FE">
            <w:pPr>
              <w:widowControl/>
              <w:wordWrap w:val="0"/>
              <w:rPr>
                <w:rFonts w:ascii="宋体" w:hAnsi="宋体" w:cs="宋体"/>
                <w:color w:val="auto"/>
                <w:kern w:val="0"/>
                <w:sz w:val="20"/>
                <w:highlight w:val="none"/>
              </w:rPr>
            </w:pP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300</w:t>
            </w:r>
          </w:p>
        </w:tc>
        <w:tc>
          <w:tcPr>
            <w:tcW w:w="1238" w:type="dxa"/>
            <w:tcBorders>
              <w:top w:val="nil"/>
              <w:left w:val="nil"/>
              <w:bottom w:val="single" w:color="auto" w:sz="4" w:space="0"/>
              <w:right w:val="single" w:color="auto" w:sz="8" w:space="0"/>
            </w:tcBorders>
            <w:noWrap w:val="0"/>
            <w:vAlign w:val="center"/>
          </w:tcPr>
          <w:p w14:paraId="4CC2F6E3">
            <w:pPr>
              <w:widowControl/>
              <w:wordWrap w:val="0"/>
              <w:rPr>
                <w:rFonts w:ascii="宋体" w:hAnsi="宋体" w:cs="宋体"/>
                <w:color w:val="auto"/>
                <w:kern w:val="0"/>
                <w:sz w:val="20"/>
                <w:highlight w:val="none"/>
              </w:rPr>
            </w:pPr>
            <w:r>
              <w:rPr>
                <w:rFonts w:ascii="宋体" w:hAnsi="宋体" w:cs="宋体"/>
                <w:color w:val="auto"/>
                <w:kern w:val="0"/>
                <w:sz w:val="20"/>
                <w:highlight w:val="none"/>
              </w:rPr>
              <w:t>Z</w:t>
            </w:r>
            <w:r>
              <w:rPr>
                <w:rFonts w:hint="eastAsia" w:ascii="宋体" w:hAnsi="宋体" w:cs="宋体"/>
                <w:color w:val="auto"/>
                <w:kern w:val="0"/>
                <w:sz w:val="20"/>
                <w:highlight w:val="none"/>
              </w:rPr>
              <w:t>＜</w:t>
            </w:r>
            <w:r>
              <w:rPr>
                <w:rFonts w:ascii="宋体" w:hAnsi="宋体" w:cs="宋体"/>
                <w:color w:val="auto"/>
                <w:kern w:val="0"/>
                <w:sz w:val="20"/>
                <w:highlight w:val="none"/>
              </w:rPr>
              <w:t>300</w:t>
            </w:r>
          </w:p>
        </w:tc>
      </w:tr>
      <w:tr w14:paraId="7BF59981">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1D524F97">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 xml:space="preserve"> 4</w:t>
            </w:r>
            <w:r>
              <w:rPr>
                <w:rFonts w:hint="eastAsia" w:ascii="宋体" w:hAnsi="宋体" w:cs="宋体"/>
                <w:color w:val="auto"/>
                <w:kern w:val="0"/>
                <w:sz w:val="20"/>
                <w:highlight w:val="none"/>
              </w:rPr>
              <w:t>、批发业</w:t>
            </w:r>
          </w:p>
        </w:tc>
        <w:tc>
          <w:tcPr>
            <w:tcW w:w="1514" w:type="dxa"/>
            <w:tcBorders>
              <w:top w:val="nil"/>
              <w:left w:val="nil"/>
              <w:bottom w:val="single" w:color="auto" w:sz="4" w:space="0"/>
              <w:right w:val="single" w:color="auto" w:sz="4" w:space="0"/>
            </w:tcBorders>
            <w:noWrap w:val="0"/>
            <w:vAlign w:val="center"/>
          </w:tcPr>
          <w:p w14:paraId="3AFE765A">
            <w:pPr>
              <w:widowControl/>
              <w:wordWrap w:val="0"/>
              <w:rPr>
                <w:rFonts w:ascii="宋体" w:hAnsi="宋体" w:cs="宋体"/>
                <w:color w:val="auto"/>
                <w:kern w:val="0"/>
                <w:sz w:val="20"/>
                <w:highlight w:val="none"/>
              </w:rPr>
            </w:pPr>
            <w:r>
              <w:rPr>
                <w:rFonts w:ascii="宋体" w:hAnsi="宋体" w:cs="宋体"/>
                <w:color w:val="auto"/>
                <w:kern w:val="0"/>
                <w:sz w:val="20"/>
                <w:highlight w:val="none"/>
              </w:rPr>
              <w:t>20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200</w:t>
            </w:r>
          </w:p>
        </w:tc>
        <w:tc>
          <w:tcPr>
            <w:tcW w:w="1781" w:type="dxa"/>
            <w:tcBorders>
              <w:top w:val="nil"/>
              <w:left w:val="nil"/>
              <w:bottom w:val="single" w:color="auto" w:sz="4" w:space="0"/>
              <w:right w:val="single" w:color="auto" w:sz="4" w:space="0"/>
            </w:tcBorders>
            <w:noWrap w:val="0"/>
            <w:vAlign w:val="center"/>
          </w:tcPr>
          <w:p w14:paraId="350D6E8E">
            <w:pPr>
              <w:widowControl/>
              <w:wordWrap w:val="0"/>
              <w:rPr>
                <w:rFonts w:ascii="宋体" w:hAnsi="宋体" w:cs="宋体"/>
                <w:color w:val="auto"/>
                <w:kern w:val="0"/>
                <w:sz w:val="20"/>
                <w:highlight w:val="none"/>
              </w:rPr>
            </w:pPr>
            <w:r>
              <w:rPr>
                <w:rFonts w:ascii="宋体" w:hAnsi="宋体" w:cs="宋体"/>
                <w:color w:val="auto"/>
                <w:kern w:val="0"/>
                <w:sz w:val="20"/>
                <w:highlight w:val="none"/>
              </w:rPr>
              <w:t>5000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40000</w:t>
            </w:r>
          </w:p>
        </w:tc>
        <w:tc>
          <w:tcPr>
            <w:tcW w:w="1681" w:type="dxa"/>
            <w:tcBorders>
              <w:top w:val="nil"/>
              <w:left w:val="nil"/>
              <w:bottom w:val="single" w:color="auto" w:sz="4" w:space="0"/>
              <w:right w:val="single" w:color="auto" w:sz="8" w:space="0"/>
            </w:tcBorders>
            <w:noWrap w:val="0"/>
            <w:vAlign w:val="center"/>
          </w:tcPr>
          <w:p w14:paraId="7A5A21BE">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54" w:type="dxa"/>
            <w:tcBorders>
              <w:top w:val="nil"/>
              <w:left w:val="nil"/>
              <w:bottom w:val="single" w:color="auto" w:sz="4" w:space="0"/>
              <w:right w:val="single" w:color="auto" w:sz="4" w:space="0"/>
            </w:tcBorders>
            <w:noWrap w:val="0"/>
            <w:vAlign w:val="center"/>
          </w:tcPr>
          <w:p w14:paraId="7DD0AEA2">
            <w:pPr>
              <w:widowControl/>
              <w:wordWrap w:val="0"/>
              <w:rPr>
                <w:rFonts w:ascii="宋体" w:hAnsi="宋体" w:cs="宋体"/>
                <w:color w:val="auto"/>
                <w:kern w:val="0"/>
                <w:sz w:val="20"/>
                <w:highlight w:val="none"/>
              </w:rPr>
            </w:pPr>
            <w:r>
              <w:rPr>
                <w:rFonts w:ascii="宋体" w:hAnsi="宋体" w:cs="宋体"/>
                <w:color w:val="auto"/>
                <w:kern w:val="0"/>
                <w:sz w:val="20"/>
                <w:highlight w:val="none"/>
              </w:rPr>
              <w:t>5</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20</w:t>
            </w:r>
          </w:p>
        </w:tc>
        <w:tc>
          <w:tcPr>
            <w:tcW w:w="1497" w:type="dxa"/>
            <w:tcBorders>
              <w:top w:val="nil"/>
              <w:left w:val="nil"/>
              <w:bottom w:val="single" w:color="auto" w:sz="4" w:space="0"/>
              <w:right w:val="single" w:color="auto" w:sz="4" w:space="0"/>
            </w:tcBorders>
            <w:noWrap w:val="0"/>
            <w:vAlign w:val="center"/>
          </w:tcPr>
          <w:p w14:paraId="77F8BF1A">
            <w:pPr>
              <w:widowControl/>
              <w:wordWrap w:val="0"/>
              <w:rPr>
                <w:rFonts w:ascii="宋体" w:hAnsi="宋体" w:cs="宋体"/>
                <w:color w:val="auto"/>
                <w:kern w:val="0"/>
                <w:sz w:val="20"/>
                <w:highlight w:val="none"/>
              </w:rPr>
            </w:pPr>
            <w:r>
              <w:rPr>
                <w:rFonts w:ascii="宋体" w:hAnsi="宋体" w:cs="宋体"/>
                <w:color w:val="auto"/>
                <w:kern w:val="0"/>
                <w:sz w:val="20"/>
                <w:highlight w:val="none"/>
              </w:rPr>
              <w:t>1000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5000</w:t>
            </w:r>
          </w:p>
        </w:tc>
        <w:tc>
          <w:tcPr>
            <w:tcW w:w="1540" w:type="dxa"/>
            <w:tcBorders>
              <w:top w:val="nil"/>
              <w:left w:val="nil"/>
              <w:bottom w:val="single" w:color="auto" w:sz="4" w:space="0"/>
              <w:right w:val="single" w:color="auto" w:sz="8" w:space="0"/>
            </w:tcBorders>
            <w:noWrap w:val="0"/>
            <w:vAlign w:val="center"/>
          </w:tcPr>
          <w:p w14:paraId="29E8BED2">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99" w:type="dxa"/>
            <w:tcBorders>
              <w:top w:val="nil"/>
              <w:left w:val="nil"/>
              <w:bottom w:val="single" w:color="auto" w:sz="4" w:space="0"/>
              <w:right w:val="single" w:color="auto" w:sz="4" w:space="0"/>
            </w:tcBorders>
            <w:noWrap w:val="0"/>
            <w:vAlign w:val="center"/>
          </w:tcPr>
          <w:p w14:paraId="3E97C9B0">
            <w:pPr>
              <w:widowControl/>
              <w:wordWrap w:val="0"/>
              <w:rPr>
                <w:rFonts w:ascii="宋体" w:hAnsi="宋体" w:cs="宋体"/>
                <w:color w:val="auto"/>
                <w:kern w:val="0"/>
                <w:sz w:val="20"/>
                <w:highlight w:val="none"/>
              </w:rPr>
            </w:pP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5</w:t>
            </w:r>
          </w:p>
        </w:tc>
        <w:tc>
          <w:tcPr>
            <w:tcW w:w="1289" w:type="dxa"/>
            <w:tcBorders>
              <w:top w:val="nil"/>
              <w:left w:val="nil"/>
              <w:bottom w:val="single" w:color="auto" w:sz="4" w:space="0"/>
              <w:right w:val="single" w:color="auto" w:sz="4" w:space="0"/>
            </w:tcBorders>
            <w:noWrap w:val="0"/>
            <w:vAlign w:val="center"/>
          </w:tcPr>
          <w:p w14:paraId="0ED72FD9">
            <w:pPr>
              <w:widowControl/>
              <w:wordWrap w:val="0"/>
              <w:rPr>
                <w:rFonts w:ascii="宋体" w:hAnsi="宋体" w:cs="宋体"/>
                <w:color w:val="auto"/>
                <w:kern w:val="0"/>
                <w:sz w:val="20"/>
                <w:highlight w:val="none"/>
              </w:rPr>
            </w:pP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1000</w:t>
            </w:r>
          </w:p>
        </w:tc>
        <w:tc>
          <w:tcPr>
            <w:tcW w:w="1238" w:type="dxa"/>
            <w:tcBorders>
              <w:top w:val="nil"/>
              <w:left w:val="nil"/>
              <w:bottom w:val="single" w:color="auto" w:sz="4" w:space="0"/>
              <w:right w:val="single" w:color="auto" w:sz="8" w:space="0"/>
            </w:tcBorders>
            <w:noWrap w:val="0"/>
            <w:vAlign w:val="center"/>
          </w:tcPr>
          <w:p w14:paraId="232A0519">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2114015B">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6357213E">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 xml:space="preserve"> 5</w:t>
            </w:r>
            <w:r>
              <w:rPr>
                <w:rFonts w:hint="eastAsia" w:ascii="宋体" w:hAnsi="宋体" w:cs="宋体"/>
                <w:color w:val="auto"/>
                <w:kern w:val="0"/>
                <w:sz w:val="20"/>
                <w:highlight w:val="none"/>
              </w:rPr>
              <w:t>、零售业</w:t>
            </w:r>
          </w:p>
        </w:tc>
        <w:tc>
          <w:tcPr>
            <w:tcW w:w="1514" w:type="dxa"/>
            <w:tcBorders>
              <w:top w:val="nil"/>
              <w:left w:val="nil"/>
              <w:bottom w:val="single" w:color="auto" w:sz="4" w:space="0"/>
              <w:right w:val="single" w:color="auto" w:sz="4" w:space="0"/>
            </w:tcBorders>
            <w:noWrap w:val="0"/>
            <w:vAlign w:val="center"/>
          </w:tcPr>
          <w:p w14:paraId="76525F29">
            <w:pPr>
              <w:widowControl/>
              <w:wordWrap w:val="0"/>
              <w:rPr>
                <w:rFonts w:ascii="宋体" w:hAnsi="宋体" w:cs="宋体"/>
                <w:color w:val="auto"/>
                <w:kern w:val="0"/>
                <w:sz w:val="20"/>
                <w:highlight w:val="none"/>
              </w:rPr>
            </w:pPr>
            <w:r>
              <w:rPr>
                <w:rFonts w:ascii="宋体" w:hAnsi="宋体" w:cs="宋体"/>
                <w:color w:val="auto"/>
                <w:kern w:val="0"/>
                <w:sz w:val="20"/>
                <w:highlight w:val="none"/>
              </w:rPr>
              <w:t>50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300</w:t>
            </w:r>
          </w:p>
        </w:tc>
        <w:tc>
          <w:tcPr>
            <w:tcW w:w="1781" w:type="dxa"/>
            <w:tcBorders>
              <w:top w:val="nil"/>
              <w:left w:val="nil"/>
              <w:bottom w:val="single" w:color="auto" w:sz="4" w:space="0"/>
              <w:right w:val="single" w:color="auto" w:sz="4" w:space="0"/>
            </w:tcBorders>
            <w:noWrap w:val="0"/>
            <w:vAlign w:val="center"/>
          </w:tcPr>
          <w:p w14:paraId="52D9B660">
            <w:pPr>
              <w:widowControl/>
              <w:wordWrap w:val="0"/>
              <w:rPr>
                <w:rFonts w:ascii="宋体" w:hAnsi="宋体" w:cs="宋体"/>
                <w:color w:val="auto"/>
                <w:kern w:val="0"/>
                <w:sz w:val="20"/>
                <w:highlight w:val="none"/>
              </w:rPr>
            </w:pPr>
            <w:r>
              <w:rPr>
                <w:rFonts w:ascii="宋体" w:hAnsi="宋体" w:cs="宋体"/>
                <w:color w:val="auto"/>
                <w:kern w:val="0"/>
                <w:sz w:val="20"/>
                <w:highlight w:val="none"/>
              </w:rPr>
              <w:t xml:space="preserve"> 500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20000</w:t>
            </w:r>
          </w:p>
        </w:tc>
        <w:tc>
          <w:tcPr>
            <w:tcW w:w="1681" w:type="dxa"/>
            <w:tcBorders>
              <w:top w:val="nil"/>
              <w:left w:val="nil"/>
              <w:bottom w:val="single" w:color="auto" w:sz="4" w:space="0"/>
              <w:right w:val="single" w:color="auto" w:sz="8" w:space="0"/>
            </w:tcBorders>
            <w:noWrap w:val="0"/>
            <w:vAlign w:val="center"/>
          </w:tcPr>
          <w:p w14:paraId="00EEDA1E">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54" w:type="dxa"/>
            <w:tcBorders>
              <w:top w:val="nil"/>
              <w:left w:val="nil"/>
              <w:bottom w:val="single" w:color="auto" w:sz="4" w:space="0"/>
              <w:right w:val="single" w:color="auto" w:sz="4" w:space="0"/>
            </w:tcBorders>
            <w:noWrap w:val="0"/>
            <w:vAlign w:val="center"/>
          </w:tcPr>
          <w:p w14:paraId="7F3114BF">
            <w:pPr>
              <w:widowControl/>
              <w:wordWrap w:val="0"/>
              <w:rPr>
                <w:rFonts w:ascii="宋体" w:hAnsi="宋体" w:cs="宋体"/>
                <w:color w:val="auto"/>
                <w:kern w:val="0"/>
                <w:sz w:val="20"/>
                <w:highlight w:val="none"/>
              </w:rPr>
            </w:pPr>
            <w:r>
              <w:rPr>
                <w:rFonts w:ascii="宋体" w:hAnsi="宋体" w:cs="宋体"/>
                <w:color w:val="auto"/>
                <w:kern w:val="0"/>
                <w:sz w:val="20"/>
                <w:highlight w:val="none"/>
              </w:rPr>
              <w:t>10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50</w:t>
            </w:r>
          </w:p>
        </w:tc>
        <w:tc>
          <w:tcPr>
            <w:tcW w:w="1497" w:type="dxa"/>
            <w:tcBorders>
              <w:top w:val="nil"/>
              <w:left w:val="nil"/>
              <w:bottom w:val="single" w:color="auto" w:sz="4" w:space="0"/>
              <w:right w:val="single" w:color="auto" w:sz="4" w:space="0"/>
            </w:tcBorders>
            <w:noWrap w:val="0"/>
            <w:vAlign w:val="center"/>
          </w:tcPr>
          <w:p w14:paraId="31A5E83A">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500</w:t>
            </w:r>
          </w:p>
        </w:tc>
        <w:tc>
          <w:tcPr>
            <w:tcW w:w="1540" w:type="dxa"/>
            <w:tcBorders>
              <w:top w:val="nil"/>
              <w:left w:val="nil"/>
              <w:bottom w:val="single" w:color="auto" w:sz="4" w:space="0"/>
              <w:right w:val="single" w:color="auto" w:sz="8" w:space="0"/>
            </w:tcBorders>
            <w:noWrap w:val="0"/>
            <w:vAlign w:val="center"/>
          </w:tcPr>
          <w:p w14:paraId="56E32F87">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99" w:type="dxa"/>
            <w:tcBorders>
              <w:top w:val="nil"/>
              <w:left w:val="nil"/>
              <w:bottom w:val="single" w:color="auto" w:sz="4" w:space="0"/>
              <w:right w:val="single" w:color="auto" w:sz="4" w:space="0"/>
            </w:tcBorders>
            <w:noWrap w:val="0"/>
            <w:vAlign w:val="center"/>
          </w:tcPr>
          <w:p w14:paraId="7240099E">
            <w:pPr>
              <w:widowControl/>
              <w:wordWrap w:val="0"/>
              <w:rPr>
                <w:rFonts w:ascii="宋体" w:hAnsi="宋体" w:cs="宋体"/>
                <w:color w:val="auto"/>
                <w:kern w:val="0"/>
                <w:sz w:val="20"/>
                <w:highlight w:val="none"/>
              </w:rPr>
            </w:pP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w:t>
            </w:r>
          </w:p>
        </w:tc>
        <w:tc>
          <w:tcPr>
            <w:tcW w:w="1289" w:type="dxa"/>
            <w:tcBorders>
              <w:top w:val="nil"/>
              <w:left w:val="nil"/>
              <w:bottom w:val="single" w:color="auto" w:sz="4" w:space="0"/>
              <w:right w:val="single" w:color="auto" w:sz="4" w:space="0"/>
            </w:tcBorders>
            <w:noWrap w:val="0"/>
            <w:vAlign w:val="center"/>
          </w:tcPr>
          <w:p w14:paraId="10ADF656">
            <w:pPr>
              <w:widowControl/>
              <w:wordWrap w:val="0"/>
              <w:rPr>
                <w:rFonts w:ascii="宋体" w:hAnsi="宋体" w:cs="宋体"/>
                <w:color w:val="auto"/>
                <w:kern w:val="0"/>
                <w:sz w:val="20"/>
                <w:highlight w:val="none"/>
              </w:rPr>
            </w:pP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238" w:type="dxa"/>
            <w:tcBorders>
              <w:top w:val="nil"/>
              <w:left w:val="nil"/>
              <w:bottom w:val="single" w:color="auto" w:sz="4" w:space="0"/>
              <w:right w:val="single" w:color="auto" w:sz="8" w:space="0"/>
            </w:tcBorders>
            <w:noWrap w:val="0"/>
            <w:vAlign w:val="center"/>
          </w:tcPr>
          <w:p w14:paraId="1D04BEFC">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4C5158B5">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18AB1D26">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 xml:space="preserve"> 6</w:t>
            </w:r>
            <w:r>
              <w:rPr>
                <w:rFonts w:hint="eastAsia" w:ascii="宋体" w:hAnsi="宋体" w:cs="宋体"/>
                <w:color w:val="auto"/>
                <w:kern w:val="0"/>
                <w:sz w:val="20"/>
                <w:highlight w:val="none"/>
              </w:rPr>
              <w:t>、交通运输业</w:t>
            </w:r>
          </w:p>
        </w:tc>
        <w:tc>
          <w:tcPr>
            <w:tcW w:w="1514" w:type="dxa"/>
            <w:tcBorders>
              <w:top w:val="nil"/>
              <w:left w:val="nil"/>
              <w:bottom w:val="single" w:color="auto" w:sz="4" w:space="0"/>
              <w:right w:val="single" w:color="auto" w:sz="4" w:space="0"/>
            </w:tcBorders>
            <w:noWrap w:val="0"/>
            <w:vAlign w:val="center"/>
          </w:tcPr>
          <w:p w14:paraId="6FE1EC3C">
            <w:pPr>
              <w:widowControl/>
              <w:wordWrap w:val="0"/>
              <w:rPr>
                <w:rFonts w:ascii="宋体" w:hAnsi="宋体" w:cs="宋体"/>
                <w:color w:val="auto"/>
                <w:kern w:val="0"/>
                <w:sz w:val="20"/>
                <w:highlight w:val="none"/>
              </w:rPr>
            </w:pPr>
            <w:r>
              <w:rPr>
                <w:rFonts w:ascii="宋体" w:hAnsi="宋体" w:cs="宋体"/>
                <w:color w:val="auto"/>
                <w:kern w:val="0"/>
                <w:sz w:val="20"/>
                <w:highlight w:val="none"/>
              </w:rPr>
              <w:t>300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1000</w:t>
            </w:r>
          </w:p>
        </w:tc>
        <w:tc>
          <w:tcPr>
            <w:tcW w:w="1781" w:type="dxa"/>
            <w:tcBorders>
              <w:top w:val="nil"/>
              <w:left w:val="nil"/>
              <w:bottom w:val="single" w:color="auto" w:sz="4" w:space="0"/>
              <w:right w:val="single" w:color="auto" w:sz="4" w:space="0"/>
            </w:tcBorders>
            <w:noWrap w:val="0"/>
            <w:vAlign w:val="center"/>
          </w:tcPr>
          <w:p w14:paraId="22BF1DFF">
            <w:pPr>
              <w:widowControl/>
              <w:wordWrap w:val="0"/>
              <w:rPr>
                <w:rFonts w:ascii="宋体" w:hAnsi="宋体" w:cs="宋体"/>
                <w:color w:val="auto"/>
                <w:kern w:val="0"/>
                <w:sz w:val="20"/>
                <w:highlight w:val="none"/>
              </w:rPr>
            </w:pPr>
            <w:r>
              <w:rPr>
                <w:rFonts w:ascii="宋体" w:hAnsi="宋体" w:cs="宋体"/>
                <w:color w:val="auto"/>
                <w:kern w:val="0"/>
                <w:sz w:val="20"/>
                <w:highlight w:val="none"/>
              </w:rPr>
              <w:t>3000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30000</w:t>
            </w:r>
          </w:p>
        </w:tc>
        <w:tc>
          <w:tcPr>
            <w:tcW w:w="1681" w:type="dxa"/>
            <w:tcBorders>
              <w:top w:val="nil"/>
              <w:left w:val="nil"/>
              <w:bottom w:val="single" w:color="auto" w:sz="4" w:space="0"/>
              <w:right w:val="single" w:color="auto" w:sz="8" w:space="0"/>
            </w:tcBorders>
            <w:noWrap w:val="0"/>
            <w:vAlign w:val="center"/>
          </w:tcPr>
          <w:p w14:paraId="163E88E1">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54" w:type="dxa"/>
            <w:tcBorders>
              <w:top w:val="nil"/>
              <w:left w:val="nil"/>
              <w:bottom w:val="single" w:color="auto" w:sz="4" w:space="0"/>
              <w:right w:val="single" w:color="auto" w:sz="4" w:space="0"/>
            </w:tcBorders>
            <w:noWrap w:val="0"/>
            <w:vAlign w:val="center"/>
          </w:tcPr>
          <w:p w14:paraId="2745E27D">
            <w:pPr>
              <w:widowControl/>
              <w:wordWrap w:val="0"/>
              <w:rPr>
                <w:rFonts w:ascii="宋体" w:hAnsi="宋体" w:cs="宋体"/>
                <w:color w:val="auto"/>
                <w:kern w:val="0"/>
                <w:sz w:val="20"/>
                <w:highlight w:val="none"/>
              </w:rPr>
            </w:pPr>
            <w:r>
              <w:rPr>
                <w:rFonts w:ascii="宋体" w:hAnsi="宋体" w:cs="宋体"/>
                <w:color w:val="auto"/>
                <w:kern w:val="0"/>
                <w:sz w:val="20"/>
                <w:highlight w:val="none"/>
              </w:rPr>
              <w:t>20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300</w:t>
            </w:r>
          </w:p>
        </w:tc>
        <w:tc>
          <w:tcPr>
            <w:tcW w:w="1497" w:type="dxa"/>
            <w:tcBorders>
              <w:top w:val="nil"/>
              <w:left w:val="nil"/>
              <w:bottom w:val="single" w:color="auto" w:sz="4" w:space="0"/>
              <w:right w:val="single" w:color="auto" w:sz="4" w:space="0"/>
            </w:tcBorders>
            <w:noWrap w:val="0"/>
            <w:vAlign w:val="center"/>
          </w:tcPr>
          <w:p w14:paraId="2BCFDDA5">
            <w:pPr>
              <w:widowControl/>
              <w:wordWrap w:val="0"/>
              <w:rPr>
                <w:rFonts w:ascii="宋体" w:hAnsi="宋体" w:cs="宋体"/>
                <w:color w:val="auto"/>
                <w:kern w:val="0"/>
                <w:sz w:val="20"/>
                <w:highlight w:val="none"/>
              </w:rPr>
            </w:pPr>
            <w:r>
              <w:rPr>
                <w:rFonts w:ascii="宋体" w:hAnsi="宋体" w:cs="宋体"/>
                <w:color w:val="auto"/>
                <w:kern w:val="0"/>
                <w:sz w:val="20"/>
                <w:highlight w:val="none"/>
              </w:rPr>
              <w:t>200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3000</w:t>
            </w:r>
          </w:p>
        </w:tc>
        <w:tc>
          <w:tcPr>
            <w:tcW w:w="1540" w:type="dxa"/>
            <w:tcBorders>
              <w:top w:val="nil"/>
              <w:left w:val="nil"/>
              <w:bottom w:val="single" w:color="auto" w:sz="4" w:space="0"/>
              <w:right w:val="single" w:color="auto" w:sz="8" w:space="0"/>
            </w:tcBorders>
            <w:noWrap w:val="0"/>
            <w:vAlign w:val="center"/>
          </w:tcPr>
          <w:p w14:paraId="372C83A6">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99" w:type="dxa"/>
            <w:tcBorders>
              <w:top w:val="nil"/>
              <w:left w:val="nil"/>
              <w:bottom w:val="single" w:color="auto" w:sz="4" w:space="0"/>
              <w:right w:val="single" w:color="auto" w:sz="4" w:space="0"/>
            </w:tcBorders>
            <w:noWrap w:val="0"/>
            <w:vAlign w:val="center"/>
          </w:tcPr>
          <w:p w14:paraId="37D76C53">
            <w:pPr>
              <w:widowControl/>
              <w:wordWrap w:val="0"/>
              <w:rPr>
                <w:rFonts w:ascii="宋体" w:hAnsi="宋体" w:cs="宋体"/>
                <w:color w:val="auto"/>
                <w:kern w:val="0"/>
                <w:sz w:val="20"/>
                <w:highlight w:val="none"/>
              </w:rPr>
            </w:pP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20</w:t>
            </w:r>
          </w:p>
        </w:tc>
        <w:tc>
          <w:tcPr>
            <w:tcW w:w="1289" w:type="dxa"/>
            <w:tcBorders>
              <w:top w:val="nil"/>
              <w:left w:val="nil"/>
              <w:bottom w:val="single" w:color="auto" w:sz="4" w:space="0"/>
              <w:right w:val="single" w:color="auto" w:sz="4" w:space="0"/>
            </w:tcBorders>
            <w:noWrap w:val="0"/>
            <w:vAlign w:val="center"/>
          </w:tcPr>
          <w:p w14:paraId="611C2D4F">
            <w:pPr>
              <w:widowControl/>
              <w:wordWrap w:val="0"/>
              <w:rPr>
                <w:rFonts w:ascii="宋体" w:hAnsi="宋体" w:cs="宋体"/>
                <w:color w:val="auto"/>
                <w:kern w:val="0"/>
                <w:sz w:val="20"/>
                <w:highlight w:val="none"/>
              </w:rPr>
            </w:pPr>
            <w:r>
              <w:rPr>
                <w:rFonts w:ascii="宋体" w:hAnsi="宋体" w:cs="宋体"/>
                <w:color w:val="auto"/>
                <w:kern w:val="0"/>
                <w:sz w:val="20"/>
                <w:highlight w:val="none"/>
              </w:rPr>
              <w:t>V</w:t>
            </w:r>
            <w:r>
              <w:rPr>
                <w:rFonts w:hint="eastAsia" w:ascii="宋体" w:hAnsi="宋体" w:cs="宋体"/>
                <w:color w:val="auto"/>
                <w:kern w:val="0"/>
                <w:sz w:val="20"/>
                <w:highlight w:val="none"/>
              </w:rPr>
              <w:t>＜</w:t>
            </w:r>
            <w:r>
              <w:rPr>
                <w:rFonts w:ascii="宋体" w:hAnsi="宋体" w:cs="宋体"/>
                <w:color w:val="auto"/>
                <w:kern w:val="0"/>
                <w:sz w:val="20"/>
                <w:highlight w:val="none"/>
              </w:rPr>
              <w:t>200</w:t>
            </w:r>
          </w:p>
        </w:tc>
        <w:tc>
          <w:tcPr>
            <w:tcW w:w="1238" w:type="dxa"/>
            <w:tcBorders>
              <w:top w:val="nil"/>
              <w:left w:val="nil"/>
              <w:bottom w:val="single" w:color="auto" w:sz="4" w:space="0"/>
              <w:right w:val="single" w:color="auto" w:sz="8" w:space="0"/>
            </w:tcBorders>
            <w:noWrap w:val="0"/>
            <w:vAlign w:val="center"/>
          </w:tcPr>
          <w:p w14:paraId="1422BFB7">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2823CCA2">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467A16B6">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 xml:space="preserve"> 7</w:t>
            </w:r>
            <w:r>
              <w:rPr>
                <w:rFonts w:hint="eastAsia" w:ascii="宋体" w:hAnsi="宋体" w:cs="宋体"/>
                <w:color w:val="auto"/>
                <w:kern w:val="0"/>
                <w:sz w:val="20"/>
                <w:highlight w:val="none"/>
              </w:rPr>
              <w:t>、仓储业</w:t>
            </w:r>
          </w:p>
        </w:tc>
        <w:tc>
          <w:tcPr>
            <w:tcW w:w="1514" w:type="dxa"/>
            <w:tcBorders>
              <w:top w:val="nil"/>
              <w:left w:val="nil"/>
              <w:bottom w:val="single" w:color="auto" w:sz="4" w:space="0"/>
              <w:right w:val="single" w:color="auto" w:sz="4" w:space="0"/>
            </w:tcBorders>
            <w:noWrap w:val="0"/>
            <w:vAlign w:val="center"/>
          </w:tcPr>
          <w:p w14:paraId="576B0E5A">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200</w:t>
            </w:r>
          </w:p>
        </w:tc>
        <w:tc>
          <w:tcPr>
            <w:tcW w:w="1781" w:type="dxa"/>
            <w:tcBorders>
              <w:top w:val="nil"/>
              <w:left w:val="nil"/>
              <w:bottom w:val="single" w:color="auto" w:sz="4" w:space="0"/>
              <w:right w:val="single" w:color="auto" w:sz="4" w:space="0"/>
            </w:tcBorders>
            <w:noWrap w:val="0"/>
            <w:vAlign w:val="center"/>
          </w:tcPr>
          <w:p w14:paraId="75A03D91">
            <w:pPr>
              <w:widowControl/>
              <w:wordWrap w:val="0"/>
              <w:rPr>
                <w:rFonts w:ascii="宋体" w:hAnsi="宋体" w:cs="宋体"/>
                <w:color w:val="auto"/>
                <w:kern w:val="0"/>
                <w:sz w:val="20"/>
                <w:highlight w:val="none"/>
              </w:rPr>
            </w:pPr>
            <w:r>
              <w:rPr>
                <w:rFonts w:ascii="宋体" w:hAnsi="宋体" w:cs="宋体"/>
                <w:color w:val="auto"/>
                <w:kern w:val="0"/>
                <w:sz w:val="20"/>
                <w:highlight w:val="none"/>
              </w:rPr>
              <w:t>1000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30000</w:t>
            </w:r>
          </w:p>
        </w:tc>
        <w:tc>
          <w:tcPr>
            <w:tcW w:w="1681" w:type="dxa"/>
            <w:tcBorders>
              <w:top w:val="nil"/>
              <w:left w:val="nil"/>
              <w:bottom w:val="single" w:color="auto" w:sz="4" w:space="0"/>
              <w:right w:val="single" w:color="auto" w:sz="8" w:space="0"/>
            </w:tcBorders>
            <w:noWrap w:val="0"/>
            <w:vAlign w:val="center"/>
          </w:tcPr>
          <w:p w14:paraId="5A52A1E3">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54" w:type="dxa"/>
            <w:tcBorders>
              <w:top w:val="nil"/>
              <w:left w:val="nil"/>
              <w:bottom w:val="single" w:color="auto" w:sz="4" w:space="0"/>
              <w:right w:val="single" w:color="auto" w:sz="4" w:space="0"/>
            </w:tcBorders>
            <w:noWrap w:val="0"/>
            <w:vAlign w:val="center"/>
          </w:tcPr>
          <w:p w14:paraId="07D06269">
            <w:pPr>
              <w:widowControl/>
              <w:wordWrap w:val="0"/>
              <w:rPr>
                <w:rFonts w:ascii="宋体" w:hAnsi="宋体" w:cs="宋体"/>
                <w:color w:val="auto"/>
                <w:kern w:val="0"/>
                <w:sz w:val="20"/>
                <w:highlight w:val="none"/>
              </w:rPr>
            </w:pPr>
            <w:r>
              <w:rPr>
                <w:rFonts w:ascii="宋体" w:hAnsi="宋体" w:cs="宋体"/>
                <w:color w:val="auto"/>
                <w:kern w:val="0"/>
                <w:sz w:val="20"/>
                <w:highlight w:val="none"/>
              </w:rPr>
              <w:t>20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497" w:type="dxa"/>
            <w:tcBorders>
              <w:top w:val="nil"/>
              <w:left w:val="nil"/>
              <w:bottom w:val="single" w:color="auto" w:sz="4" w:space="0"/>
              <w:right w:val="single" w:color="auto" w:sz="4" w:space="0"/>
            </w:tcBorders>
            <w:noWrap w:val="0"/>
            <w:vAlign w:val="center"/>
          </w:tcPr>
          <w:p w14:paraId="7DA9D1F7">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1000</w:t>
            </w:r>
          </w:p>
        </w:tc>
        <w:tc>
          <w:tcPr>
            <w:tcW w:w="1540" w:type="dxa"/>
            <w:tcBorders>
              <w:top w:val="nil"/>
              <w:left w:val="nil"/>
              <w:bottom w:val="single" w:color="auto" w:sz="4" w:space="0"/>
              <w:right w:val="single" w:color="auto" w:sz="8" w:space="0"/>
            </w:tcBorders>
            <w:noWrap w:val="0"/>
            <w:vAlign w:val="center"/>
          </w:tcPr>
          <w:p w14:paraId="67D035FD">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99" w:type="dxa"/>
            <w:tcBorders>
              <w:top w:val="nil"/>
              <w:left w:val="nil"/>
              <w:bottom w:val="single" w:color="auto" w:sz="4" w:space="0"/>
              <w:right w:val="single" w:color="auto" w:sz="4" w:space="0"/>
            </w:tcBorders>
            <w:noWrap w:val="0"/>
            <w:vAlign w:val="center"/>
          </w:tcPr>
          <w:p w14:paraId="0A9BB925">
            <w:pPr>
              <w:widowControl/>
              <w:wordWrap w:val="0"/>
              <w:rPr>
                <w:rFonts w:ascii="宋体" w:hAnsi="宋体" w:cs="宋体"/>
                <w:color w:val="auto"/>
                <w:kern w:val="0"/>
                <w:sz w:val="20"/>
                <w:highlight w:val="none"/>
              </w:rPr>
            </w:pP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20</w:t>
            </w:r>
          </w:p>
        </w:tc>
        <w:tc>
          <w:tcPr>
            <w:tcW w:w="1289" w:type="dxa"/>
            <w:tcBorders>
              <w:top w:val="nil"/>
              <w:left w:val="nil"/>
              <w:bottom w:val="single" w:color="auto" w:sz="4" w:space="0"/>
              <w:right w:val="single" w:color="auto" w:sz="4" w:space="0"/>
            </w:tcBorders>
            <w:noWrap w:val="0"/>
            <w:vAlign w:val="center"/>
          </w:tcPr>
          <w:p w14:paraId="14DD9906">
            <w:pPr>
              <w:widowControl/>
              <w:wordWrap w:val="0"/>
              <w:rPr>
                <w:rFonts w:ascii="宋体" w:hAnsi="宋体" w:cs="宋体"/>
                <w:color w:val="auto"/>
                <w:kern w:val="0"/>
                <w:sz w:val="20"/>
                <w:highlight w:val="none"/>
              </w:rPr>
            </w:pP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238" w:type="dxa"/>
            <w:tcBorders>
              <w:top w:val="nil"/>
              <w:left w:val="nil"/>
              <w:bottom w:val="single" w:color="auto" w:sz="4" w:space="0"/>
              <w:right w:val="single" w:color="auto" w:sz="8" w:space="0"/>
            </w:tcBorders>
            <w:noWrap w:val="0"/>
            <w:vAlign w:val="center"/>
          </w:tcPr>
          <w:p w14:paraId="5081E2EC">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40693C62">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45CF2052">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 xml:space="preserve"> 8</w:t>
            </w:r>
            <w:r>
              <w:rPr>
                <w:rFonts w:hint="eastAsia" w:ascii="宋体" w:hAnsi="宋体" w:cs="宋体"/>
                <w:color w:val="auto"/>
                <w:kern w:val="0"/>
                <w:sz w:val="20"/>
                <w:highlight w:val="none"/>
              </w:rPr>
              <w:t>、邮政业</w:t>
            </w:r>
          </w:p>
        </w:tc>
        <w:tc>
          <w:tcPr>
            <w:tcW w:w="1514" w:type="dxa"/>
            <w:tcBorders>
              <w:top w:val="nil"/>
              <w:left w:val="nil"/>
              <w:bottom w:val="single" w:color="auto" w:sz="4" w:space="0"/>
              <w:right w:val="single" w:color="auto" w:sz="4" w:space="0"/>
            </w:tcBorders>
            <w:noWrap w:val="0"/>
            <w:vAlign w:val="center"/>
          </w:tcPr>
          <w:p w14:paraId="423F93CB">
            <w:pPr>
              <w:widowControl/>
              <w:wordWrap w:val="0"/>
              <w:rPr>
                <w:rFonts w:ascii="宋体" w:hAnsi="宋体" w:cs="宋体"/>
                <w:color w:val="auto"/>
                <w:kern w:val="0"/>
                <w:sz w:val="20"/>
                <w:highlight w:val="none"/>
              </w:rPr>
            </w:pPr>
            <w:r>
              <w:rPr>
                <w:rFonts w:ascii="宋体" w:hAnsi="宋体" w:cs="宋体"/>
                <w:color w:val="auto"/>
                <w:kern w:val="0"/>
                <w:sz w:val="20"/>
                <w:highlight w:val="none"/>
              </w:rPr>
              <w:t>300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1000</w:t>
            </w:r>
          </w:p>
        </w:tc>
        <w:tc>
          <w:tcPr>
            <w:tcW w:w="1781" w:type="dxa"/>
            <w:tcBorders>
              <w:top w:val="nil"/>
              <w:left w:val="nil"/>
              <w:bottom w:val="single" w:color="auto" w:sz="4" w:space="0"/>
              <w:right w:val="single" w:color="auto" w:sz="4" w:space="0"/>
            </w:tcBorders>
            <w:noWrap w:val="0"/>
            <w:vAlign w:val="center"/>
          </w:tcPr>
          <w:p w14:paraId="73EFF583">
            <w:pPr>
              <w:widowControl/>
              <w:wordWrap w:val="0"/>
              <w:rPr>
                <w:rFonts w:ascii="宋体" w:hAnsi="宋体" w:cs="宋体"/>
                <w:color w:val="auto"/>
                <w:kern w:val="0"/>
                <w:sz w:val="20"/>
                <w:highlight w:val="none"/>
              </w:rPr>
            </w:pPr>
            <w:r>
              <w:rPr>
                <w:rFonts w:ascii="宋体" w:hAnsi="宋体" w:cs="宋体"/>
                <w:color w:val="auto"/>
                <w:kern w:val="0"/>
                <w:sz w:val="20"/>
                <w:highlight w:val="none"/>
              </w:rPr>
              <w:t>2000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30000</w:t>
            </w:r>
          </w:p>
        </w:tc>
        <w:tc>
          <w:tcPr>
            <w:tcW w:w="1681" w:type="dxa"/>
            <w:tcBorders>
              <w:top w:val="nil"/>
              <w:left w:val="nil"/>
              <w:bottom w:val="single" w:color="auto" w:sz="4" w:space="0"/>
              <w:right w:val="single" w:color="auto" w:sz="8" w:space="0"/>
            </w:tcBorders>
            <w:noWrap w:val="0"/>
            <w:vAlign w:val="center"/>
          </w:tcPr>
          <w:p w14:paraId="604BF59E">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54" w:type="dxa"/>
            <w:tcBorders>
              <w:top w:val="nil"/>
              <w:left w:val="nil"/>
              <w:bottom w:val="single" w:color="auto" w:sz="4" w:space="0"/>
              <w:right w:val="single" w:color="auto" w:sz="4" w:space="0"/>
            </w:tcBorders>
            <w:noWrap w:val="0"/>
            <w:vAlign w:val="center"/>
          </w:tcPr>
          <w:p w14:paraId="55C42F91">
            <w:pPr>
              <w:widowControl/>
              <w:wordWrap w:val="0"/>
              <w:rPr>
                <w:rFonts w:ascii="宋体" w:hAnsi="宋体" w:cs="宋体"/>
                <w:color w:val="auto"/>
                <w:kern w:val="0"/>
                <w:sz w:val="20"/>
                <w:highlight w:val="none"/>
              </w:rPr>
            </w:pPr>
            <w:r>
              <w:rPr>
                <w:rFonts w:ascii="宋体" w:hAnsi="宋体" w:cs="宋体"/>
                <w:color w:val="auto"/>
                <w:kern w:val="0"/>
                <w:sz w:val="20"/>
                <w:highlight w:val="none"/>
              </w:rPr>
              <w:t>20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300</w:t>
            </w:r>
          </w:p>
        </w:tc>
        <w:tc>
          <w:tcPr>
            <w:tcW w:w="1497" w:type="dxa"/>
            <w:tcBorders>
              <w:top w:val="nil"/>
              <w:left w:val="nil"/>
              <w:bottom w:val="single" w:color="auto" w:sz="4" w:space="0"/>
              <w:right w:val="single" w:color="auto" w:sz="4" w:space="0"/>
            </w:tcBorders>
            <w:noWrap w:val="0"/>
            <w:vAlign w:val="center"/>
          </w:tcPr>
          <w:p w14:paraId="6F06CE68">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2000</w:t>
            </w:r>
          </w:p>
        </w:tc>
        <w:tc>
          <w:tcPr>
            <w:tcW w:w="1540" w:type="dxa"/>
            <w:tcBorders>
              <w:top w:val="nil"/>
              <w:left w:val="nil"/>
              <w:bottom w:val="single" w:color="auto" w:sz="4" w:space="0"/>
              <w:right w:val="single" w:color="auto" w:sz="8" w:space="0"/>
            </w:tcBorders>
            <w:noWrap w:val="0"/>
            <w:vAlign w:val="center"/>
          </w:tcPr>
          <w:p w14:paraId="0C467634">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99" w:type="dxa"/>
            <w:tcBorders>
              <w:top w:val="nil"/>
              <w:left w:val="nil"/>
              <w:bottom w:val="single" w:color="auto" w:sz="4" w:space="0"/>
              <w:right w:val="single" w:color="auto" w:sz="4" w:space="0"/>
            </w:tcBorders>
            <w:noWrap w:val="0"/>
            <w:vAlign w:val="center"/>
          </w:tcPr>
          <w:p w14:paraId="59577187">
            <w:pPr>
              <w:widowControl/>
              <w:wordWrap w:val="0"/>
              <w:rPr>
                <w:rFonts w:ascii="宋体" w:hAnsi="宋体" w:cs="宋体"/>
                <w:color w:val="auto"/>
                <w:kern w:val="0"/>
                <w:sz w:val="20"/>
                <w:highlight w:val="none"/>
              </w:rPr>
            </w:pP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20</w:t>
            </w:r>
          </w:p>
        </w:tc>
        <w:tc>
          <w:tcPr>
            <w:tcW w:w="1289" w:type="dxa"/>
            <w:tcBorders>
              <w:top w:val="nil"/>
              <w:left w:val="nil"/>
              <w:bottom w:val="single" w:color="auto" w:sz="4" w:space="0"/>
              <w:right w:val="single" w:color="auto" w:sz="4" w:space="0"/>
            </w:tcBorders>
            <w:noWrap w:val="0"/>
            <w:vAlign w:val="center"/>
          </w:tcPr>
          <w:p w14:paraId="0CCAE67C">
            <w:pPr>
              <w:widowControl/>
              <w:wordWrap w:val="0"/>
              <w:rPr>
                <w:rFonts w:ascii="宋体" w:hAnsi="宋体" w:cs="宋体"/>
                <w:color w:val="auto"/>
                <w:kern w:val="0"/>
                <w:sz w:val="20"/>
                <w:highlight w:val="none"/>
              </w:rPr>
            </w:pP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238" w:type="dxa"/>
            <w:tcBorders>
              <w:top w:val="nil"/>
              <w:left w:val="nil"/>
              <w:bottom w:val="single" w:color="auto" w:sz="4" w:space="0"/>
              <w:right w:val="single" w:color="auto" w:sz="8" w:space="0"/>
            </w:tcBorders>
            <w:noWrap w:val="0"/>
            <w:vAlign w:val="center"/>
          </w:tcPr>
          <w:p w14:paraId="44E7B6B1">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46C35D24">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2AF580A8">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 xml:space="preserve"> 9</w:t>
            </w:r>
            <w:r>
              <w:rPr>
                <w:rFonts w:hint="eastAsia" w:ascii="宋体" w:hAnsi="宋体" w:cs="宋体"/>
                <w:color w:val="auto"/>
                <w:kern w:val="0"/>
                <w:sz w:val="20"/>
                <w:highlight w:val="none"/>
              </w:rPr>
              <w:t>、住宿业</w:t>
            </w:r>
          </w:p>
        </w:tc>
        <w:tc>
          <w:tcPr>
            <w:tcW w:w="1514" w:type="dxa"/>
            <w:tcBorders>
              <w:top w:val="nil"/>
              <w:left w:val="nil"/>
              <w:bottom w:val="single" w:color="auto" w:sz="4" w:space="0"/>
              <w:right w:val="single" w:color="auto" w:sz="4" w:space="0"/>
            </w:tcBorders>
            <w:noWrap w:val="0"/>
            <w:vAlign w:val="center"/>
          </w:tcPr>
          <w:p w14:paraId="75159F1A">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300</w:t>
            </w:r>
          </w:p>
        </w:tc>
        <w:tc>
          <w:tcPr>
            <w:tcW w:w="1781" w:type="dxa"/>
            <w:tcBorders>
              <w:top w:val="nil"/>
              <w:left w:val="nil"/>
              <w:bottom w:val="single" w:color="auto" w:sz="4" w:space="0"/>
              <w:right w:val="single" w:color="auto" w:sz="4" w:space="0"/>
            </w:tcBorders>
            <w:noWrap w:val="0"/>
            <w:vAlign w:val="center"/>
          </w:tcPr>
          <w:p w14:paraId="30163104">
            <w:pPr>
              <w:widowControl/>
              <w:wordWrap w:val="0"/>
              <w:rPr>
                <w:rFonts w:ascii="宋体" w:hAnsi="宋体" w:cs="宋体"/>
                <w:color w:val="auto"/>
                <w:kern w:val="0"/>
                <w:sz w:val="20"/>
                <w:highlight w:val="none"/>
              </w:rPr>
            </w:pPr>
            <w:r>
              <w:rPr>
                <w:rFonts w:ascii="宋体" w:hAnsi="宋体" w:cs="宋体"/>
                <w:color w:val="auto"/>
                <w:kern w:val="0"/>
                <w:sz w:val="20"/>
                <w:highlight w:val="none"/>
              </w:rPr>
              <w:t>2000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10000</w:t>
            </w:r>
          </w:p>
        </w:tc>
        <w:tc>
          <w:tcPr>
            <w:tcW w:w="1681" w:type="dxa"/>
            <w:tcBorders>
              <w:top w:val="nil"/>
              <w:left w:val="nil"/>
              <w:bottom w:val="single" w:color="auto" w:sz="4" w:space="0"/>
              <w:right w:val="single" w:color="auto" w:sz="8" w:space="0"/>
            </w:tcBorders>
            <w:noWrap w:val="0"/>
            <w:vAlign w:val="center"/>
          </w:tcPr>
          <w:p w14:paraId="3B99C426">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54" w:type="dxa"/>
            <w:tcBorders>
              <w:top w:val="nil"/>
              <w:left w:val="nil"/>
              <w:bottom w:val="single" w:color="auto" w:sz="4" w:space="0"/>
              <w:right w:val="single" w:color="auto" w:sz="4" w:space="0"/>
            </w:tcBorders>
            <w:noWrap w:val="0"/>
            <w:vAlign w:val="center"/>
          </w:tcPr>
          <w:p w14:paraId="31DA0AFF">
            <w:pPr>
              <w:widowControl/>
              <w:wordWrap w:val="0"/>
              <w:rPr>
                <w:rFonts w:ascii="宋体" w:hAnsi="宋体" w:cs="宋体"/>
                <w:color w:val="auto"/>
                <w:kern w:val="0"/>
                <w:sz w:val="20"/>
                <w:highlight w:val="none"/>
              </w:rPr>
            </w:pPr>
            <w:r>
              <w:rPr>
                <w:rFonts w:ascii="宋体" w:hAnsi="宋体" w:cs="宋体"/>
                <w:color w:val="auto"/>
                <w:kern w:val="0"/>
                <w:sz w:val="20"/>
                <w:highlight w:val="none"/>
              </w:rPr>
              <w:t>10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497" w:type="dxa"/>
            <w:tcBorders>
              <w:top w:val="nil"/>
              <w:left w:val="nil"/>
              <w:bottom w:val="single" w:color="auto" w:sz="4" w:space="0"/>
              <w:right w:val="single" w:color="auto" w:sz="4" w:space="0"/>
            </w:tcBorders>
            <w:noWrap w:val="0"/>
            <w:vAlign w:val="center"/>
          </w:tcPr>
          <w:p w14:paraId="17BCE572">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2000</w:t>
            </w:r>
          </w:p>
        </w:tc>
        <w:tc>
          <w:tcPr>
            <w:tcW w:w="1540" w:type="dxa"/>
            <w:tcBorders>
              <w:top w:val="nil"/>
              <w:left w:val="nil"/>
              <w:bottom w:val="single" w:color="auto" w:sz="4" w:space="0"/>
              <w:right w:val="single" w:color="auto" w:sz="8" w:space="0"/>
            </w:tcBorders>
            <w:noWrap w:val="0"/>
            <w:vAlign w:val="center"/>
          </w:tcPr>
          <w:p w14:paraId="2354D45E">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99" w:type="dxa"/>
            <w:tcBorders>
              <w:top w:val="nil"/>
              <w:left w:val="nil"/>
              <w:bottom w:val="single" w:color="auto" w:sz="4" w:space="0"/>
              <w:right w:val="single" w:color="auto" w:sz="4" w:space="0"/>
            </w:tcBorders>
            <w:noWrap w:val="0"/>
            <w:vAlign w:val="center"/>
          </w:tcPr>
          <w:p w14:paraId="34DFFB0B">
            <w:pPr>
              <w:widowControl/>
              <w:wordWrap w:val="0"/>
              <w:rPr>
                <w:rFonts w:ascii="宋体" w:hAnsi="宋体" w:cs="宋体"/>
                <w:color w:val="auto"/>
                <w:kern w:val="0"/>
                <w:sz w:val="20"/>
                <w:highlight w:val="none"/>
              </w:rPr>
            </w:pP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w:t>
            </w:r>
          </w:p>
        </w:tc>
        <w:tc>
          <w:tcPr>
            <w:tcW w:w="1289" w:type="dxa"/>
            <w:tcBorders>
              <w:top w:val="nil"/>
              <w:left w:val="nil"/>
              <w:bottom w:val="single" w:color="auto" w:sz="4" w:space="0"/>
              <w:right w:val="single" w:color="auto" w:sz="4" w:space="0"/>
            </w:tcBorders>
            <w:noWrap w:val="0"/>
            <w:vAlign w:val="center"/>
          </w:tcPr>
          <w:p w14:paraId="0426E2BA">
            <w:pPr>
              <w:widowControl/>
              <w:wordWrap w:val="0"/>
              <w:rPr>
                <w:rFonts w:ascii="宋体" w:hAnsi="宋体" w:cs="宋体"/>
                <w:color w:val="auto"/>
                <w:kern w:val="0"/>
                <w:sz w:val="20"/>
                <w:highlight w:val="none"/>
              </w:rPr>
            </w:pP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238" w:type="dxa"/>
            <w:tcBorders>
              <w:top w:val="nil"/>
              <w:left w:val="nil"/>
              <w:bottom w:val="single" w:color="auto" w:sz="4" w:space="0"/>
              <w:right w:val="single" w:color="auto" w:sz="8" w:space="0"/>
            </w:tcBorders>
            <w:noWrap w:val="0"/>
            <w:vAlign w:val="center"/>
          </w:tcPr>
          <w:p w14:paraId="4B303D1E">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34871911">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07E04A15">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10</w:t>
            </w:r>
            <w:r>
              <w:rPr>
                <w:rFonts w:hint="eastAsia" w:ascii="宋体" w:hAnsi="宋体" w:cs="宋体"/>
                <w:color w:val="auto"/>
                <w:kern w:val="0"/>
                <w:sz w:val="20"/>
                <w:highlight w:val="none"/>
              </w:rPr>
              <w:t>、餐饮业</w:t>
            </w:r>
          </w:p>
        </w:tc>
        <w:tc>
          <w:tcPr>
            <w:tcW w:w="1514" w:type="dxa"/>
            <w:tcBorders>
              <w:top w:val="nil"/>
              <w:left w:val="nil"/>
              <w:bottom w:val="single" w:color="auto" w:sz="4" w:space="0"/>
              <w:right w:val="single" w:color="auto" w:sz="4" w:space="0"/>
            </w:tcBorders>
            <w:noWrap w:val="0"/>
            <w:vAlign w:val="center"/>
          </w:tcPr>
          <w:p w14:paraId="30D56E0F">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300</w:t>
            </w:r>
          </w:p>
        </w:tc>
        <w:tc>
          <w:tcPr>
            <w:tcW w:w="1781" w:type="dxa"/>
            <w:tcBorders>
              <w:top w:val="nil"/>
              <w:left w:val="nil"/>
              <w:bottom w:val="single" w:color="auto" w:sz="4" w:space="0"/>
              <w:right w:val="single" w:color="auto" w:sz="4" w:space="0"/>
            </w:tcBorders>
            <w:noWrap w:val="0"/>
            <w:vAlign w:val="center"/>
          </w:tcPr>
          <w:p w14:paraId="1754FFC0">
            <w:pPr>
              <w:widowControl/>
              <w:wordWrap w:val="0"/>
              <w:rPr>
                <w:rFonts w:ascii="宋体" w:hAnsi="宋体" w:cs="宋体"/>
                <w:color w:val="auto"/>
                <w:kern w:val="0"/>
                <w:sz w:val="20"/>
                <w:highlight w:val="none"/>
              </w:rPr>
            </w:pPr>
            <w:r>
              <w:rPr>
                <w:rFonts w:ascii="宋体" w:hAnsi="宋体" w:cs="宋体"/>
                <w:color w:val="auto"/>
                <w:kern w:val="0"/>
                <w:sz w:val="20"/>
                <w:highlight w:val="none"/>
              </w:rPr>
              <w:t>2000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10000</w:t>
            </w:r>
          </w:p>
        </w:tc>
        <w:tc>
          <w:tcPr>
            <w:tcW w:w="1681" w:type="dxa"/>
            <w:tcBorders>
              <w:top w:val="nil"/>
              <w:left w:val="nil"/>
              <w:bottom w:val="single" w:color="auto" w:sz="4" w:space="0"/>
              <w:right w:val="single" w:color="auto" w:sz="8" w:space="0"/>
            </w:tcBorders>
            <w:noWrap w:val="0"/>
            <w:vAlign w:val="center"/>
          </w:tcPr>
          <w:p w14:paraId="4BA96009">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54" w:type="dxa"/>
            <w:tcBorders>
              <w:top w:val="nil"/>
              <w:left w:val="nil"/>
              <w:bottom w:val="single" w:color="auto" w:sz="4" w:space="0"/>
              <w:right w:val="single" w:color="auto" w:sz="4" w:space="0"/>
            </w:tcBorders>
            <w:noWrap w:val="0"/>
            <w:vAlign w:val="center"/>
          </w:tcPr>
          <w:p w14:paraId="314C45B7">
            <w:pPr>
              <w:widowControl/>
              <w:wordWrap w:val="0"/>
              <w:rPr>
                <w:rFonts w:ascii="宋体" w:hAnsi="宋体" w:cs="宋体"/>
                <w:color w:val="auto"/>
                <w:kern w:val="0"/>
                <w:sz w:val="20"/>
                <w:highlight w:val="none"/>
              </w:rPr>
            </w:pPr>
            <w:r>
              <w:rPr>
                <w:rFonts w:ascii="宋体" w:hAnsi="宋体" w:cs="宋体"/>
                <w:color w:val="auto"/>
                <w:kern w:val="0"/>
                <w:sz w:val="20"/>
                <w:highlight w:val="none"/>
              </w:rPr>
              <w:t>10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497" w:type="dxa"/>
            <w:tcBorders>
              <w:top w:val="nil"/>
              <w:left w:val="nil"/>
              <w:bottom w:val="single" w:color="auto" w:sz="4" w:space="0"/>
              <w:right w:val="single" w:color="auto" w:sz="4" w:space="0"/>
            </w:tcBorders>
            <w:noWrap w:val="0"/>
            <w:vAlign w:val="center"/>
          </w:tcPr>
          <w:p w14:paraId="57C5C607">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2000</w:t>
            </w:r>
          </w:p>
        </w:tc>
        <w:tc>
          <w:tcPr>
            <w:tcW w:w="1540" w:type="dxa"/>
            <w:tcBorders>
              <w:top w:val="nil"/>
              <w:left w:val="nil"/>
              <w:bottom w:val="single" w:color="auto" w:sz="4" w:space="0"/>
              <w:right w:val="single" w:color="auto" w:sz="8" w:space="0"/>
            </w:tcBorders>
            <w:noWrap w:val="0"/>
            <w:vAlign w:val="center"/>
          </w:tcPr>
          <w:p w14:paraId="114BF6F2">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99" w:type="dxa"/>
            <w:tcBorders>
              <w:top w:val="nil"/>
              <w:left w:val="nil"/>
              <w:bottom w:val="single" w:color="auto" w:sz="4" w:space="0"/>
              <w:right w:val="single" w:color="auto" w:sz="4" w:space="0"/>
            </w:tcBorders>
            <w:noWrap w:val="0"/>
            <w:vAlign w:val="center"/>
          </w:tcPr>
          <w:p w14:paraId="5CF5FCAA">
            <w:pPr>
              <w:widowControl/>
              <w:wordWrap w:val="0"/>
              <w:rPr>
                <w:rFonts w:ascii="宋体" w:hAnsi="宋体" w:cs="宋体"/>
                <w:color w:val="auto"/>
                <w:kern w:val="0"/>
                <w:sz w:val="20"/>
                <w:highlight w:val="none"/>
              </w:rPr>
            </w:pP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w:t>
            </w:r>
          </w:p>
        </w:tc>
        <w:tc>
          <w:tcPr>
            <w:tcW w:w="1289" w:type="dxa"/>
            <w:tcBorders>
              <w:top w:val="nil"/>
              <w:left w:val="nil"/>
              <w:bottom w:val="single" w:color="auto" w:sz="4" w:space="0"/>
              <w:right w:val="single" w:color="auto" w:sz="4" w:space="0"/>
            </w:tcBorders>
            <w:noWrap w:val="0"/>
            <w:vAlign w:val="center"/>
          </w:tcPr>
          <w:p w14:paraId="062E756D">
            <w:pPr>
              <w:widowControl/>
              <w:wordWrap w:val="0"/>
              <w:rPr>
                <w:rFonts w:ascii="宋体" w:hAnsi="宋体" w:cs="宋体"/>
                <w:color w:val="auto"/>
                <w:kern w:val="0"/>
                <w:sz w:val="20"/>
                <w:highlight w:val="none"/>
              </w:rPr>
            </w:pPr>
            <w:r>
              <w:rPr>
                <w:rFonts w:ascii="宋体" w:hAnsi="宋体" w:cs="宋体"/>
                <w:color w:val="auto"/>
                <w:kern w:val="0"/>
                <w:sz w:val="20"/>
                <w:highlight w:val="none"/>
              </w:rPr>
              <w:t>V</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238" w:type="dxa"/>
            <w:tcBorders>
              <w:top w:val="nil"/>
              <w:left w:val="nil"/>
              <w:bottom w:val="single" w:color="auto" w:sz="4" w:space="0"/>
              <w:right w:val="single" w:color="auto" w:sz="8" w:space="0"/>
            </w:tcBorders>
            <w:noWrap w:val="0"/>
            <w:vAlign w:val="center"/>
          </w:tcPr>
          <w:p w14:paraId="02D971DE">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6A834FCD">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1E0C0539">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11</w:t>
            </w:r>
            <w:r>
              <w:rPr>
                <w:rFonts w:hint="eastAsia" w:ascii="宋体" w:hAnsi="宋体" w:cs="宋体"/>
                <w:color w:val="auto"/>
                <w:kern w:val="0"/>
                <w:sz w:val="20"/>
                <w:highlight w:val="none"/>
              </w:rPr>
              <w:t>、信息传输业</w:t>
            </w:r>
          </w:p>
        </w:tc>
        <w:tc>
          <w:tcPr>
            <w:tcW w:w="1514" w:type="dxa"/>
            <w:tcBorders>
              <w:top w:val="nil"/>
              <w:left w:val="nil"/>
              <w:bottom w:val="single" w:color="auto" w:sz="4" w:space="0"/>
              <w:right w:val="single" w:color="auto" w:sz="4" w:space="0"/>
            </w:tcBorders>
            <w:noWrap w:val="0"/>
            <w:vAlign w:val="center"/>
          </w:tcPr>
          <w:p w14:paraId="1CBFCD8F">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2000</w:t>
            </w:r>
          </w:p>
        </w:tc>
        <w:tc>
          <w:tcPr>
            <w:tcW w:w="1781" w:type="dxa"/>
            <w:tcBorders>
              <w:top w:val="nil"/>
              <w:left w:val="nil"/>
              <w:bottom w:val="single" w:color="auto" w:sz="4" w:space="0"/>
              <w:right w:val="single" w:color="auto" w:sz="4" w:space="0"/>
            </w:tcBorders>
            <w:noWrap w:val="0"/>
            <w:vAlign w:val="center"/>
          </w:tcPr>
          <w:p w14:paraId="11720237">
            <w:pPr>
              <w:widowControl/>
              <w:wordWrap w:val="0"/>
              <w:rPr>
                <w:rFonts w:ascii="宋体" w:hAnsi="宋体" w:cs="宋体"/>
                <w:color w:val="auto"/>
                <w:kern w:val="0"/>
                <w:sz w:val="20"/>
                <w:highlight w:val="none"/>
              </w:rPr>
            </w:pPr>
            <w:r>
              <w:rPr>
                <w:rFonts w:ascii="宋体" w:hAnsi="宋体" w:cs="宋体"/>
                <w:color w:val="auto"/>
                <w:kern w:val="0"/>
                <w:sz w:val="20"/>
                <w:highlight w:val="none"/>
              </w:rPr>
              <w:t>1000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100000</w:t>
            </w:r>
          </w:p>
        </w:tc>
        <w:tc>
          <w:tcPr>
            <w:tcW w:w="1681" w:type="dxa"/>
            <w:tcBorders>
              <w:top w:val="nil"/>
              <w:left w:val="nil"/>
              <w:bottom w:val="single" w:color="auto" w:sz="4" w:space="0"/>
              <w:right w:val="single" w:color="auto" w:sz="8" w:space="0"/>
            </w:tcBorders>
            <w:noWrap w:val="0"/>
            <w:vAlign w:val="center"/>
          </w:tcPr>
          <w:p w14:paraId="5A7CE70D">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54" w:type="dxa"/>
            <w:tcBorders>
              <w:top w:val="nil"/>
              <w:left w:val="nil"/>
              <w:bottom w:val="single" w:color="auto" w:sz="4" w:space="0"/>
              <w:right w:val="single" w:color="auto" w:sz="4" w:space="0"/>
            </w:tcBorders>
            <w:noWrap w:val="0"/>
            <w:vAlign w:val="center"/>
          </w:tcPr>
          <w:p w14:paraId="1AE5A85A">
            <w:pPr>
              <w:widowControl/>
              <w:wordWrap w:val="0"/>
              <w:rPr>
                <w:rFonts w:ascii="宋体" w:hAnsi="宋体" w:cs="宋体"/>
                <w:color w:val="auto"/>
                <w:kern w:val="0"/>
                <w:sz w:val="20"/>
                <w:highlight w:val="none"/>
              </w:rPr>
            </w:pPr>
            <w:r>
              <w:rPr>
                <w:rFonts w:ascii="宋体" w:hAnsi="宋体" w:cs="宋体"/>
                <w:color w:val="auto"/>
                <w:kern w:val="0"/>
                <w:sz w:val="20"/>
                <w:highlight w:val="none"/>
              </w:rPr>
              <w:t>10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497" w:type="dxa"/>
            <w:tcBorders>
              <w:top w:val="nil"/>
              <w:left w:val="nil"/>
              <w:bottom w:val="single" w:color="auto" w:sz="4" w:space="0"/>
              <w:right w:val="single" w:color="auto" w:sz="4" w:space="0"/>
            </w:tcBorders>
            <w:noWrap w:val="0"/>
            <w:vAlign w:val="center"/>
          </w:tcPr>
          <w:p w14:paraId="6F776190">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1000</w:t>
            </w:r>
          </w:p>
        </w:tc>
        <w:tc>
          <w:tcPr>
            <w:tcW w:w="1540" w:type="dxa"/>
            <w:tcBorders>
              <w:top w:val="nil"/>
              <w:left w:val="nil"/>
              <w:bottom w:val="single" w:color="auto" w:sz="4" w:space="0"/>
              <w:right w:val="single" w:color="auto" w:sz="8" w:space="0"/>
            </w:tcBorders>
            <w:noWrap w:val="0"/>
            <w:vAlign w:val="center"/>
          </w:tcPr>
          <w:p w14:paraId="11EE4FF3">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99" w:type="dxa"/>
            <w:tcBorders>
              <w:top w:val="nil"/>
              <w:left w:val="nil"/>
              <w:bottom w:val="single" w:color="auto" w:sz="4" w:space="0"/>
              <w:right w:val="single" w:color="auto" w:sz="4" w:space="0"/>
            </w:tcBorders>
            <w:noWrap w:val="0"/>
            <w:vAlign w:val="center"/>
          </w:tcPr>
          <w:p w14:paraId="6E9D079D">
            <w:pPr>
              <w:widowControl/>
              <w:wordWrap w:val="0"/>
              <w:rPr>
                <w:rFonts w:ascii="宋体" w:hAnsi="宋体" w:cs="宋体"/>
                <w:color w:val="auto"/>
                <w:kern w:val="0"/>
                <w:sz w:val="20"/>
                <w:highlight w:val="none"/>
              </w:rPr>
            </w:pP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w:t>
            </w:r>
          </w:p>
        </w:tc>
        <w:tc>
          <w:tcPr>
            <w:tcW w:w="1289" w:type="dxa"/>
            <w:tcBorders>
              <w:top w:val="nil"/>
              <w:left w:val="nil"/>
              <w:bottom w:val="single" w:color="auto" w:sz="4" w:space="0"/>
              <w:right w:val="single" w:color="auto" w:sz="4" w:space="0"/>
            </w:tcBorders>
            <w:noWrap w:val="0"/>
            <w:vAlign w:val="center"/>
          </w:tcPr>
          <w:p w14:paraId="60045986">
            <w:pPr>
              <w:widowControl/>
              <w:wordWrap w:val="0"/>
              <w:rPr>
                <w:rFonts w:ascii="宋体" w:hAnsi="宋体" w:cs="宋体"/>
                <w:color w:val="auto"/>
                <w:kern w:val="0"/>
                <w:sz w:val="20"/>
                <w:highlight w:val="none"/>
              </w:rPr>
            </w:pP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238" w:type="dxa"/>
            <w:tcBorders>
              <w:top w:val="nil"/>
              <w:left w:val="nil"/>
              <w:bottom w:val="single" w:color="auto" w:sz="4" w:space="0"/>
              <w:right w:val="single" w:color="auto" w:sz="8" w:space="0"/>
            </w:tcBorders>
            <w:noWrap w:val="0"/>
            <w:vAlign w:val="center"/>
          </w:tcPr>
          <w:p w14:paraId="4E199741">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753DF285">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6DE31C01">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12</w:t>
            </w:r>
            <w:r>
              <w:rPr>
                <w:rFonts w:hint="eastAsia" w:ascii="宋体" w:hAnsi="宋体" w:cs="宋体"/>
                <w:color w:val="auto"/>
                <w:kern w:val="0"/>
                <w:sz w:val="20"/>
                <w:highlight w:val="none"/>
              </w:rPr>
              <w:t>、软件和信息技术服务业</w:t>
            </w:r>
          </w:p>
        </w:tc>
        <w:tc>
          <w:tcPr>
            <w:tcW w:w="1514" w:type="dxa"/>
            <w:tcBorders>
              <w:top w:val="nil"/>
              <w:left w:val="nil"/>
              <w:bottom w:val="single" w:color="auto" w:sz="4" w:space="0"/>
              <w:right w:val="single" w:color="auto" w:sz="4" w:space="0"/>
            </w:tcBorders>
            <w:noWrap w:val="0"/>
            <w:vAlign w:val="center"/>
          </w:tcPr>
          <w:p w14:paraId="0D0B0E90">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300</w:t>
            </w:r>
          </w:p>
        </w:tc>
        <w:tc>
          <w:tcPr>
            <w:tcW w:w="1781" w:type="dxa"/>
            <w:tcBorders>
              <w:top w:val="nil"/>
              <w:left w:val="nil"/>
              <w:bottom w:val="single" w:color="auto" w:sz="4" w:space="0"/>
              <w:right w:val="single" w:color="auto" w:sz="4" w:space="0"/>
            </w:tcBorders>
            <w:noWrap w:val="0"/>
            <w:vAlign w:val="center"/>
          </w:tcPr>
          <w:p w14:paraId="692FACF1">
            <w:pPr>
              <w:widowControl/>
              <w:wordWrap w:val="0"/>
              <w:rPr>
                <w:rFonts w:ascii="宋体" w:hAnsi="宋体" w:cs="宋体"/>
                <w:color w:val="auto"/>
                <w:kern w:val="0"/>
                <w:sz w:val="20"/>
                <w:highlight w:val="none"/>
              </w:rPr>
            </w:pPr>
            <w:r>
              <w:rPr>
                <w:rFonts w:ascii="宋体" w:hAnsi="宋体" w:cs="宋体"/>
                <w:color w:val="auto"/>
                <w:kern w:val="0"/>
                <w:sz w:val="20"/>
                <w:highlight w:val="none"/>
              </w:rPr>
              <w:t>1000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10000</w:t>
            </w:r>
          </w:p>
        </w:tc>
        <w:tc>
          <w:tcPr>
            <w:tcW w:w="1681" w:type="dxa"/>
            <w:tcBorders>
              <w:top w:val="nil"/>
              <w:left w:val="nil"/>
              <w:bottom w:val="single" w:color="auto" w:sz="4" w:space="0"/>
              <w:right w:val="single" w:color="auto" w:sz="8" w:space="0"/>
            </w:tcBorders>
            <w:noWrap w:val="0"/>
            <w:vAlign w:val="center"/>
          </w:tcPr>
          <w:p w14:paraId="698D5CF7">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54" w:type="dxa"/>
            <w:tcBorders>
              <w:top w:val="nil"/>
              <w:left w:val="nil"/>
              <w:bottom w:val="single" w:color="auto" w:sz="4" w:space="0"/>
              <w:right w:val="single" w:color="auto" w:sz="4" w:space="0"/>
            </w:tcBorders>
            <w:noWrap w:val="0"/>
            <w:vAlign w:val="center"/>
          </w:tcPr>
          <w:p w14:paraId="2171DC47">
            <w:pPr>
              <w:widowControl/>
              <w:wordWrap w:val="0"/>
              <w:rPr>
                <w:rFonts w:ascii="宋体" w:hAnsi="宋体" w:cs="宋体"/>
                <w:color w:val="auto"/>
                <w:kern w:val="0"/>
                <w:sz w:val="20"/>
                <w:highlight w:val="none"/>
              </w:rPr>
            </w:pPr>
            <w:r>
              <w:rPr>
                <w:rFonts w:ascii="宋体" w:hAnsi="宋体" w:cs="宋体"/>
                <w:color w:val="auto"/>
                <w:kern w:val="0"/>
                <w:sz w:val="20"/>
                <w:highlight w:val="none"/>
              </w:rPr>
              <w:t>10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497" w:type="dxa"/>
            <w:tcBorders>
              <w:top w:val="nil"/>
              <w:left w:val="nil"/>
              <w:bottom w:val="single" w:color="auto" w:sz="4" w:space="0"/>
              <w:right w:val="single" w:color="auto" w:sz="4" w:space="0"/>
            </w:tcBorders>
            <w:noWrap w:val="0"/>
            <w:vAlign w:val="center"/>
          </w:tcPr>
          <w:p w14:paraId="1763FC7E">
            <w:pPr>
              <w:widowControl/>
              <w:wordWrap w:val="0"/>
              <w:rPr>
                <w:rFonts w:ascii="宋体" w:hAnsi="宋体" w:cs="宋体"/>
                <w:color w:val="auto"/>
                <w:kern w:val="0"/>
                <w:sz w:val="20"/>
                <w:highlight w:val="none"/>
              </w:rPr>
            </w:pPr>
            <w:r>
              <w:rPr>
                <w:rFonts w:ascii="宋体" w:hAnsi="宋体" w:cs="宋体"/>
                <w:color w:val="auto"/>
                <w:kern w:val="0"/>
                <w:sz w:val="20"/>
                <w:highlight w:val="none"/>
              </w:rPr>
              <w:t xml:space="preserve"> 50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1000</w:t>
            </w:r>
          </w:p>
        </w:tc>
        <w:tc>
          <w:tcPr>
            <w:tcW w:w="1540" w:type="dxa"/>
            <w:tcBorders>
              <w:top w:val="nil"/>
              <w:left w:val="nil"/>
              <w:bottom w:val="single" w:color="auto" w:sz="4" w:space="0"/>
              <w:right w:val="single" w:color="auto" w:sz="8" w:space="0"/>
            </w:tcBorders>
            <w:noWrap w:val="0"/>
            <w:vAlign w:val="center"/>
          </w:tcPr>
          <w:p w14:paraId="53C9A133">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99" w:type="dxa"/>
            <w:tcBorders>
              <w:top w:val="nil"/>
              <w:left w:val="nil"/>
              <w:bottom w:val="single" w:color="auto" w:sz="4" w:space="0"/>
              <w:right w:val="single" w:color="auto" w:sz="4" w:space="0"/>
            </w:tcBorders>
            <w:noWrap w:val="0"/>
            <w:vAlign w:val="center"/>
          </w:tcPr>
          <w:p w14:paraId="5FB6A1C2">
            <w:pPr>
              <w:widowControl/>
              <w:wordWrap w:val="0"/>
              <w:rPr>
                <w:rFonts w:ascii="宋体" w:hAnsi="宋体" w:cs="宋体"/>
                <w:color w:val="auto"/>
                <w:kern w:val="0"/>
                <w:sz w:val="20"/>
                <w:highlight w:val="none"/>
              </w:rPr>
            </w:pP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w:t>
            </w:r>
          </w:p>
        </w:tc>
        <w:tc>
          <w:tcPr>
            <w:tcW w:w="1289" w:type="dxa"/>
            <w:tcBorders>
              <w:top w:val="nil"/>
              <w:left w:val="nil"/>
              <w:bottom w:val="single" w:color="auto" w:sz="4" w:space="0"/>
              <w:right w:val="single" w:color="auto" w:sz="4" w:space="0"/>
            </w:tcBorders>
            <w:noWrap w:val="0"/>
            <w:vAlign w:val="center"/>
          </w:tcPr>
          <w:p w14:paraId="2CE278E6">
            <w:pPr>
              <w:widowControl/>
              <w:wordWrap w:val="0"/>
              <w:rPr>
                <w:rFonts w:ascii="宋体" w:hAnsi="宋体" w:cs="宋体"/>
                <w:color w:val="auto"/>
                <w:kern w:val="0"/>
                <w:sz w:val="20"/>
                <w:highlight w:val="none"/>
              </w:rPr>
            </w:pP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50</w:t>
            </w:r>
          </w:p>
        </w:tc>
        <w:tc>
          <w:tcPr>
            <w:tcW w:w="1238" w:type="dxa"/>
            <w:tcBorders>
              <w:top w:val="nil"/>
              <w:left w:val="nil"/>
              <w:bottom w:val="single" w:color="auto" w:sz="4" w:space="0"/>
              <w:right w:val="single" w:color="auto" w:sz="8" w:space="0"/>
            </w:tcBorders>
            <w:noWrap w:val="0"/>
            <w:vAlign w:val="center"/>
          </w:tcPr>
          <w:p w14:paraId="3A76F5DF">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298AA529">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26E0BBAB">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13</w:t>
            </w:r>
            <w:r>
              <w:rPr>
                <w:rFonts w:hint="eastAsia" w:ascii="宋体" w:hAnsi="宋体" w:cs="宋体"/>
                <w:color w:val="auto"/>
                <w:kern w:val="0"/>
                <w:sz w:val="20"/>
                <w:highlight w:val="none"/>
              </w:rPr>
              <w:t>、房地产开发经营</w:t>
            </w:r>
          </w:p>
        </w:tc>
        <w:tc>
          <w:tcPr>
            <w:tcW w:w="1514" w:type="dxa"/>
            <w:tcBorders>
              <w:top w:val="nil"/>
              <w:left w:val="nil"/>
              <w:bottom w:val="single" w:color="auto" w:sz="4" w:space="0"/>
              <w:right w:val="single" w:color="auto" w:sz="4" w:space="0"/>
            </w:tcBorders>
            <w:noWrap w:val="0"/>
            <w:vAlign w:val="center"/>
          </w:tcPr>
          <w:p w14:paraId="4FA77876">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781" w:type="dxa"/>
            <w:tcBorders>
              <w:top w:val="nil"/>
              <w:left w:val="nil"/>
              <w:bottom w:val="single" w:color="auto" w:sz="4" w:space="0"/>
              <w:right w:val="single" w:color="auto" w:sz="4" w:space="0"/>
            </w:tcBorders>
            <w:noWrap w:val="0"/>
            <w:vAlign w:val="center"/>
          </w:tcPr>
          <w:p w14:paraId="085D4899">
            <w:pPr>
              <w:widowControl/>
              <w:wordWrap w:val="0"/>
              <w:rPr>
                <w:rFonts w:ascii="宋体" w:hAnsi="宋体" w:cs="宋体"/>
                <w:color w:val="auto"/>
                <w:kern w:val="0"/>
                <w:sz w:val="20"/>
                <w:highlight w:val="none"/>
              </w:rPr>
            </w:pPr>
            <w:r>
              <w:rPr>
                <w:rFonts w:ascii="宋体" w:hAnsi="宋体" w:cs="宋体"/>
                <w:color w:val="auto"/>
                <w:kern w:val="0"/>
                <w:sz w:val="20"/>
                <w:highlight w:val="none"/>
              </w:rPr>
              <w:t>1000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200000</w:t>
            </w:r>
          </w:p>
        </w:tc>
        <w:tc>
          <w:tcPr>
            <w:tcW w:w="1681" w:type="dxa"/>
            <w:tcBorders>
              <w:top w:val="nil"/>
              <w:left w:val="nil"/>
              <w:bottom w:val="single" w:color="auto" w:sz="4" w:space="0"/>
              <w:right w:val="single" w:color="auto" w:sz="8" w:space="0"/>
            </w:tcBorders>
            <w:noWrap w:val="0"/>
            <w:vAlign w:val="center"/>
          </w:tcPr>
          <w:p w14:paraId="559B00AF">
            <w:pPr>
              <w:widowControl/>
              <w:wordWrap w:val="0"/>
              <w:rPr>
                <w:rFonts w:ascii="宋体" w:hAnsi="宋体" w:cs="宋体"/>
                <w:color w:val="auto"/>
                <w:kern w:val="0"/>
                <w:sz w:val="20"/>
                <w:highlight w:val="none"/>
              </w:rPr>
            </w:pPr>
            <w:r>
              <w:rPr>
                <w:rFonts w:ascii="宋体" w:hAnsi="宋体" w:cs="宋体"/>
                <w:color w:val="auto"/>
                <w:kern w:val="0"/>
                <w:sz w:val="20"/>
                <w:highlight w:val="none"/>
              </w:rPr>
              <w:t>5000</w:t>
            </w:r>
            <w:r>
              <w:rPr>
                <w:rFonts w:hint="eastAsia" w:ascii="宋体" w:hAnsi="宋体" w:cs="宋体"/>
                <w:color w:val="auto"/>
                <w:kern w:val="0"/>
                <w:sz w:val="20"/>
                <w:highlight w:val="none"/>
              </w:rPr>
              <w:t>≤</w:t>
            </w:r>
            <w:r>
              <w:rPr>
                <w:rFonts w:ascii="宋体" w:hAnsi="宋体" w:cs="宋体"/>
                <w:color w:val="auto"/>
                <w:kern w:val="0"/>
                <w:sz w:val="20"/>
                <w:highlight w:val="none"/>
              </w:rPr>
              <w:t>Z</w:t>
            </w:r>
            <w:r>
              <w:rPr>
                <w:rFonts w:hint="eastAsia" w:ascii="宋体" w:hAnsi="宋体" w:cs="宋体"/>
                <w:color w:val="auto"/>
                <w:kern w:val="0"/>
                <w:sz w:val="20"/>
                <w:highlight w:val="none"/>
              </w:rPr>
              <w:t>＜</w:t>
            </w:r>
            <w:r>
              <w:rPr>
                <w:rFonts w:ascii="宋体" w:hAnsi="宋体" w:cs="宋体"/>
                <w:color w:val="auto"/>
                <w:kern w:val="0"/>
                <w:sz w:val="20"/>
                <w:highlight w:val="none"/>
              </w:rPr>
              <w:t>10000</w:t>
            </w:r>
          </w:p>
        </w:tc>
        <w:tc>
          <w:tcPr>
            <w:tcW w:w="1254" w:type="dxa"/>
            <w:tcBorders>
              <w:top w:val="nil"/>
              <w:left w:val="nil"/>
              <w:bottom w:val="single" w:color="auto" w:sz="4" w:space="0"/>
              <w:right w:val="single" w:color="auto" w:sz="4" w:space="0"/>
            </w:tcBorders>
            <w:noWrap w:val="0"/>
            <w:vAlign w:val="center"/>
          </w:tcPr>
          <w:p w14:paraId="6EDFAF85">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497" w:type="dxa"/>
            <w:tcBorders>
              <w:top w:val="nil"/>
              <w:left w:val="nil"/>
              <w:bottom w:val="single" w:color="auto" w:sz="4" w:space="0"/>
              <w:right w:val="single" w:color="auto" w:sz="4" w:space="0"/>
            </w:tcBorders>
            <w:noWrap w:val="0"/>
            <w:vAlign w:val="center"/>
          </w:tcPr>
          <w:p w14:paraId="563BBEA0">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1000</w:t>
            </w:r>
          </w:p>
        </w:tc>
        <w:tc>
          <w:tcPr>
            <w:tcW w:w="1540" w:type="dxa"/>
            <w:tcBorders>
              <w:top w:val="nil"/>
              <w:left w:val="nil"/>
              <w:bottom w:val="single" w:color="auto" w:sz="4" w:space="0"/>
              <w:right w:val="single" w:color="auto" w:sz="8" w:space="0"/>
            </w:tcBorders>
            <w:noWrap w:val="0"/>
            <w:vAlign w:val="center"/>
          </w:tcPr>
          <w:p w14:paraId="559CA492">
            <w:pPr>
              <w:widowControl/>
              <w:wordWrap w:val="0"/>
              <w:rPr>
                <w:rFonts w:ascii="宋体" w:hAnsi="宋体" w:cs="宋体"/>
                <w:color w:val="auto"/>
                <w:kern w:val="0"/>
                <w:sz w:val="20"/>
                <w:highlight w:val="none"/>
              </w:rPr>
            </w:pPr>
            <w:r>
              <w:rPr>
                <w:rFonts w:ascii="宋体" w:hAnsi="宋体" w:cs="宋体"/>
                <w:color w:val="auto"/>
                <w:kern w:val="0"/>
                <w:sz w:val="20"/>
                <w:highlight w:val="none"/>
              </w:rPr>
              <w:t>2000</w:t>
            </w:r>
            <w:r>
              <w:rPr>
                <w:rFonts w:hint="eastAsia" w:ascii="宋体" w:hAnsi="宋体" w:cs="宋体"/>
                <w:color w:val="auto"/>
                <w:kern w:val="0"/>
                <w:sz w:val="20"/>
                <w:highlight w:val="none"/>
              </w:rPr>
              <w:t>≤</w:t>
            </w:r>
            <w:r>
              <w:rPr>
                <w:rFonts w:ascii="宋体" w:hAnsi="宋体" w:cs="宋体"/>
                <w:color w:val="auto"/>
                <w:kern w:val="0"/>
                <w:sz w:val="20"/>
                <w:highlight w:val="none"/>
              </w:rPr>
              <w:t>Z</w:t>
            </w:r>
            <w:r>
              <w:rPr>
                <w:rFonts w:hint="eastAsia" w:ascii="宋体" w:hAnsi="宋体" w:cs="宋体"/>
                <w:color w:val="auto"/>
                <w:kern w:val="0"/>
                <w:sz w:val="20"/>
                <w:highlight w:val="none"/>
              </w:rPr>
              <w:t>＜</w:t>
            </w:r>
            <w:r>
              <w:rPr>
                <w:rFonts w:ascii="宋体" w:hAnsi="宋体" w:cs="宋体"/>
                <w:color w:val="auto"/>
                <w:kern w:val="0"/>
                <w:sz w:val="20"/>
                <w:highlight w:val="none"/>
              </w:rPr>
              <w:t>5000</w:t>
            </w:r>
          </w:p>
        </w:tc>
        <w:tc>
          <w:tcPr>
            <w:tcW w:w="1299" w:type="dxa"/>
            <w:tcBorders>
              <w:top w:val="nil"/>
              <w:left w:val="nil"/>
              <w:bottom w:val="single" w:color="auto" w:sz="4" w:space="0"/>
              <w:right w:val="single" w:color="auto" w:sz="4" w:space="0"/>
            </w:tcBorders>
            <w:noWrap w:val="0"/>
            <w:vAlign w:val="center"/>
          </w:tcPr>
          <w:p w14:paraId="7525D988">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9" w:type="dxa"/>
            <w:tcBorders>
              <w:top w:val="nil"/>
              <w:left w:val="nil"/>
              <w:bottom w:val="single" w:color="auto" w:sz="4" w:space="0"/>
              <w:right w:val="single" w:color="auto" w:sz="4" w:space="0"/>
            </w:tcBorders>
            <w:noWrap w:val="0"/>
            <w:vAlign w:val="center"/>
          </w:tcPr>
          <w:p w14:paraId="792E08A7">
            <w:pPr>
              <w:widowControl/>
              <w:wordWrap w:val="0"/>
              <w:rPr>
                <w:rFonts w:ascii="宋体" w:hAnsi="宋体" w:cs="宋体"/>
                <w:color w:val="auto"/>
                <w:kern w:val="0"/>
                <w:sz w:val="20"/>
                <w:highlight w:val="none"/>
              </w:rPr>
            </w:pP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238" w:type="dxa"/>
            <w:tcBorders>
              <w:top w:val="nil"/>
              <w:left w:val="nil"/>
              <w:bottom w:val="single" w:color="auto" w:sz="4" w:space="0"/>
              <w:right w:val="single" w:color="auto" w:sz="8" w:space="0"/>
            </w:tcBorders>
            <w:noWrap w:val="0"/>
            <w:vAlign w:val="center"/>
          </w:tcPr>
          <w:p w14:paraId="5EFAC545">
            <w:pPr>
              <w:widowControl/>
              <w:wordWrap w:val="0"/>
              <w:rPr>
                <w:rFonts w:ascii="宋体" w:hAnsi="宋体" w:cs="宋体"/>
                <w:color w:val="auto"/>
                <w:kern w:val="0"/>
                <w:sz w:val="20"/>
                <w:highlight w:val="none"/>
              </w:rPr>
            </w:pPr>
            <w:r>
              <w:rPr>
                <w:rFonts w:ascii="宋体" w:hAnsi="宋体" w:cs="宋体"/>
                <w:color w:val="auto"/>
                <w:kern w:val="0"/>
                <w:sz w:val="20"/>
                <w:highlight w:val="none"/>
              </w:rPr>
              <w:t>Z</w:t>
            </w:r>
            <w:r>
              <w:rPr>
                <w:rFonts w:hint="eastAsia" w:ascii="宋体" w:hAnsi="宋体" w:cs="宋体"/>
                <w:color w:val="auto"/>
                <w:kern w:val="0"/>
                <w:sz w:val="20"/>
                <w:highlight w:val="none"/>
              </w:rPr>
              <w:t>＜</w:t>
            </w:r>
            <w:r>
              <w:rPr>
                <w:rFonts w:ascii="宋体" w:hAnsi="宋体" w:cs="宋体"/>
                <w:color w:val="auto"/>
                <w:kern w:val="0"/>
                <w:sz w:val="20"/>
                <w:highlight w:val="none"/>
              </w:rPr>
              <w:t>2000</w:t>
            </w:r>
          </w:p>
        </w:tc>
      </w:tr>
      <w:tr w14:paraId="652C655A">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731E9639">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14</w:t>
            </w:r>
            <w:r>
              <w:rPr>
                <w:rFonts w:hint="eastAsia" w:ascii="宋体" w:hAnsi="宋体" w:cs="宋体"/>
                <w:color w:val="auto"/>
                <w:kern w:val="0"/>
                <w:sz w:val="20"/>
                <w:highlight w:val="none"/>
              </w:rPr>
              <w:t>、物业管理</w:t>
            </w:r>
          </w:p>
        </w:tc>
        <w:tc>
          <w:tcPr>
            <w:tcW w:w="1514" w:type="dxa"/>
            <w:tcBorders>
              <w:top w:val="nil"/>
              <w:left w:val="nil"/>
              <w:bottom w:val="single" w:color="auto" w:sz="4" w:space="0"/>
              <w:right w:val="single" w:color="auto" w:sz="4" w:space="0"/>
            </w:tcBorders>
            <w:noWrap w:val="0"/>
            <w:vAlign w:val="center"/>
          </w:tcPr>
          <w:p w14:paraId="14793C14">
            <w:pPr>
              <w:widowControl/>
              <w:wordWrap w:val="0"/>
              <w:rPr>
                <w:rFonts w:ascii="宋体" w:hAnsi="宋体" w:cs="宋体"/>
                <w:color w:val="auto"/>
                <w:kern w:val="0"/>
                <w:sz w:val="20"/>
                <w:highlight w:val="none"/>
              </w:rPr>
            </w:pPr>
            <w:r>
              <w:rPr>
                <w:rFonts w:ascii="宋体" w:hAnsi="宋体" w:cs="宋体"/>
                <w:color w:val="auto"/>
                <w:kern w:val="0"/>
                <w:sz w:val="20"/>
                <w:highlight w:val="none"/>
              </w:rPr>
              <w:t>300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1000</w:t>
            </w:r>
          </w:p>
        </w:tc>
        <w:tc>
          <w:tcPr>
            <w:tcW w:w="1781" w:type="dxa"/>
            <w:tcBorders>
              <w:top w:val="nil"/>
              <w:left w:val="nil"/>
              <w:bottom w:val="single" w:color="auto" w:sz="4" w:space="0"/>
              <w:right w:val="single" w:color="auto" w:sz="4" w:space="0"/>
            </w:tcBorders>
            <w:noWrap w:val="0"/>
            <w:vAlign w:val="center"/>
          </w:tcPr>
          <w:p w14:paraId="5280C0C8">
            <w:pPr>
              <w:widowControl/>
              <w:wordWrap w:val="0"/>
              <w:rPr>
                <w:rFonts w:ascii="宋体" w:hAnsi="宋体" w:cs="宋体"/>
                <w:color w:val="auto"/>
                <w:kern w:val="0"/>
                <w:sz w:val="20"/>
                <w:highlight w:val="none"/>
              </w:rPr>
            </w:pPr>
            <w:r>
              <w:rPr>
                <w:rFonts w:ascii="宋体" w:hAnsi="宋体" w:cs="宋体"/>
                <w:color w:val="auto"/>
                <w:kern w:val="0"/>
                <w:sz w:val="20"/>
                <w:highlight w:val="none"/>
              </w:rPr>
              <w:t>1000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5000</w:t>
            </w:r>
          </w:p>
        </w:tc>
        <w:tc>
          <w:tcPr>
            <w:tcW w:w="1681" w:type="dxa"/>
            <w:tcBorders>
              <w:top w:val="nil"/>
              <w:left w:val="nil"/>
              <w:bottom w:val="single" w:color="auto" w:sz="4" w:space="0"/>
              <w:right w:val="single" w:color="auto" w:sz="8" w:space="0"/>
            </w:tcBorders>
            <w:noWrap w:val="0"/>
            <w:vAlign w:val="center"/>
          </w:tcPr>
          <w:p w14:paraId="6D3AE52C">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54" w:type="dxa"/>
            <w:tcBorders>
              <w:top w:val="nil"/>
              <w:left w:val="nil"/>
              <w:bottom w:val="single" w:color="auto" w:sz="4" w:space="0"/>
              <w:right w:val="single" w:color="auto" w:sz="4" w:space="0"/>
            </w:tcBorders>
            <w:noWrap w:val="0"/>
            <w:vAlign w:val="center"/>
          </w:tcPr>
          <w:p w14:paraId="15BC9A7D">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300</w:t>
            </w:r>
          </w:p>
        </w:tc>
        <w:tc>
          <w:tcPr>
            <w:tcW w:w="1497" w:type="dxa"/>
            <w:tcBorders>
              <w:top w:val="nil"/>
              <w:left w:val="nil"/>
              <w:bottom w:val="single" w:color="auto" w:sz="4" w:space="0"/>
              <w:right w:val="single" w:color="auto" w:sz="4" w:space="0"/>
            </w:tcBorders>
            <w:noWrap w:val="0"/>
            <w:vAlign w:val="center"/>
          </w:tcPr>
          <w:p w14:paraId="65C42755">
            <w:pPr>
              <w:widowControl/>
              <w:wordWrap w:val="0"/>
              <w:rPr>
                <w:rFonts w:ascii="宋体" w:hAnsi="宋体" w:cs="宋体"/>
                <w:color w:val="auto"/>
                <w:kern w:val="0"/>
                <w:sz w:val="20"/>
                <w:highlight w:val="none"/>
              </w:rPr>
            </w:pPr>
            <w:r>
              <w:rPr>
                <w:rFonts w:ascii="宋体" w:hAnsi="宋体" w:cs="宋体"/>
                <w:color w:val="auto"/>
                <w:kern w:val="0"/>
                <w:sz w:val="20"/>
                <w:highlight w:val="none"/>
              </w:rPr>
              <w:t>500</w:t>
            </w:r>
            <w:r>
              <w:rPr>
                <w:rFonts w:hint="eastAsia" w:ascii="宋体" w:hAnsi="宋体" w:cs="宋体"/>
                <w:color w:val="auto"/>
                <w:kern w:val="0"/>
                <w:sz w:val="20"/>
                <w:highlight w:val="none"/>
              </w:rPr>
              <w:t>≤</w:t>
            </w: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1000</w:t>
            </w:r>
          </w:p>
        </w:tc>
        <w:tc>
          <w:tcPr>
            <w:tcW w:w="1540" w:type="dxa"/>
            <w:tcBorders>
              <w:top w:val="nil"/>
              <w:left w:val="nil"/>
              <w:bottom w:val="single" w:color="auto" w:sz="4" w:space="0"/>
              <w:right w:val="single" w:color="auto" w:sz="8" w:space="0"/>
            </w:tcBorders>
            <w:noWrap w:val="0"/>
            <w:vAlign w:val="center"/>
          </w:tcPr>
          <w:p w14:paraId="3E5AB733">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99" w:type="dxa"/>
            <w:tcBorders>
              <w:top w:val="nil"/>
              <w:left w:val="nil"/>
              <w:bottom w:val="single" w:color="auto" w:sz="4" w:space="0"/>
              <w:right w:val="single" w:color="auto" w:sz="4" w:space="0"/>
            </w:tcBorders>
            <w:noWrap w:val="0"/>
            <w:vAlign w:val="center"/>
          </w:tcPr>
          <w:p w14:paraId="36F419AE">
            <w:pPr>
              <w:widowControl/>
              <w:wordWrap w:val="0"/>
              <w:rPr>
                <w:rFonts w:ascii="宋体" w:hAnsi="宋体" w:cs="宋体"/>
                <w:color w:val="auto"/>
                <w:kern w:val="0"/>
                <w:sz w:val="20"/>
                <w:highlight w:val="none"/>
              </w:rPr>
            </w:pP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289" w:type="dxa"/>
            <w:tcBorders>
              <w:top w:val="nil"/>
              <w:left w:val="nil"/>
              <w:bottom w:val="single" w:color="auto" w:sz="4" w:space="0"/>
              <w:right w:val="single" w:color="auto" w:sz="4" w:space="0"/>
            </w:tcBorders>
            <w:noWrap w:val="0"/>
            <w:vAlign w:val="center"/>
          </w:tcPr>
          <w:p w14:paraId="7F528D04">
            <w:pPr>
              <w:widowControl/>
              <w:wordWrap w:val="0"/>
              <w:rPr>
                <w:rFonts w:ascii="宋体" w:hAnsi="宋体" w:cs="宋体"/>
                <w:color w:val="auto"/>
                <w:kern w:val="0"/>
                <w:sz w:val="20"/>
                <w:highlight w:val="none"/>
              </w:rPr>
            </w:pPr>
            <w:r>
              <w:rPr>
                <w:rFonts w:ascii="宋体" w:hAnsi="宋体" w:cs="宋体"/>
                <w:color w:val="auto"/>
                <w:kern w:val="0"/>
                <w:sz w:val="20"/>
                <w:highlight w:val="none"/>
              </w:rPr>
              <w:t>Y</w:t>
            </w:r>
            <w:r>
              <w:rPr>
                <w:rFonts w:hint="eastAsia" w:ascii="宋体" w:hAnsi="宋体" w:cs="宋体"/>
                <w:color w:val="auto"/>
                <w:kern w:val="0"/>
                <w:sz w:val="20"/>
                <w:highlight w:val="none"/>
              </w:rPr>
              <w:t>＜</w:t>
            </w:r>
            <w:r>
              <w:rPr>
                <w:rFonts w:ascii="宋体" w:hAnsi="宋体" w:cs="宋体"/>
                <w:color w:val="auto"/>
                <w:kern w:val="0"/>
                <w:sz w:val="20"/>
                <w:highlight w:val="none"/>
              </w:rPr>
              <w:t>500</w:t>
            </w:r>
          </w:p>
        </w:tc>
        <w:tc>
          <w:tcPr>
            <w:tcW w:w="1238" w:type="dxa"/>
            <w:tcBorders>
              <w:top w:val="nil"/>
              <w:left w:val="nil"/>
              <w:bottom w:val="single" w:color="auto" w:sz="4" w:space="0"/>
              <w:right w:val="single" w:color="auto" w:sz="8" w:space="0"/>
            </w:tcBorders>
            <w:noWrap w:val="0"/>
            <w:vAlign w:val="center"/>
          </w:tcPr>
          <w:p w14:paraId="13ECF190">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46966C96">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4" w:space="0"/>
              <w:right w:val="single" w:color="auto" w:sz="8" w:space="0"/>
            </w:tcBorders>
            <w:noWrap w:val="0"/>
            <w:vAlign w:val="bottom"/>
          </w:tcPr>
          <w:p w14:paraId="48361DE3">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15</w:t>
            </w:r>
            <w:r>
              <w:rPr>
                <w:rFonts w:hint="eastAsia" w:ascii="宋体" w:hAnsi="宋体" w:cs="宋体"/>
                <w:color w:val="auto"/>
                <w:kern w:val="0"/>
                <w:sz w:val="20"/>
                <w:highlight w:val="none"/>
              </w:rPr>
              <w:t>、租赁和商务服务业</w:t>
            </w:r>
          </w:p>
        </w:tc>
        <w:tc>
          <w:tcPr>
            <w:tcW w:w="1514" w:type="dxa"/>
            <w:tcBorders>
              <w:top w:val="nil"/>
              <w:left w:val="nil"/>
              <w:bottom w:val="single" w:color="auto" w:sz="4" w:space="0"/>
              <w:right w:val="single" w:color="auto" w:sz="4" w:space="0"/>
            </w:tcBorders>
            <w:noWrap w:val="0"/>
            <w:vAlign w:val="center"/>
          </w:tcPr>
          <w:p w14:paraId="43F8F0C7">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300</w:t>
            </w:r>
          </w:p>
        </w:tc>
        <w:tc>
          <w:tcPr>
            <w:tcW w:w="1781" w:type="dxa"/>
            <w:tcBorders>
              <w:top w:val="nil"/>
              <w:left w:val="nil"/>
              <w:bottom w:val="single" w:color="auto" w:sz="4" w:space="0"/>
              <w:right w:val="single" w:color="auto" w:sz="4" w:space="0"/>
            </w:tcBorders>
            <w:noWrap w:val="0"/>
            <w:vAlign w:val="center"/>
          </w:tcPr>
          <w:p w14:paraId="7FA6781C">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681" w:type="dxa"/>
            <w:tcBorders>
              <w:top w:val="nil"/>
              <w:left w:val="nil"/>
              <w:bottom w:val="single" w:color="auto" w:sz="4" w:space="0"/>
              <w:right w:val="single" w:color="auto" w:sz="8" w:space="0"/>
            </w:tcBorders>
            <w:noWrap w:val="0"/>
            <w:vAlign w:val="center"/>
          </w:tcPr>
          <w:p w14:paraId="458E31E6">
            <w:pPr>
              <w:widowControl/>
              <w:wordWrap w:val="0"/>
              <w:rPr>
                <w:rFonts w:ascii="宋体" w:hAnsi="宋体" w:cs="宋体"/>
                <w:color w:val="auto"/>
                <w:kern w:val="0"/>
                <w:sz w:val="20"/>
                <w:highlight w:val="none"/>
              </w:rPr>
            </w:pPr>
            <w:r>
              <w:rPr>
                <w:rFonts w:ascii="宋体" w:hAnsi="宋体" w:cs="宋体"/>
                <w:color w:val="auto"/>
                <w:kern w:val="0"/>
                <w:sz w:val="20"/>
                <w:highlight w:val="none"/>
              </w:rPr>
              <w:t>8000</w:t>
            </w:r>
            <w:r>
              <w:rPr>
                <w:rFonts w:hint="eastAsia" w:ascii="宋体" w:hAnsi="宋体" w:cs="宋体"/>
                <w:color w:val="auto"/>
                <w:kern w:val="0"/>
                <w:sz w:val="20"/>
                <w:highlight w:val="none"/>
              </w:rPr>
              <w:t>≤</w:t>
            </w:r>
            <w:r>
              <w:rPr>
                <w:rFonts w:ascii="宋体" w:hAnsi="宋体" w:cs="宋体"/>
                <w:color w:val="auto"/>
                <w:kern w:val="0"/>
                <w:sz w:val="20"/>
                <w:highlight w:val="none"/>
              </w:rPr>
              <w:t>Z</w:t>
            </w:r>
            <w:r>
              <w:rPr>
                <w:rFonts w:hint="eastAsia" w:ascii="宋体" w:hAnsi="宋体" w:cs="宋体"/>
                <w:color w:val="auto"/>
                <w:kern w:val="0"/>
                <w:sz w:val="20"/>
                <w:highlight w:val="none"/>
              </w:rPr>
              <w:t>＜</w:t>
            </w:r>
            <w:r>
              <w:rPr>
                <w:rFonts w:ascii="宋体" w:hAnsi="宋体" w:cs="宋体"/>
                <w:color w:val="auto"/>
                <w:kern w:val="0"/>
                <w:sz w:val="20"/>
                <w:highlight w:val="none"/>
              </w:rPr>
              <w:t>120000</w:t>
            </w:r>
          </w:p>
        </w:tc>
        <w:tc>
          <w:tcPr>
            <w:tcW w:w="1254" w:type="dxa"/>
            <w:tcBorders>
              <w:top w:val="nil"/>
              <w:left w:val="nil"/>
              <w:bottom w:val="single" w:color="auto" w:sz="4" w:space="0"/>
              <w:right w:val="single" w:color="auto" w:sz="4" w:space="0"/>
            </w:tcBorders>
            <w:noWrap w:val="0"/>
            <w:vAlign w:val="center"/>
          </w:tcPr>
          <w:p w14:paraId="42CBFE07">
            <w:pPr>
              <w:widowControl/>
              <w:wordWrap w:val="0"/>
              <w:rPr>
                <w:rFonts w:ascii="宋体" w:hAnsi="宋体" w:cs="宋体"/>
                <w:color w:val="auto"/>
                <w:kern w:val="0"/>
                <w:sz w:val="20"/>
                <w:highlight w:val="none"/>
              </w:rPr>
            </w:pPr>
            <w:r>
              <w:rPr>
                <w:rFonts w:ascii="宋体" w:hAnsi="宋体" w:cs="宋体"/>
                <w:color w:val="auto"/>
                <w:kern w:val="0"/>
                <w:sz w:val="20"/>
                <w:highlight w:val="none"/>
              </w:rPr>
              <w:t>10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497" w:type="dxa"/>
            <w:tcBorders>
              <w:top w:val="nil"/>
              <w:left w:val="nil"/>
              <w:bottom w:val="single" w:color="auto" w:sz="4" w:space="0"/>
              <w:right w:val="single" w:color="auto" w:sz="4" w:space="0"/>
            </w:tcBorders>
            <w:noWrap w:val="0"/>
            <w:vAlign w:val="center"/>
          </w:tcPr>
          <w:p w14:paraId="5FDF1476">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540" w:type="dxa"/>
            <w:tcBorders>
              <w:top w:val="nil"/>
              <w:left w:val="nil"/>
              <w:bottom w:val="single" w:color="auto" w:sz="4" w:space="0"/>
              <w:right w:val="single" w:color="auto" w:sz="8" w:space="0"/>
            </w:tcBorders>
            <w:noWrap w:val="0"/>
            <w:vAlign w:val="center"/>
          </w:tcPr>
          <w:p w14:paraId="3B3C33D6">
            <w:pPr>
              <w:widowControl/>
              <w:wordWrap w:val="0"/>
              <w:rPr>
                <w:rFonts w:ascii="宋体" w:hAnsi="宋体" w:cs="宋体"/>
                <w:color w:val="auto"/>
                <w:kern w:val="0"/>
                <w:sz w:val="20"/>
                <w:highlight w:val="none"/>
              </w:rPr>
            </w:pPr>
            <w:r>
              <w:rPr>
                <w:rFonts w:ascii="宋体" w:hAnsi="宋体" w:cs="宋体"/>
                <w:color w:val="auto"/>
                <w:kern w:val="0"/>
                <w:sz w:val="20"/>
                <w:highlight w:val="none"/>
              </w:rPr>
              <w:t xml:space="preserve"> 100</w:t>
            </w:r>
            <w:r>
              <w:rPr>
                <w:rFonts w:hint="eastAsia" w:ascii="宋体" w:hAnsi="宋体" w:cs="宋体"/>
                <w:color w:val="auto"/>
                <w:kern w:val="0"/>
                <w:sz w:val="20"/>
                <w:highlight w:val="none"/>
              </w:rPr>
              <w:t>≤</w:t>
            </w:r>
            <w:r>
              <w:rPr>
                <w:rFonts w:ascii="宋体" w:hAnsi="宋体" w:cs="宋体"/>
                <w:color w:val="auto"/>
                <w:kern w:val="0"/>
                <w:sz w:val="20"/>
                <w:highlight w:val="none"/>
              </w:rPr>
              <w:t>Z</w:t>
            </w:r>
            <w:r>
              <w:rPr>
                <w:rFonts w:hint="eastAsia" w:ascii="宋体" w:hAnsi="宋体" w:cs="宋体"/>
                <w:color w:val="auto"/>
                <w:kern w:val="0"/>
                <w:sz w:val="20"/>
                <w:highlight w:val="none"/>
              </w:rPr>
              <w:t>＜</w:t>
            </w:r>
            <w:r>
              <w:rPr>
                <w:rFonts w:ascii="宋体" w:hAnsi="宋体" w:cs="宋体"/>
                <w:color w:val="auto"/>
                <w:kern w:val="0"/>
                <w:sz w:val="20"/>
                <w:highlight w:val="none"/>
              </w:rPr>
              <w:t>8000</w:t>
            </w:r>
          </w:p>
        </w:tc>
        <w:tc>
          <w:tcPr>
            <w:tcW w:w="1299" w:type="dxa"/>
            <w:tcBorders>
              <w:top w:val="nil"/>
              <w:left w:val="nil"/>
              <w:bottom w:val="single" w:color="auto" w:sz="4" w:space="0"/>
              <w:right w:val="single" w:color="auto" w:sz="4" w:space="0"/>
            </w:tcBorders>
            <w:noWrap w:val="0"/>
            <w:vAlign w:val="center"/>
          </w:tcPr>
          <w:p w14:paraId="36891C20">
            <w:pPr>
              <w:widowControl/>
              <w:wordWrap w:val="0"/>
              <w:rPr>
                <w:rFonts w:ascii="宋体" w:hAnsi="宋体" w:cs="宋体"/>
                <w:color w:val="auto"/>
                <w:kern w:val="0"/>
                <w:sz w:val="20"/>
                <w:highlight w:val="none"/>
              </w:rPr>
            </w:pP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w:t>
            </w:r>
          </w:p>
        </w:tc>
        <w:tc>
          <w:tcPr>
            <w:tcW w:w="1289" w:type="dxa"/>
            <w:tcBorders>
              <w:top w:val="nil"/>
              <w:left w:val="nil"/>
              <w:bottom w:val="single" w:color="auto" w:sz="4" w:space="0"/>
              <w:right w:val="single" w:color="auto" w:sz="4" w:space="0"/>
            </w:tcBorders>
            <w:noWrap w:val="0"/>
            <w:vAlign w:val="center"/>
          </w:tcPr>
          <w:p w14:paraId="55967630">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38" w:type="dxa"/>
            <w:tcBorders>
              <w:top w:val="nil"/>
              <w:left w:val="nil"/>
              <w:bottom w:val="single" w:color="auto" w:sz="4" w:space="0"/>
              <w:right w:val="single" w:color="auto" w:sz="8" w:space="0"/>
            </w:tcBorders>
            <w:noWrap w:val="0"/>
            <w:vAlign w:val="center"/>
          </w:tcPr>
          <w:p w14:paraId="678D895F">
            <w:pPr>
              <w:widowControl/>
              <w:wordWrap w:val="0"/>
              <w:rPr>
                <w:rFonts w:ascii="宋体" w:hAnsi="宋体" w:cs="宋体"/>
                <w:color w:val="auto"/>
                <w:kern w:val="0"/>
                <w:sz w:val="20"/>
                <w:highlight w:val="none"/>
              </w:rPr>
            </w:pPr>
            <w:r>
              <w:rPr>
                <w:rFonts w:ascii="宋体" w:hAnsi="宋体" w:cs="宋体"/>
                <w:color w:val="auto"/>
                <w:kern w:val="0"/>
                <w:sz w:val="20"/>
                <w:highlight w:val="none"/>
              </w:rPr>
              <w:t>Z</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r>
      <w:tr w14:paraId="5FE7676A">
        <w:tblPrEx>
          <w:tblCellMar>
            <w:top w:w="0" w:type="dxa"/>
            <w:left w:w="108" w:type="dxa"/>
            <w:bottom w:w="0" w:type="dxa"/>
            <w:right w:w="108" w:type="dxa"/>
          </w:tblCellMar>
        </w:tblPrEx>
        <w:trPr>
          <w:gridAfter w:val="1"/>
          <w:wAfter w:w="12" w:type="dxa"/>
          <w:trHeight w:val="305" w:hRule="atLeast"/>
        </w:trPr>
        <w:tc>
          <w:tcPr>
            <w:tcW w:w="2005" w:type="dxa"/>
            <w:tcBorders>
              <w:top w:val="nil"/>
              <w:left w:val="single" w:color="auto" w:sz="8" w:space="0"/>
              <w:bottom w:val="single" w:color="auto" w:sz="8" w:space="0"/>
              <w:right w:val="single" w:color="auto" w:sz="8" w:space="0"/>
            </w:tcBorders>
            <w:noWrap w:val="0"/>
            <w:vAlign w:val="bottom"/>
          </w:tcPr>
          <w:p w14:paraId="64FBA5CE">
            <w:pPr>
              <w:widowControl/>
              <w:wordWrap w:val="0"/>
              <w:jc w:val="left"/>
              <w:rPr>
                <w:rFonts w:ascii="宋体" w:hAnsi="宋体" w:cs="宋体"/>
                <w:color w:val="auto"/>
                <w:kern w:val="0"/>
                <w:sz w:val="20"/>
                <w:highlight w:val="none"/>
              </w:rPr>
            </w:pPr>
            <w:r>
              <w:rPr>
                <w:rFonts w:ascii="宋体" w:hAnsi="宋体" w:cs="宋体"/>
                <w:color w:val="auto"/>
                <w:kern w:val="0"/>
                <w:sz w:val="20"/>
                <w:highlight w:val="none"/>
              </w:rPr>
              <w:t>16</w:t>
            </w:r>
            <w:r>
              <w:rPr>
                <w:rFonts w:hint="eastAsia" w:ascii="宋体" w:hAnsi="宋体" w:cs="宋体"/>
                <w:color w:val="auto"/>
                <w:kern w:val="0"/>
                <w:sz w:val="20"/>
                <w:highlight w:val="none"/>
              </w:rPr>
              <w:t>、其他未列明行业</w:t>
            </w:r>
          </w:p>
        </w:tc>
        <w:tc>
          <w:tcPr>
            <w:tcW w:w="1514" w:type="dxa"/>
            <w:tcBorders>
              <w:top w:val="nil"/>
              <w:left w:val="nil"/>
              <w:bottom w:val="single" w:color="auto" w:sz="8" w:space="0"/>
              <w:right w:val="single" w:color="auto" w:sz="4" w:space="0"/>
            </w:tcBorders>
            <w:noWrap w:val="0"/>
            <w:vAlign w:val="center"/>
          </w:tcPr>
          <w:p w14:paraId="598DE3A4">
            <w:pPr>
              <w:widowControl/>
              <w:wordWrap w:val="0"/>
              <w:rPr>
                <w:rFonts w:ascii="宋体" w:hAnsi="宋体" w:cs="宋体"/>
                <w:color w:val="auto"/>
                <w:kern w:val="0"/>
                <w:sz w:val="20"/>
                <w:highlight w:val="none"/>
              </w:rPr>
            </w:pPr>
            <w:r>
              <w:rPr>
                <w:rFonts w:ascii="宋体" w:hAnsi="宋体" w:cs="宋体"/>
                <w:color w:val="auto"/>
                <w:kern w:val="0"/>
                <w:sz w:val="20"/>
                <w:highlight w:val="none"/>
              </w:rPr>
              <w:t>100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300</w:t>
            </w:r>
          </w:p>
        </w:tc>
        <w:tc>
          <w:tcPr>
            <w:tcW w:w="1781" w:type="dxa"/>
            <w:tcBorders>
              <w:top w:val="nil"/>
              <w:left w:val="nil"/>
              <w:bottom w:val="single" w:color="auto" w:sz="8" w:space="0"/>
              <w:right w:val="single" w:color="auto" w:sz="4" w:space="0"/>
            </w:tcBorders>
            <w:noWrap w:val="0"/>
            <w:vAlign w:val="center"/>
          </w:tcPr>
          <w:p w14:paraId="27C04330">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681" w:type="dxa"/>
            <w:tcBorders>
              <w:top w:val="nil"/>
              <w:left w:val="nil"/>
              <w:bottom w:val="single" w:color="auto" w:sz="8" w:space="0"/>
              <w:right w:val="single" w:color="auto" w:sz="8" w:space="0"/>
            </w:tcBorders>
            <w:noWrap w:val="0"/>
            <w:vAlign w:val="center"/>
          </w:tcPr>
          <w:p w14:paraId="0AD16257">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54" w:type="dxa"/>
            <w:tcBorders>
              <w:top w:val="nil"/>
              <w:left w:val="nil"/>
              <w:bottom w:val="single" w:color="auto" w:sz="8" w:space="0"/>
              <w:right w:val="single" w:color="auto" w:sz="4" w:space="0"/>
            </w:tcBorders>
            <w:noWrap w:val="0"/>
            <w:vAlign w:val="center"/>
          </w:tcPr>
          <w:p w14:paraId="47469AE5">
            <w:pPr>
              <w:widowControl/>
              <w:wordWrap w:val="0"/>
              <w:rPr>
                <w:rFonts w:ascii="宋体" w:hAnsi="宋体" w:cs="宋体"/>
                <w:color w:val="auto"/>
                <w:kern w:val="0"/>
                <w:sz w:val="20"/>
                <w:highlight w:val="none"/>
              </w:rPr>
            </w:pPr>
            <w:r>
              <w:rPr>
                <w:rFonts w:ascii="宋体" w:hAnsi="宋体" w:cs="宋体"/>
                <w:color w:val="auto"/>
                <w:kern w:val="0"/>
                <w:sz w:val="20"/>
                <w:highlight w:val="none"/>
              </w:rPr>
              <w:t>10</w:t>
            </w:r>
            <w:r>
              <w:rPr>
                <w:rFonts w:hint="eastAsia" w:ascii="宋体" w:hAnsi="宋体" w:cs="宋体"/>
                <w:color w:val="auto"/>
                <w:kern w:val="0"/>
                <w:sz w:val="20"/>
                <w:highlight w:val="none"/>
              </w:rPr>
              <w:t>≤</w:t>
            </w: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100</w:t>
            </w:r>
          </w:p>
        </w:tc>
        <w:tc>
          <w:tcPr>
            <w:tcW w:w="1497" w:type="dxa"/>
            <w:tcBorders>
              <w:top w:val="nil"/>
              <w:left w:val="nil"/>
              <w:bottom w:val="single" w:color="auto" w:sz="8" w:space="0"/>
              <w:right w:val="single" w:color="auto" w:sz="4" w:space="0"/>
            </w:tcBorders>
            <w:noWrap w:val="0"/>
            <w:vAlign w:val="center"/>
          </w:tcPr>
          <w:p w14:paraId="544AEE5E">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540" w:type="dxa"/>
            <w:tcBorders>
              <w:top w:val="nil"/>
              <w:left w:val="nil"/>
              <w:bottom w:val="single" w:color="auto" w:sz="8" w:space="0"/>
              <w:right w:val="single" w:color="auto" w:sz="8" w:space="0"/>
            </w:tcBorders>
            <w:noWrap w:val="0"/>
            <w:vAlign w:val="center"/>
          </w:tcPr>
          <w:p w14:paraId="18169EFB">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99" w:type="dxa"/>
            <w:tcBorders>
              <w:top w:val="nil"/>
              <w:left w:val="nil"/>
              <w:bottom w:val="single" w:color="auto" w:sz="8" w:space="0"/>
              <w:right w:val="single" w:color="auto" w:sz="4" w:space="0"/>
            </w:tcBorders>
            <w:noWrap w:val="0"/>
            <w:vAlign w:val="center"/>
          </w:tcPr>
          <w:p w14:paraId="7412F4A7">
            <w:pPr>
              <w:widowControl/>
              <w:wordWrap w:val="0"/>
              <w:rPr>
                <w:rFonts w:ascii="宋体" w:hAnsi="宋体" w:cs="宋体"/>
                <w:color w:val="auto"/>
                <w:kern w:val="0"/>
                <w:sz w:val="20"/>
                <w:highlight w:val="none"/>
              </w:rPr>
            </w:pPr>
            <w:r>
              <w:rPr>
                <w:rFonts w:ascii="宋体" w:hAnsi="宋体" w:cs="宋体"/>
                <w:color w:val="auto"/>
                <w:kern w:val="0"/>
                <w:sz w:val="20"/>
                <w:highlight w:val="none"/>
              </w:rPr>
              <w:t>X</w:t>
            </w:r>
            <w:r>
              <w:rPr>
                <w:rFonts w:hint="eastAsia" w:ascii="宋体" w:hAnsi="宋体" w:cs="宋体"/>
                <w:color w:val="auto"/>
                <w:kern w:val="0"/>
                <w:sz w:val="20"/>
                <w:highlight w:val="none"/>
              </w:rPr>
              <w:t>＜</w:t>
            </w:r>
            <w:r>
              <w:rPr>
                <w:rFonts w:ascii="宋体" w:hAnsi="宋体" w:cs="宋体"/>
                <w:color w:val="auto"/>
                <w:kern w:val="0"/>
                <w:sz w:val="20"/>
                <w:highlight w:val="none"/>
              </w:rPr>
              <w:t>10</w:t>
            </w:r>
          </w:p>
        </w:tc>
        <w:tc>
          <w:tcPr>
            <w:tcW w:w="1289" w:type="dxa"/>
            <w:tcBorders>
              <w:top w:val="nil"/>
              <w:left w:val="nil"/>
              <w:bottom w:val="single" w:color="auto" w:sz="8" w:space="0"/>
              <w:right w:val="single" w:color="auto" w:sz="4" w:space="0"/>
            </w:tcBorders>
            <w:noWrap w:val="0"/>
            <w:vAlign w:val="center"/>
          </w:tcPr>
          <w:p w14:paraId="604D2336">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38" w:type="dxa"/>
            <w:tcBorders>
              <w:top w:val="nil"/>
              <w:left w:val="nil"/>
              <w:bottom w:val="single" w:color="auto" w:sz="8" w:space="0"/>
              <w:right w:val="single" w:color="auto" w:sz="8" w:space="0"/>
            </w:tcBorders>
            <w:noWrap w:val="0"/>
            <w:vAlign w:val="center"/>
          </w:tcPr>
          <w:p w14:paraId="334C9E80">
            <w:pPr>
              <w:widowControl/>
              <w:wordWrap w:val="0"/>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51496C3E">
        <w:tblPrEx>
          <w:tblCellMar>
            <w:top w:w="0" w:type="dxa"/>
            <w:left w:w="108" w:type="dxa"/>
            <w:bottom w:w="0" w:type="dxa"/>
            <w:right w:w="108" w:type="dxa"/>
          </w:tblCellMar>
        </w:tblPrEx>
        <w:trPr>
          <w:trHeight w:val="966" w:hRule="atLeast"/>
        </w:trPr>
        <w:tc>
          <w:tcPr>
            <w:tcW w:w="15110" w:type="dxa"/>
            <w:gridSpan w:val="11"/>
            <w:tcBorders>
              <w:top w:val="nil"/>
              <w:left w:val="nil"/>
              <w:bottom w:val="nil"/>
              <w:right w:val="nil"/>
            </w:tcBorders>
            <w:noWrap w:val="0"/>
            <w:vAlign w:val="bottom"/>
          </w:tcPr>
          <w:p w14:paraId="62742FC3">
            <w:pPr>
              <w:widowControl/>
              <w:wordWrap w:val="0"/>
              <w:jc w:val="left"/>
              <w:rPr>
                <w:rFonts w:ascii="宋体" w:hAnsi="宋体" w:cs="宋体"/>
                <w:color w:val="auto"/>
                <w:kern w:val="0"/>
                <w:sz w:val="20"/>
                <w:highlight w:val="none"/>
              </w:rPr>
            </w:pPr>
            <w:r>
              <w:rPr>
                <w:rFonts w:hint="eastAsia" w:ascii="宋体" w:hAnsi="宋体" w:cs="宋体"/>
                <w:color w:val="auto"/>
                <w:kern w:val="0"/>
                <w:sz w:val="20"/>
                <w:highlight w:val="none"/>
              </w:rPr>
              <w:t>说明　</w:t>
            </w:r>
            <w:r>
              <w:rPr>
                <w:rFonts w:ascii="宋体" w:hAnsi="宋体" w:cs="宋体"/>
                <w:color w:val="auto"/>
                <w:kern w:val="0"/>
                <w:sz w:val="20"/>
                <w:highlight w:val="none"/>
              </w:rPr>
              <w:t>1</w:t>
            </w:r>
            <w:r>
              <w:rPr>
                <w:rFonts w:hint="eastAsia" w:ascii="宋体" w:hAnsi="宋体" w:cs="宋体"/>
                <w:color w:val="auto"/>
                <w:kern w:val="0"/>
                <w:sz w:val="20"/>
                <w:highlight w:val="none"/>
              </w:rPr>
              <w:t>、企业类型的划分以统计部门的统计数据为依据。</w:t>
            </w:r>
          </w:p>
          <w:p w14:paraId="10CFE13F">
            <w:pPr>
              <w:widowControl/>
              <w:wordWrap w:val="0"/>
              <w:ind w:firstLine="600" w:firstLineChars="300"/>
              <w:jc w:val="left"/>
              <w:rPr>
                <w:rFonts w:ascii="宋体" w:hAnsi="宋体" w:cs="宋体"/>
                <w:color w:val="auto"/>
                <w:kern w:val="0"/>
                <w:sz w:val="20"/>
                <w:highlight w:val="none"/>
              </w:rPr>
            </w:pPr>
            <w:r>
              <w:rPr>
                <w:rFonts w:ascii="宋体" w:hAnsi="宋体" w:cs="宋体"/>
                <w:color w:val="auto"/>
                <w:kern w:val="0"/>
                <w:sz w:val="20"/>
                <w:highlight w:val="none"/>
              </w:rPr>
              <w:t>2</w:t>
            </w:r>
            <w:r>
              <w:rPr>
                <w:rFonts w:hint="eastAsia" w:ascii="宋体" w:hAnsi="宋体" w:cs="宋体"/>
                <w:color w:val="auto"/>
                <w:kern w:val="0"/>
                <w:sz w:val="20"/>
                <w:highlight w:val="none"/>
              </w:rPr>
              <w:t>、个体工商户和本规定以外的行业，参照本规定进行划型。</w:t>
            </w:r>
          </w:p>
          <w:p w14:paraId="424A8DB9">
            <w:pPr>
              <w:widowControl/>
              <w:wordWrap w:val="0"/>
              <w:ind w:firstLine="600" w:firstLineChars="300"/>
              <w:jc w:val="left"/>
              <w:rPr>
                <w:rFonts w:ascii="宋体" w:hAnsi="宋体" w:cs="宋体"/>
                <w:color w:val="auto"/>
                <w:kern w:val="0"/>
                <w:sz w:val="20"/>
                <w:highlight w:val="none"/>
              </w:rPr>
            </w:pPr>
            <w:r>
              <w:rPr>
                <w:rFonts w:ascii="宋体" w:hAnsi="宋体" w:cs="宋体"/>
                <w:color w:val="auto"/>
                <w:kern w:val="0"/>
                <w:sz w:val="20"/>
                <w:highlight w:val="none"/>
              </w:rPr>
              <w:t>3</w:t>
            </w:r>
            <w:r>
              <w:rPr>
                <w:rFonts w:hint="eastAsia" w:ascii="宋体" w:hAnsi="宋体" w:cs="宋体"/>
                <w:color w:val="auto"/>
                <w:kern w:val="0"/>
                <w:sz w:val="20"/>
                <w:highlight w:val="none"/>
              </w:rPr>
              <w:t>、本规定的中型企业标准上限即为大型企业标准的下限。</w:t>
            </w:r>
          </w:p>
        </w:tc>
      </w:tr>
    </w:tbl>
    <w:p w14:paraId="59469A6B">
      <w:pPr>
        <w:pStyle w:val="25"/>
        <w:tabs>
          <w:tab w:val="left" w:pos="3450"/>
        </w:tabs>
        <w:wordWrap w:val="0"/>
        <w:spacing w:line="20" w:lineRule="exact"/>
        <w:jc w:val="left"/>
        <w:rPr>
          <w:rFonts w:hint="eastAsia" w:hAnsi="宋体"/>
          <w:color w:val="auto"/>
          <w:sz w:val="36"/>
          <w:szCs w:val="36"/>
          <w:highlight w:val="none"/>
        </w:rPr>
      </w:pPr>
    </w:p>
    <w:p w14:paraId="415FC3DE">
      <w:pPr>
        <w:contextualSpacing/>
        <w:rPr>
          <w:rFonts w:ascii="宋体" w:hAnsi="宋体" w:cs="宋体"/>
          <w:color w:val="auto"/>
          <w:szCs w:val="21"/>
          <w:highlight w:val="none"/>
        </w:rPr>
        <w:sectPr>
          <w:pgSz w:w="16840" w:h="11907" w:orient="landscape"/>
          <w:pgMar w:top="1338" w:right="1140" w:bottom="1588" w:left="1423" w:header="284" w:footer="992" w:gutter="0"/>
          <w:cols w:space="720" w:num="1"/>
          <w:docGrid w:linePitch="286" w:charSpace="0"/>
        </w:sectPr>
      </w:pPr>
    </w:p>
    <w:p w14:paraId="49A6389B">
      <w:pPr>
        <w:contextualSpacing/>
        <w:jc w:val="center"/>
        <w:rPr>
          <w:rFonts w:ascii="宋体" w:hAnsi="宋体"/>
          <w:b/>
          <w:color w:val="auto"/>
          <w:sz w:val="24"/>
          <w:szCs w:val="24"/>
          <w:highlight w:val="none"/>
        </w:rPr>
      </w:pPr>
      <w:r>
        <w:rPr>
          <w:rFonts w:hint="eastAsia" w:ascii="宋体" w:hAnsi="宋体"/>
          <w:b/>
          <w:color w:val="auto"/>
          <w:sz w:val="24"/>
          <w:szCs w:val="24"/>
          <w:highlight w:val="none"/>
          <w:lang w:val="en-US" w:eastAsia="zh-CN"/>
        </w:rPr>
        <w:t>C3</w:t>
      </w:r>
      <w:r>
        <w:rPr>
          <w:rFonts w:hint="eastAsia" w:ascii="宋体" w:hAnsi="宋体"/>
          <w:b/>
          <w:color w:val="auto"/>
          <w:sz w:val="24"/>
          <w:szCs w:val="24"/>
          <w:highlight w:val="none"/>
        </w:rPr>
        <w:t>、残疾人福利性单位声明函（如有需提供）</w:t>
      </w:r>
    </w:p>
    <w:p w14:paraId="520F901B">
      <w:pPr>
        <w:bidi w:val="0"/>
        <w:rPr>
          <w:rFonts w:hint="eastAsia"/>
          <w:color w:val="auto"/>
          <w:highlight w:val="none"/>
        </w:rPr>
      </w:pPr>
    </w:p>
    <w:p w14:paraId="46E338DD">
      <w:pPr>
        <w:wordWrap w:val="0"/>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本单位郑重声明，根据《财政部</w:t>
      </w:r>
      <w:r>
        <w:rPr>
          <w:rFonts w:ascii="宋体" w:hAnsi="宋体"/>
          <w:color w:val="auto"/>
          <w:sz w:val="24"/>
          <w:szCs w:val="24"/>
          <w:highlight w:val="none"/>
        </w:rPr>
        <w:t xml:space="preserve"> </w:t>
      </w:r>
      <w:r>
        <w:rPr>
          <w:rFonts w:hint="eastAsia" w:ascii="宋体" w:hAnsi="宋体"/>
          <w:color w:val="auto"/>
          <w:sz w:val="24"/>
          <w:szCs w:val="24"/>
          <w:highlight w:val="none"/>
        </w:rPr>
        <w:t>民政部</w:t>
      </w:r>
      <w:r>
        <w:rPr>
          <w:rFonts w:ascii="宋体" w:hAnsi="宋体"/>
          <w:color w:val="auto"/>
          <w:sz w:val="24"/>
          <w:szCs w:val="24"/>
          <w:highlight w:val="none"/>
        </w:rPr>
        <w:t xml:space="preserve"> </w:t>
      </w:r>
      <w:r>
        <w:rPr>
          <w:rFonts w:hint="eastAsia" w:ascii="宋体" w:hAnsi="宋体"/>
          <w:color w:val="auto"/>
          <w:sz w:val="24"/>
          <w:szCs w:val="24"/>
          <w:highlight w:val="none"/>
        </w:rPr>
        <w:t>中国残疾人联合会关于促进残疾人就业政府采购政策的通知》（财库〔</w:t>
      </w:r>
      <w:r>
        <w:rPr>
          <w:rFonts w:ascii="宋体" w:hAnsi="宋体"/>
          <w:color w:val="auto"/>
          <w:sz w:val="24"/>
          <w:szCs w:val="24"/>
          <w:highlight w:val="none"/>
        </w:rPr>
        <w:t>2017</w:t>
      </w:r>
      <w:r>
        <w:rPr>
          <w:rFonts w:hint="eastAsia" w:ascii="宋体" w:hAnsi="宋体"/>
          <w:color w:val="auto"/>
          <w:sz w:val="24"/>
          <w:szCs w:val="24"/>
          <w:highlight w:val="none"/>
        </w:rPr>
        <w:t>〕</w:t>
      </w:r>
      <w:r>
        <w:rPr>
          <w:rFonts w:ascii="宋体" w:hAnsi="宋体"/>
          <w:color w:val="auto"/>
          <w:sz w:val="24"/>
          <w:szCs w:val="24"/>
          <w:highlight w:val="none"/>
        </w:rPr>
        <w:t>141</w:t>
      </w:r>
      <w:r>
        <w:rPr>
          <w:rFonts w:hint="eastAsia" w:ascii="宋体" w:hAnsi="宋体"/>
          <w:color w:val="auto"/>
          <w:sz w:val="24"/>
          <w:szCs w:val="24"/>
          <w:highlight w:val="none"/>
        </w:rPr>
        <w:t>号）的规定，本单位为符合条件的残疾人福利性单位，且本单位参加</w:t>
      </w:r>
      <w:r>
        <w:rPr>
          <w:rFonts w:ascii="宋体" w:hAnsi="宋体"/>
          <w:color w:val="auto"/>
          <w:sz w:val="24"/>
          <w:szCs w:val="24"/>
          <w:highlight w:val="none"/>
        </w:rPr>
        <w:t>______</w:t>
      </w:r>
      <w:r>
        <w:rPr>
          <w:rFonts w:hint="eastAsia" w:ascii="宋体" w:hAnsi="宋体"/>
          <w:color w:val="auto"/>
          <w:sz w:val="24"/>
          <w:szCs w:val="24"/>
          <w:highlight w:val="none"/>
        </w:rPr>
        <w:t>单位的</w:t>
      </w:r>
      <w:r>
        <w:rPr>
          <w:rFonts w:ascii="宋体" w:hAnsi="宋体"/>
          <w:color w:val="auto"/>
          <w:sz w:val="24"/>
          <w:szCs w:val="24"/>
          <w:highlight w:val="none"/>
        </w:rPr>
        <w:t>______</w:t>
      </w:r>
      <w:r>
        <w:rPr>
          <w:rFonts w:hint="eastAsia" w:ascii="宋体" w:hAnsi="宋体"/>
          <w:color w:val="auto"/>
          <w:sz w:val="24"/>
          <w:szCs w:val="24"/>
          <w:highlight w:val="none"/>
        </w:rPr>
        <w:t>项目采购活动提供本单位制造的货物（由本单位承担工程</w:t>
      </w:r>
      <w:r>
        <w:rPr>
          <w:rFonts w:ascii="宋体" w:hAnsi="宋体"/>
          <w:color w:val="auto"/>
          <w:sz w:val="24"/>
          <w:szCs w:val="24"/>
          <w:highlight w:val="none"/>
        </w:rPr>
        <w:t>/</w:t>
      </w:r>
      <w:r>
        <w:rPr>
          <w:rFonts w:hint="eastAsia" w:ascii="宋体" w:hAnsi="宋体"/>
          <w:color w:val="auto"/>
          <w:sz w:val="24"/>
          <w:szCs w:val="24"/>
          <w:highlight w:val="none"/>
        </w:rPr>
        <w:t>提供服务），或者提供其他残疾人福利性单位制造的货物（不包括使用非残疾人福利性单位注册商标的货物）。</w:t>
      </w:r>
    </w:p>
    <w:p w14:paraId="7D88DA4E">
      <w:pPr>
        <w:wordWrap w:val="0"/>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本单位对上述声明的真实性负责。如有虚假，将依法承担相应责任。</w:t>
      </w:r>
    </w:p>
    <w:p w14:paraId="0928C99C">
      <w:pPr>
        <w:wordWrap w:val="0"/>
        <w:spacing w:line="588" w:lineRule="exact"/>
        <w:rPr>
          <w:rFonts w:hint="eastAsia" w:ascii="宋体" w:hAnsi="宋体"/>
          <w:color w:val="auto"/>
          <w:sz w:val="24"/>
          <w:szCs w:val="24"/>
          <w:highlight w:val="none"/>
        </w:rPr>
      </w:pPr>
    </w:p>
    <w:p w14:paraId="6FC7EA52">
      <w:pPr>
        <w:tabs>
          <w:tab w:val="left" w:pos="4860"/>
        </w:tabs>
        <w:wordWrap w:val="0"/>
        <w:spacing w:line="588" w:lineRule="exact"/>
        <w:ind w:right="1560" w:firstLine="480" w:firstLineChars="200"/>
        <w:jc w:val="center"/>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单位名称（盖章）：</w:t>
      </w:r>
    </w:p>
    <w:p w14:paraId="362521A4">
      <w:pPr>
        <w:tabs>
          <w:tab w:val="left" w:pos="4860"/>
        </w:tabs>
        <w:wordWrap w:val="0"/>
        <w:spacing w:line="588" w:lineRule="exact"/>
        <w:ind w:right="1560" w:firstLine="480" w:firstLineChars="200"/>
        <w:jc w:val="center"/>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r>
        <w:rPr>
          <w:rFonts w:hint="eastAsia" w:ascii="宋体" w:hAnsi="宋体"/>
          <w:color w:val="auto"/>
          <w:sz w:val="24"/>
          <w:szCs w:val="24"/>
          <w:highlight w:val="none"/>
        </w:rPr>
        <w:t>期：</w:t>
      </w:r>
    </w:p>
    <w:p w14:paraId="0DC28882">
      <w:pPr>
        <w:wordWrap w:val="0"/>
        <w:spacing w:line="400" w:lineRule="exact"/>
        <w:ind w:firstLine="482" w:firstLineChars="200"/>
        <w:rPr>
          <w:rFonts w:ascii="宋体" w:hAnsi="宋体"/>
          <w:b/>
          <w:color w:val="auto"/>
          <w:sz w:val="24"/>
          <w:szCs w:val="24"/>
          <w:highlight w:val="none"/>
        </w:rPr>
      </w:pPr>
    </w:p>
    <w:p w14:paraId="592CDC09">
      <w:pPr>
        <w:spacing w:line="40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注：</w:t>
      </w:r>
    </w:p>
    <w:p w14:paraId="5618989B">
      <w:pPr>
        <w:spacing w:line="40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享受政府采购支持政策的残疾人福利性单位应当同时满足以下条件：</w:t>
      </w:r>
    </w:p>
    <w:p w14:paraId="7208278B">
      <w:pPr>
        <w:spacing w:line="40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（一）安置的残疾人占本单位在职职工人数的比例不低于</w:t>
      </w:r>
      <w:r>
        <w:rPr>
          <w:rFonts w:ascii="宋体" w:hAnsi="宋体"/>
          <w:b/>
          <w:color w:val="auto"/>
          <w:sz w:val="24"/>
          <w:szCs w:val="24"/>
          <w:highlight w:val="none"/>
        </w:rPr>
        <w:t>25%</w:t>
      </w:r>
      <w:r>
        <w:rPr>
          <w:rFonts w:hint="eastAsia" w:ascii="宋体" w:hAnsi="宋体"/>
          <w:b/>
          <w:color w:val="auto"/>
          <w:sz w:val="24"/>
          <w:szCs w:val="24"/>
          <w:highlight w:val="none"/>
        </w:rPr>
        <w:t>（含</w:t>
      </w:r>
      <w:r>
        <w:rPr>
          <w:rFonts w:ascii="宋体" w:hAnsi="宋体"/>
          <w:b/>
          <w:color w:val="auto"/>
          <w:sz w:val="24"/>
          <w:szCs w:val="24"/>
          <w:highlight w:val="none"/>
        </w:rPr>
        <w:t>25%</w:t>
      </w:r>
      <w:r>
        <w:rPr>
          <w:rFonts w:hint="eastAsia" w:ascii="宋体" w:hAnsi="宋体"/>
          <w:b/>
          <w:color w:val="auto"/>
          <w:sz w:val="24"/>
          <w:szCs w:val="24"/>
          <w:highlight w:val="none"/>
        </w:rPr>
        <w:t>），并且安置的残疾人人数不少于</w:t>
      </w:r>
      <w:r>
        <w:rPr>
          <w:rFonts w:ascii="宋体" w:hAnsi="宋体"/>
          <w:b/>
          <w:color w:val="auto"/>
          <w:sz w:val="24"/>
          <w:szCs w:val="24"/>
          <w:highlight w:val="none"/>
        </w:rPr>
        <w:t>10</w:t>
      </w:r>
      <w:r>
        <w:rPr>
          <w:rFonts w:hint="eastAsia" w:ascii="宋体" w:hAnsi="宋体"/>
          <w:b/>
          <w:color w:val="auto"/>
          <w:sz w:val="24"/>
          <w:szCs w:val="24"/>
          <w:highlight w:val="none"/>
        </w:rPr>
        <w:t>人（含</w:t>
      </w:r>
      <w:r>
        <w:rPr>
          <w:rFonts w:ascii="宋体" w:hAnsi="宋体"/>
          <w:b/>
          <w:color w:val="auto"/>
          <w:sz w:val="24"/>
          <w:szCs w:val="24"/>
          <w:highlight w:val="none"/>
        </w:rPr>
        <w:t>10</w:t>
      </w:r>
      <w:r>
        <w:rPr>
          <w:rFonts w:hint="eastAsia" w:ascii="宋体" w:hAnsi="宋体"/>
          <w:b/>
          <w:color w:val="auto"/>
          <w:sz w:val="24"/>
          <w:szCs w:val="24"/>
          <w:highlight w:val="none"/>
        </w:rPr>
        <w:t>人）；</w:t>
      </w:r>
    </w:p>
    <w:p w14:paraId="71CBC72C">
      <w:pPr>
        <w:spacing w:line="40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（二）依法与安置的每位残疾人签订了一年以上（含一年）的劳动合同或服务协议；</w:t>
      </w:r>
    </w:p>
    <w:p w14:paraId="01FA288B">
      <w:pPr>
        <w:spacing w:line="40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（三）为安置的每位残疾人按月足额缴纳了基本养老保险、基本医疗保险、失业保险、工伤保险和生育保险等社会保险费；</w:t>
      </w:r>
    </w:p>
    <w:p w14:paraId="5689963B">
      <w:pPr>
        <w:spacing w:line="40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（四）通过银行等金融机构向安置的每位残疾人，按月支付了不低于单位所在区县适用的经省级人民政府批准的月最低工资标准的工资；</w:t>
      </w:r>
    </w:p>
    <w:p w14:paraId="2B2F405A">
      <w:pPr>
        <w:spacing w:line="40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692AD76C">
      <w:pPr>
        <w:spacing w:line="400" w:lineRule="exact"/>
        <w:ind w:firstLine="482" w:firstLineChars="200"/>
        <w:rPr>
          <w:rStyle w:val="242"/>
          <w:rFonts w:hint="eastAsia" w:ascii="宋体" w:hAnsi="宋体"/>
          <w:color w:val="auto"/>
          <w:spacing w:val="0"/>
          <w:szCs w:val="24"/>
          <w:highlight w:val="none"/>
        </w:rPr>
      </w:pPr>
      <w:r>
        <w:rPr>
          <w:rFonts w:hint="eastAsia" w:ascii="宋体" w:hAnsi="宋体"/>
          <w:b/>
          <w:color w:val="auto"/>
          <w:sz w:val="24"/>
          <w:szCs w:val="24"/>
          <w:highlight w:val="none"/>
        </w:rPr>
        <w:t>前款所称残疾人是指法定劳动年龄内，持有《中华人民共和国残疾人证》或者《中华人民共和国残疾军人证（</w:t>
      </w:r>
      <w:r>
        <w:rPr>
          <w:rFonts w:ascii="宋体" w:hAnsi="宋体"/>
          <w:b/>
          <w:color w:val="auto"/>
          <w:sz w:val="24"/>
          <w:szCs w:val="24"/>
          <w:highlight w:val="none"/>
        </w:rPr>
        <w:t>1</w:t>
      </w:r>
      <w:r>
        <w:rPr>
          <w:rFonts w:hint="eastAsia" w:ascii="宋体" w:hAnsi="宋体"/>
          <w:b/>
          <w:color w:val="auto"/>
          <w:sz w:val="24"/>
          <w:szCs w:val="24"/>
          <w:highlight w:val="none"/>
        </w:rPr>
        <w:t>至</w:t>
      </w:r>
      <w:r>
        <w:rPr>
          <w:rFonts w:ascii="宋体" w:hAnsi="宋体"/>
          <w:b/>
          <w:color w:val="auto"/>
          <w:sz w:val="24"/>
          <w:szCs w:val="24"/>
          <w:highlight w:val="none"/>
        </w:rPr>
        <w:t>8</w:t>
      </w:r>
      <w:r>
        <w:rPr>
          <w:rFonts w:hint="eastAsia" w:ascii="宋体" w:hAnsi="宋体"/>
          <w:b/>
          <w:color w:val="auto"/>
          <w:sz w:val="24"/>
          <w:szCs w:val="24"/>
          <w:highlight w:val="none"/>
        </w:rPr>
        <w:t>级）》的自然人，包括具有劳动条件和劳动意愿的精神残疾人。在职职工人数是指与残疾人福利性单位建立劳动关系并依法签订劳动合同或者服务协议的雇员人数。</w:t>
      </w:r>
    </w:p>
    <w:p w14:paraId="340FC877">
      <w:pPr>
        <w:spacing w:line="440" w:lineRule="exact"/>
        <w:jc w:val="left"/>
        <w:rPr>
          <w:rStyle w:val="242"/>
          <w:rFonts w:hint="eastAsia" w:ascii="宋体" w:hAnsi="宋体"/>
          <w:color w:val="auto"/>
          <w:szCs w:val="21"/>
          <w:highlight w:val="none"/>
        </w:rPr>
      </w:pPr>
      <w:r>
        <w:rPr>
          <w:rStyle w:val="242"/>
          <w:rFonts w:ascii="宋体" w:hAnsi="宋体"/>
          <w:color w:val="auto"/>
          <w:szCs w:val="21"/>
          <w:highlight w:val="none"/>
        </w:rPr>
        <w:br w:type="page"/>
      </w:r>
      <w:r>
        <w:rPr>
          <w:rStyle w:val="242"/>
          <w:rFonts w:hint="eastAsia" w:ascii="宋体" w:hAnsi="宋体"/>
          <w:color w:val="auto"/>
          <w:szCs w:val="21"/>
          <w:highlight w:val="none"/>
          <w:lang w:val="en-US"/>
        </w:rPr>
        <w:t>C4</w:t>
      </w:r>
      <w:r>
        <w:rPr>
          <w:rStyle w:val="242"/>
          <w:rFonts w:hint="eastAsia" w:ascii="宋体" w:hAnsi="宋体"/>
          <w:color w:val="auto"/>
          <w:szCs w:val="21"/>
          <w:highlight w:val="none"/>
        </w:rPr>
        <w:t>、省级以上监狱管理局、戒毒管理局（含新疆生产建设兵团）出具的属于监狱企业的证明文件（如有请提供）</w:t>
      </w:r>
    </w:p>
    <w:p w14:paraId="36E38307">
      <w:pPr>
        <w:spacing w:line="360" w:lineRule="auto"/>
        <w:jc w:val="left"/>
        <w:rPr>
          <w:rStyle w:val="242"/>
          <w:rFonts w:hint="eastAsia" w:ascii="宋体" w:hAnsi="宋体"/>
          <w:color w:val="auto"/>
          <w:szCs w:val="21"/>
          <w:highlight w:val="none"/>
        </w:rPr>
      </w:pPr>
    </w:p>
    <w:p w14:paraId="503D9E8C">
      <w:pPr>
        <w:rPr>
          <w:rFonts w:ascii="宋体" w:hAnsi="宋体"/>
          <w:b/>
          <w:color w:val="auto"/>
          <w:szCs w:val="21"/>
          <w:highlight w:val="none"/>
        </w:rPr>
      </w:pPr>
      <w:r>
        <w:rPr>
          <w:rFonts w:ascii="宋体" w:hAnsi="宋体"/>
          <w:b/>
          <w:color w:val="auto"/>
          <w:szCs w:val="21"/>
          <w:highlight w:val="none"/>
        </w:rPr>
        <w:br w:type="page"/>
      </w:r>
    </w:p>
    <w:p w14:paraId="7095206B">
      <w:pPr>
        <w:autoSpaceDE w:val="0"/>
        <w:autoSpaceDN w:val="0"/>
        <w:adjustRightInd w:val="0"/>
        <w:spacing w:line="400" w:lineRule="exact"/>
        <w:jc w:val="center"/>
        <w:outlineLvl w:val="0"/>
        <w:rPr>
          <w:rFonts w:ascii="宋体" w:hAnsi="宋体"/>
          <w:b/>
          <w:color w:val="auto"/>
          <w:sz w:val="24"/>
          <w:szCs w:val="24"/>
          <w:highlight w:val="none"/>
        </w:rPr>
      </w:pPr>
      <w:r>
        <w:rPr>
          <w:rFonts w:ascii="宋体" w:hAnsi="宋体"/>
          <w:b/>
          <w:color w:val="auto"/>
          <w:sz w:val="24"/>
          <w:szCs w:val="24"/>
          <w:highlight w:val="none"/>
        </w:rPr>
        <w:t>C</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rPr>
        <w:t>、投标人认为需要的其他资料（如有请提供）</w:t>
      </w:r>
      <w:bookmarkEnd w:id="96"/>
      <w:bookmarkEnd w:id="97"/>
      <w:bookmarkEnd w:id="98"/>
      <w:bookmarkEnd w:id="99"/>
      <w:bookmarkEnd w:id="100"/>
      <w:bookmarkEnd w:id="101"/>
    </w:p>
    <w:sectPr>
      <w:headerReference r:id="rId21" w:type="default"/>
      <w:footerReference r:id="rId22" w:type="default"/>
      <w:pgSz w:w="11906" w:h="16838"/>
      <w:pgMar w:top="1440" w:right="1083" w:bottom="1440" w:left="1083" w:header="737"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Univers">
    <w:panose1 w:val="020B0603020202030204"/>
    <w:charset w:val="00"/>
    <w:family w:val="swiss"/>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D3BEB">
    <w:pPr>
      <w:pStyle w:val="2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C5346">
    <w:pPr>
      <w:pStyle w:val="28"/>
      <w:framePr w:h="850" w:hRule="exact" w:wrap="around" w:vAnchor="text" w:hAnchor="margin" w:xAlign="center" w:y="348"/>
      <w:jc w:val="center"/>
      <w:rPr>
        <w:rStyle w:val="52"/>
      </w:rPr>
    </w:pPr>
    <w:r>
      <w:fldChar w:fldCharType="begin"/>
    </w:r>
    <w:r>
      <w:rPr>
        <w:rStyle w:val="52"/>
      </w:rPr>
      <w:instrText xml:space="preserve">PAGE  </w:instrText>
    </w:r>
    <w:r>
      <w:fldChar w:fldCharType="separate"/>
    </w:r>
    <w:r>
      <w:rPr>
        <w:rStyle w:val="52"/>
      </w:rPr>
      <w:t>74</w:t>
    </w:r>
    <w:r>
      <w:fldChar w:fldCharType="end"/>
    </w:r>
  </w:p>
  <w:p w14:paraId="4A4D7BB6">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0C94">
    <w:pPr>
      <w:pStyle w:val="28"/>
      <w:framePr w:wrap="around" w:vAnchor="text" w:hAnchor="margin" w:xAlign="center" w:y="1"/>
      <w:rPr>
        <w:rStyle w:val="52"/>
      </w:rPr>
    </w:pPr>
    <w:r>
      <w:fldChar w:fldCharType="begin"/>
    </w:r>
    <w:r>
      <w:rPr>
        <w:rStyle w:val="52"/>
      </w:rPr>
      <w:instrText xml:space="preserve">PAGE  </w:instrText>
    </w:r>
    <w:r>
      <w:fldChar w:fldCharType="end"/>
    </w:r>
  </w:p>
  <w:p w14:paraId="3FA7ABA4">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D9766">
    <w:pPr>
      <w:pStyle w:val="28"/>
      <w:framePr w:wrap="around" w:vAnchor="text" w:hAnchor="margin" w:xAlign="center" w:y="1"/>
      <w:rPr>
        <w:rStyle w:val="52"/>
      </w:rPr>
    </w:pPr>
    <w:r>
      <w:fldChar w:fldCharType="begin"/>
    </w:r>
    <w:r>
      <w:rPr>
        <w:rStyle w:val="52"/>
      </w:rPr>
      <w:instrText xml:space="preserve">PAGE  </w:instrText>
    </w:r>
    <w:r>
      <w:fldChar w:fldCharType="separate"/>
    </w:r>
    <w:r>
      <w:rPr>
        <w:rStyle w:val="52"/>
      </w:rPr>
      <w:t>4</w:t>
    </w:r>
    <w:r>
      <w:fldChar w:fldCharType="end"/>
    </w:r>
  </w:p>
  <w:p w14:paraId="7D96EA17">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8653F">
    <w:pPr>
      <w:pStyle w:val="28"/>
      <w:framePr w:wrap="around" w:vAnchor="text" w:hAnchor="margin" w:xAlign="center" w:y="1"/>
      <w:rPr>
        <w:rStyle w:val="52"/>
      </w:rPr>
    </w:pPr>
    <w:r>
      <w:fldChar w:fldCharType="begin"/>
    </w:r>
    <w:r>
      <w:rPr>
        <w:rStyle w:val="52"/>
      </w:rPr>
      <w:instrText xml:space="preserve">PAGE  </w:instrText>
    </w:r>
    <w:r>
      <w:fldChar w:fldCharType="separate"/>
    </w:r>
    <w:r>
      <w:rPr>
        <w:rStyle w:val="52"/>
      </w:rPr>
      <w:t>41</w:t>
    </w:r>
    <w:r>
      <w:fldChar w:fldCharType="end"/>
    </w:r>
  </w:p>
  <w:p w14:paraId="68E86648">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BA31">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6EAE96">
                          <w:pPr>
                            <w:pStyle w:val="28"/>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6EAE96">
                    <w:pPr>
                      <w:pStyle w:val="2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C2106">
    <w:pP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205F0">
                          <w:pPr>
                            <w:pStyle w:val="28"/>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33205F0">
                    <w:pPr>
                      <w:pStyle w:val="2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FD35E">
    <w:pPr>
      <w:pStyle w:val="28"/>
      <w:jc w:val="center"/>
    </w:pPr>
    <w:r>
      <w:fldChar w:fldCharType="begin"/>
    </w:r>
    <w:r>
      <w:instrText xml:space="preserve">PAGE   \* MERGEFORMAT</w:instrText>
    </w:r>
    <w:r>
      <w:fldChar w:fldCharType="separate"/>
    </w:r>
    <w:r>
      <w:rPr>
        <w:lang w:val="zh-CN"/>
      </w:rPr>
      <w:t>28</w:t>
    </w:r>
    <w:r>
      <w:fldChar w:fldCharType="end"/>
    </w:r>
  </w:p>
  <w:p w14:paraId="53DE776E">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25407">
    <w:pPr>
      <w:pStyle w:val="28"/>
      <w:framePr w:h="850" w:hRule="exact" w:wrap="around" w:vAnchor="text" w:hAnchor="margin" w:xAlign="center" w:y="348"/>
      <w:jc w:val="center"/>
      <w:rPr>
        <w:rStyle w:val="52"/>
      </w:rPr>
    </w:pPr>
    <w:r>
      <w:fldChar w:fldCharType="begin"/>
    </w:r>
    <w:r>
      <w:rPr>
        <w:rStyle w:val="52"/>
      </w:rPr>
      <w:instrText xml:space="preserve">PAGE  </w:instrText>
    </w:r>
    <w:r>
      <w:fldChar w:fldCharType="separate"/>
    </w:r>
    <w:r>
      <w:rPr>
        <w:rStyle w:val="52"/>
      </w:rPr>
      <w:t>50</w:t>
    </w:r>
    <w:r>
      <w:fldChar w:fldCharType="end"/>
    </w:r>
  </w:p>
  <w:p w14:paraId="1108560C">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8C8F">
    <w:pPr>
      <w:pStyle w:val="28"/>
      <w:framePr w:h="850" w:hRule="exact" w:wrap="around" w:vAnchor="text" w:hAnchor="margin" w:xAlign="center" w:y="348"/>
      <w:jc w:val="center"/>
      <w:rPr>
        <w:rStyle w:val="52"/>
      </w:rPr>
    </w:pPr>
    <w:r>
      <w:fldChar w:fldCharType="begin"/>
    </w:r>
    <w:r>
      <w:rPr>
        <w:rStyle w:val="52"/>
      </w:rPr>
      <w:instrText xml:space="preserve">PAGE  </w:instrText>
    </w:r>
    <w:r>
      <w:fldChar w:fldCharType="separate"/>
    </w:r>
    <w:r>
      <w:rPr>
        <w:rStyle w:val="52"/>
      </w:rPr>
      <w:t>74</w:t>
    </w:r>
    <w:r>
      <w:fldChar w:fldCharType="end"/>
    </w:r>
  </w:p>
  <w:p w14:paraId="2B053F42">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6F3B">
    <w:pPr>
      <w:pStyle w:val="29"/>
      <w:pBdr>
        <w:bottom w:val="none" w:color="auto" w:sz="0" w:space="0"/>
      </w:pBdr>
      <w:jc w:val="left"/>
    </w:pPr>
    <w:r>
      <w:rPr>
        <w:rFonts w:hint="eastAsia"/>
      </w:rPr>
      <w:drawing>
        <wp:inline distT="0" distB="0" distL="114300" distR="114300">
          <wp:extent cx="1066800" cy="304800"/>
          <wp:effectExtent l="0" t="0" r="0" b="0"/>
          <wp:docPr id="1" name="图片 4" descr="f73baa378d40e2bccba6eb83c345b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f73baa378d40e2bccba6eb83c345bff"/>
                  <pic:cNvPicPr>
                    <a:picLocks noChangeAspect="1"/>
                  </pic:cNvPicPr>
                </pic:nvPicPr>
                <pic:blipFill>
                  <a:blip r:embed="rId1"/>
                  <a:stretch>
                    <a:fillRect/>
                  </a:stretch>
                </pic:blipFill>
                <pic:spPr>
                  <a:xfrm>
                    <a:off x="0" y="0"/>
                    <a:ext cx="1066800" cy="304800"/>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15FEE">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679E7">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3FDD6">
    <w:pPr>
      <w:pStyle w:val="29"/>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E1296">
    <w:pPr>
      <w:pStyle w:val="2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163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9E84">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4CBFE">
    <w:pPr>
      <w:pStyle w:val="2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B3044">
    <w:pPr>
      <w:pStyle w:val="29"/>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7DA2">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868C2"/>
    <w:multiLevelType w:val="singleLevel"/>
    <w:tmpl w:val="A2E868C2"/>
    <w:lvl w:ilvl="0" w:tentative="0">
      <w:start w:val="8"/>
      <w:numFmt w:val="decimal"/>
      <w:suff w:val="nothing"/>
      <w:lvlText w:val="%1、"/>
      <w:lvlJc w:val="left"/>
    </w:lvl>
  </w:abstractNum>
  <w:abstractNum w:abstractNumId="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2">
    <w:nsid w:val="00000031"/>
    <w:multiLevelType w:val="singleLevel"/>
    <w:tmpl w:val="00000031"/>
    <w:lvl w:ilvl="0" w:tentative="0">
      <w:start w:val="1"/>
      <w:numFmt w:val="decimal"/>
      <w:suff w:val="nothing"/>
      <w:lvlText w:val="%1、"/>
      <w:lvlJc w:val="left"/>
      <w:pPr>
        <w:ind w:left="0" w:firstLine="400"/>
      </w:pPr>
      <w:rPr>
        <w:rFonts w:hint="default"/>
      </w:rPr>
    </w:lvl>
  </w:abstractNum>
  <w:abstractNum w:abstractNumId="3">
    <w:nsid w:val="1CEDD2D0"/>
    <w:multiLevelType w:val="singleLevel"/>
    <w:tmpl w:val="1CEDD2D0"/>
    <w:lvl w:ilvl="0" w:tentative="0">
      <w:start w:val="1"/>
      <w:numFmt w:val="decimal"/>
      <w:suff w:val="nothing"/>
      <w:lvlText w:val="%1、"/>
      <w:lvlJc w:val="left"/>
    </w:lvl>
  </w:abstractNum>
  <w:abstractNum w:abstractNumId="4">
    <w:nsid w:val="3B363D98"/>
    <w:multiLevelType w:val="multilevel"/>
    <w:tmpl w:val="3B363D98"/>
    <w:lvl w:ilvl="0" w:tentative="0">
      <w:start w:val="1"/>
      <w:numFmt w:val="decimal"/>
      <w:pStyle w:val="13"/>
      <w:suff w:val="space"/>
      <w:lvlText w:val="图%1"/>
      <w:lvlJc w:val="left"/>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5">
    <w:nsid w:val="57A74C8F"/>
    <w:multiLevelType w:val="singleLevel"/>
    <w:tmpl w:val="57A74C8F"/>
    <w:lvl w:ilvl="0" w:tentative="0">
      <w:start w:val="1"/>
      <w:numFmt w:val="chineseCounting"/>
      <w:pStyle w:val="117"/>
      <w:suff w:val="nothing"/>
      <w:lvlText w:val="%1、"/>
      <w:lvlJc w:val="left"/>
      <w:rPr>
        <w:rFonts w:hint="eastAsia" w:cs="Times New Roman"/>
      </w:rPr>
    </w:lvl>
  </w:abstractNum>
  <w:abstractNum w:abstractNumId="6">
    <w:nsid w:val="7FF371BC"/>
    <w:multiLevelType w:val="multilevel"/>
    <w:tmpl w:val="7FF371BC"/>
    <w:lvl w:ilvl="0" w:tentative="0">
      <w:start w:val="1"/>
      <w:numFmt w:val="decimal"/>
      <w:pStyle w:val="77"/>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6"/>
  </w:num>
  <w:num w:numId="3">
    <w:abstractNumId w:val="5"/>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28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MWY4OWM2Yzk0YzExYjg3MjUwYjk0YjhkOGI4NmEifQ=="/>
    <w:docVar w:name="KGWebUrl" w:val="http://10.74.225.174:8090/infrastructure/handlers/weboffice-data.ashx?relId=/upload/IWebOffice/huiqian26592.doc"/>
  </w:docVars>
  <w:rsids>
    <w:rsidRoot w:val="00172A27"/>
    <w:rsid w:val="00001A82"/>
    <w:rsid w:val="00002288"/>
    <w:rsid w:val="00002B25"/>
    <w:rsid w:val="00002FB5"/>
    <w:rsid w:val="00003757"/>
    <w:rsid w:val="0000377D"/>
    <w:rsid w:val="000037AD"/>
    <w:rsid w:val="0000380B"/>
    <w:rsid w:val="00003965"/>
    <w:rsid w:val="000039EB"/>
    <w:rsid w:val="00003E11"/>
    <w:rsid w:val="00004101"/>
    <w:rsid w:val="00005AD2"/>
    <w:rsid w:val="000078E6"/>
    <w:rsid w:val="00007D74"/>
    <w:rsid w:val="00007FB4"/>
    <w:rsid w:val="000101F6"/>
    <w:rsid w:val="00011313"/>
    <w:rsid w:val="00011571"/>
    <w:rsid w:val="00011F5D"/>
    <w:rsid w:val="00012585"/>
    <w:rsid w:val="00013604"/>
    <w:rsid w:val="0001383A"/>
    <w:rsid w:val="00013BC1"/>
    <w:rsid w:val="00013C9A"/>
    <w:rsid w:val="00013D65"/>
    <w:rsid w:val="0001464E"/>
    <w:rsid w:val="0001475D"/>
    <w:rsid w:val="00014763"/>
    <w:rsid w:val="000147A6"/>
    <w:rsid w:val="000147E2"/>
    <w:rsid w:val="000171FF"/>
    <w:rsid w:val="00017292"/>
    <w:rsid w:val="000212AE"/>
    <w:rsid w:val="000217E4"/>
    <w:rsid w:val="00022DC6"/>
    <w:rsid w:val="0002301C"/>
    <w:rsid w:val="000239D8"/>
    <w:rsid w:val="00024007"/>
    <w:rsid w:val="00024548"/>
    <w:rsid w:val="0002570D"/>
    <w:rsid w:val="00026061"/>
    <w:rsid w:val="0002646B"/>
    <w:rsid w:val="0002795F"/>
    <w:rsid w:val="00027E67"/>
    <w:rsid w:val="00027FEA"/>
    <w:rsid w:val="00030242"/>
    <w:rsid w:val="0003061E"/>
    <w:rsid w:val="000314C7"/>
    <w:rsid w:val="00031AAB"/>
    <w:rsid w:val="00032452"/>
    <w:rsid w:val="00032826"/>
    <w:rsid w:val="000328FE"/>
    <w:rsid w:val="00032B1A"/>
    <w:rsid w:val="0003306F"/>
    <w:rsid w:val="00034204"/>
    <w:rsid w:val="000344AD"/>
    <w:rsid w:val="000344B9"/>
    <w:rsid w:val="00034745"/>
    <w:rsid w:val="00034E27"/>
    <w:rsid w:val="00035959"/>
    <w:rsid w:val="00035A8D"/>
    <w:rsid w:val="000361B2"/>
    <w:rsid w:val="00036700"/>
    <w:rsid w:val="0003683F"/>
    <w:rsid w:val="00036CCF"/>
    <w:rsid w:val="00036FDD"/>
    <w:rsid w:val="000378FE"/>
    <w:rsid w:val="00037CE4"/>
    <w:rsid w:val="0004001F"/>
    <w:rsid w:val="000414C4"/>
    <w:rsid w:val="000415F3"/>
    <w:rsid w:val="00041A39"/>
    <w:rsid w:val="00041B3B"/>
    <w:rsid w:val="000425C0"/>
    <w:rsid w:val="00042A4E"/>
    <w:rsid w:val="00043143"/>
    <w:rsid w:val="00043329"/>
    <w:rsid w:val="00043490"/>
    <w:rsid w:val="00043715"/>
    <w:rsid w:val="000437D4"/>
    <w:rsid w:val="00044435"/>
    <w:rsid w:val="00044BAC"/>
    <w:rsid w:val="00045206"/>
    <w:rsid w:val="00045CE3"/>
    <w:rsid w:val="00046F89"/>
    <w:rsid w:val="00047990"/>
    <w:rsid w:val="000501B0"/>
    <w:rsid w:val="00050357"/>
    <w:rsid w:val="00050DE7"/>
    <w:rsid w:val="000510EC"/>
    <w:rsid w:val="00051226"/>
    <w:rsid w:val="00052035"/>
    <w:rsid w:val="00052187"/>
    <w:rsid w:val="0005312E"/>
    <w:rsid w:val="0005445A"/>
    <w:rsid w:val="0005467F"/>
    <w:rsid w:val="000546E4"/>
    <w:rsid w:val="000549E2"/>
    <w:rsid w:val="00054AD8"/>
    <w:rsid w:val="00054D7E"/>
    <w:rsid w:val="000550D8"/>
    <w:rsid w:val="00055A3D"/>
    <w:rsid w:val="000564BB"/>
    <w:rsid w:val="00056549"/>
    <w:rsid w:val="00056AC2"/>
    <w:rsid w:val="00056B01"/>
    <w:rsid w:val="00056DC8"/>
    <w:rsid w:val="00056E86"/>
    <w:rsid w:val="00056F94"/>
    <w:rsid w:val="00057B18"/>
    <w:rsid w:val="00057D5B"/>
    <w:rsid w:val="00060081"/>
    <w:rsid w:val="00060FB1"/>
    <w:rsid w:val="00061094"/>
    <w:rsid w:val="000613FD"/>
    <w:rsid w:val="000615D9"/>
    <w:rsid w:val="000617D3"/>
    <w:rsid w:val="00061A87"/>
    <w:rsid w:val="000622A2"/>
    <w:rsid w:val="00063327"/>
    <w:rsid w:val="000638FF"/>
    <w:rsid w:val="00064121"/>
    <w:rsid w:val="00064739"/>
    <w:rsid w:val="00065622"/>
    <w:rsid w:val="00067502"/>
    <w:rsid w:val="000675B4"/>
    <w:rsid w:val="00067C47"/>
    <w:rsid w:val="0007088F"/>
    <w:rsid w:val="00070C58"/>
    <w:rsid w:val="0007129B"/>
    <w:rsid w:val="00071AB2"/>
    <w:rsid w:val="000726A2"/>
    <w:rsid w:val="00073345"/>
    <w:rsid w:val="00074517"/>
    <w:rsid w:val="00074DAD"/>
    <w:rsid w:val="00074FCC"/>
    <w:rsid w:val="000754E3"/>
    <w:rsid w:val="000757E0"/>
    <w:rsid w:val="000766AD"/>
    <w:rsid w:val="00076EAC"/>
    <w:rsid w:val="000770AD"/>
    <w:rsid w:val="000775E3"/>
    <w:rsid w:val="00077864"/>
    <w:rsid w:val="00077F66"/>
    <w:rsid w:val="00077FAF"/>
    <w:rsid w:val="00080E36"/>
    <w:rsid w:val="000816EB"/>
    <w:rsid w:val="00081DAC"/>
    <w:rsid w:val="0008275C"/>
    <w:rsid w:val="000837EE"/>
    <w:rsid w:val="00083CA0"/>
    <w:rsid w:val="00083F31"/>
    <w:rsid w:val="0008417B"/>
    <w:rsid w:val="0008426D"/>
    <w:rsid w:val="000846B2"/>
    <w:rsid w:val="0008644B"/>
    <w:rsid w:val="00086FC3"/>
    <w:rsid w:val="000871B3"/>
    <w:rsid w:val="000876CB"/>
    <w:rsid w:val="00087E79"/>
    <w:rsid w:val="00090471"/>
    <w:rsid w:val="0009066F"/>
    <w:rsid w:val="00090836"/>
    <w:rsid w:val="000912BA"/>
    <w:rsid w:val="000918BC"/>
    <w:rsid w:val="00091A35"/>
    <w:rsid w:val="00093466"/>
    <w:rsid w:val="000945F2"/>
    <w:rsid w:val="00095077"/>
    <w:rsid w:val="000952EC"/>
    <w:rsid w:val="00096587"/>
    <w:rsid w:val="00096C6C"/>
    <w:rsid w:val="000A01C4"/>
    <w:rsid w:val="000A0372"/>
    <w:rsid w:val="000A04C0"/>
    <w:rsid w:val="000A057B"/>
    <w:rsid w:val="000A0A04"/>
    <w:rsid w:val="000A18BD"/>
    <w:rsid w:val="000A208A"/>
    <w:rsid w:val="000A2533"/>
    <w:rsid w:val="000A2586"/>
    <w:rsid w:val="000A33C4"/>
    <w:rsid w:val="000A387A"/>
    <w:rsid w:val="000A3CD8"/>
    <w:rsid w:val="000A45EF"/>
    <w:rsid w:val="000A4BDC"/>
    <w:rsid w:val="000A546C"/>
    <w:rsid w:val="000A59AB"/>
    <w:rsid w:val="000A5C01"/>
    <w:rsid w:val="000A6653"/>
    <w:rsid w:val="000A6E4C"/>
    <w:rsid w:val="000A7D12"/>
    <w:rsid w:val="000B1368"/>
    <w:rsid w:val="000B15D3"/>
    <w:rsid w:val="000B1619"/>
    <w:rsid w:val="000B1AFE"/>
    <w:rsid w:val="000B1B5F"/>
    <w:rsid w:val="000B1E86"/>
    <w:rsid w:val="000B2117"/>
    <w:rsid w:val="000B393C"/>
    <w:rsid w:val="000B494B"/>
    <w:rsid w:val="000B4B81"/>
    <w:rsid w:val="000B4CDA"/>
    <w:rsid w:val="000B4CE4"/>
    <w:rsid w:val="000B4F6D"/>
    <w:rsid w:val="000B53C9"/>
    <w:rsid w:val="000B5D68"/>
    <w:rsid w:val="000B5DC2"/>
    <w:rsid w:val="000B5FE3"/>
    <w:rsid w:val="000B6348"/>
    <w:rsid w:val="000B6717"/>
    <w:rsid w:val="000B7341"/>
    <w:rsid w:val="000B7791"/>
    <w:rsid w:val="000B7A0C"/>
    <w:rsid w:val="000B7E02"/>
    <w:rsid w:val="000C0F45"/>
    <w:rsid w:val="000C1770"/>
    <w:rsid w:val="000C192D"/>
    <w:rsid w:val="000C1A07"/>
    <w:rsid w:val="000C1EB3"/>
    <w:rsid w:val="000C27D4"/>
    <w:rsid w:val="000C28B3"/>
    <w:rsid w:val="000C29B6"/>
    <w:rsid w:val="000C2E43"/>
    <w:rsid w:val="000C30FE"/>
    <w:rsid w:val="000C3200"/>
    <w:rsid w:val="000C32D8"/>
    <w:rsid w:val="000C3334"/>
    <w:rsid w:val="000C3E16"/>
    <w:rsid w:val="000C4D12"/>
    <w:rsid w:val="000C509A"/>
    <w:rsid w:val="000C5109"/>
    <w:rsid w:val="000C5943"/>
    <w:rsid w:val="000C596C"/>
    <w:rsid w:val="000C59C2"/>
    <w:rsid w:val="000C6774"/>
    <w:rsid w:val="000C6B3B"/>
    <w:rsid w:val="000C70A9"/>
    <w:rsid w:val="000C721D"/>
    <w:rsid w:val="000C7464"/>
    <w:rsid w:val="000C76C7"/>
    <w:rsid w:val="000C7792"/>
    <w:rsid w:val="000D0891"/>
    <w:rsid w:val="000D09D9"/>
    <w:rsid w:val="000D0D7B"/>
    <w:rsid w:val="000D0F18"/>
    <w:rsid w:val="000D1926"/>
    <w:rsid w:val="000D2493"/>
    <w:rsid w:val="000D24F3"/>
    <w:rsid w:val="000D29C7"/>
    <w:rsid w:val="000D2D36"/>
    <w:rsid w:val="000D3064"/>
    <w:rsid w:val="000D3822"/>
    <w:rsid w:val="000D3ED8"/>
    <w:rsid w:val="000D40E4"/>
    <w:rsid w:val="000D4373"/>
    <w:rsid w:val="000D4B40"/>
    <w:rsid w:val="000D534B"/>
    <w:rsid w:val="000D5612"/>
    <w:rsid w:val="000D5DF0"/>
    <w:rsid w:val="000D5F1A"/>
    <w:rsid w:val="000D6223"/>
    <w:rsid w:val="000D7186"/>
    <w:rsid w:val="000D766C"/>
    <w:rsid w:val="000D7EB0"/>
    <w:rsid w:val="000E07CB"/>
    <w:rsid w:val="000E1239"/>
    <w:rsid w:val="000E16EE"/>
    <w:rsid w:val="000E1D05"/>
    <w:rsid w:val="000E1FAC"/>
    <w:rsid w:val="000E226C"/>
    <w:rsid w:val="000E2D84"/>
    <w:rsid w:val="000E2E16"/>
    <w:rsid w:val="000E2FFC"/>
    <w:rsid w:val="000E3356"/>
    <w:rsid w:val="000E3656"/>
    <w:rsid w:val="000E3836"/>
    <w:rsid w:val="000E3906"/>
    <w:rsid w:val="000E4D1F"/>
    <w:rsid w:val="000E4F73"/>
    <w:rsid w:val="000E503E"/>
    <w:rsid w:val="000E5327"/>
    <w:rsid w:val="000E6100"/>
    <w:rsid w:val="000E630E"/>
    <w:rsid w:val="000E66D9"/>
    <w:rsid w:val="000E6DBD"/>
    <w:rsid w:val="000E72B7"/>
    <w:rsid w:val="000E77CE"/>
    <w:rsid w:val="000E7D4D"/>
    <w:rsid w:val="000F03E6"/>
    <w:rsid w:val="000F0DA4"/>
    <w:rsid w:val="000F0F1E"/>
    <w:rsid w:val="000F0F72"/>
    <w:rsid w:val="000F19E1"/>
    <w:rsid w:val="000F22BF"/>
    <w:rsid w:val="000F3D1F"/>
    <w:rsid w:val="000F3DA3"/>
    <w:rsid w:val="000F4832"/>
    <w:rsid w:val="000F4A28"/>
    <w:rsid w:val="000F52F1"/>
    <w:rsid w:val="000F5C44"/>
    <w:rsid w:val="000F5E59"/>
    <w:rsid w:val="000F5EA9"/>
    <w:rsid w:val="000F613E"/>
    <w:rsid w:val="000F635C"/>
    <w:rsid w:val="000F6493"/>
    <w:rsid w:val="000F6CBF"/>
    <w:rsid w:val="000F6E44"/>
    <w:rsid w:val="000F76B2"/>
    <w:rsid w:val="000F7B7C"/>
    <w:rsid w:val="001000D7"/>
    <w:rsid w:val="00100738"/>
    <w:rsid w:val="0010075D"/>
    <w:rsid w:val="00100A83"/>
    <w:rsid w:val="00101C8D"/>
    <w:rsid w:val="00101D0B"/>
    <w:rsid w:val="00102A0A"/>
    <w:rsid w:val="00103386"/>
    <w:rsid w:val="00103CF8"/>
    <w:rsid w:val="001040F1"/>
    <w:rsid w:val="00104450"/>
    <w:rsid w:val="001049AF"/>
    <w:rsid w:val="00104B5F"/>
    <w:rsid w:val="00105916"/>
    <w:rsid w:val="00106100"/>
    <w:rsid w:val="001062FF"/>
    <w:rsid w:val="00106308"/>
    <w:rsid w:val="001076EF"/>
    <w:rsid w:val="00107BEB"/>
    <w:rsid w:val="00107F23"/>
    <w:rsid w:val="00110454"/>
    <w:rsid w:val="00110480"/>
    <w:rsid w:val="00110FBC"/>
    <w:rsid w:val="00110FE8"/>
    <w:rsid w:val="001113F5"/>
    <w:rsid w:val="001120EF"/>
    <w:rsid w:val="00113033"/>
    <w:rsid w:val="0011397C"/>
    <w:rsid w:val="00113990"/>
    <w:rsid w:val="00114F25"/>
    <w:rsid w:val="0011637E"/>
    <w:rsid w:val="001166AA"/>
    <w:rsid w:val="001178EF"/>
    <w:rsid w:val="00117BF7"/>
    <w:rsid w:val="00117C5C"/>
    <w:rsid w:val="00117CD6"/>
    <w:rsid w:val="00117E25"/>
    <w:rsid w:val="00121861"/>
    <w:rsid w:val="00121B5D"/>
    <w:rsid w:val="00122C04"/>
    <w:rsid w:val="00122F99"/>
    <w:rsid w:val="00123213"/>
    <w:rsid w:val="001238BC"/>
    <w:rsid w:val="00123DB0"/>
    <w:rsid w:val="00123E67"/>
    <w:rsid w:val="00124275"/>
    <w:rsid w:val="00124541"/>
    <w:rsid w:val="0012455A"/>
    <w:rsid w:val="001246FC"/>
    <w:rsid w:val="001248FC"/>
    <w:rsid w:val="00124F2B"/>
    <w:rsid w:val="00124F44"/>
    <w:rsid w:val="00125836"/>
    <w:rsid w:val="00125DA2"/>
    <w:rsid w:val="00125DFE"/>
    <w:rsid w:val="0012684D"/>
    <w:rsid w:val="001273B1"/>
    <w:rsid w:val="00130106"/>
    <w:rsid w:val="00130597"/>
    <w:rsid w:val="001305AF"/>
    <w:rsid w:val="001310CF"/>
    <w:rsid w:val="0013128B"/>
    <w:rsid w:val="00131F25"/>
    <w:rsid w:val="0013209A"/>
    <w:rsid w:val="001321AC"/>
    <w:rsid w:val="0013323D"/>
    <w:rsid w:val="00133614"/>
    <w:rsid w:val="00133AAC"/>
    <w:rsid w:val="00133EE3"/>
    <w:rsid w:val="00133F6B"/>
    <w:rsid w:val="0013482F"/>
    <w:rsid w:val="0013505E"/>
    <w:rsid w:val="001358BE"/>
    <w:rsid w:val="00135A96"/>
    <w:rsid w:val="00135AA0"/>
    <w:rsid w:val="00135C8A"/>
    <w:rsid w:val="00135D87"/>
    <w:rsid w:val="0013625F"/>
    <w:rsid w:val="001369E5"/>
    <w:rsid w:val="0013771F"/>
    <w:rsid w:val="00137933"/>
    <w:rsid w:val="001404AC"/>
    <w:rsid w:val="0014093D"/>
    <w:rsid w:val="00141A3D"/>
    <w:rsid w:val="00141B2F"/>
    <w:rsid w:val="00141DA4"/>
    <w:rsid w:val="00141FD2"/>
    <w:rsid w:val="00143693"/>
    <w:rsid w:val="00143987"/>
    <w:rsid w:val="001439CE"/>
    <w:rsid w:val="00144B58"/>
    <w:rsid w:val="0014627F"/>
    <w:rsid w:val="0014669B"/>
    <w:rsid w:val="0014709C"/>
    <w:rsid w:val="001474EC"/>
    <w:rsid w:val="00147D0D"/>
    <w:rsid w:val="0015014F"/>
    <w:rsid w:val="00150426"/>
    <w:rsid w:val="001511A8"/>
    <w:rsid w:val="001515A3"/>
    <w:rsid w:val="00151AE1"/>
    <w:rsid w:val="0015242E"/>
    <w:rsid w:val="00152A25"/>
    <w:rsid w:val="00152D09"/>
    <w:rsid w:val="0015323D"/>
    <w:rsid w:val="00153474"/>
    <w:rsid w:val="00154119"/>
    <w:rsid w:val="00154207"/>
    <w:rsid w:val="0015549D"/>
    <w:rsid w:val="00155DD1"/>
    <w:rsid w:val="0015656F"/>
    <w:rsid w:val="001565FC"/>
    <w:rsid w:val="00157814"/>
    <w:rsid w:val="00157AC5"/>
    <w:rsid w:val="0016053C"/>
    <w:rsid w:val="00160828"/>
    <w:rsid w:val="00160AEE"/>
    <w:rsid w:val="001611C3"/>
    <w:rsid w:val="0016197A"/>
    <w:rsid w:val="00162216"/>
    <w:rsid w:val="00162340"/>
    <w:rsid w:val="001627C9"/>
    <w:rsid w:val="00162D8C"/>
    <w:rsid w:val="00162F97"/>
    <w:rsid w:val="001635BE"/>
    <w:rsid w:val="00164368"/>
    <w:rsid w:val="0016437F"/>
    <w:rsid w:val="00164884"/>
    <w:rsid w:val="00164AFE"/>
    <w:rsid w:val="00164BD5"/>
    <w:rsid w:val="00165430"/>
    <w:rsid w:val="00165710"/>
    <w:rsid w:val="001657E4"/>
    <w:rsid w:val="001659BA"/>
    <w:rsid w:val="00165F65"/>
    <w:rsid w:val="001661C4"/>
    <w:rsid w:val="00166284"/>
    <w:rsid w:val="001673DA"/>
    <w:rsid w:val="001701B7"/>
    <w:rsid w:val="001701BC"/>
    <w:rsid w:val="00170FC3"/>
    <w:rsid w:val="0017189E"/>
    <w:rsid w:val="00171CC9"/>
    <w:rsid w:val="00172350"/>
    <w:rsid w:val="00172D38"/>
    <w:rsid w:val="00172D6A"/>
    <w:rsid w:val="00172F64"/>
    <w:rsid w:val="00173821"/>
    <w:rsid w:val="00173A5D"/>
    <w:rsid w:val="00173E29"/>
    <w:rsid w:val="00174277"/>
    <w:rsid w:val="001749B6"/>
    <w:rsid w:val="00174EFC"/>
    <w:rsid w:val="0017524D"/>
    <w:rsid w:val="00175A54"/>
    <w:rsid w:val="00175BE1"/>
    <w:rsid w:val="00175F46"/>
    <w:rsid w:val="00176293"/>
    <w:rsid w:val="00176341"/>
    <w:rsid w:val="00176CA5"/>
    <w:rsid w:val="00176F31"/>
    <w:rsid w:val="00180183"/>
    <w:rsid w:val="00181404"/>
    <w:rsid w:val="00181422"/>
    <w:rsid w:val="00181450"/>
    <w:rsid w:val="00181697"/>
    <w:rsid w:val="001819B0"/>
    <w:rsid w:val="00181B60"/>
    <w:rsid w:val="001825A0"/>
    <w:rsid w:val="00182627"/>
    <w:rsid w:val="00182B02"/>
    <w:rsid w:val="00182BB0"/>
    <w:rsid w:val="00183370"/>
    <w:rsid w:val="0018342B"/>
    <w:rsid w:val="001837F7"/>
    <w:rsid w:val="00183839"/>
    <w:rsid w:val="00183F93"/>
    <w:rsid w:val="001843A4"/>
    <w:rsid w:val="001848A1"/>
    <w:rsid w:val="00184CCA"/>
    <w:rsid w:val="00184DDF"/>
    <w:rsid w:val="0018503F"/>
    <w:rsid w:val="001854F3"/>
    <w:rsid w:val="001854FC"/>
    <w:rsid w:val="00185801"/>
    <w:rsid w:val="0018608B"/>
    <w:rsid w:val="0018614A"/>
    <w:rsid w:val="00186DA3"/>
    <w:rsid w:val="00186F0E"/>
    <w:rsid w:val="00186F46"/>
    <w:rsid w:val="00187452"/>
    <w:rsid w:val="00187636"/>
    <w:rsid w:val="00187867"/>
    <w:rsid w:val="00187B3F"/>
    <w:rsid w:val="00187DE5"/>
    <w:rsid w:val="00191184"/>
    <w:rsid w:val="00191603"/>
    <w:rsid w:val="00191C0D"/>
    <w:rsid w:val="00191C50"/>
    <w:rsid w:val="00191C5D"/>
    <w:rsid w:val="00192110"/>
    <w:rsid w:val="00192116"/>
    <w:rsid w:val="00192C32"/>
    <w:rsid w:val="00193ADE"/>
    <w:rsid w:val="00193DC1"/>
    <w:rsid w:val="00193EBA"/>
    <w:rsid w:val="0019439F"/>
    <w:rsid w:val="001945DD"/>
    <w:rsid w:val="00194FA2"/>
    <w:rsid w:val="00194FAD"/>
    <w:rsid w:val="00195381"/>
    <w:rsid w:val="001967E0"/>
    <w:rsid w:val="00196C38"/>
    <w:rsid w:val="00197002"/>
    <w:rsid w:val="0019734D"/>
    <w:rsid w:val="001A0092"/>
    <w:rsid w:val="001A0616"/>
    <w:rsid w:val="001A0EFA"/>
    <w:rsid w:val="001A1AAE"/>
    <w:rsid w:val="001A2482"/>
    <w:rsid w:val="001A263B"/>
    <w:rsid w:val="001A2891"/>
    <w:rsid w:val="001A2952"/>
    <w:rsid w:val="001A2E73"/>
    <w:rsid w:val="001A3122"/>
    <w:rsid w:val="001A34EA"/>
    <w:rsid w:val="001A4B78"/>
    <w:rsid w:val="001A4CD7"/>
    <w:rsid w:val="001A5800"/>
    <w:rsid w:val="001A5D34"/>
    <w:rsid w:val="001A6DE5"/>
    <w:rsid w:val="001A6EF8"/>
    <w:rsid w:val="001A71F6"/>
    <w:rsid w:val="001A7AD5"/>
    <w:rsid w:val="001A7B64"/>
    <w:rsid w:val="001B0193"/>
    <w:rsid w:val="001B0456"/>
    <w:rsid w:val="001B2042"/>
    <w:rsid w:val="001B20C1"/>
    <w:rsid w:val="001B2E12"/>
    <w:rsid w:val="001B2E21"/>
    <w:rsid w:val="001B4088"/>
    <w:rsid w:val="001B4173"/>
    <w:rsid w:val="001B543E"/>
    <w:rsid w:val="001B5672"/>
    <w:rsid w:val="001B5E56"/>
    <w:rsid w:val="001B6C9B"/>
    <w:rsid w:val="001B6EE2"/>
    <w:rsid w:val="001B78FA"/>
    <w:rsid w:val="001C00F2"/>
    <w:rsid w:val="001C0372"/>
    <w:rsid w:val="001C040D"/>
    <w:rsid w:val="001C08CA"/>
    <w:rsid w:val="001C0919"/>
    <w:rsid w:val="001C0D00"/>
    <w:rsid w:val="001C1322"/>
    <w:rsid w:val="001C1364"/>
    <w:rsid w:val="001C1E56"/>
    <w:rsid w:val="001C21A8"/>
    <w:rsid w:val="001C2294"/>
    <w:rsid w:val="001C27EC"/>
    <w:rsid w:val="001C3086"/>
    <w:rsid w:val="001C3621"/>
    <w:rsid w:val="001C3A98"/>
    <w:rsid w:val="001C3F9C"/>
    <w:rsid w:val="001C4A57"/>
    <w:rsid w:val="001C4FDF"/>
    <w:rsid w:val="001C502C"/>
    <w:rsid w:val="001C520B"/>
    <w:rsid w:val="001C5777"/>
    <w:rsid w:val="001C5E59"/>
    <w:rsid w:val="001C61A4"/>
    <w:rsid w:val="001C66C4"/>
    <w:rsid w:val="001C69C5"/>
    <w:rsid w:val="001C6F70"/>
    <w:rsid w:val="001C711E"/>
    <w:rsid w:val="001C775E"/>
    <w:rsid w:val="001C7864"/>
    <w:rsid w:val="001C7BA9"/>
    <w:rsid w:val="001D0098"/>
    <w:rsid w:val="001D00EE"/>
    <w:rsid w:val="001D068F"/>
    <w:rsid w:val="001D0795"/>
    <w:rsid w:val="001D08E4"/>
    <w:rsid w:val="001D0FF2"/>
    <w:rsid w:val="001D14C3"/>
    <w:rsid w:val="001D17B4"/>
    <w:rsid w:val="001D2221"/>
    <w:rsid w:val="001D2272"/>
    <w:rsid w:val="001D26E1"/>
    <w:rsid w:val="001D2934"/>
    <w:rsid w:val="001D2D73"/>
    <w:rsid w:val="001D338C"/>
    <w:rsid w:val="001D3990"/>
    <w:rsid w:val="001D4281"/>
    <w:rsid w:val="001D4289"/>
    <w:rsid w:val="001D501E"/>
    <w:rsid w:val="001D50A0"/>
    <w:rsid w:val="001D523E"/>
    <w:rsid w:val="001D5313"/>
    <w:rsid w:val="001D6DA4"/>
    <w:rsid w:val="001D7120"/>
    <w:rsid w:val="001D799D"/>
    <w:rsid w:val="001D79FA"/>
    <w:rsid w:val="001E0426"/>
    <w:rsid w:val="001E0D32"/>
    <w:rsid w:val="001E1055"/>
    <w:rsid w:val="001E1B7A"/>
    <w:rsid w:val="001E1DA5"/>
    <w:rsid w:val="001E2541"/>
    <w:rsid w:val="001E260E"/>
    <w:rsid w:val="001E2F3F"/>
    <w:rsid w:val="001E2F61"/>
    <w:rsid w:val="001E30F3"/>
    <w:rsid w:val="001E42EE"/>
    <w:rsid w:val="001E44A7"/>
    <w:rsid w:val="001E4614"/>
    <w:rsid w:val="001E4689"/>
    <w:rsid w:val="001E47D7"/>
    <w:rsid w:val="001E4B3F"/>
    <w:rsid w:val="001E4B42"/>
    <w:rsid w:val="001E5487"/>
    <w:rsid w:val="001E56B5"/>
    <w:rsid w:val="001E5B5D"/>
    <w:rsid w:val="001E6279"/>
    <w:rsid w:val="001E6653"/>
    <w:rsid w:val="001E6B2B"/>
    <w:rsid w:val="001E6DA3"/>
    <w:rsid w:val="001E6F65"/>
    <w:rsid w:val="001E729A"/>
    <w:rsid w:val="001E7BBF"/>
    <w:rsid w:val="001F1039"/>
    <w:rsid w:val="001F148C"/>
    <w:rsid w:val="001F17B7"/>
    <w:rsid w:val="001F183C"/>
    <w:rsid w:val="001F216C"/>
    <w:rsid w:val="001F2574"/>
    <w:rsid w:val="001F25EC"/>
    <w:rsid w:val="001F2619"/>
    <w:rsid w:val="001F261C"/>
    <w:rsid w:val="001F2D6C"/>
    <w:rsid w:val="001F3379"/>
    <w:rsid w:val="001F3C7A"/>
    <w:rsid w:val="001F41D3"/>
    <w:rsid w:val="001F4425"/>
    <w:rsid w:val="001F44E5"/>
    <w:rsid w:val="001F4815"/>
    <w:rsid w:val="001F4F3B"/>
    <w:rsid w:val="001F50F7"/>
    <w:rsid w:val="001F5D5D"/>
    <w:rsid w:val="001F617B"/>
    <w:rsid w:val="001F64C7"/>
    <w:rsid w:val="001F6DCC"/>
    <w:rsid w:val="001F708B"/>
    <w:rsid w:val="00201011"/>
    <w:rsid w:val="0020106C"/>
    <w:rsid w:val="00201602"/>
    <w:rsid w:val="00201C2B"/>
    <w:rsid w:val="00201C61"/>
    <w:rsid w:val="0020244F"/>
    <w:rsid w:val="00202DBD"/>
    <w:rsid w:val="00203012"/>
    <w:rsid w:val="0020468F"/>
    <w:rsid w:val="00204CB4"/>
    <w:rsid w:val="002052B6"/>
    <w:rsid w:val="00205699"/>
    <w:rsid w:val="00205CA2"/>
    <w:rsid w:val="0020679D"/>
    <w:rsid w:val="002069A1"/>
    <w:rsid w:val="00207AD7"/>
    <w:rsid w:val="00207B18"/>
    <w:rsid w:val="00210108"/>
    <w:rsid w:val="00210749"/>
    <w:rsid w:val="002110F0"/>
    <w:rsid w:val="002110F1"/>
    <w:rsid w:val="002113AD"/>
    <w:rsid w:val="00211625"/>
    <w:rsid w:val="002118B0"/>
    <w:rsid w:val="00211A69"/>
    <w:rsid w:val="00211AFC"/>
    <w:rsid w:val="00211FB8"/>
    <w:rsid w:val="00212BC1"/>
    <w:rsid w:val="00213092"/>
    <w:rsid w:val="002137C4"/>
    <w:rsid w:val="00213B2C"/>
    <w:rsid w:val="00213E7E"/>
    <w:rsid w:val="00214957"/>
    <w:rsid w:val="0021517E"/>
    <w:rsid w:val="0021580C"/>
    <w:rsid w:val="00215858"/>
    <w:rsid w:val="0021615B"/>
    <w:rsid w:val="00216684"/>
    <w:rsid w:val="002169D1"/>
    <w:rsid w:val="00216ACC"/>
    <w:rsid w:val="00216D29"/>
    <w:rsid w:val="002170C4"/>
    <w:rsid w:val="00217322"/>
    <w:rsid w:val="002206BF"/>
    <w:rsid w:val="002212F0"/>
    <w:rsid w:val="00221464"/>
    <w:rsid w:val="00222148"/>
    <w:rsid w:val="00222606"/>
    <w:rsid w:val="00222719"/>
    <w:rsid w:val="00222741"/>
    <w:rsid w:val="0022274B"/>
    <w:rsid w:val="00222757"/>
    <w:rsid w:val="00222BEC"/>
    <w:rsid w:val="002230A3"/>
    <w:rsid w:val="002234A0"/>
    <w:rsid w:val="00223C74"/>
    <w:rsid w:val="00223D32"/>
    <w:rsid w:val="00224483"/>
    <w:rsid w:val="00224993"/>
    <w:rsid w:val="00224AE7"/>
    <w:rsid w:val="0022512C"/>
    <w:rsid w:val="00225714"/>
    <w:rsid w:val="00226BAF"/>
    <w:rsid w:val="00226CE6"/>
    <w:rsid w:val="00227126"/>
    <w:rsid w:val="0022733D"/>
    <w:rsid w:val="00227D69"/>
    <w:rsid w:val="00227DCF"/>
    <w:rsid w:val="002305FF"/>
    <w:rsid w:val="00230F5B"/>
    <w:rsid w:val="00231250"/>
    <w:rsid w:val="00231710"/>
    <w:rsid w:val="00231C24"/>
    <w:rsid w:val="002325C5"/>
    <w:rsid w:val="002327D0"/>
    <w:rsid w:val="002329AA"/>
    <w:rsid w:val="00233995"/>
    <w:rsid w:val="0023399F"/>
    <w:rsid w:val="00233A14"/>
    <w:rsid w:val="002342E8"/>
    <w:rsid w:val="00234379"/>
    <w:rsid w:val="002347FB"/>
    <w:rsid w:val="0023503A"/>
    <w:rsid w:val="00235203"/>
    <w:rsid w:val="00235EBA"/>
    <w:rsid w:val="002361D9"/>
    <w:rsid w:val="002364CE"/>
    <w:rsid w:val="0023679F"/>
    <w:rsid w:val="00237752"/>
    <w:rsid w:val="00237F21"/>
    <w:rsid w:val="002430F9"/>
    <w:rsid w:val="002438A9"/>
    <w:rsid w:val="00243AF1"/>
    <w:rsid w:val="00243CA8"/>
    <w:rsid w:val="00244AF8"/>
    <w:rsid w:val="00244D9C"/>
    <w:rsid w:val="0024539B"/>
    <w:rsid w:val="002457BC"/>
    <w:rsid w:val="00245854"/>
    <w:rsid w:val="00246497"/>
    <w:rsid w:val="00246C53"/>
    <w:rsid w:val="00246E6A"/>
    <w:rsid w:val="00247521"/>
    <w:rsid w:val="00247835"/>
    <w:rsid w:val="00247A2A"/>
    <w:rsid w:val="00247A33"/>
    <w:rsid w:val="00247A8F"/>
    <w:rsid w:val="002506A1"/>
    <w:rsid w:val="00251048"/>
    <w:rsid w:val="0025122B"/>
    <w:rsid w:val="002521E4"/>
    <w:rsid w:val="002529CD"/>
    <w:rsid w:val="00252A15"/>
    <w:rsid w:val="00253440"/>
    <w:rsid w:val="002534DC"/>
    <w:rsid w:val="0025357F"/>
    <w:rsid w:val="002535FF"/>
    <w:rsid w:val="002536AF"/>
    <w:rsid w:val="00253BB7"/>
    <w:rsid w:val="0025473D"/>
    <w:rsid w:val="00254752"/>
    <w:rsid w:val="00254784"/>
    <w:rsid w:val="002547F1"/>
    <w:rsid w:val="00254A64"/>
    <w:rsid w:val="00254AB4"/>
    <w:rsid w:val="00254BAC"/>
    <w:rsid w:val="00254C67"/>
    <w:rsid w:val="002550B2"/>
    <w:rsid w:val="002551DD"/>
    <w:rsid w:val="0025557D"/>
    <w:rsid w:val="00255F2A"/>
    <w:rsid w:val="00256105"/>
    <w:rsid w:val="00257198"/>
    <w:rsid w:val="00257B77"/>
    <w:rsid w:val="00257C78"/>
    <w:rsid w:val="00257DA9"/>
    <w:rsid w:val="00260AA1"/>
    <w:rsid w:val="00260F6B"/>
    <w:rsid w:val="00261030"/>
    <w:rsid w:val="0026256B"/>
    <w:rsid w:val="00262DF5"/>
    <w:rsid w:val="00263008"/>
    <w:rsid w:val="0026311C"/>
    <w:rsid w:val="0026320F"/>
    <w:rsid w:val="002635B0"/>
    <w:rsid w:val="002638DB"/>
    <w:rsid w:val="002642CB"/>
    <w:rsid w:val="002659F2"/>
    <w:rsid w:val="00265A13"/>
    <w:rsid w:val="00265F60"/>
    <w:rsid w:val="00267390"/>
    <w:rsid w:val="00267A1C"/>
    <w:rsid w:val="00270A3C"/>
    <w:rsid w:val="0027259A"/>
    <w:rsid w:val="00272DD0"/>
    <w:rsid w:val="00273347"/>
    <w:rsid w:val="002739A0"/>
    <w:rsid w:val="00273BF6"/>
    <w:rsid w:val="00273FC8"/>
    <w:rsid w:val="00274EC4"/>
    <w:rsid w:val="002751D8"/>
    <w:rsid w:val="002761E0"/>
    <w:rsid w:val="00276C68"/>
    <w:rsid w:val="002771AD"/>
    <w:rsid w:val="002779BA"/>
    <w:rsid w:val="00277C3C"/>
    <w:rsid w:val="002804F4"/>
    <w:rsid w:val="0028073B"/>
    <w:rsid w:val="002807FE"/>
    <w:rsid w:val="00280BE7"/>
    <w:rsid w:val="0028123E"/>
    <w:rsid w:val="00281E7F"/>
    <w:rsid w:val="00281EA7"/>
    <w:rsid w:val="002823A4"/>
    <w:rsid w:val="00282E77"/>
    <w:rsid w:val="00283079"/>
    <w:rsid w:val="002837B8"/>
    <w:rsid w:val="002839F1"/>
    <w:rsid w:val="00285374"/>
    <w:rsid w:val="00285914"/>
    <w:rsid w:val="002867EE"/>
    <w:rsid w:val="00286910"/>
    <w:rsid w:val="002875D8"/>
    <w:rsid w:val="002878A8"/>
    <w:rsid w:val="00287B27"/>
    <w:rsid w:val="00287D44"/>
    <w:rsid w:val="00287D74"/>
    <w:rsid w:val="002909BC"/>
    <w:rsid w:val="00290D26"/>
    <w:rsid w:val="00291376"/>
    <w:rsid w:val="002913C8"/>
    <w:rsid w:val="0029208E"/>
    <w:rsid w:val="0029226B"/>
    <w:rsid w:val="00292750"/>
    <w:rsid w:val="002927FB"/>
    <w:rsid w:val="00292E4B"/>
    <w:rsid w:val="00293373"/>
    <w:rsid w:val="002937BE"/>
    <w:rsid w:val="00293DBE"/>
    <w:rsid w:val="00294ADC"/>
    <w:rsid w:val="002951E1"/>
    <w:rsid w:val="0029533D"/>
    <w:rsid w:val="00295AE5"/>
    <w:rsid w:val="002963A6"/>
    <w:rsid w:val="0029714C"/>
    <w:rsid w:val="0029733E"/>
    <w:rsid w:val="00297B92"/>
    <w:rsid w:val="00297F1F"/>
    <w:rsid w:val="002A07FF"/>
    <w:rsid w:val="002A0950"/>
    <w:rsid w:val="002A0FC3"/>
    <w:rsid w:val="002A13D8"/>
    <w:rsid w:val="002A1872"/>
    <w:rsid w:val="002A18E5"/>
    <w:rsid w:val="002A1D3C"/>
    <w:rsid w:val="002A2411"/>
    <w:rsid w:val="002A43A0"/>
    <w:rsid w:val="002A4EC3"/>
    <w:rsid w:val="002A5301"/>
    <w:rsid w:val="002A65DA"/>
    <w:rsid w:val="002A74CF"/>
    <w:rsid w:val="002B0267"/>
    <w:rsid w:val="002B0D21"/>
    <w:rsid w:val="002B216E"/>
    <w:rsid w:val="002B2A92"/>
    <w:rsid w:val="002B2BC5"/>
    <w:rsid w:val="002B2C88"/>
    <w:rsid w:val="002B347B"/>
    <w:rsid w:val="002B37E3"/>
    <w:rsid w:val="002B3E50"/>
    <w:rsid w:val="002B4DA2"/>
    <w:rsid w:val="002B65D6"/>
    <w:rsid w:val="002B6E8B"/>
    <w:rsid w:val="002B77B3"/>
    <w:rsid w:val="002B7A93"/>
    <w:rsid w:val="002C00F0"/>
    <w:rsid w:val="002C01B1"/>
    <w:rsid w:val="002C0E7C"/>
    <w:rsid w:val="002C0FEA"/>
    <w:rsid w:val="002C25D9"/>
    <w:rsid w:val="002C27DA"/>
    <w:rsid w:val="002C2A7F"/>
    <w:rsid w:val="002C2B1E"/>
    <w:rsid w:val="002C31FB"/>
    <w:rsid w:val="002C3E3D"/>
    <w:rsid w:val="002C480A"/>
    <w:rsid w:val="002C4F35"/>
    <w:rsid w:val="002C4F62"/>
    <w:rsid w:val="002C5234"/>
    <w:rsid w:val="002C5240"/>
    <w:rsid w:val="002C5956"/>
    <w:rsid w:val="002C5EF9"/>
    <w:rsid w:val="002C6C35"/>
    <w:rsid w:val="002C7483"/>
    <w:rsid w:val="002C76FC"/>
    <w:rsid w:val="002C7723"/>
    <w:rsid w:val="002C7FCB"/>
    <w:rsid w:val="002D0A70"/>
    <w:rsid w:val="002D1461"/>
    <w:rsid w:val="002D1C15"/>
    <w:rsid w:val="002D3545"/>
    <w:rsid w:val="002D374F"/>
    <w:rsid w:val="002D3DFC"/>
    <w:rsid w:val="002D41C3"/>
    <w:rsid w:val="002D41E0"/>
    <w:rsid w:val="002D42FE"/>
    <w:rsid w:val="002D4657"/>
    <w:rsid w:val="002D4757"/>
    <w:rsid w:val="002D4D0A"/>
    <w:rsid w:val="002D51B6"/>
    <w:rsid w:val="002D5270"/>
    <w:rsid w:val="002D5563"/>
    <w:rsid w:val="002D601D"/>
    <w:rsid w:val="002D7543"/>
    <w:rsid w:val="002D7A13"/>
    <w:rsid w:val="002D7D14"/>
    <w:rsid w:val="002E01A7"/>
    <w:rsid w:val="002E0904"/>
    <w:rsid w:val="002E0C8C"/>
    <w:rsid w:val="002E0F62"/>
    <w:rsid w:val="002E0F7C"/>
    <w:rsid w:val="002E1645"/>
    <w:rsid w:val="002E1747"/>
    <w:rsid w:val="002E174E"/>
    <w:rsid w:val="002E1AF8"/>
    <w:rsid w:val="002E1BC9"/>
    <w:rsid w:val="002E1CC2"/>
    <w:rsid w:val="002E1D80"/>
    <w:rsid w:val="002E252A"/>
    <w:rsid w:val="002E2D83"/>
    <w:rsid w:val="002E3432"/>
    <w:rsid w:val="002E3BB4"/>
    <w:rsid w:val="002E3CA2"/>
    <w:rsid w:val="002E3FA4"/>
    <w:rsid w:val="002E4649"/>
    <w:rsid w:val="002E4E4F"/>
    <w:rsid w:val="002E6A87"/>
    <w:rsid w:val="002E709C"/>
    <w:rsid w:val="002E7937"/>
    <w:rsid w:val="002E7DD7"/>
    <w:rsid w:val="002F0A9A"/>
    <w:rsid w:val="002F0C9C"/>
    <w:rsid w:val="002F125E"/>
    <w:rsid w:val="002F12B2"/>
    <w:rsid w:val="002F1363"/>
    <w:rsid w:val="002F13BE"/>
    <w:rsid w:val="002F1CCB"/>
    <w:rsid w:val="002F2C22"/>
    <w:rsid w:val="002F2CFC"/>
    <w:rsid w:val="002F37D5"/>
    <w:rsid w:val="002F3C6A"/>
    <w:rsid w:val="002F4187"/>
    <w:rsid w:val="002F4337"/>
    <w:rsid w:val="002F460D"/>
    <w:rsid w:val="002F46C6"/>
    <w:rsid w:val="002F4D55"/>
    <w:rsid w:val="002F4E75"/>
    <w:rsid w:val="002F51EC"/>
    <w:rsid w:val="002F5F0F"/>
    <w:rsid w:val="002F623F"/>
    <w:rsid w:val="002F62A3"/>
    <w:rsid w:val="002F63F3"/>
    <w:rsid w:val="002F7875"/>
    <w:rsid w:val="002F7E59"/>
    <w:rsid w:val="003005A2"/>
    <w:rsid w:val="00300AA7"/>
    <w:rsid w:val="00300CF8"/>
    <w:rsid w:val="00300E6D"/>
    <w:rsid w:val="00302055"/>
    <w:rsid w:val="0030223A"/>
    <w:rsid w:val="00302955"/>
    <w:rsid w:val="00302B62"/>
    <w:rsid w:val="00302C4D"/>
    <w:rsid w:val="003036FD"/>
    <w:rsid w:val="00303721"/>
    <w:rsid w:val="0030378C"/>
    <w:rsid w:val="003039CD"/>
    <w:rsid w:val="00303BD2"/>
    <w:rsid w:val="00303C59"/>
    <w:rsid w:val="00304498"/>
    <w:rsid w:val="00304CC5"/>
    <w:rsid w:val="00304D6F"/>
    <w:rsid w:val="003071F9"/>
    <w:rsid w:val="003073BF"/>
    <w:rsid w:val="003074F4"/>
    <w:rsid w:val="00307A0F"/>
    <w:rsid w:val="00307CC9"/>
    <w:rsid w:val="00307D1F"/>
    <w:rsid w:val="00307F6D"/>
    <w:rsid w:val="00310D4E"/>
    <w:rsid w:val="00310DE0"/>
    <w:rsid w:val="0031116B"/>
    <w:rsid w:val="003115CB"/>
    <w:rsid w:val="00312165"/>
    <w:rsid w:val="0031289D"/>
    <w:rsid w:val="00312919"/>
    <w:rsid w:val="00312D44"/>
    <w:rsid w:val="00313128"/>
    <w:rsid w:val="00313831"/>
    <w:rsid w:val="00313D22"/>
    <w:rsid w:val="0031454F"/>
    <w:rsid w:val="003148A4"/>
    <w:rsid w:val="00315053"/>
    <w:rsid w:val="0031525D"/>
    <w:rsid w:val="0031558B"/>
    <w:rsid w:val="003163FD"/>
    <w:rsid w:val="003167A1"/>
    <w:rsid w:val="0031720C"/>
    <w:rsid w:val="0032024A"/>
    <w:rsid w:val="003206D5"/>
    <w:rsid w:val="003214B7"/>
    <w:rsid w:val="00322215"/>
    <w:rsid w:val="00322470"/>
    <w:rsid w:val="00322624"/>
    <w:rsid w:val="00322B69"/>
    <w:rsid w:val="003236DB"/>
    <w:rsid w:val="0032410F"/>
    <w:rsid w:val="00324461"/>
    <w:rsid w:val="00324DCC"/>
    <w:rsid w:val="00326809"/>
    <w:rsid w:val="00326DC3"/>
    <w:rsid w:val="00327F40"/>
    <w:rsid w:val="003304AC"/>
    <w:rsid w:val="00331721"/>
    <w:rsid w:val="003317AA"/>
    <w:rsid w:val="00331A88"/>
    <w:rsid w:val="00331C68"/>
    <w:rsid w:val="00331E6E"/>
    <w:rsid w:val="003320CD"/>
    <w:rsid w:val="0033248D"/>
    <w:rsid w:val="00332771"/>
    <w:rsid w:val="0033339D"/>
    <w:rsid w:val="00334479"/>
    <w:rsid w:val="00334E8A"/>
    <w:rsid w:val="003354C9"/>
    <w:rsid w:val="003356EF"/>
    <w:rsid w:val="00335AED"/>
    <w:rsid w:val="003361E3"/>
    <w:rsid w:val="0033620B"/>
    <w:rsid w:val="0033648A"/>
    <w:rsid w:val="00337052"/>
    <w:rsid w:val="003371C1"/>
    <w:rsid w:val="003372D4"/>
    <w:rsid w:val="00337FBC"/>
    <w:rsid w:val="00340418"/>
    <w:rsid w:val="00340E0C"/>
    <w:rsid w:val="003411B4"/>
    <w:rsid w:val="00341273"/>
    <w:rsid w:val="00341BEC"/>
    <w:rsid w:val="00342002"/>
    <w:rsid w:val="00342220"/>
    <w:rsid w:val="003430BC"/>
    <w:rsid w:val="003431C2"/>
    <w:rsid w:val="00343284"/>
    <w:rsid w:val="00343640"/>
    <w:rsid w:val="00343815"/>
    <w:rsid w:val="00343C82"/>
    <w:rsid w:val="00343D15"/>
    <w:rsid w:val="00345050"/>
    <w:rsid w:val="003451DE"/>
    <w:rsid w:val="003453F1"/>
    <w:rsid w:val="00345964"/>
    <w:rsid w:val="00345A89"/>
    <w:rsid w:val="00345CC7"/>
    <w:rsid w:val="003466B0"/>
    <w:rsid w:val="003468ED"/>
    <w:rsid w:val="00350178"/>
    <w:rsid w:val="00350DC1"/>
    <w:rsid w:val="00351E59"/>
    <w:rsid w:val="00351FC1"/>
    <w:rsid w:val="00352D19"/>
    <w:rsid w:val="00352F52"/>
    <w:rsid w:val="00354A7F"/>
    <w:rsid w:val="00354C31"/>
    <w:rsid w:val="00355752"/>
    <w:rsid w:val="003557A2"/>
    <w:rsid w:val="00355F9F"/>
    <w:rsid w:val="00356151"/>
    <w:rsid w:val="003563F4"/>
    <w:rsid w:val="003569B8"/>
    <w:rsid w:val="00357508"/>
    <w:rsid w:val="0035777C"/>
    <w:rsid w:val="003605F2"/>
    <w:rsid w:val="00360E3C"/>
    <w:rsid w:val="00360EA3"/>
    <w:rsid w:val="003617FE"/>
    <w:rsid w:val="003619CE"/>
    <w:rsid w:val="00361E3B"/>
    <w:rsid w:val="0036202A"/>
    <w:rsid w:val="0036223C"/>
    <w:rsid w:val="003629B3"/>
    <w:rsid w:val="00362DE0"/>
    <w:rsid w:val="00363343"/>
    <w:rsid w:val="003634BD"/>
    <w:rsid w:val="00363627"/>
    <w:rsid w:val="00364211"/>
    <w:rsid w:val="00364836"/>
    <w:rsid w:val="003648B6"/>
    <w:rsid w:val="00365395"/>
    <w:rsid w:val="00365DD7"/>
    <w:rsid w:val="00365F33"/>
    <w:rsid w:val="003661BF"/>
    <w:rsid w:val="00366313"/>
    <w:rsid w:val="0036672E"/>
    <w:rsid w:val="00366A1A"/>
    <w:rsid w:val="003671B9"/>
    <w:rsid w:val="00367250"/>
    <w:rsid w:val="00367609"/>
    <w:rsid w:val="00367C97"/>
    <w:rsid w:val="00370043"/>
    <w:rsid w:val="0037007E"/>
    <w:rsid w:val="00370D87"/>
    <w:rsid w:val="00370E83"/>
    <w:rsid w:val="00370F37"/>
    <w:rsid w:val="0037105F"/>
    <w:rsid w:val="00372DB9"/>
    <w:rsid w:val="00373AB6"/>
    <w:rsid w:val="00373C35"/>
    <w:rsid w:val="00374082"/>
    <w:rsid w:val="00374648"/>
    <w:rsid w:val="00374675"/>
    <w:rsid w:val="0037468C"/>
    <w:rsid w:val="00374F02"/>
    <w:rsid w:val="00375568"/>
    <w:rsid w:val="0037594D"/>
    <w:rsid w:val="00375A0F"/>
    <w:rsid w:val="00376B09"/>
    <w:rsid w:val="00376F95"/>
    <w:rsid w:val="003777DC"/>
    <w:rsid w:val="003779B8"/>
    <w:rsid w:val="00377C39"/>
    <w:rsid w:val="00377EB8"/>
    <w:rsid w:val="003806D3"/>
    <w:rsid w:val="00381439"/>
    <w:rsid w:val="003815D3"/>
    <w:rsid w:val="00381E97"/>
    <w:rsid w:val="00381ED9"/>
    <w:rsid w:val="003821CA"/>
    <w:rsid w:val="00383FAF"/>
    <w:rsid w:val="00384555"/>
    <w:rsid w:val="003852D9"/>
    <w:rsid w:val="00385805"/>
    <w:rsid w:val="00385E98"/>
    <w:rsid w:val="0038624A"/>
    <w:rsid w:val="003863B7"/>
    <w:rsid w:val="00386529"/>
    <w:rsid w:val="00387114"/>
    <w:rsid w:val="003913E8"/>
    <w:rsid w:val="003914CA"/>
    <w:rsid w:val="00392533"/>
    <w:rsid w:val="003927F9"/>
    <w:rsid w:val="00392FA6"/>
    <w:rsid w:val="00393015"/>
    <w:rsid w:val="00393562"/>
    <w:rsid w:val="00394552"/>
    <w:rsid w:val="0039494E"/>
    <w:rsid w:val="00394ACB"/>
    <w:rsid w:val="003957FD"/>
    <w:rsid w:val="00395DF9"/>
    <w:rsid w:val="00396096"/>
    <w:rsid w:val="00396692"/>
    <w:rsid w:val="00396C65"/>
    <w:rsid w:val="0039727E"/>
    <w:rsid w:val="00397920"/>
    <w:rsid w:val="00397A69"/>
    <w:rsid w:val="003A0A88"/>
    <w:rsid w:val="003A2236"/>
    <w:rsid w:val="003A238A"/>
    <w:rsid w:val="003A249A"/>
    <w:rsid w:val="003A27B8"/>
    <w:rsid w:val="003A2C37"/>
    <w:rsid w:val="003A2CB3"/>
    <w:rsid w:val="003A331A"/>
    <w:rsid w:val="003A3AFD"/>
    <w:rsid w:val="003A435E"/>
    <w:rsid w:val="003A4466"/>
    <w:rsid w:val="003A4734"/>
    <w:rsid w:val="003A4DE9"/>
    <w:rsid w:val="003A64A9"/>
    <w:rsid w:val="003A6B0D"/>
    <w:rsid w:val="003A728C"/>
    <w:rsid w:val="003A7414"/>
    <w:rsid w:val="003A7E92"/>
    <w:rsid w:val="003A7FC2"/>
    <w:rsid w:val="003B0422"/>
    <w:rsid w:val="003B0591"/>
    <w:rsid w:val="003B06B5"/>
    <w:rsid w:val="003B10C4"/>
    <w:rsid w:val="003B1E93"/>
    <w:rsid w:val="003B2405"/>
    <w:rsid w:val="003B26FD"/>
    <w:rsid w:val="003B3E34"/>
    <w:rsid w:val="003B430C"/>
    <w:rsid w:val="003B4513"/>
    <w:rsid w:val="003B58C2"/>
    <w:rsid w:val="003B5C8A"/>
    <w:rsid w:val="003B69B9"/>
    <w:rsid w:val="003B6ACF"/>
    <w:rsid w:val="003B7092"/>
    <w:rsid w:val="003B7469"/>
    <w:rsid w:val="003B7869"/>
    <w:rsid w:val="003B7B18"/>
    <w:rsid w:val="003C109F"/>
    <w:rsid w:val="003C1669"/>
    <w:rsid w:val="003C16B8"/>
    <w:rsid w:val="003C1F05"/>
    <w:rsid w:val="003C221A"/>
    <w:rsid w:val="003C22E8"/>
    <w:rsid w:val="003C23B0"/>
    <w:rsid w:val="003C32B0"/>
    <w:rsid w:val="003C3507"/>
    <w:rsid w:val="003C3578"/>
    <w:rsid w:val="003C3B10"/>
    <w:rsid w:val="003C3BFC"/>
    <w:rsid w:val="003C3C69"/>
    <w:rsid w:val="003C42F6"/>
    <w:rsid w:val="003C4809"/>
    <w:rsid w:val="003C482E"/>
    <w:rsid w:val="003C5618"/>
    <w:rsid w:val="003C56C8"/>
    <w:rsid w:val="003C5956"/>
    <w:rsid w:val="003C5A5B"/>
    <w:rsid w:val="003C5E1D"/>
    <w:rsid w:val="003C62FA"/>
    <w:rsid w:val="003C68B9"/>
    <w:rsid w:val="003C72D1"/>
    <w:rsid w:val="003D094B"/>
    <w:rsid w:val="003D0A85"/>
    <w:rsid w:val="003D0AB1"/>
    <w:rsid w:val="003D1B33"/>
    <w:rsid w:val="003D1C4F"/>
    <w:rsid w:val="003D1EA1"/>
    <w:rsid w:val="003D1F62"/>
    <w:rsid w:val="003D26B5"/>
    <w:rsid w:val="003D272B"/>
    <w:rsid w:val="003D273C"/>
    <w:rsid w:val="003D2BB6"/>
    <w:rsid w:val="003D41E8"/>
    <w:rsid w:val="003D4367"/>
    <w:rsid w:val="003D4BB2"/>
    <w:rsid w:val="003D52A8"/>
    <w:rsid w:val="003D5CA9"/>
    <w:rsid w:val="003D64EC"/>
    <w:rsid w:val="003D7A7A"/>
    <w:rsid w:val="003D7D66"/>
    <w:rsid w:val="003E10B9"/>
    <w:rsid w:val="003E14C9"/>
    <w:rsid w:val="003E1590"/>
    <w:rsid w:val="003E1843"/>
    <w:rsid w:val="003E1D1E"/>
    <w:rsid w:val="003E1D20"/>
    <w:rsid w:val="003E1E8E"/>
    <w:rsid w:val="003E2CA0"/>
    <w:rsid w:val="003E3062"/>
    <w:rsid w:val="003E32AB"/>
    <w:rsid w:val="003E3731"/>
    <w:rsid w:val="003E37F0"/>
    <w:rsid w:val="003E419F"/>
    <w:rsid w:val="003E5165"/>
    <w:rsid w:val="003E53C7"/>
    <w:rsid w:val="003E5461"/>
    <w:rsid w:val="003E5F37"/>
    <w:rsid w:val="003E5F8C"/>
    <w:rsid w:val="003E6E40"/>
    <w:rsid w:val="003E70F6"/>
    <w:rsid w:val="003E73A5"/>
    <w:rsid w:val="003F0201"/>
    <w:rsid w:val="003F04D7"/>
    <w:rsid w:val="003F0AEF"/>
    <w:rsid w:val="003F105A"/>
    <w:rsid w:val="003F1088"/>
    <w:rsid w:val="003F132E"/>
    <w:rsid w:val="003F21DD"/>
    <w:rsid w:val="003F2594"/>
    <w:rsid w:val="003F25DC"/>
    <w:rsid w:val="003F2D13"/>
    <w:rsid w:val="003F2EB2"/>
    <w:rsid w:val="003F2FB9"/>
    <w:rsid w:val="003F2FDF"/>
    <w:rsid w:val="003F3133"/>
    <w:rsid w:val="003F3D6B"/>
    <w:rsid w:val="003F4306"/>
    <w:rsid w:val="003F50FC"/>
    <w:rsid w:val="003F5486"/>
    <w:rsid w:val="003F65A1"/>
    <w:rsid w:val="003F6944"/>
    <w:rsid w:val="003F6A89"/>
    <w:rsid w:val="003F6C5B"/>
    <w:rsid w:val="003F6D71"/>
    <w:rsid w:val="003F6D89"/>
    <w:rsid w:val="003F6EF4"/>
    <w:rsid w:val="003F7510"/>
    <w:rsid w:val="003F7600"/>
    <w:rsid w:val="003F79C5"/>
    <w:rsid w:val="003F7E17"/>
    <w:rsid w:val="0040004E"/>
    <w:rsid w:val="00400066"/>
    <w:rsid w:val="004017B4"/>
    <w:rsid w:val="00401F44"/>
    <w:rsid w:val="00402CFB"/>
    <w:rsid w:val="00403024"/>
    <w:rsid w:val="004031F8"/>
    <w:rsid w:val="00403835"/>
    <w:rsid w:val="004041C2"/>
    <w:rsid w:val="00405259"/>
    <w:rsid w:val="00405494"/>
    <w:rsid w:val="0040676F"/>
    <w:rsid w:val="00406C01"/>
    <w:rsid w:val="0040787F"/>
    <w:rsid w:val="004079AB"/>
    <w:rsid w:val="0041041B"/>
    <w:rsid w:val="0041058F"/>
    <w:rsid w:val="0041070C"/>
    <w:rsid w:val="004109B8"/>
    <w:rsid w:val="004115A4"/>
    <w:rsid w:val="0041188A"/>
    <w:rsid w:val="00412704"/>
    <w:rsid w:val="00412EBD"/>
    <w:rsid w:val="00412F00"/>
    <w:rsid w:val="004133E1"/>
    <w:rsid w:val="0041398D"/>
    <w:rsid w:val="00413C17"/>
    <w:rsid w:val="0041496F"/>
    <w:rsid w:val="00414E3D"/>
    <w:rsid w:val="00415189"/>
    <w:rsid w:val="0041524D"/>
    <w:rsid w:val="00415957"/>
    <w:rsid w:val="004162DB"/>
    <w:rsid w:val="0041657E"/>
    <w:rsid w:val="00416BE2"/>
    <w:rsid w:val="00417D2A"/>
    <w:rsid w:val="00417ED4"/>
    <w:rsid w:val="00417F8B"/>
    <w:rsid w:val="00420E9B"/>
    <w:rsid w:val="00420F3A"/>
    <w:rsid w:val="0042145F"/>
    <w:rsid w:val="0042278D"/>
    <w:rsid w:val="00422A3C"/>
    <w:rsid w:val="004239FB"/>
    <w:rsid w:val="004248ED"/>
    <w:rsid w:val="00424D4E"/>
    <w:rsid w:val="00424F58"/>
    <w:rsid w:val="004252E7"/>
    <w:rsid w:val="0042564D"/>
    <w:rsid w:val="00425CB8"/>
    <w:rsid w:val="0042622A"/>
    <w:rsid w:val="00426536"/>
    <w:rsid w:val="00427636"/>
    <w:rsid w:val="00427669"/>
    <w:rsid w:val="00427E8A"/>
    <w:rsid w:val="00427F4F"/>
    <w:rsid w:val="00430690"/>
    <w:rsid w:val="0043143A"/>
    <w:rsid w:val="00431B5A"/>
    <w:rsid w:val="00431F15"/>
    <w:rsid w:val="004323A6"/>
    <w:rsid w:val="004323E4"/>
    <w:rsid w:val="004339E5"/>
    <w:rsid w:val="00433B45"/>
    <w:rsid w:val="00433C68"/>
    <w:rsid w:val="004341F7"/>
    <w:rsid w:val="0043474A"/>
    <w:rsid w:val="004347B9"/>
    <w:rsid w:val="00434D11"/>
    <w:rsid w:val="00435142"/>
    <w:rsid w:val="00435B9F"/>
    <w:rsid w:val="00435FEF"/>
    <w:rsid w:val="004364F1"/>
    <w:rsid w:val="00436A31"/>
    <w:rsid w:val="00437355"/>
    <w:rsid w:val="004375C6"/>
    <w:rsid w:val="00437FDB"/>
    <w:rsid w:val="00440340"/>
    <w:rsid w:val="00440689"/>
    <w:rsid w:val="004408F0"/>
    <w:rsid w:val="004409C7"/>
    <w:rsid w:val="00440DC3"/>
    <w:rsid w:val="00440E8B"/>
    <w:rsid w:val="004410E9"/>
    <w:rsid w:val="00441703"/>
    <w:rsid w:val="00441D78"/>
    <w:rsid w:val="00441DDA"/>
    <w:rsid w:val="00441E99"/>
    <w:rsid w:val="00441FBA"/>
    <w:rsid w:val="00442241"/>
    <w:rsid w:val="004427DB"/>
    <w:rsid w:val="00442E01"/>
    <w:rsid w:val="00442E45"/>
    <w:rsid w:val="0044427E"/>
    <w:rsid w:val="00444BBE"/>
    <w:rsid w:val="00445252"/>
    <w:rsid w:val="00445448"/>
    <w:rsid w:val="00446631"/>
    <w:rsid w:val="00446870"/>
    <w:rsid w:val="00446921"/>
    <w:rsid w:val="00446C56"/>
    <w:rsid w:val="00450C96"/>
    <w:rsid w:val="00450DD1"/>
    <w:rsid w:val="00451850"/>
    <w:rsid w:val="00451EFC"/>
    <w:rsid w:val="00452121"/>
    <w:rsid w:val="004524A8"/>
    <w:rsid w:val="004526A4"/>
    <w:rsid w:val="00452E92"/>
    <w:rsid w:val="0045318C"/>
    <w:rsid w:val="0045336C"/>
    <w:rsid w:val="0045385F"/>
    <w:rsid w:val="00453916"/>
    <w:rsid w:val="00453AB9"/>
    <w:rsid w:val="00453C70"/>
    <w:rsid w:val="00453CC6"/>
    <w:rsid w:val="004547CF"/>
    <w:rsid w:val="00454868"/>
    <w:rsid w:val="00454AA7"/>
    <w:rsid w:val="00456005"/>
    <w:rsid w:val="00457097"/>
    <w:rsid w:val="00457244"/>
    <w:rsid w:val="004601F3"/>
    <w:rsid w:val="0046045F"/>
    <w:rsid w:val="00460460"/>
    <w:rsid w:val="00460679"/>
    <w:rsid w:val="00461101"/>
    <w:rsid w:val="00461F10"/>
    <w:rsid w:val="0046228A"/>
    <w:rsid w:val="004622CB"/>
    <w:rsid w:val="00462420"/>
    <w:rsid w:val="00464178"/>
    <w:rsid w:val="004644D4"/>
    <w:rsid w:val="004644DF"/>
    <w:rsid w:val="00464DC3"/>
    <w:rsid w:val="0046508D"/>
    <w:rsid w:val="00466AAC"/>
    <w:rsid w:val="00467873"/>
    <w:rsid w:val="004678C9"/>
    <w:rsid w:val="004703B6"/>
    <w:rsid w:val="00470570"/>
    <w:rsid w:val="004706ED"/>
    <w:rsid w:val="004708C6"/>
    <w:rsid w:val="00470C7E"/>
    <w:rsid w:val="00470CD8"/>
    <w:rsid w:val="004713E2"/>
    <w:rsid w:val="0047183E"/>
    <w:rsid w:val="00471B5B"/>
    <w:rsid w:val="00471FEE"/>
    <w:rsid w:val="004725BD"/>
    <w:rsid w:val="00472C23"/>
    <w:rsid w:val="00472DBD"/>
    <w:rsid w:val="00472E0F"/>
    <w:rsid w:val="004736F9"/>
    <w:rsid w:val="00473755"/>
    <w:rsid w:val="00473A1E"/>
    <w:rsid w:val="00473AB1"/>
    <w:rsid w:val="00473CC3"/>
    <w:rsid w:val="00474912"/>
    <w:rsid w:val="00474BBB"/>
    <w:rsid w:val="00475516"/>
    <w:rsid w:val="00475978"/>
    <w:rsid w:val="00475BB1"/>
    <w:rsid w:val="00475BCF"/>
    <w:rsid w:val="00476259"/>
    <w:rsid w:val="00477259"/>
    <w:rsid w:val="004808B2"/>
    <w:rsid w:val="0048108A"/>
    <w:rsid w:val="00481186"/>
    <w:rsid w:val="00481546"/>
    <w:rsid w:val="004821B8"/>
    <w:rsid w:val="00482425"/>
    <w:rsid w:val="00482F0A"/>
    <w:rsid w:val="00483016"/>
    <w:rsid w:val="004836A3"/>
    <w:rsid w:val="00483881"/>
    <w:rsid w:val="00484E4A"/>
    <w:rsid w:val="00485283"/>
    <w:rsid w:val="00485E1E"/>
    <w:rsid w:val="004874D1"/>
    <w:rsid w:val="004879D6"/>
    <w:rsid w:val="00490F5A"/>
    <w:rsid w:val="004916A6"/>
    <w:rsid w:val="004917C1"/>
    <w:rsid w:val="00491A31"/>
    <w:rsid w:val="00491DA3"/>
    <w:rsid w:val="00491DF5"/>
    <w:rsid w:val="00492C5A"/>
    <w:rsid w:val="00493304"/>
    <w:rsid w:val="00493A25"/>
    <w:rsid w:val="00493C1D"/>
    <w:rsid w:val="00494293"/>
    <w:rsid w:val="00494334"/>
    <w:rsid w:val="00494355"/>
    <w:rsid w:val="00494C10"/>
    <w:rsid w:val="00495268"/>
    <w:rsid w:val="004966B6"/>
    <w:rsid w:val="00496858"/>
    <w:rsid w:val="0049719C"/>
    <w:rsid w:val="0049773F"/>
    <w:rsid w:val="00497C67"/>
    <w:rsid w:val="004A015F"/>
    <w:rsid w:val="004A06AD"/>
    <w:rsid w:val="004A1DD4"/>
    <w:rsid w:val="004A2126"/>
    <w:rsid w:val="004A2FF5"/>
    <w:rsid w:val="004A33F4"/>
    <w:rsid w:val="004A35EE"/>
    <w:rsid w:val="004A3856"/>
    <w:rsid w:val="004A3B2E"/>
    <w:rsid w:val="004A4B4B"/>
    <w:rsid w:val="004A509D"/>
    <w:rsid w:val="004A51E1"/>
    <w:rsid w:val="004A5A17"/>
    <w:rsid w:val="004A5AF5"/>
    <w:rsid w:val="004A5D2C"/>
    <w:rsid w:val="004A68C6"/>
    <w:rsid w:val="004A6975"/>
    <w:rsid w:val="004A6C06"/>
    <w:rsid w:val="004A70C4"/>
    <w:rsid w:val="004A7C61"/>
    <w:rsid w:val="004B03C1"/>
    <w:rsid w:val="004B1055"/>
    <w:rsid w:val="004B108C"/>
    <w:rsid w:val="004B13D7"/>
    <w:rsid w:val="004B2E76"/>
    <w:rsid w:val="004B3917"/>
    <w:rsid w:val="004B3B24"/>
    <w:rsid w:val="004B3D1A"/>
    <w:rsid w:val="004B4748"/>
    <w:rsid w:val="004B56DC"/>
    <w:rsid w:val="004B592C"/>
    <w:rsid w:val="004B61EC"/>
    <w:rsid w:val="004B7184"/>
    <w:rsid w:val="004B73C7"/>
    <w:rsid w:val="004B7928"/>
    <w:rsid w:val="004B7B0C"/>
    <w:rsid w:val="004C0059"/>
    <w:rsid w:val="004C12FB"/>
    <w:rsid w:val="004C166D"/>
    <w:rsid w:val="004C1B89"/>
    <w:rsid w:val="004C2BE9"/>
    <w:rsid w:val="004C2F92"/>
    <w:rsid w:val="004C3371"/>
    <w:rsid w:val="004C352C"/>
    <w:rsid w:val="004C3C7E"/>
    <w:rsid w:val="004C3FAC"/>
    <w:rsid w:val="004C427B"/>
    <w:rsid w:val="004C47DC"/>
    <w:rsid w:val="004C4840"/>
    <w:rsid w:val="004C4CF7"/>
    <w:rsid w:val="004C59CB"/>
    <w:rsid w:val="004C6348"/>
    <w:rsid w:val="004C6878"/>
    <w:rsid w:val="004C6A78"/>
    <w:rsid w:val="004C6AE9"/>
    <w:rsid w:val="004C7A29"/>
    <w:rsid w:val="004C7C7A"/>
    <w:rsid w:val="004D0179"/>
    <w:rsid w:val="004D0EF2"/>
    <w:rsid w:val="004D0FD2"/>
    <w:rsid w:val="004D1721"/>
    <w:rsid w:val="004D3037"/>
    <w:rsid w:val="004D3210"/>
    <w:rsid w:val="004D3217"/>
    <w:rsid w:val="004D3248"/>
    <w:rsid w:val="004D362D"/>
    <w:rsid w:val="004D36F6"/>
    <w:rsid w:val="004D4C59"/>
    <w:rsid w:val="004D4CFE"/>
    <w:rsid w:val="004D4F32"/>
    <w:rsid w:val="004D5876"/>
    <w:rsid w:val="004D5EEF"/>
    <w:rsid w:val="004D637F"/>
    <w:rsid w:val="004D67B3"/>
    <w:rsid w:val="004D755F"/>
    <w:rsid w:val="004D7E3C"/>
    <w:rsid w:val="004E01A1"/>
    <w:rsid w:val="004E03FE"/>
    <w:rsid w:val="004E0A92"/>
    <w:rsid w:val="004E0C8E"/>
    <w:rsid w:val="004E1227"/>
    <w:rsid w:val="004E1BEB"/>
    <w:rsid w:val="004E224B"/>
    <w:rsid w:val="004E2804"/>
    <w:rsid w:val="004E2898"/>
    <w:rsid w:val="004E2DE0"/>
    <w:rsid w:val="004E467B"/>
    <w:rsid w:val="004E4EE5"/>
    <w:rsid w:val="004E5C39"/>
    <w:rsid w:val="004E6578"/>
    <w:rsid w:val="004E66A2"/>
    <w:rsid w:val="004E67C6"/>
    <w:rsid w:val="004E6CFE"/>
    <w:rsid w:val="004E6D19"/>
    <w:rsid w:val="004E75A9"/>
    <w:rsid w:val="004E7A63"/>
    <w:rsid w:val="004E7D78"/>
    <w:rsid w:val="004F0BA4"/>
    <w:rsid w:val="004F1A80"/>
    <w:rsid w:val="004F1A98"/>
    <w:rsid w:val="004F35DD"/>
    <w:rsid w:val="004F3FB9"/>
    <w:rsid w:val="004F40DF"/>
    <w:rsid w:val="004F4C0A"/>
    <w:rsid w:val="004F5EE7"/>
    <w:rsid w:val="004F5F21"/>
    <w:rsid w:val="004F607A"/>
    <w:rsid w:val="004F61BB"/>
    <w:rsid w:val="004F64AE"/>
    <w:rsid w:val="004F6C06"/>
    <w:rsid w:val="004F73CC"/>
    <w:rsid w:val="004F7612"/>
    <w:rsid w:val="004F7871"/>
    <w:rsid w:val="005001AF"/>
    <w:rsid w:val="005009E2"/>
    <w:rsid w:val="00500A26"/>
    <w:rsid w:val="00500B26"/>
    <w:rsid w:val="00500E29"/>
    <w:rsid w:val="005010E1"/>
    <w:rsid w:val="00501195"/>
    <w:rsid w:val="00502379"/>
    <w:rsid w:val="005023CC"/>
    <w:rsid w:val="005027CE"/>
    <w:rsid w:val="00502B6B"/>
    <w:rsid w:val="00502EBF"/>
    <w:rsid w:val="00504D2C"/>
    <w:rsid w:val="00505225"/>
    <w:rsid w:val="00505FA4"/>
    <w:rsid w:val="00506888"/>
    <w:rsid w:val="005068CD"/>
    <w:rsid w:val="00507499"/>
    <w:rsid w:val="005101EF"/>
    <w:rsid w:val="00510DD5"/>
    <w:rsid w:val="0051108B"/>
    <w:rsid w:val="00511A26"/>
    <w:rsid w:val="0051211A"/>
    <w:rsid w:val="005129EE"/>
    <w:rsid w:val="005131E8"/>
    <w:rsid w:val="00515B04"/>
    <w:rsid w:val="00515CDD"/>
    <w:rsid w:val="00516394"/>
    <w:rsid w:val="005172FF"/>
    <w:rsid w:val="00517EAD"/>
    <w:rsid w:val="00517FF6"/>
    <w:rsid w:val="00520BBD"/>
    <w:rsid w:val="005217C7"/>
    <w:rsid w:val="00521A64"/>
    <w:rsid w:val="00521F1C"/>
    <w:rsid w:val="00522F1F"/>
    <w:rsid w:val="0052418F"/>
    <w:rsid w:val="005243A6"/>
    <w:rsid w:val="00524515"/>
    <w:rsid w:val="00524BE9"/>
    <w:rsid w:val="00525023"/>
    <w:rsid w:val="0052602D"/>
    <w:rsid w:val="005263CD"/>
    <w:rsid w:val="0052699B"/>
    <w:rsid w:val="005272DA"/>
    <w:rsid w:val="0052745D"/>
    <w:rsid w:val="00527572"/>
    <w:rsid w:val="00527865"/>
    <w:rsid w:val="00527F8E"/>
    <w:rsid w:val="005304C1"/>
    <w:rsid w:val="00530680"/>
    <w:rsid w:val="00530800"/>
    <w:rsid w:val="00530C8A"/>
    <w:rsid w:val="005310D8"/>
    <w:rsid w:val="005318E1"/>
    <w:rsid w:val="00531D6D"/>
    <w:rsid w:val="00531D8A"/>
    <w:rsid w:val="005322EC"/>
    <w:rsid w:val="00533BA2"/>
    <w:rsid w:val="00533D09"/>
    <w:rsid w:val="00533E41"/>
    <w:rsid w:val="005340A2"/>
    <w:rsid w:val="005340CA"/>
    <w:rsid w:val="00534747"/>
    <w:rsid w:val="0053485C"/>
    <w:rsid w:val="00534D6D"/>
    <w:rsid w:val="0053679C"/>
    <w:rsid w:val="00537229"/>
    <w:rsid w:val="005376E7"/>
    <w:rsid w:val="00537DC6"/>
    <w:rsid w:val="00540547"/>
    <w:rsid w:val="00540946"/>
    <w:rsid w:val="00540B79"/>
    <w:rsid w:val="00540C21"/>
    <w:rsid w:val="00541163"/>
    <w:rsid w:val="0054192D"/>
    <w:rsid w:val="005419D4"/>
    <w:rsid w:val="00541A4C"/>
    <w:rsid w:val="00541F2F"/>
    <w:rsid w:val="00541FD1"/>
    <w:rsid w:val="0054243A"/>
    <w:rsid w:val="00542B18"/>
    <w:rsid w:val="00542D58"/>
    <w:rsid w:val="00543788"/>
    <w:rsid w:val="00543DDF"/>
    <w:rsid w:val="0054496B"/>
    <w:rsid w:val="00544E80"/>
    <w:rsid w:val="0054505B"/>
    <w:rsid w:val="0054569D"/>
    <w:rsid w:val="00546434"/>
    <w:rsid w:val="00546AC8"/>
    <w:rsid w:val="00546B85"/>
    <w:rsid w:val="00546FE3"/>
    <w:rsid w:val="00547036"/>
    <w:rsid w:val="005473FE"/>
    <w:rsid w:val="005474AE"/>
    <w:rsid w:val="00547AC9"/>
    <w:rsid w:val="00547DA6"/>
    <w:rsid w:val="00547ED3"/>
    <w:rsid w:val="00547FD6"/>
    <w:rsid w:val="00547FE6"/>
    <w:rsid w:val="005507D1"/>
    <w:rsid w:val="00551357"/>
    <w:rsid w:val="0055148F"/>
    <w:rsid w:val="0055161A"/>
    <w:rsid w:val="0055223F"/>
    <w:rsid w:val="005522AE"/>
    <w:rsid w:val="00552AA8"/>
    <w:rsid w:val="00552E82"/>
    <w:rsid w:val="0055392D"/>
    <w:rsid w:val="00553C61"/>
    <w:rsid w:val="00553D1A"/>
    <w:rsid w:val="00553ECC"/>
    <w:rsid w:val="005541A1"/>
    <w:rsid w:val="00554ABB"/>
    <w:rsid w:val="00554F46"/>
    <w:rsid w:val="00554F88"/>
    <w:rsid w:val="00555D43"/>
    <w:rsid w:val="00555F64"/>
    <w:rsid w:val="00556401"/>
    <w:rsid w:val="0056056A"/>
    <w:rsid w:val="00560AFC"/>
    <w:rsid w:val="00560B7C"/>
    <w:rsid w:val="00561255"/>
    <w:rsid w:val="005616C1"/>
    <w:rsid w:val="00562CEC"/>
    <w:rsid w:val="00562D1D"/>
    <w:rsid w:val="00563102"/>
    <w:rsid w:val="00563A9C"/>
    <w:rsid w:val="00563E1F"/>
    <w:rsid w:val="00563F9F"/>
    <w:rsid w:val="00564383"/>
    <w:rsid w:val="00564389"/>
    <w:rsid w:val="0056467F"/>
    <w:rsid w:val="005649A9"/>
    <w:rsid w:val="00564E8F"/>
    <w:rsid w:val="0056501F"/>
    <w:rsid w:val="0056537B"/>
    <w:rsid w:val="00565536"/>
    <w:rsid w:val="00565DF7"/>
    <w:rsid w:val="005660BA"/>
    <w:rsid w:val="00566343"/>
    <w:rsid w:val="00566678"/>
    <w:rsid w:val="00566AFE"/>
    <w:rsid w:val="0056702E"/>
    <w:rsid w:val="005672FE"/>
    <w:rsid w:val="00567772"/>
    <w:rsid w:val="00567D95"/>
    <w:rsid w:val="00567FAE"/>
    <w:rsid w:val="00571E51"/>
    <w:rsid w:val="00571F04"/>
    <w:rsid w:val="00572B4E"/>
    <w:rsid w:val="00572FD0"/>
    <w:rsid w:val="005732CA"/>
    <w:rsid w:val="00573E1E"/>
    <w:rsid w:val="00573E77"/>
    <w:rsid w:val="00574BC7"/>
    <w:rsid w:val="005754CB"/>
    <w:rsid w:val="00575DC3"/>
    <w:rsid w:val="00577025"/>
    <w:rsid w:val="005772F8"/>
    <w:rsid w:val="0058066E"/>
    <w:rsid w:val="00580676"/>
    <w:rsid w:val="00580FE1"/>
    <w:rsid w:val="00581693"/>
    <w:rsid w:val="00581806"/>
    <w:rsid w:val="005819BF"/>
    <w:rsid w:val="005828CC"/>
    <w:rsid w:val="00582B05"/>
    <w:rsid w:val="00582D0B"/>
    <w:rsid w:val="00582FBF"/>
    <w:rsid w:val="00583263"/>
    <w:rsid w:val="00583416"/>
    <w:rsid w:val="00583938"/>
    <w:rsid w:val="00583EA2"/>
    <w:rsid w:val="00584620"/>
    <w:rsid w:val="00584717"/>
    <w:rsid w:val="005847B0"/>
    <w:rsid w:val="005849D1"/>
    <w:rsid w:val="00584ABA"/>
    <w:rsid w:val="005851AC"/>
    <w:rsid w:val="00585504"/>
    <w:rsid w:val="00585EFC"/>
    <w:rsid w:val="0058601D"/>
    <w:rsid w:val="00586232"/>
    <w:rsid w:val="005863B7"/>
    <w:rsid w:val="00586936"/>
    <w:rsid w:val="00586C67"/>
    <w:rsid w:val="0058703E"/>
    <w:rsid w:val="00587169"/>
    <w:rsid w:val="005871EE"/>
    <w:rsid w:val="005877D7"/>
    <w:rsid w:val="00590B28"/>
    <w:rsid w:val="00593705"/>
    <w:rsid w:val="00593A1A"/>
    <w:rsid w:val="00593A49"/>
    <w:rsid w:val="00593CD4"/>
    <w:rsid w:val="00594459"/>
    <w:rsid w:val="005944E8"/>
    <w:rsid w:val="005944EE"/>
    <w:rsid w:val="0059471B"/>
    <w:rsid w:val="00594883"/>
    <w:rsid w:val="00595320"/>
    <w:rsid w:val="00595D4B"/>
    <w:rsid w:val="00595ECE"/>
    <w:rsid w:val="0059630A"/>
    <w:rsid w:val="005966BA"/>
    <w:rsid w:val="005968EC"/>
    <w:rsid w:val="00596B85"/>
    <w:rsid w:val="00596E8C"/>
    <w:rsid w:val="00596F20"/>
    <w:rsid w:val="00597160"/>
    <w:rsid w:val="005979FA"/>
    <w:rsid w:val="00597AE7"/>
    <w:rsid w:val="00597B5B"/>
    <w:rsid w:val="00597D05"/>
    <w:rsid w:val="00597D4B"/>
    <w:rsid w:val="00597F52"/>
    <w:rsid w:val="005A0004"/>
    <w:rsid w:val="005A0186"/>
    <w:rsid w:val="005A1291"/>
    <w:rsid w:val="005A1D26"/>
    <w:rsid w:val="005A1EC4"/>
    <w:rsid w:val="005A2304"/>
    <w:rsid w:val="005A24E5"/>
    <w:rsid w:val="005A2919"/>
    <w:rsid w:val="005A2CFB"/>
    <w:rsid w:val="005A2F39"/>
    <w:rsid w:val="005A335A"/>
    <w:rsid w:val="005A394C"/>
    <w:rsid w:val="005A39A4"/>
    <w:rsid w:val="005A3BD8"/>
    <w:rsid w:val="005A3E1C"/>
    <w:rsid w:val="005A4495"/>
    <w:rsid w:val="005A46CA"/>
    <w:rsid w:val="005A51CB"/>
    <w:rsid w:val="005A5292"/>
    <w:rsid w:val="005A5416"/>
    <w:rsid w:val="005A63AC"/>
    <w:rsid w:val="005A6432"/>
    <w:rsid w:val="005A6765"/>
    <w:rsid w:val="005A78A1"/>
    <w:rsid w:val="005A78C4"/>
    <w:rsid w:val="005B08DC"/>
    <w:rsid w:val="005B0E4F"/>
    <w:rsid w:val="005B121B"/>
    <w:rsid w:val="005B2850"/>
    <w:rsid w:val="005B28C3"/>
    <w:rsid w:val="005B2949"/>
    <w:rsid w:val="005B35B4"/>
    <w:rsid w:val="005B36A9"/>
    <w:rsid w:val="005B37CC"/>
    <w:rsid w:val="005B3B51"/>
    <w:rsid w:val="005B3E66"/>
    <w:rsid w:val="005B40C2"/>
    <w:rsid w:val="005B40E3"/>
    <w:rsid w:val="005B4539"/>
    <w:rsid w:val="005B4EDC"/>
    <w:rsid w:val="005B5104"/>
    <w:rsid w:val="005B56B6"/>
    <w:rsid w:val="005B5FBF"/>
    <w:rsid w:val="005B657B"/>
    <w:rsid w:val="005B661A"/>
    <w:rsid w:val="005C1207"/>
    <w:rsid w:val="005C1416"/>
    <w:rsid w:val="005C14BB"/>
    <w:rsid w:val="005C18E6"/>
    <w:rsid w:val="005C1AE0"/>
    <w:rsid w:val="005C20F6"/>
    <w:rsid w:val="005C2424"/>
    <w:rsid w:val="005C29C4"/>
    <w:rsid w:val="005C2B36"/>
    <w:rsid w:val="005C2D8F"/>
    <w:rsid w:val="005C5575"/>
    <w:rsid w:val="005C59A4"/>
    <w:rsid w:val="005C5DD2"/>
    <w:rsid w:val="005C5E64"/>
    <w:rsid w:val="005C5F9B"/>
    <w:rsid w:val="005C65DD"/>
    <w:rsid w:val="005C6A0B"/>
    <w:rsid w:val="005C6FBE"/>
    <w:rsid w:val="005C77AE"/>
    <w:rsid w:val="005C7F37"/>
    <w:rsid w:val="005D03A3"/>
    <w:rsid w:val="005D061B"/>
    <w:rsid w:val="005D0697"/>
    <w:rsid w:val="005D0B63"/>
    <w:rsid w:val="005D1513"/>
    <w:rsid w:val="005D15DA"/>
    <w:rsid w:val="005D1A91"/>
    <w:rsid w:val="005D1AA4"/>
    <w:rsid w:val="005D1AE8"/>
    <w:rsid w:val="005D1C9E"/>
    <w:rsid w:val="005D1CED"/>
    <w:rsid w:val="005D2352"/>
    <w:rsid w:val="005D24D5"/>
    <w:rsid w:val="005D3B92"/>
    <w:rsid w:val="005D47A8"/>
    <w:rsid w:val="005D512D"/>
    <w:rsid w:val="005D579D"/>
    <w:rsid w:val="005D5C81"/>
    <w:rsid w:val="005D5E44"/>
    <w:rsid w:val="005D6408"/>
    <w:rsid w:val="005D67A2"/>
    <w:rsid w:val="005D7172"/>
    <w:rsid w:val="005D7959"/>
    <w:rsid w:val="005D7A32"/>
    <w:rsid w:val="005E0271"/>
    <w:rsid w:val="005E0B69"/>
    <w:rsid w:val="005E1214"/>
    <w:rsid w:val="005E19AD"/>
    <w:rsid w:val="005E1CF9"/>
    <w:rsid w:val="005E1F47"/>
    <w:rsid w:val="005E2397"/>
    <w:rsid w:val="005E2CC6"/>
    <w:rsid w:val="005E336B"/>
    <w:rsid w:val="005E3538"/>
    <w:rsid w:val="005E3906"/>
    <w:rsid w:val="005E3B01"/>
    <w:rsid w:val="005E3D61"/>
    <w:rsid w:val="005E4745"/>
    <w:rsid w:val="005E48BC"/>
    <w:rsid w:val="005E4E92"/>
    <w:rsid w:val="005E6BA6"/>
    <w:rsid w:val="005E6E4B"/>
    <w:rsid w:val="005E7604"/>
    <w:rsid w:val="005E7AFC"/>
    <w:rsid w:val="005F0341"/>
    <w:rsid w:val="005F060A"/>
    <w:rsid w:val="005F0E51"/>
    <w:rsid w:val="005F1614"/>
    <w:rsid w:val="005F1729"/>
    <w:rsid w:val="005F1C47"/>
    <w:rsid w:val="005F1D3C"/>
    <w:rsid w:val="005F27F0"/>
    <w:rsid w:val="005F2907"/>
    <w:rsid w:val="005F3B2B"/>
    <w:rsid w:val="005F4897"/>
    <w:rsid w:val="005F4BE4"/>
    <w:rsid w:val="005F5253"/>
    <w:rsid w:val="005F582F"/>
    <w:rsid w:val="005F5BB4"/>
    <w:rsid w:val="005F662D"/>
    <w:rsid w:val="005F6C32"/>
    <w:rsid w:val="005F6ED4"/>
    <w:rsid w:val="005F7231"/>
    <w:rsid w:val="005F75D0"/>
    <w:rsid w:val="005F7C9A"/>
    <w:rsid w:val="005F7FA8"/>
    <w:rsid w:val="00600A45"/>
    <w:rsid w:val="00600A8F"/>
    <w:rsid w:val="00600E96"/>
    <w:rsid w:val="00600F2D"/>
    <w:rsid w:val="00601228"/>
    <w:rsid w:val="00601CB2"/>
    <w:rsid w:val="00601DB3"/>
    <w:rsid w:val="00601E13"/>
    <w:rsid w:val="00601E67"/>
    <w:rsid w:val="00602549"/>
    <w:rsid w:val="00602DD9"/>
    <w:rsid w:val="006037F8"/>
    <w:rsid w:val="006038CB"/>
    <w:rsid w:val="00604092"/>
    <w:rsid w:val="0060481E"/>
    <w:rsid w:val="00604F7A"/>
    <w:rsid w:val="00605749"/>
    <w:rsid w:val="006060A9"/>
    <w:rsid w:val="006060CA"/>
    <w:rsid w:val="006063BF"/>
    <w:rsid w:val="00606BFD"/>
    <w:rsid w:val="00606FD0"/>
    <w:rsid w:val="0060700C"/>
    <w:rsid w:val="00607642"/>
    <w:rsid w:val="006079A2"/>
    <w:rsid w:val="00607E42"/>
    <w:rsid w:val="00607E48"/>
    <w:rsid w:val="00610057"/>
    <w:rsid w:val="006105B6"/>
    <w:rsid w:val="006108A1"/>
    <w:rsid w:val="00610B93"/>
    <w:rsid w:val="00610C19"/>
    <w:rsid w:val="00611596"/>
    <w:rsid w:val="00611B11"/>
    <w:rsid w:val="00611B6A"/>
    <w:rsid w:val="00611D7A"/>
    <w:rsid w:val="006125AA"/>
    <w:rsid w:val="00612932"/>
    <w:rsid w:val="006130DB"/>
    <w:rsid w:val="0061392A"/>
    <w:rsid w:val="00613F01"/>
    <w:rsid w:val="00614232"/>
    <w:rsid w:val="00614665"/>
    <w:rsid w:val="0061654E"/>
    <w:rsid w:val="00617581"/>
    <w:rsid w:val="00620149"/>
    <w:rsid w:val="0062072C"/>
    <w:rsid w:val="0062122B"/>
    <w:rsid w:val="00621545"/>
    <w:rsid w:val="00621767"/>
    <w:rsid w:val="00622474"/>
    <w:rsid w:val="00622FD3"/>
    <w:rsid w:val="00623A1B"/>
    <w:rsid w:val="00623C15"/>
    <w:rsid w:val="00623F96"/>
    <w:rsid w:val="00625159"/>
    <w:rsid w:val="00625894"/>
    <w:rsid w:val="006262BB"/>
    <w:rsid w:val="006265CA"/>
    <w:rsid w:val="00626714"/>
    <w:rsid w:val="00626815"/>
    <w:rsid w:val="00626E3D"/>
    <w:rsid w:val="006271F4"/>
    <w:rsid w:val="00627C66"/>
    <w:rsid w:val="00630500"/>
    <w:rsid w:val="006309D3"/>
    <w:rsid w:val="006313BA"/>
    <w:rsid w:val="0063190B"/>
    <w:rsid w:val="00631B1E"/>
    <w:rsid w:val="00631FA2"/>
    <w:rsid w:val="0063250C"/>
    <w:rsid w:val="0063287B"/>
    <w:rsid w:val="00632BD2"/>
    <w:rsid w:val="00632EDD"/>
    <w:rsid w:val="006334E3"/>
    <w:rsid w:val="0063362B"/>
    <w:rsid w:val="00633D82"/>
    <w:rsid w:val="00634148"/>
    <w:rsid w:val="0063498E"/>
    <w:rsid w:val="00634C19"/>
    <w:rsid w:val="00634E9E"/>
    <w:rsid w:val="00635661"/>
    <w:rsid w:val="006364F1"/>
    <w:rsid w:val="00636535"/>
    <w:rsid w:val="00637788"/>
    <w:rsid w:val="00640052"/>
    <w:rsid w:val="00640068"/>
    <w:rsid w:val="006405B2"/>
    <w:rsid w:val="00640994"/>
    <w:rsid w:val="006410F7"/>
    <w:rsid w:val="00641624"/>
    <w:rsid w:val="00641B3A"/>
    <w:rsid w:val="006427F1"/>
    <w:rsid w:val="00642920"/>
    <w:rsid w:val="00642A8C"/>
    <w:rsid w:val="00644030"/>
    <w:rsid w:val="006440EE"/>
    <w:rsid w:val="006455B4"/>
    <w:rsid w:val="00645758"/>
    <w:rsid w:val="00645874"/>
    <w:rsid w:val="00645DDE"/>
    <w:rsid w:val="00646308"/>
    <w:rsid w:val="00646710"/>
    <w:rsid w:val="00646F57"/>
    <w:rsid w:val="00647B4C"/>
    <w:rsid w:val="00647BA9"/>
    <w:rsid w:val="00647DC0"/>
    <w:rsid w:val="00650063"/>
    <w:rsid w:val="006500DE"/>
    <w:rsid w:val="006501DF"/>
    <w:rsid w:val="00650490"/>
    <w:rsid w:val="00650762"/>
    <w:rsid w:val="00650C16"/>
    <w:rsid w:val="006513B5"/>
    <w:rsid w:val="00651463"/>
    <w:rsid w:val="0065146D"/>
    <w:rsid w:val="00651595"/>
    <w:rsid w:val="00652C88"/>
    <w:rsid w:val="00652EB6"/>
    <w:rsid w:val="00652FBA"/>
    <w:rsid w:val="00653173"/>
    <w:rsid w:val="00653C4A"/>
    <w:rsid w:val="00653DDC"/>
    <w:rsid w:val="00654342"/>
    <w:rsid w:val="00654878"/>
    <w:rsid w:val="00654D85"/>
    <w:rsid w:val="00656D8A"/>
    <w:rsid w:val="00657D80"/>
    <w:rsid w:val="006603C3"/>
    <w:rsid w:val="0066046F"/>
    <w:rsid w:val="0066117E"/>
    <w:rsid w:val="006613F6"/>
    <w:rsid w:val="006620BB"/>
    <w:rsid w:val="00662470"/>
    <w:rsid w:val="006628A9"/>
    <w:rsid w:val="00663289"/>
    <w:rsid w:val="0066354B"/>
    <w:rsid w:val="00663D54"/>
    <w:rsid w:val="00664FC7"/>
    <w:rsid w:val="006652AB"/>
    <w:rsid w:val="00665BA8"/>
    <w:rsid w:val="00666630"/>
    <w:rsid w:val="00666806"/>
    <w:rsid w:val="00666F7A"/>
    <w:rsid w:val="00667360"/>
    <w:rsid w:val="006678BA"/>
    <w:rsid w:val="00667C02"/>
    <w:rsid w:val="00667EE2"/>
    <w:rsid w:val="00667F0A"/>
    <w:rsid w:val="00670113"/>
    <w:rsid w:val="00670124"/>
    <w:rsid w:val="006702F4"/>
    <w:rsid w:val="006718CE"/>
    <w:rsid w:val="00671972"/>
    <w:rsid w:val="00672204"/>
    <w:rsid w:val="0067314B"/>
    <w:rsid w:val="006740E1"/>
    <w:rsid w:val="006743E0"/>
    <w:rsid w:val="00674689"/>
    <w:rsid w:val="00674C12"/>
    <w:rsid w:val="00675237"/>
    <w:rsid w:val="006754C6"/>
    <w:rsid w:val="00675664"/>
    <w:rsid w:val="006757CE"/>
    <w:rsid w:val="00676A92"/>
    <w:rsid w:val="00676FC1"/>
    <w:rsid w:val="0067702D"/>
    <w:rsid w:val="0067710C"/>
    <w:rsid w:val="00677F71"/>
    <w:rsid w:val="00680569"/>
    <w:rsid w:val="00680A83"/>
    <w:rsid w:val="00680A8F"/>
    <w:rsid w:val="00680AAE"/>
    <w:rsid w:val="00680F9E"/>
    <w:rsid w:val="00680FAC"/>
    <w:rsid w:val="0068189B"/>
    <w:rsid w:val="00681C73"/>
    <w:rsid w:val="0068203E"/>
    <w:rsid w:val="0068217A"/>
    <w:rsid w:val="0068246A"/>
    <w:rsid w:val="00683113"/>
    <w:rsid w:val="00684B8C"/>
    <w:rsid w:val="00685F21"/>
    <w:rsid w:val="006864DE"/>
    <w:rsid w:val="00687121"/>
    <w:rsid w:val="0068746B"/>
    <w:rsid w:val="00687E53"/>
    <w:rsid w:val="00690A97"/>
    <w:rsid w:val="00691B5E"/>
    <w:rsid w:val="00691DED"/>
    <w:rsid w:val="00691FC7"/>
    <w:rsid w:val="00692386"/>
    <w:rsid w:val="00692FA7"/>
    <w:rsid w:val="00693483"/>
    <w:rsid w:val="006934B8"/>
    <w:rsid w:val="006936D4"/>
    <w:rsid w:val="00693CCD"/>
    <w:rsid w:val="00694245"/>
    <w:rsid w:val="00694B73"/>
    <w:rsid w:val="0069514E"/>
    <w:rsid w:val="00695F1C"/>
    <w:rsid w:val="00695F8E"/>
    <w:rsid w:val="00696659"/>
    <w:rsid w:val="006966EC"/>
    <w:rsid w:val="00696DEC"/>
    <w:rsid w:val="006970E6"/>
    <w:rsid w:val="00697AB5"/>
    <w:rsid w:val="00697AC4"/>
    <w:rsid w:val="006A0671"/>
    <w:rsid w:val="006A1366"/>
    <w:rsid w:val="006A1808"/>
    <w:rsid w:val="006A187B"/>
    <w:rsid w:val="006A188E"/>
    <w:rsid w:val="006A1939"/>
    <w:rsid w:val="006A198B"/>
    <w:rsid w:val="006A1DD0"/>
    <w:rsid w:val="006A2F17"/>
    <w:rsid w:val="006A33D4"/>
    <w:rsid w:val="006A33FD"/>
    <w:rsid w:val="006A36DE"/>
    <w:rsid w:val="006A3FD6"/>
    <w:rsid w:val="006A4B5B"/>
    <w:rsid w:val="006A4FD8"/>
    <w:rsid w:val="006A527E"/>
    <w:rsid w:val="006A599C"/>
    <w:rsid w:val="006A5A24"/>
    <w:rsid w:val="006A5B07"/>
    <w:rsid w:val="006A5C32"/>
    <w:rsid w:val="006A5DBD"/>
    <w:rsid w:val="006A5DC0"/>
    <w:rsid w:val="006A62B1"/>
    <w:rsid w:val="006A69CF"/>
    <w:rsid w:val="006A6BE6"/>
    <w:rsid w:val="006A6F63"/>
    <w:rsid w:val="006A72D8"/>
    <w:rsid w:val="006A766B"/>
    <w:rsid w:val="006B032A"/>
    <w:rsid w:val="006B0AE0"/>
    <w:rsid w:val="006B0DF4"/>
    <w:rsid w:val="006B1387"/>
    <w:rsid w:val="006B194F"/>
    <w:rsid w:val="006B198E"/>
    <w:rsid w:val="006B1A5A"/>
    <w:rsid w:val="006B1A95"/>
    <w:rsid w:val="006B2315"/>
    <w:rsid w:val="006B269D"/>
    <w:rsid w:val="006B2CFF"/>
    <w:rsid w:val="006B2D05"/>
    <w:rsid w:val="006B2E58"/>
    <w:rsid w:val="006B3112"/>
    <w:rsid w:val="006B31ED"/>
    <w:rsid w:val="006B3261"/>
    <w:rsid w:val="006B3600"/>
    <w:rsid w:val="006B3B0B"/>
    <w:rsid w:val="006B3D9C"/>
    <w:rsid w:val="006B401C"/>
    <w:rsid w:val="006B45E9"/>
    <w:rsid w:val="006B48CB"/>
    <w:rsid w:val="006B4924"/>
    <w:rsid w:val="006B4AD5"/>
    <w:rsid w:val="006B4AEB"/>
    <w:rsid w:val="006B4C8E"/>
    <w:rsid w:val="006B5AD1"/>
    <w:rsid w:val="006B682C"/>
    <w:rsid w:val="006B6C75"/>
    <w:rsid w:val="006B70EB"/>
    <w:rsid w:val="006B7133"/>
    <w:rsid w:val="006B738C"/>
    <w:rsid w:val="006C00CE"/>
    <w:rsid w:val="006C0614"/>
    <w:rsid w:val="006C079B"/>
    <w:rsid w:val="006C080F"/>
    <w:rsid w:val="006C0B2E"/>
    <w:rsid w:val="006C1730"/>
    <w:rsid w:val="006C1812"/>
    <w:rsid w:val="006C222D"/>
    <w:rsid w:val="006C25D1"/>
    <w:rsid w:val="006C270A"/>
    <w:rsid w:val="006C2A7A"/>
    <w:rsid w:val="006C2BA3"/>
    <w:rsid w:val="006C3528"/>
    <w:rsid w:val="006C3826"/>
    <w:rsid w:val="006C5231"/>
    <w:rsid w:val="006C5400"/>
    <w:rsid w:val="006C69E1"/>
    <w:rsid w:val="006C7061"/>
    <w:rsid w:val="006C737B"/>
    <w:rsid w:val="006C76EE"/>
    <w:rsid w:val="006C79A1"/>
    <w:rsid w:val="006D0888"/>
    <w:rsid w:val="006D0B78"/>
    <w:rsid w:val="006D0D75"/>
    <w:rsid w:val="006D0E11"/>
    <w:rsid w:val="006D1930"/>
    <w:rsid w:val="006D19B6"/>
    <w:rsid w:val="006D1F09"/>
    <w:rsid w:val="006D2261"/>
    <w:rsid w:val="006D2270"/>
    <w:rsid w:val="006D23F0"/>
    <w:rsid w:val="006D2E3E"/>
    <w:rsid w:val="006D4107"/>
    <w:rsid w:val="006D68C1"/>
    <w:rsid w:val="006D7986"/>
    <w:rsid w:val="006D7AC6"/>
    <w:rsid w:val="006D7FF5"/>
    <w:rsid w:val="006E0E47"/>
    <w:rsid w:val="006E1054"/>
    <w:rsid w:val="006E1460"/>
    <w:rsid w:val="006E158F"/>
    <w:rsid w:val="006E31E2"/>
    <w:rsid w:val="006E4BC0"/>
    <w:rsid w:val="006E4C72"/>
    <w:rsid w:val="006E4F98"/>
    <w:rsid w:val="006E5C42"/>
    <w:rsid w:val="006E6354"/>
    <w:rsid w:val="006E64AE"/>
    <w:rsid w:val="006E64D1"/>
    <w:rsid w:val="006E67C2"/>
    <w:rsid w:val="006E6AA2"/>
    <w:rsid w:val="006E6D9F"/>
    <w:rsid w:val="006E72DA"/>
    <w:rsid w:val="006E7432"/>
    <w:rsid w:val="006E7629"/>
    <w:rsid w:val="006E767E"/>
    <w:rsid w:val="006E7C7F"/>
    <w:rsid w:val="006F11E3"/>
    <w:rsid w:val="006F1279"/>
    <w:rsid w:val="006F1A31"/>
    <w:rsid w:val="006F2D48"/>
    <w:rsid w:val="006F3102"/>
    <w:rsid w:val="006F310E"/>
    <w:rsid w:val="006F3228"/>
    <w:rsid w:val="006F36E2"/>
    <w:rsid w:val="006F3B9E"/>
    <w:rsid w:val="006F3BA5"/>
    <w:rsid w:val="006F4711"/>
    <w:rsid w:val="006F4E58"/>
    <w:rsid w:val="006F5655"/>
    <w:rsid w:val="006F5713"/>
    <w:rsid w:val="006F61DF"/>
    <w:rsid w:val="006F6B67"/>
    <w:rsid w:val="006F71E6"/>
    <w:rsid w:val="006F7445"/>
    <w:rsid w:val="006F7EA9"/>
    <w:rsid w:val="00700072"/>
    <w:rsid w:val="00701C06"/>
    <w:rsid w:val="00701F2F"/>
    <w:rsid w:val="007021CF"/>
    <w:rsid w:val="007024DC"/>
    <w:rsid w:val="00702B71"/>
    <w:rsid w:val="00702E67"/>
    <w:rsid w:val="00703084"/>
    <w:rsid w:val="0070347F"/>
    <w:rsid w:val="007035CE"/>
    <w:rsid w:val="007037D0"/>
    <w:rsid w:val="00703F27"/>
    <w:rsid w:val="00704117"/>
    <w:rsid w:val="00705561"/>
    <w:rsid w:val="007055A2"/>
    <w:rsid w:val="00705E76"/>
    <w:rsid w:val="007061CB"/>
    <w:rsid w:val="0070644B"/>
    <w:rsid w:val="00706457"/>
    <w:rsid w:val="00706554"/>
    <w:rsid w:val="00706614"/>
    <w:rsid w:val="00706B8E"/>
    <w:rsid w:val="00706C66"/>
    <w:rsid w:val="00706D20"/>
    <w:rsid w:val="00706F88"/>
    <w:rsid w:val="007072F5"/>
    <w:rsid w:val="00710521"/>
    <w:rsid w:val="00710B0E"/>
    <w:rsid w:val="00710B6E"/>
    <w:rsid w:val="00710E33"/>
    <w:rsid w:val="00711005"/>
    <w:rsid w:val="007114DB"/>
    <w:rsid w:val="007122C9"/>
    <w:rsid w:val="007122EB"/>
    <w:rsid w:val="00712C3C"/>
    <w:rsid w:val="00712CBE"/>
    <w:rsid w:val="00713BE6"/>
    <w:rsid w:val="00713EA2"/>
    <w:rsid w:val="007141F6"/>
    <w:rsid w:val="00714644"/>
    <w:rsid w:val="00714794"/>
    <w:rsid w:val="007159E8"/>
    <w:rsid w:val="00715CD5"/>
    <w:rsid w:val="00716240"/>
    <w:rsid w:val="007163B4"/>
    <w:rsid w:val="0071675A"/>
    <w:rsid w:val="00716AB7"/>
    <w:rsid w:val="00717AF5"/>
    <w:rsid w:val="00720013"/>
    <w:rsid w:val="0072053C"/>
    <w:rsid w:val="00720961"/>
    <w:rsid w:val="007212CC"/>
    <w:rsid w:val="0072135A"/>
    <w:rsid w:val="00721F96"/>
    <w:rsid w:val="00722461"/>
    <w:rsid w:val="007224A1"/>
    <w:rsid w:val="00722B23"/>
    <w:rsid w:val="00722C0C"/>
    <w:rsid w:val="00723486"/>
    <w:rsid w:val="00723528"/>
    <w:rsid w:val="00723566"/>
    <w:rsid w:val="00724372"/>
    <w:rsid w:val="007271B8"/>
    <w:rsid w:val="007272EB"/>
    <w:rsid w:val="00727B74"/>
    <w:rsid w:val="00727E9F"/>
    <w:rsid w:val="007303F0"/>
    <w:rsid w:val="00731667"/>
    <w:rsid w:val="007316BE"/>
    <w:rsid w:val="0073174E"/>
    <w:rsid w:val="00731CAB"/>
    <w:rsid w:val="007321BC"/>
    <w:rsid w:val="0073325F"/>
    <w:rsid w:val="00733949"/>
    <w:rsid w:val="007340E5"/>
    <w:rsid w:val="00734639"/>
    <w:rsid w:val="00734CC7"/>
    <w:rsid w:val="007354B0"/>
    <w:rsid w:val="007357E1"/>
    <w:rsid w:val="007359AE"/>
    <w:rsid w:val="007359E9"/>
    <w:rsid w:val="00736605"/>
    <w:rsid w:val="007369D7"/>
    <w:rsid w:val="00737738"/>
    <w:rsid w:val="00737780"/>
    <w:rsid w:val="00737A68"/>
    <w:rsid w:val="00740D57"/>
    <w:rsid w:val="00740DDE"/>
    <w:rsid w:val="007413E8"/>
    <w:rsid w:val="007427F5"/>
    <w:rsid w:val="007428AC"/>
    <w:rsid w:val="0074296A"/>
    <w:rsid w:val="00742FFB"/>
    <w:rsid w:val="00743A4C"/>
    <w:rsid w:val="00744211"/>
    <w:rsid w:val="00744607"/>
    <w:rsid w:val="00744D8C"/>
    <w:rsid w:val="00745443"/>
    <w:rsid w:val="007459EE"/>
    <w:rsid w:val="00745A84"/>
    <w:rsid w:val="00746744"/>
    <w:rsid w:val="00746CBC"/>
    <w:rsid w:val="00746DAF"/>
    <w:rsid w:val="0074764D"/>
    <w:rsid w:val="00747791"/>
    <w:rsid w:val="00750118"/>
    <w:rsid w:val="007504E1"/>
    <w:rsid w:val="007507C4"/>
    <w:rsid w:val="00750E01"/>
    <w:rsid w:val="00751571"/>
    <w:rsid w:val="00751B1C"/>
    <w:rsid w:val="007532F9"/>
    <w:rsid w:val="00753534"/>
    <w:rsid w:val="00753639"/>
    <w:rsid w:val="007548F1"/>
    <w:rsid w:val="0075503C"/>
    <w:rsid w:val="007557B6"/>
    <w:rsid w:val="00755A87"/>
    <w:rsid w:val="00755C21"/>
    <w:rsid w:val="00756A2A"/>
    <w:rsid w:val="00756D1B"/>
    <w:rsid w:val="00756F3A"/>
    <w:rsid w:val="00757270"/>
    <w:rsid w:val="007575F7"/>
    <w:rsid w:val="007579D2"/>
    <w:rsid w:val="00760437"/>
    <w:rsid w:val="00760ADF"/>
    <w:rsid w:val="00760F4E"/>
    <w:rsid w:val="007619D5"/>
    <w:rsid w:val="00761AC8"/>
    <w:rsid w:val="00762AD5"/>
    <w:rsid w:val="00762B59"/>
    <w:rsid w:val="00764172"/>
    <w:rsid w:val="0076471D"/>
    <w:rsid w:val="00764784"/>
    <w:rsid w:val="00764A26"/>
    <w:rsid w:val="00766028"/>
    <w:rsid w:val="00766424"/>
    <w:rsid w:val="007673E1"/>
    <w:rsid w:val="007703FC"/>
    <w:rsid w:val="00770641"/>
    <w:rsid w:val="00770726"/>
    <w:rsid w:val="00770DC0"/>
    <w:rsid w:val="0077188A"/>
    <w:rsid w:val="007727A7"/>
    <w:rsid w:val="00773034"/>
    <w:rsid w:val="00773048"/>
    <w:rsid w:val="00774F33"/>
    <w:rsid w:val="007750F0"/>
    <w:rsid w:val="007752FA"/>
    <w:rsid w:val="007757AC"/>
    <w:rsid w:val="00775BD2"/>
    <w:rsid w:val="00775E38"/>
    <w:rsid w:val="007760F9"/>
    <w:rsid w:val="007768B8"/>
    <w:rsid w:val="007774F6"/>
    <w:rsid w:val="00777583"/>
    <w:rsid w:val="0077797E"/>
    <w:rsid w:val="00777C86"/>
    <w:rsid w:val="00777F0D"/>
    <w:rsid w:val="0078004B"/>
    <w:rsid w:val="0078064D"/>
    <w:rsid w:val="00780C0A"/>
    <w:rsid w:val="00781BDA"/>
    <w:rsid w:val="0078247C"/>
    <w:rsid w:val="00782489"/>
    <w:rsid w:val="00782855"/>
    <w:rsid w:val="0078290B"/>
    <w:rsid w:val="007837ED"/>
    <w:rsid w:val="00784079"/>
    <w:rsid w:val="007840ED"/>
    <w:rsid w:val="0078434A"/>
    <w:rsid w:val="007843D3"/>
    <w:rsid w:val="00784EEF"/>
    <w:rsid w:val="00785A23"/>
    <w:rsid w:val="0078657C"/>
    <w:rsid w:val="007865B2"/>
    <w:rsid w:val="0078691F"/>
    <w:rsid w:val="00786B2C"/>
    <w:rsid w:val="0078702B"/>
    <w:rsid w:val="0078716A"/>
    <w:rsid w:val="007872A6"/>
    <w:rsid w:val="00787367"/>
    <w:rsid w:val="00787487"/>
    <w:rsid w:val="00787957"/>
    <w:rsid w:val="00787F56"/>
    <w:rsid w:val="00790052"/>
    <w:rsid w:val="007907C2"/>
    <w:rsid w:val="00790A05"/>
    <w:rsid w:val="00790A8C"/>
    <w:rsid w:val="00790C10"/>
    <w:rsid w:val="00791498"/>
    <w:rsid w:val="00791A27"/>
    <w:rsid w:val="00792316"/>
    <w:rsid w:val="00792C92"/>
    <w:rsid w:val="00793BB1"/>
    <w:rsid w:val="00793F2B"/>
    <w:rsid w:val="00794A98"/>
    <w:rsid w:val="00795175"/>
    <w:rsid w:val="007953EE"/>
    <w:rsid w:val="00795C2F"/>
    <w:rsid w:val="0079626B"/>
    <w:rsid w:val="00796586"/>
    <w:rsid w:val="007978FF"/>
    <w:rsid w:val="00797FC1"/>
    <w:rsid w:val="00797FCF"/>
    <w:rsid w:val="007A1F89"/>
    <w:rsid w:val="007A22D1"/>
    <w:rsid w:val="007A251B"/>
    <w:rsid w:val="007A2ABE"/>
    <w:rsid w:val="007A2BC3"/>
    <w:rsid w:val="007A2C9E"/>
    <w:rsid w:val="007A2D0D"/>
    <w:rsid w:val="007A322F"/>
    <w:rsid w:val="007A39DC"/>
    <w:rsid w:val="007A3BEB"/>
    <w:rsid w:val="007A4437"/>
    <w:rsid w:val="007A4641"/>
    <w:rsid w:val="007A4CD2"/>
    <w:rsid w:val="007A4FF2"/>
    <w:rsid w:val="007A549F"/>
    <w:rsid w:val="007A57EE"/>
    <w:rsid w:val="007A5B21"/>
    <w:rsid w:val="007A5EBB"/>
    <w:rsid w:val="007A603B"/>
    <w:rsid w:val="007A6CE5"/>
    <w:rsid w:val="007A6FDB"/>
    <w:rsid w:val="007A70EF"/>
    <w:rsid w:val="007A714D"/>
    <w:rsid w:val="007A77A8"/>
    <w:rsid w:val="007B055B"/>
    <w:rsid w:val="007B1127"/>
    <w:rsid w:val="007B139F"/>
    <w:rsid w:val="007B14EE"/>
    <w:rsid w:val="007B23FB"/>
    <w:rsid w:val="007B32DB"/>
    <w:rsid w:val="007B373D"/>
    <w:rsid w:val="007B4073"/>
    <w:rsid w:val="007B4284"/>
    <w:rsid w:val="007B46D4"/>
    <w:rsid w:val="007B52A2"/>
    <w:rsid w:val="007B548B"/>
    <w:rsid w:val="007B5D34"/>
    <w:rsid w:val="007B629A"/>
    <w:rsid w:val="007B6A69"/>
    <w:rsid w:val="007B711D"/>
    <w:rsid w:val="007B7471"/>
    <w:rsid w:val="007B7897"/>
    <w:rsid w:val="007B78D4"/>
    <w:rsid w:val="007B7903"/>
    <w:rsid w:val="007B7D60"/>
    <w:rsid w:val="007C03EB"/>
    <w:rsid w:val="007C0A4E"/>
    <w:rsid w:val="007C1025"/>
    <w:rsid w:val="007C1536"/>
    <w:rsid w:val="007C193F"/>
    <w:rsid w:val="007C1A74"/>
    <w:rsid w:val="007C1CE6"/>
    <w:rsid w:val="007C2332"/>
    <w:rsid w:val="007C268C"/>
    <w:rsid w:val="007C2E96"/>
    <w:rsid w:val="007C31BC"/>
    <w:rsid w:val="007C3719"/>
    <w:rsid w:val="007C374A"/>
    <w:rsid w:val="007C3884"/>
    <w:rsid w:val="007C3C29"/>
    <w:rsid w:val="007C5972"/>
    <w:rsid w:val="007C5CFB"/>
    <w:rsid w:val="007C6197"/>
    <w:rsid w:val="007C6985"/>
    <w:rsid w:val="007C77E1"/>
    <w:rsid w:val="007C7BD0"/>
    <w:rsid w:val="007C7C36"/>
    <w:rsid w:val="007C7DCB"/>
    <w:rsid w:val="007D0482"/>
    <w:rsid w:val="007D0679"/>
    <w:rsid w:val="007D0E7B"/>
    <w:rsid w:val="007D1BF2"/>
    <w:rsid w:val="007D1C02"/>
    <w:rsid w:val="007D1D31"/>
    <w:rsid w:val="007D2AD3"/>
    <w:rsid w:val="007D3845"/>
    <w:rsid w:val="007D3AD2"/>
    <w:rsid w:val="007D437A"/>
    <w:rsid w:val="007D43D1"/>
    <w:rsid w:val="007D5311"/>
    <w:rsid w:val="007D5948"/>
    <w:rsid w:val="007D5A0C"/>
    <w:rsid w:val="007D5A1E"/>
    <w:rsid w:val="007D5ADD"/>
    <w:rsid w:val="007D67BA"/>
    <w:rsid w:val="007D71E3"/>
    <w:rsid w:val="007D7343"/>
    <w:rsid w:val="007E067E"/>
    <w:rsid w:val="007E12DD"/>
    <w:rsid w:val="007E1EE6"/>
    <w:rsid w:val="007E1FFB"/>
    <w:rsid w:val="007E2285"/>
    <w:rsid w:val="007E2518"/>
    <w:rsid w:val="007E2735"/>
    <w:rsid w:val="007E2903"/>
    <w:rsid w:val="007E293B"/>
    <w:rsid w:val="007E389D"/>
    <w:rsid w:val="007E3B4D"/>
    <w:rsid w:val="007E3BA2"/>
    <w:rsid w:val="007E43AF"/>
    <w:rsid w:val="007E4E22"/>
    <w:rsid w:val="007E533D"/>
    <w:rsid w:val="007E57AD"/>
    <w:rsid w:val="007E5D40"/>
    <w:rsid w:val="007E5D42"/>
    <w:rsid w:val="007E5DAF"/>
    <w:rsid w:val="007E637A"/>
    <w:rsid w:val="007F12FB"/>
    <w:rsid w:val="007F216A"/>
    <w:rsid w:val="007F2DF2"/>
    <w:rsid w:val="007F3C28"/>
    <w:rsid w:val="007F3DD9"/>
    <w:rsid w:val="007F44DF"/>
    <w:rsid w:val="007F571F"/>
    <w:rsid w:val="007F57D9"/>
    <w:rsid w:val="007F5CA3"/>
    <w:rsid w:val="007F6905"/>
    <w:rsid w:val="007F6A5E"/>
    <w:rsid w:val="007F6DDE"/>
    <w:rsid w:val="007F6DE3"/>
    <w:rsid w:val="007F715F"/>
    <w:rsid w:val="007F71A1"/>
    <w:rsid w:val="007F7570"/>
    <w:rsid w:val="007F7770"/>
    <w:rsid w:val="007F78DC"/>
    <w:rsid w:val="007F7BA5"/>
    <w:rsid w:val="007F7D10"/>
    <w:rsid w:val="00800130"/>
    <w:rsid w:val="0080015F"/>
    <w:rsid w:val="008002B3"/>
    <w:rsid w:val="008006DA"/>
    <w:rsid w:val="0080162A"/>
    <w:rsid w:val="008017DE"/>
    <w:rsid w:val="0080198F"/>
    <w:rsid w:val="00801ADE"/>
    <w:rsid w:val="00801CF4"/>
    <w:rsid w:val="008028CF"/>
    <w:rsid w:val="0080292D"/>
    <w:rsid w:val="00802ABA"/>
    <w:rsid w:val="00803FEC"/>
    <w:rsid w:val="008042B3"/>
    <w:rsid w:val="0080454E"/>
    <w:rsid w:val="00804C0A"/>
    <w:rsid w:val="0080521C"/>
    <w:rsid w:val="00805517"/>
    <w:rsid w:val="00805603"/>
    <w:rsid w:val="008072DB"/>
    <w:rsid w:val="008078BB"/>
    <w:rsid w:val="00807997"/>
    <w:rsid w:val="00807BC1"/>
    <w:rsid w:val="00807C5A"/>
    <w:rsid w:val="00810A5F"/>
    <w:rsid w:val="00810E00"/>
    <w:rsid w:val="008114AA"/>
    <w:rsid w:val="00811643"/>
    <w:rsid w:val="00811E03"/>
    <w:rsid w:val="008120FF"/>
    <w:rsid w:val="008122FD"/>
    <w:rsid w:val="00813E4A"/>
    <w:rsid w:val="008144B6"/>
    <w:rsid w:val="00814B71"/>
    <w:rsid w:val="00814F1E"/>
    <w:rsid w:val="0081566C"/>
    <w:rsid w:val="00815B20"/>
    <w:rsid w:val="0081675E"/>
    <w:rsid w:val="00817003"/>
    <w:rsid w:val="00817233"/>
    <w:rsid w:val="008173DD"/>
    <w:rsid w:val="00817A9B"/>
    <w:rsid w:val="00817B60"/>
    <w:rsid w:val="0082069C"/>
    <w:rsid w:val="008219F9"/>
    <w:rsid w:val="00821EED"/>
    <w:rsid w:val="008222B9"/>
    <w:rsid w:val="00822327"/>
    <w:rsid w:val="00822398"/>
    <w:rsid w:val="008227A6"/>
    <w:rsid w:val="00822A3E"/>
    <w:rsid w:val="00822B95"/>
    <w:rsid w:val="00822F7F"/>
    <w:rsid w:val="008244D8"/>
    <w:rsid w:val="00824794"/>
    <w:rsid w:val="00824900"/>
    <w:rsid w:val="00824AF9"/>
    <w:rsid w:val="00824DB5"/>
    <w:rsid w:val="00824FC2"/>
    <w:rsid w:val="00825CF0"/>
    <w:rsid w:val="00825DD2"/>
    <w:rsid w:val="00826047"/>
    <w:rsid w:val="0082695D"/>
    <w:rsid w:val="00826D72"/>
    <w:rsid w:val="00827509"/>
    <w:rsid w:val="00827E95"/>
    <w:rsid w:val="0083027F"/>
    <w:rsid w:val="008303C3"/>
    <w:rsid w:val="0083068C"/>
    <w:rsid w:val="00831067"/>
    <w:rsid w:val="00831183"/>
    <w:rsid w:val="008315AA"/>
    <w:rsid w:val="00831647"/>
    <w:rsid w:val="00831817"/>
    <w:rsid w:val="008319B5"/>
    <w:rsid w:val="00831ED5"/>
    <w:rsid w:val="00831F82"/>
    <w:rsid w:val="00832090"/>
    <w:rsid w:val="00832304"/>
    <w:rsid w:val="008324BE"/>
    <w:rsid w:val="00833924"/>
    <w:rsid w:val="00834261"/>
    <w:rsid w:val="008342CE"/>
    <w:rsid w:val="0083431C"/>
    <w:rsid w:val="00834CCF"/>
    <w:rsid w:val="00835022"/>
    <w:rsid w:val="0083532A"/>
    <w:rsid w:val="0083549D"/>
    <w:rsid w:val="00835575"/>
    <w:rsid w:val="00835F04"/>
    <w:rsid w:val="0083622F"/>
    <w:rsid w:val="00836845"/>
    <w:rsid w:val="008368DC"/>
    <w:rsid w:val="00836B62"/>
    <w:rsid w:val="00836B7A"/>
    <w:rsid w:val="0083732F"/>
    <w:rsid w:val="00837A21"/>
    <w:rsid w:val="008406FA"/>
    <w:rsid w:val="00840DB0"/>
    <w:rsid w:val="008412F8"/>
    <w:rsid w:val="008418F4"/>
    <w:rsid w:val="00841B0C"/>
    <w:rsid w:val="00841B91"/>
    <w:rsid w:val="0084242F"/>
    <w:rsid w:val="00842467"/>
    <w:rsid w:val="008429AE"/>
    <w:rsid w:val="00842D13"/>
    <w:rsid w:val="00842F8B"/>
    <w:rsid w:val="008435BB"/>
    <w:rsid w:val="00844F2B"/>
    <w:rsid w:val="0084510B"/>
    <w:rsid w:val="00845B0C"/>
    <w:rsid w:val="00845E89"/>
    <w:rsid w:val="00846712"/>
    <w:rsid w:val="00846731"/>
    <w:rsid w:val="008468A4"/>
    <w:rsid w:val="008468CD"/>
    <w:rsid w:val="008469C3"/>
    <w:rsid w:val="00846B20"/>
    <w:rsid w:val="00846E5E"/>
    <w:rsid w:val="008477D7"/>
    <w:rsid w:val="00847B05"/>
    <w:rsid w:val="00847B5F"/>
    <w:rsid w:val="00847CA3"/>
    <w:rsid w:val="00847EEB"/>
    <w:rsid w:val="008501EF"/>
    <w:rsid w:val="00850268"/>
    <w:rsid w:val="00850356"/>
    <w:rsid w:val="0085060F"/>
    <w:rsid w:val="00850F25"/>
    <w:rsid w:val="0085112B"/>
    <w:rsid w:val="0085168A"/>
    <w:rsid w:val="00851C40"/>
    <w:rsid w:val="00852677"/>
    <w:rsid w:val="0085269D"/>
    <w:rsid w:val="008528B9"/>
    <w:rsid w:val="00852DC8"/>
    <w:rsid w:val="0085357A"/>
    <w:rsid w:val="008537AA"/>
    <w:rsid w:val="008539EF"/>
    <w:rsid w:val="00854BB7"/>
    <w:rsid w:val="00854C8D"/>
    <w:rsid w:val="00855429"/>
    <w:rsid w:val="0085682F"/>
    <w:rsid w:val="008570C8"/>
    <w:rsid w:val="00857436"/>
    <w:rsid w:val="00857957"/>
    <w:rsid w:val="00860CBB"/>
    <w:rsid w:val="00860D43"/>
    <w:rsid w:val="00860E63"/>
    <w:rsid w:val="00860E6D"/>
    <w:rsid w:val="00860EEC"/>
    <w:rsid w:val="00860F35"/>
    <w:rsid w:val="008613B3"/>
    <w:rsid w:val="0086198F"/>
    <w:rsid w:val="00861D71"/>
    <w:rsid w:val="0086286D"/>
    <w:rsid w:val="00863562"/>
    <w:rsid w:val="00863DCE"/>
    <w:rsid w:val="008646FD"/>
    <w:rsid w:val="00864F1E"/>
    <w:rsid w:val="00864FC0"/>
    <w:rsid w:val="0086562D"/>
    <w:rsid w:val="00865870"/>
    <w:rsid w:val="00866C1B"/>
    <w:rsid w:val="00867143"/>
    <w:rsid w:val="0086742B"/>
    <w:rsid w:val="00867958"/>
    <w:rsid w:val="00870528"/>
    <w:rsid w:val="008708E1"/>
    <w:rsid w:val="00870EFF"/>
    <w:rsid w:val="008710DC"/>
    <w:rsid w:val="008716B8"/>
    <w:rsid w:val="00871F97"/>
    <w:rsid w:val="00872C8F"/>
    <w:rsid w:val="008735BC"/>
    <w:rsid w:val="008735D6"/>
    <w:rsid w:val="0087371F"/>
    <w:rsid w:val="00873942"/>
    <w:rsid w:val="008739E5"/>
    <w:rsid w:val="00873A7D"/>
    <w:rsid w:val="00873B02"/>
    <w:rsid w:val="00873DCA"/>
    <w:rsid w:val="00874076"/>
    <w:rsid w:val="00875EA8"/>
    <w:rsid w:val="008770D7"/>
    <w:rsid w:val="0087780A"/>
    <w:rsid w:val="00880F8A"/>
    <w:rsid w:val="00881540"/>
    <w:rsid w:val="00881AA1"/>
    <w:rsid w:val="00881CDA"/>
    <w:rsid w:val="00883375"/>
    <w:rsid w:val="00883525"/>
    <w:rsid w:val="00883A52"/>
    <w:rsid w:val="00884624"/>
    <w:rsid w:val="00884644"/>
    <w:rsid w:val="00884C8C"/>
    <w:rsid w:val="00885115"/>
    <w:rsid w:val="00885189"/>
    <w:rsid w:val="00885803"/>
    <w:rsid w:val="008861AF"/>
    <w:rsid w:val="008862E0"/>
    <w:rsid w:val="0088770C"/>
    <w:rsid w:val="00887821"/>
    <w:rsid w:val="00887A0A"/>
    <w:rsid w:val="00887A9A"/>
    <w:rsid w:val="00887B9C"/>
    <w:rsid w:val="00887D35"/>
    <w:rsid w:val="008907A7"/>
    <w:rsid w:val="00891975"/>
    <w:rsid w:val="00891E1D"/>
    <w:rsid w:val="00891F7F"/>
    <w:rsid w:val="008922AE"/>
    <w:rsid w:val="0089250B"/>
    <w:rsid w:val="008927E8"/>
    <w:rsid w:val="00892E04"/>
    <w:rsid w:val="0089324D"/>
    <w:rsid w:val="00893579"/>
    <w:rsid w:val="00893892"/>
    <w:rsid w:val="00893D31"/>
    <w:rsid w:val="0089453E"/>
    <w:rsid w:val="00894C87"/>
    <w:rsid w:val="00894DE8"/>
    <w:rsid w:val="00895497"/>
    <w:rsid w:val="008954A9"/>
    <w:rsid w:val="008958C1"/>
    <w:rsid w:val="00895D7E"/>
    <w:rsid w:val="008960BB"/>
    <w:rsid w:val="0089683D"/>
    <w:rsid w:val="008968CF"/>
    <w:rsid w:val="00896A74"/>
    <w:rsid w:val="00896E8D"/>
    <w:rsid w:val="00897289"/>
    <w:rsid w:val="00897BF1"/>
    <w:rsid w:val="00897DD4"/>
    <w:rsid w:val="008A137C"/>
    <w:rsid w:val="008A14F2"/>
    <w:rsid w:val="008A2491"/>
    <w:rsid w:val="008A26B3"/>
    <w:rsid w:val="008A2B1A"/>
    <w:rsid w:val="008A2DA3"/>
    <w:rsid w:val="008A3023"/>
    <w:rsid w:val="008A33B1"/>
    <w:rsid w:val="008A360E"/>
    <w:rsid w:val="008A3B6B"/>
    <w:rsid w:val="008A46F5"/>
    <w:rsid w:val="008A5C31"/>
    <w:rsid w:val="008A63D7"/>
    <w:rsid w:val="008A6DA8"/>
    <w:rsid w:val="008A6EF1"/>
    <w:rsid w:val="008B0F3C"/>
    <w:rsid w:val="008B11CA"/>
    <w:rsid w:val="008B178D"/>
    <w:rsid w:val="008B1800"/>
    <w:rsid w:val="008B18CA"/>
    <w:rsid w:val="008B1AD7"/>
    <w:rsid w:val="008B1C45"/>
    <w:rsid w:val="008B1DE7"/>
    <w:rsid w:val="008B1F13"/>
    <w:rsid w:val="008B1F3A"/>
    <w:rsid w:val="008B205D"/>
    <w:rsid w:val="008B2534"/>
    <w:rsid w:val="008B2575"/>
    <w:rsid w:val="008B25CF"/>
    <w:rsid w:val="008B2A47"/>
    <w:rsid w:val="008B2BC7"/>
    <w:rsid w:val="008B2D5A"/>
    <w:rsid w:val="008B2D61"/>
    <w:rsid w:val="008B2F73"/>
    <w:rsid w:val="008B3735"/>
    <w:rsid w:val="008B3FE6"/>
    <w:rsid w:val="008B5586"/>
    <w:rsid w:val="008B5686"/>
    <w:rsid w:val="008B5D27"/>
    <w:rsid w:val="008B5F8B"/>
    <w:rsid w:val="008B68E7"/>
    <w:rsid w:val="008B6C87"/>
    <w:rsid w:val="008B6D46"/>
    <w:rsid w:val="008B702E"/>
    <w:rsid w:val="008B73C3"/>
    <w:rsid w:val="008B79A8"/>
    <w:rsid w:val="008B7A1E"/>
    <w:rsid w:val="008C01F9"/>
    <w:rsid w:val="008C0EBA"/>
    <w:rsid w:val="008C0F6E"/>
    <w:rsid w:val="008C0FB1"/>
    <w:rsid w:val="008C117F"/>
    <w:rsid w:val="008C11D0"/>
    <w:rsid w:val="008C172F"/>
    <w:rsid w:val="008C1D60"/>
    <w:rsid w:val="008C1FDA"/>
    <w:rsid w:val="008C23B2"/>
    <w:rsid w:val="008C2C2C"/>
    <w:rsid w:val="008C381D"/>
    <w:rsid w:val="008C3F06"/>
    <w:rsid w:val="008C4081"/>
    <w:rsid w:val="008C4151"/>
    <w:rsid w:val="008C4374"/>
    <w:rsid w:val="008C533F"/>
    <w:rsid w:val="008C5C6B"/>
    <w:rsid w:val="008C6278"/>
    <w:rsid w:val="008C63EF"/>
    <w:rsid w:val="008C64A6"/>
    <w:rsid w:val="008C6781"/>
    <w:rsid w:val="008C6E01"/>
    <w:rsid w:val="008C7649"/>
    <w:rsid w:val="008C76D0"/>
    <w:rsid w:val="008C7C1C"/>
    <w:rsid w:val="008C7E5F"/>
    <w:rsid w:val="008D0806"/>
    <w:rsid w:val="008D1193"/>
    <w:rsid w:val="008D1552"/>
    <w:rsid w:val="008D1EB3"/>
    <w:rsid w:val="008D2A79"/>
    <w:rsid w:val="008D2E02"/>
    <w:rsid w:val="008D2EEF"/>
    <w:rsid w:val="008D3C32"/>
    <w:rsid w:val="008D3E56"/>
    <w:rsid w:val="008D4594"/>
    <w:rsid w:val="008D494C"/>
    <w:rsid w:val="008D50A9"/>
    <w:rsid w:val="008D533B"/>
    <w:rsid w:val="008D54E3"/>
    <w:rsid w:val="008D5A4A"/>
    <w:rsid w:val="008D61EE"/>
    <w:rsid w:val="008D633E"/>
    <w:rsid w:val="008D6CD9"/>
    <w:rsid w:val="008D72F1"/>
    <w:rsid w:val="008E0071"/>
    <w:rsid w:val="008E0084"/>
    <w:rsid w:val="008E0342"/>
    <w:rsid w:val="008E1667"/>
    <w:rsid w:val="008E1991"/>
    <w:rsid w:val="008E1A52"/>
    <w:rsid w:val="008E20CC"/>
    <w:rsid w:val="008E2A5D"/>
    <w:rsid w:val="008E2C51"/>
    <w:rsid w:val="008E34BA"/>
    <w:rsid w:val="008E3574"/>
    <w:rsid w:val="008E3589"/>
    <w:rsid w:val="008E360D"/>
    <w:rsid w:val="008E380B"/>
    <w:rsid w:val="008E383C"/>
    <w:rsid w:val="008E5134"/>
    <w:rsid w:val="008E5379"/>
    <w:rsid w:val="008E5412"/>
    <w:rsid w:val="008E56EB"/>
    <w:rsid w:val="008E6DE9"/>
    <w:rsid w:val="008E731F"/>
    <w:rsid w:val="008E7940"/>
    <w:rsid w:val="008E7F9D"/>
    <w:rsid w:val="008F0136"/>
    <w:rsid w:val="008F0293"/>
    <w:rsid w:val="008F03DE"/>
    <w:rsid w:val="008F0FD5"/>
    <w:rsid w:val="008F178A"/>
    <w:rsid w:val="008F1D85"/>
    <w:rsid w:val="008F256B"/>
    <w:rsid w:val="008F2684"/>
    <w:rsid w:val="008F32C2"/>
    <w:rsid w:val="008F3BB2"/>
    <w:rsid w:val="008F441E"/>
    <w:rsid w:val="008F44C8"/>
    <w:rsid w:val="008F47ED"/>
    <w:rsid w:val="008F4866"/>
    <w:rsid w:val="008F4912"/>
    <w:rsid w:val="008F4A2A"/>
    <w:rsid w:val="008F4B1F"/>
    <w:rsid w:val="008F538B"/>
    <w:rsid w:val="008F548B"/>
    <w:rsid w:val="008F597E"/>
    <w:rsid w:val="008F5BEC"/>
    <w:rsid w:val="008F5F0E"/>
    <w:rsid w:val="008F6211"/>
    <w:rsid w:val="008F709B"/>
    <w:rsid w:val="008F7E22"/>
    <w:rsid w:val="008F7E56"/>
    <w:rsid w:val="009008B7"/>
    <w:rsid w:val="009008C4"/>
    <w:rsid w:val="009009C1"/>
    <w:rsid w:val="00902530"/>
    <w:rsid w:val="009027D4"/>
    <w:rsid w:val="00902B36"/>
    <w:rsid w:val="00902B4B"/>
    <w:rsid w:val="00902FB2"/>
    <w:rsid w:val="00903E08"/>
    <w:rsid w:val="00904BB5"/>
    <w:rsid w:val="00904C1A"/>
    <w:rsid w:val="00905548"/>
    <w:rsid w:val="0090674A"/>
    <w:rsid w:val="009072BC"/>
    <w:rsid w:val="00907AED"/>
    <w:rsid w:val="00907D16"/>
    <w:rsid w:val="00907D51"/>
    <w:rsid w:val="00910BBC"/>
    <w:rsid w:val="00910C75"/>
    <w:rsid w:val="00910EAC"/>
    <w:rsid w:val="00912219"/>
    <w:rsid w:val="00912864"/>
    <w:rsid w:val="00913134"/>
    <w:rsid w:val="009133EB"/>
    <w:rsid w:val="00914291"/>
    <w:rsid w:val="00914847"/>
    <w:rsid w:val="0091499B"/>
    <w:rsid w:val="00914C88"/>
    <w:rsid w:val="00914D80"/>
    <w:rsid w:val="00915149"/>
    <w:rsid w:val="0091517B"/>
    <w:rsid w:val="009156B5"/>
    <w:rsid w:val="009169F8"/>
    <w:rsid w:val="00917957"/>
    <w:rsid w:val="00917BDE"/>
    <w:rsid w:val="0092083E"/>
    <w:rsid w:val="009209DE"/>
    <w:rsid w:val="00920B36"/>
    <w:rsid w:val="00921C22"/>
    <w:rsid w:val="00921C73"/>
    <w:rsid w:val="00921F2B"/>
    <w:rsid w:val="00921FBA"/>
    <w:rsid w:val="00922058"/>
    <w:rsid w:val="0092283F"/>
    <w:rsid w:val="00923255"/>
    <w:rsid w:val="00923638"/>
    <w:rsid w:val="009244EE"/>
    <w:rsid w:val="00924DF4"/>
    <w:rsid w:val="00924F26"/>
    <w:rsid w:val="00924F84"/>
    <w:rsid w:val="00925095"/>
    <w:rsid w:val="009252BA"/>
    <w:rsid w:val="00925CAC"/>
    <w:rsid w:val="009261D9"/>
    <w:rsid w:val="00926488"/>
    <w:rsid w:val="00926677"/>
    <w:rsid w:val="00926A42"/>
    <w:rsid w:val="00926E50"/>
    <w:rsid w:val="0092728E"/>
    <w:rsid w:val="009278CE"/>
    <w:rsid w:val="00927900"/>
    <w:rsid w:val="00927A36"/>
    <w:rsid w:val="00927ECE"/>
    <w:rsid w:val="00931776"/>
    <w:rsid w:val="00931B72"/>
    <w:rsid w:val="00932F5B"/>
    <w:rsid w:val="00932FB6"/>
    <w:rsid w:val="0093374B"/>
    <w:rsid w:val="00933E14"/>
    <w:rsid w:val="00934479"/>
    <w:rsid w:val="00934DB6"/>
    <w:rsid w:val="00934ED2"/>
    <w:rsid w:val="00935041"/>
    <w:rsid w:val="00935806"/>
    <w:rsid w:val="00935928"/>
    <w:rsid w:val="00935EA0"/>
    <w:rsid w:val="00936631"/>
    <w:rsid w:val="00936BB4"/>
    <w:rsid w:val="00936C0A"/>
    <w:rsid w:val="00936CB6"/>
    <w:rsid w:val="00936CBC"/>
    <w:rsid w:val="009371B3"/>
    <w:rsid w:val="00937735"/>
    <w:rsid w:val="00937D44"/>
    <w:rsid w:val="00941234"/>
    <w:rsid w:val="00942B10"/>
    <w:rsid w:val="00943A78"/>
    <w:rsid w:val="00943BF8"/>
    <w:rsid w:val="00943E32"/>
    <w:rsid w:val="00943ECB"/>
    <w:rsid w:val="00943F41"/>
    <w:rsid w:val="0094420F"/>
    <w:rsid w:val="00944306"/>
    <w:rsid w:val="00944AB3"/>
    <w:rsid w:val="00944EA4"/>
    <w:rsid w:val="0094523F"/>
    <w:rsid w:val="00945500"/>
    <w:rsid w:val="00947409"/>
    <w:rsid w:val="00950609"/>
    <w:rsid w:val="00950839"/>
    <w:rsid w:val="00951203"/>
    <w:rsid w:val="00951905"/>
    <w:rsid w:val="0095209D"/>
    <w:rsid w:val="00953269"/>
    <w:rsid w:val="009535E3"/>
    <w:rsid w:val="00953602"/>
    <w:rsid w:val="00953D19"/>
    <w:rsid w:val="009540BD"/>
    <w:rsid w:val="009545A3"/>
    <w:rsid w:val="00954A20"/>
    <w:rsid w:val="009551F2"/>
    <w:rsid w:val="00955245"/>
    <w:rsid w:val="00955846"/>
    <w:rsid w:val="00955D2D"/>
    <w:rsid w:val="00957370"/>
    <w:rsid w:val="009573CA"/>
    <w:rsid w:val="00957F15"/>
    <w:rsid w:val="00957F30"/>
    <w:rsid w:val="00960C07"/>
    <w:rsid w:val="00960C10"/>
    <w:rsid w:val="00960DD2"/>
    <w:rsid w:val="0096141F"/>
    <w:rsid w:val="0096270A"/>
    <w:rsid w:val="009627BE"/>
    <w:rsid w:val="00963072"/>
    <w:rsid w:val="0096341C"/>
    <w:rsid w:val="00963D08"/>
    <w:rsid w:val="009642A2"/>
    <w:rsid w:val="00964554"/>
    <w:rsid w:val="00964ADF"/>
    <w:rsid w:val="009652C3"/>
    <w:rsid w:val="009659EC"/>
    <w:rsid w:val="009661BD"/>
    <w:rsid w:val="00966766"/>
    <w:rsid w:val="00966AD6"/>
    <w:rsid w:val="00967234"/>
    <w:rsid w:val="00967279"/>
    <w:rsid w:val="00967580"/>
    <w:rsid w:val="0096766C"/>
    <w:rsid w:val="00970142"/>
    <w:rsid w:val="00970AB9"/>
    <w:rsid w:val="00970BAB"/>
    <w:rsid w:val="0097131F"/>
    <w:rsid w:val="009721C1"/>
    <w:rsid w:val="00972EA4"/>
    <w:rsid w:val="00972EB8"/>
    <w:rsid w:val="00973172"/>
    <w:rsid w:val="00973FA3"/>
    <w:rsid w:val="00974361"/>
    <w:rsid w:val="009743F4"/>
    <w:rsid w:val="00974488"/>
    <w:rsid w:val="0097509A"/>
    <w:rsid w:val="00975987"/>
    <w:rsid w:val="00975BEA"/>
    <w:rsid w:val="0097618F"/>
    <w:rsid w:val="00976218"/>
    <w:rsid w:val="00976475"/>
    <w:rsid w:val="009764DF"/>
    <w:rsid w:val="00977087"/>
    <w:rsid w:val="0097722D"/>
    <w:rsid w:val="009773B2"/>
    <w:rsid w:val="009805B4"/>
    <w:rsid w:val="009806B1"/>
    <w:rsid w:val="00980C94"/>
    <w:rsid w:val="009816B2"/>
    <w:rsid w:val="0098170D"/>
    <w:rsid w:val="00981E3A"/>
    <w:rsid w:val="009826DC"/>
    <w:rsid w:val="0098276A"/>
    <w:rsid w:val="009828DD"/>
    <w:rsid w:val="00982FAC"/>
    <w:rsid w:val="009834A0"/>
    <w:rsid w:val="0098365F"/>
    <w:rsid w:val="00983E39"/>
    <w:rsid w:val="009843C8"/>
    <w:rsid w:val="009845C6"/>
    <w:rsid w:val="009849FA"/>
    <w:rsid w:val="00985773"/>
    <w:rsid w:val="009858CF"/>
    <w:rsid w:val="00985BB8"/>
    <w:rsid w:val="00985D19"/>
    <w:rsid w:val="0098682C"/>
    <w:rsid w:val="00986DF5"/>
    <w:rsid w:val="00986FC9"/>
    <w:rsid w:val="0099020D"/>
    <w:rsid w:val="009903F3"/>
    <w:rsid w:val="0099073D"/>
    <w:rsid w:val="00992181"/>
    <w:rsid w:val="009924B9"/>
    <w:rsid w:val="00992870"/>
    <w:rsid w:val="00992DBB"/>
    <w:rsid w:val="00993958"/>
    <w:rsid w:val="00994ACD"/>
    <w:rsid w:val="009952E7"/>
    <w:rsid w:val="009958A2"/>
    <w:rsid w:val="0099623D"/>
    <w:rsid w:val="009964CA"/>
    <w:rsid w:val="00996B94"/>
    <w:rsid w:val="00996C80"/>
    <w:rsid w:val="009A01F5"/>
    <w:rsid w:val="009A020D"/>
    <w:rsid w:val="009A035D"/>
    <w:rsid w:val="009A0623"/>
    <w:rsid w:val="009A06E4"/>
    <w:rsid w:val="009A0B64"/>
    <w:rsid w:val="009A0DE5"/>
    <w:rsid w:val="009A0F46"/>
    <w:rsid w:val="009A1B5D"/>
    <w:rsid w:val="009A1C66"/>
    <w:rsid w:val="009A1DE6"/>
    <w:rsid w:val="009A1FE3"/>
    <w:rsid w:val="009A21DA"/>
    <w:rsid w:val="009A224B"/>
    <w:rsid w:val="009A2740"/>
    <w:rsid w:val="009A2840"/>
    <w:rsid w:val="009A289D"/>
    <w:rsid w:val="009A3618"/>
    <w:rsid w:val="009A3A3A"/>
    <w:rsid w:val="009A3C60"/>
    <w:rsid w:val="009A4249"/>
    <w:rsid w:val="009A4649"/>
    <w:rsid w:val="009A47DB"/>
    <w:rsid w:val="009A4818"/>
    <w:rsid w:val="009A48CC"/>
    <w:rsid w:val="009A511B"/>
    <w:rsid w:val="009A51AF"/>
    <w:rsid w:val="009A6307"/>
    <w:rsid w:val="009A63F9"/>
    <w:rsid w:val="009A6AA5"/>
    <w:rsid w:val="009A6CF2"/>
    <w:rsid w:val="009A7892"/>
    <w:rsid w:val="009A79DE"/>
    <w:rsid w:val="009B0A11"/>
    <w:rsid w:val="009B12BA"/>
    <w:rsid w:val="009B1395"/>
    <w:rsid w:val="009B1C49"/>
    <w:rsid w:val="009B48CA"/>
    <w:rsid w:val="009B48E8"/>
    <w:rsid w:val="009B49D6"/>
    <w:rsid w:val="009B4E83"/>
    <w:rsid w:val="009B53F2"/>
    <w:rsid w:val="009B5626"/>
    <w:rsid w:val="009B571C"/>
    <w:rsid w:val="009B5919"/>
    <w:rsid w:val="009B595F"/>
    <w:rsid w:val="009B650E"/>
    <w:rsid w:val="009C0968"/>
    <w:rsid w:val="009C0CFC"/>
    <w:rsid w:val="009C0D4F"/>
    <w:rsid w:val="009C11B4"/>
    <w:rsid w:val="009C15E8"/>
    <w:rsid w:val="009C1697"/>
    <w:rsid w:val="009C1E8C"/>
    <w:rsid w:val="009C2D54"/>
    <w:rsid w:val="009C36B6"/>
    <w:rsid w:val="009C3E5F"/>
    <w:rsid w:val="009C3EAB"/>
    <w:rsid w:val="009C4E42"/>
    <w:rsid w:val="009C4FA9"/>
    <w:rsid w:val="009C52E2"/>
    <w:rsid w:val="009C53A7"/>
    <w:rsid w:val="009C5487"/>
    <w:rsid w:val="009C54D9"/>
    <w:rsid w:val="009C55B5"/>
    <w:rsid w:val="009C5B0C"/>
    <w:rsid w:val="009C6400"/>
    <w:rsid w:val="009C6662"/>
    <w:rsid w:val="009C6759"/>
    <w:rsid w:val="009C6E84"/>
    <w:rsid w:val="009C7043"/>
    <w:rsid w:val="009D0490"/>
    <w:rsid w:val="009D0A06"/>
    <w:rsid w:val="009D0B1E"/>
    <w:rsid w:val="009D153F"/>
    <w:rsid w:val="009D1687"/>
    <w:rsid w:val="009D260D"/>
    <w:rsid w:val="009D337F"/>
    <w:rsid w:val="009D3685"/>
    <w:rsid w:val="009D3735"/>
    <w:rsid w:val="009D3F07"/>
    <w:rsid w:val="009D48D8"/>
    <w:rsid w:val="009D4B1D"/>
    <w:rsid w:val="009D4BA6"/>
    <w:rsid w:val="009D4DF1"/>
    <w:rsid w:val="009D5FB0"/>
    <w:rsid w:val="009D60D9"/>
    <w:rsid w:val="009D6199"/>
    <w:rsid w:val="009D6960"/>
    <w:rsid w:val="009D69C4"/>
    <w:rsid w:val="009D6D30"/>
    <w:rsid w:val="009D71B8"/>
    <w:rsid w:val="009D738D"/>
    <w:rsid w:val="009D73C4"/>
    <w:rsid w:val="009D7594"/>
    <w:rsid w:val="009D7834"/>
    <w:rsid w:val="009D7C10"/>
    <w:rsid w:val="009E02FC"/>
    <w:rsid w:val="009E10CA"/>
    <w:rsid w:val="009E1353"/>
    <w:rsid w:val="009E186C"/>
    <w:rsid w:val="009E1BA2"/>
    <w:rsid w:val="009E2758"/>
    <w:rsid w:val="009E3017"/>
    <w:rsid w:val="009E3066"/>
    <w:rsid w:val="009E392C"/>
    <w:rsid w:val="009E4CF7"/>
    <w:rsid w:val="009E5195"/>
    <w:rsid w:val="009E5567"/>
    <w:rsid w:val="009E5AFC"/>
    <w:rsid w:val="009E5DBB"/>
    <w:rsid w:val="009E6BEA"/>
    <w:rsid w:val="009E6CB3"/>
    <w:rsid w:val="009E7509"/>
    <w:rsid w:val="009E7955"/>
    <w:rsid w:val="009E7BE4"/>
    <w:rsid w:val="009E7DEA"/>
    <w:rsid w:val="009F0646"/>
    <w:rsid w:val="009F0879"/>
    <w:rsid w:val="009F109B"/>
    <w:rsid w:val="009F1492"/>
    <w:rsid w:val="009F1E2E"/>
    <w:rsid w:val="009F1E36"/>
    <w:rsid w:val="009F2421"/>
    <w:rsid w:val="009F2548"/>
    <w:rsid w:val="009F27D9"/>
    <w:rsid w:val="009F3529"/>
    <w:rsid w:val="009F3A7D"/>
    <w:rsid w:val="009F3ADE"/>
    <w:rsid w:val="009F4131"/>
    <w:rsid w:val="009F4237"/>
    <w:rsid w:val="009F4AF9"/>
    <w:rsid w:val="009F4D04"/>
    <w:rsid w:val="009F56F4"/>
    <w:rsid w:val="009F5E18"/>
    <w:rsid w:val="009F632B"/>
    <w:rsid w:val="009F6358"/>
    <w:rsid w:val="009F63A0"/>
    <w:rsid w:val="009F649C"/>
    <w:rsid w:val="009F68C7"/>
    <w:rsid w:val="009F6ADC"/>
    <w:rsid w:val="009F709D"/>
    <w:rsid w:val="009F754B"/>
    <w:rsid w:val="009F7C37"/>
    <w:rsid w:val="00A006D8"/>
    <w:rsid w:val="00A00E28"/>
    <w:rsid w:val="00A00E8E"/>
    <w:rsid w:val="00A016DA"/>
    <w:rsid w:val="00A018DB"/>
    <w:rsid w:val="00A01B98"/>
    <w:rsid w:val="00A02130"/>
    <w:rsid w:val="00A025A0"/>
    <w:rsid w:val="00A02A2F"/>
    <w:rsid w:val="00A02DBB"/>
    <w:rsid w:val="00A03175"/>
    <w:rsid w:val="00A0355E"/>
    <w:rsid w:val="00A044F9"/>
    <w:rsid w:val="00A0470C"/>
    <w:rsid w:val="00A04857"/>
    <w:rsid w:val="00A0493F"/>
    <w:rsid w:val="00A051A8"/>
    <w:rsid w:val="00A05868"/>
    <w:rsid w:val="00A06226"/>
    <w:rsid w:val="00A0681D"/>
    <w:rsid w:val="00A068C9"/>
    <w:rsid w:val="00A069B5"/>
    <w:rsid w:val="00A075BF"/>
    <w:rsid w:val="00A07B53"/>
    <w:rsid w:val="00A10033"/>
    <w:rsid w:val="00A10697"/>
    <w:rsid w:val="00A10C65"/>
    <w:rsid w:val="00A11475"/>
    <w:rsid w:val="00A119A2"/>
    <w:rsid w:val="00A11B6F"/>
    <w:rsid w:val="00A11FDC"/>
    <w:rsid w:val="00A12735"/>
    <w:rsid w:val="00A14342"/>
    <w:rsid w:val="00A14363"/>
    <w:rsid w:val="00A14978"/>
    <w:rsid w:val="00A149BB"/>
    <w:rsid w:val="00A152AD"/>
    <w:rsid w:val="00A1586C"/>
    <w:rsid w:val="00A16121"/>
    <w:rsid w:val="00A16C8F"/>
    <w:rsid w:val="00A16CB8"/>
    <w:rsid w:val="00A1721E"/>
    <w:rsid w:val="00A17868"/>
    <w:rsid w:val="00A1790F"/>
    <w:rsid w:val="00A17A96"/>
    <w:rsid w:val="00A17C12"/>
    <w:rsid w:val="00A203AE"/>
    <w:rsid w:val="00A20DE4"/>
    <w:rsid w:val="00A20E47"/>
    <w:rsid w:val="00A21658"/>
    <w:rsid w:val="00A21C36"/>
    <w:rsid w:val="00A21DDC"/>
    <w:rsid w:val="00A21E1A"/>
    <w:rsid w:val="00A221B0"/>
    <w:rsid w:val="00A225A5"/>
    <w:rsid w:val="00A22616"/>
    <w:rsid w:val="00A2267A"/>
    <w:rsid w:val="00A23979"/>
    <w:rsid w:val="00A23B7E"/>
    <w:rsid w:val="00A23DB4"/>
    <w:rsid w:val="00A2422B"/>
    <w:rsid w:val="00A24622"/>
    <w:rsid w:val="00A247B9"/>
    <w:rsid w:val="00A247F6"/>
    <w:rsid w:val="00A24BD8"/>
    <w:rsid w:val="00A24C59"/>
    <w:rsid w:val="00A24DA0"/>
    <w:rsid w:val="00A2511D"/>
    <w:rsid w:val="00A259F4"/>
    <w:rsid w:val="00A27303"/>
    <w:rsid w:val="00A27629"/>
    <w:rsid w:val="00A27BFF"/>
    <w:rsid w:val="00A300A6"/>
    <w:rsid w:val="00A30524"/>
    <w:rsid w:val="00A30559"/>
    <w:rsid w:val="00A3073F"/>
    <w:rsid w:val="00A30AF5"/>
    <w:rsid w:val="00A318DB"/>
    <w:rsid w:val="00A319DE"/>
    <w:rsid w:val="00A31B3C"/>
    <w:rsid w:val="00A31DFC"/>
    <w:rsid w:val="00A32BD9"/>
    <w:rsid w:val="00A32FB8"/>
    <w:rsid w:val="00A33261"/>
    <w:rsid w:val="00A338FD"/>
    <w:rsid w:val="00A33BDC"/>
    <w:rsid w:val="00A33CA1"/>
    <w:rsid w:val="00A349AB"/>
    <w:rsid w:val="00A349DC"/>
    <w:rsid w:val="00A34E8A"/>
    <w:rsid w:val="00A3510D"/>
    <w:rsid w:val="00A355B2"/>
    <w:rsid w:val="00A3567B"/>
    <w:rsid w:val="00A35992"/>
    <w:rsid w:val="00A35C15"/>
    <w:rsid w:val="00A366B0"/>
    <w:rsid w:val="00A36E32"/>
    <w:rsid w:val="00A37C24"/>
    <w:rsid w:val="00A37D74"/>
    <w:rsid w:val="00A37E36"/>
    <w:rsid w:val="00A40023"/>
    <w:rsid w:val="00A40877"/>
    <w:rsid w:val="00A40BD6"/>
    <w:rsid w:val="00A41403"/>
    <w:rsid w:val="00A425E2"/>
    <w:rsid w:val="00A42CDB"/>
    <w:rsid w:val="00A42D20"/>
    <w:rsid w:val="00A44207"/>
    <w:rsid w:val="00A44374"/>
    <w:rsid w:val="00A444E7"/>
    <w:rsid w:val="00A447AC"/>
    <w:rsid w:val="00A44AB0"/>
    <w:rsid w:val="00A45429"/>
    <w:rsid w:val="00A456F2"/>
    <w:rsid w:val="00A4581E"/>
    <w:rsid w:val="00A46587"/>
    <w:rsid w:val="00A46C1C"/>
    <w:rsid w:val="00A479FA"/>
    <w:rsid w:val="00A47C7E"/>
    <w:rsid w:val="00A503EA"/>
    <w:rsid w:val="00A509A7"/>
    <w:rsid w:val="00A50BCF"/>
    <w:rsid w:val="00A50D1E"/>
    <w:rsid w:val="00A50E95"/>
    <w:rsid w:val="00A5133A"/>
    <w:rsid w:val="00A51898"/>
    <w:rsid w:val="00A521BF"/>
    <w:rsid w:val="00A526C6"/>
    <w:rsid w:val="00A5434E"/>
    <w:rsid w:val="00A5475B"/>
    <w:rsid w:val="00A54A27"/>
    <w:rsid w:val="00A54A39"/>
    <w:rsid w:val="00A54A3F"/>
    <w:rsid w:val="00A550D5"/>
    <w:rsid w:val="00A55169"/>
    <w:rsid w:val="00A551DD"/>
    <w:rsid w:val="00A55236"/>
    <w:rsid w:val="00A553D2"/>
    <w:rsid w:val="00A55898"/>
    <w:rsid w:val="00A5594B"/>
    <w:rsid w:val="00A55ACC"/>
    <w:rsid w:val="00A56399"/>
    <w:rsid w:val="00A5642E"/>
    <w:rsid w:val="00A5672F"/>
    <w:rsid w:val="00A567D4"/>
    <w:rsid w:val="00A56AB9"/>
    <w:rsid w:val="00A57246"/>
    <w:rsid w:val="00A57DFA"/>
    <w:rsid w:val="00A60265"/>
    <w:rsid w:val="00A60616"/>
    <w:rsid w:val="00A60EB2"/>
    <w:rsid w:val="00A60F0B"/>
    <w:rsid w:val="00A61BB0"/>
    <w:rsid w:val="00A625AC"/>
    <w:rsid w:val="00A627BD"/>
    <w:rsid w:val="00A62CAB"/>
    <w:rsid w:val="00A631C3"/>
    <w:rsid w:val="00A6371C"/>
    <w:rsid w:val="00A642B4"/>
    <w:rsid w:val="00A64E95"/>
    <w:rsid w:val="00A64FBC"/>
    <w:rsid w:val="00A65805"/>
    <w:rsid w:val="00A65EAC"/>
    <w:rsid w:val="00A66EFB"/>
    <w:rsid w:val="00A66F40"/>
    <w:rsid w:val="00A66FF4"/>
    <w:rsid w:val="00A67501"/>
    <w:rsid w:val="00A67789"/>
    <w:rsid w:val="00A6791D"/>
    <w:rsid w:val="00A7027F"/>
    <w:rsid w:val="00A71345"/>
    <w:rsid w:val="00A71884"/>
    <w:rsid w:val="00A7249D"/>
    <w:rsid w:val="00A72AB3"/>
    <w:rsid w:val="00A732D0"/>
    <w:rsid w:val="00A734C0"/>
    <w:rsid w:val="00A74729"/>
    <w:rsid w:val="00A749E9"/>
    <w:rsid w:val="00A74A1B"/>
    <w:rsid w:val="00A75C6E"/>
    <w:rsid w:val="00A76003"/>
    <w:rsid w:val="00A76975"/>
    <w:rsid w:val="00A76A9B"/>
    <w:rsid w:val="00A806F1"/>
    <w:rsid w:val="00A80BB5"/>
    <w:rsid w:val="00A81237"/>
    <w:rsid w:val="00A818A9"/>
    <w:rsid w:val="00A81D07"/>
    <w:rsid w:val="00A82CBC"/>
    <w:rsid w:val="00A83204"/>
    <w:rsid w:val="00A83CD9"/>
    <w:rsid w:val="00A83FB5"/>
    <w:rsid w:val="00A8443F"/>
    <w:rsid w:val="00A847E6"/>
    <w:rsid w:val="00A848BE"/>
    <w:rsid w:val="00A8496C"/>
    <w:rsid w:val="00A8796F"/>
    <w:rsid w:val="00A87CC2"/>
    <w:rsid w:val="00A90556"/>
    <w:rsid w:val="00A9060A"/>
    <w:rsid w:val="00A9078E"/>
    <w:rsid w:val="00A90A0A"/>
    <w:rsid w:val="00A90F24"/>
    <w:rsid w:val="00A91447"/>
    <w:rsid w:val="00A91456"/>
    <w:rsid w:val="00A919F6"/>
    <w:rsid w:val="00A91B8B"/>
    <w:rsid w:val="00A91D52"/>
    <w:rsid w:val="00A92265"/>
    <w:rsid w:val="00A92624"/>
    <w:rsid w:val="00A92A2B"/>
    <w:rsid w:val="00A92B1A"/>
    <w:rsid w:val="00A946B4"/>
    <w:rsid w:val="00A95799"/>
    <w:rsid w:val="00A9598E"/>
    <w:rsid w:val="00A95B04"/>
    <w:rsid w:val="00A96117"/>
    <w:rsid w:val="00A96296"/>
    <w:rsid w:val="00A963FA"/>
    <w:rsid w:val="00A964D5"/>
    <w:rsid w:val="00A96540"/>
    <w:rsid w:val="00A96F1F"/>
    <w:rsid w:val="00A97A44"/>
    <w:rsid w:val="00AA041B"/>
    <w:rsid w:val="00AA08E1"/>
    <w:rsid w:val="00AA1D75"/>
    <w:rsid w:val="00AA2097"/>
    <w:rsid w:val="00AA22EB"/>
    <w:rsid w:val="00AA2306"/>
    <w:rsid w:val="00AA24AF"/>
    <w:rsid w:val="00AA320D"/>
    <w:rsid w:val="00AA3849"/>
    <w:rsid w:val="00AA3CEF"/>
    <w:rsid w:val="00AA436D"/>
    <w:rsid w:val="00AA6111"/>
    <w:rsid w:val="00AA65DD"/>
    <w:rsid w:val="00AA65F4"/>
    <w:rsid w:val="00AA6E17"/>
    <w:rsid w:val="00AA73CD"/>
    <w:rsid w:val="00AA79E3"/>
    <w:rsid w:val="00AB02A4"/>
    <w:rsid w:val="00AB04F6"/>
    <w:rsid w:val="00AB0938"/>
    <w:rsid w:val="00AB0BF0"/>
    <w:rsid w:val="00AB1AC2"/>
    <w:rsid w:val="00AB1C45"/>
    <w:rsid w:val="00AB1DEF"/>
    <w:rsid w:val="00AB222A"/>
    <w:rsid w:val="00AB2333"/>
    <w:rsid w:val="00AB28F6"/>
    <w:rsid w:val="00AB2BC4"/>
    <w:rsid w:val="00AB2E3A"/>
    <w:rsid w:val="00AB2F0D"/>
    <w:rsid w:val="00AB31D2"/>
    <w:rsid w:val="00AB3D1B"/>
    <w:rsid w:val="00AB4076"/>
    <w:rsid w:val="00AB465D"/>
    <w:rsid w:val="00AB4822"/>
    <w:rsid w:val="00AB4BDC"/>
    <w:rsid w:val="00AB4D3D"/>
    <w:rsid w:val="00AB4D8B"/>
    <w:rsid w:val="00AB5520"/>
    <w:rsid w:val="00AB58AE"/>
    <w:rsid w:val="00AB5931"/>
    <w:rsid w:val="00AB66A0"/>
    <w:rsid w:val="00AB6D47"/>
    <w:rsid w:val="00AB74B3"/>
    <w:rsid w:val="00AC06DC"/>
    <w:rsid w:val="00AC0801"/>
    <w:rsid w:val="00AC0EAC"/>
    <w:rsid w:val="00AC1A3C"/>
    <w:rsid w:val="00AC37FA"/>
    <w:rsid w:val="00AC4026"/>
    <w:rsid w:val="00AC4072"/>
    <w:rsid w:val="00AC4288"/>
    <w:rsid w:val="00AC48E4"/>
    <w:rsid w:val="00AC5B8A"/>
    <w:rsid w:val="00AC64B2"/>
    <w:rsid w:val="00AC7193"/>
    <w:rsid w:val="00AC73EF"/>
    <w:rsid w:val="00AC7A65"/>
    <w:rsid w:val="00AC7F97"/>
    <w:rsid w:val="00AD0C23"/>
    <w:rsid w:val="00AD0EC4"/>
    <w:rsid w:val="00AD1340"/>
    <w:rsid w:val="00AD172B"/>
    <w:rsid w:val="00AD19F9"/>
    <w:rsid w:val="00AD24E7"/>
    <w:rsid w:val="00AD2572"/>
    <w:rsid w:val="00AD2680"/>
    <w:rsid w:val="00AD2733"/>
    <w:rsid w:val="00AD2776"/>
    <w:rsid w:val="00AD2858"/>
    <w:rsid w:val="00AD2A4A"/>
    <w:rsid w:val="00AD2B6F"/>
    <w:rsid w:val="00AD39CE"/>
    <w:rsid w:val="00AD3A72"/>
    <w:rsid w:val="00AD4185"/>
    <w:rsid w:val="00AD433F"/>
    <w:rsid w:val="00AD4F47"/>
    <w:rsid w:val="00AD4FCB"/>
    <w:rsid w:val="00AD58AB"/>
    <w:rsid w:val="00AD5B96"/>
    <w:rsid w:val="00AD6508"/>
    <w:rsid w:val="00AD68EF"/>
    <w:rsid w:val="00AD69F5"/>
    <w:rsid w:val="00AD6AB5"/>
    <w:rsid w:val="00AD7AB3"/>
    <w:rsid w:val="00AE0214"/>
    <w:rsid w:val="00AE0278"/>
    <w:rsid w:val="00AE0389"/>
    <w:rsid w:val="00AE05EA"/>
    <w:rsid w:val="00AE0BB2"/>
    <w:rsid w:val="00AE10F5"/>
    <w:rsid w:val="00AE11DC"/>
    <w:rsid w:val="00AE131A"/>
    <w:rsid w:val="00AE14B2"/>
    <w:rsid w:val="00AE1815"/>
    <w:rsid w:val="00AE1981"/>
    <w:rsid w:val="00AE1AD9"/>
    <w:rsid w:val="00AE1B6B"/>
    <w:rsid w:val="00AE2580"/>
    <w:rsid w:val="00AE268E"/>
    <w:rsid w:val="00AE435A"/>
    <w:rsid w:val="00AE4A9A"/>
    <w:rsid w:val="00AE4C00"/>
    <w:rsid w:val="00AE4E22"/>
    <w:rsid w:val="00AE5883"/>
    <w:rsid w:val="00AE5B8E"/>
    <w:rsid w:val="00AE69EE"/>
    <w:rsid w:val="00AE6D5F"/>
    <w:rsid w:val="00AE6E7D"/>
    <w:rsid w:val="00AE778D"/>
    <w:rsid w:val="00AE7803"/>
    <w:rsid w:val="00AE7C3D"/>
    <w:rsid w:val="00AE7C8F"/>
    <w:rsid w:val="00AE7FF1"/>
    <w:rsid w:val="00AF03C1"/>
    <w:rsid w:val="00AF05AA"/>
    <w:rsid w:val="00AF0674"/>
    <w:rsid w:val="00AF0818"/>
    <w:rsid w:val="00AF111A"/>
    <w:rsid w:val="00AF140B"/>
    <w:rsid w:val="00AF14FB"/>
    <w:rsid w:val="00AF1B4A"/>
    <w:rsid w:val="00AF1D77"/>
    <w:rsid w:val="00AF2467"/>
    <w:rsid w:val="00AF306D"/>
    <w:rsid w:val="00AF372E"/>
    <w:rsid w:val="00AF4074"/>
    <w:rsid w:val="00AF44BC"/>
    <w:rsid w:val="00AF4D90"/>
    <w:rsid w:val="00AF5878"/>
    <w:rsid w:val="00AF5981"/>
    <w:rsid w:val="00AF5AF0"/>
    <w:rsid w:val="00AF5B56"/>
    <w:rsid w:val="00AF6545"/>
    <w:rsid w:val="00AF7409"/>
    <w:rsid w:val="00AF769E"/>
    <w:rsid w:val="00AF7963"/>
    <w:rsid w:val="00B0006C"/>
    <w:rsid w:val="00B000EB"/>
    <w:rsid w:val="00B00105"/>
    <w:rsid w:val="00B00279"/>
    <w:rsid w:val="00B0058B"/>
    <w:rsid w:val="00B00707"/>
    <w:rsid w:val="00B00805"/>
    <w:rsid w:val="00B012A6"/>
    <w:rsid w:val="00B01965"/>
    <w:rsid w:val="00B01B64"/>
    <w:rsid w:val="00B01FA7"/>
    <w:rsid w:val="00B02D72"/>
    <w:rsid w:val="00B02F3A"/>
    <w:rsid w:val="00B030E7"/>
    <w:rsid w:val="00B0320B"/>
    <w:rsid w:val="00B03765"/>
    <w:rsid w:val="00B037E1"/>
    <w:rsid w:val="00B0399B"/>
    <w:rsid w:val="00B039EC"/>
    <w:rsid w:val="00B03EE0"/>
    <w:rsid w:val="00B048D3"/>
    <w:rsid w:val="00B049C5"/>
    <w:rsid w:val="00B04DDE"/>
    <w:rsid w:val="00B04F96"/>
    <w:rsid w:val="00B055AD"/>
    <w:rsid w:val="00B05C8E"/>
    <w:rsid w:val="00B0607B"/>
    <w:rsid w:val="00B07281"/>
    <w:rsid w:val="00B1035B"/>
    <w:rsid w:val="00B10DF2"/>
    <w:rsid w:val="00B110F5"/>
    <w:rsid w:val="00B11B22"/>
    <w:rsid w:val="00B12355"/>
    <w:rsid w:val="00B12B95"/>
    <w:rsid w:val="00B133B6"/>
    <w:rsid w:val="00B1348D"/>
    <w:rsid w:val="00B13E03"/>
    <w:rsid w:val="00B13E92"/>
    <w:rsid w:val="00B14032"/>
    <w:rsid w:val="00B146D5"/>
    <w:rsid w:val="00B14943"/>
    <w:rsid w:val="00B1504F"/>
    <w:rsid w:val="00B152EB"/>
    <w:rsid w:val="00B15653"/>
    <w:rsid w:val="00B1588A"/>
    <w:rsid w:val="00B15980"/>
    <w:rsid w:val="00B15BFF"/>
    <w:rsid w:val="00B1623C"/>
    <w:rsid w:val="00B16B74"/>
    <w:rsid w:val="00B1713F"/>
    <w:rsid w:val="00B1737E"/>
    <w:rsid w:val="00B17460"/>
    <w:rsid w:val="00B17818"/>
    <w:rsid w:val="00B17F2B"/>
    <w:rsid w:val="00B201C0"/>
    <w:rsid w:val="00B2052E"/>
    <w:rsid w:val="00B216C5"/>
    <w:rsid w:val="00B23367"/>
    <w:rsid w:val="00B23419"/>
    <w:rsid w:val="00B236E8"/>
    <w:rsid w:val="00B239A9"/>
    <w:rsid w:val="00B23F62"/>
    <w:rsid w:val="00B24055"/>
    <w:rsid w:val="00B24A45"/>
    <w:rsid w:val="00B24AD1"/>
    <w:rsid w:val="00B24B34"/>
    <w:rsid w:val="00B24EDB"/>
    <w:rsid w:val="00B253A6"/>
    <w:rsid w:val="00B256A7"/>
    <w:rsid w:val="00B25C72"/>
    <w:rsid w:val="00B263D3"/>
    <w:rsid w:val="00B26BB0"/>
    <w:rsid w:val="00B27668"/>
    <w:rsid w:val="00B278A8"/>
    <w:rsid w:val="00B27FED"/>
    <w:rsid w:val="00B3005F"/>
    <w:rsid w:val="00B30675"/>
    <w:rsid w:val="00B319AA"/>
    <w:rsid w:val="00B31AEF"/>
    <w:rsid w:val="00B3275A"/>
    <w:rsid w:val="00B327D2"/>
    <w:rsid w:val="00B32BE9"/>
    <w:rsid w:val="00B33693"/>
    <w:rsid w:val="00B33874"/>
    <w:rsid w:val="00B340EF"/>
    <w:rsid w:val="00B3410D"/>
    <w:rsid w:val="00B3421C"/>
    <w:rsid w:val="00B34998"/>
    <w:rsid w:val="00B34CB6"/>
    <w:rsid w:val="00B34F1B"/>
    <w:rsid w:val="00B36563"/>
    <w:rsid w:val="00B37265"/>
    <w:rsid w:val="00B37695"/>
    <w:rsid w:val="00B3776B"/>
    <w:rsid w:val="00B37A28"/>
    <w:rsid w:val="00B37A99"/>
    <w:rsid w:val="00B37AC0"/>
    <w:rsid w:val="00B37C20"/>
    <w:rsid w:val="00B37D88"/>
    <w:rsid w:val="00B404DD"/>
    <w:rsid w:val="00B4119E"/>
    <w:rsid w:val="00B427BD"/>
    <w:rsid w:val="00B42D82"/>
    <w:rsid w:val="00B42F77"/>
    <w:rsid w:val="00B433CD"/>
    <w:rsid w:val="00B434F7"/>
    <w:rsid w:val="00B43D3F"/>
    <w:rsid w:val="00B44A0F"/>
    <w:rsid w:val="00B44D07"/>
    <w:rsid w:val="00B455BE"/>
    <w:rsid w:val="00B46571"/>
    <w:rsid w:val="00B46CD3"/>
    <w:rsid w:val="00B4719E"/>
    <w:rsid w:val="00B47232"/>
    <w:rsid w:val="00B4727B"/>
    <w:rsid w:val="00B476A4"/>
    <w:rsid w:val="00B509F0"/>
    <w:rsid w:val="00B50A08"/>
    <w:rsid w:val="00B50AFD"/>
    <w:rsid w:val="00B50C51"/>
    <w:rsid w:val="00B50D08"/>
    <w:rsid w:val="00B50E02"/>
    <w:rsid w:val="00B5196E"/>
    <w:rsid w:val="00B5288C"/>
    <w:rsid w:val="00B529DE"/>
    <w:rsid w:val="00B535B9"/>
    <w:rsid w:val="00B53D68"/>
    <w:rsid w:val="00B54A08"/>
    <w:rsid w:val="00B54C29"/>
    <w:rsid w:val="00B54D14"/>
    <w:rsid w:val="00B54EA2"/>
    <w:rsid w:val="00B55C79"/>
    <w:rsid w:val="00B5638E"/>
    <w:rsid w:val="00B569AA"/>
    <w:rsid w:val="00B57120"/>
    <w:rsid w:val="00B579E9"/>
    <w:rsid w:val="00B57B4C"/>
    <w:rsid w:val="00B57E30"/>
    <w:rsid w:val="00B604AD"/>
    <w:rsid w:val="00B60746"/>
    <w:rsid w:val="00B60E46"/>
    <w:rsid w:val="00B613F2"/>
    <w:rsid w:val="00B6176C"/>
    <w:rsid w:val="00B626EA"/>
    <w:rsid w:val="00B62720"/>
    <w:rsid w:val="00B6272E"/>
    <w:rsid w:val="00B62875"/>
    <w:rsid w:val="00B62E51"/>
    <w:rsid w:val="00B62F42"/>
    <w:rsid w:val="00B62FB9"/>
    <w:rsid w:val="00B63128"/>
    <w:rsid w:val="00B64324"/>
    <w:rsid w:val="00B646A5"/>
    <w:rsid w:val="00B64D02"/>
    <w:rsid w:val="00B64E05"/>
    <w:rsid w:val="00B64F92"/>
    <w:rsid w:val="00B6651D"/>
    <w:rsid w:val="00B665B8"/>
    <w:rsid w:val="00B6733A"/>
    <w:rsid w:val="00B702B1"/>
    <w:rsid w:val="00B703E6"/>
    <w:rsid w:val="00B705FF"/>
    <w:rsid w:val="00B70C16"/>
    <w:rsid w:val="00B70CD3"/>
    <w:rsid w:val="00B71FFF"/>
    <w:rsid w:val="00B72D45"/>
    <w:rsid w:val="00B72F1C"/>
    <w:rsid w:val="00B73231"/>
    <w:rsid w:val="00B73273"/>
    <w:rsid w:val="00B7541E"/>
    <w:rsid w:val="00B7615C"/>
    <w:rsid w:val="00B767F5"/>
    <w:rsid w:val="00B7680F"/>
    <w:rsid w:val="00B76D8E"/>
    <w:rsid w:val="00B77938"/>
    <w:rsid w:val="00B77B57"/>
    <w:rsid w:val="00B8047F"/>
    <w:rsid w:val="00B812CC"/>
    <w:rsid w:val="00B8148B"/>
    <w:rsid w:val="00B816F4"/>
    <w:rsid w:val="00B819B9"/>
    <w:rsid w:val="00B82462"/>
    <w:rsid w:val="00B82860"/>
    <w:rsid w:val="00B82A59"/>
    <w:rsid w:val="00B82E71"/>
    <w:rsid w:val="00B83E21"/>
    <w:rsid w:val="00B8411E"/>
    <w:rsid w:val="00B84427"/>
    <w:rsid w:val="00B84597"/>
    <w:rsid w:val="00B85BE3"/>
    <w:rsid w:val="00B86086"/>
    <w:rsid w:val="00B86626"/>
    <w:rsid w:val="00B86B2F"/>
    <w:rsid w:val="00B86E03"/>
    <w:rsid w:val="00B906AD"/>
    <w:rsid w:val="00B90A1F"/>
    <w:rsid w:val="00B90EA1"/>
    <w:rsid w:val="00B91436"/>
    <w:rsid w:val="00B921E7"/>
    <w:rsid w:val="00B92943"/>
    <w:rsid w:val="00B92DBC"/>
    <w:rsid w:val="00B92E2F"/>
    <w:rsid w:val="00B9354F"/>
    <w:rsid w:val="00B93C6F"/>
    <w:rsid w:val="00B94485"/>
    <w:rsid w:val="00B94979"/>
    <w:rsid w:val="00B94B2A"/>
    <w:rsid w:val="00B94C40"/>
    <w:rsid w:val="00B9505C"/>
    <w:rsid w:val="00B95368"/>
    <w:rsid w:val="00B96029"/>
    <w:rsid w:val="00B96624"/>
    <w:rsid w:val="00B96A6E"/>
    <w:rsid w:val="00B96B25"/>
    <w:rsid w:val="00B96C2F"/>
    <w:rsid w:val="00B9755C"/>
    <w:rsid w:val="00BA01EE"/>
    <w:rsid w:val="00BA0579"/>
    <w:rsid w:val="00BA0CCD"/>
    <w:rsid w:val="00BA123D"/>
    <w:rsid w:val="00BA147B"/>
    <w:rsid w:val="00BA16F2"/>
    <w:rsid w:val="00BA31AC"/>
    <w:rsid w:val="00BA3690"/>
    <w:rsid w:val="00BA3980"/>
    <w:rsid w:val="00BA3A1E"/>
    <w:rsid w:val="00BA3A5C"/>
    <w:rsid w:val="00BA4BEA"/>
    <w:rsid w:val="00BA4E0A"/>
    <w:rsid w:val="00BA503D"/>
    <w:rsid w:val="00BA52A7"/>
    <w:rsid w:val="00BA5D46"/>
    <w:rsid w:val="00BA5E08"/>
    <w:rsid w:val="00BA6950"/>
    <w:rsid w:val="00BA6D7C"/>
    <w:rsid w:val="00BA6F38"/>
    <w:rsid w:val="00BA762E"/>
    <w:rsid w:val="00BA77AB"/>
    <w:rsid w:val="00BA780F"/>
    <w:rsid w:val="00BA7D7B"/>
    <w:rsid w:val="00BB090D"/>
    <w:rsid w:val="00BB0EEF"/>
    <w:rsid w:val="00BB0FAE"/>
    <w:rsid w:val="00BB14A8"/>
    <w:rsid w:val="00BB1914"/>
    <w:rsid w:val="00BB2294"/>
    <w:rsid w:val="00BB22C4"/>
    <w:rsid w:val="00BB2330"/>
    <w:rsid w:val="00BB3ACF"/>
    <w:rsid w:val="00BB3C2D"/>
    <w:rsid w:val="00BB47FD"/>
    <w:rsid w:val="00BB51B5"/>
    <w:rsid w:val="00BB714A"/>
    <w:rsid w:val="00BC0013"/>
    <w:rsid w:val="00BC0C8D"/>
    <w:rsid w:val="00BC1037"/>
    <w:rsid w:val="00BC2587"/>
    <w:rsid w:val="00BC2CD0"/>
    <w:rsid w:val="00BC2D73"/>
    <w:rsid w:val="00BC3033"/>
    <w:rsid w:val="00BC365C"/>
    <w:rsid w:val="00BC4C4D"/>
    <w:rsid w:val="00BC4DAF"/>
    <w:rsid w:val="00BC5005"/>
    <w:rsid w:val="00BC6022"/>
    <w:rsid w:val="00BC67D3"/>
    <w:rsid w:val="00BC728B"/>
    <w:rsid w:val="00BD0743"/>
    <w:rsid w:val="00BD0F15"/>
    <w:rsid w:val="00BD2047"/>
    <w:rsid w:val="00BD216D"/>
    <w:rsid w:val="00BD2506"/>
    <w:rsid w:val="00BD26CA"/>
    <w:rsid w:val="00BD4710"/>
    <w:rsid w:val="00BD477B"/>
    <w:rsid w:val="00BD488C"/>
    <w:rsid w:val="00BD4CB9"/>
    <w:rsid w:val="00BD4DF9"/>
    <w:rsid w:val="00BD4E3B"/>
    <w:rsid w:val="00BD52F6"/>
    <w:rsid w:val="00BD5B34"/>
    <w:rsid w:val="00BD635D"/>
    <w:rsid w:val="00BD695A"/>
    <w:rsid w:val="00BD73E6"/>
    <w:rsid w:val="00BD7FAE"/>
    <w:rsid w:val="00BE0447"/>
    <w:rsid w:val="00BE09C8"/>
    <w:rsid w:val="00BE0A92"/>
    <w:rsid w:val="00BE103F"/>
    <w:rsid w:val="00BE1376"/>
    <w:rsid w:val="00BE1850"/>
    <w:rsid w:val="00BE1B6C"/>
    <w:rsid w:val="00BE2574"/>
    <w:rsid w:val="00BE2C25"/>
    <w:rsid w:val="00BE2CAA"/>
    <w:rsid w:val="00BE2D02"/>
    <w:rsid w:val="00BE2E37"/>
    <w:rsid w:val="00BE3060"/>
    <w:rsid w:val="00BE336E"/>
    <w:rsid w:val="00BE342F"/>
    <w:rsid w:val="00BE3705"/>
    <w:rsid w:val="00BE3984"/>
    <w:rsid w:val="00BE3B57"/>
    <w:rsid w:val="00BE51D8"/>
    <w:rsid w:val="00BE5483"/>
    <w:rsid w:val="00BE5D28"/>
    <w:rsid w:val="00BE5F8D"/>
    <w:rsid w:val="00BE6822"/>
    <w:rsid w:val="00BE6FB7"/>
    <w:rsid w:val="00BF0946"/>
    <w:rsid w:val="00BF1043"/>
    <w:rsid w:val="00BF10B3"/>
    <w:rsid w:val="00BF12F2"/>
    <w:rsid w:val="00BF1635"/>
    <w:rsid w:val="00BF253B"/>
    <w:rsid w:val="00BF2672"/>
    <w:rsid w:val="00BF2B5B"/>
    <w:rsid w:val="00BF2B9A"/>
    <w:rsid w:val="00BF2C07"/>
    <w:rsid w:val="00BF2C4C"/>
    <w:rsid w:val="00BF39D4"/>
    <w:rsid w:val="00BF3E1B"/>
    <w:rsid w:val="00BF3EBC"/>
    <w:rsid w:val="00BF4D16"/>
    <w:rsid w:val="00BF4F6E"/>
    <w:rsid w:val="00BF52D6"/>
    <w:rsid w:val="00BF558F"/>
    <w:rsid w:val="00BF597A"/>
    <w:rsid w:val="00BF5FF1"/>
    <w:rsid w:val="00BF6210"/>
    <w:rsid w:val="00BF6308"/>
    <w:rsid w:val="00BF6F04"/>
    <w:rsid w:val="00BF7044"/>
    <w:rsid w:val="00BF7202"/>
    <w:rsid w:val="00C00DD2"/>
    <w:rsid w:val="00C01260"/>
    <w:rsid w:val="00C019C2"/>
    <w:rsid w:val="00C02164"/>
    <w:rsid w:val="00C02B6B"/>
    <w:rsid w:val="00C034FE"/>
    <w:rsid w:val="00C038AF"/>
    <w:rsid w:val="00C03C01"/>
    <w:rsid w:val="00C03F17"/>
    <w:rsid w:val="00C045DE"/>
    <w:rsid w:val="00C04F94"/>
    <w:rsid w:val="00C05466"/>
    <w:rsid w:val="00C061C1"/>
    <w:rsid w:val="00C069B4"/>
    <w:rsid w:val="00C076D1"/>
    <w:rsid w:val="00C10024"/>
    <w:rsid w:val="00C10FC0"/>
    <w:rsid w:val="00C11103"/>
    <w:rsid w:val="00C116F0"/>
    <w:rsid w:val="00C117C5"/>
    <w:rsid w:val="00C119EB"/>
    <w:rsid w:val="00C11EE2"/>
    <w:rsid w:val="00C12D14"/>
    <w:rsid w:val="00C13F6C"/>
    <w:rsid w:val="00C14B6D"/>
    <w:rsid w:val="00C15EAB"/>
    <w:rsid w:val="00C161B7"/>
    <w:rsid w:val="00C16343"/>
    <w:rsid w:val="00C16505"/>
    <w:rsid w:val="00C17374"/>
    <w:rsid w:val="00C17880"/>
    <w:rsid w:val="00C17B7D"/>
    <w:rsid w:val="00C17BB0"/>
    <w:rsid w:val="00C17D29"/>
    <w:rsid w:val="00C2011C"/>
    <w:rsid w:val="00C203A6"/>
    <w:rsid w:val="00C205D4"/>
    <w:rsid w:val="00C21E3A"/>
    <w:rsid w:val="00C22CA4"/>
    <w:rsid w:val="00C22E28"/>
    <w:rsid w:val="00C2366F"/>
    <w:rsid w:val="00C244DE"/>
    <w:rsid w:val="00C251B5"/>
    <w:rsid w:val="00C256DE"/>
    <w:rsid w:val="00C2587B"/>
    <w:rsid w:val="00C25998"/>
    <w:rsid w:val="00C25DF8"/>
    <w:rsid w:val="00C2693D"/>
    <w:rsid w:val="00C26A67"/>
    <w:rsid w:val="00C27C89"/>
    <w:rsid w:val="00C27E35"/>
    <w:rsid w:val="00C3052F"/>
    <w:rsid w:val="00C3133D"/>
    <w:rsid w:val="00C31E6E"/>
    <w:rsid w:val="00C32677"/>
    <w:rsid w:val="00C332B3"/>
    <w:rsid w:val="00C33334"/>
    <w:rsid w:val="00C33864"/>
    <w:rsid w:val="00C33C90"/>
    <w:rsid w:val="00C34804"/>
    <w:rsid w:val="00C354B5"/>
    <w:rsid w:val="00C35707"/>
    <w:rsid w:val="00C357E6"/>
    <w:rsid w:val="00C35994"/>
    <w:rsid w:val="00C36090"/>
    <w:rsid w:val="00C365A1"/>
    <w:rsid w:val="00C368E7"/>
    <w:rsid w:val="00C36AAB"/>
    <w:rsid w:val="00C36D89"/>
    <w:rsid w:val="00C37103"/>
    <w:rsid w:val="00C37D3E"/>
    <w:rsid w:val="00C407E5"/>
    <w:rsid w:val="00C40A73"/>
    <w:rsid w:val="00C40BC7"/>
    <w:rsid w:val="00C40FBE"/>
    <w:rsid w:val="00C41A04"/>
    <w:rsid w:val="00C43120"/>
    <w:rsid w:val="00C432AA"/>
    <w:rsid w:val="00C433EE"/>
    <w:rsid w:val="00C43CCF"/>
    <w:rsid w:val="00C43F7E"/>
    <w:rsid w:val="00C44AF2"/>
    <w:rsid w:val="00C44CAE"/>
    <w:rsid w:val="00C44D29"/>
    <w:rsid w:val="00C4534C"/>
    <w:rsid w:val="00C46508"/>
    <w:rsid w:val="00C47585"/>
    <w:rsid w:val="00C47C20"/>
    <w:rsid w:val="00C47C92"/>
    <w:rsid w:val="00C47DB5"/>
    <w:rsid w:val="00C507CD"/>
    <w:rsid w:val="00C50C71"/>
    <w:rsid w:val="00C51AA7"/>
    <w:rsid w:val="00C526E0"/>
    <w:rsid w:val="00C532C6"/>
    <w:rsid w:val="00C53384"/>
    <w:rsid w:val="00C53925"/>
    <w:rsid w:val="00C53A50"/>
    <w:rsid w:val="00C551C4"/>
    <w:rsid w:val="00C554BC"/>
    <w:rsid w:val="00C55E57"/>
    <w:rsid w:val="00C5637D"/>
    <w:rsid w:val="00C563F9"/>
    <w:rsid w:val="00C5660C"/>
    <w:rsid w:val="00C56CED"/>
    <w:rsid w:val="00C56D00"/>
    <w:rsid w:val="00C575B1"/>
    <w:rsid w:val="00C57896"/>
    <w:rsid w:val="00C57B12"/>
    <w:rsid w:val="00C60240"/>
    <w:rsid w:val="00C6066E"/>
    <w:rsid w:val="00C611EC"/>
    <w:rsid w:val="00C61339"/>
    <w:rsid w:val="00C6142B"/>
    <w:rsid w:val="00C614F9"/>
    <w:rsid w:val="00C62193"/>
    <w:rsid w:val="00C6274A"/>
    <w:rsid w:val="00C62A10"/>
    <w:rsid w:val="00C62FBD"/>
    <w:rsid w:val="00C63035"/>
    <w:rsid w:val="00C63621"/>
    <w:rsid w:val="00C6464A"/>
    <w:rsid w:val="00C65432"/>
    <w:rsid w:val="00C65531"/>
    <w:rsid w:val="00C6554C"/>
    <w:rsid w:val="00C6632D"/>
    <w:rsid w:val="00C667B5"/>
    <w:rsid w:val="00C66AC2"/>
    <w:rsid w:val="00C67BF7"/>
    <w:rsid w:val="00C67EFA"/>
    <w:rsid w:val="00C703F6"/>
    <w:rsid w:val="00C71010"/>
    <w:rsid w:val="00C7147A"/>
    <w:rsid w:val="00C71CBD"/>
    <w:rsid w:val="00C71DCC"/>
    <w:rsid w:val="00C7225D"/>
    <w:rsid w:val="00C7236A"/>
    <w:rsid w:val="00C7254B"/>
    <w:rsid w:val="00C7344E"/>
    <w:rsid w:val="00C73E70"/>
    <w:rsid w:val="00C73E90"/>
    <w:rsid w:val="00C7464B"/>
    <w:rsid w:val="00C746BF"/>
    <w:rsid w:val="00C74C8E"/>
    <w:rsid w:val="00C750C4"/>
    <w:rsid w:val="00C751FB"/>
    <w:rsid w:val="00C75272"/>
    <w:rsid w:val="00C756B7"/>
    <w:rsid w:val="00C759CF"/>
    <w:rsid w:val="00C75D46"/>
    <w:rsid w:val="00C76DF4"/>
    <w:rsid w:val="00C77076"/>
    <w:rsid w:val="00C77136"/>
    <w:rsid w:val="00C7755D"/>
    <w:rsid w:val="00C778AE"/>
    <w:rsid w:val="00C811ED"/>
    <w:rsid w:val="00C81A64"/>
    <w:rsid w:val="00C82071"/>
    <w:rsid w:val="00C82073"/>
    <w:rsid w:val="00C82540"/>
    <w:rsid w:val="00C82808"/>
    <w:rsid w:val="00C82B9C"/>
    <w:rsid w:val="00C82C9C"/>
    <w:rsid w:val="00C83210"/>
    <w:rsid w:val="00C832E8"/>
    <w:rsid w:val="00C833C8"/>
    <w:rsid w:val="00C8371A"/>
    <w:rsid w:val="00C83D6A"/>
    <w:rsid w:val="00C84E15"/>
    <w:rsid w:val="00C84EE8"/>
    <w:rsid w:val="00C852DB"/>
    <w:rsid w:val="00C856E2"/>
    <w:rsid w:val="00C85957"/>
    <w:rsid w:val="00C85C51"/>
    <w:rsid w:val="00C86F06"/>
    <w:rsid w:val="00C87B96"/>
    <w:rsid w:val="00C87CE5"/>
    <w:rsid w:val="00C9022C"/>
    <w:rsid w:val="00C903A8"/>
    <w:rsid w:val="00C911B4"/>
    <w:rsid w:val="00C91702"/>
    <w:rsid w:val="00C9183A"/>
    <w:rsid w:val="00C91C9C"/>
    <w:rsid w:val="00C91E57"/>
    <w:rsid w:val="00C921AA"/>
    <w:rsid w:val="00C92CF0"/>
    <w:rsid w:val="00C92D5F"/>
    <w:rsid w:val="00C93170"/>
    <w:rsid w:val="00C9323E"/>
    <w:rsid w:val="00C935B8"/>
    <w:rsid w:val="00C936F8"/>
    <w:rsid w:val="00C941E8"/>
    <w:rsid w:val="00C9436F"/>
    <w:rsid w:val="00C94CE5"/>
    <w:rsid w:val="00C94DFF"/>
    <w:rsid w:val="00C953AB"/>
    <w:rsid w:val="00C9591C"/>
    <w:rsid w:val="00C95AE9"/>
    <w:rsid w:val="00C97488"/>
    <w:rsid w:val="00C97AB4"/>
    <w:rsid w:val="00C97B57"/>
    <w:rsid w:val="00CA0173"/>
    <w:rsid w:val="00CA0325"/>
    <w:rsid w:val="00CA07E6"/>
    <w:rsid w:val="00CA0B22"/>
    <w:rsid w:val="00CA0CA1"/>
    <w:rsid w:val="00CA105A"/>
    <w:rsid w:val="00CA1206"/>
    <w:rsid w:val="00CA1B7D"/>
    <w:rsid w:val="00CA21F4"/>
    <w:rsid w:val="00CA3732"/>
    <w:rsid w:val="00CA37B4"/>
    <w:rsid w:val="00CA37C4"/>
    <w:rsid w:val="00CA44B3"/>
    <w:rsid w:val="00CA4E1D"/>
    <w:rsid w:val="00CA5032"/>
    <w:rsid w:val="00CA53A4"/>
    <w:rsid w:val="00CA54E5"/>
    <w:rsid w:val="00CA6768"/>
    <w:rsid w:val="00CA68CC"/>
    <w:rsid w:val="00CA6DE8"/>
    <w:rsid w:val="00CA7921"/>
    <w:rsid w:val="00CB06BD"/>
    <w:rsid w:val="00CB07E7"/>
    <w:rsid w:val="00CB1285"/>
    <w:rsid w:val="00CB1ACA"/>
    <w:rsid w:val="00CB21C7"/>
    <w:rsid w:val="00CB26EA"/>
    <w:rsid w:val="00CB26F3"/>
    <w:rsid w:val="00CB28A2"/>
    <w:rsid w:val="00CB2908"/>
    <w:rsid w:val="00CB3B59"/>
    <w:rsid w:val="00CB44C3"/>
    <w:rsid w:val="00CB4540"/>
    <w:rsid w:val="00CB4672"/>
    <w:rsid w:val="00CB4CD5"/>
    <w:rsid w:val="00CB56B8"/>
    <w:rsid w:val="00CB6066"/>
    <w:rsid w:val="00CB61CC"/>
    <w:rsid w:val="00CB689C"/>
    <w:rsid w:val="00CB691B"/>
    <w:rsid w:val="00CB6C30"/>
    <w:rsid w:val="00CB7309"/>
    <w:rsid w:val="00CB75DB"/>
    <w:rsid w:val="00CB7A25"/>
    <w:rsid w:val="00CC01FA"/>
    <w:rsid w:val="00CC03D9"/>
    <w:rsid w:val="00CC07EB"/>
    <w:rsid w:val="00CC148B"/>
    <w:rsid w:val="00CC161C"/>
    <w:rsid w:val="00CC25EB"/>
    <w:rsid w:val="00CC28BF"/>
    <w:rsid w:val="00CC28C3"/>
    <w:rsid w:val="00CC2B2F"/>
    <w:rsid w:val="00CC2BD8"/>
    <w:rsid w:val="00CC2BDB"/>
    <w:rsid w:val="00CC2C1A"/>
    <w:rsid w:val="00CC307C"/>
    <w:rsid w:val="00CC3098"/>
    <w:rsid w:val="00CC319E"/>
    <w:rsid w:val="00CC32F6"/>
    <w:rsid w:val="00CC4390"/>
    <w:rsid w:val="00CC4C38"/>
    <w:rsid w:val="00CC4E9E"/>
    <w:rsid w:val="00CC50D3"/>
    <w:rsid w:val="00CC5C4C"/>
    <w:rsid w:val="00CC5E9D"/>
    <w:rsid w:val="00CC668D"/>
    <w:rsid w:val="00CC687F"/>
    <w:rsid w:val="00CC6AE9"/>
    <w:rsid w:val="00CC723C"/>
    <w:rsid w:val="00CD15D6"/>
    <w:rsid w:val="00CD1660"/>
    <w:rsid w:val="00CD16F8"/>
    <w:rsid w:val="00CD174C"/>
    <w:rsid w:val="00CD1BD8"/>
    <w:rsid w:val="00CD1C6E"/>
    <w:rsid w:val="00CD2198"/>
    <w:rsid w:val="00CD2968"/>
    <w:rsid w:val="00CD2FBC"/>
    <w:rsid w:val="00CD320F"/>
    <w:rsid w:val="00CD32A6"/>
    <w:rsid w:val="00CD3479"/>
    <w:rsid w:val="00CD3DA9"/>
    <w:rsid w:val="00CD3EF3"/>
    <w:rsid w:val="00CD3F01"/>
    <w:rsid w:val="00CD4FC3"/>
    <w:rsid w:val="00CD5159"/>
    <w:rsid w:val="00CD55B8"/>
    <w:rsid w:val="00CD6574"/>
    <w:rsid w:val="00CD67C4"/>
    <w:rsid w:val="00CD6C10"/>
    <w:rsid w:val="00CD7C5E"/>
    <w:rsid w:val="00CE091E"/>
    <w:rsid w:val="00CE0DE1"/>
    <w:rsid w:val="00CE1349"/>
    <w:rsid w:val="00CE1467"/>
    <w:rsid w:val="00CE1D5E"/>
    <w:rsid w:val="00CE1E16"/>
    <w:rsid w:val="00CE3A6D"/>
    <w:rsid w:val="00CE3F47"/>
    <w:rsid w:val="00CE434C"/>
    <w:rsid w:val="00CE5A68"/>
    <w:rsid w:val="00CE5B05"/>
    <w:rsid w:val="00CE638B"/>
    <w:rsid w:val="00CE6AE0"/>
    <w:rsid w:val="00CE72FD"/>
    <w:rsid w:val="00CE75C7"/>
    <w:rsid w:val="00CE7678"/>
    <w:rsid w:val="00CE792A"/>
    <w:rsid w:val="00CE7C23"/>
    <w:rsid w:val="00CF0676"/>
    <w:rsid w:val="00CF06E5"/>
    <w:rsid w:val="00CF07F5"/>
    <w:rsid w:val="00CF0D08"/>
    <w:rsid w:val="00CF1553"/>
    <w:rsid w:val="00CF1EC7"/>
    <w:rsid w:val="00CF2721"/>
    <w:rsid w:val="00CF2F77"/>
    <w:rsid w:val="00CF3779"/>
    <w:rsid w:val="00CF3C14"/>
    <w:rsid w:val="00CF4007"/>
    <w:rsid w:val="00CF4065"/>
    <w:rsid w:val="00CF43B1"/>
    <w:rsid w:val="00CF4402"/>
    <w:rsid w:val="00CF52C3"/>
    <w:rsid w:val="00CF52FF"/>
    <w:rsid w:val="00CF557B"/>
    <w:rsid w:val="00CF586B"/>
    <w:rsid w:val="00CF5ACA"/>
    <w:rsid w:val="00CF5EA4"/>
    <w:rsid w:val="00CF621E"/>
    <w:rsid w:val="00CF6B90"/>
    <w:rsid w:val="00CF7163"/>
    <w:rsid w:val="00CF7310"/>
    <w:rsid w:val="00CF75B9"/>
    <w:rsid w:val="00CF76BB"/>
    <w:rsid w:val="00CF7800"/>
    <w:rsid w:val="00D00776"/>
    <w:rsid w:val="00D00912"/>
    <w:rsid w:val="00D0172C"/>
    <w:rsid w:val="00D01B61"/>
    <w:rsid w:val="00D02389"/>
    <w:rsid w:val="00D0247C"/>
    <w:rsid w:val="00D02635"/>
    <w:rsid w:val="00D03474"/>
    <w:rsid w:val="00D03918"/>
    <w:rsid w:val="00D047C9"/>
    <w:rsid w:val="00D052F7"/>
    <w:rsid w:val="00D05A2B"/>
    <w:rsid w:val="00D06779"/>
    <w:rsid w:val="00D069B9"/>
    <w:rsid w:val="00D070FE"/>
    <w:rsid w:val="00D07480"/>
    <w:rsid w:val="00D07D9A"/>
    <w:rsid w:val="00D101D6"/>
    <w:rsid w:val="00D104E8"/>
    <w:rsid w:val="00D1056B"/>
    <w:rsid w:val="00D11012"/>
    <w:rsid w:val="00D11722"/>
    <w:rsid w:val="00D119E2"/>
    <w:rsid w:val="00D12520"/>
    <w:rsid w:val="00D12C34"/>
    <w:rsid w:val="00D12F25"/>
    <w:rsid w:val="00D13180"/>
    <w:rsid w:val="00D1357F"/>
    <w:rsid w:val="00D139C9"/>
    <w:rsid w:val="00D139F1"/>
    <w:rsid w:val="00D13C87"/>
    <w:rsid w:val="00D1422C"/>
    <w:rsid w:val="00D149DB"/>
    <w:rsid w:val="00D14E7F"/>
    <w:rsid w:val="00D14FB5"/>
    <w:rsid w:val="00D155A0"/>
    <w:rsid w:val="00D16374"/>
    <w:rsid w:val="00D16581"/>
    <w:rsid w:val="00D16F0E"/>
    <w:rsid w:val="00D1738F"/>
    <w:rsid w:val="00D17F41"/>
    <w:rsid w:val="00D2003D"/>
    <w:rsid w:val="00D201A6"/>
    <w:rsid w:val="00D20670"/>
    <w:rsid w:val="00D20DA7"/>
    <w:rsid w:val="00D21046"/>
    <w:rsid w:val="00D2142C"/>
    <w:rsid w:val="00D21527"/>
    <w:rsid w:val="00D215CA"/>
    <w:rsid w:val="00D21FAF"/>
    <w:rsid w:val="00D22123"/>
    <w:rsid w:val="00D2287B"/>
    <w:rsid w:val="00D22A12"/>
    <w:rsid w:val="00D22E8A"/>
    <w:rsid w:val="00D22F9E"/>
    <w:rsid w:val="00D234FF"/>
    <w:rsid w:val="00D23C41"/>
    <w:rsid w:val="00D23E5C"/>
    <w:rsid w:val="00D2477B"/>
    <w:rsid w:val="00D25077"/>
    <w:rsid w:val="00D25B9A"/>
    <w:rsid w:val="00D25FFF"/>
    <w:rsid w:val="00D264D7"/>
    <w:rsid w:val="00D268A6"/>
    <w:rsid w:val="00D26E9E"/>
    <w:rsid w:val="00D27078"/>
    <w:rsid w:val="00D27604"/>
    <w:rsid w:val="00D27990"/>
    <w:rsid w:val="00D30D3B"/>
    <w:rsid w:val="00D31281"/>
    <w:rsid w:val="00D3195B"/>
    <w:rsid w:val="00D31AC7"/>
    <w:rsid w:val="00D31DA5"/>
    <w:rsid w:val="00D31F94"/>
    <w:rsid w:val="00D3206E"/>
    <w:rsid w:val="00D32234"/>
    <w:rsid w:val="00D3298E"/>
    <w:rsid w:val="00D32E89"/>
    <w:rsid w:val="00D33125"/>
    <w:rsid w:val="00D343BE"/>
    <w:rsid w:val="00D343DE"/>
    <w:rsid w:val="00D34864"/>
    <w:rsid w:val="00D34D8E"/>
    <w:rsid w:val="00D34DA6"/>
    <w:rsid w:val="00D3534C"/>
    <w:rsid w:val="00D35497"/>
    <w:rsid w:val="00D35795"/>
    <w:rsid w:val="00D35F45"/>
    <w:rsid w:val="00D36141"/>
    <w:rsid w:val="00D3639F"/>
    <w:rsid w:val="00D3663A"/>
    <w:rsid w:val="00D369A6"/>
    <w:rsid w:val="00D36B59"/>
    <w:rsid w:val="00D36BD4"/>
    <w:rsid w:val="00D3731C"/>
    <w:rsid w:val="00D37473"/>
    <w:rsid w:val="00D37703"/>
    <w:rsid w:val="00D37E60"/>
    <w:rsid w:val="00D40209"/>
    <w:rsid w:val="00D40A33"/>
    <w:rsid w:val="00D40AED"/>
    <w:rsid w:val="00D41FC1"/>
    <w:rsid w:val="00D4262E"/>
    <w:rsid w:val="00D42B55"/>
    <w:rsid w:val="00D42C65"/>
    <w:rsid w:val="00D42E0A"/>
    <w:rsid w:val="00D438D6"/>
    <w:rsid w:val="00D446AB"/>
    <w:rsid w:val="00D448A5"/>
    <w:rsid w:val="00D44B89"/>
    <w:rsid w:val="00D44DA6"/>
    <w:rsid w:val="00D45D31"/>
    <w:rsid w:val="00D460DB"/>
    <w:rsid w:val="00D46EE1"/>
    <w:rsid w:val="00D46F90"/>
    <w:rsid w:val="00D474D9"/>
    <w:rsid w:val="00D47DF7"/>
    <w:rsid w:val="00D5009B"/>
    <w:rsid w:val="00D504A5"/>
    <w:rsid w:val="00D50F41"/>
    <w:rsid w:val="00D510AE"/>
    <w:rsid w:val="00D5114F"/>
    <w:rsid w:val="00D514AF"/>
    <w:rsid w:val="00D5156D"/>
    <w:rsid w:val="00D51E4A"/>
    <w:rsid w:val="00D52A67"/>
    <w:rsid w:val="00D52E8F"/>
    <w:rsid w:val="00D5324A"/>
    <w:rsid w:val="00D5377A"/>
    <w:rsid w:val="00D53CF1"/>
    <w:rsid w:val="00D53E68"/>
    <w:rsid w:val="00D53E6B"/>
    <w:rsid w:val="00D5420E"/>
    <w:rsid w:val="00D543F1"/>
    <w:rsid w:val="00D55224"/>
    <w:rsid w:val="00D552CE"/>
    <w:rsid w:val="00D55818"/>
    <w:rsid w:val="00D55960"/>
    <w:rsid w:val="00D5596C"/>
    <w:rsid w:val="00D55A8D"/>
    <w:rsid w:val="00D568B7"/>
    <w:rsid w:val="00D56A27"/>
    <w:rsid w:val="00D56C48"/>
    <w:rsid w:val="00D56DC6"/>
    <w:rsid w:val="00D56F17"/>
    <w:rsid w:val="00D57489"/>
    <w:rsid w:val="00D6011A"/>
    <w:rsid w:val="00D60DE3"/>
    <w:rsid w:val="00D61CF9"/>
    <w:rsid w:val="00D62753"/>
    <w:rsid w:val="00D62B3D"/>
    <w:rsid w:val="00D62FCA"/>
    <w:rsid w:val="00D630DD"/>
    <w:rsid w:val="00D6313F"/>
    <w:rsid w:val="00D64005"/>
    <w:rsid w:val="00D64484"/>
    <w:rsid w:val="00D646F8"/>
    <w:rsid w:val="00D654D0"/>
    <w:rsid w:val="00D665CB"/>
    <w:rsid w:val="00D66A13"/>
    <w:rsid w:val="00D66A19"/>
    <w:rsid w:val="00D66A5C"/>
    <w:rsid w:val="00D66B84"/>
    <w:rsid w:val="00D673FA"/>
    <w:rsid w:val="00D7066C"/>
    <w:rsid w:val="00D713CC"/>
    <w:rsid w:val="00D7197D"/>
    <w:rsid w:val="00D719E6"/>
    <w:rsid w:val="00D71EC2"/>
    <w:rsid w:val="00D72118"/>
    <w:rsid w:val="00D72381"/>
    <w:rsid w:val="00D72984"/>
    <w:rsid w:val="00D7357C"/>
    <w:rsid w:val="00D7367E"/>
    <w:rsid w:val="00D73F4D"/>
    <w:rsid w:val="00D7429F"/>
    <w:rsid w:val="00D74437"/>
    <w:rsid w:val="00D753A2"/>
    <w:rsid w:val="00D7567F"/>
    <w:rsid w:val="00D75FB8"/>
    <w:rsid w:val="00D76043"/>
    <w:rsid w:val="00D76334"/>
    <w:rsid w:val="00D76732"/>
    <w:rsid w:val="00D76C89"/>
    <w:rsid w:val="00D76EC5"/>
    <w:rsid w:val="00D76F2A"/>
    <w:rsid w:val="00D770D9"/>
    <w:rsid w:val="00D774E0"/>
    <w:rsid w:val="00D80360"/>
    <w:rsid w:val="00D80418"/>
    <w:rsid w:val="00D80D5F"/>
    <w:rsid w:val="00D813C3"/>
    <w:rsid w:val="00D81657"/>
    <w:rsid w:val="00D81C4F"/>
    <w:rsid w:val="00D81C57"/>
    <w:rsid w:val="00D8257B"/>
    <w:rsid w:val="00D83C2C"/>
    <w:rsid w:val="00D848E3"/>
    <w:rsid w:val="00D84D2D"/>
    <w:rsid w:val="00D84F7E"/>
    <w:rsid w:val="00D851EE"/>
    <w:rsid w:val="00D85A35"/>
    <w:rsid w:val="00D85DAF"/>
    <w:rsid w:val="00D87C0A"/>
    <w:rsid w:val="00D87C3B"/>
    <w:rsid w:val="00D90182"/>
    <w:rsid w:val="00D901FE"/>
    <w:rsid w:val="00D908B1"/>
    <w:rsid w:val="00D90E1B"/>
    <w:rsid w:val="00D91101"/>
    <w:rsid w:val="00D91518"/>
    <w:rsid w:val="00D922FE"/>
    <w:rsid w:val="00D924C7"/>
    <w:rsid w:val="00D9286A"/>
    <w:rsid w:val="00D93439"/>
    <w:rsid w:val="00D935D5"/>
    <w:rsid w:val="00D93B5E"/>
    <w:rsid w:val="00D93BB5"/>
    <w:rsid w:val="00D9411E"/>
    <w:rsid w:val="00D9454F"/>
    <w:rsid w:val="00D94EFA"/>
    <w:rsid w:val="00D95C91"/>
    <w:rsid w:val="00D95EC6"/>
    <w:rsid w:val="00D95F84"/>
    <w:rsid w:val="00D96AED"/>
    <w:rsid w:val="00D97240"/>
    <w:rsid w:val="00D97314"/>
    <w:rsid w:val="00D979E2"/>
    <w:rsid w:val="00D97D3D"/>
    <w:rsid w:val="00DA2939"/>
    <w:rsid w:val="00DA2CA1"/>
    <w:rsid w:val="00DA2CCF"/>
    <w:rsid w:val="00DA2E20"/>
    <w:rsid w:val="00DA3581"/>
    <w:rsid w:val="00DA3E7E"/>
    <w:rsid w:val="00DA4D73"/>
    <w:rsid w:val="00DA4E9A"/>
    <w:rsid w:val="00DA59FF"/>
    <w:rsid w:val="00DA5AA6"/>
    <w:rsid w:val="00DA60C2"/>
    <w:rsid w:val="00DA6110"/>
    <w:rsid w:val="00DA6141"/>
    <w:rsid w:val="00DA6205"/>
    <w:rsid w:val="00DA6798"/>
    <w:rsid w:val="00DA6B8E"/>
    <w:rsid w:val="00DA6E2C"/>
    <w:rsid w:val="00DA70CD"/>
    <w:rsid w:val="00DA745A"/>
    <w:rsid w:val="00DA76F0"/>
    <w:rsid w:val="00DA7A24"/>
    <w:rsid w:val="00DB0067"/>
    <w:rsid w:val="00DB0362"/>
    <w:rsid w:val="00DB07E2"/>
    <w:rsid w:val="00DB0ABB"/>
    <w:rsid w:val="00DB0F71"/>
    <w:rsid w:val="00DB11A3"/>
    <w:rsid w:val="00DB1F53"/>
    <w:rsid w:val="00DB2254"/>
    <w:rsid w:val="00DB27EA"/>
    <w:rsid w:val="00DB30DD"/>
    <w:rsid w:val="00DB352A"/>
    <w:rsid w:val="00DB368A"/>
    <w:rsid w:val="00DB432F"/>
    <w:rsid w:val="00DB447A"/>
    <w:rsid w:val="00DB4BBE"/>
    <w:rsid w:val="00DB5644"/>
    <w:rsid w:val="00DB5911"/>
    <w:rsid w:val="00DB594F"/>
    <w:rsid w:val="00DB5D7B"/>
    <w:rsid w:val="00DB64F4"/>
    <w:rsid w:val="00DB6659"/>
    <w:rsid w:val="00DB6B36"/>
    <w:rsid w:val="00DB70F8"/>
    <w:rsid w:val="00DB71D0"/>
    <w:rsid w:val="00DB728B"/>
    <w:rsid w:val="00DC088D"/>
    <w:rsid w:val="00DC19D6"/>
    <w:rsid w:val="00DC230B"/>
    <w:rsid w:val="00DC2873"/>
    <w:rsid w:val="00DC2B8A"/>
    <w:rsid w:val="00DC2C22"/>
    <w:rsid w:val="00DC2F67"/>
    <w:rsid w:val="00DC2F92"/>
    <w:rsid w:val="00DC35A7"/>
    <w:rsid w:val="00DC37C2"/>
    <w:rsid w:val="00DC3D2E"/>
    <w:rsid w:val="00DC3E43"/>
    <w:rsid w:val="00DC4A84"/>
    <w:rsid w:val="00DC4C0B"/>
    <w:rsid w:val="00DC56B1"/>
    <w:rsid w:val="00DC58AB"/>
    <w:rsid w:val="00DC6CFD"/>
    <w:rsid w:val="00DD01A5"/>
    <w:rsid w:val="00DD0F37"/>
    <w:rsid w:val="00DD110A"/>
    <w:rsid w:val="00DD1A4C"/>
    <w:rsid w:val="00DD20F4"/>
    <w:rsid w:val="00DD22D3"/>
    <w:rsid w:val="00DD27D5"/>
    <w:rsid w:val="00DD2BDE"/>
    <w:rsid w:val="00DD313A"/>
    <w:rsid w:val="00DD3311"/>
    <w:rsid w:val="00DD35C9"/>
    <w:rsid w:val="00DD3718"/>
    <w:rsid w:val="00DD3E7C"/>
    <w:rsid w:val="00DD4359"/>
    <w:rsid w:val="00DD460A"/>
    <w:rsid w:val="00DD4808"/>
    <w:rsid w:val="00DD4AE0"/>
    <w:rsid w:val="00DD4E52"/>
    <w:rsid w:val="00DD5562"/>
    <w:rsid w:val="00DD56F6"/>
    <w:rsid w:val="00DD5FB2"/>
    <w:rsid w:val="00DD60B7"/>
    <w:rsid w:val="00DD6955"/>
    <w:rsid w:val="00DD6A64"/>
    <w:rsid w:val="00DD73AA"/>
    <w:rsid w:val="00DD7422"/>
    <w:rsid w:val="00DD7494"/>
    <w:rsid w:val="00DD79EE"/>
    <w:rsid w:val="00DD7A43"/>
    <w:rsid w:val="00DD7E9A"/>
    <w:rsid w:val="00DE0576"/>
    <w:rsid w:val="00DE0919"/>
    <w:rsid w:val="00DE11DC"/>
    <w:rsid w:val="00DE1B1B"/>
    <w:rsid w:val="00DE1BD7"/>
    <w:rsid w:val="00DE2460"/>
    <w:rsid w:val="00DE26DD"/>
    <w:rsid w:val="00DE27DD"/>
    <w:rsid w:val="00DE46B3"/>
    <w:rsid w:val="00DE54BE"/>
    <w:rsid w:val="00DE5B1F"/>
    <w:rsid w:val="00DE659C"/>
    <w:rsid w:val="00DE695E"/>
    <w:rsid w:val="00DF00D6"/>
    <w:rsid w:val="00DF023F"/>
    <w:rsid w:val="00DF0577"/>
    <w:rsid w:val="00DF0709"/>
    <w:rsid w:val="00DF0761"/>
    <w:rsid w:val="00DF0A6C"/>
    <w:rsid w:val="00DF0C06"/>
    <w:rsid w:val="00DF14B0"/>
    <w:rsid w:val="00DF1D64"/>
    <w:rsid w:val="00DF1FFB"/>
    <w:rsid w:val="00DF2104"/>
    <w:rsid w:val="00DF2C7C"/>
    <w:rsid w:val="00DF31CF"/>
    <w:rsid w:val="00DF344B"/>
    <w:rsid w:val="00DF3B54"/>
    <w:rsid w:val="00DF40F6"/>
    <w:rsid w:val="00DF4277"/>
    <w:rsid w:val="00DF46AB"/>
    <w:rsid w:val="00DF4739"/>
    <w:rsid w:val="00DF4E7F"/>
    <w:rsid w:val="00DF5517"/>
    <w:rsid w:val="00DF5C0D"/>
    <w:rsid w:val="00DF5F23"/>
    <w:rsid w:val="00DF5F90"/>
    <w:rsid w:val="00DF6021"/>
    <w:rsid w:val="00DF65B6"/>
    <w:rsid w:val="00DF6CA0"/>
    <w:rsid w:val="00DF6D7D"/>
    <w:rsid w:val="00DF7350"/>
    <w:rsid w:val="00DF751F"/>
    <w:rsid w:val="00DF7DDB"/>
    <w:rsid w:val="00DF7FCF"/>
    <w:rsid w:val="00E00590"/>
    <w:rsid w:val="00E00FC2"/>
    <w:rsid w:val="00E0102C"/>
    <w:rsid w:val="00E02917"/>
    <w:rsid w:val="00E02C7D"/>
    <w:rsid w:val="00E03036"/>
    <w:rsid w:val="00E036D4"/>
    <w:rsid w:val="00E03996"/>
    <w:rsid w:val="00E03E74"/>
    <w:rsid w:val="00E03EAF"/>
    <w:rsid w:val="00E042B1"/>
    <w:rsid w:val="00E049CC"/>
    <w:rsid w:val="00E04AD1"/>
    <w:rsid w:val="00E04B97"/>
    <w:rsid w:val="00E054EF"/>
    <w:rsid w:val="00E0597B"/>
    <w:rsid w:val="00E06551"/>
    <w:rsid w:val="00E069F7"/>
    <w:rsid w:val="00E06F8C"/>
    <w:rsid w:val="00E07C1B"/>
    <w:rsid w:val="00E10760"/>
    <w:rsid w:val="00E10877"/>
    <w:rsid w:val="00E11476"/>
    <w:rsid w:val="00E11552"/>
    <w:rsid w:val="00E11E8F"/>
    <w:rsid w:val="00E12845"/>
    <w:rsid w:val="00E12847"/>
    <w:rsid w:val="00E12A43"/>
    <w:rsid w:val="00E13A3B"/>
    <w:rsid w:val="00E1423A"/>
    <w:rsid w:val="00E14C73"/>
    <w:rsid w:val="00E15366"/>
    <w:rsid w:val="00E1539E"/>
    <w:rsid w:val="00E157D6"/>
    <w:rsid w:val="00E15E54"/>
    <w:rsid w:val="00E15E6C"/>
    <w:rsid w:val="00E161AB"/>
    <w:rsid w:val="00E165C6"/>
    <w:rsid w:val="00E167C8"/>
    <w:rsid w:val="00E16CC5"/>
    <w:rsid w:val="00E17D3F"/>
    <w:rsid w:val="00E17D94"/>
    <w:rsid w:val="00E20157"/>
    <w:rsid w:val="00E205B1"/>
    <w:rsid w:val="00E211F9"/>
    <w:rsid w:val="00E215AE"/>
    <w:rsid w:val="00E21939"/>
    <w:rsid w:val="00E21E45"/>
    <w:rsid w:val="00E222F5"/>
    <w:rsid w:val="00E2268B"/>
    <w:rsid w:val="00E251E2"/>
    <w:rsid w:val="00E256EB"/>
    <w:rsid w:val="00E26252"/>
    <w:rsid w:val="00E27731"/>
    <w:rsid w:val="00E27AA5"/>
    <w:rsid w:val="00E27ACD"/>
    <w:rsid w:val="00E303B2"/>
    <w:rsid w:val="00E30D22"/>
    <w:rsid w:val="00E311A7"/>
    <w:rsid w:val="00E315A9"/>
    <w:rsid w:val="00E325EC"/>
    <w:rsid w:val="00E32A7C"/>
    <w:rsid w:val="00E32A83"/>
    <w:rsid w:val="00E33417"/>
    <w:rsid w:val="00E338D6"/>
    <w:rsid w:val="00E33C1A"/>
    <w:rsid w:val="00E33EA7"/>
    <w:rsid w:val="00E340C8"/>
    <w:rsid w:val="00E34412"/>
    <w:rsid w:val="00E34A1C"/>
    <w:rsid w:val="00E34B7D"/>
    <w:rsid w:val="00E351FB"/>
    <w:rsid w:val="00E369DA"/>
    <w:rsid w:val="00E37096"/>
    <w:rsid w:val="00E375D4"/>
    <w:rsid w:val="00E37EB2"/>
    <w:rsid w:val="00E403DC"/>
    <w:rsid w:val="00E40AD6"/>
    <w:rsid w:val="00E40DF4"/>
    <w:rsid w:val="00E40E58"/>
    <w:rsid w:val="00E40F43"/>
    <w:rsid w:val="00E413A1"/>
    <w:rsid w:val="00E41637"/>
    <w:rsid w:val="00E41E21"/>
    <w:rsid w:val="00E42666"/>
    <w:rsid w:val="00E428C5"/>
    <w:rsid w:val="00E42E8E"/>
    <w:rsid w:val="00E434F1"/>
    <w:rsid w:val="00E43594"/>
    <w:rsid w:val="00E44890"/>
    <w:rsid w:val="00E44C04"/>
    <w:rsid w:val="00E44F52"/>
    <w:rsid w:val="00E4566B"/>
    <w:rsid w:val="00E457AA"/>
    <w:rsid w:val="00E45FBE"/>
    <w:rsid w:val="00E4621D"/>
    <w:rsid w:val="00E46228"/>
    <w:rsid w:val="00E46FE7"/>
    <w:rsid w:val="00E471C4"/>
    <w:rsid w:val="00E478F3"/>
    <w:rsid w:val="00E50628"/>
    <w:rsid w:val="00E523C7"/>
    <w:rsid w:val="00E53AC7"/>
    <w:rsid w:val="00E53DCE"/>
    <w:rsid w:val="00E53F28"/>
    <w:rsid w:val="00E54D46"/>
    <w:rsid w:val="00E551B2"/>
    <w:rsid w:val="00E55AC2"/>
    <w:rsid w:val="00E5603B"/>
    <w:rsid w:val="00E560A5"/>
    <w:rsid w:val="00E5657E"/>
    <w:rsid w:val="00E56708"/>
    <w:rsid w:val="00E57104"/>
    <w:rsid w:val="00E5757D"/>
    <w:rsid w:val="00E57CB4"/>
    <w:rsid w:val="00E6082D"/>
    <w:rsid w:val="00E61391"/>
    <w:rsid w:val="00E61689"/>
    <w:rsid w:val="00E61DBE"/>
    <w:rsid w:val="00E62675"/>
    <w:rsid w:val="00E6278D"/>
    <w:rsid w:val="00E63034"/>
    <w:rsid w:val="00E63B5A"/>
    <w:rsid w:val="00E63BC3"/>
    <w:rsid w:val="00E644C9"/>
    <w:rsid w:val="00E645F8"/>
    <w:rsid w:val="00E646D1"/>
    <w:rsid w:val="00E64F7D"/>
    <w:rsid w:val="00E666DB"/>
    <w:rsid w:val="00E66714"/>
    <w:rsid w:val="00E66CC8"/>
    <w:rsid w:val="00E6712C"/>
    <w:rsid w:val="00E675BC"/>
    <w:rsid w:val="00E704DC"/>
    <w:rsid w:val="00E70BC8"/>
    <w:rsid w:val="00E70CE9"/>
    <w:rsid w:val="00E71129"/>
    <w:rsid w:val="00E7112D"/>
    <w:rsid w:val="00E727A3"/>
    <w:rsid w:val="00E72952"/>
    <w:rsid w:val="00E72987"/>
    <w:rsid w:val="00E734DB"/>
    <w:rsid w:val="00E735A8"/>
    <w:rsid w:val="00E73681"/>
    <w:rsid w:val="00E73930"/>
    <w:rsid w:val="00E73C6B"/>
    <w:rsid w:val="00E741AF"/>
    <w:rsid w:val="00E74EF0"/>
    <w:rsid w:val="00E75068"/>
    <w:rsid w:val="00E7544B"/>
    <w:rsid w:val="00E75C27"/>
    <w:rsid w:val="00E76577"/>
    <w:rsid w:val="00E76A2A"/>
    <w:rsid w:val="00E76C45"/>
    <w:rsid w:val="00E77332"/>
    <w:rsid w:val="00E77A27"/>
    <w:rsid w:val="00E77C8F"/>
    <w:rsid w:val="00E77EA3"/>
    <w:rsid w:val="00E80BEB"/>
    <w:rsid w:val="00E80EB9"/>
    <w:rsid w:val="00E818DB"/>
    <w:rsid w:val="00E8201A"/>
    <w:rsid w:val="00E822CA"/>
    <w:rsid w:val="00E828D5"/>
    <w:rsid w:val="00E82AC7"/>
    <w:rsid w:val="00E82B99"/>
    <w:rsid w:val="00E82C8A"/>
    <w:rsid w:val="00E83CF7"/>
    <w:rsid w:val="00E84E31"/>
    <w:rsid w:val="00E85922"/>
    <w:rsid w:val="00E859DF"/>
    <w:rsid w:val="00E863AE"/>
    <w:rsid w:val="00E87465"/>
    <w:rsid w:val="00E8791B"/>
    <w:rsid w:val="00E87BAD"/>
    <w:rsid w:val="00E87D6B"/>
    <w:rsid w:val="00E9068A"/>
    <w:rsid w:val="00E90E92"/>
    <w:rsid w:val="00E90F59"/>
    <w:rsid w:val="00E910B9"/>
    <w:rsid w:val="00E91697"/>
    <w:rsid w:val="00E91B15"/>
    <w:rsid w:val="00E92205"/>
    <w:rsid w:val="00E9225C"/>
    <w:rsid w:val="00E93F63"/>
    <w:rsid w:val="00E9422F"/>
    <w:rsid w:val="00E94255"/>
    <w:rsid w:val="00E949E9"/>
    <w:rsid w:val="00E94CD4"/>
    <w:rsid w:val="00E94EAE"/>
    <w:rsid w:val="00E976EC"/>
    <w:rsid w:val="00E9772F"/>
    <w:rsid w:val="00E9774D"/>
    <w:rsid w:val="00EA02A0"/>
    <w:rsid w:val="00EA08B9"/>
    <w:rsid w:val="00EA0C88"/>
    <w:rsid w:val="00EA14BA"/>
    <w:rsid w:val="00EA1E06"/>
    <w:rsid w:val="00EA2066"/>
    <w:rsid w:val="00EA2537"/>
    <w:rsid w:val="00EA2E76"/>
    <w:rsid w:val="00EA307A"/>
    <w:rsid w:val="00EA34AD"/>
    <w:rsid w:val="00EA3862"/>
    <w:rsid w:val="00EA3DB0"/>
    <w:rsid w:val="00EA3F2C"/>
    <w:rsid w:val="00EA413C"/>
    <w:rsid w:val="00EA4463"/>
    <w:rsid w:val="00EA4526"/>
    <w:rsid w:val="00EA46F2"/>
    <w:rsid w:val="00EA4FFC"/>
    <w:rsid w:val="00EA5688"/>
    <w:rsid w:val="00EA5D4F"/>
    <w:rsid w:val="00EA6158"/>
    <w:rsid w:val="00EA6B3E"/>
    <w:rsid w:val="00EA7BD2"/>
    <w:rsid w:val="00EA7CA5"/>
    <w:rsid w:val="00EB047B"/>
    <w:rsid w:val="00EB087B"/>
    <w:rsid w:val="00EB210B"/>
    <w:rsid w:val="00EB2280"/>
    <w:rsid w:val="00EB24B9"/>
    <w:rsid w:val="00EB29AD"/>
    <w:rsid w:val="00EB2BC2"/>
    <w:rsid w:val="00EB2E9D"/>
    <w:rsid w:val="00EB398A"/>
    <w:rsid w:val="00EB3A1A"/>
    <w:rsid w:val="00EB3E63"/>
    <w:rsid w:val="00EB425E"/>
    <w:rsid w:val="00EB45B2"/>
    <w:rsid w:val="00EB4C96"/>
    <w:rsid w:val="00EB5062"/>
    <w:rsid w:val="00EB525F"/>
    <w:rsid w:val="00EB5A6E"/>
    <w:rsid w:val="00EB61F9"/>
    <w:rsid w:val="00EB63B2"/>
    <w:rsid w:val="00EB6630"/>
    <w:rsid w:val="00EB6ADD"/>
    <w:rsid w:val="00EB6F42"/>
    <w:rsid w:val="00EB709C"/>
    <w:rsid w:val="00EC124D"/>
    <w:rsid w:val="00EC134F"/>
    <w:rsid w:val="00EC13B2"/>
    <w:rsid w:val="00EC13BA"/>
    <w:rsid w:val="00EC2084"/>
    <w:rsid w:val="00EC2732"/>
    <w:rsid w:val="00EC3910"/>
    <w:rsid w:val="00EC39B9"/>
    <w:rsid w:val="00EC3A3B"/>
    <w:rsid w:val="00EC3A81"/>
    <w:rsid w:val="00EC3DA1"/>
    <w:rsid w:val="00EC47C3"/>
    <w:rsid w:val="00EC48AC"/>
    <w:rsid w:val="00EC498E"/>
    <w:rsid w:val="00EC4C9C"/>
    <w:rsid w:val="00EC51A7"/>
    <w:rsid w:val="00EC558E"/>
    <w:rsid w:val="00EC5888"/>
    <w:rsid w:val="00EC5C7C"/>
    <w:rsid w:val="00EC5CEE"/>
    <w:rsid w:val="00EC61F5"/>
    <w:rsid w:val="00EC7791"/>
    <w:rsid w:val="00EC7FBB"/>
    <w:rsid w:val="00ED0290"/>
    <w:rsid w:val="00ED033D"/>
    <w:rsid w:val="00ED0BAD"/>
    <w:rsid w:val="00ED0C1A"/>
    <w:rsid w:val="00ED0D3D"/>
    <w:rsid w:val="00ED0D8A"/>
    <w:rsid w:val="00ED0FEF"/>
    <w:rsid w:val="00ED1348"/>
    <w:rsid w:val="00ED139A"/>
    <w:rsid w:val="00ED1C5C"/>
    <w:rsid w:val="00ED212C"/>
    <w:rsid w:val="00ED290A"/>
    <w:rsid w:val="00ED2D83"/>
    <w:rsid w:val="00ED2DE4"/>
    <w:rsid w:val="00ED2F50"/>
    <w:rsid w:val="00ED335B"/>
    <w:rsid w:val="00ED36F4"/>
    <w:rsid w:val="00ED3776"/>
    <w:rsid w:val="00ED3909"/>
    <w:rsid w:val="00ED41B6"/>
    <w:rsid w:val="00ED433D"/>
    <w:rsid w:val="00ED4A24"/>
    <w:rsid w:val="00ED4F49"/>
    <w:rsid w:val="00ED501D"/>
    <w:rsid w:val="00ED501F"/>
    <w:rsid w:val="00ED538D"/>
    <w:rsid w:val="00ED58E8"/>
    <w:rsid w:val="00ED5AF2"/>
    <w:rsid w:val="00ED5C30"/>
    <w:rsid w:val="00ED5E09"/>
    <w:rsid w:val="00ED6485"/>
    <w:rsid w:val="00ED66AA"/>
    <w:rsid w:val="00ED6BEC"/>
    <w:rsid w:val="00ED6CDA"/>
    <w:rsid w:val="00ED6CFC"/>
    <w:rsid w:val="00ED7078"/>
    <w:rsid w:val="00ED71B4"/>
    <w:rsid w:val="00ED73E9"/>
    <w:rsid w:val="00ED7887"/>
    <w:rsid w:val="00ED797B"/>
    <w:rsid w:val="00ED7D81"/>
    <w:rsid w:val="00ED7DBB"/>
    <w:rsid w:val="00ED7E95"/>
    <w:rsid w:val="00EE095E"/>
    <w:rsid w:val="00EE18C7"/>
    <w:rsid w:val="00EE21B5"/>
    <w:rsid w:val="00EE2D0F"/>
    <w:rsid w:val="00EE2E74"/>
    <w:rsid w:val="00EE3168"/>
    <w:rsid w:val="00EE3557"/>
    <w:rsid w:val="00EE370E"/>
    <w:rsid w:val="00EE3AED"/>
    <w:rsid w:val="00EE3C21"/>
    <w:rsid w:val="00EE3FC1"/>
    <w:rsid w:val="00EE4B12"/>
    <w:rsid w:val="00EE4B40"/>
    <w:rsid w:val="00EE4F3B"/>
    <w:rsid w:val="00EE4F8D"/>
    <w:rsid w:val="00EE523A"/>
    <w:rsid w:val="00EE5848"/>
    <w:rsid w:val="00EE59B1"/>
    <w:rsid w:val="00EE5C19"/>
    <w:rsid w:val="00EE618F"/>
    <w:rsid w:val="00EE6857"/>
    <w:rsid w:val="00EE7C77"/>
    <w:rsid w:val="00EF01D6"/>
    <w:rsid w:val="00EF042C"/>
    <w:rsid w:val="00EF0B99"/>
    <w:rsid w:val="00EF11F7"/>
    <w:rsid w:val="00EF19A3"/>
    <w:rsid w:val="00EF1E51"/>
    <w:rsid w:val="00EF2BA4"/>
    <w:rsid w:val="00EF317F"/>
    <w:rsid w:val="00EF3775"/>
    <w:rsid w:val="00EF3CD1"/>
    <w:rsid w:val="00EF405B"/>
    <w:rsid w:val="00EF41D1"/>
    <w:rsid w:val="00EF435E"/>
    <w:rsid w:val="00EF4376"/>
    <w:rsid w:val="00EF45DF"/>
    <w:rsid w:val="00EF4744"/>
    <w:rsid w:val="00EF5B7D"/>
    <w:rsid w:val="00EF5BCB"/>
    <w:rsid w:val="00EF5C26"/>
    <w:rsid w:val="00EF5CD4"/>
    <w:rsid w:val="00EF6355"/>
    <w:rsid w:val="00EF6372"/>
    <w:rsid w:val="00EF7B69"/>
    <w:rsid w:val="00F0038C"/>
    <w:rsid w:val="00F00881"/>
    <w:rsid w:val="00F0122C"/>
    <w:rsid w:val="00F01D89"/>
    <w:rsid w:val="00F0202B"/>
    <w:rsid w:val="00F021F3"/>
    <w:rsid w:val="00F02BCB"/>
    <w:rsid w:val="00F02C8E"/>
    <w:rsid w:val="00F03899"/>
    <w:rsid w:val="00F03AA9"/>
    <w:rsid w:val="00F03C02"/>
    <w:rsid w:val="00F042B1"/>
    <w:rsid w:val="00F043BC"/>
    <w:rsid w:val="00F04A1D"/>
    <w:rsid w:val="00F04F03"/>
    <w:rsid w:val="00F057D5"/>
    <w:rsid w:val="00F05926"/>
    <w:rsid w:val="00F05D1A"/>
    <w:rsid w:val="00F05F5E"/>
    <w:rsid w:val="00F066FD"/>
    <w:rsid w:val="00F06AA6"/>
    <w:rsid w:val="00F06DB4"/>
    <w:rsid w:val="00F0716D"/>
    <w:rsid w:val="00F073A9"/>
    <w:rsid w:val="00F07905"/>
    <w:rsid w:val="00F07EB6"/>
    <w:rsid w:val="00F1008E"/>
    <w:rsid w:val="00F10691"/>
    <w:rsid w:val="00F10F21"/>
    <w:rsid w:val="00F110A0"/>
    <w:rsid w:val="00F110DF"/>
    <w:rsid w:val="00F12010"/>
    <w:rsid w:val="00F122F2"/>
    <w:rsid w:val="00F12AE4"/>
    <w:rsid w:val="00F12E7C"/>
    <w:rsid w:val="00F1332A"/>
    <w:rsid w:val="00F13A4F"/>
    <w:rsid w:val="00F1432B"/>
    <w:rsid w:val="00F1454D"/>
    <w:rsid w:val="00F145BB"/>
    <w:rsid w:val="00F1475C"/>
    <w:rsid w:val="00F147AF"/>
    <w:rsid w:val="00F14893"/>
    <w:rsid w:val="00F14BED"/>
    <w:rsid w:val="00F15D5E"/>
    <w:rsid w:val="00F16673"/>
    <w:rsid w:val="00F166C2"/>
    <w:rsid w:val="00F1732B"/>
    <w:rsid w:val="00F173CE"/>
    <w:rsid w:val="00F20701"/>
    <w:rsid w:val="00F20D00"/>
    <w:rsid w:val="00F20F18"/>
    <w:rsid w:val="00F21214"/>
    <w:rsid w:val="00F21D94"/>
    <w:rsid w:val="00F21DAF"/>
    <w:rsid w:val="00F22599"/>
    <w:rsid w:val="00F22727"/>
    <w:rsid w:val="00F22837"/>
    <w:rsid w:val="00F233E8"/>
    <w:rsid w:val="00F238BB"/>
    <w:rsid w:val="00F239B9"/>
    <w:rsid w:val="00F23A8D"/>
    <w:rsid w:val="00F23F47"/>
    <w:rsid w:val="00F242A8"/>
    <w:rsid w:val="00F2443F"/>
    <w:rsid w:val="00F248CE"/>
    <w:rsid w:val="00F24EB7"/>
    <w:rsid w:val="00F250AF"/>
    <w:rsid w:val="00F25324"/>
    <w:rsid w:val="00F27ABA"/>
    <w:rsid w:val="00F27F37"/>
    <w:rsid w:val="00F3047E"/>
    <w:rsid w:val="00F31867"/>
    <w:rsid w:val="00F32088"/>
    <w:rsid w:val="00F32886"/>
    <w:rsid w:val="00F32AFA"/>
    <w:rsid w:val="00F334B9"/>
    <w:rsid w:val="00F336DE"/>
    <w:rsid w:val="00F33B4D"/>
    <w:rsid w:val="00F33FEB"/>
    <w:rsid w:val="00F347FA"/>
    <w:rsid w:val="00F34810"/>
    <w:rsid w:val="00F34AB8"/>
    <w:rsid w:val="00F34E0E"/>
    <w:rsid w:val="00F35650"/>
    <w:rsid w:val="00F35BBB"/>
    <w:rsid w:val="00F37082"/>
    <w:rsid w:val="00F379EB"/>
    <w:rsid w:val="00F40B11"/>
    <w:rsid w:val="00F41A9B"/>
    <w:rsid w:val="00F41F44"/>
    <w:rsid w:val="00F42792"/>
    <w:rsid w:val="00F43303"/>
    <w:rsid w:val="00F434E0"/>
    <w:rsid w:val="00F43C65"/>
    <w:rsid w:val="00F441E2"/>
    <w:rsid w:val="00F442F1"/>
    <w:rsid w:val="00F4462B"/>
    <w:rsid w:val="00F44653"/>
    <w:rsid w:val="00F4465C"/>
    <w:rsid w:val="00F44EBE"/>
    <w:rsid w:val="00F45382"/>
    <w:rsid w:val="00F45394"/>
    <w:rsid w:val="00F453B8"/>
    <w:rsid w:val="00F45737"/>
    <w:rsid w:val="00F45EE1"/>
    <w:rsid w:val="00F46553"/>
    <w:rsid w:val="00F4659B"/>
    <w:rsid w:val="00F4706D"/>
    <w:rsid w:val="00F516DC"/>
    <w:rsid w:val="00F51AC0"/>
    <w:rsid w:val="00F51F41"/>
    <w:rsid w:val="00F52022"/>
    <w:rsid w:val="00F53287"/>
    <w:rsid w:val="00F533DC"/>
    <w:rsid w:val="00F5367A"/>
    <w:rsid w:val="00F53D5F"/>
    <w:rsid w:val="00F54A0B"/>
    <w:rsid w:val="00F54F23"/>
    <w:rsid w:val="00F5515F"/>
    <w:rsid w:val="00F562CC"/>
    <w:rsid w:val="00F5665A"/>
    <w:rsid w:val="00F56FEA"/>
    <w:rsid w:val="00F5743B"/>
    <w:rsid w:val="00F60C13"/>
    <w:rsid w:val="00F60C1F"/>
    <w:rsid w:val="00F60C3E"/>
    <w:rsid w:val="00F60CE4"/>
    <w:rsid w:val="00F6111E"/>
    <w:rsid w:val="00F61301"/>
    <w:rsid w:val="00F61424"/>
    <w:rsid w:val="00F61BA3"/>
    <w:rsid w:val="00F62036"/>
    <w:rsid w:val="00F6204D"/>
    <w:rsid w:val="00F62287"/>
    <w:rsid w:val="00F6238B"/>
    <w:rsid w:val="00F62C2F"/>
    <w:rsid w:val="00F63086"/>
    <w:rsid w:val="00F63643"/>
    <w:rsid w:val="00F63741"/>
    <w:rsid w:val="00F64524"/>
    <w:rsid w:val="00F653B5"/>
    <w:rsid w:val="00F65BF0"/>
    <w:rsid w:val="00F664C3"/>
    <w:rsid w:val="00F66976"/>
    <w:rsid w:val="00F66B9E"/>
    <w:rsid w:val="00F672CE"/>
    <w:rsid w:val="00F676EA"/>
    <w:rsid w:val="00F67EBA"/>
    <w:rsid w:val="00F7022F"/>
    <w:rsid w:val="00F7049D"/>
    <w:rsid w:val="00F708CC"/>
    <w:rsid w:val="00F708F1"/>
    <w:rsid w:val="00F70D6F"/>
    <w:rsid w:val="00F71643"/>
    <w:rsid w:val="00F721FF"/>
    <w:rsid w:val="00F72B3D"/>
    <w:rsid w:val="00F72DAE"/>
    <w:rsid w:val="00F733BF"/>
    <w:rsid w:val="00F73585"/>
    <w:rsid w:val="00F73997"/>
    <w:rsid w:val="00F73BD5"/>
    <w:rsid w:val="00F73C61"/>
    <w:rsid w:val="00F73D21"/>
    <w:rsid w:val="00F74ED9"/>
    <w:rsid w:val="00F752B1"/>
    <w:rsid w:val="00F75999"/>
    <w:rsid w:val="00F75B17"/>
    <w:rsid w:val="00F75B35"/>
    <w:rsid w:val="00F75F93"/>
    <w:rsid w:val="00F760C9"/>
    <w:rsid w:val="00F76496"/>
    <w:rsid w:val="00F7656E"/>
    <w:rsid w:val="00F7766B"/>
    <w:rsid w:val="00F77BA6"/>
    <w:rsid w:val="00F80296"/>
    <w:rsid w:val="00F81309"/>
    <w:rsid w:val="00F81640"/>
    <w:rsid w:val="00F81B08"/>
    <w:rsid w:val="00F81CC5"/>
    <w:rsid w:val="00F8266E"/>
    <w:rsid w:val="00F82D07"/>
    <w:rsid w:val="00F82F14"/>
    <w:rsid w:val="00F835E7"/>
    <w:rsid w:val="00F84119"/>
    <w:rsid w:val="00F842B8"/>
    <w:rsid w:val="00F84BBC"/>
    <w:rsid w:val="00F84D12"/>
    <w:rsid w:val="00F85A2D"/>
    <w:rsid w:val="00F85EF8"/>
    <w:rsid w:val="00F860E3"/>
    <w:rsid w:val="00F866B0"/>
    <w:rsid w:val="00F874A3"/>
    <w:rsid w:val="00F8758D"/>
    <w:rsid w:val="00F876E7"/>
    <w:rsid w:val="00F87AFA"/>
    <w:rsid w:val="00F87CE7"/>
    <w:rsid w:val="00F87D26"/>
    <w:rsid w:val="00F90AA8"/>
    <w:rsid w:val="00F911E2"/>
    <w:rsid w:val="00F91A57"/>
    <w:rsid w:val="00F91DA4"/>
    <w:rsid w:val="00F92626"/>
    <w:rsid w:val="00F933DF"/>
    <w:rsid w:val="00F93698"/>
    <w:rsid w:val="00F94191"/>
    <w:rsid w:val="00F9431E"/>
    <w:rsid w:val="00F94E53"/>
    <w:rsid w:val="00F95997"/>
    <w:rsid w:val="00F961E4"/>
    <w:rsid w:val="00F96AAE"/>
    <w:rsid w:val="00F971DF"/>
    <w:rsid w:val="00F97D51"/>
    <w:rsid w:val="00FA0185"/>
    <w:rsid w:val="00FA0394"/>
    <w:rsid w:val="00FA070C"/>
    <w:rsid w:val="00FA0F45"/>
    <w:rsid w:val="00FA1330"/>
    <w:rsid w:val="00FA147A"/>
    <w:rsid w:val="00FA184F"/>
    <w:rsid w:val="00FA25D4"/>
    <w:rsid w:val="00FA298B"/>
    <w:rsid w:val="00FA2D45"/>
    <w:rsid w:val="00FA3074"/>
    <w:rsid w:val="00FA3757"/>
    <w:rsid w:val="00FA398D"/>
    <w:rsid w:val="00FA3E6D"/>
    <w:rsid w:val="00FA4880"/>
    <w:rsid w:val="00FA4BF0"/>
    <w:rsid w:val="00FA5295"/>
    <w:rsid w:val="00FA54B5"/>
    <w:rsid w:val="00FA64DB"/>
    <w:rsid w:val="00FA65D1"/>
    <w:rsid w:val="00FA7248"/>
    <w:rsid w:val="00FA73AF"/>
    <w:rsid w:val="00FA7F68"/>
    <w:rsid w:val="00FB03DA"/>
    <w:rsid w:val="00FB0B3B"/>
    <w:rsid w:val="00FB1001"/>
    <w:rsid w:val="00FB1051"/>
    <w:rsid w:val="00FB1311"/>
    <w:rsid w:val="00FB16DB"/>
    <w:rsid w:val="00FB1E13"/>
    <w:rsid w:val="00FB2208"/>
    <w:rsid w:val="00FB22D1"/>
    <w:rsid w:val="00FB29BA"/>
    <w:rsid w:val="00FB356D"/>
    <w:rsid w:val="00FB4CD4"/>
    <w:rsid w:val="00FB514C"/>
    <w:rsid w:val="00FB55AE"/>
    <w:rsid w:val="00FB57B0"/>
    <w:rsid w:val="00FB63F8"/>
    <w:rsid w:val="00FB6637"/>
    <w:rsid w:val="00FB6C02"/>
    <w:rsid w:val="00FB72C9"/>
    <w:rsid w:val="00FB74AC"/>
    <w:rsid w:val="00FB74B3"/>
    <w:rsid w:val="00FB770F"/>
    <w:rsid w:val="00FC0004"/>
    <w:rsid w:val="00FC0401"/>
    <w:rsid w:val="00FC194C"/>
    <w:rsid w:val="00FC1C22"/>
    <w:rsid w:val="00FC2129"/>
    <w:rsid w:val="00FC24A9"/>
    <w:rsid w:val="00FC2F4B"/>
    <w:rsid w:val="00FC380F"/>
    <w:rsid w:val="00FC3AB8"/>
    <w:rsid w:val="00FC3B03"/>
    <w:rsid w:val="00FC3C05"/>
    <w:rsid w:val="00FC3C4E"/>
    <w:rsid w:val="00FC40F4"/>
    <w:rsid w:val="00FC45D3"/>
    <w:rsid w:val="00FC5ED0"/>
    <w:rsid w:val="00FC7280"/>
    <w:rsid w:val="00FD00CB"/>
    <w:rsid w:val="00FD01DE"/>
    <w:rsid w:val="00FD1216"/>
    <w:rsid w:val="00FD1A01"/>
    <w:rsid w:val="00FD1A23"/>
    <w:rsid w:val="00FD2EA9"/>
    <w:rsid w:val="00FD3AF2"/>
    <w:rsid w:val="00FD4012"/>
    <w:rsid w:val="00FD429A"/>
    <w:rsid w:val="00FD42C7"/>
    <w:rsid w:val="00FD455B"/>
    <w:rsid w:val="00FD4650"/>
    <w:rsid w:val="00FD4D4A"/>
    <w:rsid w:val="00FD4F86"/>
    <w:rsid w:val="00FD5AE9"/>
    <w:rsid w:val="00FD6511"/>
    <w:rsid w:val="00FD65B5"/>
    <w:rsid w:val="00FD6AF2"/>
    <w:rsid w:val="00FD6B40"/>
    <w:rsid w:val="00FD7035"/>
    <w:rsid w:val="00FD708B"/>
    <w:rsid w:val="00FD7271"/>
    <w:rsid w:val="00FD7383"/>
    <w:rsid w:val="00FD7950"/>
    <w:rsid w:val="00FD7B05"/>
    <w:rsid w:val="00FD7BAF"/>
    <w:rsid w:val="00FE098E"/>
    <w:rsid w:val="00FE14E6"/>
    <w:rsid w:val="00FE2419"/>
    <w:rsid w:val="00FE2E16"/>
    <w:rsid w:val="00FE4039"/>
    <w:rsid w:val="00FE4AE3"/>
    <w:rsid w:val="00FE5A70"/>
    <w:rsid w:val="00FE5D98"/>
    <w:rsid w:val="00FE5FDB"/>
    <w:rsid w:val="00FE64F4"/>
    <w:rsid w:val="00FE66AC"/>
    <w:rsid w:val="00FE78E5"/>
    <w:rsid w:val="00FE7D22"/>
    <w:rsid w:val="00FF012B"/>
    <w:rsid w:val="00FF0227"/>
    <w:rsid w:val="00FF02DB"/>
    <w:rsid w:val="00FF0FAB"/>
    <w:rsid w:val="00FF111B"/>
    <w:rsid w:val="00FF1421"/>
    <w:rsid w:val="00FF148D"/>
    <w:rsid w:val="00FF16FD"/>
    <w:rsid w:val="00FF229C"/>
    <w:rsid w:val="00FF2B8A"/>
    <w:rsid w:val="00FF2B8E"/>
    <w:rsid w:val="00FF2D8B"/>
    <w:rsid w:val="00FF2E79"/>
    <w:rsid w:val="00FF391D"/>
    <w:rsid w:val="00FF4202"/>
    <w:rsid w:val="00FF472C"/>
    <w:rsid w:val="00FF4A0A"/>
    <w:rsid w:val="00FF4A3E"/>
    <w:rsid w:val="00FF4B29"/>
    <w:rsid w:val="00FF5DF3"/>
    <w:rsid w:val="00FF61A1"/>
    <w:rsid w:val="00FF64F4"/>
    <w:rsid w:val="00FF67DE"/>
    <w:rsid w:val="00FF737F"/>
    <w:rsid w:val="00FF78DB"/>
    <w:rsid w:val="00FF79DF"/>
    <w:rsid w:val="00FF7F95"/>
    <w:rsid w:val="014C6B51"/>
    <w:rsid w:val="01561B33"/>
    <w:rsid w:val="016B0879"/>
    <w:rsid w:val="01757A35"/>
    <w:rsid w:val="017C208B"/>
    <w:rsid w:val="01862095"/>
    <w:rsid w:val="01A714C6"/>
    <w:rsid w:val="01DA44FD"/>
    <w:rsid w:val="01E97C45"/>
    <w:rsid w:val="01EB29B9"/>
    <w:rsid w:val="01F41286"/>
    <w:rsid w:val="01F66ABD"/>
    <w:rsid w:val="02067096"/>
    <w:rsid w:val="0209330B"/>
    <w:rsid w:val="022771F5"/>
    <w:rsid w:val="02366906"/>
    <w:rsid w:val="024B77F8"/>
    <w:rsid w:val="02665B13"/>
    <w:rsid w:val="026C6473"/>
    <w:rsid w:val="029E162E"/>
    <w:rsid w:val="02A61A01"/>
    <w:rsid w:val="02AB295A"/>
    <w:rsid w:val="02B35D48"/>
    <w:rsid w:val="02B41663"/>
    <w:rsid w:val="02B65192"/>
    <w:rsid w:val="02C45D4C"/>
    <w:rsid w:val="02CA1CDA"/>
    <w:rsid w:val="02D0381A"/>
    <w:rsid w:val="02E2139B"/>
    <w:rsid w:val="02E64F51"/>
    <w:rsid w:val="02FF7A7B"/>
    <w:rsid w:val="03041F01"/>
    <w:rsid w:val="031C7767"/>
    <w:rsid w:val="03216839"/>
    <w:rsid w:val="032362FB"/>
    <w:rsid w:val="03336AA7"/>
    <w:rsid w:val="034C024D"/>
    <w:rsid w:val="03970EF3"/>
    <w:rsid w:val="03BC28DC"/>
    <w:rsid w:val="03E63673"/>
    <w:rsid w:val="03E9488D"/>
    <w:rsid w:val="03EC1F79"/>
    <w:rsid w:val="03EE56D6"/>
    <w:rsid w:val="04096A7D"/>
    <w:rsid w:val="041F046A"/>
    <w:rsid w:val="042E782E"/>
    <w:rsid w:val="044B4F14"/>
    <w:rsid w:val="045363CC"/>
    <w:rsid w:val="04543B41"/>
    <w:rsid w:val="045B1C43"/>
    <w:rsid w:val="04664A43"/>
    <w:rsid w:val="046669DA"/>
    <w:rsid w:val="04744954"/>
    <w:rsid w:val="04823DD8"/>
    <w:rsid w:val="048C44D0"/>
    <w:rsid w:val="04BA2023"/>
    <w:rsid w:val="04BD302C"/>
    <w:rsid w:val="04E94E17"/>
    <w:rsid w:val="04FC4032"/>
    <w:rsid w:val="04FF3EFD"/>
    <w:rsid w:val="050F2B20"/>
    <w:rsid w:val="051A42C8"/>
    <w:rsid w:val="0558129F"/>
    <w:rsid w:val="05947D96"/>
    <w:rsid w:val="05CA5640"/>
    <w:rsid w:val="05CC746C"/>
    <w:rsid w:val="05DA1473"/>
    <w:rsid w:val="05E742EE"/>
    <w:rsid w:val="0651445C"/>
    <w:rsid w:val="065906F6"/>
    <w:rsid w:val="067C7BED"/>
    <w:rsid w:val="069C4BD1"/>
    <w:rsid w:val="06A25ED6"/>
    <w:rsid w:val="06FB6BF1"/>
    <w:rsid w:val="06FB711B"/>
    <w:rsid w:val="07130137"/>
    <w:rsid w:val="07341BE6"/>
    <w:rsid w:val="075E37F7"/>
    <w:rsid w:val="07647CAF"/>
    <w:rsid w:val="076E27BD"/>
    <w:rsid w:val="078C7875"/>
    <w:rsid w:val="079076EC"/>
    <w:rsid w:val="07AD2F74"/>
    <w:rsid w:val="085760ED"/>
    <w:rsid w:val="08616777"/>
    <w:rsid w:val="087054C5"/>
    <w:rsid w:val="08996D85"/>
    <w:rsid w:val="08A321E6"/>
    <w:rsid w:val="08C7632B"/>
    <w:rsid w:val="08EF7436"/>
    <w:rsid w:val="091E4A97"/>
    <w:rsid w:val="0922783C"/>
    <w:rsid w:val="092F3068"/>
    <w:rsid w:val="095407CA"/>
    <w:rsid w:val="095632D6"/>
    <w:rsid w:val="09657397"/>
    <w:rsid w:val="09750C0F"/>
    <w:rsid w:val="09794613"/>
    <w:rsid w:val="09C36C5E"/>
    <w:rsid w:val="09CD27F9"/>
    <w:rsid w:val="09D70A9E"/>
    <w:rsid w:val="09FD490E"/>
    <w:rsid w:val="0A1F6239"/>
    <w:rsid w:val="0A23240E"/>
    <w:rsid w:val="0A5C302B"/>
    <w:rsid w:val="0A5E51D3"/>
    <w:rsid w:val="0A6D1322"/>
    <w:rsid w:val="0AA56D59"/>
    <w:rsid w:val="0AB319EF"/>
    <w:rsid w:val="0ACC2AB1"/>
    <w:rsid w:val="0AE7754F"/>
    <w:rsid w:val="0AEB6C69"/>
    <w:rsid w:val="0B0E7430"/>
    <w:rsid w:val="0B1D1CA6"/>
    <w:rsid w:val="0B216451"/>
    <w:rsid w:val="0B312541"/>
    <w:rsid w:val="0B330D82"/>
    <w:rsid w:val="0B563C50"/>
    <w:rsid w:val="0B577BD5"/>
    <w:rsid w:val="0B807E74"/>
    <w:rsid w:val="0B97592E"/>
    <w:rsid w:val="0BE61950"/>
    <w:rsid w:val="0BF6540C"/>
    <w:rsid w:val="0C143E8A"/>
    <w:rsid w:val="0C19710E"/>
    <w:rsid w:val="0C494179"/>
    <w:rsid w:val="0C611DA5"/>
    <w:rsid w:val="0C8E5CCC"/>
    <w:rsid w:val="0CC227DF"/>
    <w:rsid w:val="0CC411BD"/>
    <w:rsid w:val="0CDA57EA"/>
    <w:rsid w:val="0CF124A0"/>
    <w:rsid w:val="0CF82CBA"/>
    <w:rsid w:val="0D007374"/>
    <w:rsid w:val="0D0F53FD"/>
    <w:rsid w:val="0D18784A"/>
    <w:rsid w:val="0D5364A5"/>
    <w:rsid w:val="0D9951C9"/>
    <w:rsid w:val="0D9F796A"/>
    <w:rsid w:val="0DF012B2"/>
    <w:rsid w:val="0DF10F21"/>
    <w:rsid w:val="0E493DF1"/>
    <w:rsid w:val="0E5514B8"/>
    <w:rsid w:val="0E691A30"/>
    <w:rsid w:val="0E794195"/>
    <w:rsid w:val="0E7D7DBA"/>
    <w:rsid w:val="0E996B65"/>
    <w:rsid w:val="0E9C2B3F"/>
    <w:rsid w:val="0EAC7E3A"/>
    <w:rsid w:val="0EB02EE6"/>
    <w:rsid w:val="0EC5490A"/>
    <w:rsid w:val="0ECB2F66"/>
    <w:rsid w:val="0ED15F2C"/>
    <w:rsid w:val="0EE5004F"/>
    <w:rsid w:val="0EE706C3"/>
    <w:rsid w:val="0EF95E3E"/>
    <w:rsid w:val="0EFA6291"/>
    <w:rsid w:val="0EFF48F9"/>
    <w:rsid w:val="0F0C13EE"/>
    <w:rsid w:val="0F5A0693"/>
    <w:rsid w:val="0F663403"/>
    <w:rsid w:val="0F8F7DA4"/>
    <w:rsid w:val="0F980C7B"/>
    <w:rsid w:val="0FAB6DE9"/>
    <w:rsid w:val="0FB83D60"/>
    <w:rsid w:val="0FC72CAB"/>
    <w:rsid w:val="0FDA1FA6"/>
    <w:rsid w:val="0FEC557B"/>
    <w:rsid w:val="1024466C"/>
    <w:rsid w:val="102B1203"/>
    <w:rsid w:val="105B474A"/>
    <w:rsid w:val="107824ED"/>
    <w:rsid w:val="10A225C6"/>
    <w:rsid w:val="10A77691"/>
    <w:rsid w:val="10BD2E83"/>
    <w:rsid w:val="10BE10ED"/>
    <w:rsid w:val="11221E9D"/>
    <w:rsid w:val="11240D33"/>
    <w:rsid w:val="11360C84"/>
    <w:rsid w:val="113E56D9"/>
    <w:rsid w:val="113E65C8"/>
    <w:rsid w:val="114E0000"/>
    <w:rsid w:val="114F3402"/>
    <w:rsid w:val="11550C2C"/>
    <w:rsid w:val="115F2763"/>
    <w:rsid w:val="116B4A6F"/>
    <w:rsid w:val="11AF59B7"/>
    <w:rsid w:val="11C86E50"/>
    <w:rsid w:val="11E22144"/>
    <w:rsid w:val="1202028A"/>
    <w:rsid w:val="12160F3D"/>
    <w:rsid w:val="12193E38"/>
    <w:rsid w:val="12383670"/>
    <w:rsid w:val="123C7740"/>
    <w:rsid w:val="12484960"/>
    <w:rsid w:val="125A337E"/>
    <w:rsid w:val="125D50DC"/>
    <w:rsid w:val="12753A2E"/>
    <w:rsid w:val="127E0B34"/>
    <w:rsid w:val="12A06FEA"/>
    <w:rsid w:val="12A16DEB"/>
    <w:rsid w:val="12BD3DDD"/>
    <w:rsid w:val="12BD5DA8"/>
    <w:rsid w:val="12D07D2E"/>
    <w:rsid w:val="12E54A8E"/>
    <w:rsid w:val="130709F2"/>
    <w:rsid w:val="13080D77"/>
    <w:rsid w:val="13276908"/>
    <w:rsid w:val="13772D39"/>
    <w:rsid w:val="13F04285"/>
    <w:rsid w:val="140D1BD4"/>
    <w:rsid w:val="140D44CB"/>
    <w:rsid w:val="141A7667"/>
    <w:rsid w:val="143119FB"/>
    <w:rsid w:val="14314A47"/>
    <w:rsid w:val="14660E87"/>
    <w:rsid w:val="14957F97"/>
    <w:rsid w:val="149E46A3"/>
    <w:rsid w:val="149F592E"/>
    <w:rsid w:val="14AD390E"/>
    <w:rsid w:val="14BA1BFA"/>
    <w:rsid w:val="14C94A50"/>
    <w:rsid w:val="14D46480"/>
    <w:rsid w:val="14F43498"/>
    <w:rsid w:val="14FB352E"/>
    <w:rsid w:val="15137188"/>
    <w:rsid w:val="15267261"/>
    <w:rsid w:val="152E4B77"/>
    <w:rsid w:val="154E1865"/>
    <w:rsid w:val="155838BF"/>
    <w:rsid w:val="15591585"/>
    <w:rsid w:val="155E2E9F"/>
    <w:rsid w:val="15633BC1"/>
    <w:rsid w:val="15696E4B"/>
    <w:rsid w:val="158741A4"/>
    <w:rsid w:val="158D5888"/>
    <w:rsid w:val="15AA27C3"/>
    <w:rsid w:val="15B603A6"/>
    <w:rsid w:val="15CE4004"/>
    <w:rsid w:val="15E64FD1"/>
    <w:rsid w:val="16146879"/>
    <w:rsid w:val="16313135"/>
    <w:rsid w:val="1652716C"/>
    <w:rsid w:val="1666062F"/>
    <w:rsid w:val="168B403C"/>
    <w:rsid w:val="169F376F"/>
    <w:rsid w:val="16A94B4F"/>
    <w:rsid w:val="170C02FF"/>
    <w:rsid w:val="17414128"/>
    <w:rsid w:val="17893D8A"/>
    <w:rsid w:val="17AB0787"/>
    <w:rsid w:val="17B40B54"/>
    <w:rsid w:val="17BE0076"/>
    <w:rsid w:val="17DC4231"/>
    <w:rsid w:val="17F552CF"/>
    <w:rsid w:val="181004A6"/>
    <w:rsid w:val="181635BD"/>
    <w:rsid w:val="181E4800"/>
    <w:rsid w:val="182304E6"/>
    <w:rsid w:val="182615F4"/>
    <w:rsid w:val="182C1032"/>
    <w:rsid w:val="18416666"/>
    <w:rsid w:val="1873580E"/>
    <w:rsid w:val="18A94431"/>
    <w:rsid w:val="18D5371D"/>
    <w:rsid w:val="18DA3901"/>
    <w:rsid w:val="18E456AB"/>
    <w:rsid w:val="19367715"/>
    <w:rsid w:val="19A04C96"/>
    <w:rsid w:val="19AA61D8"/>
    <w:rsid w:val="19B70E65"/>
    <w:rsid w:val="19B713D3"/>
    <w:rsid w:val="19BB7FA2"/>
    <w:rsid w:val="19C6165B"/>
    <w:rsid w:val="19EB137D"/>
    <w:rsid w:val="1A0F0F99"/>
    <w:rsid w:val="1A2331F1"/>
    <w:rsid w:val="1A3A4F71"/>
    <w:rsid w:val="1A545BD0"/>
    <w:rsid w:val="1A5804A9"/>
    <w:rsid w:val="1A5E2495"/>
    <w:rsid w:val="1A7A3AA7"/>
    <w:rsid w:val="1A7F2121"/>
    <w:rsid w:val="1A90281C"/>
    <w:rsid w:val="1A986741"/>
    <w:rsid w:val="1AB25F54"/>
    <w:rsid w:val="1AB82CD4"/>
    <w:rsid w:val="1AC87D80"/>
    <w:rsid w:val="1B0F5087"/>
    <w:rsid w:val="1B1936BB"/>
    <w:rsid w:val="1B302826"/>
    <w:rsid w:val="1B5753C5"/>
    <w:rsid w:val="1B6028EE"/>
    <w:rsid w:val="1B9167C5"/>
    <w:rsid w:val="1BC17C4D"/>
    <w:rsid w:val="1BD03658"/>
    <w:rsid w:val="1BE73FDA"/>
    <w:rsid w:val="1C185CF9"/>
    <w:rsid w:val="1C2F2089"/>
    <w:rsid w:val="1C3B1844"/>
    <w:rsid w:val="1C6528D1"/>
    <w:rsid w:val="1CBE72F3"/>
    <w:rsid w:val="1CBF5FD1"/>
    <w:rsid w:val="1CCC651D"/>
    <w:rsid w:val="1CFD009B"/>
    <w:rsid w:val="1D097632"/>
    <w:rsid w:val="1D131CD1"/>
    <w:rsid w:val="1D161728"/>
    <w:rsid w:val="1D445458"/>
    <w:rsid w:val="1D625413"/>
    <w:rsid w:val="1D6B5576"/>
    <w:rsid w:val="1D756C2B"/>
    <w:rsid w:val="1D771123"/>
    <w:rsid w:val="1D7F23F9"/>
    <w:rsid w:val="1D841D29"/>
    <w:rsid w:val="1D95616A"/>
    <w:rsid w:val="1DA7673C"/>
    <w:rsid w:val="1DBF0856"/>
    <w:rsid w:val="1DC44BFE"/>
    <w:rsid w:val="1DD32940"/>
    <w:rsid w:val="1DF02C6D"/>
    <w:rsid w:val="1E017B93"/>
    <w:rsid w:val="1E0A4344"/>
    <w:rsid w:val="1E0C4EDA"/>
    <w:rsid w:val="1E1E344E"/>
    <w:rsid w:val="1E2F3501"/>
    <w:rsid w:val="1E535731"/>
    <w:rsid w:val="1E712717"/>
    <w:rsid w:val="1E7804B8"/>
    <w:rsid w:val="1E7D4152"/>
    <w:rsid w:val="1E816C99"/>
    <w:rsid w:val="1E817CB8"/>
    <w:rsid w:val="1E8451DA"/>
    <w:rsid w:val="1EC40006"/>
    <w:rsid w:val="1EF33351"/>
    <w:rsid w:val="1F1C0096"/>
    <w:rsid w:val="1F2F142C"/>
    <w:rsid w:val="1F4D0011"/>
    <w:rsid w:val="1F7D7B0A"/>
    <w:rsid w:val="1F7E4AB4"/>
    <w:rsid w:val="1F833ABF"/>
    <w:rsid w:val="1F8534F7"/>
    <w:rsid w:val="1F916D3A"/>
    <w:rsid w:val="1F9A7092"/>
    <w:rsid w:val="1FFC2F87"/>
    <w:rsid w:val="20340D07"/>
    <w:rsid w:val="204807DF"/>
    <w:rsid w:val="204D2F02"/>
    <w:rsid w:val="20764BA9"/>
    <w:rsid w:val="207F4BDE"/>
    <w:rsid w:val="208A52ED"/>
    <w:rsid w:val="20EA0B82"/>
    <w:rsid w:val="20FF72E4"/>
    <w:rsid w:val="210755B8"/>
    <w:rsid w:val="21086470"/>
    <w:rsid w:val="211835DA"/>
    <w:rsid w:val="21213C0C"/>
    <w:rsid w:val="21423D06"/>
    <w:rsid w:val="214F03B6"/>
    <w:rsid w:val="216B2DC7"/>
    <w:rsid w:val="217A35F6"/>
    <w:rsid w:val="21893C2A"/>
    <w:rsid w:val="21C55FD0"/>
    <w:rsid w:val="21CF078B"/>
    <w:rsid w:val="21D276BF"/>
    <w:rsid w:val="21E230B0"/>
    <w:rsid w:val="22381E5D"/>
    <w:rsid w:val="226444F6"/>
    <w:rsid w:val="22680EB9"/>
    <w:rsid w:val="22835559"/>
    <w:rsid w:val="22CF7E0A"/>
    <w:rsid w:val="22D141B3"/>
    <w:rsid w:val="22DF75BA"/>
    <w:rsid w:val="22F15563"/>
    <w:rsid w:val="22F66C60"/>
    <w:rsid w:val="22F93FB2"/>
    <w:rsid w:val="23111B23"/>
    <w:rsid w:val="232C6592"/>
    <w:rsid w:val="232E1F18"/>
    <w:rsid w:val="234264D3"/>
    <w:rsid w:val="235105C2"/>
    <w:rsid w:val="236964A7"/>
    <w:rsid w:val="236A4A10"/>
    <w:rsid w:val="23723F55"/>
    <w:rsid w:val="238B5392"/>
    <w:rsid w:val="23A71DCC"/>
    <w:rsid w:val="23B23345"/>
    <w:rsid w:val="23C13FC9"/>
    <w:rsid w:val="23D52A7A"/>
    <w:rsid w:val="240B5FA0"/>
    <w:rsid w:val="24295EF4"/>
    <w:rsid w:val="244F7730"/>
    <w:rsid w:val="24591857"/>
    <w:rsid w:val="246B4103"/>
    <w:rsid w:val="246B5AF8"/>
    <w:rsid w:val="24764DC1"/>
    <w:rsid w:val="247D31E6"/>
    <w:rsid w:val="24903A87"/>
    <w:rsid w:val="24967662"/>
    <w:rsid w:val="24A02BF5"/>
    <w:rsid w:val="24B74354"/>
    <w:rsid w:val="24BB4EB1"/>
    <w:rsid w:val="24CF6427"/>
    <w:rsid w:val="2512540B"/>
    <w:rsid w:val="25175BF6"/>
    <w:rsid w:val="25341526"/>
    <w:rsid w:val="255D5C0A"/>
    <w:rsid w:val="25651F3D"/>
    <w:rsid w:val="257F16F2"/>
    <w:rsid w:val="258011DB"/>
    <w:rsid w:val="2581355B"/>
    <w:rsid w:val="25864AEB"/>
    <w:rsid w:val="25A30BC8"/>
    <w:rsid w:val="25AA584B"/>
    <w:rsid w:val="25B5385F"/>
    <w:rsid w:val="25BB5F89"/>
    <w:rsid w:val="25EE07EA"/>
    <w:rsid w:val="25EE5E18"/>
    <w:rsid w:val="25FE5783"/>
    <w:rsid w:val="262827A7"/>
    <w:rsid w:val="262C4451"/>
    <w:rsid w:val="26353484"/>
    <w:rsid w:val="265851CA"/>
    <w:rsid w:val="26BE158C"/>
    <w:rsid w:val="26C46E30"/>
    <w:rsid w:val="26F0490D"/>
    <w:rsid w:val="26F958D0"/>
    <w:rsid w:val="271E77AA"/>
    <w:rsid w:val="27332E82"/>
    <w:rsid w:val="273E5DC8"/>
    <w:rsid w:val="274555DF"/>
    <w:rsid w:val="27801FFA"/>
    <w:rsid w:val="27B92649"/>
    <w:rsid w:val="27BA193E"/>
    <w:rsid w:val="27BB54E0"/>
    <w:rsid w:val="27E87341"/>
    <w:rsid w:val="27ED433A"/>
    <w:rsid w:val="27F029FC"/>
    <w:rsid w:val="27F3310B"/>
    <w:rsid w:val="27FD1C81"/>
    <w:rsid w:val="28104D40"/>
    <w:rsid w:val="281C7AEF"/>
    <w:rsid w:val="28337B25"/>
    <w:rsid w:val="285F1E1A"/>
    <w:rsid w:val="28737276"/>
    <w:rsid w:val="28857324"/>
    <w:rsid w:val="28B06F52"/>
    <w:rsid w:val="28C16A2D"/>
    <w:rsid w:val="28FE7711"/>
    <w:rsid w:val="29353928"/>
    <w:rsid w:val="29653E84"/>
    <w:rsid w:val="29710C73"/>
    <w:rsid w:val="297A6F2F"/>
    <w:rsid w:val="29A9498D"/>
    <w:rsid w:val="29B13BA2"/>
    <w:rsid w:val="29C7411D"/>
    <w:rsid w:val="2A126466"/>
    <w:rsid w:val="2A162588"/>
    <w:rsid w:val="2A19087F"/>
    <w:rsid w:val="2A2658E2"/>
    <w:rsid w:val="2A2C4CF2"/>
    <w:rsid w:val="2A2E559C"/>
    <w:rsid w:val="2A3A61B0"/>
    <w:rsid w:val="2A435427"/>
    <w:rsid w:val="2A4370E4"/>
    <w:rsid w:val="2A464396"/>
    <w:rsid w:val="2A502714"/>
    <w:rsid w:val="2A692AE7"/>
    <w:rsid w:val="2A74496A"/>
    <w:rsid w:val="2A920384"/>
    <w:rsid w:val="2AC82F51"/>
    <w:rsid w:val="2ACF254B"/>
    <w:rsid w:val="2AF71AE8"/>
    <w:rsid w:val="2AF8145F"/>
    <w:rsid w:val="2AF96DF9"/>
    <w:rsid w:val="2B32405D"/>
    <w:rsid w:val="2B481679"/>
    <w:rsid w:val="2B4C3B06"/>
    <w:rsid w:val="2B53103D"/>
    <w:rsid w:val="2B6D6BEB"/>
    <w:rsid w:val="2B7231DE"/>
    <w:rsid w:val="2B875CF3"/>
    <w:rsid w:val="2B886F75"/>
    <w:rsid w:val="2B914E1E"/>
    <w:rsid w:val="2B9D32F3"/>
    <w:rsid w:val="2BC36827"/>
    <w:rsid w:val="2BC43236"/>
    <w:rsid w:val="2BFB6208"/>
    <w:rsid w:val="2C1106C8"/>
    <w:rsid w:val="2C153CCC"/>
    <w:rsid w:val="2C3A5674"/>
    <w:rsid w:val="2C404347"/>
    <w:rsid w:val="2C405929"/>
    <w:rsid w:val="2C4C7D80"/>
    <w:rsid w:val="2C6D206F"/>
    <w:rsid w:val="2C6F00F7"/>
    <w:rsid w:val="2C774352"/>
    <w:rsid w:val="2C815051"/>
    <w:rsid w:val="2C9E4A24"/>
    <w:rsid w:val="2CAE54E8"/>
    <w:rsid w:val="2CC34704"/>
    <w:rsid w:val="2CC714B4"/>
    <w:rsid w:val="2CF34431"/>
    <w:rsid w:val="2CFF066C"/>
    <w:rsid w:val="2D214E0A"/>
    <w:rsid w:val="2D277097"/>
    <w:rsid w:val="2D406CBA"/>
    <w:rsid w:val="2D5274BE"/>
    <w:rsid w:val="2D576AEC"/>
    <w:rsid w:val="2D635B1C"/>
    <w:rsid w:val="2D7C3A6A"/>
    <w:rsid w:val="2D915787"/>
    <w:rsid w:val="2DAE5C36"/>
    <w:rsid w:val="2DB2355B"/>
    <w:rsid w:val="2DD4002F"/>
    <w:rsid w:val="2DDE45EF"/>
    <w:rsid w:val="2DE03C58"/>
    <w:rsid w:val="2E051D41"/>
    <w:rsid w:val="2E2C68F2"/>
    <w:rsid w:val="2E7447DA"/>
    <w:rsid w:val="2E81541B"/>
    <w:rsid w:val="2EA80AA8"/>
    <w:rsid w:val="2EC94A38"/>
    <w:rsid w:val="2ECF59AB"/>
    <w:rsid w:val="2ED4710A"/>
    <w:rsid w:val="2EE32F85"/>
    <w:rsid w:val="2F0D2540"/>
    <w:rsid w:val="2F145D5B"/>
    <w:rsid w:val="2F165A4A"/>
    <w:rsid w:val="2F2E2A75"/>
    <w:rsid w:val="2F3A59BF"/>
    <w:rsid w:val="2F3F2305"/>
    <w:rsid w:val="2F4F7689"/>
    <w:rsid w:val="2FC73BBB"/>
    <w:rsid w:val="30054EF1"/>
    <w:rsid w:val="30155C99"/>
    <w:rsid w:val="30336951"/>
    <w:rsid w:val="303F20D8"/>
    <w:rsid w:val="3042533E"/>
    <w:rsid w:val="30491724"/>
    <w:rsid w:val="30513B23"/>
    <w:rsid w:val="30571D6B"/>
    <w:rsid w:val="306B55EF"/>
    <w:rsid w:val="307C596F"/>
    <w:rsid w:val="30833D74"/>
    <w:rsid w:val="30863BAF"/>
    <w:rsid w:val="308A21DE"/>
    <w:rsid w:val="30A25EDE"/>
    <w:rsid w:val="30A74EDF"/>
    <w:rsid w:val="30AD3FA6"/>
    <w:rsid w:val="30B028E1"/>
    <w:rsid w:val="30CD2F5B"/>
    <w:rsid w:val="30E356DD"/>
    <w:rsid w:val="30F76577"/>
    <w:rsid w:val="310C6344"/>
    <w:rsid w:val="313708CB"/>
    <w:rsid w:val="31395121"/>
    <w:rsid w:val="31783AC4"/>
    <w:rsid w:val="31A70640"/>
    <w:rsid w:val="31B068E9"/>
    <w:rsid w:val="31B72774"/>
    <w:rsid w:val="31BC56DB"/>
    <w:rsid w:val="31D110FA"/>
    <w:rsid w:val="31D4710E"/>
    <w:rsid w:val="32110115"/>
    <w:rsid w:val="322C2170"/>
    <w:rsid w:val="322E2CC1"/>
    <w:rsid w:val="32744B8F"/>
    <w:rsid w:val="327745CF"/>
    <w:rsid w:val="327C3D83"/>
    <w:rsid w:val="327E2E90"/>
    <w:rsid w:val="329A3370"/>
    <w:rsid w:val="329D5730"/>
    <w:rsid w:val="32A86886"/>
    <w:rsid w:val="32BB3C6E"/>
    <w:rsid w:val="32C26DBE"/>
    <w:rsid w:val="32ED783E"/>
    <w:rsid w:val="32F800A4"/>
    <w:rsid w:val="32FE1992"/>
    <w:rsid w:val="33400C9A"/>
    <w:rsid w:val="334B0336"/>
    <w:rsid w:val="33522A3F"/>
    <w:rsid w:val="335F25A6"/>
    <w:rsid w:val="33681108"/>
    <w:rsid w:val="33790ADB"/>
    <w:rsid w:val="337C5991"/>
    <w:rsid w:val="33923FE8"/>
    <w:rsid w:val="33DE4F84"/>
    <w:rsid w:val="33FB069A"/>
    <w:rsid w:val="34205C6B"/>
    <w:rsid w:val="3424001A"/>
    <w:rsid w:val="34321327"/>
    <w:rsid w:val="348849A8"/>
    <w:rsid w:val="349228D5"/>
    <w:rsid w:val="34933347"/>
    <w:rsid w:val="34970E22"/>
    <w:rsid w:val="34AC076B"/>
    <w:rsid w:val="34C361AA"/>
    <w:rsid w:val="34FB0C89"/>
    <w:rsid w:val="35212057"/>
    <w:rsid w:val="35327F3E"/>
    <w:rsid w:val="35377711"/>
    <w:rsid w:val="354415F2"/>
    <w:rsid w:val="35561A19"/>
    <w:rsid w:val="356928AF"/>
    <w:rsid w:val="357879F3"/>
    <w:rsid w:val="35C577F0"/>
    <w:rsid w:val="35D641C6"/>
    <w:rsid w:val="35FC1619"/>
    <w:rsid w:val="35FF488B"/>
    <w:rsid w:val="36176E07"/>
    <w:rsid w:val="36413AA3"/>
    <w:rsid w:val="36584919"/>
    <w:rsid w:val="365B4B65"/>
    <w:rsid w:val="367419B8"/>
    <w:rsid w:val="36752BF5"/>
    <w:rsid w:val="36916555"/>
    <w:rsid w:val="369E4F98"/>
    <w:rsid w:val="36A11A98"/>
    <w:rsid w:val="36AA1919"/>
    <w:rsid w:val="36D8668A"/>
    <w:rsid w:val="36E26BC2"/>
    <w:rsid w:val="36E81AFB"/>
    <w:rsid w:val="36F70ADB"/>
    <w:rsid w:val="36FB77C2"/>
    <w:rsid w:val="370A244E"/>
    <w:rsid w:val="37115068"/>
    <w:rsid w:val="371522FB"/>
    <w:rsid w:val="373A1EFF"/>
    <w:rsid w:val="37467A89"/>
    <w:rsid w:val="37746932"/>
    <w:rsid w:val="378003E5"/>
    <w:rsid w:val="37A15F3F"/>
    <w:rsid w:val="37D320B4"/>
    <w:rsid w:val="37E27CCD"/>
    <w:rsid w:val="37F2681F"/>
    <w:rsid w:val="37FD2F95"/>
    <w:rsid w:val="3823305A"/>
    <w:rsid w:val="385F6E5C"/>
    <w:rsid w:val="38D75836"/>
    <w:rsid w:val="390538D2"/>
    <w:rsid w:val="39213164"/>
    <w:rsid w:val="39255B4E"/>
    <w:rsid w:val="392F2A4A"/>
    <w:rsid w:val="39326FC4"/>
    <w:rsid w:val="394A2375"/>
    <w:rsid w:val="395B582B"/>
    <w:rsid w:val="39737CC7"/>
    <w:rsid w:val="399812B2"/>
    <w:rsid w:val="399E3949"/>
    <w:rsid w:val="39A935FB"/>
    <w:rsid w:val="39C1246D"/>
    <w:rsid w:val="39E17B42"/>
    <w:rsid w:val="39FA1EDA"/>
    <w:rsid w:val="39FE5636"/>
    <w:rsid w:val="3A361B71"/>
    <w:rsid w:val="3A4B2390"/>
    <w:rsid w:val="3A7320AB"/>
    <w:rsid w:val="3A931517"/>
    <w:rsid w:val="3A950877"/>
    <w:rsid w:val="3A9C2D71"/>
    <w:rsid w:val="3ADB1B86"/>
    <w:rsid w:val="3ADF2E2C"/>
    <w:rsid w:val="3AE37EE5"/>
    <w:rsid w:val="3AFF5439"/>
    <w:rsid w:val="3B6C0E7A"/>
    <w:rsid w:val="3BA076BE"/>
    <w:rsid w:val="3BC044E6"/>
    <w:rsid w:val="3BDC10F8"/>
    <w:rsid w:val="3BE340FC"/>
    <w:rsid w:val="3C072DE6"/>
    <w:rsid w:val="3C1D03D7"/>
    <w:rsid w:val="3C1E3053"/>
    <w:rsid w:val="3C3A455D"/>
    <w:rsid w:val="3C450D65"/>
    <w:rsid w:val="3C4B7508"/>
    <w:rsid w:val="3C5F11A3"/>
    <w:rsid w:val="3C65796A"/>
    <w:rsid w:val="3C7C2505"/>
    <w:rsid w:val="3C906737"/>
    <w:rsid w:val="3C960058"/>
    <w:rsid w:val="3CA53AC6"/>
    <w:rsid w:val="3CB8263D"/>
    <w:rsid w:val="3CC52CCE"/>
    <w:rsid w:val="3CFB4432"/>
    <w:rsid w:val="3CFE0C3B"/>
    <w:rsid w:val="3D3A07A0"/>
    <w:rsid w:val="3D497299"/>
    <w:rsid w:val="3D597924"/>
    <w:rsid w:val="3D636C5E"/>
    <w:rsid w:val="3D7A2ADA"/>
    <w:rsid w:val="3DA474A7"/>
    <w:rsid w:val="3DAD2B22"/>
    <w:rsid w:val="3DB57E6A"/>
    <w:rsid w:val="3DB87BD4"/>
    <w:rsid w:val="3DEF5A67"/>
    <w:rsid w:val="3DF13306"/>
    <w:rsid w:val="3E2B74F8"/>
    <w:rsid w:val="3E2B7513"/>
    <w:rsid w:val="3E576C9E"/>
    <w:rsid w:val="3E582ACF"/>
    <w:rsid w:val="3EC81D70"/>
    <w:rsid w:val="3ED26EF7"/>
    <w:rsid w:val="3ED810C8"/>
    <w:rsid w:val="3ED951C1"/>
    <w:rsid w:val="3EFA2FAD"/>
    <w:rsid w:val="3F431F24"/>
    <w:rsid w:val="3F58364A"/>
    <w:rsid w:val="3F654C54"/>
    <w:rsid w:val="3F83690D"/>
    <w:rsid w:val="3FA36A18"/>
    <w:rsid w:val="3FD7163F"/>
    <w:rsid w:val="3FDF7A24"/>
    <w:rsid w:val="3FED2FEE"/>
    <w:rsid w:val="40140547"/>
    <w:rsid w:val="403D38F4"/>
    <w:rsid w:val="403D4E01"/>
    <w:rsid w:val="404A68C2"/>
    <w:rsid w:val="405F230A"/>
    <w:rsid w:val="407C15D8"/>
    <w:rsid w:val="40983AC4"/>
    <w:rsid w:val="40A24E69"/>
    <w:rsid w:val="40D01062"/>
    <w:rsid w:val="410C3FEC"/>
    <w:rsid w:val="41207A19"/>
    <w:rsid w:val="414B27BE"/>
    <w:rsid w:val="41571AEF"/>
    <w:rsid w:val="41786CC9"/>
    <w:rsid w:val="417E5BAB"/>
    <w:rsid w:val="418E1DDA"/>
    <w:rsid w:val="419524FD"/>
    <w:rsid w:val="41A205CF"/>
    <w:rsid w:val="41CF1B74"/>
    <w:rsid w:val="420E5174"/>
    <w:rsid w:val="4222590A"/>
    <w:rsid w:val="42542524"/>
    <w:rsid w:val="427E65EA"/>
    <w:rsid w:val="42997620"/>
    <w:rsid w:val="42AA5ADC"/>
    <w:rsid w:val="42D45FBD"/>
    <w:rsid w:val="42DE2F39"/>
    <w:rsid w:val="42E2563D"/>
    <w:rsid w:val="431C6905"/>
    <w:rsid w:val="43293154"/>
    <w:rsid w:val="43301127"/>
    <w:rsid w:val="43450DD6"/>
    <w:rsid w:val="435C361F"/>
    <w:rsid w:val="435C6F82"/>
    <w:rsid w:val="4378159A"/>
    <w:rsid w:val="43932543"/>
    <w:rsid w:val="43F73664"/>
    <w:rsid w:val="43F94F02"/>
    <w:rsid w:val="440F7FFF"/>
    <w:rsid w:val="442075D3"/>
    <w:rsid w:val="44323174"/>
    <w:rsid w:val="446842DF"/>
    <w:rsid w:val="44722E54"/>
    <w:rsid w:val="447569F3"/>
    <w:rsid w:val="447C1786"/>
    <w:rsid w:val="44A81E2A"/>
    <w:rsid w:val="44B077C8"/>
    <w:rsid w:val="44E74100"/>
    <w:rsid w:val="4503602C"/>
    <w:rsid w:val="45110572"/>
    <w:rsid w:val="451803D2"/>
    <w:rsid w:val="45365B70"/>
    <w:rsid w:val="45554BC6"/>
    <w:rsid w:val="456E1B23"/>
    <w:rsid w:val="456F31FA"/>
    <w:rsid w:val="45847738"/>
    <w:rsid w:val="45876536"/>
    <w:rsid w:val="458E4BD4"/>
    <w:rsid w:val="459C2AA4"/>
    <w:rsid w:val="45C7732D"/>
    <w:rsid w:val="45C81F49"/>
    <w:rsid w:val="45CF5C28"/>
    <w:rsid w:val="45E00DFE"/>
    <w:rsid w:val="45E203C4"/>
    <w:rsid w:val="45FC0CDF"/>
    <w:rsid w:val="460D1AD1"/>
    <w:rsid w:val="46201014"/>
    <w:rsid w:val="4629450C"/>
    <w:rsid w:val="463E2247"/>
    <w:rsid w:val="465774AB"/>
    <w:rsid w:val="46706BAB"/>
    <w:rsid w:val="46D801DB"/>
    <w:rsid w:val="46EB2EBA"/>
    <w:rsid w:val="46F22B79"/>
    <w:rsid w:val="47027FCB"/>
    <w:rsid w:val="47117FD1"/>
    <w:rsid w:val="47300C3C"/>
    <w:rsid w:val="47385FB6"/>
    <w:rsid w:val="47922E6E"/>
    <w:rsid w:val="47DD5BA0"/>
    <w:rsid w:val="47F55304"/>
    <w:rsid w:val="481F7BDD"/>
    <w:rsid w:val="486D5D03"/>
    <w:rsid w:val="486F758D"/>
    <w:rsid w:val="48777D9B"/>
    <w:rsid w:val="488355B6"/>
    <w:rsid w:val="48981CF4"/>
    <w:rsid w:val="48A903DD"/>
    <w:rsid w:val="48C8596F"/>
    <w:rsid w:val="48DA5DBD"/>
    <w:rsid w:val="48DB2481"/>
    <w:rsid w:val="49033566"/>
    <w:rsid w:val="49072D6A"/>
    <w:rsid w:val="49353926"/>
    <w:rsid w:val="49593384"/>
    <w:rsid w:val="497271F0"/>
    <w:rsid w:val="49884644"/>
    <w:rsid w:val="49896FEC"/>
    <w:rsid w:val="498C18CA"/>
    <w:rsid w:val="49A3785C"/>
    <w:rsid w:val="49A82251"/>
    <w:rsid w:val="49C83D8B"/>
    <w:rsid w:val="49CE6B29"/>
    <w:rsid w:val="4A282B58"/>
    <w:rsid w:val="4A35072B"/>
    <w:rsid w:val="4A396B13"/>
    <w:rsid w:val="4A481D20"/>
    <w:rsid w:val="4A495A51"/>
    <w:rsid w:val="4ADE3E92"/>
    <w:rsid w:val="4AE868AB"/>
    <w:rsid w:val="4AEA7F27"/>
    <w:rsid w:val="4AEF73DF"/>
    <w:rsid w:val="4B0938E8"/>
    <w:rsid w:val="4B2A1CCA"/>
    <w:rsid w:val="4B3A44B6"/>
    <w:rsid w:val="4B3B20A0"/>
    <w:rsid w:val="4B4B5BA4"/>
    <w:rsid w:val="4B602D7A"/>
    <w:rsid w:val="4B806F11"/>
    <w:rsid w:val="4BC352D8"/>
    <w:rsid w:val="4BCF0D34"/>
    <w:rsid w:val="4BEA7D18"/>
    <w:rsid w:val="4BEB6B9D"/>
    <w:rsid w:val="4BED09BA"/>
    <w:rsid w:val="4BF0155A"/>
    <w:rsid w:val="4BFF1804"/>
    <w:rsid w:val="4C182782"/>
    <w:rsid w:val="4C282ED9"/>
    <w:rsid w:val="4C745F0D"/>
    <w:rsid w:val="4CB628F5"/>
    <w:rsid w:val="4CB849CD"/>
    <w:rsid w:val="4CC27E02"/>
    <w:rsid w:val="4CCC5B48"/>
    <w:rsid w:val="4CEB49C7"/>
    <w:rsid w:val="4CFE5370"/>
    <w:rsid w:val="4D1C0D89"/>
    <w:rsid w:val="4D1C3391"/>
    <w:rsid w:val="4D1F5D7D"/>
    <w:rsid w:val="4D216D63"/>
    <w:rsid w:val="4D3A2B77"/>
    <w:rsid w:val="4D480DD1"/>
    <w:rsid w:val="4D9173A0"/>
    <w:rsid w:val="4D9D7B0C"/>
    <w:rsid w:val="4DA214D8"/>
    <w:rsid w:val="4DA71A53"/>
    <w:rsid w:val="4DB14AAB"/>
    <w:rsid w:val="4DB21C4D"/>
    <w:rsid w:val="4DDA1DB3"/>
    <w:rsid w:val="4E012777"/>
    <w:rsid w:val="4E091173"/>
    <w:rsid w:val="4E367B4D"/>
    <w:rsid w:val="4E5510BB"/>
    <w:rsid w:val="4E6A3537"/>
    <w:rsid w:val="4E8417F9"/>
    <w:rsid w:val="4E864227"/>
    <w:rsid w:val="4E8D03EE"/>
    <w:rsid w:val="4EBA02BB"/>
    <w:rsid w:val="4EBD15E9"/>
    <w:rsid w:val="4ED64529"/>
    <w:rsid w:val="4ED67A4B"/>
    <w:rsid w:val="4EE5490F"/>
    <w:rsid w:val="4F077AB9"/>
    <w:rsid w:val="4F0D5F99"/>
    <w:rsid w:val="4F2904CE"/>
    <w:rsid w:val="4F3A1585"/>
    <w:rsid w:val="4F3A5106"/>
    <w:rsid w:val="4F3A7417"/>
    <w:rsid w:val="4F45079D"/>
    <w:rsid w:val="4F596E09"/>
    <w:rsid w:val="4F6E403C"/>
    <w:rsid w:val="4F6E50EC"/>
    <w:rsid w:val="4FBC621D"/>
    <w:rsid w:val="4FD31504"/>
    <w:rsid w:val="4FEB71AC"/>
    <w:rsid w:val="4FFF5657"/>
    <w:rsid w:val="500862DC"/>
    <w:rsid w:val="50464A35"/>
    <w:rsid w:val="50537F04"/>
    <w:rsid w:val="50567CE2"/>
    <w:rsid w:val="50652888"/>
    <w:rsid w:val="50685796"/>
    <w:rsid w:val="5076286F"/>
    <w:rsid w:val="50C33C09"/>
    <w:rsid w:val="50D16CC7"/>
    <w:rsid w:val="50FB2336"/>
    <w:rsid w:val="511C452A"/>
    <w:rsid w:val="51357023"/>
    <w:rsid w:val="51475080"/>
    <w:rsid w:val="516C5A20"/>
    <w:rsid w:val="51844B05"/>
    <w:rsid w:val="51D11C70"/>
    <w:rsid w:val="51F17EFB"/>
    <w:rsid w:val="5201230A"/>
    <w:rsid w:val="52070D16"/>
    <w:rsid w:val="521A48BF"/>
    <w:rsid w:val="52356BCD"/>
    <w:rsid w:val="524444E6"/>
    <w:rsid w:val="52662B5B"/>
    <w:rsid w:val="52715451"/>
    <w:rsid w:val="52722280"/>
    <w:rsid w:val="52854C3D"/>
    <w:rsid w:val="52C57C7B"/>
    <w:rsid w:val="52DD60AD"/>
    <w:rsid w:val="52FF6532"/>
    <w:rsid w:val="530C41C5"/>
    <w:rsid w:val="53116503"/>
    <w:rsid w:val="531E23F2"/>
    <w:rsid w:val="532B4CE6"/>
    <w:rsid w:val="536807B4"/>
    <w:rsid w:val="53847714"/>
    <w:rsid w:val="53926492"/>
    <w:rsid w:val="539771AA"/>
    <w:rsid w:val="53A85121"/>
    <w:rsid w:val="53AE6FBA"/>
    <w:rsid w:val="53C93401"/>
    <w:rsid w:val="53D015F9"/>
    <w:rsid w:val="53DA2D87"/>
    <w:rsid w:val="5406215C"/>
    <w:rsid w:val="540C7DB2"/>
    <w:rsid w:val="54207D48"/>
    <w:rsid w:val="545547FF"/>
    <w:rsid w:val="54CF5289"/>
    <w:rsid w:val="54E51D72"/>
    <w:rsid w:val="54F0448C"/>
    <w:rsid w:val="550D180D"/>
    <w:rsid w:val="551212BD"/>
    <w:rsid w:val="551615FE"/>
    <w:rsid w:val="552F0DC7"/>
    <w:rsid w:val="5530629E"/>
    <w:rsid w:val="55382D42"/>
    <w:rsid w:val="55671771"/>
    <w:rsid w:val="556C737A"/>
    <w:rsid w:val="559840EB"/>
    <w:rsid w:val="55AD7632"/>
    <w:rsid w:val="55F473A6"/>
    <w:rsid w:val="55F54981"/>
    <w:rsid w:val="5604752C"/>
    <w:rsid w:val="56097237"/>
    <w:rsid w:val="561A1849"/>
    <w:rsid w:val="5678513B"/>
    <w:rsid w:val="56894AB1"/>
    <w:rsid w:val="56995432"/>
    <w:rsid w:val="56B91708"/>
    <w:rsid w:val="56C44824"/>
    <w:rsid w:val="56C912D8"/>
    <w:rsid w:val="56D90FC6"/>
    <w:rsid w:val="570854BD"/>
    <w:rsid w:val="571526B6"/>
    <w:rsid w:val="571A4106"/>
    <w:rsid w:val="573D0275"/>
    <w:rsid w:val="575B7324"/>
    <w:rsid w:val="578077F7"/>
    <w:rsid w:val="579B0134"/>
    <w:rsid w:val="57B75712"/>
    <w:rsid w:val="5806378F"/>
    <w:rsid w:val="580C6C5B"/>
    <w:rsid w:val="581C70DD"/>
    <w:rsid w:val="5827489A"/>
    <w:rsid w:val="58332169"/>
    <w:rsid w:val="583E4F5D"/>
    <w:rsid w:val="584138E2"/>
    <w:rsid w:val="584D1551"/>
    <w:rsid w:val="585500AE"/>
    <w:rsid w:val="585D63BF"/>
    <w:rsid w:val="586E7275"/>
    <w:rsid w:val="587F7A7C"/>
    <w:rsid w:val="58837428"/>
    <w:rsid w:val="589B6092"/>
    <w:rsid w:val="58CB793F"/>
    <w:rsid w:val="58E03C27"/>
    <w:rsid w:val="591E1520"/>
    <w:rsid w:val="59293EB5"/>
    <w:rsid w:val="59584E20"/>
    <w:rsid w:val="595E581E"/>
    <w:rsid w:val="59601DF1"/>
    <w:rsid w:val="596A7D11"/>
    <w:rsid w:val="59A07548"/>
    <w:rsid w:val="59BB63C2"/>
    <w:rsid w:val="59D56388"/>
    <w:rsid w:val="59F46F95"/>
    <w:rsid w:val="59FA1DD8"/>
    <w:rsid w:val="5A10566E"/>
    <w:rsid w:val="5A307FA0"/>
    <w:rsid w:val="5A3A1D8C"/>
    <w:rsid w:val="5A4E57FE"/>
    <w:rsid w:val="5A5E6CB6"/>
    <w:rsid w:val="5A7939B8"/>
    <w:rsid w:val="5A9056E2"/>
    <w:rsid w:val="5A926A3C"/>
    <w:rsid w:val="5AAC6819"/>
    <w:rsid w:val="5AEE3BA0"/>
    <w:rsid w:val="5AEF415D"/>
    <w:rsid w:val="5B006E43"/>
    <w:rsid w:val="5B194323"/>
    <w:rsid w:val="5B1E7211"/>
    <w:rsid w:val="5B4F3C14"/>
    <w:rsid w:val="5B5B6114"/>
    <w:rsid w:val="5B73786B"/>
    <w:rsid w:val="5B8B70B2"/>
    <w:rsid w:val="5B8C3D96"/>
    <w:rsid w:val="5B9C696E"/>
    <w:rsid w:val="5BA10461"/>
    <w:rsid w:val="5BA609C7"/>
    <w:rsid w:val="5BAA15A6"/>
    <w:rsid w:val="5BBA614D"/>
    <w:rsid w:val="5BE459CF"/>
    <w:rsid w:val="5BEA3E40"/>
    <w:rsid w:val="5BFA0769"/>
    <w:rsid w:val="5C0838C0"/>
    <w:rsid w:val="5C236A2C"/>
    <w:rsid w:val="5C60789B"/>
    <w:rsid w:val="5C6869AA"/>
    <w:rsid w:val="5C6A59B4"/>
    <w:rsid w:val="5C7102B0"/>
    <w:rsid w:val="5C926B4F"/>
    <w:rsid w:val="5CAA70E4"/>
    <w:rsid w:val="5CCA6F24"/>
    <w:rsid w:val="5CCC3B7A"/>
    <w:rsid w:val="5CD459B3"/>
    <w:rsid w:val="5CE53348"/>
    <w:rsid w:val="5CEE11B9"/>
    <w:rsid w:val="5D4758A9"/>
    <w:rsid w:val="5D6E67AE"/>
    <w:rsid w:val="5DA634DA"/>
    <w:rsid w:val="5DB20C5F"/>
    <w:rsid w:val="5DC5412B"/>
    <w:rsid w:val="5DCB1FC6"/>
    <w:rsid w:val="5DED2A30"/>
    <w:rsid w:val="5E074D93"/>
    <w:rsid w:val="5E3B3BBB"/>
    <w:rsid w:val="5E420FEF"/>
    <w:rsid w:val="5E564705"/>
    <w:rsid w:val="5E5D086F"/>
    <w:rsid w:val="5EC26FD9"/>
    <w:rsid w:val="5EFF115E"/>
    <w:rsid w:val="5F143654"/>
    <w:rsid w:val="5F272E87"/>
    <w:rsid w:val="5F4C7887"/>
    <w:rsid w:val="5F6A36A5"/>
    <w:rsid w:val="5F700EE7"/>
    <w:rsid w:val="5F9B45AF"/>
    <w:rsid w:val="5FC324AB"/>
    <w:rsid w:val="5FC96C97"/>
    <w:rsid w:val="5FD5288F"/>
    <w:rsid w:val="5FE96431"/>
    <w:rsid w:val="5FEE66DA"/>
    <w:rsid w:val="5FF03938"/>
    <w:rsid w:val="5FF067F2"/>
    <w:rsid w:val="60045660"/>
    <w:rsid w:val="60381938"/>
    <w:rsid w:val="60673B80"/>
    <w:rsid w:val="60A270F3"/>
    <w:rsid w:val="60B07035"/>
    <w:rsid w:val="60BA75A0"/>
    <w:rsid w:val="60E14613"/>
    <w:rsid w:val="60E44507"/>
    <w:rsid w:val="60FC474D"/>
    <w:rsid w:val="60FE69AF"/>
    <w:rsid w:val="61007E32"/>
    <w:rsid w:val="611A54F6"/>
    <w:rsid w:val="615D1A37"/>
    <w:rsid w:val="61984F97"/>
    <w:rsid w:val="61C979DA"/>
    <w:rsid w:val="61E54E64"/>
    <w:rsid w:val="62133B6E"/>
    <w:rsid w:val="62165216"/>
    <w:rsid w:val="621A419A"/>
    <w:rsid w:val="62260362"/>
    <w:rsid w:val="622C23C4"/>
    <w:rsid w:val="623C06F9"/>
    <w:rsid w:val="6245036B"/>
    <w:rsid w:val="62571DD5"/>
    <w:rsid w:val="628631F8"/>
    <w:rsid w:val="62877815"/>
    <w:rsid w:val="628835AD"/>
    <w:rsid w:val="629B76DE"/>
    <w:rsid w:val="62C61BBA"/>
    <w:rsid w:val="62D01A62"/>
    <w:rsid w:val="62E6257A"/>
    <w:rsid w:val="62FB1ED2"/>
    <w:rsid w:val="630B6F93"/>
    <w:rsid w:val="63156017"/>
    <w:rsid w:val="631966A6"/>
    <w:rsid w:val="63216B91"/>
    <w:rsid w:val="63444C78"/>
    <w:rsid w:val="63465C90"/>
    <w:rsid w:val="6367434C"/>
    <w:rsid w:val="639F685B"/>
    <w:rsid w:val="63BC7011"/>
    <w:rsid w:val="63C106C3"/>
    <w:rsid w:val="63C162C7"/>
    <w:rsid w:val="64091C09"/>
    <w:rsid w:val="64227619"/>
    <w:rsid w:val="64411908"/>
    <w:rsid w:val="644F7F2E"/>
    <w:rsid w:val="64503369"/>
    <w:rsid w:val="64887BD8"/>
    <w:rsid w:val="648C00E2"/>
    <w:rsid w:val="64D27EAD"/>
    <w:rsid w:val="64D437B3"/>
    <w:rsid w:val="64D5423F"/>
    <w:rsid w:val="64D77B4C"/>
    <w:rsid w:val="64ED22C3"/>
    <w:rsid w:val="65262602"/>
    <w:rsid w:val="652C6F64"/>
    <w:rsid w:val="65470310"/>
    <w:rsid w:val="65494E45"/>
    <w:rsid w:val="658C7A40"/>
    <w:rsid w:val="65A15051"/>
    <w:rsid w:val="65C635BF"/>
    <w:rsid w:val="65E645EA"/>
    <w:rsid w:val="662D7A22"/>
    <w:rsid w:val="664034E9"/>
    <w:rsid w:val="66444BEC"/>
    <w:rsid w:val="665C38A5"/>
    <w:rsid w:val="667707C3"/>
    <w:rsid w:val="66781E79"/>
    <w:rsid w:val="669C0887"/>
    <w:rsid w:val="66AE63DF"/>
    <w:rsid w:val="66B5632B"/>
    <w:rsid w:val="66BA68D9"/>
    <w:rsid w:val="66D50969"/>
    <w:rsid w:val="66D6425C"/>
    <w:rsid w:val="66EB6244"/>
    <w:rsid w:val="66F1292C"/>
    <w:rsid w:val="66F74294"/>
    <w:rsid w:val="66FD5FDB"/>
    <w:rsid w:val="67051E3A"/>
    <w:rsid w:val="6717747F"/>
    <w:rsid w:val="67254250"/>
    <w:rsid w:val="673F7089"/>
    <w:rsid w:val="676F4DC7"/>
    <w:rsid w:val="677D2F8E"/>
    <w:rsid w:val="67833B1A"/>
    <w:rsid w:val="679E56AB"/>
    <w:rsid w:val="67AF5CEB"/>
    <w:rsid w:val="67B01752"/>
    <w:rsid w:val="682A3EC8"/>
    <w:rsid w:val="682E4C15"/>
    <w:rsid w:val="685912AC"/>
    <w:rsid w:val="687E5BB0"/>
    <w:rsid w:val="68824E0D"/>
    <w:rsid w:val="689429EE"/>
    <w:rsid w:val="68A43EA3"/>
    <w:rsid w:val="68D85120"/>
    <w:rsid w:val="68E00109"/>
    <w:rsid w:val="69093274"/>
    <w:rsid w:val="69382A2C"/>
    <w:rsid w:val="69434640"/>
    <w:rsid w:val="69736D58"/>
    <w:rsid w:val="69B050A1"/>
    <w:rsid w:val="69BE761B"/>
    <w:rsid w:val="69F543AD"/>
    <w:rsid w:val="6A117E50"/>
    <w:rsid w:val="6A324FE5"/>
    <w:rsid w:val="6A446E1A"/>
    <w:rsid w:val="6A4E5A82"/>
    <w:rsid w:val="6A5262FD"/>
    <w:rsid w:val="6A750CAB"/>
    <w:rsid w:val="6A8C1E26"/>
    <w:rsid w:val="6AC13DFA"/>
    <w:rsid w:val="6AC61293"/>
    <w:rsid w:val="6ACC5DFD"/>
    <w:rsid w:val="6AE33BE9"/>
    <w:rsid w:val="6AE33E94"/>
    <w:rsid w:val="6AF158D6"/>
    <w:rsid w:val="6AF32E78"/>
    <w:rsid w:val="6B3061BA"/>
    <w:rsid w:val="6B51623E"/>
    <w:rsid w:val="6B531F31"/>
    <w:rsid w:val="6B573B36"/>
    <w:rsid w:val="6B6C3CB6"/>
    <w:rsid w:val="6B812AE6"/>
    <w:rsid w:val="6BBE0CC2"/>
    <w:rsid w:val="6BC14886"/>
    <w:rsid w:val="6BC3237E"/>
    <w:rsid w:val="6C0C4257"/>
    <w:rsid w:val="6C121058"/>
    <w:rsid w:val="6C2000E4"/>
    <w:rsid w:val="6C2A2409"/>
    <w:rsid w:val="6C5543F6"/>
    <w:rsid w:val="6CC610F6"/>
    <w:rsid w:val="6CF5606A"/>
    <w:rsid w:val="6D0444B9"/>
    <w:rsid w:val="6D0B43CE"/>
    <w:rsid w:val="6D3C5E8B"/>
    <w:rsid w:val="6D67501B"/>
    <w:rsid w:val="6D795CA3"/>
    <w:rsid w:val="6DBF0265"/>
    <w:rsid w:val="6DC95BFB"/>
    <w:rsid w:val="6DD569EF"/>
    <w:rsid w:val="6DEF7AF4"/>
    <w:rsid w:val="6DF87AF7"/>
    <w:rsid w:val="6DFC3E6C"/>
    <w:rsid w:val="6E037359"/>
    <w:rsid w:val="6E093EC6"/>
    <w:rsid w:val="6E244691"/>
    <w:rsid w:val="6E2502F0"/>
    <w:rsid w:val="6E7461B4"/>
    <w:rsid w:val="6EA5792E"/>
    <w:rsid w:val="6ED41CD7"/>
    <w:rsid w:val="6EE2553D"/>
    <w:rsid w:val="6F3C7D55"/>
    <w:rsid w:val="6F555673"/>
    <w:rsid w:val="6F5B416C"/>
    <w:rsid w:val="6F83430D"/>
    <w:rsid w:val="6F9A104E"/>
    <w:rsid w:val="6FDB5281"/>
    <w:rsid w:val="6FEA77D0"/>
    <w:rsid w:val="70043107"/>
    <w:rsid w:val="70136C8D"/>
    <w:rsid w:val="70366E3A"/>
    <w:rsid w:val="70904A1D"/>
    <w:rsid w:val="70A66944"/>
    <w:rsid w:val="70AD5878"/>
    <w:rsid w:val="70EF6FC3"/>
    <w:rsid w:val="7118495A"/>
    <w:rsid w:val="712519A2"/>
    <w:rsid w:val="71363C72"/>
    <w:rsid w:val="71366515"/>
    <w:rsid w:val="713E0BD9"/>
    <w:rsid w:val="71452A5C"/>
    <w:rsid w:val="714E1F35"/>
    <w:rsid w:val="71883CB3"/>
    <w:rsid w:val="718A0821"/>
    <w:rsid w:val="71964312"/>
    <w:rsid w:val="71B0797F"/>
    <w:rsid w:val="71B7559E"/>
    <w:rsid w:val="71C569E6"/>
    <w:rsid w:val="71DB7486"/>
    <w:rsid w:val="722E5B05"/>
    <w:rsid w:val="72475884"/>
    <w:rsid w:val="72577F72"/>
    <w:rsid w:val="7281544F"/>
    <w:rsid w:val="72BC3B6E"/>
    <w:rsid w:val="72C34B57"/>
    <w:rsid w:val="72E6342D"/>
    <w:rsid w:val="72FD3BAC"/>
    <w:rsid w:val="730E093C"/>
    <w:rsid w:val="731C1476"/>
    <w:rsid w:val="734544A0"/>
    <w:rsid w:val="7360153F"/>
    <w:rsid w:val="737E2BB8"/>
    <w:rsid w:val="739B64FB"/>
    <w:rsid w:val="74196AC9"/>
    <w:rsid w:val="744545F4"/>
    <w:rsid w:val="744B78DD"/>
    <w:rsid w:val="74646496"/>
    <w:rsid w:val="749A33CB"/>
    <w:rsid w:val="74CB2DD0"/>
    <w:rsid w:val="74D93AE8"/>
    <w:rsid w:val="74F152B2"/>
    <w:rsid w:val="74FC737A"/>
    <w:rsid w:val="750301B6"/>
    <w:rsid w:val="750B68C9"/>
    <w:rsid w:val="750D7D19"/>
    <w:rsid w:val="751C32E3"/>
    <w:rsid w:val="7531641A"/>
    <w:rsid w:val="75336DCE"/>
    <w:rsid w:val="75391A01"/>
    <w:rsid w:val="754F073B"/>
    <w:rsid w:val="755967D8"/>
    <w:rsid w:val="756F3FFF"/>
    <w:rsid w:val="757D54CA"/>
    <w:rsid w:val="758E33BD"/>
    <w:rsid w:val="75A36C20"/>
    <w:rsid w:val="75AF0E73"/>
    <w:rsid w:val="75C9000F"/>
    <w:rsid w:val="75D24256"/>
    <w:rsid w:val="763A7152"/>
    <w:rsid w:val="766B3587"/>
    <w:rsid w:val="766E211A"/>
    <w:rsid w:val="76701247"/>
    <w:rsid w:val="76A46E5D"/>
    <w:rsid w:val="76B02983"/>
    <w:rsid w:val="76C6438D"/>
    <w:rsid w:val="76D8361D"/>
    <w:rsid w:val="76E971B4"/>
    <w:rsid w:val="7707143E"/>
    <w:rsid w:val="771844BD"/>
    <w:rsid w:val="7728605E"/>
    <w:rsid w:val="772E3AA0"/>
    <w:rsid w:val="774C41E7"/>
    <w:rsid w:val="77570A99"/>
    <w:rsid w:val="777812E2"/>
    <w:rsid w:val="77792D38"/>
    <w:rsid w:val="777E1025"/>
    <w:rsid w:val="77843521"/>
    <w:rsid w:val="77A77DF9"/>
    <w:rsid w:val="77C41863"/>
    <w:rsid w:val="77CD6A40"/>
    <w:rsid w:val="77D52FF6"/>
    <w:rsid w:val="77D8171D"/>
    <w:rsid w:val="77D8225E"/>
    <w:rsid w:val="77E36DBE"/>
    <w:rsid w:val="77EA0725"/>
    <w:rsid w:val="77FE0CEA"/>
    <w:rsid w:val="781462D7"/>
    <w:rsid w:val="781A3F51"/>
    <w:rsid w:val="782D1E34"/>
    <w:rsid w:val="783B4A3B"/>
    <w:rsid w:val="785051F3"/>
    <w:rsid w:val="785A39F9"/>
    <w:rsid w:val="786D0E17"/>
    <w:rsid w:val="78731F12"/>
    <w:rsid w:val="78AB0A80"/>
    <w:rsid w:val="78B91C5E"/>
    <w:rsid w:val="78BD7634"/>
    <w:rsid w:val="78C935D5"/>
    <w:rsid w:val="793B4E20"/>
    <w:rsid w:val="793E6A23"/>
    <w:rsid w:val="794148FE"/>
    <w:rsid w:val="794762A8"/>
    <w:rsid w:val="79483636"/>
    <w:rsid w:val="794A655E"/>
    <w:rsid w:val="79517126"/>
    <w:rsid w:val="797E2695"/>
    <w:rsid w:val="79984CA1"/>
    <w:rsid w:val="79B73810"/>
    <w:rsid w:val="79C52C5B"/>
    <w:rsid w:val="79CA51ED"/>
    <w:rsid w:val="79F55F55"/>
    <w:rsid w:val="79FD2E0A"/>
    <w:rsid w:val="7A073A10"/>
    <w:rsid w:val="7A094C5E"/>
    <w:rsid w:val="7A232871"/>
    <w:rsid w:val="7A2B66A6"/>
    <w:rsid w:val="7A305F40"/>
    <w:rsid w:val="7A390239"/>
    <w:rsid w:val="7A3F3423"/>
    <w:rsid w:val="7A4670ED"/>
    <w:rsid w:val="7A665991"/>
    <w:rsid w:val="7A715BF3"/>
    <w:rsid w:val="7A9015A7"/>
    <w:rsid w:val="7AAA4D40"/>
    <w:rsid w:val="7AB55D3C"/>
    <w:rsid w:val="7AD0650C"/>
    <w:rsid w:val="7AE37597"/>
    <w:rsid w:val="7AEE6A80"/>
    <w:rsid w:val="7AEF7252"/>
    <w:rsid w:val="7B023D27"/>
    <w:rsid w:val="7B175C36"/>
    <w:rsid w:val="7B20592E"/>
    <w:rsid w:val="7B28499C"/>
    <w:rsid w:val="7B326B27"/>
    <w:rsid w:val="7B3A1B85"/>
    <w:rsid w:val="7B3A497C"/>
    <w:rsid w:val="7B466226"/>
    <w:rsid w:val="7B556F2E"/>
    <w:rsid w:val="7B62668A"/>
    <w:rsid w:val="7B696A58"/>
    <w:rsid w:val="7B6B7880"/>
    <w:rsid w:val="7B7F2425"/>
    <w:rsid w:val="7B8B7F63"/>
    <w:rsid w:val="7BA0360C"/>
    <w:rsid w:val="7BA549C3"/>
    <w:rsid w:val="7BDB018B"/>
    <w:rsid w:val="7C19399B"/>
    <w:rsid w:val="7C4C347A"/>
    <w:rsid w:val="7C5A65DC"/>
    <w:rsid w:val="7C8724B0"/>
    <w:rsid w:val="7CBC3D9B"/>
    <w:rsid w:val="7CDC52E7"/>
    <w:rsid w:val="7CDD59F5"/>
    <w:rsid w:val="7CF82E33"/>
    <w:rsid w:val="7D3D5FE9"/>
    <w:rsid w:val="7D751F1E"/>
    <w:rsid w:val="7D775B18"/>
    <w:rsid w:val="7D7D15ED"/>
    <w:rsid w:val="7D7D7EAB"/>
    <w:rsid w:val="7D7E4262"/>
    <w:rsid w:val="7D986076"/>
    <w:rsid w:val="7DA0070E"/>
    <w:rsid w:val="7DB02BDF"/>
    <w:rsid w:val="7DB14637"/>
    <w:rsid w:val="7DB955CC"/>
    <w:rsid w:val="7DCE360A"/>
    <w:rsid w:val="7DCF1101"/>
    <w:rsid w:val="7DD53BE2"/>
    <w:rsid w:val="7E025DEE"/>
    <w:rsid w:val="7E3D0195"/>
    <w:rsid w:val="7E531DC0"/>
    <w:rsid w:val="7E6044AA"/>
    <w:rsid w:val="7E843AFA"/>
    <w:rsid w:val="7E976ACB"/>
    <w:rsid w:val="7EA03B9D"/>
    <w:rsid w:val="7EAB4ED2"/>
    <w:rsid w:val="7ED13CC3"/>
    <w:rsid w:val="7EEB3297"/>
    <w:rsid w:val="7EF90276"/>
    <w:rsid w:val="7F1D01D6"/>
    <w:rsid w:val="7F2C6004"/>
    <w:rsid w:val="7F355128"/>
    <w:rsid w:val="7F3C61CA"/>
    <w:rsid w:val="7F401510"/>
    <w:rsid w:val="7F412BBB"/>
    <w:rsid w:val="7F49430F"/>
    <w:rsid w:val="7F760A0A"/>
    <w:rsid w:val="7F804225"/>
    <w:rsid w:val="7F9075B3"/>
    <w:rsid w:val="7F9B7693"/>
    <w:rsid w:val="7FC8685B"/>
    <w:rsid w:val="7FD05468"/>
    <w:rsid w:val="7FE11B1C"/>
    <w:rsid w:val="7FE67A55"/>
    <w:rsid w:val="852F7591"/>
    <w:rsid w:val="AFBD7E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99" w:semiHidden="0" w:name="List Number 3"/>
    <w:lsdException w:uiPriority="0" w:name="List Number 4"/>
    <w:lsdException w:qFormat="1" w:unhideWhenUsed="0" w:uiPriority="99" w:semiHidden="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qFormat="1" w:unhideWhenUsed="0" w:uiPriority="99" w:semiHidden="0" w:name="HTML Typewriter"/>
    <w:lsdException w:uiPriority="0" w:name="HTML Variable"/>
    <w:lsdException w:qFormat="1" w:uiPriority="99" w:semiHidden="0"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9"/>
    <w:pPr>
      <w:keepNext/>
      <w:spacing w:line="380" w:lineRule="exact"/>
      <w:jc w:val="center"/>
      <w:outlineLvl w:val="0"/>
    </w:pPr>
    <w:rPr>
      <w:rFonts w:ascii="宋体" w:hAnsi="宋体"/>
      <w:b/>
      <w:kern w:val="44"/>
      <w:sz w:val="44"/>
      <w:szCs w:val="44"/>
    </w:rPr>
  </w:style>
  <w:style w:type="paragraph" w:styleId="3">
    <w:name w:val="heading 2"/>
    <w:basedOn w:val="1"/>
    <w:next w:val="1"/>
    <w:link w:val="255"/>
    <w:qFormat/>
    <w:uiPriority w:val="9"/>
    <w:pPr>
      <w:keepNext/>
      <w:keepLines/>
      <w:tabs>
        <w:tab w:val="left" w:pos="578"/>
      </w:tabs>
      <w:spacing w:beforeLines="50" w:afterLines="50" w:line="360" w:lineRule="auto"/>
      <w:ind w:left="578" w:hanging="578"/>
      <w:outlineLvl w:val="1"/>
    </w:pPr>
    <w:rPr>
      <w:rFonts w:ascii="Cambria" w:hAnsi="Cambria"/>
      <w:szCs w:val="21"/>
    </w:rPr>
  </w:style>
  <w:style w:type="paragraph" w:styleId="4">
    <w:name w:val="heading 3"/>
    <w:basedOn w:val="1"/>
    <w:next w:val="1"/>
    <w:link w:val="269"/>
    <w:qFormat/>
    <w:uiPriority w:val="9"/>
    <w:pPr>
      <w:keepNext/>
      <w:keepLines/>
      <w:tabs>
        <w:tab w:val="left" w:pos="1620"/>
      </w:tabs>
      <w:spacing w:beforeLines="50" w:afterLines="50" w:line="360" w:lineRule="auto"/>
      <w:ind w:left="1620" w:hanging="720"/>
      <w:outlineLvl w:val="2"/>
    </w:pPr>
    <w:rPr>
      <w:rFonts w:ascii="宋体" w:hAnsi="宋体"/>
      <w:b/>
      <w:sz w:val="32"/>
      <w:szCs w:val="32"/>
    </w:rPr>
  </w:style>
  <w:style w:type="paragraph" w:styleId="5">
    <w:name w:val="heading 4"/>
    <w:basedOn w:val="1"/>
    <w:next w:val="1"/>
    <w:link w:val="270"/>
    <w:qFormat/>
    <w:uiPriority w:val="0"/>
    <w:pPr>
      <w:keepNext/>
      <w:keepLines/>
      <w:tabs>
        <w:tab w:val="left" w:pos="864"/>
      </w:tabs>
      <w:spacing w:before="280" w:after="290" w:line="376" w:lineRule="auto"/>
      <w:ind w:left="864" w:hanging="864"/>
      <w:outlineLvl w:val="3"/>
    </w:pPr>
    <w:rPr>
      <w:rFonts w:ascii="Arial" w:hAnsi="Arial" w:eastAsia="黑体"/>
      <w:b/>
      <w:sz w:val="28"/>
    </w:rPr>
  </w:style>
  <w:style w:type="paragraph" w:styleId="6">
    <w:name w:val="heading 5"/>
    <w:basedOn w:val="1"/>
    <w:next w:val="1"/>
    <w:link w:val="272"/>
    <w:qFormat/>
    <w:uiPriority w:val="9"/>
    <w:pPr>
      <w:keepNext/>
      <w:keepLines/>
      <w:tabs>
        <w:tab w:val="left" w:pos="1548"/>
      </w:tabs>
      <w:spacing w:before="280" w:after="290" w:line="376" w:lineRule="auto"/>
      <w:ind w:left="1548" w:hanging="1548"/>
      <w:outlineLvl w:val="4"/>
    </w:pPr>
    <w:rPr>
      <w:b/>
      <w:sz w:val="28"/>
    </w:rPr>
  </w:style>
  <w:style w:type="paragraph" w:styleId="7">
    <w:name w:val="heading 6"/>
    <w:basedOn w:val="1"/>
    <w:next w:val="1"/>
    <w:link w:val="174"/>
    <w:qFormat/>
    <w:uiPriority w:val="9"/>
    <w:pPr>
      <w:keepNext/>
      <w:keepLines/>
      <w:spacing w:before="240" w:after="64" w:line="320" w:lineRule="auto"/>
      <w:outlineLvl w:val="5"/>
    </w:pPr>
    <w:rPr>
      <w:rFonts w:ascii="Cambria" w:hAnsi="Cambria"/>
      <w:b/>
      <w:sz w:val="24"/>
    </w:rPr>
  </w:style>
  <w:style w:type="paragraph" w:styleId="8">
    <w:name w:val="heading 7"/>
    <w:basedOn w:val="1"/>
    <w:next w:val="1"/>
    <w:link w:val="172"/>
    <w:qFormat/>
    <w:uiPriority w:val="9"/>
    <w:pPr>
      <w:keepNext/>
      <w:keepLines/>
      <w:tabs>
        <w:tab w:val="left" w:pos="1296"/>
      </w:tabs>
      <w:spacing w:before="240" w:after="64" w:line="317" w:lineRule="auto"/>
      <w:ind w:left="2940" w:hanging="420"/>
      <w:outlineLvl w:val="6"/>
    </w:pPr>
    <w:rPr>
      <w:b/>
      <w:sz w:val="24"/>
    </w:rPr>
  </w:style>
  <w:style w:type="paragraph" w:styleId="9">
    <w:name w:val="heading 8"/>
    <w:basedOn w:val="1"/>
    <w:next w:val="1"/>
    <w:link w:val="166"/>
    <w:qFormat/>
    <w:uiPriority w:val="9"/>
    <w:pPr>
      <w:keepNext/>
      <w:keepLines/>
      <w:tabs>
        <w:tab w:val="left" w:pos="1440"/>
      </w:tabs>
      <w:spacing w:before="240" w:after="64" w:line="317" w:lineRule="auto"/>
      <w:ind w:left="3360" w:hanging="420"/>
      <w:outlineLvl w:val="7"/>
    </w:pPr>
    <w:rPr>
      <w:rFonts w:ascii="Arial" w:hAnsi="Arial" w:eastAsia="黑体"/>
      <w:sz w:val="24"/>
    </w:rPr>
  </w:style>
  <w:style w:type="paragraph" w:styleId="10">
    <w:name w:val="heading 9"/>
    <w:basedOn w:val="1"/>
    <w:next w:val="1"/>
    <w:link w:val="216"/>
    <w:qFormat/>
    <w:uiPriority w:val="9"/>
    <w:pPr>
      <w:keepNext/>
      <w:keepLines/>
      <w:tabs>
        <w:tab w:val="left" w:pos="1584"/>
      </w:tabs>
      <w:spacing w:before="240" w:after="64" w:line="317" w:lineRule="auto"/>
      <w:ind w:left="3780" w:hanging="420"/>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Normal Indent"/>
    <w:basedOn w:val="1"/>
    <w:next w:val="1"/>
    <w:link w:val="211"/>
    <w:qFormat/>
    <w:uiPriority w:val="0"/>
    <w:pPr>
      <w:ind w:firstLine="420" w:firstLineChars="200"/>
    </w:pPr>
    <w:rPr>
      <w:rFonts w:ascii="宋体" w:hAnsi="宋体"/>
      <w:spacing w:val="14"/>
      <w:kern w:val="24"/>
      <w:sz w:val="24"/>
      <w:szCs w:val="24"/>
    </w:rPr>
  </w:style>
  <w:style w:type="paragraph" w:styleId="13">
    <w:name w:val="caption"/>
    <w:basedOn w:val="1"/>
    <w:next w:val="1"/>
    <w:link w:val="186"/>
    <w:qFormat/>
    <w:uiPriority w:val="35"/>
    <w:pPr>
      <w:widowControl/>
      <w:numPr>
        <w:ilvl w:val="0"/>
        <w:numId w:val="1"/>
      </w:numPr>
      <w:spacing w:line="360" w:lineRule="auto"/>
      <w:jc w:val="center"/>
    </w:pPr>
    <w:rPr>
      <w:szCs w:val="21"/>
    </w:rPr>
  </w:style>
  <w:style w:type="paragraph" w:styleId="14">
    <w:name w:val="Document Map"/>
    <w:basedOn w:val="1"/>
    <w:link w:val="219"/>
    <w:qFormat/>
    <w:uiPriority w:val="99"/>
    <w:pPr>
      <w:shd w:val="clear" w:color="auto" w:fill="000080"/>
    </w:pPr>
  </w:style>
  <w:style w:type="paragraph" w:styleId="15">
    <w:name w:val="annotation text"/>
    <w:basedOn w:val="1"/>
    <w:link w:val="233"/>
    <w:qFormat/>
    <w:uiPriority w:val="0"/>
    <w:pPr>
      <w:jc w:val="left"/>
    </w:pPr>
    <w:rPr>
      <w:rFonts w:ascii="宋体" w:hAnsi="宋体"/>
      <w:szCs w:val="21"/>
    </w:rPr>
  </w:style>
  <w:style w:type="paragraph" w:styleId="16">
    <w:name w:val="Body Text 3"/>
    <w:basedOn w:val="1"/>
    <w:link w:val="152"/>
    <w:qFormat/>
    <w:uiPriority w:val="99"/>
    <w:pPr>
      <w:spacing w:after="120" w:line="360" w:lineRule="auto"/>
    </w:pPr>
    <w:rPr>
      <w:kern w:val="0"/>
      <w:sz w:val="16"/>
    </w:rPr>
  </w:style>
  <w:style w:type="paragraph" w:styleId="17">
    <w:name w:val="Body Text"/>
    <w:basedOn w:val="1"/>
    <w:link w:val="267"/>
    <w:qFormat/>
    <w:uiPriority w:val="99"/>
    <w:rPr>
      <w:rFonts w:ascii="宋体" w:hAnsi="宋体"/>
      <w:kern w:val="0"/>
      <w:sz w:val="20"/>
    </w:rPr>
  </w:style>
  <w:style w:type="paragraph" w:styleId="18">
    <w:name w:val="Body Text Indent"/>
    <w:basedOn w:val="1"/>
    <w:next w:val="1"/>
    <w:link w:val="154"/>
    <w:qFormat/>
    <w:uiPriority w:val="0"/>
    <w:pPr>
      <w:spacing w:line="380" w:lineRule="exact"/>
      <w:ind w:firstLine="480"/>
    </w:pPr>
    <w:rPr>
      <w:rFonts w:eastAsia="方正书宋简体"/>
      <w:sz w:val="24"/>
    </w:rPr>
  </w:style>
  <w:style w:type="paragraph" w:styleId="19">
    <w:name w:val="List Number 3"/>
    <w:basedOn w:val="1"/>
    <w:qFormat/>
    <w:uiPriority w:val="99"/>
    <w:pPr>
      <w:widowControl/>
      <w:tabs>
        <w:tab w:val="left" w:pos="482"/>
      </w:tabs>
      <w:spacing w:afterLines="50"/>
      <w:ind w:left="482" w:hanging="340"/>
      <w:jc w:val="left"/>
    </w:pPr>
    <w:rPr>
      <w:kern w:val="0"/>
      <w:sz w:val="24"/>
    </w:rPr>
  </w:style>
  <w:style w:type="paragraph" w:styleId="20">
    <w:name w:val="Block Text"/>
    <w:basedOn w:val="1"/>
    <w:unhideWhenUsed/>
    <w:qFormat/>
    <w:uiPriority w:val="99"/>
    <w:pPr>
      <w:spacing w:after="120"/>
      <w:ind w:left="1440" w:leftChars="700" w:right="1440" w:rightChars="700"/>
    </w:p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rPr>
  </w:style>
  <w:style w:type="paragraph" w:styleId="23">
    <w:name w:val="Plain Text"/>
    <w:basedOn w:val="1"/>
    <w:link w:val="248"/>
    <w:qFormat/>
    <w:uiPriority w:val="0"/>
    <w:pPr>
      <w:widowControl/>
      <w:spacing w:before="100" w:beforeAutospacing="1" w:after="100" w:afterAutospacing="1"/>
      <w:jc w:val="left"/>
    </w:pPr>
    <w:rPr>
      <w:rFonts w:ascii="宋体" w:hAnsi="Courier New"/>
      <w:kern w:val="0"/>
      <w:sz w:val="20"/>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274"/>
    <w:qFormat/>
    <w:uiPriority w:val="99"/>
    <w:pPr>
      <w:adjustRightInd w:val="0"/>
      <w:spacing w:line="312" w:lineRule="atLeast"/>
      <w:jc w:val="right"/>
      <w:textAlignment w:val="baseline"/>
    </w:pPr>
    <w:rPr>
      <w:rFonts w:ascii="宋体"/>
      <w:kern w:val="0"/>
      <w:sz w:val="24"/>
    </w:rPr>
  </w:style>
  <w:style w:type="paragraph" w:styleId="26">
    <w:name w:val="Body Text Indent 2"/>
    <w:basedOn w:val="1"/>
    <w:link w:val="256"/>
    <w:qFormat/>
    <w:uiPriority w:val="99"/>
    <w:pPr>
      <w:spacing w:line="380" w:lineRule="exact"/>
      <w:ind w:left="840" w:hanging="45"/>
    </w:pPr>
    <w:rPr>
      <w:rFonts w:ascii="宋体"/>
      <w:sz w:val="24"/>
    </w:rPr>
  </w:style>
  <w:style w:type="paragraph" w:styleId="27">
    <w:name w:val="Balloon Text"/>
    <w:basedOn w:val="1"/>
    <w:link w:val="200"/>
    <w:qFormat/>
    <w:uiPriority w:val="99"/>
    <w:rPr>
      <w:rFonts w:ascii="宋体" w:hAnsi="宋体"/>
      <w:sz w:val="18"/>
      <w:szCs w:val="18"/>
    </w:rPr>
  </w:style>
  <w:style w:type="paragraph" w:styleId="28">
    <w:name w:val="footer"/>
    <w:basedOn w:val="1"/>
    <w:link w:val="206"/>
    <w:qFormat/>
    <w:uiPriority w:val="99"/>
    <w:pPr>
      <w:tabs>
        <w:tab w:val="center" w:pos="4153"/>
        <w:tab w:val="right" w:pos="8306"/>
      </w:tabs>
      <w:snapToGrid w:val="0"/>
      <w:jc w:val="left"/>
    </w:pPr>
    <w:rPr>
      <w:rFonts w:ascii="宋体" w:hAnsi="宋体"/>
      <w:sz w:val="18"/>
      <w:szCs w:val="18"/>
    </w:rPr>
  </w:style>
  <w:style w:type="paragraph" w:styleId="29">
    <w:name w:val="header"/>
    <w:basedOn w:val="1"/>
    <w:link w:val="157"/>
    <w:qFormat/>
    <w:uiPriority w:val="99"/>
    <w:pPr>
      <w:pBdr>
        <w:bottom w:val="single" w:color="auto" w:sz="6" w:space="1"/>
      </w:pBdr>
      <w:tabs>
        <w:tab w:val="center" w:pos="4153"/>
        <w:tab w:val="right" w:pos="8306"/>
      </w:tabs>
      <w:snapToGrid w:val="0"/>
      <w:jc w:val="center"/>
    </w:pPr>
    <w:rPr>
      <w:rFonts w:ascii="宋体" w:hAnsi="宋体"/>
      <w:sz w:val="18"/>
      <w:szCs w:val="18"/>
    </w:rPr>
  </w:style>
  <w:style w:type="paragraph" w:styleId="30">
    <w:name w:val="toc 1"/>
    <w:basedOn w:val="1"/>
    <w:next w:val="1"/>
    <w:qFormat/>
    <w:uiPriority w:val="39"/>
    <w:pPr>
      <w:tabs>
        <w:tab w:val="right" w:leader="dot" w:pos="8721"/>
      </w:tabs>
      <w:spacing w:line="480" w:lineRule="auto"/>
    </w:pPr>
    <w:rPr>
      <w:rFonts w:ascii="宋体" w:hAnsi="宋体"/>
      <w:color w:val="000000"/>
      <w:sz w:val="32"/>
      <w:szCs w:val="32"/>
    </w:rPr>
  </w:style>
  <w:style w:type="paragraph" w:styleId="31">
    <w:name w:val="toc 4"/>
    <w:basedOn w:val="1"/>
    <w:next w:val="1"/>
    <w:qFormat/>
    <w:uiPriority w:val="39"/>
    <w:pPr>
      <w:ind w:left="630"/>
      <w:jc w:val="left"/>
    </w:pPr>
    <w:rPr>
      <w:sz w:val="18"/>
      <w:szCs w:val="18"/>
    </w:rPr>
  </w:style>
  <w:style w:type="paragraph" w:styleId="32">
    <w:name w:val="Subtitle"/>
    <w:basedOn w:val="1"/>
    <w:next w:val="1"/>
    <w:link w:val="184"/>
    <w:qFormat/>
    <w:uiPriority w:val="0"/>
    <w:pPr>
      <w:spacing w:before="240" w:after="60" w:line="312" w:lineRule="auto"/>
      <w:jc w:val="center"/>
      <w:outlineLvl w:val="1"/>
    </w:pPr>
    <w:rPr>
      <w:rFonts w:ascii="Cambria" w:hAnsi="Cambria"/>
      <w:b/>
      <w:bCs/>
      <w:kern w:val="28"/>
      <w:sz w:val="32"/>
      <w:szCs w:val="32"/>
    </w:rPr>
  </w:style>
  <w:style w:type="paragraph" w:styleId="33">
    <w:name w:val="List Number 5"/>
    <w:basedOn w:val="1"/>
    <w:qFormat/>
    <w:uiPriority w:val="99"/>
    <w:pPr>
      <w:tabs>
        <w:tab w:val="left" w:pos="2608"/>
      </w:tabs>
      <w:spacing w:line="360" w:lineRule="auto"/>
      <w:ind w:left="840" w:hanging="360"/>
    </w:pPr>
    <w:rPr>
      <w:sz w:val="24"/>
      <w:szCs w:val="24"/>
    </w:rPr>
  </w:style>
  <w:style w:type="paragraph" w:styleId="34">
    <w:name w:val="toc 6"/>
    <w:basedOn w:val="1"/>
    <w:next w:val="1"/>
    <w:qFormat/>
    <w:uiPriority w:val="39"/>
    <w:pPr>
      <w:ind w:left="1050"/>
      <w:jc w:val="left"/>
    </w:pPr>
    <w:rPr>
      <w:sz w:val="18"/>
      <w:szCs w:val="18"/>
    </w:rPr>
  </w:style>
  <w:style w:type="paragraph" w:styleId="35">
    <w:name w:val="Body Text Indent 3"/>
    <w:basedOn w:val="1"/>
    <w:link w:val="183"/>
    <w:qFormat/>
    <w:uiPriority w:val="99"/>
    <w:pPr>
      <w:spacing w:line="380" w:lineRule="exact"/>
      <w:ind w:left="525"/>
    </w:pPr>
    <w:rPr>
      <w:rFonts w:ascii="宋体" w:hAnsi="宋体"/>
      <w:b/>
      <w:sz w:val="24"/>
      <w:szCs w:val="24"/>
    </w:rPr>
  </w:style>
  <w:style w:type="paragraph" w:styleId="36">
    <w:name w:val="table of figures"/>
    <w:basedOn w:val="1"/>
    <w:next w:val="1"/>
    <w:qFormat/>
    <w:uiPriority w:val="99"/>
    <w:pPr>
      <w:ind w:left="420" w:hanging="420"/>
      <w:jc w:val="left"/>
    </w:pPr>
    <w:rPr>
      <w:smallCaps/>
      <w:sz w:val="20"/>
    </w:rPr>
  </w:style>
  <w:style w:type="paragraph" w:styleId="37">
    <w:name w:val="toc 2"/>
    <w:basedOn w:val="1"/>
    <w:next w:val="1"/>
    <w:qFormat/>
    <w:uiPriority w:val="39"/>
    <w:pPr>
      <w:ind w:left="210"/>
      <w:jc w:val="left"/>
    </w:pPr>
    <w:rPr>
      <w:smallCaps/>
      <w:sz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05"/>
    <w:qFormat/>
    <w:uiPriority w:val="99"/>
    <w:pPr>
      <w:spacing w:after="120" w:line="480" w:lineRule="auto"/>
    </w:pPr>
    <w:rPr>
      <w:kern w:val="0"/>
      <w:sz w:val="24"/>
    </w:rPr>
  </w:style>
  <w:style w:type="paragraph" w:styleId="40">
    <w:name w:val="Message Header"/>
    <w:basedOn w:val="1"/>
    <w:link w:val="249"/>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sz w:val="24"/>
      <w:szCs w:val="24"/>
    </w:rPr>
  </w:style>
  <w:style w:type="paragraph" w:styleId="41">
    <w:name w:val="HTML Preformatted"/>
    <w:basedOn w:val="1"/>
    <w:link w:val="197"/>
    <w:qFormat/>
    <w:uiPriority w:val="99"/>
    <w:rPr>
      <w:rFonts w:ascii="Courier New" w:hAnsi="Courier New"/>
      <w:sz w:val="20"/>
    </w:rPr>
  </w:style>
  <w:style w:type="paragraph" w:styleId="42">
    <w:name w:val="Normal (Web)"/>
    <w:basedOn w:val="1"/>
    <w:qFormat/>
    <w:uiPriority w:val="0"/>
    <w:pPr>
      <w:widowControl/>
      <w:spacing w:before="100" w:beforeAutospacing="1" w:after="100" w:afterAutospacing="1" w:line="300" w:lineRule="atLeast"/>
      <w:jc w:val="left"/>
    </w:pPr>
    <w:rPr>
      <w:rFonts w:ascii="宋体" w:hAnsi="宋体" w:cs="宋体"/>
      <w:kern w:val="0"/>
      <w:sz w:val="24"/>
      <w:szCs w:val="24"/>
    </w:rPr>
  </w:style>
  <w:style w:type="paragraph" w:styleId="43">
    <w:name w:val="index 1"/>
    <w:basedOn w:val="1"/>
    <w:next w:val="1"/>
    <w:qFormat/>
    <w:uiPriority w:val="99"/>
  </w:style>
  <w:style w:type="paragraph" w:styleId="44">
    <w:name w:val="Title"/>
    <w:basedOn w:val="1"/>
    <w:next w:val="1"/>
    <w:link w:val="164"/>
    <w:qFormat/>
    <w:uiPriority w:val="0"/>
    <w:pPr>
      <w:spacing w:before="240" w:after="60"/>
      <w:jc w:val="center"/>
      <w:outlineLvl w:val="0"/>
    </w:pPr>
    <w:rPr>
      <w:rFonts w:ascii="Cambria" w:hAnsi="Cambria"/>
      <w:b/>
      <w:bCs/>
      <w:sz w:val="32"/>
      <w:szCs w:val="32"/>
    </w:rPr>
  </w:style>
  <w:style w:type="paragraph" w:styleId="45">
    <w:name w:val="annotation subject"/>
    <w:basedOn w:val="15"/>
    <w:next w:val="15"/>
    <w:link w:val="158"/>
    <w:semiHidden/>
    <w:qFormat/>
    <w:uiPriority w:val="99"/>
    <w:rPr>
      <w:b/>
    </w:rPr>
  </w:style>
  <w:style w:type="paragraph" w:styleId="46">
    <w:name w:val="Body Text First Indent"/>
    <w:basedOn w:val="17"/>
    <w:next w:val="34"/>
    <w:link w:val="171"/>
    <w:qFormat/>
    <w:uiPriority w:val="99"/>
    <w:pPr>
      <w:spacing w:after="120"/>
      <w:ind w:firstLine="420" w:firstLineChars="100"/>
    </w:pPr>
    <w:rPr>
      <w:i/>
      <w:kern w:val="2"/>
      <w:sz w:val="24"/>
    </w:rPr>
  </w:style>
  <w:style w:type="paragraph" w:styleId="47">
    <w:name w:val="Body Text First Indent 2"/>
    <w:basedOn w:val="18"/>
    <w:next w:val="1"/>
    <w:link w:val="254"/>
    <w:unhideWhenUsed/>
    <w:qFormat/>
    <w:uiPriority w:val="99"/>
    <w:pPr>
      <w:spacing w:after="120" w:line="240" w:lineRule="auto"/>
      <w:ind w:left="420" w:leftChars="200" w:firstLine="420" w:firstLineChars="200"/>
    </w:pPr>
    <w:rPr>
      <w:sz w:val="21"/>
      <w:szCs w:val="24"/>
    </w:rPr>
  </w:style>
  <w:style w:type="table" w:styleId="49">
    <w:name w:val="Table Grid"/>
    <w:basedOn w:val="4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rPr>
  </w:style>
  <w:style w:type="character" w:styleId="52">
    <w:name w:val="page number"/>
    <w:qFormat/>
    <w:uiPriority w:val="0"/>
    <w:rPr>
      <w:rFonts w:cs="Times New Roman"/>
    </w:rPr>
  </w:style>
  <w:style w:type="character" w:styleId="53">
    <w:name w:val="FollowedHyperlink"/>
    <w:qFormat/>
    <w:uiPriority w:val="99"/>
    <w:rPr>
      <w:color w:val="800080"/>
      <w:u w:val="single"/>
    </w:rPr>
  </w:style>
  <w:style w:type="character" w:styleId="54">
    <w:name w:val="Emphasis"/>
    <w:qFormat/>
    <w:uiPriority w:val="20"/>
    <w:rPr>
      <w:i/>
    </w:rPr>
  </w:style>
  <w:style w:type="character" w:styleId="55">
    <w:name w:val="HTML Typewriter"/>
    <w:qFormat/>
    <w:uiPriority w:val="99"/>
    <w:rPr>
      <w:rFonts w:ascii="Courier New" w:hAnsi="Courier New"/>
      <w:sz w:val="20"/>
    </w:rPr>
  </w:style>
  <w:style w:type="character" w:styleId="56">
    <w:name w:val="Hyperlink"/>
    <w:qFormat/>
    <w:uiPriority w:val="99"/>
    <w:rPr>
      <w:color w:val="0000FF"/>
      <w:u w:val="single"/>
    </w:rPr>
  </w:style>
  <w:style w:type="character" w:styleId="57">
    <w:name w:val="annotation reference"/>
    <w:semiHidden/>
    <w:qFormat/>
    <w:uiPriority w:val="99"/>
    <w:rPr>
      <w:sz w:val="21"/>
    </w:rPr>
  </w:style>
  <w:style w:type="paragraph" w:customStyle="1" w:styleId="58">
    <w:name w:val="样式1"/>
    <w:basedOn w:val="3"/>
    <w:next w:val="1"/>
    <w:link w:val="275"/>
    <w:qFormat/>
    <w:uiPriority w:val="0"/>
    <w:pPr>
      <w:tabs>
        <w:tab w:val="clear" w:pos="578"/>
      </w:tabs>
      <w:spacing w:beforeLines="0" w:afterLines="0"/>
      <w:ind w:left="0" w:firstLine="0"/>
    </w:pPr>
    <w:rPr>
      <w:rFonts w:ascii="黑体" w:hAnsi="黑体" w:eastAsia="黑体"/>
      <w:b/>
      <w:sz w:val="32"/>
      <w:szCs w:val="20"/>
    </w:rPr>
  </w:style>
  <w:style w:type="paragraph" w:customStyle="1" w:styleId="59">
    <w:name w:val="样式2"/>
    <w:basedOn w:val="4"/>
    <w:next w:val="1"/>
    <w:link w:val="193"/>
    <w:qFormat/>
    <w:uiPriority w:val="0"/>
    <w:pPr>
      <w:adjustRightInd w:val="0"/>
      <w:spacing w:beforeLines="0" w:afterLines="0"/>
      <w:ind w:left="0" w:firstLine="0"/>
      <w:textAlignment w:val="baseline"/>
    </w:pPr>
    <w:rPr>
      <w:rFonts w:ascii="黑体" w:hAnsi="黑体" w:eastAsia="黑体"/>
      <w:b w:val="0"/>
      <w:color w:val="FF0000"/>
      <w:szCs w:val="20"/>
    </w:rPr>
  </w:style>
  <w:style w:type="paragraph" w:customStyle="1" w:styleId="60">
    <w:name w:val="Char"/>
    <w:basedOn w:val="1"/>
    <w:qFormat/>
    <w:uiPriority w:val="0"/>
    <w:pPr>
      <w:widowControl/>
      <w:spacing w:after="160" w:line="240" w:lineRule="exact"/>
      <w:ind w:left="-62" w:right="36" w:rightChars="15"/>
      <w:jc w:val="left"/>
    </w:pPr>
    <w:rPr>
      <w:rFonts w:ascii="Arial" w:hAnsi="Arial"/>
      <w:kern w:val="0"/>
      <w:sz w:val="20"/>
      <w:lang w:eastAsia="en-US"/>
    </w:rPr>
  </w:style>
  <w:style w:type="paragraph" w:customStyle="1" w:styleId="61">
    <w:name w:val="默认段落字体 Para Char Char Char Char Char Char Char Char Char1 Char Char Char Char"/>
    <w:basedOn w:val="1"/>
    <w:qFormat/>
    <w:uiPriority w:val="0"/>
    <w:rPr>
      <w:rFonts w:ascii="Tahoma" w:hAnsi="Tahoma"/>
      <w:sz w:val="24"/>
    </w:rPr>
  </w:style>
  <w:style w:type="paragraph" w:styleId="62">
    <w:name w:val="List Paragraph"/>
    <w:basedOn w:val="1"/>
    <w:link w:val="202"/>
    <w:qFormat/>
    <w:uiPriority w:val="0"/>
    <w:pPr>
      <w:spacing w:line="360" w:lineRule="auto"/>
      <w:ind w:firstLine="420" w:firstLineChars="200"/>
    </w:pPr>
    <w:rPr>
      <w:sz w:val="24"/>
    </w:rPr>
  </w:style>
  <w:style w:type="paragraph" w:customStyle="1" w:styleId="63">
    <w:name w:val="正文编码"/>
    <w:basedOn w:val="46"/>
    <w:qFormat/>
    <w:uiPriority w:val="0"/>
    <w:pPr>
      <w:tabs>
        <w:tab w:val="center" w:pos="2185"/>
      </w:tabs>
      <w:spacing w:after="0" w:line="360" w:lineRule="auto"/>
      <w:ind w:left="1200" w:hanging="720" w:firstLineChars="0"/>
    </w:pPr>
    <w:rPr>
      <w:rFonts w:ascii="仿宋_GB2312" w:hAnsi="宋体" w:eastAsia="仿宋_GB2312"/>
      <w:kern w:val="0"/>
      <w:sz w:val="24"/>
      <w:szCs w:val="20"/>
    </w:rPr>
  </w:style>
  <w:style w:type="paragraph" w:customStyle="1" w:styleId="64">
    <w:name w:val="Char Char1 Char Char Char Char"/>
    <w:basedOn w:val="1"/>
    <w:qFormat/>
    <w:uiPriority w:val="0"/>
    <w:rPr>
      <w:rFonts w:ascii="Tahoma" w:hAnsi="Tahoma"/>
      <w:sz w:val="24"/>
    </w:rPr>
  </w:style>
  <w:style w:type="paragraph" w:customStyle="1" w:styleId="65">
    <w:name w:val="首行缩进"/>
    <w:basedOn w:val="1"/>
    <w:qFormat/>
    <w:uiPriority w:val="0"/>
    <w:pPr>
      <w:widowControl/>
      <w:tabs>
        <w:tab w:val="left" w:pos="822"/>
        <w:tab w:val="left" w:pos="3120"/>
      </w:tabs>
      <w:snapToGrid w:val="0"/>
      <w:spacing w:before="40" w:after="40" w:line="300" w:lineRule="atLeast"/>
      <w:ind w:left="3120" w:hanging="420"/>
    </w:pPr>
    <w:rPr>
      <w:rFonts w:ascii="Arial" w:hAnsi="Arial"/>
      <w:kern w:val="0"/>
      <w:sz w:val="22"/>
    </w:rPr>
  </w:style>
  <w:style w:type="paragraph" w:customStyle="1" w:styleId="66">
    <w:name w:val="大标题"/>
    <w:basedOn w:val="1"/>
    <w:qFormat/>
    <w:uiPriority w:val="0"/>
    <w:pPr>
      <w:autoSpaceDE w:val="0"/>
      <w:autoSpaceDN w:val="0"/>
      <w:adjustRightInd w:val="0"/>
      <w:spacing w:after="560"/>
      <w:jc w:val="center"/>
    </w:pPr>
    <w:rPr>
      <w:rFonts w:ascii="Arial Black" w:hAnsi="Arial Black"/>
      <w:b/>
      <w:kern w:val="0"/>
      <w:sz w:val="56"/>
    </w:rPr>
  </w:style>
  <w:style w:type="paragraph" w:customStyle="1" w:styleId="67">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NormalIndent"/>
    <w:basedOn w:val="1"/>
    <w:next w:val="1"/>
    <w:qFormat/>
    <w:uiPriority w:val="0"/>
    <w:pPr>
      <w:ind w:firstLine="420"/>
      <w:jc w:val="both"/>
      <w:textAlignment w:val="baseline"/>
    </w:pPr>
    <w:rPr>
      <w:rFonts w:ascii="Times New Roman" w:hAnsi="Times New Roman" w:eastAsia="宋体"/>
      <w:kern w:val="2"/>
      <w:sz w:val="21"/>
      <w:szCs w:val="20"/>
      <w:lang w:val="en-US" w:eastAsia="zh-CN" w:bidi="ar-SA"/>
    </w:rPr>
  </w:style>
  <w:style w:type="paragraph" w:customStyle="1" w:styleId="69">
    <w:name w:val="标题2正文 Char"/>
    <w:basedOn w:val="1"/>
    <w:link w:val="167"/>
    <w:qFormat/>
    <w:uiPriority w:val="0"/>
    <w:pPr>
      <w:spacing w:beforeLines="50" w:afterLines="50"/>
      <w:ind w:right="38" w:rightChars="18" w:firstLine="420"/>
    </w:pPr>
    <w:rPr>
      <w:kern w:val="0"/>
      <w:sz w:val="24"/>
    </w:rPr>
  </w:style>
  <w:style w:type="paragraph" w:customStyle="1" w:styleId="70">
    <w:name w:val="List Paragraph11"/>
    <w:basedOn w:val="1"/>
    <w:qFormat/>
    <w:uiPriority w:val="0"/>
    <w:pPr>
      <w:widowControl/>
      <w:spacing w:before="15" w:after="15" w:line="460" w:lineRule="exact"/>
      <w:ind w:firstLine="420" w:firstLineChars="200"/>
      <w:jc w:val="left"/>
    </w:pPr>
    <w:rPr>
      <w:rFonts w:ascii="Calibri" w:hAnsi="Calibri"/>
      <w:sz w:val="24"/>
      <w:szCs w:val="22"/>
    </w:rPr>
  </w:style>
  <w:style w:type="paragraph" w:customStyle="1" w:styleId="71">
    <w:name w:val="表格用"/>
    <w:basedOn w:val="1"/>
    <w:link w:val="243"/>
    <w:qFormat/>
    <w:uiPriority w:val="0"/>
    <w:pPr>
      <w:widowControl/>
      <w:spacing w:line="360" w:lineRule="auto"/>
      <w:jc w:val="left"/>
    </w:pPr>
    <w:rPr>
      <w:rFonts w:ascii="宋体" w:hAnsi="宋体"/>
      <w:kern w:val="0"/>
      <w:sz w:val="24"/>
      <w:szCs w:val="24"/>
    </w:rPr>
  </w:style>
  <w:style w:type="paragraph" w:customStyle="1" w:styleId="72">
    <w:name w:val="金保标题3"/>
    <w:basedOn w:val="4"/>
    <w:next w:val="1"/>
    <w:link w:val="196"/>
    <w:qFormat/>
    <w:uiPriority w:val="0"/>
    <w:pPr>
      <w:tabs>
        <w:tab w:val="left" w:pos="0"/>
        <w:tab w:val="clear" w:pos="1620"/>
      </w:tabs>
      <w:spacing w:beforeLines="0" w:afterLines="0" w:line="240" w:lineRule="auto"/>
      <w:ind w:left="0" w:firstLine="0"/>
      <w:jc w:val="left"/>
    </w:pPr>
    <w:rPr>
      <w:rFonts w:ascii="楷体" w:hAnsi="楷体" w:eastAsia="楷体"/>
      <w:kern w:val="0"/>
      <w:sz w:val="28"/>
      <w:szCs w:val="20"/>
    </w:rPr>
  </w:style>
  <w:style w:type="paragraph" w:customStyle="1" w:styleId="73">
    <w:name w:val="tabletext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4">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75">
    <w:name w:val="标准正文格式"/>
    <w:basedOn w:val="1"/>
    <w:link w:val="179"/>
    <w:qFormat/>
    <w:uiPriority w:val="0"/>
    <w:pPr>
      <w:widowControl/>
      <w:adjustRightInd w:val="0"/>
      <w:spacing w:before="60" w:after="120" w:line="360" w:lineRule="auto"/>
      <w:ind w:firstLine="200" w:firstLineChars="200"/>
      <w:textAlignment w:val="baseline"/>
    </w:pPr>
    <w:rPr>
      <w:rFonts w:ascii="宋体" w:eastAsia="仿宋_GB2312"/>
      <w:color w:val="000000"/>
      <w:kern w:val="0"/>
      <w:sz w:val="24"/>
    </w:rPr>
  </w:style>
  <w:style w:type="paragraph" w:customStyle="1" w:styleId="76">
    <w:name w:val="内容序号（N）"/>
    <w:basedOn w:val="62"/>
    <w:qFormat/>
    <w:uiPriority w:val="0"/>
    <w:pPr>
      <w:tabs>
        <w:tab w:val="left" w:pos="1134"/>
      </w:tabs>
      <w:ind w:firstLine="0" w:firstLineChars="0"/>
    </w:pPr>
    <w:rPr>
      <w:rFonts w:ascii="宋体" w:hAnsi="宋体"/>
      <w:szCs w:val="28"/>
    </w:rPr>
  </w:style>
  <w:style w:type="paragraph" w:customStyle="1" w:styleId="77">
    <w:name w:val="List"/>
    <w:basedOn w:val="1"/>
    <w:next w:val="1"/>
    <w:link w:val="178"/>
    <w:qFormat/>
    <w:uiPriority w:val="34"/>
    <w:pPr>
      <w:numPr>
        <w:ilvl w:val="0"/>
        <w:numId w:val="2"/>
      </w:numPr>
      <w:tabs>
        <w:tab w:val="left" w:pos="1134"/>
      </w:tabs>
      <w:spacing w:line="360" w:lineRule="auto"/>
      <w:ind w:left="0" w:firstLine="420" w:firstLineChars="200"/>
      <w:jc w:val="left"/>
    </w:pPr>
    <w:rPr>
      <w:szCs w:val="22"/>
    </w:rPr>
  </w:style>
  <w:style w:type="paragraph" w:customStyle="1" w:styleId="78">
    <w:name w:val="列表段落1"/>
    <w:basedOn w:val="1"/>
    <w:qFormat/>
    <w:uiPriority w:val="0"/>
    <w:pPr>
      <w:ind w:firstLine="420" w:firstLineChars="200"/>
    </w:pPr>
    <w:rPr>
      <w:sz w:val="28"/>
      <w:szCs w:val="22"/>
    </w:rPr>
  </w:style>
  <w:style w:type="paragraph" w:customStyle="1" w:styleId="79">
    <w:name w:val="Char Char Char"/>
    <w:basedOn w:val="1"/>
    <w:qFormat/>
    <w:uiPriority w:val="0"/>
    <w:pPr>
      <w:spacing w:before="120" w:after="120" w:line="360" w:lineRule="auto"/>
      <w:ind w:firstLine="200" w:firstLineChars="200"/>
    </w:pPr>
    <w:rPr>
      <w:rFonts w:ascii="Tahoma" w:hAnsi="Tahoma"/>
      <w:sz w:val="24"/>
    </w:rPr>
  </w:style>
  <w:style w:type="paragraph" w:customStyle="1" w:styleId="80">
    <w:name w:val="正文无缩进"/>
    <w:basedOn w:val="1"/>
    <w:qFormat/>
    <w:uiPriority w:val="0"/>
    <w:pPr>
      <w:widowControl/>
      <w:autoSpaceDE w:val="0"/>
      <w:autoSpaceDN w:val="0"/>
      <w:spacing w:line="300" w:lineRule="auto"/>
      <w:textAlignment w:val="bottom"/>
    </w:pPr>
    <w:rPr>
      <w:rFonts w:eastAsia="楷体_GB2312"/>
    </w:rPr>
  </w:style>
  <w:style w:type="paragraph" w:customStyle="1" w:styleId="81">
    <w:name w:val="默认段落字体 Para Char Char Char Char Char Char Char Char Char Char"/>
    <w:basedOn w:val="1"/>
    <w:qFormat/>
    <w:uiPriority w:val="0"/>
    <w:rPr>
      <w:rFonts w:ascii="Tahoma" w:hAnsi="Tahoma"/>
      <w:sz w:val="24"/>
    </w:rPr>
  </w:style>
  <w:style w:type="paragraph" w:customStyle="1" w:styleId="82">
    <w:name w:val="标准正文"/>
    <w:basedOn w:val="1"/>
    <w:qFormat/>
    <w:uiPriority w:val="0"/>
    <w:pPr>
      <w:adjustRightInd w:val="0"/>
      <w:spacing w:line="360" w:lineRule="auto"/>
      <w:ind w:firstLine="480" w:firstLineChars="200"/>
    </w:pPr>
    <w:rPr>
      <w:kern w:val="0"/>
      <w:sz w:val="24"/>
    </w:rPr>
  </w:style>
  <w:style w:type="paragraph" w:customStyle="1" w:styleId="83">
    <w:name w:val="正文 居中"/>
    <w:basedOn w:val="1"/>
    <w:qFormat/>
    <w:uiPriority w:val="0"/>
    <w:pPr>
      <w:spacing w:line="360" w:lineRule="auto"/>
      <w:jc w:val="center"/>
    </w:pPr>
    <w:rPr>
      <w:rFonts w:cs="宋体"/>
      <w:sz w:val="24"/>
    </w:rPr>
  </w:style>
  <w:style w:type="paragraph" w:customStyle="1" w:styleId="84">
    <w:name w:val="列出段落1"/>
    <w:basedOn w:val="1"/>
    <w:link w:val="237"/>
    <w:qFormat/>
    <w:uiPriority w:val="0"/>
    <w:pPr>
      <w:ind w:firstLine="420" w:firstLineChars="200"/>
    </w:pPr>
    <w:rPr>
      <w:rFonts w:ascii="Calibri" w:hAnsi="Calibri"/>
      <w:sz w:val="22"/>
    </w:rPr>
  </w:style>
  <w:style w:type="paragraph" w:customStyle="1" w:styleId="85">
    <w:name w:val="表格"/>
    <w:basedOn w:val="1"/>
    <w:link w:val="180"/>
    <w:qFormat/>
    <w:uiPriority w:val="0"/>
    <w:pPr>
      <w:spacing w:line="276" w:lineRule="auto"/>
      <w:jc w:val="center"/>
    </w:pPr>
    <w:rPr>
      <w:rFonts w:ascii="宋体" w:hAnsi="宋体"/>
      <w:szCs w:val="22"/>
    </w:rPr>
  </w:style>
  <w:style w:type="paragraph" w:customStyle="1" w:styleId="86">
    <w:name w:val="标题3"/>
    <w:basedOn w:val="4"/>
    <w:qFormat/>
    <w:uiPriority w:val="0"/>
    <w:pPr>
      <w:tabs>
        <w:tab w:val="left" w:pos="113"/>
        <w:tab w:val="left" w:pos="840"/>
        <w:tab w:val="clear" w:pos="1620"/>
      </w:tabs>
      <w:spacing w:beforeLines="0" w:beforeAutospacing="1" w:afterLines="0" w:line="300" w:lineRule="auto"/>
      <w:ind w:left="1180" w:hanging="340"/>
    </w:pPr>
    <w:rPr>
      <w:rFonts w:ascii="Times New Roman" w:hAnsi="Times New Roman" w:cs="Times New Roman"/>
      <w:b w:val="0"/>
      <w:bCs/>
      <w:spacing w:val="6"/>
      <w:kern w:val="44"/>
      <w:sz w:val="28"/>
      <w:szCs w:val="20"/>
      <w:lang w:val="ru-RU"/>
    </w:rPr>
  </w:style>
  <w:style w:type="paragraph" w:customStyle="1" w:styleId="87">
    <w:name w:val="_Style 260"/>
    <w:basedOn w:val="1"/>
    <w:next w:val="62"/>
    <w:qFormat/>
    <w:uiPriority w:val="99"/>
    <w:pPr>
      <w:ind w:firstLine="420" w:firstLineChars="200"/>
    </w:pPr>
    <w:rPr>
      <w:rFonts w:ascii="Times New Roman" w:hAnsi="Times New Roman"/>
      <w:szCs w:val="24"/>
    </w:rPr>
  </w:style>
  <w:style w:type="paragraph" w:customStyle="1" w:styleId="88">
    <w:name w:val="Char1"/>
    <w:basedOn w:val="1"/>
    <w:qFormat/>
    <w:uiPriority w:val="0"/>
    <w:rPr>
      <w:rFonts w:ascii="仿宋_GB2312" w:eastAsia="仿宋_GB2312"/>
      <w:b/>
      <w:sz w:val="32"/>
      <w:szCs w:val="32"/>
    </w:rPr>
  </w:style>
  <w:style w:type="paragraph" w:styleId="8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90">
    <w:name w:val="xl25"/>
    <w:basedOn w:val="1"/>
    <w:qFormat/>
    <w:uiPriority w:val="0"/>
    <w:pPr>
      <w:widowControl/>
      <w:spacing w:before="100" w:beforeAutospacing="1" w:after="100" w:afterAutospacing="1"/>
      <w:jc w:val="center"/>
      <w:textAlignment w:val="center"/>
    </w:pPr>
    <w:rPr>
      <w:rFonts w:ascii="宋体" w:hAnsi="宋体"/>
      <w:kern w:val="0"/>
      <w:sz w:val="20"/>
    </w:rPr>
  </w:style>
  <w:style w:type="paragraph" w:customStyle="1" w:styleId="91">
    <w:name w:val="_Style 89"/>
    <w:basedOn w:val="2"/>
    <w:next w:val="1"/>
    <w:qFormat/>
    <w:uiPriority w:val="39"/>
    <w:pPr>
      <w:keepLines/>
      <w:widowControl/>
      <w:spacing w:before="240" w:line="259" w:lineRule="auto"/>
      <w:jc w:val="left"/>
      <w:outlineLvl w:val="9"/>
    </w:pPr>
    <w:rPr>
      <w:rFonts w:ascii="等线 Light" w:hAnsi="等线 Light" w:eastAsia="等线 Light"/>
      <w:b w:val="0"/>
      <w:color w:val="2F5496"/>
      <w:kern w:val="0"/>
      <w:sz w:val="32"/>
      <w:szCs w:val="32"/>
    </w:rPr>
  </w:style>
  <w:style w:type="paragraph" w:customStyle="1" w:styleId="92">
    <w:name w:val="xl28"/>
    <w:basedOn w:val="1"/>
    <w:qFormat/>
    <w:uiPriority w:val="0"/>
    <w:pPr>
      <w:widowControl/>
      <w:pBdr>
        <w:left w:val="single" w:color="auto" w:sz="8" w:space="0"/>
        <w:bottom w:val="single" w:color="auto" w:sz="4" w:space="0"/>
        <w:right w:val="single" w:color="auto" w:sz="4" w:space="0"/>
      </w:pBdr>
      <w:spacing w:beforeAutospacing="1" w:afterAutospacing="1"/>
      <w:jc w:val="center"/>
    </w:pPr>
    <w:rPr>
      <w:rFonts w:ascii="Arial Unicode MS" w:hAnsi="Arial Unicode MS" w:eastAsia="Arial Unicode MS"/>
      <w:kern w:val="0"/>
      <w:sz w:val="24"/>
    </w:rPr>
  </w:style>
  <w:style w:type="paragraph" w:customStyle="1" w:styleId="93">
    <w:name w:val="标题1"/>
    <w:basedOn w:val="2"/>
    <w:qFormat/>
    <w:uiPriority w:val="0"/>
    <w:pPr>
      <w:keepLines/>
      <w:tabs>
        <w:tab w:val="left" w:pos="397"/>
      </w:tabs>
      <w:spacing w:before="120" w:after="120" w:line="300" w:lineRule="auto"/>
      <w:ind w:firstLine="340"/>
    </w:pPr>
    <w:rPr>
      <w:rFonts w:ascii="黑体" w:hAnsi="宋体" w:eastAsia="黑体"/>
      <w:b w:val="0"/>
      <w:bCs/>
      <w:spacing w:val="6"/>
      <w:kern w:val="44"/>
      <w:sz w:val="36"/>
    </w:rPr>
  </w:style>
  <w:style w:type="paragraph" w:customStyle="1" w:styleId="94">
    <w:name w:val="表格正文"/>
    <w:basedOn w:val="1"/>
    <w:qFormat/>
    <w:uiPriority w:val="0"/>
    <w:rPr>
      <w:rFonts w:eastAsia="黑体"/>
    </w:rPr>
  </w:style>
  <w:style w:type="paragraph" w:customStyle="1" w:styleId="95">
    <w:name w:val="itemlist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p0"/>
    <w:basedOn w:val="1"/>
    <w:qFormat/>
    <w:uiPriority w:val="0"/>
    <w:pPr>
      <w:widowControl/>
    </w:pPr>
    <w:rPr>
      <w:kern w:val="0"/>
      <w:szCs w:val="21"/>
    </w:rPr>
  </w:style>
  <w:style w:type="paragraph" w:customStyle="1" w:styleId="97">
    <w:name w:val="1"/>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98">
    <w:name w:val="0正文"/>
    <w:basedOn w:val="1"/>
    <w:qFormat/>
    <w:uiPriority w:val="0"/>
    <w:pPr>
      <w:adjustRightInd w:val="0"/>
      <w:spacing w:line="360" w:lineRule="auto"/>
      <w:ind w:left="50" w:leftChars="50" w:right="50" w:rightChars="50" w:firstLine="200" w:firstLineChars="200"/>
      <w:textAlignment w:val="baseline"/>
    </w:pPr>
    <w:rPr>
      <w:rFonts w:ascii="Verdana" w:hAnsi="Verdana" w:cs="Verdana"/>
      <w:color w:val="000080"/>
      <w:szCs w:val="21"/>
    </w:rPr>
  </w:style>
  <w:style w:type="paragraph" w:customStyle="1" w:styleId="99">
    <w:name w:val="List Paragraph1"/>
    <w:basedOn w:val="1"/>
    <w:qFormat/>
    <w:uiPriority w:val="34"/>
    <w:pPr>
      <w:ind w:firstLine="420" w:firstLineChars="200"/>
    </w:pPr>
    <w:rPr>
      <w:rFonts w:ascii="Calibri" w:hAnsi="Calibri"/>
      <w:szCs w:val="21"/>
    </w:rPr>
  </w:style>
  <w:style w:type="paragraph" w:customStyle="1" w:styleId="100">
    <w:name w:val="Char2"/>
    <w:basedOn w:val="1"/>
    <w:qFormat/>
    <w:uiPriority w:val="0"/>
    <w:pPr>
      <w:tabs>
        <w:tab w:val="left" w:pos="1200"/>
      </w:tabs>
      <w:ind w:left="1200" w:hanging="720"/>
    </w:pPr>
    <w:rPr>
      <w:sz w:val="24"/>
      <w:szCs w:val="24"/>
    </w:rPr>
  </w:style>
  <w:style w:type="paragraph" w:customStyle="1" w:styleId="101">
    <w:name w:val="三级标题"/>
    <w:basedOn w:val="1"/>
    <w:qFormat/>
    <w:uiPriority w:val="0"/>
    <w:pPr>
      <w:adjustRightInd w:val="0"/>
      <w:spacing w:line="460" w:lineRule="exact"/>
    </w:pPr>
    <w:rPr>
      <w:b/>
      <w:color w:val="000000"/>
      <w:kern w:val="0"/>
      <w:sz w:val="24"/>
    </w:rPr>
  </w:style>
  <w:style w:type="paragraph" w:customStyle="1" w:styleId="102">
    <w:name w:val="正文2"/>
    <w:basedOn w:val="1"/>
    <w:qFormat/>
    <w:uiPriority w:val="0"/>
    <w:pPr>
      <w:spacing w:beforeLines="50" w:afterLines="50" w:line="360" w:lineRule="auto"/>
      <w:ind w:firstLine="480" w:firstLineChars="200"/>
    </w:pPr>
    <w:rPr>
      <w:rFonts w:ascii="宋体" w:hAnsi="宋体"/>
      <w:sz w:val="24"/>
      <w:szCs w:val="24"/>
    </w:rPr>
  </w:style>
  <w:style w:type="paragraph" w:customStyle="1" w:styleId="103">
    <w:name w:val="Normal 2"/>
    <w:basedOn w:val="1"/>
    <w:qFormat/>
    <w:uiPriority w:val="0"/>
    <w:pPr>
      <w:keepLines/>
      <w:widowControl/>
      <w:autoSpaceDE w:val="0"/>
      <w:autoSpaceDN w:val="0"/>
      <w:adjustRightInd w:val="0"/>
      <w:spacing w:before="240"/>
      <w:ind w:left="360" w:right="900"/>
      <w:jc w:val="left"/>
    </w:pPr>
    <w:rPr>
      <w:rFonts w:ascii="Arial" w:hAnsi="Arial"/>
      <w:kern w:val="0"/>
      <w:sz w:val="22"/>
      <w:lang w:eastAsia="en-US"/>
    </w:rPr>
  </w:style>
  <w:style w:type="paragraph" w:customStyle="1" w:styleId="104">
    <w:name w:val="无间距"/>
    <w:link w:val="223"/>
    <w:qFormat/>
    <w:uiPriority w:val="0"/>
    <w:rPr>
      <w:rFonts w:ascii="Times New Roman" w:hAnsi="Times New Roman" w:eastAsia="宋体" w:cs="Times New Roman"/>
      <w:sz w:val="22"/>
      <w:lang w:val="en-US" w:eastAsia="zh-CN" w:bidi="ar-SA"/>
    </w:rPr>
  </w:style>
  <w:style w:type="paragraph" w:customStyle="1" w:styleId="105">
    <w:name w:val="Char Char Char1 Char"/>
    <w:basedOn w:val="1"/>
    <w:qFormat/>
    <w:uiPriority w:val="0"/>
    <w:pPr>
      <w:spacing w:line="360" w:lineRule="auto"/>
      <w:ind w:firstLine="200" w:firstLineChars="200"/>
    </w:pPr>
  </w:style>
  <w:style w:type="paragraph" w:customStyle="1" w:styleId="10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07">
    <w:name w:val="参数正文"/>
    <w:basedOn w:val="1"/>
    <w:qFormat/>
    <w:uiPriority w:val="0"/>
    <w:pPr>
      <w:spacing w:line="360" w:lineRule="auto"/>
      <w:ind w:firstLine="480" w:firstLineChars="200"/>
      <w:jc w:val="left"/>
    </w:pPr>
    <w:rPr>
      <w:rFonts w:ascii="宋体" w:hAnsi="宋体" w:cs="宋体"/>
      <w:kern w:val="0"/>
      <w:sz w:val="24"/>
      <w:szCs w:val="24"/>
    </w:rPr>
  </w:style>
  <w:style w:type="paragraph" w:customStyle="1" w:styleId="108">
    <w:name w:val="列出段落11"/>
    <w:basedOn w:val="1"/>
    <w:qFormat/>
    <w:uiPriority w:val="34"/>
    <w:pPr>
      <w:ind w:firstLine="420" w:firstLineChars="200"/>
    </w:pPr>
    <w:rPr>
      <w:szCs w:val="24"/>
    </w:rPr>
  </w:style>
  <w:style w:type="paragraph" w:customStyle="1" w:styleId="109">
    <w:name w:val="中等深浅网格 1 - 强调文字颜色 21"/>
    <w:basedOn w:val="1"/>
    <w:link w:val="187"/>
    <w:qFormat/>
    <w:uiPriority w:val="34"/>
    <w:pPr>
      <w:ind w:firstLine="420" w:firstLineChars="200"/>
    </w:pPr>
    <w:rPr>
      <w:rFonts w:ascii="Calibri" w:hAnsi="Calibri"/>
      <w:sz w:val="22"/>
    </w:rPr>
  </w:style>
  <w:style w:type="paragraph" w:customStyle="1" w:styleId="110">
    <w:name w:val="纯文本1"/>
    <w:basedOn w:val="1"/>
    <w:link w:val="282"/>
    <w:qFormat/>
    <w:uiPriority w:val="0"/>
    <w:rPr>
      <w:rFonts w:ascii="宋体" w:hAnsi="Courier New"/>
    </w:rPr>
  </w:style>
  <w:style w:type="paragraph" w:customStyle="1" w:styleId="111">
    <w:name w:val="[正文行首缩进]"/>
    <w:qFormat/>
    <w:uiPriority w:val="0"/>
    <w:pPr>
      <w:widowControl w:val="0"/>
      <w:spacing w:line="360" w:lineRule="auto"/>
      <w:ind w:firstLine="200" w:firstLineChars="200"/>
      <w:jc w:val="both"/>
    </w:pPr>
    <w:rPr>
      <w:rFonts w:ascii="Times New Roman" w:hAnsi="Times New Roman" w:eastAsia="宋体" w:cs="Times New Roman"/>
      <w:color w:val="000000"/>
      <w:sz w:val="24"/>
      <w:szCs w:val="24"/>
      <w:lang w:val="en-US" w:eastAsia="zh-CN" w:bidi="ar-SA"/>
    </w:rPr>
  </w:style>
  <w:style w:type="paragraph" w:customStyle="1" w:styleId="112">
    <w:name w:val="_Style 134"/>
    <w:basedOn w:val="1"/>
    <w:next w:val="62"/>
    <w:qFormat/>
    <w:uiPriority w:val="0"/>
    <w:pPr>
      <w:ind w:firstLine="420" w:firstLineChars="200"/>
    </w:pPr>
    <w:rPr>
      <w:szCs w:val="22"/>
    </w:rPr>
  </w:style>
  <w:style w:type="paragraph" w:customStyle="1" w:styleId="113">
    <w:name w:val="方案－正文"/>
    <w:basedOn w:val="1"/>
    <w:link w:val="268"/>
    <w:qFormat/>
    <w:uiPriority w:val="0"/>
    <w:pPr>
      <w:spacing w:line="360" w:lineRule="auto"/>
      <w:ind w:firstLine="480" w:firstLineChars="200"/>
    </w:pPr>
    <w:rPr>
      <w:rFonts w:ascii="仿宋_GB2312" w:hAnsi="宋体"/>
      <w:kern w:val="0"/>
      <w:sz w:val="24"/>
    </w:rPr>
  </w:style>
  <w:style w:type="paragraph" w:customStyle="1" w:styleId="114">
    <w:name w:val="Default"/>
    <w:qFormat/>
    <w:uiPriority w:val="0"/>
    <w:pPr>
      <w:widowControl w:val="0"/>
      <w:autoSpaceDE w:val="0"/>
      <w:autoSpaceDN w:val="0"/>
      <w:adjustRightInd w:val="0"/>
      <w:ind w:left="425"/>
    </w:pPr>
    <w:rPr>
      <w:rFonts w:ascii="黑体" w:hAnsi="Times New Roman" w:eastAsia="黑体" w:cs="黑体"/>
      <w:color w:val="000000"/>
      <w:sz w:val="24"/>
      <w:szCs w:val="24"/>
      <w:lang w:val="en-US" w:eastAsia="zh-CN" w:bidi="ar-SA"/>
    </w:rPr>
  </w:style>
  <w:style w:type="paragraph" w:customStyle="1" w:styleId="115">
    <w:name w:val="cjk"/>
    <w:basedOn w:val="1"/>
    <w:qFormat/>
    <w:uiPriority w:val="0"/>
    <w:pPr>
      <w:widowControl/>
      <w:spacing w:beforeAutospacing="1" w:after="142" w:line="288" w:lineRule="auto"/>
    </w:pPr>
    <w:rPr>
      <w:rFonts w:ascii="宋体" w:hAnsi="宋体" w:cs="宋体"/>
      <w:color w:val="00000A"/>
      <w:kern w:val="0"/>
      <w:sz w:val="20"/>
    </w:rPr>
  </w:style>
  <w:style w:type="paragraph" w:customStyle="1" w:styleId="116">
    <w:name w:val="正文文本缩进 + 四号"/>
    <w:basedOn w:val="18"/>
    <w:qFormat/>
    <w:uiPriority w:val="0"/>
    <w:pPr>
      <w:spacing w:line="360" w:lineRule="auto"/>
      <w:ind w:firstLine="560" w:firstLineChars="200"/>
    </w:pPr>
    <w:rPr>
      <w:rFonts w:ascii="仿宋_GB2312" w:eastAsia="仿宋_GB2312"/>
      <w:color w:val="000000"/>
      <w:sz w:val="28"/>
      <w:szCs w:val="28"/>
    </w:rPr>
  </w:style>
  <w:style w:type="paragraph" w:customStyle="1" w:styleId="117">
    <w:name w:val="Item List in Table"/>
    <w:basedOn w:val="1"/>
    <w:qFormat/>
    <w:uiPriority w:val="0"/>
    <w:pPr>
      <w:widowControl/>
      <w:numPr>
        <w:ilvl w:val="0"/>
        <w:numId w:val="3"/>
      </w:numPr>
      <w:tabs>
        <w:tab w:val="left" w:pos="284"/>
      </w:tabs>
      <w:topLinePunct/>
      <w:adjustRightInd w:val="0"/>
      <w:snapToGrid w:val="0"/>
      <w:spacing w:before="80" w:after="80" w:line="240" w:lineRule="atLeast"/>
      <w:jc w:val="left"/>
    </w:pPr>
    <w:rPr>
      <w:rFonts w:cs="Arial"/>
      <w:kern w:val="0"/>
      <w:szCs w:val="21"/>
    </w:rPr>
  </w:style>
  <w:style w:type="paragraph" w:customStyle="1" w:styleId="118">
    <w:name w:val="符号 2"/>
    <w:basedOn w:val="119"/>
    <w:qFormat/>
    <w:uiPriority w:val="0"/>
    <w:pPr>
      <w:tabs>
        <w:tab w:val="left" w:pos="900"/>
        <w:tab w:val="left" w:pos="1320"/>
      </w:tabs>
      <w:ind w:left="1320" w:hanging="420"/>
    </w:pPr>
  </w:style>
  <w:style w:type="paragraph" w:customStyle="1" w:styleId="119">
    <w:name w:val="符号 1"/>
    <w:basedOn w:val="18"/>
    <w:qFormat/>
    <w:uiPriority w:val="0"/>
    <w:pPr>
      <w:tabs>
        <w:tab w:val="left" w:pos="900"/>
      </w:tabs>
      <w:spacing w:line="360" w:lineRule="auto"/>
      <w:ind w:left="1200" w:hanging="720"/>
    </w:pPr>
    <w:rPr>
      <w:rFonts w:eastAsia="宋体"/>
      <w:kern w:val="28"/>
      <w:szCs w:val="24"/>
    </w:rPr>
  </w:style>
  <w:style w:type="paragraph" w:customStyle="1" w:styleId="120">
    <w:name w:val="无间隔1"/>
    <w:qFormat/>
    <w:uiPriority w:val="99"/>
    <w:rPr>
      <w:rFonts w:ascii="Times New Roman" w:hAnsi="Times New Roman" w:eastAsia="宋体" w:cs="Calibri"/>
      <w:sz w:val="22"/>
      <w:szCs w:val="22"/>
      <w:lang w:val="en-US" w:eastAsia="zh-CN" w:bidi="ar-SA"/>
    </w:rPr>
  </w:style>
  <w:style w:type="paragraph" w:customStyle="1" w:styleId="121">
    <w:name w:val=" Char"/>
    <w:basedOn w:val="1"/>
    <w:qFormat/>
    <w:uiPriority w:val="0"/>
    <w:rPr>
      <w:rFonts w:ascii="仿宋_GB2312" w:eastAsia="仿宋_GB2312"/>
      <w:b/>
      <w:sz w:val="32"/>
      <w:szCs w:val="32"/>
    </w:rPr>
  </w:style>
  <w:style w:type="paragraph" w:customStyle="1" w:styleId="122">
    <w:name w:val="_Style 120"/>
    <w:unhideWhenUsed/>
    <w:qFormat/>
    <w:uiPriority w:val="99"/>
    <w:rPr>
      <w:rFonts w:ascii="Times New Roman" w:hAnsi="Times New Roman" w:eastAsia="宋体" w:cs="Times New Roman"/>
      <w:kern w:val="2"/>
      <w:sz w:val="21"/>
      <w:lang w:val="en-US" w:eastAsia="zh-CN" w:bidi="ar-SA"/>
    </w:rPr>
  </w:style>
  <w:style w:type="paragraph" w:customStyle="1" w:styleId="123">
    <w:name w:val="样式5"/>
    <w:basedOn w:val="1"/>
    <w:link w:val="262"/>
    <w:qFormat/>
    <w:uiPriority w:val="0"/>
    <w:pPr>
      <w:keepNext/>
      <w:keepLines/>
      <w:spacing w:before="280" w:after="290" w:line="376" w:lineRule="auto"/>
      <w:ind w:left="210" w:leftChars="100" w:right="210" w:rightChars="100"/>
      <w:outlineLvl w:val="4"/>
    </w:pPr>
    <w:rPr>
      <w:b/>
      <w:sz w:val="28"/>
    </w:rPr>
  </w:style>
  <w:style w:type="paragraph" w:customStyle="1" w:styleId="124">
    <w:name w:val="Table Paragraph"/>
    <w:basedOn w:val="1"/>
    <w:unhideWhenUsed/>
    <w:qFormat/>
    <w:uiPriority w:val="1"/>
    <w:pPr>
      <w:spacing w:before="100" w:beforeAutospacing="1" w:after="100" w:afterAutospacing="1" w:line="360" w:lineRule="auto"/>
    </w:pPr>
    <w:rPr>
      <w:sz w:val="24"/>
      <w:szCs w:val="24"/>
    </w:rPr>
  </w:style>
  <w:style w:type="paragraph" w:customStyle="1" w:styleId="125">
    <w:name w:val="彩色列表 - 强调文字颜色 11"/>
    <w:basedOn w:val="1"/>
    <w:qFormat/>
    <w:uiPriority w:val="0"/>
    <w:pPr>
      <w:ind w:firstLine="420" w:firstLineChars="200"/>
    </w:pPr>
    <w:rPr>
      <w:rFonts w:ascii="Calibri" w:hAnsi="Calibri"/>
      <w:szCs w:val="22"/>
    </w:rPr>
  </w:style>
  <w:style w:type="paragraph" w:customStyle="1" w:styleId="126">
    <w:name w:val="标准文本"/>
    <w:basedOn w:val="1"/>
    <w:link w:val="230"/>
    <w:qFormat/>
    <w:uiPriority w:val="0"/>
    <w:pPr>
      <w:snapToGrid w:val="0"/>
      <w:spacing w:line="360" w:lineRule="auto"/>
      <w:ind w:firstLine="480" w:firstLineChars="200"/>
    </w:pPr>
    <w:rPr>
      <w:szCs w:val="22"/>
    </w:rPr>
  </w:style>
  <w:style w:type="paragraph" w:customStyle="1" w:styleId="127">
    <w:name w:val="_Style 5"/>
    <w:basedOn w:val="1"/>
    <w:qFormat/>
    <w:uiPriority w:val="0"/>
    <w:pPr>
      <w:widowControl/>
      <w:spacing w:after="160" w:line="360" w:lineRule="auto"/>
      <w:ind w:firstLine="200" w:firstLineChars="200"/>
      <w:jc w:val="left"/>
    </w:pPr>
    <w:rPr>
      <w:rFonts w:ascii="宋体" w:hAnsi="宋体"/>
      <w:sz w:val="24"/>
    </w:rPr>
  </w:style>
  <w:style w:type="paragraph" w:customStyle="1" w:styleId="128">
    <w:name w:val="正文段"/>
    <w:basedOn w:val="1"/>
    <w:qFormat/>
    <w:uiPriority w:val="0"/>
    <w:pPr>
      <w:widowControl/>
      <w:snapToGrid w:val="0"/>
      <w:spacing w:afterLines="50"/>
      <w:ind w:firstLine="200" w:firstLineChars="200"/>
    </w:pPr>
    <w:rPr>
      <w:kern w:val="0"/>
      <w:sz w:val="24"/>
    </w:rPr>
  </w:style>
  <w:style w:type="paragraph" w:customStyle="1" w:styleId="129">
    <w:name w:val="Char Char Char Char"/>
    <w:basedOn w:val="1"/>
    <w:qFormat/>
    <w:uiPriority w:val="0"/>
    <w:pPr>
      <w:widowControl/>
      <w:spacing w:line="400" w:lineRule="exact"/>
      <w:jc w:val="center"/>
    </w:pPr>
    <w:rPr>
      <w:rFonts w:ascii="Verdana" w:hAnsi="Verdana"/>
      <w:kern w:val="0"/>
      <w:lang w:eastAsia="en-US"/>
    </w:rPr>
  </w:style>
  <w:style w:type="paragraph" w:customStyle="1" w:styleId="130">
    <w:name w:val="表内文字-智能工厂"/>
    <w:qFormat/>
    <w:uiPriority w:val="14"/>
    <w:pPr>
      <w:adjustRightInd w:val="0"/>
      <w:snapToGrid w:val="0"/>
      <w:jc w:val="both"/>
    </w:pPr>
    <w:rPr>
      <w:rFonts w:ascii="仿宋_GB2312" w:hAnsi="Times New Roman" w:eastAsia="仿宋_GB2312" w:cs="Times New Roman"/>
      <w:kern w:val="2"/>
      <w:sz w:val="21"/>
      <w:szCs w:val="24"/>
      <w:lang w:val="en-US" w:eastAsia="zh-CN" w:bidi="ar-SA"/>
    </w:rPr>
  </w:style>
  <w:style w:type="paragraph" w:customStyle="1" w:styleId="131">
    <w:name w:val="哈哈正文"/>
    <w:basedOn w:val="1"/>
    <w:link w:val="277"/>
    <w:qFormat/>
    <w:uiPriority w:val="0"/>
    <w:pPr>
      <w:spacing w:line="360" w:lineRule="auto"/>
      <w:ind w:firstLine="200" w:firstLineChars="200"/>
    </w:pPr>
    <w:rPr>
      <w:rFonts w:ascii="宋体" w:hAnsi="宋体"/>
      <w:sz w:val="24"/>
    </w:rPr>
  </w:style>
  <w:style w:type="paragraph" w:customStyle="1" w:styleId="132">
    <w:name w:val="tabletext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列出段落2"/>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34">
    <w:name w:val="Char Char Char Char Char Char Char"/>
    <w:basedOn w:val="1"/>
    <w:qFormat/>
    <w:uiPriority w:val="0"/>
    <w:pPr>
      <w:tabs>
        <w:tab w:val="left" w:pos="432"/>
      </w:tabs>
      <w:ind w:left="432" w:hanging="432"/>
    </w:pPr>
    <w:rPr>
      <w:rFonts w:ascii="Tahoma" w:hAnsi="Tahoma"/>
      <w:sz w:val="24"/>
    </w:rPr>
  </w:style>
  <w:style w:type="paragraph" w:customStyle="1" w:styleId="135">
    <w:name w:val="表格文字"/>
    <w:basedOn w:val="102"/>
    <w:qFormat/>
    <w:uiPriority w:val="0"/>
    <w:pPr>
      <w:spacing w:beforeLines="0" w:afterLines="0" w:line="240" w:lineRule="auto"/>
      <w:ind w:firstLine="0" w:firstLineChars="0"/>
    </w:pPr>
    <w:rPr>
      <w:rFonts w:ascii="Times New Roman" w:hAnsi="Times New Roman"/>
      <w:iCs/>
      <w:color w:val="000000"/>
      <w:sz w:val="21"/>
    </w:rPr>
  </w:style>
  <w:style w:type="paragraph" w:customStyle="1" w:styleId="136">
    <w:name w:val="_Style 265"/>
    <w:basedOn w:val="1"/>
    <w:next w:val="1"/>
    <w:qFormat/>
    <w:uiPriority w:val="0"/>
    <w:pPr>
      <w:ind w:left="420" w:leftChars="200"/>
    </w:pPr>
    <w:rPr>
      <w:rFonts w:ascii="Times New Roman" w:hAnsi="Times New Roman"/>
      <w:szCs w:val="24"/>
    </w:rPr>
  </w:style>
  <w:style w:type="paragraph" w:customStyle="1" w:styleId="137">
    <w:name w:val="正文 A"/>
    <w:qFormat/>
    <w:uiPriority w:val="0"/>
    <w:pPr>
      <w:widowControl w:val="0"/>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13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9">
    <w:name w:val="正文首行缩进2字符"/>
    <w:basedOn w:val="46"/>
    <w:qFormat/>
    <w:uiPriority w:val="0"/>
    <w:pPr>
      <w:spacing w:line="360" w:lineRule="auto"/>
      <w:ind w:firstLine="480" w:firstLineChars="200"/>
    </w:pPr>
    <w:rPr>
      <w:rFonts w:ascii="等线" w:hAnsi="等线" w:eastAsia="等线" w:cs="宋体"/>
      <w:i w:val="0"/>
      <w:szCs w:val="22"/>
    </w:rPr>
  </w:style>
  <w:style w:type="paragraph" w:customStyle="1" w:styleId="140">
    <w:name w:val="p19"/>
    <w:basedOn w:val="1"/>
    <w:qFormat/>
    <w:uiPriority w:val="0"/>
    <w:pPr>
      <w:widowControl/>
      <w:snapToGrid w:val="0"/>
      <w:spacing w:before="60" w:after="120" w:line="360" w:lineRule="auto"/>
      <w:ind w:firstLine="420"/>
    </w:pPr>
    <w:rPr>
      <w:rFonts w:ascii="宋体" w:hAnsi="宋体" w:cs="宋体"/>
      <w:color w:val="000000"/>
      <w:kern w:val="0"/>
      <w:sz w:val="24"/>
      <w:szCs w:val="24"/>
    </w:rPr>
  </w:style>
  <w:style w:type="paragraph" w:customStyle="1" w:styleId="141">
    <w:name w:val="样式3"/>
    <w:basedOn w:val="23"/>
    <w:next w:val="1"/>
    <w:qFormat/>
    <w:uiPriority w:val="0"/>
    <w:pPr>
      <w:tabs>
        <w:tab w:val="left" w:pos="709"/>
      </w:tabs>
      <w:spacing w:before="0" w:after="0" w:line="240" w:lineRule="auto"/>
      <w:ind w:left="709" w:hanging="709"/>
    </w:pPr>
    <w:rPr>
      <w:rFonts w:ascii="Tahoma" w:hAnsi="Tahoma"/>
      <w:sz w:val="28"/>
    </w:rPr>
  </w:style>
  <w:style w:type="paragraph" w:customStyle="1" w:styleId="142">
    <w:name w:val="_Style 135"/>
    <w:basedOn w:val="1"/>
    <w:next w:val="62"/>
    <w:qFormat/>
    <w:uiPriority w:val="0"/>
    <w:pPr>
      <w:ind w:firstLine="420" w:firstLineChars="200"/>
    </w:pPr>
    <w:rPr>
      <w:szCs w:val="22"/>
    </w:rPr>
  </w:style>
  <w:style w:type="paragraph" w:customStyle="1" w:styleId="143">
    <w:name w:val="样式4"/>
    <w:basedOn w:val="2"/>
    <w:link w:val="257"/>
    <w:qFormat/>
    <w:uiPriority w:val="0"/>
    <w:pPr>
      <w:keepLines/>
      <w:spacing w:line="360" w:lineRule="auto"/>
    </w:pPr>
    <w:rPr>
      <w:rFonts w:ascii="黑体" w:hAnsi="黑体" w:eastAsia="黑体"/>
      <w:b w:val="0"/>
      <w:szCs w:val="20"/>
    </w:rPr>
  </w:style>
  <w:style w:type="paragraph" w:customStyle="1" w:styleId="144">
    <w:name w:val="样式 首行缩进:  0 字符"/>
    <w:basedOn w:val="1"/>
    <w:link w:val="215"/>
    <w:qFormat/>
    <w:uiPriority w:val="0"/>
    <w:pPr>
      <w:widowControl/>
      <w:spacing w:line="360" w:lineRule="auto"/>
      <w:ind w:firstLine="480" w:firstLineChars="200"/>
      <w:jc w:val="left"/>
    </w:pPr>
    <w:rPr>
      <w:sz w:val="24"/>
      <w:szCs w:val="21"/>
    </w:rPr>
  </w:style>
  <w:style w:type="paragraph" w:customStyle="1" w:styleId="1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Body"/>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147">
    <w:name w:val="正文 New New New New"/>
    <w:qFormat/>
    <w:uiPriority w:val="0"/>
    <w:pPr>
      <w:widowControl w:val="0"/>
      <w:jc w:val="both"/>
    </w:pPr>
    <w:rPr>
      <w:rFonts w:ascii="Times New Roman" w:hAnsi="Times New Roman" w:eastAsia="宋体" w:cs="Times New Roman"/>
      <w:kern w:val="2"/>
      <w:sz w:val="24"/>
      <w:lang w:val="en-US" w:eastAsia="zh-CN" w:bidi="ar-SA"/>
    </w:rPr>
  </w:style>
  <w:style w:type="paragraph" w:customStyle="1" w:styleId="148">
    <w:name w:val="标准小四"/>
    <w:basedOn w:val="1"/>
    <w:qFormat/>
    <w:uiPriority w:val="0"/>
    <w:pPr>
      <w:spacing w:line="360" w:lineRule="auto"/>
      <w:ind w:firstLine="480" w:firstLineChars="200"/>
    </w:pPr>
    <w:rPr>
      <w:rFonts w:ascii="Arial" w:hAnsi="Arial"/>
      <w:sz w:val="24"/>
      <w:szCs w:val="21"/>
    </w:rPr>
  </w:style>
  <w:style w:type="paragraph" w:customStyle="1" w:styleId="149">
    <w:name w:val="Table Text"/>
    <w:basedOn w:val="1"/>
    <w:qFormat/>
    <w:uiPriority w:val="0"/>
    <w:pPr>
      <w:widowControl/>
      <w:jc w:val="left"/>
    </w:pPr>
    <w:rPr>
      <w:rFonts w:ascii="Arial" w:hAnsi="Arial"/>
      <w:kern w:val="0"/>
      <w:szCs w:val="21"/>
    </w:rPr>
  </w:style>
  <w:style w:type="paragraph" w:customStyle="1" w:styleId="150">
    <w:name w:val="Char11"/>
    <w:basedOn w:val="1"/>
    <w:qFormat/>
    <w:uiPriority w:val="0"/>
    <w:rPr>
      <w:szCs w:val="24"/>
    </w:rPr>
  </w:style>
  <w:style w:type="paragraph" w:customStyle="1" w:styleId="151">
    <w:name w:val="Proposals body"/>
    <w:basedOn w:val="1"/>
    <w:next w:val="1"/>
    <w:qFormat/>
    <w:uiPriority w:val="0"/>
    <w:pPr>
      <w:widowControl/>
      <w:spacing w:line="360" w:lineRule="auto"/>
      <w:jc w:val="left"/>
    </w:pPr>
    <w:rPr>
      <w:rFonts w:ascii="宋体"/>
      <w:color w:val="000000"/>
      <w:kern w:val="0"/>
      <w:sz w:val="24"/>
    </w:rPr>
  </w:style>
  <w:style w:type="character" w:customStyle="1" w:styleId="152">
    <w:name w:val="正文文本 3 字符2"/>
    <w:link w:val="16"/>
    <w:qFormat/>
    <w:locked/>
    <w:uiPriority w:val="99"/>
    <w:rPr>
      <w:rFonts w:eastAsia="宋体"/>
      <w:sz w:val="16"/>
    </w:rPr>
  </w:style>
  <w:style w:type="character" w:customStyle="1" w:styleId="153">
    <w:name w:val="text-hui"/>
    <w:qFormat/>
    <w:uiPriority w:val="0"/>
  </w:style>
  <w:style w:type="character" w:customStyle="1" w:styleId="154">
    <w:name w:val="正文文本缩进 字符4"/>
    <w:link w:val="18"/>
    <w:qFormat/>
    <w:locked/>
    <w:uiPriority w:val="0"/>
    <w:rPr>
      <w:rFonts w:eastAsia="方正书宋简体"/>
      <w:kern w:val="2"/>
      <w:sz w:val="24"/>
      <w:lang w:val="en-US" w:eastAsia="zh-CN"/>
    </w:rPr>
  </w:style>
  <w:style w:type="character" w:customStyle="1" w:styleId="155">
    <w:name w:val="text-hei"/>
    <w:qFormat/>
    <w:uiPriority w:val="0"/>
  </w:style>
  <w:style w:type="character" w:customStyle="1" w:styleId="156">
    <w:name w:val="批注框文本 字符1"/>
    <w:semiHidden/>
    <w:qFormat/>
    <w:uiPriority w:val="99"/>
    <w:rPr>
      <w:kern w:val="2"/>
      <w:sz w:val="18"/>
      <w:szCs w:val="18"/>
    </w:rPr>
  </w:style>
  <w:style w:type="character" w:customStyle="1" w:styleId="157">
    <w:name w:val="页眉 字符2"/>
    <w:link w:val="29"/>
    <w:qFormat/>
    <w:locked/>
    <w:uiPriority w:val="99"/>
    <w:rPr>
      <w:rFonts w:ascii="宋体" w:hAnsi="宋体" w:eastAsia="宋体" w:cs="宋体"/>
      <w:kern w:val="2"/>
      <w:sz w:val="18"/>
      <w:szCs w:val="18"/>
      <w:lang w:val="en-US" w:eastAsia="zh-CN"/>
    </w:rPr>
  </w:style>
  <w:style w:type="character" w:customStyle="1" w:styleId="158">
    <w:name w:val="批注主题 字符2"/>
    <w:link w:val="45"/>
    <w:qFormat/>
    <w:locked/>
    <w:uiPriority w:val="99"/>
    <w:rPr>
      <w:rFonts w:ascii="宋体" w:hAnsi="宋体" w:eastAsia="宋体" w:cs="宋体"/>
      <w:b/>
      <w:kern w:val="2"/>
      <w:sz w:val="21"/>
      <w:szCs w:val="21"/>
      <w:lang w:val="en-US" w:eastAsia="zh-CN"/>
    </w:rPr>
  </w:style>
  <w:style w:type="character" w:customStyle="1" w:styleId="159">
    <w:name w:val="font11"/>
    <w:qFormat/>
    <w:uiPriority w:val="0"/>
    <w:rPr>
      <w:rFonts w:ascii="Times New Roman" w:hAnsi="Times New Roman"/>
      <w:color w:val="000000"/>
      <w:sz w:val="24"/>
      <w:u w:val="none"/>
    </w:rPr>
  </w:style>
  <w:style w:type="character" w:customStyle="1" w:styleId="160">
    <w:name w:val="正文文本 字符1"/>
    <w:semiHidden/>
    <w:qFormat/>
    <w:uiPriority w:val="99"/>
    <w:rPr>
      <w:kern w:val="2"/>
      <w:sz w:val="21"/>
    </w:rPr>
  </w:style>
  <w:style w:type="character" w:customStyle="1" w:styleId="161">
    <w:name w:val="font151"/>
    <w:qFormat/>
    <w:uiPriority w:val="0"/>
    <w:rPr>
      <w:rFonts w:hint="eastAsia" w:ascii="宋体" w:hAnsi="宋体" w:eastAsia="宋体" w:cs="宋体"/>
      <w:color w:val="000000"/>
      <w:sz w:val="20"/>
      <w:szCs w:val="20"/>
      <w:u w:val="none"/>
    </w:rPr>
  </w:style>
  <w:style w:type="character" w:customStyle="1" w:styleId="162">
    <w:name w:val="正文文本 3 字符1"/>
    <w:semiHidden/>
    <w:qFormat/>
    <w:uiPriority w:val="99"/>
    <w:rPr>
      <w:kern w:val="2"/>
      <w:sz w:val="16"/>
      <w:szCs w:val="16"/>
    </w:rPr>
  </w:style>
  <w:style w:type="character" w:customStyle="1" w:styleId="163">
    <w:name w:val="font12"/>
    <w:qFormat/>
    <w:uiPriority w:val="0"/>
    <w:rPr>
      <w:rFonts w:ascii="新宋体" w:hAnsi="新宋体" w:eastAsia="新宋体" w:cs="新宋体"/>
      <w:color w:val="000000"/>
      <w:sz w:val="20"/>
      <w:szCs w:val="20"/>
      <w:u w:val="none"/>
    </w:rPr>
  </w:style>
  <w:style w:type="character" w:customStyle="1" w:styleId="164">
    <w:name w:val="标题 字符"/>
    <w:link w:val="44"/>
    <w:qFormat/>
    <w:uiPriority w:val="0"/>
    <w:rPr>
      <w:rFonts w:ascii="Cambria" w:hAnsi="Cambria"/>
      <w:b/>
      <w:bCs/>
      <w:kern w:val="2"/>
      <w:sz w:val="32"/>
      <w:szCs w:val="32"/>
    </w:rPr>
  </w:style>
  <w:style w:type="character" w:customStyle="1" w:styleId="165">
    <w:name w:val="font61"/>
    <w:qFormat/>
    <w:uiPriority w:val="0"/>
    <w:rPr>
      <w:rFonts w:ascii="Times New Roman" w:hAnsi="Times New Roman"/>
      <w:color w:val="000000"/>
      <w:sz w:val="20"/>
      <w:u w:val="none"/>
    </w:rPr>
  </w:style>
  <w:style w:type="character" w:customStyle="1" w:styleId="166">
    <w:name w:val="标题 8 字符1"/>
    <w:link w:val="9"/>
    <w:qFormat/>
    <w:locked/>
    <w:uiPriority w:val="9"/>
    <w:rPr>
      <w:rFonts w:ascii="Arial" w:hAnsi="Arial" w:eastAsia="黑体"/>
      <w:kern w:val="2"/>
      <w:sz w:val="24"/>
    </w:rPr>
  </w:style>
  <w:style w:type="character" w:customStyle="1" w:styleId="167">
    <w:name w:val="标题2正文 Char Char"/>
    <w:link w:val="69"/>
    <w:qFormat/>
    <w:locked/>
    <w:uiPriority w:val="0"/>
    <w:rPr>
      <w:rFonts w:eastAsia="宋体"/>
      <w:sz w:val="24"/>
    </w:rPr>
  </w:style>
  <w:style w:type="character" w:customStyle="1" w:styleId="168">
    <w:name w:val="列出段落 字符"/>
    <w:qFormat/>
    <w:locked/>
    <w:uiPriority w:val="99"/>
    <w:rPr>
      <w:rFonts w:eastAsia="宋体"/>
      <w:kern w:val="2"/>
      <w:sz w:val="24"/>
      <w:lang w:val="en-US" w:eastAsia="zh-CN"/>
    </w:rPr>
  </w:style>
  <w:style w:type="character" w:customStyle="1" w:styleId="169">
    <w:name w:val="页眉 Char"/>
    <w:qFormat/>
    <w:uiPriority w:val="0"/>
    <w:rPr>
      <w:rFonts w:eastAsia="宋体"/>
      <w:kern w:val="2"/>
      <w:sz w:val="18"/>
      <w:lang w:val="en-US" w:eastAsia="zh-CN"/>
    </w:rPr>
  </w:style>
  <w:style w:type="character" w:customStyle="1" w:styleId="170">
    <w:name w:val="标题 3 Char"/>
    <w:qFormat/>
    <w:uiPriority w:val="0"/>
    <w:rPr>
      <w:rFonts w:ascii="Arial" w:hAnsi="Arial" w:eastAsia="黑体"/>
      <w:b/>
      <w:kern w:val="2"/>
      <w:sz w:val="32"/>
      <w:lang w:val="en-US" w:eastAsia="zh-CN"/>
    </w:rPr>
  </w:style>
  <w:style w:type="character" w:customStyle="1" w:styleId="171">
    <w:name w:val="正文文本首行缩进 字符1"/>
    <w:link w:val="46"/>
    <w:qFormat/>
    <w:locked/>
    <w:uiPriority w:val="99"/>
    <w:rPr>
      <w:rFonts w:ascii="宋体" w:hAnsi="宋体" w:eastAsia="宋体" w:cs="宋体"/>
      <w:i/>
      <w:kern w:val="2"/>
      <w:sz w:val="24"/>
      <w:lang w:val="en-US" w:eastAsia="zh-CN"/>
    </w:rPr>
  </w:style>
  <w:style w:type="character" w:customStyle="1" w:styleId="172">
    <w:name w:val="标题 7 字符1"/>
    <w:link w:val="8"/>
    <w:qFormat/>
    <w:locked/>
    <w:uiPriority w:val="9"/>
    <w:rPr>
      <w:b/>
      <w:kern w:val="2"/>
      <w:sz w:val="24"/>
    </w:rPr>
  </w:style>
  <w:style w:type="character" w:customStyle="1" w:styleId="173">
    <w:name w:val="标题 9 字符"/>
    <w:qFormat/>
    <w:locked/>
    <w:uiPriority w:val="9"/>
    <w:rPr>
      <w:rFonts w:ascii="Arial" w:hAnsi="Arial" w:eastAsia="黑体"/>
      <w:kern w:val="2"/>
      <w:sz w:val="21"/>
    </w:rPr>
  </w:style>
  <w:style w:type="character" w:customStyle="1" w:styleId="174">
    <w:name w:val="标题 6 字符1"/>
    <w:link w:val="7"/>
    <w:qFormat/>
    <w:locked/>
    <w:uiPriority w:val="9"/>
    <w:rPr>
      <w:rFonts w:ascii="Cambria" w:hAnsi="Cambria" w:eastAsia="宋体"/>
      <w:b/>
      <w:kern w:val="2"/>
      <w:sz w:val="24"/>
      <w:lang w:val="en-US" w:eastAsia="zh-CN"/>
    </w:rPr>
  </w:style>
  <w:style w:type="character" w:customStyle="1" w:styleId="175">
    <w:name w:val="纯文本 Char"/>
    <w:qFormat/>
    <w:uiPriority w:val="0"/>
    <w:rPr>
      <w:rFonts w:ascii="宋体" w:hAnsi="宋体" w:eastAsia="宋体"/>
      <w:color w:val="000000"/>
      <w:sz w:val="24"/>
      <w:lang w:val="en-US" w:eastAsia="zh-CN"/>
    </w:rPr>
  </w:style>
  <w:style w:type="character" w:customStyle="1" w:styleId="176">
    <w:name w:val="正文文本缩进 2 字符1"/>
    <w:semiHidden/>
    <w:qFormat/>
    <w:uiPriority w:val="99"/>
    <w:rPr>
      <w:kern w:val="2"/>
      <w:sz w:val="21"/>
    </w:rPr>
  </w:style>
  <w:style w:type="character" w:customStyle="1" w:styleId="177">
    <w:name w:val="font51"/>
    <w:qFormat/>
    <w:uiPriority w:val="0"/>
    <w:rPr>
      <w:rFonts w:hint="eastAsia" w:ascii="宋体" w:hAnsi="宋体" w:eastAsia="宋体"/>
      <w:color w:val="000000"/>
      <w:sz w:val="26"/>
      <w:szCs w:val="26"/>
      <w:u w:val="none"/>
    </w:rPr>
  </w:style>
  <w:style w:type="character" w:customStyle="1" w:styleId="178">
    <w:name w:val="列表段落 字符"/>
    <w:link w:val="77"/>
    <w:qFormat/>
    <w:locked/>
    <w:uiPriority w:val="34"/>
    <w:rPr>
      <w:kern w:val="2"/>
      <w:sz w:val="21"/>
      <w:szCs w:val="22"/>
    </w:rPr>
  </w:style>
  <w:style w:type="character" w:customStyle="1" w:styleId="179">
    <w:name w:val="标准正文格式 Char"/>
    <w:link w:val="75"/>
    <w:qFormat/>
    <w:locked/>
    <w:uiPriority w:val="0"/>
    <w:rPr>
      <w:rFonts w:ascii="宋体" w:eastAsia="仿宋_GB2312" w:cs="宋体"/>
      <w:color w:val="000000"/>
      <w:sz w:val="24"/>
    </w:rPr>
  </w:style>
  <w:style w:type="character" w:customStyle="1" w:styleId="180">
    <w:name w:val="表格 字符"/>
    <w:link w:val="85"/>
    <w:qFormat/>
    <w:uiPriority w:val="0"/>
    <w:rPr>
      <w:rFonts w:ascii="宋体" w:hAnsi="宋体" w:cs="Times New Roman"/>
      <w:kern w:val="2"/>
      <w:sz w:val="21"/>
      <w:szCs w:val="22"/>
    </w:rPr>
  </w:style>
  <w:style w:type="character" w:customStyle="1" w:styleId="181">
    <w:name w:val="日期 字符"/>
    <w:qFormat/>
    <w:locked/>
    <w:uiPriority w:val="99"/>
    <w:rPr>
      <w:rFonts w:ascii="宋体" w:cs="Times New Roman"/>
      <w:sz w:val="24"/>
    </w:rPr>
  </w:style>
  <w:style w:type="character" w:customStyle="1" w:styleId="182">
    <w:name w:val="批注主题 字符"/>
    <w:qFormat/>
    <w:locked/>
    <w:uiPriority w:val="99"/>
    <w:rPr>
      <w:rFonts w:ascii="宋体" w:hAnsi="宋体" w:eastAsia="宋体" w:cs="宋体"/>
      <w:b/>
      <w:kern w:val="2"/>
      <w:sz w:val="21"/>
      <w:szCs w:val="21"/>
      <w:lang w:val="en-US" w:eastAsia="zh-CN"/>
    </w:rPr>
  </w:style>
  <w:style w:type="character" w:customStyle="1" w:styleId="183">
    <w:name w:val="正文文本缩进 3 字符2"/>
    <w:link w:val="35"/>
    <w:qFormat/>
    <w:locked/>
    <w:uiPriority w:val="99"/>
    <w:rPr>
      <w:rFonts w:ascii="宋体" w:hAnsi="宋体" w:eastAsia="宋体" w:cs="宋体"/>
      <w:b/>
      <w:kern w:val="2"/>
      <w:sz w:val="24"/>
      <w:szCs w:val="24"/>
      <w:lang w:val="en-US" w:eastAsia="zh-CN"/>
    </w:rPr>
  </w:style>
  <w:style w:type="character" w:customStyle="1" w:styleId="184">
    <w:name w:val="副标题 字符"/>
    <w:link w:val="32"/>
    <w:qFormat/>
    <w:uiPriority w:val="0"/>
    <w:rPr>
      <w:rFonts w:ascii="Cambria" w:hAnsi="Cambria"/>
      <w:b/>
      <w:bCs/>
      <w:kern w:val="28"/>
      <w:sz w:val="32"/>
      <w:szCs w:val="32"/>
    </w:rPr>
  </w:style>
  <w:style w:type="character" w:customStyle="1" w:styleId="185">
    <w:name w:val="批注文字 字符1"/>
    <w:semiHidden/>
    <w:qFormat/>
    <w:uiPriority w:val="0"/>
    <w:rPr>
      <w:kern w:val="2"/>
      <w:sz w:val="21"/>
    </w:rPr>
  </w:style>
  <w:style w:type="character" w:customStyle="1" w:styleId="186">
    <w:name w:val="题注 字符"/>
    <w:link w:val="13"/>
    <w:qFormat/>
    <w:locked/>
    <w:uiPriority w:val="35"/>
    <w:rPr>
      <w:kern w:val="2"/>
      <w:sz w:val="21"/>
      <w:szCs w:val="21"/>
    </w:rPr>
  </w:style>
  <w:style w:type="character" w:customStyle="1" w:styleId="187">
    <w:name w:val="中等深浅网格 1 - 强调文字颜色 2 Char"/>
    <w:link w:val="109"/>
    <w:qFormat/>
    <w:locked/>
    <w:uiPriority w:val="34"/>
    <w:rPr>
      <w:rFonts w:ascii="Calibri" w:hAnsi="Calibri"/>
      <w:kern w:val="2"/>
      <w:sz w:val="22"/>
    </w:rPr>
  </w:style>
  <w:style w:type="character" w:customStyle="1" w:styleId="188">
    <w:name w:val="正文文本 Char1"/>
    <w:qFormat/>
    <w:uiPriority w:val="0"/>
    <w:rPr>
      <w:rFonts w:ascii="Times New Roman" w:hAnsi="Times New Roman" w:eastAsia="宋体" w:cs="Times New Roman"/>
      <w:sz w:val="24"/>
      <w:szCs w:val="24"/>
    </w:rPr>
  </w:style>
  <w:style w:type="character" w:customStyle="1" w:styleId="189">
    <w:name w:val="正文文本缩进 字符2"/>
    <w:semiHidden/>
    <w:qFormat/>
    <w:uiPriority w:val="99"/>
    <w:rPr>
      <w:kern w:val="2"/>
      <w:sz w:val="21"/>
    </w:rPr>
  </w:style>
  <w:style w:type="character" w:customStyle="1" w:styleId="190">
    <w:name w:val="标题 6 字符"/>
    <w:qFormat/>
    <w:locked/>
    <w:uiPriority w:val="9"/>
    <w:rPr>
      <w:rFonts w:ascii="Cambria" w:hAnsi="Cambria" w:eastAsia="宋体"/>
      <w:b/>
      <w:kern w:val="2"/>
      <w:sz w:val="24"/>
      <w:lang w:val="en-US" w:eastAsia="zh-CN"/>
    </w:rPr>
  </w:style>
  <w:style w:type="character" w:customStyle="1" w:styleId="191">
    <w:name w:val="product-link"/>
    <w:qFormat/>
    <w:uiPriority w:val="0"/>
  </w:style>
  <w:style w:type="character" w:customStyle="1" w:styleId="192">
    <w:name w:val="font41"/>
    <w:qFormat/>
    <w:uiPriority w:val="0"/>
    <w:rPr>
      <w:rFonts w:hint="eastAsia" w:ascii="宋体" w:hAnsi="宋体" w:eastAsia="宋体"/>
      <w:color w:val="000000"/>
      <w:sz w:val="22"/>
      <w:szCs w:val="22"/>
      <w:u w:val="none"/>
    </w:rPr>
  </w:style>
  <w:style w:type="character" w:customStyle="1" w:styleId="193">
    <w:name w:val="样式2 Char"/>
    <w:link w:val="59"/>
    <w:qFormat/>
    <w:locked/>
    <w:uiPriority w:val="0"/>
    <w:rPr>
      <w:rFonts w:ascii="黑体" w:hAnsi="黑体" w:eastAsia="黑体"/>
      <w:color w:val="FF0000"/>
      <w:kern w:val="2"/>
      <w:sz w:val="32"/>
      <w:lang w:val="en-US" w:eastAsia="zh-CN"/>
    </w:rPr>
  </w:style>
  <w:style w:type="character" w:customStyle="1" w:styleId="194">
    <w:name w:val="正文文本缩进 字符1"/>
    <w:qFormat/>
    <w:locked/>
    <w:uiPriority w:val="0"/>
    <w:rPr>
      <w:rFonts w:eastAsia="方正书宋简体"/>
      <w:kern w:val="2"/>
      <w:sz w:val="24"/>
      <w:lang w:val="en-US" w:eastAsia="zh-CN"/>
    </w:rPr>
  </w:style>
  <w:style w:type="character" w:customStyle="1" w:styleId="195">
    <w:name w:val="文档结构图 字符"/>
    <w:qFormat/>
    <w:locked/>
    <w:uiPriority w:val="0"/>
    <w:rPr>
      <w:rFonts w:eastAsia="宋体"/>
      <w:kern w:val="2"/>
      <w:sz w:val="21"/>
      <w:lang w:val="en-US" w:eastAsia="zh-CN"/>
    </w:rPr>
  </w:style>
  <w:style w:type="character" w:customStyle="1" w:styleId="196">
    <w:name w:val="金保标题3 Char"/>
    <w:link w:val="72"/>
    <w:qFormat/>
    <w:locked/>
    <w:uiPriority w:val="0"/>
    <w:rPr>
      <w:rFonts w:ascii="楷体" w:hAnsi="楷体" w:eastAsia="楷体"/>
      <w:b/>
      <w:sz w:val="28"/>
    </w:rPr>
  </w:style>
  <w:style w:type="character" w:customStyle="1" w:styleId="197">
    <w:name w:val="HTML 预设格式 字符2"/>
    <w:link w:val="41"/>
    <w:qFormat/>
    <w:locked/>
    <w:uiPriority w:val="99"/>
    <w:rPr>
      <w:rFonts w:ascii="Courier New" w:hAnsi="Courier New"/>
      <w:kern w:val="2"/>
    </w:rPr>
  </w:style>
  <w:style w:type="character" w:customStyle="1" w:styleId="198">
    <w:name w:val="正文文本首行缩进 字符"/>
    <w:semiHidden/>
    <w:qFormat/>
    <w:uiPriority w:val="99"/>
  </w:style>
  <w:style w:type="character" w:customStyle="1" w:styleId="199">
    <w:name w:val="标题 1 字符1"/>
    <w:link w:val="2"/>
    <w:qFormat/>
    <w:locked/>
    <w:uiPriority w:val="9"/>
    <w:rPr>
      <w:rFonts w:ascii="宋体" w:hAnsi="宋体" w:eastAsia="宋体" w:cs="宋体"/>
      <w:b/>
      <w:kern w:val="44"/>
      <w:sz w:val="44"/>
      <w:szCs w:val="44"/>
      <w:lang w:val="en-US" w:eastAsia="zh-CN"/>
    </w:rPr>
  </w:style>
  <w:style w:type="character" w:customStyle="1" w:styleId="200">
    <w:name w:val="批注框文本 字符2"/>
    <w:link w:val="27"/>
    <w:qFormat/>
    <w:locked/>
    <w:uiPriority w:val="99"/>
    <w:rPr>
      <w:rFonts w:ascii="宋体" w:hAnsi="宋体" w:eastAsia="宋体" w:cs="宋体"/>
      <w:kern w:val="2"/>
      <w:sz w:val="18"/>
      <w:szCs w:val="18"/>
      <w:lang w:val="en-US" w:eastAsia="zh-CN"/>
    </w:rPr>
  </w:style>
  <w:style w:type="character" w:customStyle="1" w:styleId="201">
    <w:name w:val="正文首行缩进 字符"/>
    <w:qFormat/>
    <w:locked/>
    <w:uiPriority w:val="99"/>
    <w:rPr>
      <w:rFonts w:ascii="宋体" w:hAnsi="宋体" w:eastAsia="宋体" w:cs="宋体"/>
      <w:i/>
      <w:kern w:val="2"/>
      <w:sz w:val="24"/>
      <w:lang w:val="en-US" w:eastAsia="zh-CN"/>
    </w:rPr>
  </w:style>
  <w:style w:type="character" w:customStyle="1" w:styleId="202">
    <w:name w:val="列表段落 字符1"/>
    <w:link w:val="62"/>
    <w:qFormat/>
    <w:locked/>
    <w:uiPriority w:val="0"/>
    <w:rPr>
      <w:rFonts w:eastAsia="宋体"/>
      <w:kern w:val="2"/>
      <w:sz w:val="24"/>
      <w:lang w:val="en-US" w:eastAsia="zh-CN"/>
    </w:rPr>
  </w:style>
  <w:style w:type="character" w:customStyle="1" w:styleId="203">
    <w:name w:val="正文文本缩进 字符3"/>
    <w:qFormat/>
    <w:locked/>
    <w:uiPriority w:val="99"/>
    <w:rPr>
      <w:rFonts w:eastAsia="方正书宋简体"/>
      <w:kern w:val="2"/>
      <w:sz w:val="24"/>
      <w:lang w:val="en-US" w:eastAsia="zh-CN"/>
    </w:rPr>
  </w:style>
  <w:style w:type="character" w:customStyle="1" w:styleId="204">
    <w:name w:val="apple-style-span"/>
    <w:qFormat/>
    <w:uiPriority w:val="0"/>
    <w:rPr>
      <w:rFonts w:cs="Times New Roman"/>
    </w:rPr>
  </w:style>
  <w:style w:type="character" w:customStyle="1" w:styleId="205">
    <w:name w:val="正文文本 2 字符2"/>
    <w:link w:val="39"/>
    <w:qFormat/>
    <w:locked/>
    <w:uiPriority w:val="99"/>
    <w:rPr>
      <w:rFonts w:eastAsia="宋体"/>
      <w:sz w:val="24"/>
    </w:rPr>
  </w:style>
  <w:style w:type="character" w:customStyle="1" w:styleId="206">
    <w:name w:val="页脚 字符2"/>
    <w:link w:val="28"/>
    <w:qFormat/>
    <w:locked/>
    <w:uiPriority w:val="99"/>
    <w:rPr>
      <w:rFonts w:ascii="宋体" w:hAnsi="宋体" w:eastAsia="宋体" w:cs="宋体"/>
      <w:kern w:val="2"/>
      <w:sz w:val="18"/>
      <w:szCs w:val="18"/>
      <w:lang w:val="en-US" w:eastAsia="zh-CN"/>
    </w:rPr>
  </w:style>
  <w:style w:type="character" w:customStyle="1" w:styleId="207">
    <w:name w:val="正文文本 2 字符"/>
    <w:qFormat/>
    <w:locked/>
    <w:uiPriority w:val="99"/>
    <w:rPr>
      <w:rFonts w:eastAsia="宋体"/>
      <w:sz w:val="24"/>
    </w:rPr>
  </w:style>
  <w:style w:type="character" w:customStyle="1" w:styleId="208">
    <w:name w:val="标题 5 字符"/>
    <w:qFormat/>
    <w:locked/>
    <w:uiPriority w:val="9"/>
    <w:rPr>
      <w:rFonts w:eastAsia="宋体"/>
      <w:b/>
      <w:kern w:val="2"/>
      <w:sz w:val="28"/>
      <w:lang w:val="en-US" w:eastAsia="zh-CN"/>
    </w:rPr>
  </w:style>
  <w:style w:type="character" w:customStyle="1" w:styleId="209">
    <w:name w:val="标题 1 字符"/>
    <w:qFormat/>
    <w:locked/>
    <w:uiPriority w:val="9"/>
    <w:rPr>
      <w:rFonts w:ascii="宋体" w:hAnsi="宋体" w:eastAsia="宋体" w:cs="宋体"/>
      <w:b/>
      <w:kern w:val="44"/>
      <w:sz w:val="44"/>
      <w:szCs w:val="44"/>
      <w:lang w:val="en-US" w:eastAsia="zh-CN"/>
    </w:rPr>
  </w:style>
  <w:style w:type="character" w:customStyle="1" w:styleId="210">
    <w:name w:val="标题 7 字符"/>
    <w:qFormat/>
    <w:locked/>
    <w:uiPriority w:val="9"/>
    <w:rPr>
      <w:b/>
      <w:kern w:val="2"/>
      <w:sz w:val="24"/>
    </w:rPr>
  </w:style>
  <w:style w:type="character" w:customStyle="1" w:styleId="211">
    <w:name w:val="正文缩进 字符1"/>
    <w:link w:val="12"/>
    <w:qFormat/>
    <w:locked/>
    <w:uiPriority w:val="0"/>
    <w:rPr>
      <w:rFonts w:ascii="宋体" w:hAnsi="宋体" w:eastAsia="宋体" w:cs="宋体"/>
      <w:spacing w:val="14"/>
      <w:kern w:val="24"/>
      <w:sz w:val="24"/>
      <w:szCs w:val="24"/>
      <w:lang w:val="en-US" w:eastAsia="zh-CN"/>
    </w:rPr>
  </w:style>
  <w:style w:type="character" w:customStyle="1" w:styleId="212">
    <w:name w:val="页脚 字符1"/>
    <w:qFormat/>
    <w:uiPriority w:val="0"/>
    <w:rPr>
      <w:kern w:val="2"/>
      <w:sz w:val="18"/>
      <w:szCs w:val="18"/>
    </w:rPr>
  </w:style>
  <w:style w:type="character" w:customStyle="1" w:styleId="213">
    <w:name w:val="font101"/>
    <w:qFormat/>
    <w:uiPriority w:val="0"/>
    <w:rPr>
      <w:rFonts w:hint="default" w:ascii="Times New Roman" w:hAnsi="Times New Roman" w:cs="Times New Roman"/>
      <w:b/>
      <w:color w:val="000000"/>
      <w:sz w:val="22"/>
      <w:szCs w:val="22"/>
      <w:u w:val="none"/>
    </w:rPr>
  </w:style>
  <w:style w:type="character" w:customStyle="1" w:styleId="214">
    <w:name w:val="正文缩进 Char"/>
    <w:qFormat/>
    <w:uiPriority w:val="0"/>
    <w:rPr>
      <w:rFonts w:eastAsia="宋体"/>
      <w:kern w:val="2"/>
      <w:sz w:val="24"/>
      <w:lang w:val="en-US" w:eastAsia="zh-CN"/>
    </w:rPr>
  </w:style>
  <w:style w:type="character" w:customStyle="1" w:styleId="215">
    <w:name w:val="样式 首行缩进:  0 字符 Char"/>
    <w:link w:val="144"/>
    <w:qFormat/>
    <w:locked/>
    <w:uiPriority w:val="0"/>
    <w:rPr>
      <w:kern w:val="2"/>
      <w:sz w:val="24"/>
      <w:szCs w:val="21"/>
    </w:rPr>
  </w:style>
  <w:style w:type="character" w:customStyle="1" w:styleId="216">
    <w:name w:val="标题 9 字符1"/>
    <w:link w:val="10"/>
    <w:qFormat/>
    <w:locked/>
    <w:uiPriority w:val="9"/>
    <w:rPr>
      <w:rFonts w:ascii="Arial" w:hAnsi="Arial" w:eastAsia="黑体"/>
      <w:kern w:val="2"/>
      <w:sz w:val="21"/>
    </w:rPr>
  </w:style>
  <w:style w:type="character" w:customStyle="1" w:styleId="217">
    <w:name w:val="批注主题 字符1"/>
    <w:semiHidden/>
    <w:qFormat/>
    <w:uiPriority w:val="99"/>
    <w:rPr>
      <w:b/>
      <w:bCs/>
      <w:kern w:val="2"/>
      <w:sz w:val="21"/>
    </w:rPr>
  </w:style>
  <w:style w:type="character" w:customStyle="1" w:styleId="218">
    <w:name w:val="页眉 字符"/>
    <w:qFormat/>
    <w:locked/>
    <w:uiPriority w:val="0"/>
    <w:rPr>
      <w:rFonts w:ascii="宋体" w:hAnsi="宋体" w:eastAsia="宋体" w:cs="宋体"/>
      <w:kern w:val="2"/>
      <w:sz w:val="18"/>
      <w:szCs w:val="18"/>
      <w:lang w:val="en-US" w:eastAsia="zh-CN"/>
    </w:rPr>
  </w:style>
  <w:style w:type="character" w:customStyle="1" w:styleId="219">
    <w:name w:val="文档结构图 字符2"/>
    <w:link w:val="14"/>
    <w:qFormat/>
    <w:locked/>
    <w:uiPriority w:val="99"/>
    <w:rPr>
      <w:rFonts w:eastAsia="宋体"/>
      <w:kern w:val="2"/>
      <w:sz w:val="21"/>
      <w:lang w:val="en-US" w:eastAsia="zh-CN"/>
    </w:rPr>
  </w:style>
  <w:style w:type="character" w:customStyle="1" w:styleId="220">
    <w:name w:val="纯文本 字符"/>
    <w:qFormat/>
    <w:locked/>
    <w:uiPriority w:val="99"/>
    <w:rPr>
      <w:rFonts w:ascii="宋体" w:hAnsi="Courier New" w:eastAsia="宋体" w:cs="宋体"/>
      <w:lang w:val="en-US" w:eastAsia="zh-CN"/>
    </w:rPr>
  </w:style>
  <w:style w:type="character" w:customStyle="1" w:styleId="221">
    <w:name w:val="日期 字符1"/>
    <w:semiHidden/>
    <w:qFormat/>
    <w:uiPriority w:val="99"/>
    <w:rPr>
      <w:kern w:val="2"/>
      <w:sz w:val="21"/>
    </w:rPr>
  </w:style>
  <w:style w:type="character" w:customStyle="1" w:styleId="222">
    <w:name w:val="标题 2 字符"/>
    <w:qFormat/>
    <w:locked/>
    <w:uiPriority w:val="0"/>
    <w:rPr>
      <w:rFonts w:ascii="Cambria" w:hAnsi="Cambria" w:eastAsia="宋体" w:cs="Cambria"/>
      <w:kern w:val="2"/>
      <w:sz w:val="21"/>
      <w:szCs w:val="21"/>
      <w:lang w:val="en-US" w:eastAsia="zh-CN"/>
    </w:rPr>
  </w:style>
  <w:style w:type="character" w:customStyle="1" w:styleId="223">
    <w:name w:val="无间距字符"/>
    <w:link w:val="104"/>
    <w:qFormat/>
    <w:locked/>
    <w:uiPriority w:val="0"/>
    <w:rPr>
      <w:sz w:val="22"/>
      <w:lang w:val="en-US" w:eastAsia="zh-CN" w:bidi="ar-SA"/>
    </w:rPr>
  </w:style>
  <w:style w:type="character" w:customStyle="1" w:styleId="224">
    <w:name w:val="font21"/>
    <w:qFormat/>
    <w:uiPriority w:val="0"/>
    <w:rPr>
      <w:rFonts w:hint="eastAsia" w:ascii="仿宋" w:hAnsi="仿宋" w:eastAsia="仿宋" w:cs="仿宋"/>
      <w:color w:val="000000"/>
      <w:sz w:val="21"/>
      <w:szCs w:val="21"/>
      <w:u w:val="none"/>
    </w:rPr>
  </w:style>
  <w:style w:type="character" w:customStyle="1" w:styleId="225">
    <w:name w:val="日期 字符2"/>
    <w:qFormat/>
    <w:locked/>
    <w:uiPriority w:val="99"/>
    <w:rPr>
      <w:rFonts w:ascii="宋体" w:cs="Times New Roman"/>
      <w:sz w:val="24"/>
    </w:rPr>
  </w:style>
  <w:style w:type="character" w:customStyle="1" w:styleId="226">
    <w:name w:val="页脚 Char"/>
    <w:qFormat/>
    <w:uiPriority w:val="0"/>
    <w:rPr>
      <w:rFonts w:eastAsia="宋体"/>
      <w:kern w:val="2"/>
      <w:sz w:val="18"/>
      <w:lang w:val="en-US" w:eastAsia="zh-CN"/>
    </w:rPr>
  </w:style>
  <w:style w:type="character" w:customStyle="1" w:styleId="227">
    <w:name w:val="正文文本 Char"/>
    <w:qFormat/>
    <w:uiPriority w:val="0"/>
    <w:rPr>
      <w:rFonts w:eastAsia="宋体"/>
      <w:i/>
      <w:kern w:val="2"/>
      <w:sz w:val="18"/>
      <w:lang w:val="en-US" w:eastAsia="zh-CN"/>
    </w:rPr>
  </w:style>
  <w:style w:type="character" w:customStyle="1" w:styleId="228">
    <w:name w:val="HTML 预设格式 字符1"/>
    <w:semiHidden/>
    <w:qFormat/>
    <w:uiPriority w:val="99"/>
    <w:rPr>
      <w:rFonts w:ascii="Courier New" w:hAnsi="Courier New" w:cs="Courier New"/>
      <w:kern w:val="2"/>
    </w:rPr>
  </w:style>
  <w:style w:type="character" w:customStyle="1" w:styleId="229">
    <w:name w:val="正文缩进 字符3"/>
    <w:qFormat/>
    <w:locked/>
    <w:uiPriority w:val="0"/>
    <w:rPr>
      <w:kern w:val="2"/>
      <w:sz w:val="21"/>
    </w:rPr>
  </w:style>
  <w:style w:type="character" w:customStyle="1" w:styleId="230">
    <w:name w:val="标准文本 Char Char"/>
    <w:link w:val="126"/>
    <w:qFormat/>
    <w:uiPriority w:val="0"/>
    <w:rPr>
      <w:rFonts w:cs="宋体"/>
      <w:kern w:val="2"/>
      <w:sz w:val="21"/>
      <w:szCs w:val="22"/>
    </w:rPr>
  </w:style>
  <w:style w:type="character" w:customStyle="1" w:styleId="231">
    <w:name w:val="一级目录"/>
    <w:qFormat/>
    <w:uiPriority w:val="0"/>
    <w:rPr>
      <w:rFonts w:ascii="Times New Roman" w:hAnsi="Times New Roman" w:eastAsia="黑体"/>
      <w:sz w:val="28"/>
    </w:rPr>
  </w:style>
  <w:style w:type="character" w:customStyle="1" w:styleId="232">
    <w:name w:val="apple-converted-space"/>
    <w:qFormat/>
    <w:uiPriority w:val="0"/>
    <w:rPr>
      <w:rFonts w:cs="Times New Roman"/>
    </w:rPr>
  </w:style>
  <w:style w:type="character" w:customStyle="1" w:styleId="233">
    <w:name w:val="批注文字 字符2"/>
    <w:link w:val="15"/>
    <w:qFormat/>
    <w:locked/>
    <w:uiPriority w:val="0"/>
    <w:rPr>
      <w:rFonts w:ascii="宋体" w:hAnsi="宋体" w:eastAsia="宋体" w:cs="宋体"/>
      <w:kern w:val="2"/>
      <w:sz w:val="21"/>
      <w:szCs w:val="21"/>
      <w:lang w:val="en-US" w:eastAsia="zh-CN"/>
    </w:rPr>
  </w:style>
  <w:style w:type="character" w:customStyle="1" w:styleId="234">
    <w:name w:val="hui3"/>
    <w:qFormat/>
    <w:uiPriority w:val="0"/>
    <w:rPr>
      <w:color w:val="333333"/>
    </w:rPr>
  </w:style>
  <w:style w:type="character" w:customStyle="1" w:styleId="235">
    <w:name w:val="纯文本 字符2"/>
    <w:qFormat/>
    <w:locked/>
    <w:uiPriority w:val="99"/>
    <w:rPr>
      <w:rFonts w:ascii="宋体" w:hAnsi="Courier New" w:eastAsia="宋体" w:cs="宋体"/>
      <w:lang w:val="en-US" w:eastAsia="zh-CN"/>
    </w:rPr>
  </w:style>
  <w:style w:type="character" w:customStyle="1" w:styleId="236">
    <w:name w:val="正文文本 字符"/>
    <w:qFormat/>
    <w:locked/>
    <w:uiPriority w:val="0"/>
    <w:rPr>
      <w:rFonts w:ascii="宋体" w:hAnsi="宋体" w:eastAsia="宋体" w:cs="宋体"/>
      <w:lang w:val="en-US" w:eastAsia="zh-CN"/>
    </w:rPr>
  </w:style>
  <w:style w:type="character" w:customStyle="1" w:styleId="237">
    <w:name w:val="List Paragraph Char"/>
    <w:link w:val="84"/>
    <w:qFormat/>
    <w:locked/>
    <w:uiPriority w:val="0"/>
    <w:rPr>
      <w:rFonts w:ascii="Calibri" w:hAnsi="Calibri" w:eastAsia="宋体"/>
      <w:kern w:val="2"/>
      <w:sz w:val="22"/>
      <w:lang w:val="en-US" w:eastAsia="zh-CN"/>
    </w:rPr>
  </w:style>
  <w:style w:type="character" w:customStyle="1" w:styleId="238">
    <w:name w:val="正文缩进 Char2"/>
    <w:qFormat/>
    <w:uiPriority w:val="0"/>
    <w:rPr>
      <w:rFonts w:ascii="宋体"/>
      <w:snapToGrid/>
      <w:color w:val="000000"/>
      <w:kern w:val="28"/>
      <w:sz w:val="28"/>
    </w:rPr>
  </w:style>
  <w:style w:type="character" w:customStyle="1" w:styleId="239">
    <w:name w:val="文档结构图 字符1"/>
    <w:semiHidden/>
    <w:qFormat/>
    <w:uiPriority w:val="99"/>
    <w:rPr>
      <w:rFonts w:ascii="Microsoft YaHei UI" w:eastAsia="Microsoft YaHei UI"/>
      <w:kern w:val="2"/>
      <w:sz w:val="18"/>
      <w:szCs w:val="18"/>
    </w:rPr>
  </w:style>
  <w:style w:type="character" w:customStyle="1" w:styleId="240">
    <w:name w:val="正文文本 3 字符"/>
    <w:qFormat/>
    <w:locked/>
    <w:uiPriority w:val="99"/>
    <w:rPr>
      <w:rFonts w:eastAsia="宋体"/>
      <w:sz w:val="16"/>
    </w:rPr>
  </w:style>
  <w:style w:type="character" w:customStyle="1" w:styleId="241">
    <w:name w:val="标题 8 字符"/>
    <w:qFormat/>
    <w:locked/>
    <w:uiPriority w:val="9"/>
    <w:rPr>
      <w:rFonts w:ascii="Arial" w:hAnsi="Arial" w:eastAsia="黑体"/>
      <w:kern w:val="2"/>
      <w:sz w:val="24"/>
    </w:rPr>
  </w:style>
  <w:style w:type="character" w:customStyle="1" w:styleId="242">
    <w:name w:val="标题 1 Char Char"/>
    <w:qFormat/>
    <w:uiPriority w:val="0"/>
    <w:rPr>
      <w:rFonts w:eastAsia="宋体"/>
      <w:b/>
      <w:spacing w:val="-2"/>
      <w:sz w:val="24"/>
      <w:lang w:val="en-US" w:eastAsia="zh-CN"/>
    </w:rPr>
  </w:style>
  <w:style w:type="character" w:customStyle="1" w:styleId="243">
    <w:name w:val="表格用 Char Char"/>
    <w:link w:val="71"/>
    <w:qFormat/>
    <w:locked/>
    <w:uiPriority w:val="0"/>
    <w:rPr>
      <w:rFonts w:ascii="宋体" w:hAnsi="宋体" w:cs="宋体"/>
      <w:sz w:val="24"/>
      <w:szCs w:val="24"/>
    </w:rPr>
  </w:style>
  <w:style w:type="character" w:customStyle="1" w:styleId="244">
    <w:name w:val="font111"/>
    <w:qFormat/>
    <w:uiPriority w:val="0"/>
    <w:rPr>
      <w:rFonts w:hint="eastAsia" w:ascii="宋体" w:hAnsi="宋体" w:eastAsia="宋体" w:cs="宋体"/>
      <w:color w:val="000000"/>
      <w:sz w:val="20"/>
      <w:szCs w:val="20"/>
      <w:u w:val="none"/>
    </w:rPr>
  </w:style>
  <w:style w:type="character" w:customStyle="1" w:styleId="245">
    <w:name w:val="HTML 预设格式 字符"/>
    <w:qFormat/>
    <w:locked/>
    <w:uiPriority w:val="99"/>
    <w:rPr>
      <w:rFonts w:ascii="Courier New" w:hAnsi="Courier New"/>
      <w:kern w:val="2"/>
    </w:rPr>
  </w:style>
  <w:style w:type="character" w:customStyle="1" w:styleId="246">
    <w:name w:val="font01"/>
    <w:qFormat/>
    <w:uiPriority w:val="0"/>
    <w:rPr>
      <w:rFonts w:ascii="宋体" w:hAnsi="宋体" w:eastAsia="宋体"/>
      <w:color w:val="000000"/>
      <w:sz w:val="24"/>
      <w:u w:val="none"/>
    </w:rPr>
  </w:style>
  <w:style w:type="character" w:customStyle="1" w:styleId="247">
    <w:name w:val="正文文本缩进 3 Char"/>
    <w:qFormat/>
    <w:uiPriority w:val="0"/>
    <w:rPr>
      <w:rFonts w:ascii="宋体" w:eastAsia="宋体"/>
      <w:kern w:val="2"/>
      <w:sz w:val="24"/>
      <w:lang w:val="en-US" w:eastAsia="zh-CN"/>
    </w:rPr>
  </w:style>
  <w:style w:type="character" w:customStyle="1" w:styleId="248">
    <w:name w:val="纯文本 字符3"/>
    <w:link w:val="23"/>
    <w:qFormat/>
    <w:locked/>
    <w:uiPriority w:val="0"/>
    <w:rPr>
      <w:rFonts w:ascii="宋体" w:hAnsi="Courier New" w:eastAsia="宋体" w:cs="宋体"/>
      <w:lang w:val="en-US" w:eastAsia="zh-CN"/>
    </w:rPr>
  </w:style>
  <w:style w:type="character" w:customStyle="1" w:styleId="249">
    <w:name w:val="信息标题 字符"/>
    <w:link w:val="40"/>
    <w:qFormat/>
    <w:uiPriority w:val="0"/>
    <w:rPr>
      <w:rFonts w:ascii="Calibri Light" w:hAnsi="Calibri Light"/>
      <w:kern w:val="2"/>
      <w:sz w:val="24"/>
      <w:szCs w:val="24"/>
      <w:shd w:val="pct20" w:color="auto" w:fill="auto"/>
    </w:rPr>
  </w:style>
  <w:style w:type="character" w:customStyle="1" w:styleId="250">
    <w:name w:val="标题 3 字符"/>
    <w:qFormat/>
    <w:locked/>
    <w:uiPriority w:val="9"/>
    <w:rPr>
      <w:rFonts w:ascii="宋体" w:hAnsi="宋体" w:eastAsia="宋体" w:cs="宋体"/>
      <w:b/>
      <w:kern w:val="2"/>
      <w:sz w:val="32"/>
      <w:szCs w:val="32"/>
      <w:lang w:val="en-US" w:eastAsia="zh-CN"/>
    </w:rPr>
  </w:style>
  <w:style w:type="character" w:customStyle="1" w:styleId="251">
    <w:name w:val="纯文本 Char2"/>
    <w:qFormat/>
    <w:uiPriority w:val="0"/>
    <w:rPr>
      <w:rFonts w:ascii="宋体" w:hAnsi="宋体" w:eastAsia="宋体"/>
      <w:color w:val="000000"/>
      <w:sz w:val="24"/>
      <w:lang w:val="en-US" w:eastAsia="zh-CN"/>
    </w:rPr>
  </w:style>
  <w:style w:type="character" w:customStyle="1" w:styleId="252">
    <w:name w:val="正文文本缩进 3 字符1"/>
    <w:semiHidden/>
    <w:qFormat/>
    <w:uiPriority w:val="99"/>
    <w:rPr>
      <w:kern w:val="2"/>
      <w:sz w:val="16"/>
      <w:szCs w:val="16"/>
    </w:rPr>
  </w:style>
  <w:style w:type="character" w:customStyle="1" w:styleId="253">
    <w:name w:val="font71"/>
    <w:qFormat/>
    <w:uiPriority w:val="0"/>
    <w:rPr>
      <w:rFonts w:hint="eastAsia" w:ascii="宋体" w:hAnsi="宋体" w:eastAsia="宋体"/>
      <w:color w:val="000000"/>
      <w:sz w:val="21"/>
      <w:szCs w:val="21"/>
      <w:u w:val="none"/>
    </w:rPr>
  </w:style>
  <w:style w:type="character" w:customStyle="1" w:styleId="254">
    <w:name w:val="正文文本首行缩进 2 字符"/>
    <w:link w:val="47"/>
    <w:qFormat/>
    <w:uiPriority w:val="99"/>
    <w:rPr>
      <w:rFonts w:ascii="Times New Roman" w:hAnsi="Times New Roman" w:eastAsia="方正书宋简体"/>
      <w:kern w:val="2"/>
      <w:sz w:val="21"/>
      <w:szCs w:val="24"/>
      <w:lang w:val="en-US" w:eastAsia="zh-CN"/>
    </w:rPr>
  </w:style>
  <w:style w:type="character" w:customStyle="1" w:styleId="255">
    <w:name w:val="标题 2 字符1"/>
    <w:link w:val="3"/>
    <w:qFormat/>
    <w:locked/>
    <w:uiPriority w:val="9"/>
    <w:rPr>
      <w:rFonts w:ascii="Cambria" w:hAnsi="Cambria" w:eastAsia="宋体" w:cs="Cambria"/>
      <w:kern w:val="2"/>
      <w:sz w:val="21"/>
      <w:szCs w:val="21"/>
      <w:lang w:val="en-US" w:eastAsia="zh-CN"/>
    </w:rPr>
  </w:style>
  <w:style w:type="character" w:customStyle="1" w:styleId="256">
    <w:name w:val="正文文本缩进 2 字符2"/>
    <w:link w:val="26"/>
    <w:qFormat/>
    <w:locked/>
    <w:uiPriority w:val="99"/>
    <w:rPr>
      <w:rFonts w:ascii="宋体" w:eastAsia="宋体"/>
      <w:kern w:val="2"/>
      <w:sz w:val="24"/>
      <w:lang w:val="en-US" w:eastAsia="zh-CN"/>
    </w:rPr>
  </w:style>
  <w:style w:type="character" w:customStyle="1" w:styleId="257">
    <w:name w:val="样式4 Char"/>
    <w:link w:val="143"/>
    <w:qFormat/>
    <w:locked/>
    <w:uiPriority w:val="0"/>
    <w:rPr>
      <w:rFonts w:ascii="黑体" w:hAnsi="黑体" w:eastAsia="黑体"/>
      <w:kern w:val="44"/>
      <w:sz w:val="44"/>
      <w:lang w:val="en-US" w:eastAsia="zh-CN"/>
    </w:rPr>
  </w:style>
  <w:style w:type="character" w:customStyle="1" w:styleId="258">
    <w:name w:val="font91"/>
    <w:qFormat/>
    <w:uiPriority w:val="0"/>
    <w:rPr>
      <w:rFonts w:hint="eastAsia" w:ascii="宋体" w:hAnsi="宋体" w:eastAsia="宋体"/>
      <w:color w:val="000000"/>
      <w:sz w:val="22"/>
      <w:szCs w:val="22"/>
      <w:u w:val="none"/>
    </w:rPr>
  </w:style>
  <w:style w:type="character" w:customStyle="1" w:styleId="259">
    <w:name w:val="font81"/>
    <w:qFormat/>
    <w:uiPriority w:val="0"/>
    <w:rPr>
      <w:rFonts w:hint="eastAsia" w:ascii="宋体" w:hAnsi="宋体" w:eastAsia="宋体"/>
      <w:color w:val="FF0000"/>
      <w:sz w:val="21"/>
      <w:szCs w:val="21"/>
      <w:u w:val="none"/>
    </w:rPr>
  </w:style>
  <w:style w:type="character" w:customStyle="1" w:styleId="260">
    <w:name w:val="正文缩进 Char1"/>
    <w:qFormat/>
    <w:locked/>
    <w:uiPriority w:val="0"/>
    <w:rPr>
      <w:kern w:val="2"/>
      <w:sz w:val="21"/>
    </w:rPr>
  </w:style>
  <w:style w:type="character" w:customStyle="1" w:styleId="261">
    <w:name w:val="纯文本 字符1"/>
    <w:semiHidden/>
    <w:qFormat/>
    <w:uiPriority w:val="99"/>
    <w:rPr>
      <w:rFonts w:ascii="等线" w:hAnsi="Courier New" w:eastAsia="等线" w:cs="Courier New"/>
      <w:kern w:val="2"/>
      <w:sz w:val="21"/>
    </w:rPr>
  </w:style>
  <w:style w:type="character" w:customStyle="1" w:styleId="262">
    <w:name w:val="样式5 Char"/>
    <w:link w:val="123"/>
    <w:qFormat/>
    <w:locked/>
    <w:uiPriority w:val="0"/>
    <w:rPr>
      <w:rFonts w:eastAsia="宋体"/>
      <w:b/>
      <w:kern w:val="2"/>
      <w:sz w:val="28"/>
      <w:lang w:val="en-US" w:eastAsia="zh-CN"/>
    </w:rPr>
  </w:style>
  <w:style w:type="character" w:customStyle="1" w:styleId="263">
    <w:name w:val="批注框文本 Char"/>
    <w:semiHidden/>
    <w:qFormat/>
    <w:locked/>
    <w:uiPriority w:val="0"/>
    <w:rPr>
      <w:rFonts w:cs="Times New Roman"/>
      <w:kern w:val="2"/>
      <w:sz w:val="18"/>
      <w:szCs w:val="18"/>
    </w:rPr>
  </w:style>
  <w:style w:type="character" w:customStyle="1" w:styleId="264">
    <w:name w:val="批注主题 Char"/>
    <w:semiHidden/>
    <w:qFormat/>
    <w:locked/>
    <w:uiPriority w:val="0"/>
    <w:rPr>
      <w:rFonts w:cs="Times New Roman"/>
      <w:b/>
      <w:bCs/>
      <w:kern w:val="2"/>
      <w:sz w:val="21"/>
    </w:rPr>
  </w:style>
  <w:style w:type="character" w:customStyle="1" w:styleId="265">
    <w:name w:val="页眉 字符1"/>
    <w:semiHidden/>
    <w:qFormat/>
    <w:uiPriority w:val="99"/>
    <w:rPr>
      <w:kern w:val="2"/>
      <w:sz w:val="18"/>
      <w:szCs w:val="18"/>
    </w:rPr>
  </w:style>
  <w:style w:type="character" w:customStyle="1" w:styleId="266">
    <w:name w:val="正文文本 2 字符1"/>
    <w:semiHidden/>
    <w:qFormat/>
    <w:uiPriority w:val="99"/>
    <w:rPr>
      <w:kern w:val="2"/>
      <w:sz w:val="21"/>
    </w:rPr>
  </w:style>
  <w:style w:type="character" w:customStyle="1" w:styleId="267">
    <w:name w:val="正文文本 字符2"/>
    <w:link w:val="17"/>
    <w:qFormat/>
    <w:locked/>
    <w:uiPriority w:val="99"/>
    <w:rPr>
      <w:rFonts w:ascii="宋体" w:hAnsi="宋体" w:eastAsia="宋体" w:cs="宋体"/>
      <w:lang w:val="en-US" w:eastAsia="zh-CN"/>
    </w:rPr>
  </w:style>
  <w:style w:type="character" w:customStyle="1" w:styleId="268">
    <w:name w:val="方案－正文 Char"/>
    <w:link w:val="113"/>
    <w:qFormat/>
    <w:locked/>
    <w:uiPriority w:val="0"/>
    <w:rPr>
      <w:rFonts w:ascii="仿宋_GB2312" w:hAnsi="宋体"/>
      <w:sz w:val="24"/>
    </w:rPr>
  </w:style>
  <w:style w:type="character" w:customStyle="1" w:styleId="269">
    <w:name w:val="标题 3 字符1"/>
    <w:link w:val="4"/>
    <w:qFormat/>
    <w:locked/>
    <w:uiPriority w:val="9"/>
    <w:rPr>
      <w:rFonts w:ascii="宋体" w:hAnsi="宋体" w:eastAsia="宋体" w:cs="宋体"/>
      <w:b/>
      <w:kern w:val="2"/>
      <w:sz w:val="32"/>
      <w:szCs w:val="32"/>
      <w:lang w:val="en-US" w:eastAsia="zh-CN"/>
    </w:rPr>
  </w:style>
  <w:style w:type="character" w:customStyle="1" w:styleId="270">
    <w:name w:val="标题 4 字符1"/>
    <w:link w:val="5"/>
    <w:qFormat/>
    <w:locked/>
    <w:uiPriority w:val="0"/>
    <w:rPr>
      <w:rFonts w:ascii="Arial" w:hAnsi="Arial" w:eastAsia="黑体"/>
      <w:b/>
      <w:kern w:val="2"/>
      <w:sz w:val="28"/>
      <w:lang w:val="en-US" w:eastAsia="zh-CN"/>
    </w:rPr>
  </w:style>
  <w:style w:type="character" w:customStyle="1" w:styleId="271">
    <w:name w:val="批注框文本 字符"/>
    <w:qFormat/>
    <w:locked/>
    <w:uiPriority w:val="0"/>
    <w:rPr>
      <w:rFonts w:ascii="宋体" w:hAnsi="宋体" w:eastAsia="宋体" w:cs="宋体"/>
      <w:kern w:val="2"/>
      <w:sz w:val="18"/>
      <w:szCs w:val="18"/>
      <w:lang w:val="en-US" w:eastAsia="zh-CN"/>
    </w:rPr>
  </w:style>
  <w:style w:type="character" w:customStyle="1" w:styleId="272">
    <w:name w:val="标题 5 字符1"/>
    <w:link w:val="6"/>
    <w:qFormat/>
    <w:locked/>
    <w:uiPriority w:val="9"/>
    <w:rPr>
      <w:rFonts w:eastAsia="宋体"/>
      <w:b/>
      <w:kern w:val="2"/>
      <w:sz w:val="28"/>
      <w:lang w:val="en-US" w:eastAsia="zh-CN"/>
    </w:rPr>
  </w:style>
  <w:style w:type="character" w:customStyle="1" w:styleId="273">
    <w:name w:val="h6 Char"/>
    <w:qFormat/>
    <w:uiPriority w:val="0"/>
    <w:rPr>
      <w:rFonts w:ascii="Arial" w:hAnsi="Arial" w:eastAsia="宋体"/>
      <w:b/>
      <w:kern w:val="2"/>
      <w:sz w:val="24"/>
      <w:lang w:val="en-US" w:eastAsia="zh-CN"/>
    </w:rPr>
  </w:style>
  <w:style w:type="character" w:customStyle="1" w:styleId="274">
    <w:name w:val="日期 字符3"/>
    <w:link w:val="25"/>
    <w:qFormat/>
    <w:locked/>
    <w:uiPriority w:val="99"/>
    <w:rPr>
      <w:rFonts w:ascii="宋体" w:cs="Times New Roman"/>
      <w:sz w:val="24"/>
    </w:rPr>
  </w:style>
  <w:style w:type="character" w:customStyle="1" w:styleId="275">
    <w:name w:val="样式1 Char"/>
    <w:link w:val="58"/>
    <w:qFormat/>
    <w:locked/>
    <w:uiPriority w:val="0"/>
    <w:rPr>
      <w:rFonts w:ascii="黑体" w:hAnsi="黑体" w:eastAsia="黑体"/>
      <w:b/>
      <w:kern w:val="2"/>
      <w:sz w:val="32"/>
    </w:rPr>
  </w:style>
  <w:style w:type="character" w:customStyle="1" w:styleId="276">
    <w:name w:val="正文文本缩进 3 字符"/>
    <w:qFormat/>
    <w:locked/>
    <w:uiPriority w:val="99"/>
    <w:rPr>
      <w:rFonts w:ascii="宋体" w:hAnsi="宋体" w:eastAsia="宋体" w:cs="宋体"/>
      <w:b/>
      <w:kern w:val="2"/>
      <w:sz w:val="24"/>
      <w:szCs w:val="24"/>
      <w:lang w:val="en-US" w:eastAsia="zh-CN"/>
    </w:rPr>
  </w:style>
  <w:style w:type="character" w:customStyle="1" w:styleId="277">
    <w:name w:val="哈哈正文 Char"/>
    <w:link w:val="131"/>
    <w:qFormat/>
    <w:locked/>
    <w:uiPriority w:val="0"/>
    <w:rPr>
      <w:rFonts w:ascii="宋体" w:hAnsi="宋体" w:eastAsia="宋体"/>
      <w:kern w:val="2"/>
      <w:sz w:val="24"/>
      <w:lang w:val="en-US" w:eastAsia="zh-CN"/>
    </w:rPr>
  </w:style>
  <w:style w:type="character" w:customStyle="1" w:styleId="278">
    <w:name w:val="标题 4 字符"/>
    <w:qFormat/>
    <w:locked/>
    <w:uiPriority w:val="9"/>
    <w:rPr>
      <w:rFonts w:ascii="Arial" w:hAnsi="Arial" w:eastAsia="黑体"/>
      <w:b/>
      <w:kern w:val="2"/>
      <w:sz w:val="28"/>
      <w:lang w:val="en-US" w:eastAsia="zh-CN"/>
    </w:rPr>
  </w:style>
  <w:style w:type="character" w:customStyle="1" w:styleId="279">
    <w:name w:val="正文文本缩进 Char1"/>
    <w:qFormat/>
    <w:uiPriority w:val="0"/>
    <w:rPr>
      <w:rFonts w:eastAsia="方正书宋简体"/>
      <w:kern w:val="2"/>
      <w:sz w:val="24"/>
      <w:lang w:val="en-US" w:eastAsia="zh-CN"/>
    </w:rPr>
  </w:style>
  <w:style w:type="character" w:customStyle="1" w:styleId="280">
    <w:name w:val="标题 1 Char"/>
    <w:qFormat/>
    <w:uiPriority w:val="0"/>
    <w:rPr>
      <w:rFonts w:ascii="宋体" w:eastAsia="宋体"/>
      <w:b/>
      <w:kern w:val="2"/>
      <w:sz w:val="28"/>
      <w:lang w:val="en-US" w:eastAsia="zh-CN"/>
    </w:rPr>
  </w:style>
  <w:style w:type="character" w:customStyle="1" w:styleId="281">
    <w:name w:val="正文文本缩进 字符"/>
    <w:qFormat/>
    <w:uiPriority w:val="0"/>
    <w:rPr>
      <w:rFonts w:ascii="Calibri" w:hAnsi="Calibri" w:cs="Calibri"/>
    </w:rPr>
  </w:style>
  <w:style w:type="character" w:customStyle="1" w:styleId="282">
    <w:name w:val="纯文本 Char Char"/>
    <w:link w:val="110"/>
    <w:qFormat/>
    <w:uiPriority w:val="0"/>
    <w:rPr>
      <w:rFonts w:ascii="宋体" w:hAnsi="Courier New"/>
      <w:kern w:val="2"/>
      <w:sz w:val="21"/>
    </w:rPr>
  </w:style>
  <w:style w:type="character" w:customStyle="1" w:styleId="283">
    <w:name w:val="标题 2 Char"/>
    <w:qFormat/>
    <w:uiPriority w:val="0"/>
    <w:rPr>
      <w:rFonts w:ascii="Arial" w:hAnsi="Arial" w:eastAsia="黑体"/>
      <w:b/>
      <w:kern w:val="2"/>
      <w:sz w:val="32"/>
      <w:lang w:val="en-US" w:eastAsia="zh-CN"/>
    </w:rPr>
  </w:style>
  <w:style w:type="character" w:customStyle="1" w:styleId="284">
    <w:name w:val="正文文本缩进 2 字符"/>
    <w:qFormat/>
    <w:locked/>
    <w:uiPriority w:val="0"/>
    <w:rPr>
      <w:rFonts w:ascii="宋体" w:eastAsia="宋体"/>
      <w:kern w:val="2"/>
      <w:sz w:val="24"/>
      <w:lang w:val="en-US" w:eastAsia="zh-CN"/>
    </w:rPr>
  </w:style>
  <w:style w:type="character" w:customStyle="1" w:styleId="285">
    <w:name w:val="bookmark-item"/>
    <w:qFormat/>
    <w:uiPriority w:val="0"/>
  </w:style>
  <w:style w:type="character" w:customStyle="1" w:styleId="286">
    <w:name w:val="font121"/>
    <w:qFormat/>
    <w:uiPriority w:val="0"/>
    <w:rPr>
      <w:rFonts w:hint="eastAsia" w:ascii="宋体" w:hAnsi="宋体" w:eastAsia="宋体" w:cs="宋体"/>
      <w:b/>
      <w:color w:val="000000"/>
      <w:sz w:val="20"/>
      <w:szCs w:val="20"/>
      <w:u w:val="none"/>
    </w:rPr>
  </w:style>
  <w:style w:type="character" w:customStyle="1" w:styleId="287">
    <w:name w:val="批注文字 字符"/>
    <w:qFormat/>
    <w:locked/>
    <w:uiPriority w:val="0"/>
    <w:rPr>
      <w:rFonts w:ascii="宋体" w:hAnsi="宋体" w:eastAsia="宋体" w:cs="宋体"/>
      <w:kern w:val="2"/>
      <w:sz w:val="21"/>
      <w:szCs w:val="21"/>
      <w:lang w:val="en-US" w:eastAsia="zh-CN"/>
    </w:rPr>
  </w:style>
  <w:style w:type="character" w:customStyle="1" w:styleId="288">
    <w:name w:val="NormalCharacter"/>
    <w:semiHidden/>
    <w:qFormat/>
    <w:uiPriority w:val="0"/>
  </w:style>
  <w:style w:type="character" w:customStyle="1" w:styleId="289">
    <w:name w:val="批注文字 Char"/>
    <w:qFormat/>
    <w:locked/>
    <w:uiPriority w:val="99"/>
    <w:rPr>
      <w:rFonts w:cs="Times New Roman"/>
      <w:kern w:val="2"/>
      <w:sz w:val="21"/>
    </w:rPr>
  </w:style>
  <w:style w:type="character" w:customStyle="1" w:styleId="290">
    <w:name w:val="页脚 字符"/>
    <w:qFormat/>
    <w:locked/>
    <w:uiPriority w:val="0"/>
    <w:rPr>
      <w:rFonts w:ascii="宋体" w:hAnsi="宋体" w:eastAsia="宋体" w:cs="宋体"/>
      <w:kern w:val="2"/>
      <w:sz w:val="18"/>
      <w:szCs w:val="18"/>
      <w:lang w:val="en-US" w:eastAsia="zh-CN"/>
    </w:rPr>
  </w:style>
  <w:style w:type="character" w:customStyle="1" w:styleId="291">
    <w:name w:val="正文缩进 字符"/>
    <w:qFormat/>
    <w:locked/>
    <w:uiPriority w:val="0"/>
    <w:rPr>
      <w:rFonts w:ascii="宋体" w:hAnsi="宋体" w:eastAsia="宋体" w:cs="宋体"/>
      <w:spacing w:val="14"/>
      <w:kern w:val="24"/>
      <w:sz w:val="24"/>
      <w:szCs w:val="24"/>
      <w:lang w:val="en-US" w:eastAsia="zh-CN"/>
    </w:rPr>
  </w:style>
  <w:style w:type="character" w:customStyle="1" w:styleId="292">
    <w:name w:val="font31"/>
    <w:basedOn w:val="50"/>
    <w:qFormat/>
    <w:uiPriority w:val="0"/>
    <w:rPr>
      <w:rFonts w:hint="default" w:ascii="Times New Roman" w:hAnsi="Times New Roman" w:cs="Times New Roman"/>
      <w:color w:val="000000"/>
      <w:sz w:val="20"/>
      <w:szCs w:val="20"/>
      <w:u w:val="none"/>
    </w:rPr>
  </w:style>
  <w:style w:type="character" w:customStyle="1" w:styleId="293">
    <w:name w:val="font112"/>
    <w:basedOn w:val="50"/>
    <w:qFormat/>
    <w:uiPriority w:val="0"/>
    <w:rPr>
      <w:rFonts w:hint="eastAsia" w:ascii="宋体" w:hAnsi="宋体" w:eastAsia="宋体" w:cs="宋体"/>
      <w:color w:val="000000"/>
      <w:sz w:val="21"/>
      <w:szCs w:val="21"/>
      <w:u w:val="none"/>
    </w:rPr>
  </w:style>
  <w:style w:type="paragraph" w:customStyle="1" w:styleId="294">
    <w:name w:val="自动更正"/>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oleObject" Target="embeddings/oleObject6.bin"/><Relationship Id="rId3" Type="http://schemas.openxmlformats.org/officeDocument/2006/relationships/header" Target="header1.xml"/><Relationship Id="rId29" Type="http://schemas.openxmlformats.org/officeDocument/2006/relationships/oleObject" Target="embeddings/oleObject5.bin"/><Relationship Id="rId28" Type="http://schemas.openxmlformats.org/officeDocument/2006/relationships/oleObject" Target="embeddings/oleObject4.bin"/><Relationship Id="rId27" Type="http://schemas.openxmlformats.org/officeDocument/2006/relationships/oleObject" Target="embeddings/oleObject3.bin"/><Relationship Id="rId26" Type="http://schemas.openxmlformats.org/officeDocument/2006/relationships/oleObject" Target="embeddings/oleObject2.bin"/><Relationship Id="rId25" Type="http://schemas.openxmlformats.org/officeDocument/2006/relationships/image" Target="media/image2.wmf"/><Relationship Id="rId24" Type="http://schemas.openxmlformats.org/officeDocument/2006/relationships/oleObject" Target="embeddings/oleObject1.bin"/><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138</Pages>
  <Words>92524</Words>
  <Characters>98630</Characters>
  <Lines>336</Lines>
  <Paragraphs>94</Paragraphs>
  <TotalTime>0</TotalTime>
  <ScaleCrop>false</ScaleCrop>
  <LinksUpToDate>false</LinksUpToDate>
  <CharactersWithSpaces>100955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2024-03-31T08:48:00Z</dcterms:created>
  <dc:creator>Miao</dc:creator>
  <cp:lastModifiedBy>Eve</cp:lastModifiedBy>
  <cp:lastPrinted>2026-02-11T05:33:00Z</cp:lastPrinted>
  <dcterms:modified xsi:type="dcterms:W3CDTF">2026-04-07T10:19:52Z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AF058A7875A74AF09FDBF066B1D8B701_13</vt:lpwstr>
  </property>
  <property fmtid="{D5CDD505-2E9C-101B-9397-08002B2CF9AE}" pid="4" name="KSOTemplateDocerSaveRecord">
    <vt:lpwstr>eyJoZGlkIjoiZTc2Y2UxMjJmNTMyYjNlNDI4NTZjYjUwYzVlM2Y4MzciLCJ1c2VySWQiOiI1MzU5NDgzIn0=</vt:lpwstr>
  </property>
</Properties>
</file>