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6DF99">
      <w:pPr>
        <w:spacing w:line="1100" w:lineRule="exact"/>
        <w:jc w:val="center"/>
        <w:rPr>
          <w:rFonts w:hint="default" w:ascii="Times New Roman" w:hAnsi="Times New Roman" w:cs="Times New Roman"/>
          <w:b/>
          <w:color w:val="auto"/>
          <w:sz w:val="96"/>
          <w:szCs w:val="48"/>
          <w:highlight w:val="none"/>
        </w:rPr>
      </w:pPr>
      <w:r>
        <w:rPr>
          <w:rFonts w:hint="default" w:ascii="Times New Roman" w:hAnsi="Times New Roman" w:cs="Times New Roman"/>
          <w:b/>
          <w:color w:val="auto"/>
          <w:sz w:val="96"/>
          <w:szCs w:val="48"/>
          <w:highlight w:val="none"/>
        </w:rPr>
        <w:t>政  府  采  购</w:t>
      </w:r>
    </w:p>
    <w:p w14:paraId="13CEE4AE">
      <w:pPr>
        <w:spacing w:line="1100" w:lineRule="exact"/>
        <w:jc w:val="center"/>
        <w:rPr>
          <w:rFonts w:hint="default" w:ascii="Times New Roman" w:hAnsi="Times New Roman" w:cs="Times New Roman"/>
          <w:b/>
          <w:color w:val="auto"/>
          <w:sz w:val="96"/>
          <w:szCs w:val="84"/>
          <w:highlight w:val="none"/>
        </w:rPr>
      </w:pPr>
    </w:p>
    <w:p w14:paraId="4847C407">
      <w:pPr>
        <w:spacing w:line="1100" w:lineRule="exact"/>
        <w:jc w:val="center"/>
        <w:rPr>
          <w:rFonts w:hint="default" w:ascii="Times New Roman" w:hAnsi="Times New Roman" w:cs="Times New Roman"/>
          <w:b/>
          <w:color w:val="auto"/>
          <w:sz w:val="96"/>
          <w:szCs w:val="48"/>
          <w:highlight w:val="none"/>
        </w:rPr>
      </w:pPr>
      <w:r>
        <w:rPr>
          <w:rFonts w:hint="default" w:ascii="Times New Roman" w:hAnsi="Times New Roman" w:cs="Times New Roman"/>
          <w:b/>
          <w:color w:val="auto"/>
          <w:sz w:val="96"/>
          <w:szCs w:val="48"/>
          <w:highlight w:val="none"/>
        </w:rPr>
        <w:t>招  标  文  件</w:t>
      </w:r>
    </w:p>
    <w:p w14:paraId="3CCBBD02">
      <w:pPr>
        <w:spacing w:line="1100" w:lineRule="exact"/>
        <w:rPr>
          <w:rFonts w:hint="default" w:ascii="Times New Roman" w:hAnsi="Times New Roman" w:cs="Times New Roman"/>
          <w:color w:val="auto"/>
          <w:sz w:val="96"/>
          <w:highlight w:val="none"/>
        </w:rPr>
      </w:pPr>
    </w:p>
    <w:p w14:paraId="0F1B1549">
      <w:pPr>
        <w:spacing w:line="440" w:lineRule="exact"/>
        <w:rPr>
          <w:rFonts w:hint="default" w:ascii="Times New Roman" w:hAnsi="Times New Roman" w:cs="Times New Roman"/>
          <w:color w:val="auto"/>
          <w:sz w:val="24"/>
          <w:szCs w:val="36"/>
          <w:highlight w:val="none"/>
        </w:rPr>
      </w:pPr>
    </w:p>
    <w:p w14:paraId="7DDC7DC9">
      <w:pPr>
        <w:spacing w:line="440" w:lineRule="exact"/>
        <w:rPr>
          <w:rFonts w:hint="default" w:ascii="Times New Roman" w:hAnsi="Times New Roman" w:cs="Times New Roman"/>
          <w:color w:val="auto"/>
          <w:sz w:val="24"/>
          <w:szCs w:val="36"/>
          <w:highlight w:val="none"/>
        </w:rPr>
      </w:pPr>
    </w:p>
    <w:p w14:paraId="56CB3074">
      <w:pPr>
        <w:bidi w:val="0"/>
        <w:ind w:left="0" w:leftChars="0" w:firstLine="1364" w:firstLineChars="453"/>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项目编号：</w:t>
      </w:r>
      <w:r>
        <w:rPr>
          <w:rFonts w:hint="eastAsia" w:ascii="宋体" w:hAnsi="宋体" w:eastAsia="宋体" w:cs="宋体"/>
          <w:b/>
          <w:bCs/>
          <w:sz w:val="30"/>
          <w:szCs w:val="30"/>
          <w:highlight w:val="none"/>
          <w:u w:val="single"/>
        </w:rPr>
        <w:t>HTXJ-ZCG(202</w:t>
      </w:r>
      <w:r>
        <w:rPr>
          <w:rFonts w:hint="eastAsia" w:ascii="宋体" w:hAnsi="宋体" w:eastAsia="宋体" w:cs="宋体"/>
          <w:b/>
          <w:bCs/>
          <w:sz w:val="30"/>
          <w:szCs w:val="30"/>
          <w:highlight w:val="none"/>
          <w:u w:val="single"/>
          <w:lang w:val="en-US" w:eastAsia="zh-CN"/>
        </w:rPr>
        <w:t>6</w:t>
      </w:r>
      <w:r>
        <w:rPr>
          <w:rFonts w:hint="eastAsia" w:ascii="宋体" w:hAnsi="宋体" w:eastAsia="宋体" w:cs="宋体"/>
          <w:b/>
          <w:bCs/>
          <w:sz w:val="30"/>
          <w:szCs w:val="30"/>
          <w:highlight w:val="none"/>
          <w:u w:val="single"/>
        </w:rPr>
        <w:t>)-</w:t>
      </w:r>
      <w:r>
        <w:rPr>
          <w:rFonts w:hint="eastAsia" w:ascii="宋体" w:hAnsi="宋体" w:eastAsia="宋体" w:cs="宋体"/>
          <w:b/>
          <w:bCs/>
          <w:sz w:val="30"/>
          <w:szCs w:val="30"/>
          <w:highlight w:val="none"/>
          <w:u w:val="single"/>
          <w:lang w:val="en-US" w:eastAsia="zh-CN"/>
        </w:rPr>
        <w:t>67</w:t>
      </w:r>
      <w:r>
        <w:rPr>
          <w:rFonts w:hint="eastAsia" w:ascii="宋体" w:hAnsi="宋体" w:eastAsia="宋体" w:cs="宋体"/>
          <w:b/>
          <w:bCs/>
          <w:sz w:val="30"/>
          <w:szCs w:val="30"/>
          <w:highlight w:val="none"/>
          <w:u w:val="single"/>
        </w:rPr>
        <w:t xml:space="preserve">号 </w:t>
      </w:r>
    </w:p>
    <w:p w14:paraId="14FECBF5">
      <w:pPr>
        <w:bidi w:val="0"/>
        <w:ind w:left="0" w:leftChars="0" w:firstLine="1364" w:firstLineChars="453"/>
        <w:rPr>
          <w:rFonts w:hint="eastAsia" w:ascii="宋体" w:hAnsi="宋体" w:eastAsia="宋体" w:cs="宋体"/>
          <w:b/>
          <w:bCs/>
          <w:sz w:val="30"/>
          <w:szCs w:val="30"/>
          <w:highlight w:val="none"/>
          <w:u w:val="single"/>
          <w:lang w:val="en-US" w:eastAsia="zh-CN"/>
        </w:rPr>
      </w:pPr>
      <w:r>
        <w:rPr>
          <w:rFonts w:hint="eastAsia" w:ascii="宋体" w:hAnsi="宋体" w:eastAsia="宋体" w:cs="宋体"/>
          <w:b/>
          <w:bCs/>
          <w:sz w:val="30"/>
          <w:szCs w:val="30"/>
          <w:highlight w:val="none"/>
        </w:rPr>
        <w:t>项目名称：</w:t>
      </w:r>
      <w:r>
        <w:rPr>
          <w:rFonts w:hint="eastAsia" w:ascii="宋体" w:hAnsi="宋体" w:eastAsia="宋体" w:cs="宋体"/>
          <w:b/>
          <w:bCs/>
          <w:sz w:val="30"/>
          <w:szCs w:val="30"/>
          <w:highlight w:val="none"/>
          <w:u w:val="single"/>
          <w:lang w:val="en-US" w:eastAsia="zh-CN"/>
        </w:rPr>
        <w:t>新疆维吾尔自治区市场监督管理局智慧</w:t>
      </w:r>
    </w:p>
    <w:p w14:paraId="581009DD">
      <w:pPr>
        <w:bidi w:val="0"/>
        <w:ind w:left="1700" w:leftChars="500" w:firstLine="1030" w:firstLineChars="342"/>
        <w:rPr>
          <w:rFonts w:hint="eastAsia" w:ascii="宋体" w:hAnsi="宋体" w:eastAsia="宋体" w:cs="宋体"/>
          <w:b/>
          <w:bCs/>
          <w:sz w:val="30"/>
          <w:szCs w:val="30"/>
          <w:highlight w:val="none"/>
          <w:u w:val="single"/>
          <w:lang w:eastAsia="zh-CN"/>
        </w:rPr>
      </w:pPr>
      <w:r>
        <w:rPr>
          <w:rFonts w:hint="eastAsia" w:ascii="宋体" w:hAnsi="宋体" w:eastAsia="宋体" w:cs="宋体"/>
          <w:b/>
          <w:bCs/>
          <w:sz w:val="30"/>
          <w:szCs w:val="30"/>
          <w:highlight w:val="none"/>
          <w:u w:val="single"/>
          <w:lang w:val="en-US" w:eastAsia="zh-CN"/>
        </w:rPr>
        <w:t>市场监管平台升级改造</w:t>
      </w:r>
      <w:r>
        <w:rPr>
          <w:rFonts w:hint="eastAsia" w:ascii="宋体" w:hAnsi="宋体" w:eastAsia="宋体" w:cs="宋体"/>
          <w:b/>
          <w:bCs/>
          <w:sz w:val="30"/>
          <w:szCs w:val="30"/>
          <w:highlight w:val="none"/>
          <w:u w:val="single"/>
          <w:lang w:eastAsia="zh-CN"/>
        </w:rPr>
        <w:t>“</w:t>
      </w:r>
      <w:r>
        <w:rPr>
          <w:rFonts w:hint="eastAsia" w:ascii="宋体" w:hAnsi="宋体" w:eastAsia="宋体" w:cs="宋体"/>
          <w:b/>
          <w:bCs/>
          <w:sz w:val="30"/>
          <w:szCs w:val="30"/>
          <w:highlight w:val="none"/>
          <w:u w:val="single"/>
          <w:lang w:val="en-US" w:eastAsia="zh-CN"/>
        </w:rPr>
        <w:t>一网统管</w:t>
      </w:r>
      <w:r>
        <w:rPr>
          <w:rFonts w:hint="eastAsia" w:ascii="宋体" w:hAnsi="宋体" w:eastAsia="宋体" w:cs="宋体"/>
          <w:b/>
          <w:bCs/>
          <w:sz w:val="30"/>
          <w:szCs w:val="30"/>
          <w:highlight w:val="none"/>
          <w:u w:val="single"/>
          <w:lang w:eastAsia="zh-CN"/>
        </w:rPr>
        <w:t>”项目</w:t>
      </w:r>
    </w:p>
    <w:p w14:paraId="6A2E7059">
      <w:pPr>
        <w:spacing w:line="780" w:lineRule="exact"/>
        <w:rPr>
          <w:rFonts w:hint="default" w:ascii="Times New Roman" w:hAnsi="Times New Roman" w:cs="Times New Roman"/>
          <w:b/>
          <w:color w:val="auto"/>
          <w:sz w:val="30"/>
          <w:szCs w:val="30"/>
          <w:highlight w:val="none"/>
        </w:rPr>
      </w:pPr>
    </w:p>
    <w:p w14:paraId="1DFF64DE">
      <w:pPr>
        <w:spacing w:line="780" w:lineRule="exact"/>
        <w:rPr>
          <w:rFonts w:hint="default" w:ascii="Times New Roman" w:hAnsi="Times New Roman" w:cs="Times New Roman"/>
          <w:b/>
          <w:color w:val="auto"/>
          <w:sz w:val="30"/>
          <w:szCs w:val="30"/>
          <w:highlight w:val="none"/>
        </w:rPr>
      </w:pPr>
    </w:p>
    <w:p w14:paraId="3923121C">
      <w:pPr>
        <w:spacing w:line="780" w:lineRule="exact"/>
        <w:jc w:val="center"/>
        <w:rPr>
          <w:rFonts w:hint="default" w:ascii="Times New Roman" w:hAnsi="Times New Roman" w:cs="Times New Roman"/>
          <w:b/>
          <w:bCs/>
          <w:color w:val="auto"/>
          <w:spacing w:val="80"/>
          <w:sz w:val="32"/>
          <w:szCs w:val="36"/>
          <w:highlight w:val="none"/>
        </w:rPr>
      </w:pPr>
      <w:r>
        <w:rPr>
          <w:rFonts w:hint="default" w:ascii="Times New Roman" w:hAnsi="Times New Roman" w:cs="Times New Roman"/>
          <w:b/>
          <w:bCs/>
          <w:color w:val="auto"/>
          <w:spacing w:val="80"/>
          <w:sz w:val="32"/>
          <w:szCs w:val="36"/>
          <w:highlight w:val="none"/>
        </w:rPr>
        <w:t>新疆维吾尔自治区市场监督管理局</w:t>
      </w:r>
    </w:p>
    <w:p w14:paraId="145AEF06">
      <w:pPr>
        <w:spacing w:line="780" w:lineRule="exact"/>
        <w:jc w:val="center"/>
        <w:rPr>
          <w:rFonts w:hint="default" w:ascii="Times New Roman" w:hAnsi="Times New Roman" w:cs="Times New Roman"/>
          <w:b/>
          <w:bCs/>
          <w:color w:val="auto"/>
          <w:spacing w:val="80"/>
          <w:sz w:val="32"/>
          <w:szCs w:val="36"/>
          <w:highlight w:val="none"/>
        </w:rPr>
      </w:pPr>
      <w:r>
        <w:rPr>
          <w:rFonts w:hint="default" w:ascii="Times New Roman" w:hAnsi="Times New Roman" w:cs="Times New Roman"/>
          <w:b/>
          <w:bCs/>
          <w:color w:val="auto"/>
          <w:spacing w:val="80"/>
          <w:sz w:val="32"/>
          <w:szCs w:val="36"/>
          <w:highlight w:val="none"/>
        </w:rPr>
        <w:t>中正恒天国际招标有限公司</w:t>
      </w:r>
    </w:p>
    <w:p w14:paraId="0B54CFAB">
      <w:pPr>
        <w:spacing w:line="780" w:lineRule="exact"/>
        <w:jc w:val="center"/>
        <w:rPr>
          <w:rFonts w:hint="default" w:ascii="Times New Roman" w:hAnsi="Times New Roman" w:cs="Times New Roman"/>
          <w:b/>
          <w:bCs/>
          <w:color w:val="auto"/>
          <w:spacing w:val="80"/>
          <w:sz w:val="32"/>
          <w:szCs w:val="36"/>
          <w:highlight w:val="none"/>
        </w:rPr>
      </w:pPr>
      <w:r>
        <w:rPr>
          <w:rFonts w:hint="default" w:ascii="Times New Roman" w:hAnsi="Times New Roman" w:cs="Times New Roman"/>
          <w:b/>
          <w:bCs/>
          <w:color w:val="auto"/>
          <w:spacing w:val="80"/>
          <w:sz w:val="32"/>
          <w:szCs w:val="36"/>
          <w:highlight w:val="none"/>
        </w:rPr>
        <w:t>共同编制</w:t>
      </w:r>
    </w:p>
    <w:p w14:paraId="166E491A">
      <w:pPr>
        <w:spacing w:line="780" w:lineRule="exact"/>
        <w:ind w:firstLine="3213" w:firstLineChars="1000"/>
        <w:rPr>
          <w:rFonts w:hint="eastAsia" w:ascii="宋体" w:hAnsi="宋体" w:eastAsia="宋体" w:cs="宋体"/>
          <w:b/>
          <w:bCs/>
          <w:color w:val="auto"/>
          <w:sz w:val="32"/>
          <w:szCs w:val="36"/>
          <w:highlight w:val="none"/>
        </w:rPr>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2"/>
          <w:szCs w:val="36"/>
          <w:highlight w:val="none"/>
          <w:u w:val="single"/>
        </w:rPr>
        <w:t>202</w:t>
      </w:r>
      <w:r>
        <w:rPr>
          <w:rFonts w:hint="eastAsia" w:ascii="宋体" w:hAnsi="宋体" w:eastAsia="宋体" w:cs="宋体"/>
          <w:b/>
          <w:bCs/>
          <w:color w:val="auto"/>
          <w:sz w:val="32"/>
          <w:szCs w:val="36"/>
          <w:highlight w:val="none"/>
          <w:u w:val="single"/>
          <w:lang w:val="en-US" w:eastAsia="zh-CN"/>
        </w:rPr>
        <w:t>6</w:t>
      </w:r>
      <w:r>
        <w:rPr>
          <w:rFonts w:hint="eastAsia" w:ascii="宋体" w:hAnsi="宋体" w:eastAsia="宋体" w:cs="宋体"/>
          <w:b/>
          <w:bCs/>
          <w:color w:val="auto"/>
          <w:sz w:val="32"/>
          <w:szCs w:val="36"/>
          <w:highlight w:val="none"/>
        </w:rPr>
        <w:t>年</w:t>
      </w:r>
      <w:r>
        <w:rPr>
          <w:rFonts w:hint="eastAsia" w:hAnsi="宋体" w:cs="宋体"/>
          <w:b/>
          <w:bCs/>
          <w:color w:val="auto"/>
          <w:sz w:val="32"/>
          <w:szCs w:val="36"/>
          <w:highlight w:val="none"/>
          <w:u w:val="single"/>
          <w:lang w:val="en-US" w:eastAsia="zh-CN"/>
        </w:rPr>
        <w:t>4</w:t>
      </w:r>
      <w:r>
        <w:rPr>
          <w:rFonts w:hint="eastAsia" w:ascii="宋体" w:hAnsi="宋体" w:eastAsia="宋体" w:cs="宋体"/>
          <w:b/>
          <w:bCs/>
          <w:color w:val="auto"/>
          <w:sz w:val="32"/>
          <w:szCs w:val="36"/>
          <w:highlight w:val="none"/>
          <w:u w:val="single"/>
        </w:rPr>
        <w:t>月</w:t>
      </w:r>
    </w:p>
    <w:p w14:paraId="1F47445C">
      <w:pPr>
        <w:pStyle w:val="195"/>
        <w:rPr>
          <w:rFonts w:hint="default" w:ascii="Times New Roman" w:hAnsi="Times New Roman" w:cs="Times New Roman"/>
          <w:color w:val="auto"/>
          <w:sz w:val="56"/>
          <w:highlight w:val="none"/>
        </w:rPr>
      </w:pPr>
      <w:r>
        <w:rPr>
          <w:rFonts w:hint="default" w:ascii="Times New Roman" w:hAnsi="Times New Roman" w:cs="Times New Roman"/>
          <w:color w:val="auto"/>
          <w:sz w:val="56"/>
          <w:highlight w:val="none"/>
          <w:lang w:val="zh-CN"/>
        </w:rPr>
        <w:t>目 录</w:t>
      </w:r>
    </w:p>
    <w:p w14:paraId="0EEBF99B">
      <w:pPr>
        <w:pStyle w:val="30"/>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TOC \o "1-3" \h \z \u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"_Toc472604578"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第一章  投标公告</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_Toc472604578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5DFAD644">
      <w:pPr>
        <w:pStyle w:val="30"/>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"_Toc472604579"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第二章  投标人须知</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_Toc472604579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6CB35F79">
      <w:pPr>
        <w:pStyle w:val="30"/>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"_Toc472604629"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第三章  投标文件格式</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_Toc472604629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17</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52F5CD8F">
      <w:pPr>
        <w:pStyle w:val="30"/>
        <w:ind w:left="1365" w:hanging="1285" w:hangingChars="400"/>
        <w:jc w:val="both"/>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"_Toc472604640"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第四章  投标人和投标产品的资格、资质性及其他类似效力要求</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_Toc472604640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18</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64E856D6">
      <w:pPr>
        <w:pStyle w:val="30"/>
        <w:ind w:left="1365" w:hanging="1285" w:hangingChars="400"/>
        <w:jc w:val="both"/>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"_Toc472604643"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第五章  投标人应当提供的资格、资质性及其他类似效力要求的相关证明材料</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_Toc472604643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46</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1E9AA560">
      <w:pPr>
        <w:pStyle w:val="30"/>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"_Toc472604646"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第六章  招标项目技术、商务及其他要求</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_Toc472604646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46</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4469C236">
      <w:pPr>
        <w:pStyle w:val="30"/>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"_Toc472604651"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第七章  评标办法</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_Toc472604651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49</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6B68CFFC">
      <w:pPr>
        <w:pStyle w:val="30"/>
        <w:rPr>
          <w:rFonts w:hint="default" w:ascii="Times New Roman" w:hAnsi="Times New Roman" w:cs="Times New Roman"/>
          <w:b w:val="0"/>
          <w:color w:val="auto"/>
          <w:kern w:val="2"/>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"_Toc472604660"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第八章  政府采购合同（样例）</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_Toc472604660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142</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3CFD9C5C">
      <w:pPr>
        <w:rPr>
          <w:rFonts w:hint="default" w:ascii="Times New Roman" w:hAnsi="Times New Roman" w:cs="Times New Roman"/>
          <w:color w:val="auto"/>
          <w:highlight w:val="none"/>
        </w:rPr>
      </w:pPr>
      <w:r>
        <w:rPr>
          <w:rFonts w:hint="default" w:ascii="Times New Roman" w:hAnsi="Times New Roman" w:cs="Times New Roman"/>
          <w:b/>
          <w:bCs/>
          <w:color w:val="auto"/>
          <w:sz w:val="32"/>
          <w:szCs w:val="32"/>
          <w:highlight w:val="none"/>
          <w:lang w:val="zh-CN"/>
        </w:rPr>
        <w:fldChar w:fldCharType="end"/>
      </w:r>
    </w:p>
    <w:p w14:paraId="515041BD">
      <w:pPr>
        <w:rPr>
          <w:rFonts w:hint="default" w:ascii="Times New Roman" w:hAnsi="Times New Roman" w:cs="Times New Roman"/>
          <w:color w:val="auto"/>
          <w:highlight w:val="none"/>
        </w:rPr>
        <w:sectPr>
          <w:headerReference r:id="rId4" w:type="default"/>
          <w:pgSz w:w="11906" w:h="16838"/>
          <w:pgMar w:top="1440" w:right="1800" w:bottom="1440" w:left="1800" w:header="851" w:footer="992" w:gutter="0"/>
          <w:cols w:space="720" w:num="1"/>
          <w:docGrid w:type="lines" w:linePitch="312" w:charSpace="0"/>
        </w:sectPr>
      </w:pPr>
    </w:p>
    <w:p w14:paraId="56591E01">
      <w:pPr>
        <w:pStyle w:val="2"/>
        <w:spacing w:before="0" w:after="156" w:afterLines="50" w:line="440" w:lineRule="exact"/>
        <w:rPr>
          <w:rFonts w:hint="default" w:ascii="Times New Roman" w:hAnsi="Times New Roman" w:eastAsia="宋体" w:cs="Times New Roman"/>
          <w:color w:val="auto"/>
          <w:sz w:val="30"/>
          <w:szCs w:val="30"/>
          <w:highlight w:val="none"/>
          <w:lang w:eastAsia="zh-CN"/>
        </w:rPr>
      </w:pPr>
      <w:bookmarkStart w:id="0" w:name="_Toc465085332"/>
      <w:bookmarkStart w:id="1" w:name="_Toc472604578"/>
      <w:bookmarkStart w:id="2" w:name="_Toc466298030"/>
      <w:r>
        <w:rPr>
          <w:rFonts w:hint="default" w:ascii="Times New Roman" w:hAnsi="Times New Roman" w:cs="Times New Roman"/>
          <w:color w:val="auto"/>
          <w:sz w:val="30"/>
          <w:szCs w:val="30"/>
          <w:highlight w:val="none"/>
        </w:rPr>
        <w:t>第一章  投标</w:t>
      </w:r>
      <w:bookmarkEnd w:id="0"/>
      <w:bookmarkEnd w:id="1"/>
      <w:bookmarkEnd w:id="2"/>
      <w:r>
        <w:rPr>
          <w:rFonts w:hint="default" w:ascii="Times New Roman" w:hAnsi="Times New Roman" w:cs="Times New Roman"/>
          <w:color w:val="auto"/>
          <w:sz w:val="30"/>
          <w:szCs w:val="30"/>
          <w:highlight w:val="none"/>
          <w:lang w:eastAsia="zh-CN"/>
        </w:rPr>
        <w:t>公告</w:t>
      </w:r>
    </w:p>
    <w:p w14:paraId="7DABB757">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中正恒天国际招标有限公司</w:t>
      </w:r>
      <w:r>
        <w:rPr>
          <w:rFonts w:hint="default" w:ascii="Times New Roman" w:hAnsi="Times New Roman" w:cs="Times New Roman"/>
          <w:color w:val="auto"/>
          <w:sz w:val="24"/>
          <w:highlight w:val="none"/>
        </w:rPr>
        <w:t>受</w:t>
      </w:r>
      <w:r>
        <w:rPr>
          <w:rFonts w:hint="default" w:ascii="Times New Roman" w:hAnsi="Times New Roman" w:cs="Times New Roman"/>
          <w:bCs/>
          <w:color w:val="auto"/>
          <w:sz w:val="24"/>
          <w:highlight w:val="none"/>
          <w:u w:val="single"/>
        </w:rPr>
        <w:t>新疆维吾尔自治区市场监督管理局</w:t>
      </w:r>
      <w:r>
        <w:rPr>
          <w:rFonts w:hint="default" w:ascii="Times New Roman" w:hAnsi="Times New Roman" w:cs="Times New Roman"/>
          <w:color w:val="auto"/>
          <w:sz w:val="24"/>
          <w:highlight w:val="none"/>
        </w:rPr>
        <w:t>委托，拟对</w:t>
      </w:r>
      <w:r>
        <w:rPr>
          <w:rFonts w:hint="default" w:ascii="Times New Roman" w:hAnsi="Times New Roman" w:cs="Times New Roman"/>
          <w:bCs/>
          <w:color w:val="auto"/>
          <w:sz w:val="24"/>
          <w:highlight w:val="none"/>
          <w:u w:val="single"/>
        </w:rPr>
        <w:t>新疆维吾尔自治区市场监督管理局</w:t>
      </w:r>
      <w:r>
        <w:rPr>
          <w:rFonts w:hint="default" w:ascii="Times New Roman" w:hAnsi="Times New Roman" w:cs="Times New Roman"/>
          <w:bCs/>
          <w:color w:val="auto"/>
          <w:sz w:val="24"/>
          <w:highlight w:val="none"/>
          <w:u w:val="single"/>
          <w:lang w:eastAsia="zh-CN"/>
        </w:rPr>
        <w:t>智慧市场监管平台升级改造</w:t>
      </w:r>
      <w:r>
        <w:rPr>
          <w:rFonts w:hint="eastAsia" w:ascii="Times New Roman" w:cs="Times New Roman"/>
          <w:bCs/>
          <w:color w:val="auto"/>
          <w:sz w:val="24"/>
          <w:highlight w:val="none"/>
          <w:u w:val="single"/>
          <w:lang w:val="en-US" w:eastAsia="zh-CN"/>
        </w:rPr>
        <w:t>(</w:t>
      </w:r>
      <w:r>
        <w:rPr>
          <w:rFonts w:hint="eastAsia" w:ascii="Times New Roman" w:cs="Times New Roman"/>
          <w:bCs/>
          <w:color w:val="auto"/>
          <w:sz w:val="24"/>
          <w:highlight w:val="none"/>
          <w:u w:val="single"/>
          <w:lang w:eastAsia="zh-CN"/>
        </w:rPr>
        <w:t>“一网统管”</w:t>
      </w:r>
      <w:r>
        <w:rPr>
          <w:rFonts w:hint="eastAsia" w:ascii="Times New Roman" w:cs="Times New Roman"/>
          <w:bCs/>
          <w:color w:val="auto"/>
          <w:sz w:val="24"/>
          <w:highlight w:val="none"/>
          <w:u w:val="single"/>
          <w:lang w:val="en-US" w:eastAsia="zh-CN"/>
        </w:rPr>
        <w:t>)</w:t>
      </w:r>
      <w:r>
        <w:rPr>
          <w:rFonts w:hint="default" w:ascii="Times New Roman" w:hAnsi="Times New Roman" w:cs="Times New Roman"/>
          <w:bCs/>
          <w:color w:val="auto"/>
          <w:sz w:val="24"/>
          <w:highlight w:val="none"/>
          <w:u w:val="single"/>
          <w:lang w:eastAsia="zh-CN"/>
        </w:rPr>
        <w:t>项目</w:t>
      </w:r>
      <w:r>
        <w:rPr>
          <w:rFonts w:hint="default" w:ascii="Times New Roman" w:hAnsi="Times New Roman" w:cs="Times New Roman"/>
          <w:bCs/>
          <w:color w:val="auto"/>
          <w:sz w:val="24"/>
          <w:highlight w:val="none"/>
          <w:u w:val="single"/>
        </w:rPr>
        <w:t>”</w:t>
      </w:r>
      <w:r>
        <w:rPr>
          <w:rFonts w:hint="default" w:ascii="Times New Roman" w:hAnsi="Times New Roman" w:cs="Times New Roman"/>
          <w:color w:val="auto"/>
          <w:sz w:val="24"/>
          <w:highlight w:val="none"/>
        </w:rPr>
        <w:t>进行国内公开招标，符合本次招标要求的供应商参加投标。</w:t>
      </w:r>
    </w:p>
    <w:p w14:paraId="1FED469E">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一、招标编号：</w:t>
      </w:r>
      <w:r>
        <w:rPr>
          <w:rFonts w:hint="default" w:ascii="Times New Roman" w:hAnsi="Times New Roman" w:cs="Times New Roman"/>
          <w:b w:val="0"/>
          <w:bCs/>
          <w:color w:val="auto"/>
          <w:sz w:val="24"/>
          <w:highlight w:val="none"/>
        </w:rPr>
        <w:t>HTXJ-ZCG(202</w:t>
      </w:r>
      <w:r>
        <w:rPr>
          <w:rFonts w:hint="default" w:ascii="Times New Roman" w:hAnsi="Times New Roman" w:cs="Times New Roman"/>
          <w:b w:val="0"/>
          <w:bCs/>
          <w:color w:val="auto"/>
          <w:sz w:val="24"/>
          <w:highlight w:val="none"/>
          <w:lang w:val="en-US" w:eastAsia="zh-CN"/>
        </w:rPr>
        <w:t>6</w:t>
      </w:r>
      <w:r>
        <w:rPr>
          <w:rFonts w:hint="default" w:ascii="Times New Roman" w:hAnsi="Times New Roman" w:cs="Times New Roman"/>
          <w:b w:val="0"/>
          <w:bCs/>
          <w:color w:val="auto"/>
          <w:sz w:val="24"/>
          <w:highlight w:val="none"/>
        </w:rPr>
        <w:t>)-</w:t>
      </w:r>
      <w:r>
        <w:rPr>
          <w:rFonts w:hint="default" w:ascii="Times New Roman" w:hAnsi="Times New Roman" w:cs="Times New Roman"/>
          <w:b w:val="0"/>
          <w:bCs/>
          <w:color w:val="auto"/>
          <w:sz w:val="24"/>
          <w:highlight w:val="none"/>
          <w:lang w:val="en-US" w:eastAsia="zh-CN"/>
        </w:rPr>
        <w:t>67</w:t>
      </w:r>
      <w:r>
        <w:rPr>
          <w:rFonts w:hint="default" w:ascii="Times New Roman" w:hAnsi="Times New Roman" w:cs="Times New Roman"/>
          <w:b w:val="0"/>
          <w:bCs/>
          <w:color w:val="auto"/>
          <w:sz w:val="24"/>
          <w:highlight w:val="none"/>
        </w:rPr>
        <w:t>号</w:t>
      </w:r>
    </w:p>
    <w:p w14:paraId="5346677F">
      <w:pPr>
        <w:spacing w:line="360" w:lineRule="auto"/>
        <w:ind w:firstLine="482" w:firstLineChars="200"/>
        <w:rPr>
          <w:rFonts w:hint="default" w:ascii="Times New Roman" w:hAnsi="Times New Roman" w:eastAsia="宋体" w:cs="Times New Roman"/>
          <w:b/>
          <w:color w:val="auto"/>
          <w:sz w:val="24"/>
          <w:highlight w:val="none"/>
          <w:lang w:eastAsia="zh-CN"/>
        </w:rPr>
      </w:pPr>
      <w:r>
        <w:rPr>
          <w:rFonts w:hint="default" w:ascii="Times New Roman" w:hAnsi="Times New Roman" w:cs="Times New Roman"/>
          <w:b/>
          <w:bCs/>
          <w:color w:val="auto"/>
          <w:sz w:val="24"/>
          <w:highlight w:val="none"/>
        </w:rPr>
        <w:t>二、</w:t>
      </w:r>
      <w:r>
        <w:rPr>
          <w:rFonts w:hint="default" w:ascii="Times New Roman" w:hAnsi="Times New Roman" w:cs="Times New Roman"/>
          <w:b/>
          <w:color w:val="auto"/>
          <w:sz w:val="24"/>
          <w:highlight w:val="none"/>
        </w:rPr>
        <w:t>招标项目：</w:t>
      </w:r>
      <w:r>
        <w:rPr>
          <w:rFonts w:hint="default" w:ascii="Times New Roman" w:hAnsi="Times New Roman" w:cs="Times New Roman"/>
          <w:b w:val="0"/>
          <w:bCs/>
          <w:color w:val="auto"/>
          <w:sz w:val="24"/>
          <w:highlight w:val="none"/>
          <w:lang w:eastAsia="zh-CN"/>
        </w:rPr>
        <w:t>新疆维吾尔自治区市场监督管理局智慧市场监管平台</w:t>
      </w:r>
      <w:r>
        <w:rPr>
          <w:rFonts w:hint="default" w:ascii="Times New Roman" w:hAnsi="Times New Roman" w:cs="Times New Roman"/>
          <w:b w:val="0"/>
          <w:bCs/>
          <w:color w:val="auto"/>
          <w:sz w:val="24"/>
          <w:highlight w:val="none"/>
          <w:lang w:val="en-US" w:eastAsia="zh-CN"/>
        </w:rPr>
        <w:t>系统</w:t>
      </w:r>
      <w:r>
        <w:rPr>
          <w:rFonts w:hint="default" w:ascii="Times New Roman" w:hAnsi="Times New Roman" w:cs="Times New Roman"/>
          <w:b w:val="0"/>
          <w:bCs/>
          <w:color w:val="auto"/>
          <w:sz w:val="24"/>
          <w:highlight w:val="none"/>
          <w:lang w:eastAsia="zh-CN"/>
        </w:rPr>
        <w:t>升级改造</w:t>
      </w:r>
      <w:r>
        <w:rPr>
          <w:rFonts w:hint="eastAsia" w:ascii="Times New Roman" w:cs="Times New Roman"/>
          <w:b w:val="0"/>
          <w:bCs/>
          <w:color w:val="auto"/>
          <w:sz w:val="24"/>
          <w:highlight w:val="none"/>
          <w:lang w:val="en-US" w:eastAsia="zh-CN"/>
        </w:rPr>
        <w:t>(</w:t>
      </w:r>
      <w:r>
        <w:rPr>
          <w:rFonts w:hint="default" w:ascii="Times New Roman" w:hAnsi="Times New Roman" w:cs="Times New Roman"/>
          <w:b w:val="0"/>
          <w:bCs/>
          <w:color w:val="auto"/>
          <w:sz w:val="24"/>
          <w:highlight w:val="none"/>
          <w:lang w:eastAsia="zh-CN"/>
        </w:rPr>
        <w:t>“</w:t>
      </w:r>
      <w:r>
        <w:rPr>
          <w:rFonts w:hint="default" w:ascii="Times New Roman" w:hAnsi="Times New Roman" w:cs="Times New Roman"/>
          <w:b w:val="0"/>
          <w:bCs/>
          <w:color w:val="auto"/>
          <w:sz w:val="24"/>
          <w:highlight w:val="none"/>
          <w:lang w:val="en-US" w:eastAsia="zh-CN"/>
        </w:rPr>
        <w:t>一网统管</w:t>
      </w:r>
      <w:r>
        <w:rPr>
          <w:rFonts w:hint="default" w:ascii="Times New Roman" w:hAnsi="Times New Roman" w:cs="Times New Roman"/>
          <w:b w:val="0"/>
          <w:bCs/>
          <w:color w:val="auto"/>
          <w:sz w:val="24"/>
          <w:highlight w:val="none"/>
          <w:lang w:eastAsia="zh-CN"/>
        </w:rPr>
        <w:t>”</w:t>
      </w:r>
      <w:r>
        <w:rPr>
          <w:rFonts w:hint="eastAsia" w:ascii="Times New Roman" w:cs="Times New Roman"/>
          <w:b w:val="0"/>
          <w:bCs/>
          <w:color w:val="auto"/>
          <w:sz w:val="24"/>
          <w:highlight w:val="none"/>
          <w:lang w:val="en-US" w:eastAsia="zh-CN"/>
        </w:rPr>
        <w:t>)</w:t>
      </w:r>
      <w:r>
        <w:rPr>
          <w:rFonts w:hint="default" w:ascii="Times New Roman" w:hAnsi="Times New Roman" w:cs="Times New Roman"/>
          <w:b w:val="0"/>
          <w:bCs/>
          <w:color w:val="auto"/>
          <w:sz w:val="24"/>
          <w:highlight w:val="none"/>
          <w:lang w:eastAsia="zh-CN"/>
        </w:rPr>
        <w:t>项目</w:t>
      </w:r>
    </w:p>
    <w:p w14:paraId="76F31614">
      <w:pPr>
        <w:spacing w:line="360" w:lineRule="auto"/>
        <w:ind w:right="51" w:rightChars="15" w:firstLine="482" w:firstLineChars="200"/>
        <w:rPr>
          <w:rFonts w:hint="default" w:ascii="Times New Roman" w:hAnsi="Times New Roman" w:cs="Times New Roman"/>
          <w:b w:val="0"/>
          <w:bCs/>
          <w:color w:val="auto"/>
          <w:sz w:val="24"/>
          <w:highlight w:val="none"/>
        </w:rPr>
      </w:pPr>
      <w:r>
        <w:rPr>
          <w:rFonts w:hint="default" w:ascii="Times New Roman" w:hAnsi="Times New Roman" w:cs="Times New Roman"/>
          <w:b/>
          <w:color w:val="auto"/>
          <w:sz w:val="24"/>
          <w:highlight w:val="none"/>
        </w:rPr>
        <w:t>三、</w:t>
      </w:r>
      <w:r>
        <w:rPr>
          <w:rFonts w:hint="default" w:ascii="Times New Roman" w:hAnsi="Times New Roman" w:cs="Times New Roman"/>
          <w:b/>
          <w:color w:val="auto"/>
          <w:sz w:val="24"/>
          <w:highlight w:val="none"/>
          <w:lang w:val="en-US" w:eastAsia="zh-CN"/>
        </w:rPr>
        <w:t>预算金额</w:t>
      </w:r>
      <w:r>
        <w:rPr>
          <w:rFonts w:hint="default" w:ascii="Times New Roman" w:hAnsi="Times New Roman" w:cs="Times New Roman"/>
          <w:b/>
          <w:color w:val="auto"/>
          <w:sz w:val="24"/>
          <w:highlight w:val="none"/>
        </w:rPr>
        <w:t>：</w:t>
      </w:r>
      <w:r>
        <w:rPr>
          <w:rFonts w:hint="default" w:ascii="Times New Roman" w:hAnsi="Times New Roman" w:cs="Times New Roman"/>
          <w:b w:val="0"/>
          <w:bCs/>
          <w:color w:val="auto"/>
          <w:sz w:val="24"/>
          <w:szCs w:val="24"/>
          <w:highlight w:val="none"/>
          <w:lang w:val="en-US" w:eastAsia="zh-CN"/>
        </w:rPr>
        <w:t>2590</w:t>
      </w:r>
      <w:r>
        <w:rPr>
          <w:rFonts w:hint="default" w:ascii="Times New Roman" w:hAnsi="Times New Roman" w:cs="Times New Roman"/>
          <w:b w:val="0"/>
          <w:bCs/>
          <w:color w:val="auto"/>
          <w:sz w:val="24"/>
          <w:szCs w:val="24"/>
          <w:highlight w:val="none"/>
          <w:lang w:val="en" w:eastAsia="zh-CN"/>
        </w:rPr>
        <w:t>.88</w:t>
      </w:r>
      <w:r>
        <w:rPr>
          <w:rFonts w:hint="default" w:ascii="Times New Roman" w:hAnsi="Times New Roman" w:cs="Times New Roman"/>
          <w:b w:val="0"/>
          <w:bCs/>
          <w:color w:val="auto"/>
          <w:sz w:val="24"/>
          <w:szCs w:val="24"/>
          <w:highlight w:val="none"/>
          <w:lang w:val="en-US" w:eastAsia="zh-CN"/>
        </w:rPr>
        <w:t>万元；</w:t>
      </w:r>
    </w:p>
    <w:p w14:paraId="3891B97C">
      <w:pPr>
        <w:spacing w:line="360" w:lineRule="auto"/>
        <w:ind w:right="51" w:rightChars="15"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四、招标项目简介</w:t>
      </w:r>
      <w:r>
        <w:rPr>
          <w:rFonts w:hint="default" w:ascii="Times New Roman" w:hAnsi="Times New Roman" w:cs="Times New Roman"/>
          <w:color w:val="auto"/>
          <w:sz w:val="24"/>
          <w:highlight w:val="none"/>
        </w:rPr>
        <w:t>：（详见第六章）</w:t>
      </w:r>
    </w:p>
    <w:p w14:paraId="74E1E0EC">
      <w:pPr>
        <w:spacing w:line="360" w:lineRule="auto"/>
        <w:ind w:right="51" w:rightChars="15"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五、供应商参加本次政府采购活动应具备下列条件：</w:t>
      </w:r>
    </w:p>
    <w:p w14:paraId="2D2C7C18">
      <w:pPr>
        <w:tabs>
          <w:tab w:val="left" w:pos="7665"/>
        </w:tabs>
        <w:spacing w:line="360" w:lineRule="auto"/>
        <w:ind w:firstLine="600" w:firstLineChars="2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法人或者其他组织的营业执照等证明文件，法定代表人</w:t>
      </w:r>
      <w:r>
        <w:rPr>
          <w:rFonts w:hint="default" w:ascii="Times New Roman" w:hAnsi="Times New Roman" w:cs="Times New Roman"/>
          <w:color w:val="auto"/>
          <w:sz w:val="24"/>
          <w:highlight w:val="none"/>
        </w:rPr>
        <w:t>/单位负责人</w:t>
      </w:r>
      <w:r>
        <w:rPr>
          <w:rFonts w:hint="default" w:ascii="Times New Roman" w:hAnsi="Times New Roman" w:eastAsia="宋体" w:cs="Times New Roman"/>
          <w:color w:val="auto"/>
          <w:sz w:val="24"/>
          <w:highlight w:val="none"/>
          <w:lang w:val="en-US" w:eastAsia="zh-CN"/>
        </w:rPr>
        <w:t>或负责人的身份证明；</w:t>
      </w:r>
    </w:p>
    <w:p w14:paraId="274CC28B">
      <w:pP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2、具有良好的商业信誉和健全的财务会计制度；</w:t>
      </w:r>
    </w:p>
    <w:p w14:paraId="5E99532C">
      <w:pP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3、具有履行合同所必需的设备和专业技术能力；</w:t>
      </w:r>
    </w:p>
    <w:p w14:paraId="1AD67EE1">
      <w:pP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4、具有依法缴纳税收和社会保障资金的良好记录；</w:t>
      </w:r>
    </w:p>
    <w:p w14:paraId="2E793D07">
      <w:pP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5、参加本次政府采购活动前三年内，在经营活动中没有重大违法记录；</w:t>
      </w:r>
    </w:p>
    <w:p w14:paraId="42810A76">
      <w:pPr>
        <w:pStyle w:val="136"/>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6、法律、行政法规规定的其他条件；</w:t>
      </w:r>
    </w:p>
    <w:p w14:paraId="774B87B9">
      <w:pPr>
        <w:pStyle w:val="136"/>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7、本项目接受联合体投标；</w:t>
      </w:r>
    </w:p>
    <w:p w14:paraId="4DD16D06">
      <w:pPr>
        <w:pStyle w:val="136"/>
        <w:spacing w:line="360" w:lineRule="auto"/>
        <w:ind w:firstLine="600" w:firstLineChars="25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8、根据采购项目提出的特殊条件</w:t>
      </w:r>
      <w:r>
        <w:rPr>
          <w:rFonts w:hint="default" w:ascii="Times New Roman" w:hAnsi="Times New Roman" w:cs="Times New Roman"/>
          <w:snapToGrid w:val="0"/>
          <w:color w:val="auto"/>
          <w:sz w:val="24"/>
          <w:szCs w:val="24"/>
          <w:highlight w:val="none"/>
        </w:rPr>
        <w:t>：</w:t>
      </w:r>
      <w:r>
        <w:rPr>
          <w:rFonts w:hint="default" w:ascii="Times New Roman" w:hAnsi="Times New Roman" w:cs="Times New Roman"/>
          <w:color w:val="auto"/>
          <w:sz w:val="24"/>
          <w:highlight w:val="none"/>
          <w:lang w:val="en-US" w:eastAsia="zh-CN"/>
        </w:rPr>
        <w:t>无</w:t>
      </w:r>
    </w:p>
    <w:p w14:paraId="2651B0BF">
      <w:pPr>
        <w:pStyle w:val="136"/>
        <w:spacing w:line="360" w:lineRule="auto"/>
        <w:ind w:firstLine="600" w:firstLineChars="25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9、落实政府采购政策需满足的资格要求：</w:t>
      </w:r>
      <w:r>
        <w:rPr>
          <w:rFonts w:hint="default" w:ascii="Times New Roman" w:hAnsi="Times New Roman" w:cs="Times New Roman"/>
          <w:color w:val="auto"/>
          <w:sz w:val="24"/>
          <w:highlight w:val="none"/>
          <w:lang w:eastAsia="zh-CN"/>
        </w:rPr>
        <w:t>本项目预留部分采购项目预算专门面向中小企业采购。</w:t>
      </w:r>
    </w:p>
    <w:p w14:paraId="241CFAC3">
      <w:pPr>
        <w:pStyle w:val="136"/>
        <w:spacing w:line="360" w:lineRule="auto"/>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w:t>
      </w:r>
      <w:r>
        <w:rPr>
          <w:rFonts w:hint="default" w:ascii="Times New Roman" w:hAnsi="Times New Roman" w:eastAsia="宋体" w:cs="Times New Roman"/>
          <w:color w:val="auto"/>
          <w:sz w:val="24"/>
          <w:highlight w:val="none"/>
          <w:lang w:val="en-US" w:eastAsia="zh-CN"/>
        </w:rPr>
        <w:t>投标人所提供的服务属于大型企业的，必须将本项目</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给一家或者多家中小企业，中小企业承担的合同份额占合同金额的比例达到30%以上（其中预留给小微企业的部分不低于合同金额的18%），接受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的中小企业与</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企业之间不得存在直接控股、管理关系。投标时须按格式提供《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意向协议书》（格式自拟）以及接受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的供应商的《中小企业声明函》。</w:t>
      </w:r>
    </w:p>
    <w:p w14:paraId="0BAA381B">
      <w:pPr>
        <w:pStyle w:val="136"/>
        <w:spacing w:line="360" w:lineRule="auto"/>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（2）投标人所提供的服务属于中型企业的，必须将本项目</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给一家或者多家小微企业，小微企业承担的合同份额不低于合同金额的18%，接受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的中小企业与</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企业之间不得存在直接控股、管理关系。投标时须按格式提供《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意向协议书》（格式自拟）以及</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的供应商的《中小企业声明函》。</w:t>
      </w:r>
    </w:p>
    <w:p w14:paraId="560A808D">
      <w:pPr>
        <w:pStyle w:val="136"/>
        <w:spacing w:line="360" w:lineRule="auto"/>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（3）投标人所提供的服务属于小微企业的，不得</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给大中型企业；是否</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给小微企业不作强制要求，投标时须提交《中小企业声明函》（见投标格式）</w:t>
      </w:r>
    </w:p>
    <w:p w14:paraId="45144CFF">
      <w:pPr>
        <w:pStyle w:val="136"/>
        <w:spacing w:line="360" w:lineRule="auto"/>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注：供应商须具有独立承担民事责任的能力，但银行、保险、石油石化、电力、电信等有行业特殊情况的除外，本项目允许以上特殊行业的分支机构投标。</w:t>
      </w:r>
    </w:p>
    <w:p w14:paraId="11ED99A7">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六、招标文件发售时间、地点：</w:t>
      </w:r>
    </w:p>
    <w:p w14:paraId="117E0135">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2"/>
          <w:sz w:val="24"/>
          <w:szCs w:val="24"/>
          <w:highlight w:val="none"/>
        </w:rPr>
        <w:t>招标文件自202</w:t>
      </w:r>
      <w:r>
        <w:rPr>
          <w:rFonts w:hint="default" w:ascii="Times New Roman" w:hAnsi="Times New Roman" w:cs="Times New Roman"/>
          <w:color w:val="auto"/>
          <w:kern w:val="2"/>
          <w:sz w:val="24"/>
          <w:szCs w:val="24"/>
          <w:highlight w:val="none"/>
          <w:lang w:val="en-US" w:eastAsia="zh-CN"/>
        </w:rPr>
        <w:t>6</w:t>
      </w:r>
      <w:r>
        <w:rPr>
          <w:rFonts w:hint="default" w:ascii="Times New Roman" w:hAnsi="Times New Roman" w:cs="Times New Roman"/>
          <w:color w:val="auto"/>
          <w:kern w:val="2"/>
          <w:sz w:val="24"/>
          <w:szCs w:val="24"/>
          <w:highlight w:val="none"/>
        </w:rPr>
        <w:t>年</w:t>
      </w:r>
      <w:r>
        <w:rPr>
          <w:rFonts w:hint="default" w:ascii="Times New Roman" w:hAnsi="Times New Roman" w:cs="Times New Roman"/>
          <w:color w:val="auto"/>
          <w:kern w:val="2"/>
          <w:sz w:val="24"/>
          <w:szCs w:val="24"/>
          <w:highlight w:val="none"/>
          <w:lang w:val="en-US" w:eastAsia="zh-CN"/>
        </w:rPr>
        <w:t>4</w:t>
      </w:r>
      <w:r>
        <w:rPr>
          <w:rFonts w:hint="default" w:ascii="Times New Roman" w:hAnsi="Times New Roman" w:cs="Times New Roman"/>
          <w:color w:val="auto"/>
          <w:kern w:val="2"/>
          <w:sz w:val="24"/>
          <w:szCs w:val="24"/>
          <w:highlight w:val="none"/>
        </w:rPr>
        <w:t>月</w:t>
      </w:r>
      <w:r>
        <w:rPr>
          <w:rFonts w:hint="eastAsia" w:ascii="Times New Roman" w:cs="Times New Roman"/>
          <w:color w:val="auto"/>
          <w:kern w:val="2"/>
          <w:sz w:val="24"/>
          <w:szCs w:val="24"/>
          <w:highlight w:val="none"/>
          <w:lang w:val="en-US" w:eastAsia="zh-CN"/>
        </w:rPr>
        <w:t>2</w:t>
      </w:r>
      <w:r>
        <w:rPr>
          <w:rFonts w:hint="default" w:ascii="Times New Roman" w:hAnsi="Times New Roman" w:cs="Times New Roman"/>
          <w:color w:val="auto"/>
          <w:kern w:val="2"/>
          <w:sz w:val="24"/>
          <w:szCs w:val="24"/>
          <w:highlight w:val="none"/>
        </w:rPr>
        <w:t>日至202</w:t>
      </w:r>
      <w:r>
        <w:rPr>
          <w:rFonts w:hint="default" w:ascii="Times New Roman" w:hAnsi="Times New Roman" w:cs="Times New Roman"/>
          <w:color w:val="auto"/>
          <w:kern w:val="2"/>
          <w:sz w:val="24"/>
          <w:szCs w:val="24"/>
          <w:highlight w:val="none"/>
          <w:lang w:val="en-US" w:eastAsia="zh-CN"/>
        </w:rPr>
        <w:t>6</w:t>
      </w:r>
      <w:r>
        <w:rPr>
          <w:rFonts w:hint="default" w:ascii="Times New Roman" w:hAnsi="Times New Roman" w:cs="Times New Roman"/>
          <w:color w:val="auto"/>
          <w:kern w:val="2"/>
          <w:sz w:val="24"/>
          <w:szCs w:val="24"/>
          <w:highlight w:val="none"/>
        </w:rPr>
        <w:t>年</w:t>
      </w:r>
      <w:r>
        <w:rPr>
          <w:rFonts w:hint="default" w:ascii="Times New Roman" w:hAnsi="Times New Roman" w:cs="Times New Roman"/>
          <w:color w:val="auto"/>
          <w:kern w:val="2"/>
          <w:sz w:val="24"/>
          <w:szCs w:val="24"/>
          <w:highlight w:val="none"/>
          <w:lang w:val="en-US" w:eastAsia="zh-CN"/>
        </w:rPr>
        <w:t>4</w:t>
      </w:r>
      <w:r>
        <w:rPr>
          <w:rFonts w:hint="default" w:ascii="Times New Roman" w:hAnsi="Times New Roman" w:cs="Times New Roman"/>
          <w:color w:val="auto"/>
          <w:kern w:val="2"/>
          <w:sz w:val="24"/>
          <w:szCs w:val="24"/>
          <w:highlight w:val="none"/>
        </w:rPr>
        <w:t>月</w:t>
      </w:r>
      <w:r>
        <w:rPr>
          <w:rFonts w:hint="eastAsia" w:ascii="Times New Roman" w:cs="Times New Roman"/>
          <w:color w:val="auto"/>
          <w:kern w:val="2"/>
          <w:sz w:val="24"/>
          <w:szCs w:val="24"/>
          <w:highlight w:val="none"/>
          <w:lang w:val="en-US" w:eastAsia="zh-CN"/>
        </w:rPr>
        <w:t>9</w:t>
      </w:r>
      <w:r>
        <w:rPr>
          <w:rFonts w:hint="default" w:ascii="Times New Roman" w:hAnsi="Times New Roman" w:cs="Times New Roman"/>
          <w:color w:val="auto"/>
          <w:kern w:val="2"/>
          <w:sz w:val="24"/>
          <w:szCs w:val="24"/>
          <w:highlight w:val="none"/>
        </w:rPr>
        <w:t>日上午10:30-13：30下午15：00-18:00</w:t>
      </w:r>
      <w:r>
        <w:rPr>
          <w:rFonts w:hint="default" w:ascii="Times New Roman" w:hAnsi="Times New Roman" w:cs="Times New Roman"/>
          <w:color w:val="auto"/>
          <w:kern w:val="2"/>
          <w:sz w:val="24"/>
          <w:szCs w:val="28"/>
          <w:highlight w:val="none"/>
        </w:rPr>
        <w:t>（北京时间，法定节假日除外）</w:t>
      </w:r>
    </w:p>
    <w:p w14:paraId="06D973A4">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kern w:val="2"/>
          <w:sz w:val="24"/>
          <w:szCs w:val="18"/>
          <w:highlight w:val="none"/>
        </w:rPr>
        <w:t>获取方式：线上免费获取，供应商登陆政采云账户（网址：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"https://www.zcygov.cn/）,在线申请获取采购文件（登录政府采购云平台→采购项目→获取采购文件→申请，审核通过后可下载磋商文件，如有操作性问题，可与政采云在线客服进行咨询，咨询电话400-881-7190）。" </w:instrText>
      </w:r>
      <w:r>
        <w:rPr>
          <w:rFonts w:hint="default" w:ascii="Times New Roman" w:hAnsi="Times New Roman" w:cs="Times New Roman"/>
          <w:color w:val="auto"/>
          <w:highlight w:val="none"/>
        </w:rPr>
        <w:fldChar w:fldCharType="separate"/>
      </w:r>
      <w:r>
        <w:rPr>
          <w:rStyle w:val="46"/>
          <w:rFonts w:hint="default" w:ascii="Times New Roman" w:hAnsi="Times New Roman" w:cs="Times New Roman"/>
          <w:color w:val="auto"/>
          <w:kern w:val="2"/>
          <w:sz w:val="24"/>
          <w:szCs w:val="18"/>
          <w:highlight w:val="none"/>
        </w:rPr>
        <w:t>https://www.zcygov.cn/）,在线申请获取采购文件（登录政府采购云平台→采购项目→获取采购文件→申请，审核通过后可下载招标文件，如有操作性问题，可与政采云在线客服进行咨询，咨询电话400-881-7190）。</w:t>
      </w:r>
      <w:r>
        <w:rPr>
          <w:rStyle w:val="46"/>
          <w:rFonts w:hint="default" w:ascii="Times New Roman" w:hAnsi="Times New Roman" w:cs="Times New Roman"/>
          <w:color w:val="auto"/>
          <w:kern w:val="2"/>
          <w:sz w:val="24"/>
          <w:szCs w:val="18"/>
          <w:highlight w:val="none"/>
        </w:rPr>
        <w:fldChar w:fldCharType="end"/>
      </w:r>
    </w:p>
    <w:p w14:paraId="3B6A4EEB">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color w:val="auto"/>
          <w:sz w:val="24"/>
          <w:highlight w:val="none"/>
        </w:rPr>
        <w:t>七、投标截止时间和开标时间</w:t>
      </w:r>
      <w:r>
        <w:rPr>
          <w:rFonts w:hint="default" w:ascii="Times New Roman" w:hAnsi="Times New Roman" w:cs="Times New Roman"/>
          <w:color w:val="auto"/>
          <w:sz w:val="24"/>
          <w:highlight w:val="none"/>
        </w:rPr>
        <w:t>：</w:t>
      </w:r>
      <w:r>
        <w:rPr>
          <w:rFonts w:hint="default" w:ascii="Times New Roman" w:hAnsi="Times New Roman" w:cs="Times New Roman"/>
          <w:b/>
          <w:bCs/>
          <w:color w:val="auto"/>
          <w:sz w:val="24"/>
          <w:highlight w:val="none"/>
        </w:rPr>
        <w:t>202</w:t>
      </w:r>
      <w:r>
        <w:rPr>
          <w:rFonts w:hint="default" w:ascii="Times New Roman" w:hAnsi="Times New Roman" w:cs="Times New Roman"/>
          <w:b/>
          <w:bCs/>
          <w:color w:val="auto"/>
          <w:sz w:val="24"/>
          <w:highlight w:val="none"/>
          <w:lang w:val="en-US" w:eastAsia="zh-CN"/>
        </w:rPr>
        <w:t>6</w:t>
      </w:r>
      <w:r>
        <w:rPr>
          <w:rFonts w:hint="default" w:ascii="Times New Roman" w:hAnsi="Times New Roman" w:cs="Times New Roman"/>
          <w:b/>
          <w:bCs/>
          <w:color w:val="auto"/>
          <w:sz w:val="24"/>
          <w:highlight w:val="none"/>
        </w:rPr>
        <w:t>年</w:t>
      </w:r>
      <w:r>
        <w:rPr>
          <w:rFonts w:hint="default" w:ascii="Times New Roman" w:hAnsi="Times New Roman" w:cs="Times New Roman"/>
          <w:b/>
          <w:bCs/>
          <w:color w:val="auto"/>
          <w:sz w:val="24"/>
          <w:highlight w:val="none"/>
          <w:lang w:val="en-US" w:eastAsia="zh-CN"/>
        </w:rPr>
        <w:t>4</w:t>
      </w:r>
      <w:r>
        <w:rPr>
          <w:rFonts w:hint="default" w:ascii="Times New Roman" w:hAnsi="Times New Roman" w:cs="Times New Roman"/>
          <w:b/>
          <w:bCs/>
          <w:color w:val="auto"/>
          <w:sz w:val="24"/>
          <w:highlight w:val="none"/>
        </w:rPr>
        <w:t>月</w:t>
      </w:r>
      <w:r>
        <w:rPr>
          <w:rFonts w:hint="eastAsia" w:ascii="Times New Roman" w:cs="Times New Roman"/>
          <w:b/>
          <w:bCs/>
          <w:color w:val="auto"/>
          <w:sz w:val="24"/>
          <w:highlight w:val="none"/>
          <w:lang w:val="en-US" w:eastAsia="zh-CN"/>
        </w:rPr>
        <w:t>23</w:t>
      </w:r>
      <w:r>
        <w:rPr>
          <w:rFonts w:hint="default" w:ascii="Times New Roman" w:hAnsi="Times New Roman" w:cs="Times New Roman"/>
          <w:b/>
          <w:bCs/>
          <w:color w:val="auto"/>
          <w:sz w:val="24"/>
          <w:highlight w:val="none"/>
        </w:rPr>
        <w:t>日1</w:t>
      </w:r>
      <w:r>
        <w:rPr>
          <w:rFonts w:hint="default"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rPr>
        <w:t>时00分（北京时间）。</w:t>
      </w:r>
    </w:p>
    <w:p w14:paraId="607FF744">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投标文件必须在投标截止时间前送达开标地点</w:t>
      </w:r>
      <w:r>
        <w:rPr>
          <w:rStyle w:val="46"/>
          <w:rFonts w:hint="default" w:ascii="Times New Roman" w:hAnsi="Times New Roman" w:cs="Times New Roman"/>
          <w:color w:val="auto"/>
          <w:sz w:val="24"/>
          <w:szCs w:val="24"/>
          <w:highlight w:val="none"/>
          <w:u w:val="none"/>
        </w:rPr>
        <w:t>（政采云平台）</w:t>
      </w:r>
      <w:r>
        <w:rPr>
          <w:rFonts w:hint="default" w:ascii="Times New Roman" w:hAnsi="Times New Roman" w:cs="Times New Roman"/>
          <w:color w:val="auto"/>
          <w:sz w:val="24"/>
          <w:highlight w:val="none"/>
        </w:rPr>
        <w:t>。逾期上传或加密和标注不符合的投标文件恕不接收。本次招标不接受邮寄的投标文件。</w:t>
      </w:r>
    </w:p>
    <w:p w14:paraId="0F6509D3">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八、开标地点</w:t>
      </w:r>
      <w:r>
        <w:rPr>
          <w:rFonts w:hint="default" w:ascii="Times New Roman" w:hAnsi="Times New Roman" w:cs="Times New Roman"/>
          <w:color w:val="auto"/>
          <w:sz w:val="24"/>
          <w:highlight w:val="none"/>
        </w:rPr>
        <w:t>：</w:t>
      </w:r>
      <w:r>
        <w:rPr>
          <w:rFonts w:hint="default" w:ascii="Times New Roman" w:hAnsi="Times New Roman" w:cs="Times New Roman"/>
          <w:b/>
          <w:bCs/>
          <w:color w:val="auto"/>
          <w:sz w:val="24"/>
          <w:highlight w:val="none"/>
        </w:rPr>
        <w:t>（政采云平台https://login.zcygov.cn/）</w:t>
      </w:r>
    </w:p>
    <w:p w14:paraId="4F19CB57">
      <w:pP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（1）本项目采用全流程不见面电子开评标，供应商需要使用CA加密设备，供应商可通过新疆数字证书认证中心官网（https://www.xjca.com.cn/）或下载“新疆政务通”APP自行进行申领。</w:t>
      </w:r>
    </w:p>
    <w:p w14:paraId="3FADD71D">
      <w:pP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（2）本项目实行网上投标，采用加密电子投标响应文件(供应商须使用CA加密设备通过政采云电子投标客户端制作投标响应文件)。若供应商参与投标，自行承担投标一切费用。</w:t>
      </w:r>
    </w:p>
    <w:p w14:paraId="18C8CFAC">
      <w:pP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（3）各投标人在开标前应确保成为新疆政府采购网正式注册入库供应商，并完成CA数字证书申领。因未注册入库、未办理CA数字证书等原因造成无法投标或投标失败等后果由供应商自行承担。</w:t>
      </w:r>
    </w:p>
    <w:p w14:paraId="034ABC8C">
      <w:pP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76D12EEB">
      <w:pP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361C173C">
      <w:pP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6F4302C9">
      <w:pPr>
        <w:pStyle w:val="136"/>
        <w:spacing w:line="360" w:lineRule="auto"/>
        <w:ind w:firstLine="48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九、本投标邀请在新疆政府采购网上以公告形式发布。</w:t>
      </w:r>
    </w:p>
    <w:p w14:paraId="61F8F97D">
      <w:pPr>
        <w:spacing w:line="360" w:lineRule="auto"/>
        <w:ind w:firstLine="482"/>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十、联系方式</w:t>
      </w:r>
      <w:r>
        <w:rPr>
          <w:rFonts w:hint="default" w:ascii="Times New Roman" w:hAnsi="Times New Roman" w:cs="Times New Roman"/>
          <w:color w:val="auto"/>
          <w:sz w:val="24"/>
          <w:szCs w:val="24"/>
          <w:highlight w:val="none"/>
        </w:rPr>
        <w:t xml:space="preserve"> </w:t>
      </w:r>
    </w:p>
    <w:p w14:paraId="7DE1C389">
      <w:pPr>
        <w:spacing w:line="360" w:lineRule="auto"/>
        <w:ind w:firstLine="964" w:firstLineChars="4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采购人：新疆维吾尔自治区市场监督管理局</w:t>
      </w:r>
    </w:p>
    <w:p w14:paraId="04C92771">
      <w:pPr>
        <w:spacing w:line="360" w:lineRule="auto"/>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 xml:space="preserve"> </w:t>
      </w:r>
      <w:r>
        <w:rPr>
          <w:rFonts w:hint="eastAsia" w:asci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 xml:space="preserve">址：新疆乌鲁木齐市新华南路167号 </w:t>
      </w:r>
    </w:p>
    <w:p w14:paraId="5B115A03">
      <w:pPr>
        <w:spacing w:line="360" w:lineRule="auto"/>
        <w:ind w:firstLine="960" w:firstLineChars="4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 系 人：</w:t>
      </w:r>
      <w:r>
        <w:rPr>
          <w:rFonts w:hint="default" w:ascii="Times New Roman" w:hAnsi="Times New Roman" w:cs="Times New Roman"/>
          <w:color w:val="auto"/>
          <w:sz w:val="24"/>
          <w:szCs w:val="24"/>
          <w:highlight w:val="none"/>
          <w:lang w:val="en-US" w:eastAsia="zh-CN"/>
        </w:rPr>
        <w:t>夏主任</w:t>
      </w:r>
    </w:p>
    <w:p w14:paraId="1FDA0D38">
      <w:pPr>
        <w:spacing w:line="360" w:lineRule="auto"/>
        <w:ind w:firstLine="960" w:firstLineChars="4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联系电话：0991-28</w:t>
      </w:r>
      <w:r>
        <w:rPr>
          <w:rFonts w:hint="default" w:ascii="Times New Roman" w:hAnsi="Times New Roman" w:cs="Times New Roman"/>
          <w:color w:val="auto"/>
          <w:sz w:val="24"/>
          <w:szCs w:val="24"/>
          <w:highlight w:val="none"/>
          <w:lang w:val="en-US" w:eastAsia="zh-CN"/>
        </w:rPr>
        <w:t>42912</w:t>
      </w:r>
    </w:p>
    <w:p w14:paraId="5D45481A">
      <w:pPr>
        <w:pStyle w:val="136"/>
        <w:wordWrap w:val="0"/>
        <w:ind w:firstLine="901" w:firstLineChars="374"/>
        <w:rPr>
          <w:rFonts w:hint="default" w:ascii="Times New Roman" w:hAnsi="Times New Roman" w:cs="Times New Roman"/>
          <w:b/>
          <w:color w:val="auto"/>
          <w:sz w:val="24"/>
          <w:szCs w:val="24"/>
          <w:highlight w:val="none"/>
        </w:rPr>
      </w:pPr>
    </w:p>
    <w:p w14:paraId="2A25901B">
      <w:pPr>
        <w:pStyle w:val="136"/>
        <w:wordWrap w:val="0"/>
        <w:ind w:firstLine="901" w:firstLineChars="374"/>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采购代理机构：中正恒天国际招标有限公司</w:t>
      </w:r>
    </w:p>
    <w:p w14:paraId="73C3AF42">
      <w:pPr>
        <w:spacing w:line="360" w:lineRule="auto"/>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    址：乌鲁木齐市水磨沟区南湖西路216号邮政办公楼三层</w:t>
      </w:r>
    </w:p>
    <w:p w14:paraId="6B67CF32">
      <w:pPr>
        <w:spacing w:line="360" w:lineRule="auto"/>
        <w:ind w:firstLine="960" w:firstLineChars="4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 系 人：</w:t>
      </w:r>
      <w:r>
        <w:rPr>
          <w:rFonts w:hint="default" w:ascii="Times New Roman" w:hAnsi="Times New Roman" w:cs="Times New Roman"/>
          <w:color w:val="auto"/>
          <w:sz w:val="24"/>
          <w:szCs w:val="24"/>
          <w:highlight w:val="none"/>
          <w:lang w:eastAsia="zh-CN"/>
        </w:rPr>
        <w:t>邢雅雯</w:t>
      </w:r>
      <w:r>
        <w:rPr>
          <w:rFonts w:hint="default" w:ascii="Times New Roman" w:hAnsi="Times New Roman" w:cs="Times New Roman"/>
          <w:color w:val="auto"/>
          <w:sz w:val="24"/>
          <w:szCs w:val="24"/>
          <w:highlight w:val="none"/>
        </w:rPr>
        <w:t>（项目咨询）</w:t>
      </w:r>
      <w:r>
        <w:rPr>
          <w:rFonts w:hint="default" w:ascii="Times New Roman" w:hAnsi="Times New Roman" w:cs="Times New Roman"/>
          <w:color w:val="auto"/>
          <w:sz w:val="24"/>
          <w:szCs w:val="24"/>
          <w:highlight w:val="none"/>
          <w:lang w:eastAsia="zh-CN"/>
        </w:rPr>
        <w:t>、蔡文涛（文件咨询）</w:t>
      </w:r>
    </w:p>
    <w:p w14:paraId="20CAD812">
      <w:pPr>
        <w:spacing w:line="360" w:lineRule="auto"/>
        <w:ind w:firstLine="960" w:firstLineChars="4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联系电话：0991-3650025、</w:t>
      </w:r>
      <w:r>
        <w:rPr>
          <w:rFonts w:hint="default" w:ascii="Times New Roman" w:hAnsi="Times New Roman" w:cs="Times New Roman"/>
          <w:color w:val="auto"/>
          <w:sz w:val="24"/>
          <w:szCs w:val="24"/>
          <w:highlight w:val="none"/>
          <w:lang w:val="en-US" w:eastAsia="zh-CN"/>
        </w:rPr>
        <w:t>19990625738</w:t>
      </w:r>
    </w:p>
    <w:p w14:paraId="271C94B4">
      <w:pPr>
        <w:spacing w:line="440" w:lineRule="exact"/>
        <w:ind w:firstLine="960" w:firstLineChars="400"/>
        <w:jc w:val="left"/>
        <w:rPr>
          <w:rFonts w:hint="default" w:ascii="Times New Roman" w:hAnsi="Times New Roman" w:cs="Times New Roman"/>
          <w:color w:val="auto"/>
          <w:sz w:val="24"/>
          <w:highlight w:val="none"/>
        </w:rPr>
      </w:pPr>
    </w:p>
    <w:p w14:paraId="4A5B515D">
      <w:pPr>
        <w:spacing w:line="440" w:lineRule="exact"/>
        <w:jc w:val="left"/>
        <w:rPr>
          <w:rFonts w:hint="default" w:ascii="Times New Roman" w:hAnsi="Times New Roman" w:cs="Times New Roman"/>
          <w:color w:val="auto"/>
          <w:sz w:val="24"/>
          <w:highlight w:val="none"/>
        </w:rPr>
      </w:pPr>
    </w:p>
    <w:p w14:paraId="61D7FA81">
      <w:pPr>
        <w:spacing w:line="440" w:lineRule="exact"/>
        <w:ind w:right="480" w:firstLine="6385" w:firstLineChars="2650"/>
        <w:jc w:val="righ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202</w:t>
      </w:r>
      <w:r>
        <w:rPr>
          <w:rFonts w:hint="default" w:ascii="Times New Roman" w:hAnsi="Times New Roman" w:cs="Times New Roman"/>
          <w:b/>
          <w:color w:val="auto"/>
          <w:sz w:val="24"/>
          <w:highlight w:val="none"/>
          <w:lang w:val="en-US" w:eastAsia="zh-CN"/>
        </w:rPr>
        <w:t>6</w:t>
      </w:r>
      <w:r>
        <w:rPr>
          <w:rFonts w:hint="default" w:ascii="Times New Roman" w:hAnsi="Times New Roman" w:cs="Times New Roman"/>
          <w:b/>
          <w:color w:val="auto"/>
          <w:sz w:val="24"/>
          <w:highlight w:val="none"/>
        </w:rPr>
        <w:t>年</w:t>
      </w:r>
      <w:r>
        <w:rPr>
          <w:rFonts w:hint="eastAsia" w:ascii="Times New Roman" w:cs="Times New Roman"/>
          <w:b/>
          <w:color w:val="auto"/>
          <w:sz w:val="24"/>
          <w:highlight w:val="none"/>
          <w:lang w:val="en-US" w:eastAsia="zh-CN"/>
        </w:rPr>
        <w:t>4</w:t>
      </w:r>
      <w:r>
        <w:rPr>
          <w:rFonts w:hint="default" w:ascii="Times New Roman" w:hAnsi="Times New Roman" w:cs="Times New Roman"/>
          <w:b/>
          <w:color w:val="auto"/>
          <w:sz w:val="24"/>
          <w:highlight w:val="none"/>
        </w:rPr>
        <w:t>月</w:t>
      </w:r>
    </w:p>
    <w:p w14:paraId="1C14887C">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597732F5">
      <w:pPr>
        <w:pStyle w:val="2"/>
        <w:spacing w:before="0" w:after="156" w:afterLines="50" w:line="440" w:lineRule="exact"/>
        <w:rPr>
          <w:rFonts w:hint="default" w:ascii="Times New Roman" w:hAnsi="Times New Roman" w:cs="Times New Roman"/>
          <w:color w:val="auto"/>
          <w:sz w:val="30"/>
          <w:szCs w:val="30"/>
          <w:highlight w:val="none"/>
        </w:rPr>
      </w:pPr>
      <w:bookmarkStart w:id="3" w:name="_Toc466298031"/>
      <w:bookmarkStart w:id="4" w:name="_Toc472604579"/>
      <w:bookmarkStart w:id="5" w:name="_Toc30818"/>
      <w:bookmarkStart w:id="6" w:name="_Toc31839"/>
      <w:bookmarkStart w:id="7" w:name="_Toc3975"/>
      <w:bookmarkStart w:id="8" w:name="_Toc465085333"/>
      <w:r>
        <w:rPr>
          <w:rFonts w:hint="default" w:ascii="Times New Roman" w:hAnsi="Times New Roman" w:cs="Times New Roman"/>
          <w:color w:val="auto"/>
          <w:sz w:val="30"/>
          <w:szCs w:val="30"/>
          <w:highlight w:val="none"/>
        </w:rPr>
        <w:t>第二章  投标人须知</w:t>
      </w:r>
      <w:bookmarkEnd w:id="3"/>
      <w:bookmarkEnd w:id="4"/>
      <w:bookmarkEnd w:id="5"/>
      <w:bookmarkEnd w:id="6"/>
      <w:bookmarkEnd w:id="7"/>
      <w:bookmarkEnd w:id="8"/>
    </w:p>
    <w:p w14:paraId="5113FD98">
      <w:pPr>
        <w:pStyle w:val="4"/>
        <w:spacing w:before="0" w:after="156" w:afterLines="50" w:line="440" w:lineRule="exact"/>
        <w:jc w:val="center"/>
        <w:rPr>
          <w:rFonts w:hint="default" w:ascii="Times New Roman" w:hAnsi="Times New Roman" w:cs="Times New Roman"/>
          <w:color w:val="auto"/>
          <w:sz w:val="28"/>
          <w:szCs w:val="24"/>
          <w:highlight w:val="none"/>
        </w:rPr>
      </w:pPr>
      <w:bookmarkStart w:id="9" w:name="_Toc10656"/>
      <w:bookmarkStart w:id="10" w:name="_Toc9333"/>
      <w:bookmarkStart w:id="11" w:name="_Toc16825"/>
      <w:bookmarkStart w:id="12" w:name="_Toc189727030"/>
      <w:bookmarkStart w:id="13" w:name="_Toc21506"/>
      <w:bookmarkStart w:id="14" w:name="_Toc213396760"/>
      <w:bookmarkStart w:id="15" w:name="_Toc472599535"/>
      <w:bookmarkStart w:id="16" w:name="_Toc466298032"/>
      <w:bookmarkStart w:id="17" w:name="_Toc465085334"/>
      <w:bookmarkStart w:id="18" w:name="_Toc15244"/>
      <w:bookmarkStart w:id="19" w:name="_Toc213396946"/>
      <w:bookmarkStart w:id="20" w:name="_Toc213397010"/>
      <w:bookmarkStart w:id="21" w:name="_Toc19866"/>
      <w:bookmarkStart w:id="22" w:name="_Toc213496268"/>
      <w:bookmarkStart w:id="23" w:name="_Toc16942"/>
      <w:bookmarkStart w:id="24" w:name="_Toc472604580"/>
      <w:bookmarkStart w:id="25" w:name="_Toc217446032"/>
      <w:bookmarkStart w:id="26" w:name="_Toc911"/>
      <w:r>
        <w:rPr>
          <w:rFonts w:hint="default" w:ascii="Times New Roman" w:hAnsi="Times New Roman" w:cs="Times New Roman"/>
          <w:color w:val="auto"/>
          <w:sz w:val="28"/>
          <w:szCs w:val="24"/>
          <w:highlight w:val="none"/>
        </w:rPr>
        <w:t>一、投标人须知附表</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Style w:val="40"/>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1801"/>
        <w:gridCol w:w="6006"/>
      </w:tblGrid>
      <w:tr w14:paraId="62F1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exact"/>
          <w:tblHeader/>
          <w:jc w:val="center"/>
        </w:trPr>
        <w:tc>
          <w:tcPr>
            <w:tcW w:w="547" w:type="dxa"/>
            <w:vAlign w:val="center"/>
          </w:tcPr>
          <w:p w14:paraId="2A19B775">
            <w:pPr>
              <w:spacing w:line="276"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1801" w:type="dxa"/>
            <w:vAlign w:val="center"/>
          </w:tcPr>
          <w:p w14:paraId="6BE32677">
            <w:pPr>
              <w:spacing w:line="276"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条款名称</w:t>
            </w:r>
          </w:p>
        </w:tc>
        <w:tc>
          <w:tcPr>
            <w:tcW w:w="6006" w:type="dxa"/>
            <w:vAlign w:val="center"/>
          </w:tcPr>
          <w:p w14:paraId="031A6990">
            <w:pPr>
              <w:spacing w:line="276"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说明和要求</w:t>
            </w:r>
          </w:p>
        </w:tc>
      </w:tr>
      <w:tr w14:paraId="7ED8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547" w:type="dxa"/>
            <w:vMerge w:val="restart"/>
            <w:vAlign w:val="center"/>
          </w:tcPr>
          <w:p w14:paraId="3703E1FA">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05747F73">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采购预算</w:t>
            </w:r>
          </w:p>
          <w:p w14:paraId="129789B2">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（实质性要求）</w:t>
            </w:r>
          </w:p>
        </w:tc>
        <w:tc>
          <w:tcPr>
            <w:tcW w:w="6006" w:type="dxa"/>
            <w:vAlign w:val="center"/>
          </w:tcPr>
          <w:p w14:paraId="6D6BDB44">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zh-CN"/>
              </w:rPr>
              <w:t>采购预算：</w:t>
            </w:r>
            <w:r>
              <w:rPr>
                <w:rFonts w:hint="default" w:ascii="Times New Roman" w:hAnsi="Times New Roman" w:cs="Times New Roman"/>
                <w:color w:val="auto"/>
                <w:sz w:val="21"/>
                <w:szCs w:val="21"/>
                <w:highlight w:val="none"/>
                <w:lang w:val="en-US" w:eastAsia="zh-CN"/>
              </w:rPr>
              <w:t>2590.88</w:t>
            </w:r>
            <w:r>
              <w:rPr>
                <w:rFonts w:hint="default" w:ascii="Times New Roman" w:hAnsi="Times New Roman" w:cs="Times New Roman"/>
                <w:color w:val="auto"/>
                <w:sz w:val="21"/>
                <w:szCs w:val="21"/>
                <w:highlight w:val="none"/>
                <w:lang w:val="zh-CN"/>
              </w:rPr>
              <w:t>万元；</w:t>
            </w:r>
          </w:p>
        </w:tc>
      </w:tr>
      <w:tr w14:paraId="3AED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547" w:type="dxa"/>
            <w:vMerge w:val="continue"/>
            <w:vAlign w:val="center"/>
          </w:tcPr>
          <w:p w14:paraId="1CA560CF">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51B5D05E">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最高限价</w:t>
            </w:r>
          </w:p>
          <w:p w14:paraId="50F607B6">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（实质性要求）</w:t>
            </w:r>
          </w:p>
        </w:tc>
        <w:tc>
          <w:tcPr>
            <w:tcW w:w="6006" w:type="dxa"/>
            <w:vAlign w:val="center"/>
          </w:tcPr>
          <w:p w14:paraId="7271C10B">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最高限价：</w:t>
            </w:r>
            <w:r>
              <w:rPr>
                <w:rFonts w:hint="default" w:ascii="Times New Roman" w:hAnsi="Times New Roman" w:cs="Times New Roman"/>
                <w:color w:val="auto"/>
                <w:sz w:val="21"/>
                <w:szCs w:val="21"/>
                <w:highlight w:val="none"/>
                <w:lang w:val="en-US" w:eastAsia="zh-CN"/>
              </w:rPr>
              <w:t>2590.88</w:t>
            </w:r>
            <w:r>
              <w:rPr>
                <w:rFonts w:hint="default" w:ascii="Times New Roman" w:hAnsi="Times New Roman" w:cs="Times New Roman"/>
                <w:color w:val="auto"/>
                <w:sz w:val="21"/>
                <w:szCs w:val="21"/>
                <w:highlight w:val="none"/>
                <w:lang w:val="zh-CN"/>
              </w:rPr>
              <w:t>万元；</w:t>
            </w:r>
          </w:p>
          <w:p w14:paraId="735D9D93">
            <w:pPr>
              <w:spacing w:line="276" w:lineRule="auto"/>
              <w:ind w:firstLine="422" w:firstLineChars="200"/>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lang w:val="zh-CN"/>
              </w:rPr>
              <w:t>注：超过最高限价的报价无效</w:t>
            </w:r>
          </w:p>
        </w:tc>
      </w:tr>
      <w:tr w14:paraId="5568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47" w:type="dxa"/>
            <w:vAlign w:val="center"/>
          </w:tcPr>
          <w:p w14:paraId="752BD9EE">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2A39EC37">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是否接受</w:t>
            </w:r>
          </w:p>
          <w:p w14:paraId="1C8BFD99">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联合体投标</w:t>
            </w:r>
          </w:p>
        </w:tc>
        <w:tc>
          <w:tcPr>
            <w:tcW w:w="6006" w:type="dxa"/>
            <w:vAlign w:val="center"/>
          </w:tcPr>
          <w:p w14:paraId="1560BDE6">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本项目接受联合体投标。</w:t>
            </w:r>
          </w:p>
        </w:tc>
      </w:tr>
      <w:tr w14:paraId="5298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exact"/>
          <w:jc w:val="center"/>
        </w:trPr>
        <w:tc>
          <w:tcPr>
            <w:tcW w:w="547" w:type="dxa"/>
            <w:vAlign w:val="center"/>
          </w:tcPr>
          <w:p w14:paraId="072AC22A">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54492069">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考察现场、</w:t>
            </w:r>
          </w:p>
          <w:p w14:paraId="79F60BC8">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标前答疑会</w:t>
            </w:r>
          </w:p>
        </w:tc>
        <w:tc>
          <w:tcPr>
            <w:tcW w:w="6006" w:type="dxa"/>
            <w:vAlign w:val="center"/>
          </w:tcPr>
          <w:p w14:paraId="4F268495">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招标采购单位认为有必要，另行书面通知。</w:t>
            </w:r>
          </w:p>
        </w:tc>
      </w:tr>
      <w:tr w14:paraId="080D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exact"/>
          <w:jc w:val="center"/>
        </w:trPr>
        <w:tc>
          <w:tcPr>
            <w:tcW w:w="547" w:type="dxa"/>
            <w:vAlign w:val="center"/>
          </w:tcPr>
          <w:p w14:paraId="21B7F444">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173BF11D">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构成招标文件的</w:t>
            </w:r>
          </w:p>
          <w:p w14:paraId="1E8A41B8">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其他文件</w:t>
            </w:r>
          </w:p>
        </w:tc>
        <w:tc>
          <w:tcPr>
            <w:tcW w:w="6006" w:type="dxa"/>
            <w:vAlign w:val="center"/>
          </w:tcPr>
          <w:p w14:paraId="160D144D">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招标文件的澄清、修改书及有关补充通知为招标文件的有效组成部分。</w:t>
            </w:r>
          </w:p>
        </w:tc>
      </w:tr>
      <w:tr w14:paraId="7998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exact"/>
          <w:jc w:val="center"/>
        </w:trPr>
        <w:tc>
          <w:tcPr>
            <w:tcW w:w="547" w:type="dxa"/>
            <w:vAlign w:val="center"/>
          </w:tcPr>
          <w:p w14:paraId="5C19E326">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569D0405">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投标有效期</w:t>
            </w:r>
          </w:p>
        </w:tc>
        <w:tc>
          <w:tcPr>
            <w:tcW w:w="6006" w:type="dxa"/>
            <w:vAlign w:val="center"/>
          </w:tcPr>
          <w:p w14:paraId="29C7A6D5">
            <w:pPr>
              <w:spacing w:line="276" w:lineRule="auto"/>
              <w:ind w:firstLine="281" w:firstLineChars="134"/>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u w:val="single"/>
              </w:rPr>
              <w:t xml:space="preserve"> 120  </w:t>
            </w:r>
            <w:r>
              <w:rPr>
                <w:rFonts w:hint="default" w:ascii="Times New Roman" w:hAnsi="Times New Roman" w:cs="Times New Roman"/>
                <w:color w:val="auto"/>
                <w:sz w:val="21"/>
                <w:szCs w:val="21"/>
                <w:highlight w:val="none"/>
              </w:rPr>
              <w:t>日历天（投标有效期从提交投标文件的截止之日起算。有效期短于该规定期限的投标无效）</w:t>
            </w:r>
          </w:p>
        </w:tc>
      </w:tr>
      <w:tr w14:paraId="6B91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exact"/>
          <w:jc w:val="center"/>
        </w:trPr>
        <w:tc>
          <w:tcPr>
            <w:tcW w:w="547" w:type="dxa"/>
            <w:vAlign w:val="center"/>
          </w:tcPr>
          <w:p w14:paraId="5DE4F714">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0AB91292">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采购方式</w:t>
            </w:r>
          </w:p>
        </w:tc>
        <w:tc>
          <w:tcPr>
            <w:tcW w:w="6006" w:type="dxa"/>
            <w:vAlign w:val="center"/>
          </w:tcPr>
          <w:p w14:paraId="6592AAC9">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公开招标</w:t>
            </w:r>
          </w:p>
        </w:tc>
      </w:tr>
      <w:tr w14:paraId="104A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547" w:type="dxa"/>
            <w:vAlign w:val="center"/>
          </w:tcPr>
          <w:p w14:paraId="6CCA346C">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43D9DFA5">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评标方法</w:t>
            </w:r>
          </w:p>
        </w:tc>
        <w:tc>
          <w:tcPr>
            <w:tcW w:w="6006" w:type="dxa"/>
            <w:vAlign w:val="center"/>
          </w:tcPr>
          <w:p w14:paraId="7C747CF3">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综合评分法</w:t>
            </w:r>
          </w:p>
        </w:tc>
      </w:tr>
      <w:tr w14:paraId="54E1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9" w:hRule="atLeast"/>
          <w:jc w:val="center"/>
        </w:trPr>
        <w:tc>
          <w:tcPr>
            <w:tcW w:w="547" w:type="dxa"/>
            <w:vAlign w:val="center"/>
          </w:tcPr>
          <w:p w14:paraId="17EED94C">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6BDB3DA2">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投标保证金</w:t>
            </w:r>
          </w:p>
          <w:p w14:paraId="139C3D8E">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zh-CN"/>
              </w:rPr>
              <w:t>（</w:t>
            </w:r>
            <w:r>
              <w:rPr>
                <w:rFonts w:hint="default" w:ascii="Times New Roman" w:hAnsi="Times New Roman" w:cs="Times New Roman"/>
                <w:color w:val="auto"/>
                <w:sz w:val="21"/>
                <w:szCs w:val="21"/>
                <w:highlight w:val="none"/>
                <w:lang w:val="en-US" w:eastAsia="zh-CN"/>
              </w:rPr>
              <w:t>投标保证金</w:t>
            </w:r>
            <w:r>
              <w:rPr>
                <w:rFonts w:hint="default" w:ascii="Times New Roman" w:hAnsi="Times New Roman" w:cs="Times New Roman"/>
                <w:color w:val="auto"/>
                <w:sz w:val="21"/>
                <w:szCs w:val="21"/>
                <w:highlight w:val="none"/>
                <w:lang w:val="zh-CN"/>
              </w:rPr>
              <w:t>招商</w:t>
            </w:r>
            <w:r>
              <w:rPr>
                <w:rFonts w:hint="default" w:ascii="Times New Roman" w:hAnsi="Times New Roman" w:cs="Times New Roman"/>
                <w:color w:val="auto"/>
                <w:sz w:val="21"/>
                <w:szCs w:val="21"/>
                <w:highlight w:val="none"/>
                <w:lang w:val="en-US" w:eastAsia="zh-CN"/>
              </w:rPr>
              <w:t>银行账户</w:t>
            </w:r>
            <w:r>
              <w:rPr>
                <w:rFonts w:hint="default" w:ascii="Times New Roman" w:hAnsi="Times New Roman" w:cs="Times New Roman"/>
                <w:color w:val="auto"/>
                <w:sz w:val="21"/>
                <w:szCs w:val="21"/>
                <w:highlight w:val="none"/>
                <w:lang w:val="zh-CN"/>
              </w:rPr>
              <w:t>）</w:t>
            </w:r>
          </w:p>
        </w:tc>
        <w:tc>
          <w:tcPr>
            <w:tcW w:w="6006" w:type="dxa"/>
            <w:vAlign w:val="center"/>
          </w:tcPr>
          <w:p w14:paraId="72D2E88C">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金    额：</w:t>
            </w:r>
            <w:r>
              <w:rPr>
                <w:rFonts w:hint="default" w:ascii="Times New Roman" w:hAnsi="Times New Roman" w:cs="Times New Roman"/>
                <w:color w:val="auto"/>
                <w:sz w:val="21"/>
                <w:szCs w:val="21"/>
                <w:highlight w:val="none"/>
                <w:lang w:val="en-US" w:eastAsia="zh-CN"/>
              </w:rPr>
              <w:t>20000</w:t>
            </w:r>
            <w:r>
              <w:rPr>
                <w:rFonts w:hint="default" w:ascii="Times New Roman" w:hAnsi="Times New Roman" w:cs="Times New Roman"/>
                <w:color w:val="auto"/>
                <w:sz w:val="21"/>
                <w:szCs w:val="21"/>
                <w:highlight w:val="none"/>
                <w:lang w:val="zh-CN"/>
              </w:rPr>
              <w:t>.00元（人民币</w:t>
            </w:r>
            <w:r>
              <w:rPr>
                <w:rFonts w:hint="default" w:ascii="Times New Roman" w:hAnsi="Times New Roman" w:cs="Times New Roman"/>
                <w:color w:val="auto"/>
                <w:sz w:val="21"/>
                <w:szCs w:val="21"/>
                <w:highlight w:val="none"/>
                <w:lang w:val="en-US" w:eastAsia="zh-CN"/>
              </w:rPr>
              <w:t>贰万元整</w:t>
            </w:r>
            <w:r>
              <w:rPr>
                <w:rFonts w:hint="default" w:ascii="Times New Roman" w:hAnsi="Times New Roman" w:cs="Times New Roman"/>
                <w:color w:val="auto"/>
                <w:sz w:val="21"/>
                <w:szCs w:val="21"/>
                <w:highlight w:val="none"/>
                <w:lang w:val="zh-CN"/>
              </w:rPr>
              <w:t>）</w:t>
            </w:r>
          </w:p>
          <w:p w14:paraId="07D599F0">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交款方式：供应商以电汇或银行转账的方式，汇到指定的投标保证金账户均以到账时间为准。（或政采云平台电子保函的形式）均可。</w:t>
            </w:r>
          </w:p>
          <w:p w14:paraId="1BDD0030">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 xml:space="preserve">账户名称：中正恒天国际招标有限公司新疆分公司 </w:t>
            </w:r>
          </w:p>
          <w:p w14:paraId="6D3E21FF">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招商银行账号:991906665610802</w:t>
            </w:r>
          </w:p>
          <w:p w14:paraId="645EE940">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 xml:space="preserve">开户行：招商银行股份有限公司乌鲁木齐北京路支行 </w:t>
            </w:r>
          </w:p>
          <w:p w14:paraId="3E795302">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行</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zh-CN"/>
              </w:rPr>
              <w:t>号：308881029067</w:t>
            </w:r>
          </w:p>
          <w:p w14:paraId="4FF73C23">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交款截止时间：202</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val="zh-CN"/>
              </w:rPr>
              <w:t>年</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zh-CN"/>
              </w:rPr>
              <w:t>月</w:t>
            </w:r>
            <w:r>
              <w:rPr>
                <w:rFonts w:hint="eastAsia" w:asci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zh-CN"/>
              </w:rPr>
              <w:t>日1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zh-CN"/>
              </w:rPr>
              <w:t>时</w:t>
            </w:r>
          </w:p>
          <w:p w14:paraId="35C4C81C">
            <w:pPr>
              <w:spacing w:line="276" w:lineRule="auto"/>
              <w:ind w:firstLine="420" w:firstLineChars="200"/>
              <w:rPr>
                <w:rFonts w:hint="default" w:ascii="Times New Roman" w:hAnsi="Times New Roman" w:cs="Times New Roman"/>
                <w:b/>
                <w:bCs/>
                <w:color w:val="auto"/>
                <w:sz w:val="21"/>
                <w:szCs w:val="21"/>
                <w:highlight w:val="none"/>
              </w:rPr>
            </w:pPr>
            <w:r>
              <w:rPr>
                <w:rFonts w:hint="default" w:ascii="Times New Roman" w:hAnsi="Times New Roman" w:cs="Times New Roman"/>
                <w:color w:val="auto"/>
                <w:sz w:val="21"/>
                <w:szCs w:val="21"/>
                <w:highlight w:val="none"/>
                <w:lang w:val="zh-CN"/>
              </w:rPr>
              <w:t>备注</w:t>
            </w:r>
            <w:r>
              <w:rPr>
                <w:rFonts w:hint="default" w:ascii="Times New Roman" w:hAnsi="Times New Roman" w:cs="Times New Roman"/>
                <w:b/>
                <w:bCs/>
                <w:color w:val="auto"/>
                <w:sz w:val="21"/>
                <w:szCs w:val="21"/>
                <w:highlight w:val="none"/>
                <w:lang w:val="zh-CN"/>
              </w:rPr>
              <w:t>：须注明项目编号，以便登记、查询。</w:t>
            </w:r>
          </w:p>
        </w:tc>
      </w:tr>
      <w:tr w14:paraId="4A79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547" w:type="dxa"/>
            <w:vAlign w:val="center"/>
          </w:tcPr>
          <w:p w14:paraId="5D1C46F0">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21E9CAB3">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履约保证金</w:t>
            </w:r>
          </w:p>
        </w:tc>
        <w:tc>
          <w:tcPr>
            <w:tcW w:w="6006" w:type="dxa"/>
            <w:vAlign w:val="center"/>
          </w:tcPr>
          <w:p w14:paraId="1779FCDC">
            <w:pPr>
              <w:spacing w:line="276" w:lineRule="auto"/>
              <w:ind w:firstLine="281" w:firstLineChars="134"/>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本项目不收取履约保证金。</w:t>
            </w:r>
          </w:p>
        </w:tc>
      </w:tr>
      <w:tr w14:paraId="40A2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9" w:hRule="atLeast"/>
          <w:jc w:val="center"/>
        </w:trPr>
        <w:tc>
          <w:tcPr>
            <w:tcW w:w="547" w:type="dxa"/>
            <w:vAlign w:val="center"/>
          </w:tcPr>
          <w:p w14:paraId="00B4D09F">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297CA5D5">
            <w:pPr>
              <w:spacing w:line="276" w:lineRule="auto"/>
              <w:ind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对招标文件除资质要求、技术参数、商务要求、评分办法等采购需求内容以外事项、采购过程和采购结果的询问和质疑</w:t>
            </w:r>
          </w:p>
        </w:tc>
        <w:tc>
          <w:tcPr>
            <w:tcW w:w="6006" w:type="dxa"/>
            <w:vAlign w:val="center"/>
          </w:tcPr>
          <w:p w14:paraId="4ABA20D1">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受理单位：中正恒天国际招标有限公司</w:t>
            </w:r>
          </w:p>
          <w:p w14:paraId="54DC608E">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 系 人：邢雅雯（项目咨询）、蔡文涛（文件咨询）</w:t>
            </w:r>
          </w:p>
          <w:p w14:paraId="337FEAFF">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联系电话：0991-3650025、19990625738</w:t>
            </w:r>
          </w:p>
          <w:p w14:paraId="716789DF">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质疑函接受方式：现场接受或邮寄接受</w:t>
            </w:r>
          </w:p>
          <w:p w14:paraId="5A35D2C5">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地址：乌鲁木齐市水磨沟区南湖西路216号邮政办公楼三层对采购过程提出质疑时间：为各采购程序环节结束之日起七个工作日内。</w:t>
            </w:r>
          </w:p>
          <w:p w14:paraId="1F8C1A52">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对采购结果提出质疑时间：为中标结果公告发布次日后七个工作日内。</w:t>
            </w:r>
          </w:p>
          <w:p w14:paraId="0962B58C">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备注：1、采购单位无正当理由不按照依法推荐的中标候选供应商顺序确定中标供应商，或者在评标委员会依法推荐的中标候选供应商以外确定中标供应商的质疑由采购单位受理。</w:t>
            </w:r>
          </w:p>
          <w:p w14:paraId="291E401B">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2、供应商应当在法定质疑期内一次性提出针对统一采购程序环节的质疑。</w:t>
            </w:r>
          </w:p>
        </w:tc>
      </w:tr>
      <w:tr w14:paraId="1DEE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547" w:type="dxa"/>
            <w:vAlign w:val="center"/>
          </w:tcPr>
          <w:p w14:paraId="14E2D747">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3FF73369">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投诉</w:t>
            </w:r>
          </w:p>
        </w:tc>
        <w:tc>
          <w:tcPr>
            <w:tcW w:w="6006" w:type="dxa"/>
            <w:vAlign w:val="center"/>
          </w:tcPr>
          <w:p w14:paraId="510AE84C">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投诉受理单位：本采购项目同级财政部门，</w:t>
            </w:r>
            <w:r>
              <w:rPr>
                <w:rFonts w:hint="default" w:ascii="Times New Roman" w:hAnsi="Times New Roman" w:cs="Times New Roman"/>
                <w:color w:val="auto"/>
                <w:sz w:val="21"/>
                <w:szCs w:val="21"/>
                <w:highlight w:val="none"/>
                <w:u w:val="single"/>
              </w:rPr>
              <w:t>即新疆维吾尔自治区财政厅。</w:t>
            </w:r>
          </w:p>
        </w:tc>
      </w:tr>
      <w:tr w14:paraId="7E58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547" w:type="dxa"/>
            <w:vAlign w:val="center"/>
          </w:tcPr>
          <w:p w14:paraId="1F72BB56">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704CF68B">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评审情况的公告</w:t>
            </w:r>
          </w:p>
        </w:tc>
        <w:tc>
          <w:tcPr>
            <w:tcW w:w="6006" w:type="dxa"/>
            <w:vAlign w:val="center"/>
          </w:tcPr>
          <w:p w14:paraId="521B01CD">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评审结果将在新疆政府采购网上采购结果公告栏中予以公告。</w:t>
            </w:r>
          </w:p>
        </w:tc>
      </w:tr>
      <w:tr w14:paraId="5F2F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47" w:type="dxa"/>
            <w:vAlign w:val="center"/>
          </w:tcPr>
          <w:p w14:paraId="549C0023">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0F59FF51">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中标通知书</w:t>
            </w:r>
          </w:p>
          <w:p w14:paraId="506A01B9">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领取方式</w:t>
            </w:r>
          </w:p>
        </w:tc>
        <w:tc>
          <w:tcPr>
            <w:tcW w:w="6006" w:type="dxa"/>
            <w:vAlign w:val="center"/>
          </w:tcPr>
          <w:p w14:paraId="4D95B3B1">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中标公告在新疆政府采购网上公告后，请中标供应商凭有效身份证明证件到乌鲁木齐市水磨沟区南湖西路216号邮政办公楼三层受理处领取中标通知书。</w:t>
            </w:r>
          </w:p>
          <w:p w14:paraId="46CAA962">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联系电话：0991-3650025</w:t>
            </w:r>
          </w:p>
        </w:tc>
      </w:tr>
      <w:tr w14:paraId="701D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1" w:hRule="atLeast"/>
          <w:jc w:val="center"/>
        </w:trPr>
        <w:tc>
          <w:tcPr>
            <w:tcW w:w="547" w:type="dxa"/>
            <w:vAlign w:val="center"/>
          </w:tcPr>
          <w:p w14:paraId="13CC4EAB">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196C1454">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政府采购合同</w:t>
            </w:r>
          </w:p>
          <w:p w14:paraId="3ED4165F">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备案</w:t>
            </w:r>
          </w:p>
        </w:tc>
        <w:tc>
          <w:tcPr>
            <w:tcW w:w="6006" w:type="dxa"/>
            <w:vAlign w:val="center"/>
          </w:tcPr>
          <w:p w14:paraId="5697650B">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政府采购合同签订之日起2个工作日内，成交供应商应将政府采购合同向采购代理机构审核备案。</w:t>
            </w:r>
          </w:p>
        </w:tc>
      </w:tr>
      <w:tr w14:paraId="6FB2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47" w:type="dxa"/>
            <w:vAlign w:val="center"/>
          </w:tcPr>
          <w:p w14:paraId="5C771A71">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4FE77551">
            <w:pPr>
              <w:spacing w:line="276"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异常低价投标（响应）审查（实质性要求）</w:t>
            </w:r>
          </w:p>
          <w:p w14:paraId="2AA980BF">
            <w:pPr>
              <w:jc w:val="center"/>
              <w:rPr>
                <w:rFonts w:hint="default" w:ascii="Times New Roman" w:hAnsi="Times New Roman" w:cs="Times New Roman"/>
                <w:color w:val="auto"/>
                <w:sz w:val="21"/>
                <w:szCs w:val="21"/>
                <w:highlight w:val="none"/>
              </w:rPr>
            </w:pPr>
          </w:p>
        </w:tc>
        <w:tc>
          <w:tcPr>
            <w:tcW w:w="6006" w:type="dxa"/>
            <w:vAlign w:val="center"/>
          </w:tcPr>
          <w:p w14:paraId="60349553">
            <w:pP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1、审查依据</w:t>
            </w:r>
          </w:p>
          <w:p w14:paraId="61483351">
            <w:pP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依据《中华人民共和国政府采购法》《中华人民共和国政府采购法实施条例》及财政部 2026年2号文件《关于加强政府采购异常低价投标（响应）认定与审查工作的通知》等相关规定，本项目评审委员会对投标（响应）报价开展异常低价审查工作。</w:t>
            </w:r>
          </w:p>
          <w:p w14:paraId="3D0E85D3">
            <w:pP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2、异常低价情形认定</w:t>
            </w:r>
          </w:p>
          <w:p w14:paraId="35368417">
            <w:pP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投标</w:t>
            </w:r>
            <w:r>
              <w:rPr>
                <w:rFonts w:hint="default" w:ascii="Times New Roman" w:hAnsi="Times New Roman" w:eastAsia="宋体" w:cs="Times New Roman"/>
                <w:b w:val="0"/>
                <w:bCs w:val="0"/>
                <w:color w:val="auto"/>
                <w:sz w:val="21"/>
                <w:szCs w:val="21"/>
                <w:highlight w:val="none"/>
                <w:lang w:val="en-US" w:eastAsia="zh-CN" w:bidi="ar-SA"/>
              </w:rPr>
              <w:t>（响应）供应商出现下列情形之一的，评审委员会将启动异常低价审查程序：</w:t>
            </w:r>
          </w:p>
          <w:p w14:paraId="1022F91D">
            <w:pPr>
              <w:ind w:firstLine="338" w:firstLineChars="161"/>
              <w:jc w:val="left"/>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（1）投标（响应）报价低于全部通过符合性审查供应商报价平均值的 50%；</w:t>
            </w:r>
          </w:p>
          <w:p w14:paraId="24CB2F40">
            <w:pPr>
              <w:ind w:firstLine="338" w:firstLineChars="161"/>
              <w:jc w:val="left"/>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（2）投标（响应）报价低于通过符合性审查次低报价的 50%；</w:t>
            </w:r>
          </w:p>
          <w:p w14:paraId="6D7838B1">
            <w:pPr>
              <w:ind w:firstLine="338" w:firstLineChars="161"/>
              <w:jc w:val="left"/>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（3）投标（响应）报价低于本项目最高限价的 45%；</w:t>
            </w:r>
          </w:p>
          <w:p w14:paraId="5406F747">
            <w:pPr>
              <w:ind w:firstLine="338" w:firstLineChars="161"/>
              <w:jc w:val="left"/>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（4）评审委员会基于专业判断，认为报价过低可能影响项目履约质量、不能满足采购需求或无法诚信履约的其他情形。</w:t>
            </w:r>
          </w:p>
          <w:p w14:paraId="411B45ED">
            <w:pP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3、审查要求及处理</w:t>
            </w:r>
          </w:p>
          <w:p w14:paraId="0A1D708F">
            <w:pP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被启动审查的供应商，须在合理时间内（不少于 30 分钟），就报价合理性提交书面说明，并提供项目成本测算明细、原材料采购意向协议、人工成本核算依据等可核验的证明材料。</w:t>
            </w:r>
          </w:p>
          <w:p w14:paraId="2F2A33C1">
            <w:pP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供应商</w:t>
            </w:r>
            <w:r>
              <w:rPr>
                <w:rFonts w:hint="default" w:ascii="Times New Roman" w:hAnsi="Times New Roman" w:eastAsia="宋体" w:cs="Times New Roman"/>
                <w:b w:val="0"/>
                <w:bCs w:val="0"/>
                <w:color w:val="auto"/>
                <w:sz w:val="21"/>
                <w:szCs w:val="21"/>
                <w:highlight w:val="none"/>
                <w:lang w:val="en-US" w:eastAsia="zh-CN" w:bidi="ar-SA"/>
              </w:rPr>
              <w:t>未按要求提交说明及证明材料，或提交的材料无法有效证明报价合理性的，评审委员会将其投标（响应）作无效处理。</w:t>
            </w:r>
          </w:p>
          <w:p w14:paraId="578D076E">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异常</w:t>
            </w:r>
            <w:r>
              <w:rPr>
                <w:rFonts w:hint="default" w:ascii="Times New Roman" w:hAnsi="Times New Roman" w:eastAsia="宋体" w:cs="Times New Roman"/>
                <w:b w:val="0"/>
                <w:bCs w:val="0"/>
                <w:color w:val="auto"/>
                <w:sz w:val="21"/>
                <w:szCs w:val="21"/>
                <w:highlight w:val="none"/>
                <w:lang w:val="en-US" w:eastAsia="zh-CN" w:bidi="ar-SA"/>
              </w:rPr>
              <w:t>低价审查的全过程及结论，由评审委员会如实记入评审报告，随采购项目档案一并存档备查。</w:t>
            </w:r>
          </w:p>
        </w:tc>
      </w:tr>
      <w:tr w14:paraId="1670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47" w:type="dxa"/>
            <w:vAlign w:val="center"/>
          </w:tcPr>
          <w:p w14:paraId="7EFF23BA">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4D433478">
            <w:pPr>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落实政府采购政策需满足的资格要求</w:t>
            </w:r>
          </w:p>
          <w:p w14:paraId="2CA50B87">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b/>
                <w:bCs/>
                <w:color w:val="auto"/>
                <w:sz w:val="21"/>
                <w:szCs w:val="21"/>
                <w:highlight w:val="none"/>
                <w:lang w:val="zh-CN"/>
              </w:rPr>
              <w:t>（实质性要求）</w:t>
            </w:r>
          </w:p>
        </w:tc>
        <w:tc>
          <w:tcPr>
            <w:tcW w:w="6006" w:type="dxa"/>
            <w:vAlign w:val="center"/>
          </w:tcPr>
          <w:p w14:paraId="4A0B6D04">
            <w:pPr>
              <w:spacing w:line="276" w:lineRule="auto"/>
              <w:ind w:firstLine="422" w:firstLineChars="20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本项目预留部分采购项目预算专门面向中小企业采购。</w:t>
            </w:r>
          </w:p>
          <w:p w14:paraId="5AC3B17C">
            <w:pPr>
              <w:ind w:firstLine="338" w:firstLineChars="161"/>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投标人所提供的服务属于大型企业的，必须将本项目联合给一家或者多家中小企业，中小企业承担的合同份额占合同金额的比例达到30%以上（其中预留给小微企业的部分不低于合同金额的18%），接受联合体的中小企业与联合企业之间不得存在直接控股、管理关系。投标时须按格式提供《联合体意向协议书》（格式自拟）以及接受联合体的供应商的《中小企业声明函》。</w:t>
            </w:r>
          </w:p>
          <w:p w14:paraId="49F2A018">
            <w:pPr>
              <w:ind w:firstLine="338" w:firstLineChars="161"/>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投标人所提供的服务属于中型企业的，必须将本项目联合给一家或者多家小微企业，小微企业承担的合同份额不低于合同金额的18%，接受联合体的中小企业与联合企业之间不得存在直接控股、管理关系。投标时须按格式提供《联合体意向协议书》（格式自拟）以及联合体的供应商的《中小企业声明函》。</w:t>
            </w:r>
          </w:p>
          <w:p w14:paraId="5F3AD09B">
            <w:pPr>
              <w:ind w:firstLine="338" w:firstLineChars="161"/>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（3）投标人所提供的服务属于小微企业的，不得联合给大中型企业；是否联合体给小微企业不作强制要求，投标时须提交《中小企业声明函》（见投标格式）</w:t>
            </w:r>
          </w:p>
        </w:tc>
      </w:tr>
      <w:tr w14:paraId="50BF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47" w:type="dxa"/>
            <w:vAlign w:val="center"/>
          </w:tcPr>
          <w:p w14:paraId="7D90C205">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0E96C9A0">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项目采购标的对应的中小企业划分标准所属行业</w:t>
            </w:r>
            <w:r>
              <w:rPr>
                <w:rFonts w:hint="default" w:ascii="Times New Roman" w:hAnsi="Times New Roman" w:cs="Times New Roman"/>
                <w:b/>
                <w:bCs/>
                <w:color w:val="auto"/>
                <w:sz w:val="21"/>
                <w:szCs w:val="21"/>
                <w:highlight w:val="none"/>
                <w:lang w:val="zh-CN"/>
              </w:rPr>
              <w:t>（实质性要求）</w:t>
            </w:r>
          </w:p>
        </w:tc>
        <w:tc>
          <w:tcPr>
            <w:tcW w:w="6006" w:type="dxa"/>
            <w:vAlign w:val="center"/>
          </w:tcPr>
          <w:p w14:paraId="44E092B0">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（软件和信息技术服务业）</w:t>
            </w:r>
          </w:p>
        </w:tc>
      </w:tr>
      <w:tr w14:paraId="0E4E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547" w:type="dxa"/>
            <w:vAlign w:val="center"/>
          </w:tcPr>
          <w:p w14:paraId="0CFA854E">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0C2F23EE">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招标</w:t>
            </w:r>
            <w:r>
              <w:rPr>
                <w:rFonts w:hint="default" w:ascii="Times New Roman" w:hAnsi="Times New Roman" w:cs="Times New Roman"/>
                <w:color w:val="auto"/>
                <w:sz w:val="21"/>
                <w:szCs w:val="21"/>
                <w:highlight w:val="none"/>
              </w:rPr>
              <w:t>代理费</w:t>
            </w:r>
          </w:p>
          <w:p w14:paraId="3FED1D83">
            <w:pPr>
              <w:spacing w:line="276"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(服务费工商银行账户）</w:t>
            </w:r>
          </w:p>
        </w:tc>
        <w:tc>
          <w:tcPr>
            <w:tcW w:w="6006" w:type="dxa"/>
            <w:vAlign w:val="center"/>
          </w:tcPr>
          <w:p w14:paraId="66628CBC">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代理费收取方式：现金或银行转账</w:t>
            </w:r>
          </w:p>
          <w:p w14:paraId="407639F7">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代理费收取标准：中标单位领取中标通知书时，应向采购代理机构交纳中标服务费。服务费以中标价金额为基数，参照原《国家计委关于印发〈招标代理服务费收费标准管理暂行办法〉的通知》（计价格[2002]1980号）和《国家发展改革委办公厅关于招标代理服务费有关问题的通知》（发改办价格[2003]857号）由中标单位领取中标通知书前一次性支付。</w:t>
            </w:r>
          </w:p>
          <w:p w14:paraId="35508428">
            <w:pPr>
              <w:spacing w:line="276" w:lineRule="auto"/>
              <w:ind w:firstLine="422" w:firstLineChars="200"/>
              <w:rPr>
                <w:rFonts w:hint="default" w:ascii="Times New Roman" w:hAnsi="Times New Roman" w:cs="Times New Roman"/>
                <w:b/>
                <w:bCs/>
                <w:color w:val="auto"/>
                <w:sz w:val="21"/>
                <w:szCs w:val="21"/>
                <w:highlight w:val="none"/>
                <w:lang w:val="zh-CN"/>
              </w:rPr>
            </w:pPr>
            <w:r>
              <w:rPr>
                <w:rFonts w:hint="default" w:ascii="Times New Roman" w:hAnsi="Times New Roman" w:cs="Times New Roman"/>
                <w:b/>
                <w:bCs/>
                <w:color w:val="auto"/>
                <w:sz w:val="21"/>
                <w:szCs w:val="21"/>
                <w:highlight w:val="none"/>
                <w:lang w:val="zh-CN"/>
              </w:rPr>
              <w:t>收款单位：中正恒天国际招标有限公司新疆分公司</w:t>
            </w:r>
          </w:p>
          <w:p w14:paraId="79E8030C">
            <w:pPr>
              <w:spacing w:line="276" w:lineRule="auto"/>
              <w:ind w:firstLine="422" w:firstLineChars="200"/>
              <w:rPr>
                <w:rFonts w:hint="default" w:ascii="Times New Roman" w:hAnsi="Times New Roman" w:cs="Times New Roman"/>
                <w:b/>
                <w:bCs/>
                <w:color w:val="auto"/>
                <w:sz w:val="21"/>
                <w:szCs w:val="21"/>
                <w:highlight w:val="none"/>
                <w:lang w:val="zh-CN"/>
              </w:rPr>
            </w:pPr>
            <w:r>
              <w:rPr>
                <w:rFonts w:hint="default" w:ascii="Times New Roman" w:hAnsi="Times New Roman" w:cs="Times New Roman"/>
                <w:b/>
                <w:bCs/>
                <w:color w:val="auto"/>
                <w:sz w:val="21"/>
                <w:szCs w:val="21"/>
                <w:highlight w:val="none"/>
                <w:lang w:val="zh-CN"/>
              </w:rPr>
              <w:t>开 户 行：中国工商银行股份有限公司乌鲁木齐友好路支行</w:t>
            </w:r>
          </w:p>
          <w:p w14:paraId="1C618A72">
            <w:pPr>
              <w:spacing w:line="276" w:lineRule="auto"/>
              <w:ind w:firstLine="422" w:firstLineChars="200"/>
              <w:rPr>
                <w:rFonts w:hint="default" w:ascii="Times New Roman" w:hAnsi="Times New Roman" w:cs="Times New Roman"/>
                <w:b/>
                <w:bCs/>
                <w:color w:val="auto"/>
                <w:sz w:val="21"/>
                <w:szCs w:val="21"/>
                <w:highlight w:val="none"/>
                <w:lang w:val="zh-CN"/>
              </w:rPr>
            </w:pPr>
            <w:r>
              <w:rPr>
                <w:rFonts w:hint="default" w:ascii="Times New Roman" w:hAnsi="Times New Roman" w:cs="Times New Roman"/>
                <w:b/>
                <w:bCs/>
                <w:color w:val="auto"/>
                <w:sz w:val="21"/>
                <w:szCs w:val="21"/>
                <w:highlight w:val="none"/>
                <w:lang w:val="zh-CN"/>
              </w:rPr>
              <w:t>银行账号：3002013309200110208</w:t>
            </w:r>
          </w:p>
          <w:p w14:paraId="63A01EC7">
            <w:pPr>
              <w:spacing w:line="276" w:lineRule="auto"/>
              <w:ind w:firstLine="422" w:firstLineChars="200"/>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lang w:val="zh-CN"/>
              </w:rPr>
              <w:t>行    号：102881001337</w:t>
            </w:r>
          </w:p>
        </w:tc>
      </w:tr>
      <w:tr w14:paraId="652C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2" w:hRule="atLeast"/>
          <w:jc w:val="center"/>
        </w:trPr>
        <w:tc>
          <w:tcPr>
            <w:tcW w:w="547" w:type="dxa"/>
            <w:vAlign w:val="center"/>
          </w:tcPr>
          <w:p w14:paraId="13AA358F">
            <w:pPr>
              <w:numPr>
                <w:ilvl w:val="0"/>
                <w:numId w:val="1"/>
              </w:numP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56E366AF">
            <w:pPr>
              <w:pStyle w:val="180"/>
              <w:ind w:left="9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zh-CN"/>
              </w:rPr>
              <w:t>政采云平台须递交材料</w:t>
            </w:r>
            <w:r>
              <w:rPr>
                <w:rFonts w:hint="eastAsia" w:ascii="Times New Roman" w:hAnsi="Times New Roman" w:cs="Times New Roman"/>
                <w:b/>
                <w:bCs/>
                <w:color w:val="auto"/>
                <w:sz w:val="21"/>
                <w:szCs w:val="21"/>
                <w:highlight w:val="none"/>
                <w:lang w:val="zh-CN"/>
              </w:rPr>
              <w:t>（</w:t>
            </w:r>
            <w:r>
              <w:rPr>
                <w:rFonts w:hint="eastAsia" w:ascii="Times New Roman" w:hAnsi="Times New Roman" w:cs="Times New Roman"/>
                <w:b/>
                <w:bCs/>
                <w:color w:val="auto"/>
                <w:sz w:val="21"/>
                <w:szCs w:val="21"/>
                <w:highlight w:val="none"/>
                <w:lang w:val="en-US" w:eastAsia="zh-CN"/>
              </w:rPr>
              <w:t>实质性要求</w:t>
            </w:r>
            <w:r>
              <w:rPr>
                <w:rFonts w:hint="eastAsia" w:ascii="Times New Roman" w:hAnsi="Times New Roman" w:cs="Times New Roman"/>
                <w:b/>
                <w:bCs/>
                <w:color w:val="auto"/>
                <w:sz w:val="21"/>
                <w:szCs w:val="21"/>
                <w:highlight w:val="none"/>
                <w:lang w:val="zh-CN"/>
              </w:rPr>
              <w:t>）</w:t>
            </w:r>
          </w:p>
        </w:tc>
        <w:tc>
          <w:tcPr>
            <w:tcW w:w="6006" w:type="dxa"/>
            <w:vAlign w:val="center"/>
          </w:tcPr>
          <w:p w14:paraId="666AC784">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1、本项目采用不见面开标，投标人需要递交电子投标文件。政采云平台上传加密的电子投标文件1份。（签字盖章齐全），在投标截止时间前通过政采云平台上传到指定位置。</w:t>
            </w:r>
          </w:p>
          <w:p w14:paraId="20B97002">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2、本项目采用远程不见面交易的模式。开标当日，投标人需在政采云网上开标完成远程解密、提疑澄清</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zh-CN"/>
              </w:rPr>
              <w:t>开标唱标、结果公布等交互环节。</w:t>
            </w:r>
          </w:p>
          <w:p w14:paraId="0D8EEF84">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3、</w:t>
            </w:r>
            <w:r>
              <w:rPr>
                <w:rFonts w:hint="default" w:ascii="Times New Roman" w:hAnsi="Times New Roman" w:cs="Times New Roman"/>
                <w:color w:val="auto"/>
                <w:sz w:val="21"/>
                <w:szCs w:val="21"/>
                <w:highlight w:val="none"/>
                <w:lang w:val="zh-CN"/>
              </w:rPr>
              <w:t>投标人必须使用能正确解密投标文件的“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1271B08F">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4、</w:t>
            </w:r>
            <w:r>
              <w:rPr>
                <w:rFonts w:hint="default" w:ascii="Times New Roman" w:hAnsi="Times New Roman" w:cs="Times New Roman"/>
                <w:color w:val="auto"/>
                <w:sz w:val="21"/>
                <w:szCs w:val="21"/>
                <w:highlight w:val="none"/>
                <w:lang w:val="zh-CN"/>
              </w:rPr>
              <w:t>电子响应文件需要在规定签章处签字和盖章、需要逐页编目编码。</w:t>
            </w:r>
          </w:p>
          <w:p w14:paraId="6B765198">
            <w:pP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5、</w:t>
            </w:r>
            <w:r>
              <w:rPr>
                <w:rFonts w:hint="default" w:ascii="Times New Roman" w:hAnsi="Times New Roman" w:cs="Times New Roman"/>
                <w:color w:val="auto"/>
                <w:sz w:val="21"/>
                <w:szCs w:val="21"/>
                <w:highlight w:val="none"/>
                <w:lang w:val="zh-CN"/>
              </w:rPr>
              <w:t>不见面开标默认解密时长：</w:t>
            </w:r>
            <w:r>
              <w:rPr>
                <w:rFonts w:hint="default" w:ascii="Times New Roman" w:hAnsi="Times New Roman" w:cs="Times New Roman"/>
                <w:color w:val="auto"/>
                <w:sz w:val="21"/>
                <w:szCs w:val="21"/>
                <w:highlight w:val="none"/>
              </w:rPr>
              <w:t>3</w:t>
            </w:r>
            <w:r>
              <w:rPr>
                <w:rFonts w:hint="default" w:ascii="Times New Roman" w:hAnsi="Times New Roman" w:cs="Times New Roman"/>
                <w:color w:val="auto"/>
                <w:sz w:val="21"/>
                <w:szCs w:val="21"/>
                <w:highlight w:val="none"/>
                <w:lang w:val="zh-CN"/>
              </w:rPr>
              <w:t xml:space="preserve">0分钟    </w:t>
            </w:r>
          </w:p>
          <w:p w14:paraId="3C91DFC3">
            <w:pP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r>
              <w:rPr>
                <w:rFonts w:hint="default" w:ascii="Times New Roman" w:hAnsi="Times New Roman" w:cs="Times New Roman"/>
                <w:color w:val="auto"/>
                <w:sz w:val="21"/>
                <w:szCs w:val="21"/>
                <w:highlight w:val="none"/>
                <w:lang w:val="zh-CN"/>
              </w:rPr>
              <w:t xml:space="preserve">温馨提醒：供应商应提前上传，以便在上传时遇到技术问题，有充足的时间请教平台的技术人员。 </w:t>
            </w:r>
          </w:p>
        </w:tc>
      </w:tr>
    </w:tbl>
    <w:p w14:paraId="46A7F237">
      <w:pPr>
        <w:pStyle w:val="32"/>
        <w:rPr>
          <w:rFonts w:hint="default" w:ascii="Times New Roman" w:hAnsi="Times New Roman" w:eastAsia="宋体" w:cs="Times New Roman"/>
          <w:color w:val="auto"/>
          <w:highlight w:val="none"/>
        </w:rPr>
      </w:pPr>
      <w:bookmarkStart w:id="27" w:name="_Toc465085335"/>
      <w:bookmarkStart w:id="28" w:name="_Toc472599536"/>
      <w:bookmarkStart w:id="29" w:name="_Toc472604581"/>
      <w:bookmarkStart w:id="30" w:name="_Toc466298033"/>
      <w:r>
        <w:rPr>
          <w:rFonts w:hint="default" w:ascii="Times New Roman" w:hAnsi="Times New Roman" w:eastAsia="宋体" w:cs="Times New Roman"/>
          <w:color w:val="auto"/>
          <w:highlight w:val="none"/>
        </w:rPr>
        <w:br w:type="page"/>
      </w:r>
      <w:r>
        <w:rPr>
          <w:rFonts w:hint="default" w:ascii="Times New Roman" w:hAnsi="Times New Roman" w:eastAsia="宋体" w:cs="Times New Roman"/>
          <w:color w:val="auto"/>
          <w:highlight w:val="none"/>
        </w:rPr>
        <w:t>二、总  则</w:t>
      </w:r>
      <w:bookmarkEnd w:id="27"/>
      <w:bookmarkEnd w:id="28"/>
      <w:bookmarkEnd w:id="29"/>
      <w:bookmarkEnd w:id="30"/>
    </w:p>
    <w:p w14:paraId="1564A5F1">
      <w:pPr>
        <w:pStyle w:val="5"/>
        <w:spacing w:before="0" w:after="0" w:line="276" w:lineRule="auto"/>
        <w:ind w:firstLine="482" w:firstLineChars="200"/>
        <w:rPr>
          <w:rFonts w:hint="default" w:ascii="Times New Roman" w:hAnsi="Times New Roman" w:cs="Times New Roman"/>
          <w:color w:val="auto"/>
          <w:sz w:val="24"/>
          <w:szCs w:val="24"/>
          <w:highlight w:val="none"/>
        </w:rPr>
      </w:pPr>
      <w:bookmarkStart w:id="31" w:name="_Toc183582205"/>
      <w:bookmarkStart w:id="32" w:name="_Toc183682342"/>
      <w:bookmarkStart w:id="33" w:name="_Toc31004"/>
      <w:bookmarkStart w:id="34" w:name="_Toc217446034"/>
      <w:bookmarkStart w:id="35" w:name="_Toc465085336"/>
      <w:bookmarkStart w:id="36" w:name="_Toc472604582"/>
      <w:bookmarkStart w:id="37" w:name="_Toc466298034"/>
      <w:bookmarkStart w:id="38" w:name="_Toc472599537"/>
      <w:bookmarkStart w:id="39" w:name="_Toc22693"/>
      <w:bookmarkStart w:id="40" w:name="_Toc22465"/>
      <w:r>
        <w:rPr>
          <w:rFonts w:hint="default" w:ascii="Times New Roman" w:hAnsi="Times New Roman" w:cs="Times New Roman"/>
          <w:color w:val="auto"/>
          <w:sz w:val="24"/>
          <w:szCs w:val="24"/>
          <w:highlight w:val="none"/>
        </w:rPr>
        <w:t>1.</w:t>
      </w:r>
      <w:bookmarkEnd w:id="31"/>
      <w:bookmarkEnd w:id="32"/>
      <w:r>
        <w:rPr>
          <w:rFonts w:hint="default" w:ascii="Times New Roman" w:hAnsi="Times New Roman" w:cs="Times New Roman"/>
          <w:color w:val="auto"/>
          <w:sz w:val="24"/>
          <w:szCs w:val="24"/>
          <w:highlight w:val="none"/>
        </w:rPr>
        <w:t>适用范围</w:t>
      </w:r>
      <w:bookmarkEnd w:id="33"/>
      <w:bookmarkEnd w:id="34"/>
      <w:bookmarkEnd w:id="35"/>
      <w:bookmarkEnd w:id="36"/>
      <w:bookmarkEnd w:id="37"/>
      <w:bookmarkEnd w:id="38"/>
      <w:bookmarkEnd w:id="39"/>
      <w:bookmarkEnd w:id="40"/>
    </w:p>
    <w:p w14:paraId="32F2A6CA">
      <w:pP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 本招标文件仅适用于本次公开招标采购项目。</w:t>
      </w:r>
    </w:p>
    <w:p w14:paraId="0A536539">
      <w:pPr>
        <w:pStyle w:val="5"/>
        <w:spacing w:before="0" w:after="0" w:line="276" w:lineRule="auto"/>
        <w:ind w:firstLine="482" w:firstLineChars="200"/>
        <w:rPr>
          <w:rFonts w:hint="default" w:ascii="Times New Roman" w:hAnsi="Times New Roman" w:cs="Times New Roman"/>
          <w:color w:val="auto"/>
          <w:sz w:val="24"/>
          <w:szCs w:val="24"/>
          <w:highlight w:val="none"/>
        </w:rPr>
      </w:pPr>
      <w:bookmarkStart w:id="41" w:name="_Toc183582206"/>
      <w:bookmarkStart w:id="42" w:name="_Toc183682343"/>
      <w:bookmarkStart w:id="43" w:name="_Toc472599538"/>
      <w:bookmarkStart w:id="44" w:name="_Toc28100"/>
      <w:bookmarkStart w:id="45" w:name="_Toc25835"/>
      <w:bookmarkStart w:id="46" w:name="_Toc465085337"/>
      <w:bookmarkStart w:id="47" w:name="_Toc18809"/>
      <w:bookmarkStart w:id="48" w:name="_Toc466298035"/>
      <w:bookmarkStart w:id="49" w:name="_Toc217446035"/>
      <w:bookmarkStart w:id="50" w:name="_Toc472604583"/>
      <w:r>
        <w:rPr>
          <w:rFonts w:hint="default" w:ascii="Times New Roman" w:hAnsi="Times New Roman" w:cs="Times New Roman"/>
          <w:color w:val="auto"/>
          <w:sz w:val="24"/>
          <w:szCs w:val="24"/>
          <w:highlight w:val="none"/>
        </w:rPr>
        <w:t>2.</w:t>
      </w:r>
      <w:bookmarkEnd w:id="41"/>
      <w:bookmarkEnd w:id="42"/>
      <w:r>
        <w:rPr>
          <w:rFonts w:hint="default" w:ascii="Times New Roman" w:hAnsi="Times New Roman" w:cs="Times New Roman"/>
          <w:color w:val="auto"/>
          <w:sz w:val="24"/>
          <w:szCs w:val="24"/>
          <w:highlight w:val="none"/>
        </w:rPr>
        <w:t>有关定义</w:t>
      </w:r>
      <w:bookmarkEnd w:id="43"/>
      <w:bookmarkEnd w:id="44"/>
      <w:bookmarkEnd w:id="45"/>
      <w:bookmarkEnd w:id="46"/>
      <w:bookmarkEnd w:id="47"/>
      <w:bookmarkEnd w:id="48"/>
      <w:bookmarkEnd w:id="49"/>
      <w:bookmarkEnd w:id="50"/>
    </w:p>
    <w:p w14:paraId="757B3C9D">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 “采购人”系指依法进行政府采购的国家机关、事业单位、团体组织。</w:t>
      </w:r>
    </w:p>
    <w:p w14:paraId="142A2D48">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本次招标的采购人是</w:t>
      </w:r>
      <w:r>
        <w:rPr>
          <w:rFonts w:hint="default" w:ascii="Times New Roman" w:hAnsi="Times New Roman" w:cs="Times New Roman"/>
          <w:color w:val="auto"/>
          <w:sz w:val="24"/>
          <w:highlight w:val="none"/>
          <w:u w:val="single"/>
        </w:rPr>
        <w:t>新疆维吾尔自治区市场监督管理局</w:t>
      </w:r>
      <w:r>
        <w:rPr>
          <w:rFonts w:hint="default" w:ascii="Times New Roman" w:hAnsi="Times New Roman" w:cs="Times New Roman"/>
          <w:color w:val="auto"/>
          <w:sz w:val="24"/>
          <w:highlight w:val="none"/>
        </w:rPr>
        <w:t>。</w:t>
      </w:r>
    </w:p>
    <w:p w14:paraId="52F9E4A5">
      <w:pP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 “采购代理机构” 系指根据采购人的委托依法办理招标事宜的采购机构。本次招标的采购代理机构是</w:t>
      </w:r>
      <w:r>
        <w:rPr>
          <w:rFonts w:hint="default" w:ascii="Times New Roman" w:hAnsi="Times New Roman" w:cs="Times New Roman"/>
          <w:color w:val="auto"/>
          <w:sz w:val="24"/>
          <w:highlight w:val="none"/>
          <w:u w:val="single"/>
        </w:rPr>
        <w:t xml:space="preserve"> 中正恒天国际招标有限公司 </w:t>
      </w:r>
      <w:r>
        <w:rPr>
          <w:rFonts w:hint="default" w:ascii="Times New Roman" w:hAnsi="Times New Roman" w:cs="Times New Roman"/>
          <w:color w:val="auto"/>
          <w:sz w:val="24"/>
          <w:highlight w:val="none"/>
        </w:rPr>
        <w:t>。</w:t>
      </w:r>
    </w:p>
    <w:p w14:paraId="0AA8A316">
      <w:pP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 “招标采购单位”系指“采购人”和“采购代理机构”的统称。</w:t>
      </w:r>
    </w:p>
    <w:p w14:paraId="31BA85CA">
      <w:pP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 “投标人”系指购买了招标文件拟参加投标和向采购人提供货物及相应服务的供应商。</w:t>
      </w:r>
    </w:p>
    <w:p w14:paraId="60BAFEED">
      <w:pPr>
        <w:pStyle w:val="5"/>
        <w:spacing w:before="0" w:after="0" w:line="276" w:lineRule="auto"/>
        <w:ind w:firstLine="482" w:firstLineChars="200"/>
        <w:rPr>
          <w:rFonts w:hint="default" w:ascii="Times New Roman" w:hAnsi="Times New Roman" w:cs="Times New Roman"/>
          <w:color w:val="auto"/>
          <w:sz w:val="24"/>
          <w:szCs w:val="24"/>
          <w:highlight w:val="none"/>
        </w:rPr>
      </w:pPr>
      <w:bookmarkStart w:id="51" w:name="_Toc472599539"/>
      <w:bookmarkStart w:id="52" w:name="_Toc217390843"/>
      <w:bookmarkStart w:id="53" w:name="_Toc465085338"/>
      <w:bookmarkStart w:id="54" w:name="_Toc466298036"/>
      <w:bookmarkStart w:id="55" w:name="_Toc472604584"/>
      <w:bookmarkStart w:id="56" w:name="_Toc183582207"/>
      <w:bookmarkStart w:id="57" w:name="_Toc23449"/>
      <w:bookmarkStart w:id="58" w:name="_Toc10772"/>
      <w:bookmarkStart w:id="59" w:name="_Toc217446036"/>
      <w:bookmarkStart w:id="60" w:name="_Toc183682344"/>
      <w:bookmarkStart w:id="61" w:name="_Toc26602"/>
      <w:r>
        <w:rPr>
          <w:rFonts w:hint="default" w:ascii="Times New Roman" w:hAnsi="Times New Roman" w:cs="Times New Roman"/>
          <w:color w:val="auto"/>
          <w:sz w:val="24"/>
          <w:szCs w:val="24"/>
          <w:highlight w:val="none"/>
        </w:rPr>
        <w:t>3.合格的投标人</w:t>
      </w:r>
      <w:bookmarkEnd w:id="51"/>
      <w:bookmarkEnd w:id="52"/>
      <w:bookmarkEnd w:id="53"/>
      <w:bookmarkEnd w:id="54"/>
      <w:bookmarkEnd w:id="55"/>
      <w:bookmarkEnd w:id="56"/>
      <w:bookmarkEnd w:id="57"/>
      <w:bookmarkEnd w:id="58"/>
      <w:bookmarkEnd w:id="59"/>
      <w:bookmarkEnd w:id="60"/>
      <w:bookmarkEnd w:id="61"/>
    </w:p>
    <w:p w14:paraId="38A5F3DD">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合格的投标人应具备以下条件：</w:t>
      </w:r>
    </w:p>
    <w:p w14:paraId="684C1255">
      <w:pPr>
        <w:tabs>
          <w:tab w:val="left" w:pos="7665"/>
        </w:tabs>
        <w:spacing w:line="276" w:lineRule="auto"/>
        <w:ind w:firstLine="480" w:firstLineChars="200"/>
        <w:rPr>
          <w:rFonts w:hint="default" w:ascii="Times New Roman" w:hAnsi="Times New Roman" w:cs="Times New Roman"/>
          <w:color w:val="auto"/>
          <w:spacing w:val="-4"/>
          <w:sz w:val="24"/>
          <w:highlight w:val="none"/>
        </w:rPr>
      </w:pPr>
      <w:r>
        <w:rPr>
          <w:rFonts w:hint="default" w:ascii="Times New Roman" w:hAnsi="Times New Roman" w:cs="Times New Roman"/>
          <w:color w:val="auto"/>
          <w:sz w:val="24"/>
          <w:highlight w:val="none"/>
        </w:rPr>
        <w:t>（1）本招标文件规定的供应商资格条件</w:t>
      </w:r>
      <w:r>
        <w:rPr>
          <w:rFonts w:hint="default" w:ascii="Times New Roman" w:hAnsi="Times New Roman" w:cs="Times New Roman"/>
          <w:color w:val="auto"/>
          <w:spacing w:val="-4"/>
          <w:sz w:val="24"/>
          <w:highlight w:val="none"/>
        </w:rPr>
        <w:t>；</w:t>
      </w:r>
    </w:p>
    <w:p w14:paraId="2EEB5B9C">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（2）遵守国家有关的法律、法规、规章和其他政策制度；</w:t>
      </w:r>
    </w:p>
    <w:p w14:paraId="24C7A27D">
      <w:pP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（3）向采购代理机构购买了招标文件并登记备案。</w:t>
      </w:r>
    </w:p>
    <w:p w14:paraId="55DE0191">
      <w:pPr>
        <w:pStyle w:val="5"/>
        <w:spacing w:before="0" w:after="0" w:line="276" w:lineRule="auto"/>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4.合格的投标产品（如涉及）</w:t>
      </w:r>
    </w:p>
    <w:p w14:paraId="0579EE65">
      <w:pP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 参加政府采购所投标的产品，必须是合法生产厂家生产的合格产品，产品涉及到第三方知识产权的，必须是已依法获得了该知识产权，不得存在侵犯知识产权的问题。</w:t>
      </w:r>
    </w:p>
    <w:p w14:paraId="4C79569B">
      <w:pP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 若投标产品为需要安装软件才能正常工作的，投标人必须提供正版软件安装使用，不得安装使用盗版软件。</w:t>
      </w:r>
    </w:p>
    <w:p w14:paraId="5DB2FC71">
      <w:pPr>
        <w:tabs>
          <w:tab w:val="left" w:pos="7665"/>
        </w:tabs>
        <w:spacing w:line="276"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4.3 除非招标文件要求采购进口设备，否则只能用国内产品投标报价</w:t>
      </w:r>
      <w:r>
        <w:rPr>
          <w:rFonts w:hint="default" w:ascii="Times New Roman" w:hAnsi="Times New Roman" w:cs="Times New Roman"/>
          <w:color w:val="auto"/>
          <w:sz w:val="24"/>
          <w:highlight w:val="none"/>
          <w:lang w:eastAsia="zh-CN"/>
        </w:rPr>
        <w:t>。</w:t>
      </w:r>
    </w:p>
    <w:p w14:paraId="16FB7FFF">
      <w:pPr>
        <w:pStyle w:val="5"/>
        <w:spacing w:before="0" w:after="0" w:line="276" w:lineRule="auto"/>
        <w:ind w:firstLine="482" w:firstLineChars="200"/>
        <w:rPr>
          <w:rFonts w:hint="default" w:ascii="Times New Roman" w:hAnsi="Times New Roman" w:cs="Times New Roman"/>
          <w:color w:val="auto"/>
          <w:sz w:val="24"/>
          <w:szCs w:val="24"/>
          <w:highlight w:val="none"/>
        </w:rPr>
      </w:pPr>
      <w:bookmarkStart w:id="62" w:name="_Toc9725"/>
      <w:bookmarkStart w:id="63" w:name="_Toc472599540"/>
      <w:bookmarkStart w:id="64" w:name="_Toc183682345"/>
      <w:bookmarkStart w:id="65" w:name="_Toc4606"/>
      <w:bookmarkStart w:id="66" w:name="_Toc465085339"/>
      <w:bookmarkStart w:id="67" w:name="_Toc18368"/>
      <w:bookmarkStart w:id="68" w:name="_Toc183582208"/>
      <w:bookmarkStart w:id="69" w:name="_Toc472604585"/>
      <w:bookmarkStart w:id="70" w:name="_Toc217446037"/>
      <w:bookmarkStart w:id="71" w:name="_Toc466298037"/>
      <w:r>
        <w:rPr>
          <w:rFonts w:hint="default" w:ascii="Times New Roman" w:hAnsi="Times New Roman" w:cs="Times New Roman"/>
          <w:color w:val="auto"/>
          <w:sz w:val="24"/>
          <w:szCs w:val="24"/>
          <w:highlight w:val="none"/>
        </w:rPr>
        <w:t>5.投标费用</w:t>
      </w:r>
      <w:bookmarkEnd w:id="62"/>
      <w:bookmarkEnd w:id="63"/>
      <w:bookmarkEnd w:id="64"/>
      <w:bookmarkEnd w:id="65"/>
      <w:bookmarkEnd w:id="66"/>
      <w:bookmarkEnd w:id="67"/>
      <w:bookmarkEnd w:id="68"/>
      <w:bookmarkEnd w:id="69"/>
      <w:bookmarkEnd w:id="70"/>
      <w:bookmarkEnd w:id="71"/>
    </w:p>
    <w:p w14:paraId="13AF07E9">
      <w:pP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投标人参加投标的有关费用由投标人自行承担。</w:t>
      </w:r>
    </w:p>
    <w:p w14:paraId="1AF7D6FD">
      <w:pPr>
        <w:pStyle w:val="163"/>
        <w:spacing w:before="0" w:after="0" w:line="276" w:lineRule="auto"/>
        <w:ind w:firstLine="482" w:firstLineChars="200"/>
        <w:rPr>
          <w:rFonts w:hint="default" w:ascii="Times New Roman" w:hAnsi="Times New Roman" w:cs="Times New Roman"/>
          <w:color w:val="auto"/>
          <w:sz w:val="24"/>
          <w:highlight w:val="none"/>
        </w:rPr>
      </w:pPr>
      <w:bookmarkStart w:id="72" w:name="_Toc472599541"/>
      <w:bookmarkStart w:id="73" w:name="_Toc465085340"/>
      <w:bookmarkStart w:id="74" w:name="_Toc21165"/>
      <w:bookmarkStart w:id="75" w:name="_Toc160"/>
      <w:bookmarkStart w:id="76" w:name="_Toc472604586"/>
      <w:bookmarkStart w:id="77" w:name="_Toc466298038"/>
      <w:bookmarkStart w:id="78" w:name="_Toc6907"/>
      <w:r>
        <w:rPr>
          <w:rFonts w:hint="default" w:ascii="Times New Roman" w:hAnsi="Times New Roman" w:cs="Times New Roman"/>
          <w:color w:val="auto"/>
          <w:sz w:val="24"/>
          <w:highlight w:val="none"/>
        </w:rPr>
        <w:t>6.充分、公平竞争保障措施</w:t>
      </w:r>
      <w:bookmarkEnd w:id="72"/>
      <w:bookmarkEnd w:id="73"/>
      <w:bookmarkEnd w:id="74"/>
      <w:bookmarkEnd w:id="75"/>
      <w:bookmarkEnd w:id="76"/>
      <w:bookmarkEnd w:id="77"/>
      <w:bookmarkEnd w:id="78"/>
    </w:p>
    <w:p w14:paraId="37B59124">
      <w:pPr>
        <w:pStyle w:val="168"/>
        <w:spacing w:line="276" w:lineRule="auto"/>
        <w:ind w:left="1" w:firstLine="482" w:firstLineChars="200"/>
        <w:rPr>
          <w:rFonts w:hint="default" w:ascii="Times New Roman" w:hAnsi="Times New Roman" w:cs="Times New Roman"/>
          <w:b/>
          <w:color w:val="auto"/>
          <w:sz w:val="24"/>
          <w:szCs w:val="24"/>
          <w:highlight w:val="none"/>
        </w:rPr>
      </w:pPr>
      <w:bookmarkStart w:id="79" w:name="_Toc465085341"/>
      <w:bookmarkStart w:id="80" w:name="_Toc466298039"/>
      <w:r>
        <w:rPr>
          <w:rFonts w:hint="default" w:ascii="Times New Roman" w:hAnsi="Times New Roman" w:cs="Times New Roman"/>
          <w:b/>
          <w:color w:val="auto"/>
          <w:sz w:val="24"/>
          <w:highlight w:val="none"/>
        </w:rPr>
        <w:t>6.1提供相同品牌产品处理</w:t>
      </w:r>
      <w:r>
        <w:rPr>
          <w:rFonts w:hint="default" w:ascii="Times New Roman" w:hAnsi="Times New Roman" w:cs="Times New Roman"/>
          <w:b/>
          <w:color w:val="auto"/>
          <w:sz w:val="24"/>
          <w:szCs w:val="24"/>
          <w:highlight w:val="none"/>
        </w:rPr>
        <w:t>。</w:t>
      </w:r>
    </w:p>
    <w:p w14:paraId="3594B6CB">
      <w:pPr>
        <w:pStyle w:val="168"/>
        <w:spacing w:line="276"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59AF45D">
      <w:pPr>
        <w:pStyle w:val="168"/>
        <w:spacing w:line="276" w:lineRule="auto"/>
        <w:ind w:left="1"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6.2利害关系供应商处理。</w:t>
      </w:r>
      <w:r>
        <w:rPr>
          <w:rFonts w:hint="default" w:ascii="Times New Roman" w:hAnsi="Times New Roman" w:cs="Times New Roman"/>
          <w:color w:val="auto"/>
          <w:sz w:val="24"/>
          <w:highlight w:val="none"/>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612FE0D2">
      <w:pPr>
        <w:pStyle w:val="168"/>
        <w:spacing w:line="276" w:lineRule="auto"/>
        <w:ind w:left="1"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6.3前期参与供应商处理。</w:t>
      </w:r>
      <w:r>
        <w:rPr>
          <w:rFonts w:hint="default" w:ascii="Times New Roman" w:hAnsi="Times New Roman" w:cs="Times New Roman"/>
          <w:color w:val="auto"/>
          <w:sz w:val="24"/>
          <w:highlight w:val="none"/>
        </w:rPr>
        <w:t>除单一来源采购项目外，为采购项目提供整体设计、规范编制或者项目管理、监理、检测等服务的供应商，不得再参加该采购项目的其他采购活动；</w:t>
      </w:r>
    </w:p>
    <w:p w14:paraId="2C89E273">
      <w:pPr>
        <w:pStyle w:val="168"/>
        <w:spacing w:line="276" w:lineRule="auto"/>
        <w:ind w:left="1"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6.4利害关系代理人处理。</w:t>
      </w:r>
      <w:r>
        <w:rPr>
          <w:rFonts w:hint="default" w:ascii="Times New Roman" w:hAnsi="Times New Roman" w:cs="Times New Roman"/>
          <w:color w:val="auto"/>
          <w:sz w:val="24"/>
          <w:highlight w:val="none"/>
        </w:rPr>
        <w:t>2家以上的供应商不得在同一合同项下的采购项目中，同时委托同一个自然人、同一家庭的人员、同一单位的人员作为其代理人，否则，其投标文件作为无效处理。</w:t>
      </w:r>
    </w:p>
    <w:p w14:paraId="6A28DBDE">
      <w:pPr>
        <w:pStyle w:val="168"/>
        <w:spacing w:line="276" w:lineRule="auto"/>
        <w:ind w:left="1" w:firstLine="560" w:firstLineChars="200"/>
        <w:rPr>
          <w:rFonts w:hint="default" w:ascii="Times New Roman" w:hAnsi="Times New Roman" w:cs="Times New Roman"/>
          <w:bCs w:val="0"/>
          <w:color w:val="auto"/>
          <w:sz w:val="28"/>
          <w:szCs w:val="24"/>
          <w:highlight w:val="none"/>
        </w:rPr>
      </w:pPr>
      <w:bookmarkStart w:id="81" w:name="_Toc472599542"/>
      <w:bookmarkStart w:id="82" w:name="_Toc472604587"/>
    </w:p>
    <w:p w14:paraId="59EFB02C">
      <w:pPr>
        <w:pStyle w:val="4"/>
        <w:spacing w:before="0" w:after="0" w:line="276" w:lineRule="auto"/>
        <w:jc w:val="center"/>
        <w:rPr>
          <w:rFonts w:hint="default" w:ascii="Times New Roman" w:hAnsi="Times New Roman" w:cs="Times New Roman"/>
          <w:bCs w:val="0"/>
          <w:color w:val="auto"/>
          <w:sz w:val="28"/>
          <w:szCs w:val="24"/>
          <w:highlight w:val="none"/>
        </w:rPr>
      </w:pPr>
      <w:r>
        <w:rPr>
          <w:rFonts w:hint="default" w:ascii="Times New Roman" w:hAnsi="Times New Roman" w:cs="Times New Roman"/>
          <w:bCs w:val="0"/>
          <w:color w:val="auto"/>
          <w:sz w:val="28"/>
          <w:szCs w:val="24"/>
          <w:highlight w:val="none"/>
        </w:rPr>
        <w:t>三、招标文件</w:t>
      </w:r>
      <w:bookmarkEnd w:id="79"/>
      <w:bookmarkEnd w:id="80"/>
      <w:bookmarkEnd w:id="81"/>
      <w:bookmarkEnd w:id="82"/>
    </w:p>
    <w:p w14:paraId="024A35C2">
      <w:pPr>
        <w:pStyle w:val="5"/>
        <w:spacing w:before="0" w:after="0" w:line="276" w:lineRule="auto"/>
        <w:ind w:firstLine="482" w:firstLineChars="200"/>
        <w:rPr>
          <w:rFonts w:hint="default" w:ascii="Times New Roman" w:hAnsi="Times New Roman" w:cs="Times New Roman"/>
          <w:color w:val="auto"/>
          <w:sz w:val="24"/>
          <w:szCs w:val="24"/>
          <w:highlight w:val="none"/>
        </w:rPr>
      </w:pPr>
      <w:bookmarkStart w:id="83" w:name="_Toc183582210"/>
      <w:bookmarkStart w:id="84" w:name="_Toc28595"/>
      <w:bookmarkStart w:id="85" w:name="_Toc31103"/>
      <w:bookmarkStart w:id="86" w:name="_Toc183682347"/>
      <w:bookmarkStart w:id="87" w:name="_Toc466298040"/>
      <w:bookmarkStart w:id="88" w:name="_Toc472599543"/>
      <w:bookmarkStart w:id="89" w:name="_Toc217446039"/>
      <w:bookmarkStart w:id="90" w:name="_Toc465085342"/>
      <w:bookmarkStart w:id="91" w:name="_Toc472604588"/>
      <w:bookmarkStart w:id="92" w:name="_Toc20117"/>
      <w:r>
        <w:rPr>
          <w:rFonts w:hint="default" w:ascii="Times New Roman" w:hAnsi="Times New Roman" w:cs="Times New Roman"/>
          <w:color w:val="auto"/>
          <w:sz w:val="24"/>
          <w:szCs w:val="24"/>
          <w:highlight w:val="none"/>
        </w:rPr>
        <w:t>7.招标文件的构成</w:t>
      </w:r>
      <w:bookmarkEnd w:id="83"/>
      <w:bookmarkEnd w:id="84"/>
      <w:bookmarkEnd w:id="85"/>
      <w:bookmarkEnd w:id="86"/>
      <w:bookmarkEnd w:id="87"/>
      <w:bookmarkEnd w:id="88"/>
      <w:bookmarkEnd w:id="89"/>
      <w:bookmarkEnd w:id="90"/>
      <w:bookmarkEnd w:id="91"/>
      <w:bookmarkEnd w:id="92"/>
    </w:p>
    <w:p w14:paraId="7BFDF846">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10CDB6FD">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（一）投标邀请；</w:t>
      </w:r>
    </w:p>
    <w:p w14:paraId="653E8E80">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（二）投标人须知（包括投标文件的加密、签署、盖章要求等）；</w:t>
      </w:r>
    </w:p>
    <w:p w14:paraId="5ABFC7DD">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（三）投标人应当提交的资格、资信证明文件；</w:t>
      </w:r>
    </w:p>
    <w:p w14:paraId="71508CBA">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（四）为落实政府采购政策，采购标的需满足的要求，以及投标人须提供的证明材料；</w:t>
      </w:r>
    </w:p>
    <w:p w14:paraId="75CFEB56">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（五）投标文件编制要求、投标报价要求；</w:t>
      </w:r>
    </w:p>
    <w:p w14:paraId="4F4A5F58">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（六）采购项目预算金额，设定最高限价的，还应当公开最高限价；</w:t>
      </w:r>
    </w:p>
    <w:p w14:paraId="51E5F242">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（七）采购项目的技术规格、数量、服务标准、验收等要求，包括附件、图纸等；</w:t>
      </w:r>
    </w:p>
    <w:p w14:paraId="71C70701">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（八）拟签订的合同文本；</w:t>
      </w:r>
    </w:p>
    <w:p w14:paraId="0A2E196F">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（九）货物、服务提供的时间、地点、方式；</w:t>
      </w:r>
    </w:p>
    <w:p w14:paraId="762A37A4">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（十）采购资金的支付方式、时间、条件；</w:t>
      </w:r>
    </w:p>
    <w:p w14:paraId="76CD36E8">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（十一）评标方法、评标标准和投标无效情形；</w:t>
      </w:r>
    </w:p>
    <w:p w14:paraId="60E8DB65">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（十二）投标有效期；</w:t>
      </w:r>
    </w:p>
    <w:p w14:paraId="0453CD2A">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（十三）投标截止时间、开标时间及地点；</w:t>
      </w:r>
    </w:p>
    <w:p w14:paraId="44521916">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（十四）投标人信用信息查询渠道及截止时点、信用信息查询记录和证据留存的具体方式、信用信息的使用规则等；</w:t>
      </w:r>
    </w:p>
    <w:p w14:paraId="48A06B5D">
      <w:pP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（十五）省级以上财政部门规定的其他事项。</w:t>
      </w:r>
    </w:p>
    <w:p w14:paraId="0705F3B6">
      <w:pPr>
        <w:pStyle w:val="5"/>
        <w:spacing w:before="0" w:after="0" w:line="276" w:lineRule="auto"/>
        <w:ind w:firstLine="482" w:firstLineChars="200"/>
        <w:rPr>
          <w:rFonts w:hint="default" w:ascii="Times New Roman" w:hAnsi="Times New Roman" w:cs="Times New Roman"/>
          <w:color w:val="auto"/>
          <w:sz w:val="24"/>
          <w:szCs w:val="24"/>
          <w:highlight w:val="none"/>
        </w:rPr>
      </w:pPr>
      <w:bookmarkStart w:id="93" w:name="_Toc183582211"/>
      <w:bookmarkStart w:id="94" w:name="_Toc183682348"/>
      <w:bookmarkStart w:id="95" w:name="_Toc28432"/>
      <w:bookmarkStart w:id="96" w:name="_Toc472599544"/>
      <w:bookmarkStart w:id="97" w:name="_Toc465085343"/>
      <w:bookmarkStart w:id="98" w:name="_Toc15997"/>
      <w:bookmarkStart w:id="99" w:name="_Toc472604589"/>
      <w:bookmarkStart w:id="100" w:name="_Toc2921"/>
      <w:bookmarkStart w:id="101" w:name="_Toc217446040"/>
      <w:bookmarkStart w:id="102" w:name="_Toc466298041"/>
      <w:r>
        <w:rPr>
          <w:rFonts w:hint="default" w:ascii="Times New Roman" w:hAnsi="Times New Roman" w:cs="Times New Roman"/>
          <w:color w:val="auto"/>
          <w:sz w:val="24"/>
          <w:szCs w:val="24"/>
          <w:highlight w:val="none"/>
        </w:rPr>
        <w:t>8.招标文件的澄清</w:t>
      </w:r>
      <w:bookmarkEnd w:id="93"/>
      <w:bookmarkEnd w:id="94"/>
      <w:r>
        <w:rPr>
          <w:rFonts w:hint="default" w:ascii="Times New Roman" w:hAnsi="Times New Roman" w:cs="Times New Roman"/>
          <w:color w:val="auto"/>
          <w:sz w:val="24"/>
          <w:szCs w:val="24"/>
          <w:highlight w:val="none"/>
        </w:rPr>
        <w:t>和修改</w:t>
      </w:r>
      <w:bookmarkEnd w:id="95"/>
      <w:bookmarkEnd w:id="96"/>
      <w:bookmarkEnd w:id="97"/>
      <w:bookmarkEnd w:id="98"/>
      <w:bookmarkEnd w:id="99"/>
      <w:bookmarkEnd w:id="100"/>
      <w:bookmarkEnd w:id="101"/>
      <w:bookmarkEnd w:id="102"/>
    </w:p>
    <w:p w14:paraId="11A91C17">
      <w:pP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8.1招标采购单位可以依法对招标文件进行澄清或者修改。</w:t>
      </w:r>
    </w:p>
    <w:p w14:paraId="762EFC98">
      <w:pP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 招标采购单位对已发出的招标文件进行澄清或者修改，应当以电子邮件、网站公告提示等其中至少一种方式将澄清或者修改的内容通知所有报名成功的供应商，同时在新疆政府采购网上发布更正公告。该澄清或者修改的内容为招标文件的组成部分，澄清或者修改的内容可能影响投标文件编制的，采购人或者采购代理机构发布公告并书面通知供应商的时间，应当在投标截止时间至少15日前；不足上述时间的，应当顺延提交投标文件的截止时间。</w:t>
      </w:r>
    </w:p>
    <w:p w14:paraId="16F80B08">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 投标人认为需要对招标文件进行澄清或者修改的，可以以书面形式向招标采购单位提出申请，但招标采购单位可以决定是否采纳投标人的申请事项。</w:t>
      </w:r>
    </w:p>
    <w:p w14:paraId="25A36205">
      <w:pPr>
        <w:pStyle w:val="5"/>
        <w:spacing w:before="0" w:after="0" w:line="276" w:lineRule="auto"/>
        <w:ind w:firstLine="482" w:firstLineChars="200"/>
        <w:rPr>
          <w:rFonts w:hint="default" w:ascii="Times New Roman" w:hAnsi="Times New Roman" w:cs="Times New Roman"/>
          <w:color w:val="auto"/>
          <w:sz w:val="24"/>
          <w:szCs w:val="24"/>
          <w:highlight w:val="none"/>
        </w:rPr>
      </w:pPr>
      <w:bookmarkStart w:id="103" w:name="_Toc472599545"/>
      <w:bookmarkStart w:id="104" w:name="_Toc466298042"/>
      <w:bookmarkStart w:id="105" w:name="_Toc217446041"/>
      <w:bookmarkStart w:id="106" w:name="_Toc472604590"/>
      <w:bookmarkStart w:id="107" w:name="_Toc208848971"/>
      <w:bookmarkStart w:id="108" w:name="_Toc20971"/>
      <w:bookmarkStart w:id="109" w:name="_Toc25252"/>
      <w:bookmarkStart w:id="110" w:name="_Toc465085344"/>
      <w:bookmarkStart w:id="111" w:name="_Toc31070"/>
      <w:r>
        <w:rPr>
          <w:rFonts w:hint="default" w:ascii="Times New Roman" w:hAnsi="Times New Roman" w:cs="Times New Roman"/>
          <w:color w:val="auto"/>
          <w:sz w:val="24"/>
          <w:szCs w:val="24"/>
          <w:highlight w:val="none"/>
        </w:rPr>
        <w:t>9.答疑会和现场考察</w:t>
      </w:r>
      <w:bookmarkEnd w:id="103"/>
      <w:bookmarkEnd w:id="104"/>
      <w:bookmarkEnd w:id="105"/>
      <w:bookmarkEnd w:id="106"/>
      <w:bookmarkEnd w:id="107"/>
      <w:bookmarkEnd w:id="108"/>
      <w:bookmarkEnd w:id="109"/>
      <w:bookmarkEnd w:id="110"/>
      <w:bookmarkEnd w:id="111"/>
      <w:r>
        <w:rPr>
          <w:rFonts w:hint="default" w:ascii="Times New Roman" w:hAnsi="Times New Roman" w:cs="Times New Roman"/>
          <w:color w:val="auto"/>
          <w:sz w:val="24"/>
          <w:szCs w:val="24"/>
          <w:highlight w:val="none"/>
        </w:rPr>
        <w:t>（如涉及）</w:t>
      </w:r>
    </w:p>
    <w:p w14:paraId="0EDDA2D5">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6B330885">
      <w:pPr>
        <w:spacing w:line="276"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9.2 供应商考察现场所发生的一切费用由供应商自己承担。</w:t>
      </w:r>
    </w:p>
    <w:p w14:paraId="7E7B3845">
      <w:pPr>
        <w:rPr>
          <w:rFonts w:hint="default" w:ascii="Times New Roman" w:hAnsi="Times New Roman" w:cs="Times New Roman"/>
          <w:color w:val="auto"/>
          <w:highlight w:val="none"/>
        </w:rPr>
      </w:pPr>
      <w:bookmarkStart w:id="112" w:name="_Toc10673"/>
      <w:bookmarkStart w:id="113" w:name="_Toc472599546"/>
      <w:bookmarkStart w:id="114" w:name="_Toc472604591"/>
      <w:bookmarkStart w:id="115" w:name="_Toc13153"/>
      <w:bookmarkStart w:id="116" w:name="_Toc465085345"/>
      <w:bookmarkStart w:id="117" w:name="_Toc466298043"/>
    </w:p>
    <w:p w14:paraId="68B5FC4D">
      <w:pPr>
        <w:pStyle w:val="4"/>
        <w:spacing w:before="0" w:after="0" w:line="276" w:lineRule="auto"/>
        <w:jc w:val="center"/>
        <w:rPr>
          <w:rFonts w:hint="default" w:ascii="Times New Roman" w:hAnsi="Times New Roman" w:cs="Times New Roman"/>
          <w:bCs w:val="0"/>
          <w:color w:val="auto"/>
          <w:sz w:val="28"/>
          <w:szCs w:val="24"/>
          <w:highlight w:val="none"/>
        </w:rPr>
      </w:pPr>
      <w:r>
        <w:rPr>
          <w:rFonts w:hint="default" w:ascii="Times New Roman" w:hAnsi="Times New Roman" w:cs="Times New Roman"/>
          <w:bCs w:val="0"/>
          <w:color w:val="auto"/>
          <w:sz w:val="28"/>
          <w:szCs w:val="24"/>
          <w:highlight w:val="none"/>
        </w:rPr>
        <w:t>四、投标文件</w:t>
      </w:r>
      <w:bookmarkEnd w:id="112"/>
      <w:bookmarkEnd w:id="113"/>
      <w:bookmarkEnd w:id="114"/>
      <w:bookmarkEnd w:id="115"/>
      <w:bookmarkEnd w:id="116"/>
      <w:bookmarkEnd w:id="117"/>
    </w:p>
    <w:p w14:paraId="7FC881F7">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118" w:name="_Toc183582215"/>
      <w:bookmarkStart w:id="119" w:name="_Toc183682352"/>
      <w:bookmarkStart w:id="120" w:name="_Toc1021"/>
      <w:bookmarkStart w:id="121" w:name="_Toc472604592"/>
      <w:bookmarkStart w:id="122" w:name="_Toc466298044"/>
      <w:bookmarkStart w:id="123" w:name="_Toc465085346"/>
      <w:bookmarkStart w:id="124" w:name="_Toc13546"/>
      <w:bookmarkStart w:id="125" w:name="_Toc8708"/>
      <w:bookmarkStart w:id="126" w:name="_Toc472599547"/>
      <w:bookmarkStart w:id="127" w:name="_Toc217446043"/>
      <w:r>
        <w:rPr>
          <w:rFonts w:hint="default" w:ascii="Times New Roman" w:hAnsi="Times New Roman" w:cs="Times New Roman"/>
          <w:bCs w:val="0"/>
          <w:color w:val="auto"/>
          <w:sz w:val="24"/>
          <w:szCs w:val="24"/>
          <w:highlight w:val="none"/>
        </w:rPr>
        <w:t>10.投标文件的语言</w:t>
      </w:r>
      <w:bookmarkEnd w:id="118"/>
      <w:bookmarkEnd w:id="119"/>
      <w:bookmarkEnd w:id="120"/>
      <w:bookmarkEnd w:id="121"/>
      <w:bookmarkEnd w:id="122"/>
      <w:bookmarkEnd w:id="123"/>
      <w:bookmarkEnd w:id="124"/>
      <w:bookmarkEnd w:id="125"/>
      <w:bookmarkEnd w:id="126"/>
      <w:bookmarkEnd w:id="127"/>
    </w:p>
    <w:p w14:paraId="6484B093">
      <w:pPr>
        <w:spacing w:line="276" w:lineRule="auto"/>
        <w:ind w:firstLine="480" w:firstLineChars="200"/>
        <w:rPr>
          <w:rFonts w:hint="default" w:ascii="Times New Roman" w:hAnsi="Times New Roman" w:cs="Times New Roman"/>
          <w:color w:val="auto"/>
          <w:sz w:val="24"/>
          <w:highlight w:val="none"/>
        </w:rPr>
      </w:pPr>
      <w:bookmarkStart w:id="128" w:name="_Toc217446044"/>
      <w:bookmarkStart w:id="129" w:name="_Toc183682353"/>
      <w:bookmarkStart w:id="130" w:name="_Toc472599548"/>
      <w:bookmarkStart w:id="131" w:name="_Toc472604593"/>
      <w:bookmarkStart w:id="132" w:name="_Toc466298045"/>
      <w:bookmarkStart w:id="133" w:name="_Toc5460"/>
      <w:bookmarkStart w:id="134" w:name="_Toc183582216"/>
      <w:bookmarkStart w:id="135" w:name="_Toc4845"/>
      <w:bookmarkStart w:id="136" w:name="_Toc465085347"/>
      <w:bookmarkStart w:id="137" w:name="_Toc18014"/>
      <w:r>
        <w:rPr>
          <w:rFonts w:hint="default" w:ascii="Times New Roman" w:hAnsi="Times New Roman" w:cs="Times New Roman"/>
          <w:color w:val="auto"/>
          <w:sz w:val="24"/>
          <w:highlight w:val="none"/>
        </w:rPr>
        <w:t>10.1 投标人提交的投标文件以及投标人与招标采购单位就有关投标的所有来往书面文件均须使用中文。投标文件中如附有外文资料，必须逐一对应翻译成中文并加盖投标人公章后附在相关外文资料后面。（说明：供应商的法定代表人/单位负责人为外籍人士的，法定代表人/单位负责人的签字和护照除外。）</w:t>
      </w:r>
    </w:p>
    <w:p w14:paraId="0D038BFD">
      <w:pPr>
        <w:pStyle w:val="5"/>
        <w:spacing w:before="0" w:after="0" w:line="276" w:lineRule="auto"/>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11.计量单位</w:t>
      </w:r>
      <w:bookmarkEnd w:id="128"/>
      <w:bookmarkEnd w:id="129"/>
      <w:bookmarkEnd w:id="130"/>
      <w:bookmarkEnd w:id="131"/>
      <w:bookmarkEnd w:id="132"/>
      <w:bookmarkEnd w:id="133"/>
      <w:bookmarkEnd w:id="134"/>
      <w:bookmarkEnd w:id="135"/>
      <w:bookmarkEnd w:id="136"/>
      <w:bookmarkEnd w:id="137"/>
    </w:p>
    <w:p w14:paraId="68E00D40">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除招标文件中另有规定外，本次采购项目所有合同项下的投标均采用国家法定的计量单位。</w:t>
      </w:r>
    </w:p>
    <w:p w14:paraId="14289650">
      <w:pPr>
        <w:pStyle w:val="5"/>
        <w:spacing w:before="0" w:after="0" w:line="276" w:lineRule="auto"/>
        <w:ind w:firstLine="482" w:firstLineChars="200"/>
        <w:rPr>
          <w:rFonts w:hint="default" w:ascii="Times New Roman" w:hAnsi="Times New Roman" w:cs="Times New Roman"/>
          <w:color w:val="auto"/>
          <w:sz w:val="24"/>
          <w:szCs w:val="24"/>
          <w:highlight w:val="none"/>
        </w:rPr>
      </w:pPr>
      <w:bookmarkStart w:id="138" w:name="_Toc217446045"/>
      <w:bookmarkStart w:id="139" w:name="_Toc11403"/>
      <w:bookmarkStart w:id="140" w:name="_Toc472604594"/>
      <w:bookmarkStart w:id="141" w:name="_Toc466298046"/>
      <w:bookmarkStart w:id="142" w:name="_Toc26644"/>
      <w:bookmarkStart w:id="143" w:name="_Toc465085348"/>
      <w:bookmarkStart w:id="144" w:name="_Toc472599549"/>
      <w:bookmarkStart w:id="145" w:name="_Toc10708"/>
      <w:r>
        <w:rPr>
          <w:rFonts w:hint="default" w:ascii="Times New Roman" w:hAnsi="Times New Roman" w:cs="Times New Roman"/>
          <w:color w:val="auto"/>
          <w:sz w:val="24"/>
          <w:szCs w:val="24"/>
          <w:highlight w:val="none"/>
        </w:rPr>
        <w:t>12.投标货币</w:t>
      </w:r>
      <w:bookmarkEnd w:id="138"/>
      <w:bookmarkEnd w:id="139"/>
      <w:bookmarkEnd w:id="140"/>
      <w:bookmarkEnd w:id="141"/>
      <w:bookmarkEnd w:id="142"/>
      <w:bookmarkEnd w:id="143"/>
      <w:bookmarkEnd w:id="144"/>
      <w:bookmarkEnd w:id="145"/>
    </w:p>
    <w:p w14:paraId="1D8F432F">
      <w:pPr>
        <w:tabs>
          <w:tab w:val="left" w:pos="7665"/>
        </w:tabs>
        <w:spacing w:line="276" w:lineRule="auto"/>
        <w:ind w:left="13" w:hanging="118"/>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 xml:space="preserve"> 本次招标项目的投标均以人民币报价。</w:t>
      </w:r>
    </w:p>
    <w:p w14:paraId="0ECD40D4">
      <w:pPr>
        <w:pStyle w:val="5"/>
        <w:spacing w:before="0" w:after="0" w:line="276" w:lineRule="auto"/>
        <w:ind w:firstLine="482" w:firstLineChars="200"/>
        <w:rPr>
          <w:rFonts w:hint="default" w:ascii="Times New Roman" w:hAnsi="Times New Roman" w:cs="Times New Roman"/>
          <w:color w:val="auto"/>
          <w:sz w:val="24"/>
          <w:szCs w:val="24"/>
          <w:highlight w:val="none"/>
        </w:rPr>
      </w:pPr>
      <w:bookmarkStart w:id="146" w:name="_Toc465085349"/>
      <w:bookmarkStart w:id="147" w:name="_Toc472599550"/>
      <w:bookmarkStart w:id="148" w:name="_Toc10275"/>
      <w:bookmarkStart w:id="149" w:name="_Toc472604595"/>
      <w:bookmarkStart w:id="150" w:name="_Toc6474"/>
      <w:bookmarkStart w:id="151" w:name="_Toc32199"/>
      <w:bookmarkStart w:id="152" w:name="_Toc217446046"/>
      <w:bookmarkStart w:id="153" w:name="_Toc466298047"/>
      <w:r>
        <w:rPr>
          <w:rFonts w:hint="default" w:ascii="Times New Roman" w:hAnsi="Times New Roman" w:cs="Times New Roman"/>
          <w:color w:val="auto"/>
          <w:sz w:val="24"/>
          <w:szCs w:val="24"/>
          <w:highlight w:val="none"/>
        </w:rPr>
        <w:t>13.联合体投标</w:t>
      </w:r>
      <w:bookmarkEnd w:id="146"/>
      <w:bookmarkEnd w:id="147"/>
      <w:bookmarkEnd w:id="148"/>
      <w:bookmarkEnd w:id="149"/>
      <w:bookmarkEnd w:id="150"/>
      <w:bookmarkEnd w:id="151"/>
      <w:bookmarkEnd w:id="152"/>
      <w:bookmarkEnd w:id="153"/>
    </w:p>
    <w:p w14:paraId="0942B830">
      <w:pPr>
        <w:pStyle w:val="168"/>
        <w:spacing w:line="400" w:lineRule="exact"/>
        <w:ind w:left="1" w:firstLine="480" w:firstLineChars="200"/>
        <w:rPr>
          <w:rFonts w:hint="default" w:ascii="Times New Roman" w:hAnsi="Times New Roman" w:cs="Times New Roman"/>
          <w:color w:val="auto"/>
          <w:sz w:val="24"/>
          <w:highlight w:val="none"/>
        </w:rPr>
      </w:pPr>
      <w:bookmarkStart w:id="154" w:name="_Toc465085350"/>
      <w:bookmarkStart w:id="155" w:name="_Toc6516"/>
      <w:bookmarkStart w:id="156" w:name="_Toc472604596"/>
      <w:bookmarkStart w:id="157" w:name="_Toc17371"/>
      <w:bookmarkStart w:id="158" w:name="_Toc466298048"/>
      <w:bookmarkStart w:id="159" w:name="_Toc217446047"/>
      <w:bookmarkStart w:id="160" w:name="_Toc7099"/>
      <w:bookmarkStart w:id="161" w:name="_Toc472599551"/>
      <w:r>
        <w:rPr>
          <w:rFonts w:hint="default" w:ascii="Times New Roman" w:hAnsi="Times New Roman" w:cs="Times New Roman"/>
          <w:color w:val="auto"/>
          <w:sz w:val="24"/>
          <w:highlight w:val="none"/>
        </w:rPr>
        <w:t>本项目接受联合体参与采购活动：</w:t>
      </w:r>
    </w:p>
    <w:p w14:paraId="7624A58E">
      <w:pPr>
        <w:pStyle w:val="168"/>
        <w:spacing w:line="400" w:lineRule="exact"/>
        <w:ind w:left="1"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 两个以上供应商可以组成一个联合体参与投标，以一个供应商的身份投标。以联合体形式参加投标的，联合体各方均应当符合第一章第五条第一款第1项至第6项规定的条件，联合体各方中至少有一方符合第一章第五条第一款第7项规定的特定条件。</w:t>
      </w:r>
    </w:p>
    <w:p w14:paraId="7F8F73CE">
      <w:pPr>
        <w:pStyle w:val="168"/>
        <w:spacing w:line="400" w:lineRule="exact"/>
        <w:ind w:left="1"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 联合体各方之间应当签订联合体投标协议，明确约定联合体各方承担的工作和相应的责任。联合体参与投标的，应在响应文件中提供联合体协议原件。</w:t>
      </w:r>
    </w:p>
    <w:p w14:paraId="1F8EB7C1">
      <w:pPr>
        <w:pStyle w:val="168"/>
        <w:spacing w:line="400" w:lineRule="exact"/>
        <w:ind w:left="1"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13.3 联合体应当确定其中一个单位为投标的全权代表，负责参加投标的一切事务。</w:t>
      </w:r>
    </w:p>
    <w:p w14:paraId="708ECBF9">
      <w:pPr>
        <w:pStyle w:val="168"/>
        <w:spacing w:line="400" w:lineRule="exact"/>
        <w:ind w:left="1"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13.4 联合体各方应当共同与采购人签订采购合同，就采购合同约定的事项对采购人承担连带责任。</w:t>
      </w:r>
    </w:p>
    <w:p w14:paraId="0539BE4A">
      <w:pPr>
        <w:pStyle w:val="168"/>
        <w:spacing w:line="400" w:lineRule="exact"/>
        <w:ind w:left="1"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13.5联合体中有同类资质的供应商按照联合体分工承担相同工作的，将按照资质等级较低的供应商确定资质等级。</w:t>
      </w:r>
    </w:p>
    <w:p w14:paraId="2B0EBB0B">
      <w:pPr>
        <w:spacing w:line="276" w:lineRule="auto"/>
        <w:ind w:firstLine="468" w:firstLineChars="195"/>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13.6以联合体形式参加政府采购活动的，联合体各方不得再单独参加或者与其他供应商另外组成联合体参加同一合同项下的政府采购活动。</w:t>
      </w:r>
    </w:p>
    <w:p w14:paraId="6CC99D12">
      <w:pPr>
        <w:pStyle w:val="5"/>
        <w:spacing w:before="0" w:after="0" w:line="276" w:lineRule="auto"/>
        <w:ind w:firstLine="482" w:firstLineChars="200"/>
        <w:rPr>
          <w:rFonts w:hint="default" w:ascii="Times New Roman" w:hAnsi="Times New Roman" w:cs="Times New Roman"/>
          <w:bCs w:val="0"/>
          <w:color w:val="auto"/>
          <w:sz w:val="24"/>
          <w:szCs w:val="24"/>
          <w:highlight w:val="none"/>
        </w:rPr>
      </w:pPr>
      <w:r>
        <w:rPr>
          <w:rFonts w:hint="default" w:ascii="Times New Roman" w:hAnsi="Times New Roman" w:cs="Times New Roman"/>
          <w:bCs w:val="0"/>
          <w:color w:val="auto"/>
          <w:sz w:val="24"/>
          <w:szCs w:val="24"/>
          <w:highlight w:val="none"/>
        </w:rPr>
        <w:t>14.知识产权</w:t>
      </w:r>
      <w:bookmarkEnd w:id="154"/>
      <w:bookmarkEnd w:id="155"/>
      <w:bookmarkEnd w:id="156"/>
      <w:bookmarkEnd w:id="157"/>
      <w:bookmarkEnd w:id="158"/>
      <w:bookmarkEnd w:id="159"/>
      <w:bookmarkEnd w:id="160"/>
      <w:bookmarkEnd w:id="161"/>
    </w:p>
    <w:p w14:paraId="21838FE9">
      <w:pPr>
        <w:pStyle w:val="2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D7EC40C">
      <w:pPr>
        <w:pStyle w:val="2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采购人享有本项目实施过程中产生的知识成果及知识产权。</w:t>
      </w:r>
    </w:p>
    <w:p w14:paraId="320E3EBA">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 投标人如欲在项目实施过程中采用自有知识成果，使用该知识成果后，投标人需提供开发接口和开发手册等技术文档，并承诺提供无限期技术支持，采购人享有永久使用权（含采购人委托第三方在该项目后续开发的使用权）。</w:t>
      </w:r>
    </w:p>
    <w:p w14:paraId="43D66BA1">
      <w:pP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14.4 如采用投标人所不拥有的知识产权，则在投标报价中必须包括合法获取该知识产权的相关费用。 </w:t>
      </w:r>
    </w:p>
    <w:p w14:paraId="1FD672EC">
      <w:pPr>
        <w:pStyle w:val="5"/>
        <w:spacing w:before="0" w:after="0" w:line="276" w:lineRule="auto"/>
        <w:ind w:firstLine="482" w:firstLineChars="200"/>
        <w:rPr>
          <w:rFonts w:hint="default" w:ascii="Times New Roman" w:hAnsi="Times New Roman" w:cs="Times New Roman"/>
          <w:color w:val="auto"/>
          <w:sz w:val="24"/>
          <w:szCs w:val="24"/>
          <w:highlight w:val="none"/>
        </w:rPr>
      </w:pPr>
      <w:bookmarkStart w:id="162" w:name="_Toc472599552"/>
      <w:bookmarkStart w:id="163" w:name="_Toc183682354"/>
      <w:bookmarkStart w:id="164" w:name="_Toc465085351"/>
      <w:bookmarkStart w:id="165" w:name="_Toc19895"/>
      <w:bookmarkStart w:id="166" w:name="_Toc217446048"/>
      <w:bookmarkStart w:id="167" w:name="_Toc183582217"/>
      <w:bookmarkStart w:id="168" w:name="_Toc30231"/>
      <w:bookmarkStart w:id="169" w:name="_Toc466298049"/>
      <w:bookmarkStart w:id="170" w:name="_Toc472604597"/>
      <w:bookmarkStart w:id="171" w:name="_Toc27905"/>
      <w:r>
        <w:rPr>
          <w:rFonts w:hint="default" w:ascii="Times New Roman" w:hAnsi="Times New Roman" w:cs="Times New Roman"/>
          <w:color w:val="auto"/>
          <w:sz w:val="24"/>
          <w:szCs w:val="24"/>
          <w:highlight w:val="none"/>
        </w:rPr>
        <w:t>15.投标文件的组成</w:t>
      </w:r>
      <w:bookmarkEnd w:id="162"/>
      <w:bookmarkEnd w:id="163"/>
      <w:bookmarkEnd w:id="164"/>
      <w:bookmarkEnd w:id="165"/>
      <w:bookmarkEnd w:id="166"/>
      <w:bookmarkEnd w:id="167"/>
      <w:bookmarkEnd w:id="168"/>
      <w:bookmarkEnd w:id="169"/>
      <w:bookmarkEnd w:id="170"/>
      <w:bookmarkEnd w:id="171"/>
    </w:p>
    <w:p w14:paraId="688C6318">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应按照招标文件的规定和要求编制投标文件。投标人拟在中标后将中标项目的非主体、非关键性工作交由他人完成的，应当在投标文件中载明（采购单位另有要求的除外）。投标人编写的投标文件应包括下列部分：</w:t>
      </w:r>
    </w:p>
    <w:p w14:paraId="553C7095">
      <w:pPr>
        <w:spacing w:line="276"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15.1 资格响应文件。</w:t>
      </w:r>
      <w:r>
        <w:rPr>
          <w:rFonts w:hint="default" w:ascii="Times New Roman" w:hAnsi="Times New Roman" w:cs="Times New Roman"/>
          <w:color w:val="auto"/>
          <w:sz w:val="24"/>
          <w:szCs w:val="24"/>
          <w:highlight w:val="none"/>
        </w:rPr>
        <w:t>内容见第五章 “投标人应当提供的资格证明材料”，</w:t>
      </w:r>
      <w:r>
        <w:rPr>
          <w:rFonts w:hint="default" w:ascii="Times New Roman" w:hAnsi="Times New Roman" w:cs="Times New Roman"/>
          <w:bCs/>
          <w:color w:val="auto"/>
          <w:sz w:val="24"/>
          <w:highlight w:val="none"/>
        </w:rPr>
        <w:t>供应商按照招标文件要求应该作出的其他应答和承诺。</w:t>
      </w:r>
    </w:p>
    <w:p w14:paraId="6A479374">
      <w:pPr>
        <w:tabs>
          <w:tab w:val="left" w:pos="540"/>
        </w:tabs>
        <w:spacing w:line="276" w:lineRule="auto"/>
        <w:ind w:firstLine="472" w:firstLineChars="196"/>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15.2 技术商务响应文件。</w:t>
      </w:r>
      <w:r>
        <w:rPr>
          <w:rFonts w:hint="default" w:ascii="Times New Roman" w:hAnsi="Times New Roman" w:cs="Times New Roman"/>
          <w:bCs/>
          <w:color w:val="auto"/>
          <w:sz w:val="24"/>
          <w:highlight w:val="none"/>
        </w:rPr>
        <w:t>投标人</w:t>
      </w:r>
      <w:r>
        <w:rPr>
          <w:rFonts w:hint="default" w:ascii="Times New Roman" w:hAnsi="Times New Roman" w:cs="Times New Roman"/>
          <w:color w:val="auto"/>
          <w:sz w:val="24"/>
          <w:highlight w:val="none"/>
        </w:rPr>
        <w:t>按照招标文件要求做出的技术应答，主要是针对招标项目的技术指标、参数和技术要求做出的实质性响应和满足。严格按照文件要求提供以下五个方面的相关材料：</w:t>
      </w:r>
    </w:p>
    <w:p w14:paraId="0CD51E53">
      <w:pPr>
        <w:spacing w:line="276" w:lineRule="auto"/>
        <w:ind w:firstLine="472" w:firstLineChars="196"/>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（一）报价部分。</w:t>
      </w:r>
      <w:r>
        <w:rPr>
          <w:rFonts w:hint="default" w:ascii="Times New Roman" w:hAnsi="Times New Roman" w:cs="Times New Roman"/>
          <w:bCs/>
          <w:color w:val="auto"/>
          <w:sz w:val="24"/>
          <w:highlight w:val="none"/>
        </w:rPr>
        <w:t>投标人</w:t>
      </w:r>
      <w:r>
        <w:rPr>
          <w:rFonts w:hint="default" w:ascii="Times New Roman" w:hAnsi="Times New Roman" w:cs="Times New Roman"/>
          <w:color w:val="auto"/>
          <w:sz w:val="24"/>
          <w:highlight w:val="none"/>
        </w:rPr>
        <w:t>按照招标文件要求填写的“开标一览表” 本次招标报价要求：</w:t>
      </w:r>
    </w:p>
    <w:p w14:paraId="4C58CC7F">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投标人的报价是投标人响应招标项目要求的全部工作内容的价格体现，包括投标人完成本项目所需的一切费用； </w:t>
      </w:r>
    </w:p>
    <w:p w14:paraId="6B988575">
      <w:pPr>
        <w:spacing w:line="276"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color w:val="auto"/>
          <w:sz w:val="24"/>
          <w:highlight w:val="none"/>
        </w:rPr>
        <w:t>（二）技术部分</w:t>
      </w:r>
      <w:r>
        <w:rPr>
          <w:rFonts w:hint="default" w:ascii="Times New Roman" w:hAnsi="Times New Roman" w:cs="Times New Roman"/>
          <w:bCs/>
          <w:color w:val="auto"/>
          <w:sz w:val="24"/>
          <w:szCs w:val="24"/>
          <w:highlight w:val="none"/>
        </w:rPr>
        <w:t>（根据具体项目情况确定）</w:t>
      </w:r>
      <w:r>
        <w:rPr>
          <w:rFonts w:hint="default" w:ascii="Times New Roman" w:hAnsi="Times New Roman" w:cs="Times New Roman"/>
          <w:color w:val="auto"/>
          <w:sz w:val="24"/>
          <w:highlight w:val="none"/>
        </w:rPr>
        <w:t>。投标人按照招标文件要求做出的技术服务应答，主要是针对招标项目的服务内容和要求做出的实质性响应和满足。投标人的技术服务应答包括（但不限于）以下内容：</w:t>
      </w:r>
    </w:p>
    <w:p w14:paraId="52D4E61A">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（1）服务方案或承诺；</w:t>
      </w:r>
    </w:p>
    <w:p w14:paraId="3A99988F">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（2）项目实施方案；</w:t>
      </w:r>
    </w:p>
    <w:p w14:paraId="2A645468">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（3）投标人认为需要提供的文件和资料。</w:t>
      </w:r>
    </w:p>
    <w:p w14:paraId="07F4C486">
      <w:pPr>
        <w:spacing w:line="276"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（三）商务部分</w:t>
      </w:r>
      <w:r>
        <w:rPr>
          <w:rFonts w:hint="default" w:ascii="Times New Roman" w:hAnsi="Times New Roman" w:cs="Times New Roman"/>
          <w:bCs/>
          <w:color w:val="auto"/>
          <w:sz w:val="24"/>
          <w:szCs w:val="24"/>
          <w:highlight w:val="none"/>
        </w:rPr>
        <w:t>（根据具体项目情况确定）</w:t>
      </w:r>
      <w:r>
        <w:rPr>
          <w:rFonts w:hint="default" w:ascii="Times New Roman" w:hAnsi="Times New Roman" w:cs="Times New Roman"/>
          <w:color w:val="auto"/>
          <w:sz w:val="24"/>
          <w:highlight w:val="none"/>
        </w:rPr>
        <w:t>。投标人按照招标文件要求提供的有关文件及优惠承诺。包括（但不限于）以下内容：</w:t>
      </w:r>
    </w:p>
    <w:p w14:paraId="07D06D3E">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（1）投标函；</w:t>
      </w:r>
    </w:p>
    <w:p w14:paraId="4503C87F">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）证明投标人业绩和荣誉的有关材料复印件；</w:t>
      </w:r>
    </w:p>
    <w:p w14:paraId="0DD8ADA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）商务应答表；</w:t>
      </w:r>
    </w:p>
    <w:p w14:paraId="23C2B3D9">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）其他投标人认为需要提供的文件和资料。</w:t>
      </w:r>
    </w:p>
    <w:p w14:paraId="2FC1916E">
      <w:pPr>
        <w:spacing w:line="276"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（四）售后服务</w:t>
      </w:r>
      <w:r>
        <w:rPr>
          <w:rFonts w:hint="default" w:ascii="Times New Roman" w:hAnsi="Times New Roman" w:cs="Times New Roman"/>
          <w:bCs/>
          <w:color w:val="auto"/>
          <w:sz w:val="24"/>
          <w:szCs w:val="24"/>
          <w:highlight w:val="none"/>
        </w:rPr>
        <w:t>（根据具体项目情况确定）</w:t>
      </w:r>
      <w:r>
        <w:rPr>
          <w:rFonts w:hint="default" w:ascii="Times New Roman" w:hAnsi="Times New Roman" w:cs="Times New Roman"/>
          <w:color w:val="auto"/>
          <w:sz w:val="24"/>
          <w:highlight w:val="none"/>
        </w:rPr>
        <w:t>。投标人按照招标文件中售后服务要求作出的积极响应和承诺。</w:t>
      </w:r>
    </w:p>
    <w:p w14:paraId="24ABE0BC">
      <w:pPr>
        <w:spacing w:line="276" w:lineRule="auto"/>
        <w:ind w:left="3" w:leftChars="1" w:firstLine="482" w:firstLineChars="200"/>
        <w:rPr>
          <w:rFonts w:hint="default" w:ascii="Times New Roman" w:hAnsi="Times New Roman" w:cs="Times New Roman"/>
          <w:bCs/>
          <w:color w:val="auto"/>
          <w:sz w:val="24"/>
          <w:highlight w:val="none"/>
        </w:rPr>
      </w:pPr>
      <w:r>
        <w:rPr>
          <w:rFonts w:hint="default" w:ascii="Times New Roman" w:hAnsi="Times New Roman" w:cs="Times New Roman"/>
          <w:b/>
          <w:bCs/>
          <w:color w:val="auto"/>
          <w:sz w:val="24"/>
          <w:highlight w:val="none"/>
        </w:rPr>
        <w:t>（五）其他部分。</w:t>
      </w:r>
      <w:r>
        <w:rPr>
          <w:rFonts w:hint="default" w:ascii="Times New Roman" w:hAnsi="Times New Roman" w:cs="Times New Roman"/>
          <w:bCs/>
          <w:color w:val="auto"/>
          <w:sz w:val="24"/>
          <w:highlight w:val="none"/>
        </w:rPr>
        <w:t>投标人按照招标文件要求作出的其他应答和承诺。</w:t>
      </w:r>
    </w:p>
    <w:p w14:paraId="472FBDC4">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172" w:name="_Toc183682362"/>
      <w:bookmarkStart w:id="173" w:name="_Toc8293"/>
      <w:bookmarkStart w:id="174" w:name="_Toc472604602"/>
      <w:bookmarkStart w:id="175" w:name="_Toc217446052"/>
      <w:bookmarkStart w:id="176" w:name="_Toc472599557"/>
      <w:bookmarkStart w:id="177" w:name="_Toc183582225"/>
      <w:bookmarkStart w:id="178" w:name="_Toc466298053"/>
      <w:bookmarkStart w:id="179" w:name="_Toc465085355"/>
      <w:bookmarkStart w:id="180" w:name="_Toc26640"/>
      <w:bookmarkStart w:id="181" w:name="_Toc9112"/>
      <w:bookmarkStart w:id="182" w:name="_Toc183682363"/>
      <w:bookmarkStart w:id="183" w:name="_Toc183582226"/>
      <w:bookmarkStart w:id="184" w:name="_Toc77400781"/>
      <w:bookmarkStart w:id="185" w:name="_Toc89075877"/>
      <w:bookmarkStart w:id="186" w:name="_Toc465085356"/>
      <w:bookmarkStart w:id="187" w:name="_Toc217446053"/>
      <w:bookmarkStart w:id="188" w:name="_Toc7370"/>
      <w:bookmarkStart w:id="189" w:name="_Toc466298054"/>
      <w:bookmarkStart w:id="190" w:name="_Toc25140"/>
      <w:bookmarkStart w:id="191" w:name="_Toc25968"/>
      <w:bookmarkStart w:id="192" w:name="_Toc472599558"/>
      <w:bookmarkStart w:id="193" w:name="_Toc472604603"/>
      <w:bookmarkStart w:id="194" w:name="_Toc472604599"/>
      <w:bookmarkStart w:id="195" w:name="_Toc1802"/>
      <w:bookmarkStart w:id="196" w:name="_Toc183682355"/>
      <w:bookmarkStart w:id="197" w:name="_Toc466298050"/>
      <w:bookmarkStart w:id="198" w:name="_Toc217446049"/>
      <w:bookmarkStart w:id="199" w:name="_Toc30504"/>
      <w:bookmarkStart w:id="200" w:name="_Toc20176"/>
      <w:bookmarkStart w:id="201" w:name="_Toc465085352"/>
      <w:bookmarkStart w:id="202" w:name="_Toc183582218"/>
      <w:bookmarkStart w:id="203" w:name="_Toc472599554"/>
      <w:r>
        <w:rPr>
          <w:rFonts w:hint="default" w:ascii="Times New Roman" w:hAnsi="Times New Roman" w:cs="Times New Roman"/>
          <w:bCs w:val="0"/>
          <w:color w:val="auto"/>
          <w:sz w:val="24"/>
          <w:szCs w:val="24"/>
          <w:highlight w:val="none"/>
        </w:rPr>
        <w:t>16.投标文件的</w:t>
      </w:r>
      <w:r>
        <w:rPr>
          <w:rFonts w:hint="default" w:ascii="Times New Roman" w:hAnsi="Times New Roman" w:cs="Times New Roman"/>
          <w:bCs w:val="0"/>
          <w:color w:val="auto"/>
          <w:sz w:val="24"/>
          <w:szCs w:val="24"/>
          <w:highlight w:val="none"/>
          <w:lang w:val="en-US" w:eastAsia="zh-CN"/>
        </w:rPr>
        <w:t>制作</w:t>
      </w:r>
      <w:r>
        <w:rPr>
          <w:rFonts w:hint="default" w:ascii="Times New Roman" w:hAnsi="Times New Roman" w:cs="Times New Roman"/>
          <w:bCs w:val="0"/>
          <w:color w:val="auto"/>
          <w:sz w:val="24"/>
          <w:szCs w:val="24"/>
          <w:highlight w:val="none"/>
        </w:rPr>
        <w:t>和签署</w:t>
      </w:r>
      <w:bookmarkEnd w:id="172"/>
      <w:bookmarkEnd w:id="173"/>
      <w:bookmarkEnd w:id="174"/>
      <w:bookmarkEnd w:id="175"/>
      <w:bookmarkEnd w:id="176"/>
      <w:bookmarkEnd w:id="177"/>
      <w:bookmarkEnd w:id="178"/>
      <w:bookmarkEnd w:id="179"/>
      <w:bookmarkEnd w:id="180"/>
      <w:bookmarkEnd w:id="181"/>
    </w:p>
    <w:p w14:paraId="7222B0BB">
      <w:pPr>
        <w:spacing w:line="400" w:lineRule="exact"/>
        <w:ind w:firstLine="468" w:firstLineChars="195"/>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 xml:space="preserve">16.1 </w:t>
      </w:r>
      <w:r>
        <w:rPr>
          <w:rFonts w:hint="default" w:ascii="Times New Roman" w:hAnsi="Times New Roman" w:cs="Times New Roman"/>
          <w:bCs/>
          <w:color w:val="auto"/>
          <w:sz w:val="24"/>
          <w:highlight w:val="none"/>
        </w:rPr>
        <w:t>在政采云平台上传电子投标文件1份（加密）为正本。</w:t>
      </w:r>
    </w:p>
    <w:p w14:paraId="7B7F0CCD">
      <w:pPr>
        <w:spacing w:line="400" w:lineRule="exact"/>
        <w:ind w:firstLine="468" w:firstLineChars="195"/>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 上传电子投标文件需要在规定签章处签字和盖章。</w:t>
      </w:r>
    </w:p>
    <w:p w14:paraId="1D4BF5A6">
      <w:pPr>
        <w:spacing w:line="400" w:lineRule="exact"/>
        <w:ind w:firstLine="468" w:firstLineChars="195"/>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16.3 上传电子投标文件需要逐页编目编码。</w:t>
      </w:r>
    </w:p>
    <w:p w14:paraId="7455A1C6">
      <w:pPr>
        <w:tabs>
          <w:tab w:val="left" w:pos="1080"/>
        </w:tabs>
        <w:spacing w:line="400" w:lineRule="exact"/>
        <w:ind w:firstLine="460" w:firstLineChars="192"/>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 xml:space="preserve">16.4 </w:t>
      </w:r>
      <w:r>
        <w:rPr>
          <w:rFonts w:hint="default" w:ascii="Times New Roman" w:hAnsi="Times New Roman" w:cs="Times New Roman"/>
          <w:bCs/>
          <w:color w:val="auto"/>
          <w:sz w:val="24"/>
          <w:highlight w:val="none"/>
        </w:rPr>
        <w:t>投标</w:t>
      </w:r>
      <w:r>
        <w:rPr>
          <w:rFonts w:hint="default" w:ascii="Times New Roman" w:hAnsi="Times New Roman" w:cs="Times New Roman"/>
          <w:color w:val="auto"/>
          <w:sz w:val="24"/>
          <w:highlight w:val="none"/>
        </w:rPr>
        <w:t>文件应根据招标文件的要求制作，签署、盖章、上传。</w:t>
      </w:r>
    </w:p>
    <w:p w14:paraId="46918086">
      <w:pPr>
        <w:tabs>
          <w:tab w:val="left" w:pos="1080"/>
        </w:tabs>
        <w:spacing w:line="400" w:lineRule="exact"/>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16.5 </w:t>
      </w:r>
      <w:r>
        <w:rPr>
          <w:rFonts w:hint="default" w:ascii="Times New Roman" w:hAnsi="Times New Roman" w:cs="Times New Roman"/>
          <w:bCs/>
          <w:color w:val="auto"/>
          <w:sz w:val="24"/>
          <w:highlight w:val="none"/>
        </w:rPr>
        <w:t>投标</w:t>
      </w:r>
      <w:r>
        <w:rPr>
          <w:rFonts w:hint="default" w:ascii="Times New Roman" w:hAnsi="Times New Roman" w:cs="Times New Roman"/>
          <w:color w:val="auto"/>
          <w:sz w:val="24"/>
          <w:highlight w:val="none"/>
        </w:rPr>
        <w:t>文件统一需要使用CA加密设备进行投标。</w:t>
      </w:r>
    </w:p>
    <w:p w14:paraId="43B56CBE">
      <w:pPr>
        <w:tabs>
          <w:tab w:val="left" w:pos="1080"/>
        </w:tabs>
        <w:spacing w:line="400" w:lineRule="exact"/>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 投标人因自身原因导致电子</w:t>
      </w:r>
      <w:r>
        <w:rPr>
          <w:rFonts w:hint="default" w:ascii="Times New Roman" w:hAnsi="Times New Roman" w:cs="Times New Roman"/>
          <w:bCs/>
          <w:color w:val="auto"/>
          <w:sz w:val="24"/>
          <w:highlight w:val="none"/>
        </w:rPr>
        <w:t>投标</w:t>
      </w:r>
      <w:r>
        <w:rPr>
          <w:rFonts w:hint="default" w:ascii="Times New Roman" w:hAnsi="Times New Roman" w:cs="Times New Roman"/>
          <w:color w:val="auto"/>
          <w:sz w:val="24"/>
          <w:highlight w:val="none"/>
        </w:rPr>
        <w:t>文件无法导入电子评标系统的，该响应文件视为无效文件。</w:t>
      </w:r>
    </w:p>
    <w:p w14:paraId="3E15E142">
      <w:pPr>
        <w:pStyle w:val="5"/>
        <w:spacing w:before="0" w:after="0" w:line="276" w:lineRule="auto"/>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bCs w:val="0"/>
          <w:color w:val="auto"/>
          <w:sz w:val="24"/>
          <w:szCs w:val="24"/>
          <w:highlight w:val="none"/>
        </w:rPr>
        <w:t>17.</w:t>
      </w:r>
      <w:r>
        <w:rPr>
          <w:rFonts w:hint="default" w:ascii="Times New Roman" w:hAnsi="Times New Roman" w:cs="Times New Roman"/>
          <w:color w:val="auto"/>
          <w:sz w:val="24"/>
          <w:szCs w:val="24"/>
          <w:highlight w:val="none"/>
        </w:rPr>
        <w:t>投标文件的加密和标</w:t>
      </w:r>
      <w:bookmarkEnd w:id="182"/>
      <w:bookmarkEnd w:id="183"/>
      <w:bookmarkEnd w:id="184"/>
      <w:bookmarkEnd w:id="185"/>
      <w:r>
        <w:rPr>
          <w:rFonts w:hint="default" w:ascii="Times New Roman" w:hAnsi="Times New Roman" w:cs="Times New Roman"/>
          <w:color w:val="auto"/>
          <w:sz w:val="24"/>
          <w:szCs w:val="24"/>
          <w:highlight w:val="none"/>
        </w:rPr>
        <w:t>注</w:t>
      </w:r>
      <w:bookmarkEnd w:id="186"/>
      <w:bookmarkEnd w:id="187"/>
      <w:bookmarkEnd w:id="188"/>
      <w:bookmarkEnd w:id="189"/>
      <w:bookmarkEnd w:id="190"/>
      <w:bookmarkEnd w:id="191"/>
      <w:bookmarkEnd w:id="192"/>
      <w:bookmarkEnd w:id="193"/>
    </w:p>
    <w:p w14:paraId="4E6FB75B">
      <w:pPr>
        <w:tabs>
          <w:tab w:val="left" w:pos="1080"/>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 上传电子投标文件时在文件名清楚地标明采购项目名称、采购项目编号、包件号及名称（若有）、供应商名称。</w:t>
      </w:r>
    </w:p>
    <w:p w14:paraId="204615DD">
      <w:pPr>
        <w:tabs>
          <w:tab w:val="left" w:pos="1080"/>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 未按以上要求进行加密投标文件的，采购人、采购代理机构将拒收或者在时间允许的范围内，要求修改完善后接收。</w:t>
      </w:r>
    </w:p>
    <w:p w14:paraId="09C588D0">
      <w:pPr>
        <w:tabs>
          <w:tab w:val="left" w:pos="1080"/>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17.3投标文件全部采用电子文档，除投标人须知表另有规定外，投标文件所附证书证件均为原件扫描件，并采用单位和个人数字证书，按招标文件要求在相应位置加盖电子印章。由投标人的法定代表人/单位负责人签字或加盖电子印章的，应附法定代表人/单位负责人</w:t>
      </w:r>
      <w:r>
        <w:rPr>
          <w:rFonts w:hint="default" w:ascii="Times New Roman" w:hAnsi="Times New Roman" w:cs="Times New Roman"/>
          <w:color w:val="auto"/>
          <w:sz w:val="24"/>
          <w:highlight w:val="none"/>
          <w:lang w:eastAsia="zh-CN"/>
        </w:rPr>
        <w:t>或负责人</w:t>
      </w:r>
      <w:r>
        <w:rPr>
          <w:rFonts w:hint="default" w:ascii="Times New Roman" w:hAnsi="Times New Roman" w:cs="Times New Roman"/>
          <w:color w:val="auto"/>
          <w:sz w:val="24"/>
          <w:highlight w:val="none"/>
        </w:rPr>
        <w:t>身份证明，由代理人签字或加盖电子印章的，应附由法定代表人/单位负责人签署的授权委托书。否则，评审委员会应当否决其投标。</w:t>
      </w:r>
    </w:p>
    <w:p w14:paraId="75B10868">
      <w:pPr>
        <w:pStyle w:val="5"/>
        <w:tabs>
          <w:tab w:val="left" w:pos="3480"/>
        </w:tabs>
        <w:spacing w:before="0" w:after="0" w:line="276" w:lineRule="auto"/>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18.投标文件格式</w:t>
      </w:r>
      <w:bookmarkEnd w:id="194"/>
      <w:bookmarkEnd w:id="195"/>
      <w:bookmarkEnd w:id="196"/>
      <w:bookmarkEnd w:id="197"/>
      <w:bookmarkEnd w:id="198"/>
      <w:bookmarkEnd w:id="199"/>
      <w:bookmarkEnd w:id="200"/>
      <w:bookmarkEnd w:id="201"/>
      <w:bookmarkEnd w:id="202"/>
      <w:bookmarkEnd w:id="203"/>
    </w:p>
    <w:p w14:paraId="7EC21F3A">
      <w:pPr>
        <w:tabs>
          <w:tab w:val="left" w:pos="7665"/>
        </w:tabs>
        <w:spacing w:line="276" w:lineRule="auto"/>
        <w:ind w:left="20" w:leftChars="6"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 投标人应执行招标文件第三章的规定要求。</w:t>
      </w:r>
    </w:p>
    <w:p w14:paraId="6CA0E0F6">
      <w:pPr>
        <w:tabs>
          <w:tab w:val="left" w:pos="7665"/>
        </w:tabs>
        <w:spacing w:line="276" w:lineRule="auto"/>
        <w:ind w:left="20" w:leftChars="6"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 对于没有格式要求的投标文件由投标人自行编写。</w:t>
      </w:r>
    </w:p>
    <w:p w14:paraId="30317325">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04" w:name="_Toc19593"/>
      <w:bookmarkStart w:id="205" w:name="_Toc183582223"/>
      <w:bookmarkStart w:id="206" w:name="_Toc183682360"/>
      <w:bookmarkStart w:id="207" w:name="_Toc1915"/>
      <w:bookmarkStart w:id="208" w:name="_Toc217446050"/>
      <w:bookmarkStart w:id="209" w:name="_Toc465085353"/>
      <w:bookmarkStart w:id="210" w:name="_Toc466298051"/>
      <w:bookmarkStart w:id="211" w:name="_Toc16365"/>
      <w:bookmarkStart w:id="212" w:name="_Toc472599555"/>
      <w:bookmarkStart w:id="213" w:name="_Toc472604600"/>
      <w:r>
        <w:rPr>
          <w:rFonts w:hint="default" w:ascii="Times New Roman" w:hAnsi="Times New Roman" w:cs="Times New Roman"/>
          <w:bCs w:val="0"/>
          <w:color w:val="auto"/>
          <w:sz w:val="24"/>
          <w:szCs w:val="24"/>
          <w:highlight w:val="none"/>
        </w:rPr>
        <w:t>19.投标保证金</w:t>
      </w:r>
      <w:bookmarkEnd w:id="204"/>
      <w:bookmarkEnd w:id="205"/>
      <w:bookmarkEnd w:id="206"/>
      <w:bookmarkEnd w:id="207"/>
      <w:bookmarkEnd w:id="208"/>
      <w:bookmarkEnd w:id="209"/>
      <w:bookmarkEnd w:id="210"/>
      <w:bookmarkEnd w:id="211"/>
      <w:r>
        <w:rPr>
          <w:rFonts w:hint="default" w:ascii="Times New Roman" w:hAnsi="Times New Roman" w:cs="Times New Roman"/>
          <w:bCs w:val="0"/>
          <w:color w:val="auto"/>
          <w:sz w:val="24"/>
          <w:szCs w:val="24"/>
          <w:highlight w:val="none"/>
        </w:rPr>
        <w:t>（实质性要求）</w:t>
      </w:r>
      <w:bookmarkEnd w:id="212"/>
      <w:bookmarkEnd w:id="213"/>
    </w:p>
    <w:p w14:paraId="6907136A">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19.1 投标人投标时，必须以人民币提交招标文件规定数额的投标保证金，并作为其投标的一部分。</w:t>
      </w:r>
    </w:p>
    <w:p w14:paraId="738123D3">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19.2投标保证金交款方式：详见投标人须知前附表。</w:t>
      </w:r>
    </w:p>
    <w:p w14:paraId="75E0C345">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19.3投标人所交纳的投标保证金不计利息。</w:t>
      </w:r>
    </w:p>
    <w:p w14:paraId="66417D71">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19.4未中标人的投标保证金，将在中标通知书发出后5个工作日内全额退还。中标人的投标保证金，在合同签订生效并递交至采购代理机构进行合同编号后5个工作日内全额退还</w:t>
      </w:r>
      <w:r>
        <w:rPr>
          <w:rFonts w:hint="default" w:ascii="Times New Roman" w:hAnsi="Times New Roman" w:cs="Times New Roman"/>
          <w:bCs/>
          <w:color w:val="auto"/>
          <w:sz w:val="24"/>
          <w:highlight w:val="none"/>
        </w:rPr>
        <w:t>（注：</w:t>
      </w:r>
      <w:r>
        <w:rPr>
          <w:rFonts w:hint="default" w:ascii="Times New Roman" w:hAnsi="Times New Roman" w:cs="Times New Roman"/>
          <w:bCs/>
          <w:color w:val="auto"/>
          <w:sz w:val="24"/>
          <w:highlight w:val="none"/>
        </w:rPr>
        <w:fldChar w:fldCharType="begin"/>
      </w:r>
      <w:r>
        <w:rPr>
          <w:rFonts w:hint="default" w:ascii="Times New Roman" w:hAnsi="Times New Roman" w:cs="Times New Roman"/>
          <w:bCs/>
          <w:color w:val="auto"/>
          <w:sz w:val="24"/>
          <w:highlight w:val="none"/>
        </w:rPr>
        <w:instrText xml:space="preserve"> = 1 \* GB3 \* MERGEFORMAT </w:instrText>
      </w:r>
      <w:r>
        <w:rPr>
          <w:rFonts w:hint="default" w:ascii="Times New Roman" w:hAnsi="Times New Roman" w:cs="Times New Roman"/>
          <w:bCs/>
          <w:color w:val="auto"/>
          <w:sz w:val="24"/>
          <w:highlight w:val="none"/>
        </w:rPr>
        <w:fldChar w:fldCharType="separate"/>
      </w:r>
      <w:r>
        <w:rPr>
          <w:rFonts w:hint="default" w:ascii="Times New Roman" w:hAnsi="Times New Roman" w:cs="Times New Roman"/>
          <w:bCs/>
          <w:color w:val="auto"/>
          <w:sz w:val="24"/>
          <w:highlight w:val="none"/>
        </w:rPr>
        <w:t>①</w:t>
      </w:r>
      <w:r>
        <w:rPr>
          <w:rFonts w:hint="default" w:ascii="Times New Roman" w:hAnsi="Times New Roman" w:cs="Times New Roman"/>
          <w:bCs/>
          <w:color w:val="auto"/>
          <w:sz w:val="24"/>
          <w:highlight w:val="none"/>
        </w:rPr>
        <w:fldChar w:fldCharType="end"/>
      </w:r>
      <w:r>
        <w:rPr>
          <w:rFonts w:hint="default" w:ascii="Times New Roman" w:hAnsi="Times New Roman" w:cs="Times New Roman"/>
          <w:bCs/>
          <w:color w:val="auto"/>
          <w:sz w:val="24"/>
          <w:highlight w:val="none"/>
        </w:rPr>
        <w:t>因投标人自身原因造成的保证金延迟退还或者投标人和采购代理机构书面协商可以延迟退还的，采购代理机构不承担相应责任；</w:t>
      </w:r>
      <w:r>
        <w:rPr>
          <w:rFonts w:hint="default" w:ascii="Times New Roman" w:hAnsi="Times New Roman" w:cs="Times New Roman"/>
          <w:bCs/>
          <w:color w:val="auto"/>
          <w:sz w:val="24"/>
          <w:highlight w:val="none"/>
        </w:rPr>
        <w:fldChar w:fldCharType="begin"/>
      </w:r>
      <w:r>
        <w:rPr>
          <w:rFonts w:hint="default" w:ascii="Times New Roman" w:hAnsi="Times New Roman" w:cs="Times New Roman"/>
          <w:bCs/>
          <w:color w:val="auto"/>
          <w:sz w:val="24"/>
          <w:highlight w:val="none"/>
        </w:rPr>
        <w:instrText xml:space="preserve"> = 2 \* GB3 \* MERGEFORMAT </w:instrText>
      </w:r>
      <w:r>
        <w:rPr>
          <w:rFonts w:hint="default" w:ascii="Times New Roman" w:hAnsi="Times New Roman" w:cs="Times New Roman"/>
          <w:bCs/>
          <w:color w:val="auto"/>
          <w:sz w:val="24"/>
          <w:highlight w:val="none"/>
        </w:rPr>
        <w:fldChar w:fldCharType="separate"/>
      </w:r>
      <w:r>
        <w:rPr>
          <w:rFonts w:hint="default" w:ascii="Times New Roman" w:hAnsi="Times New Roman" w:cs="Times New Roman"/>
          <w:bCs/>
          <w:color w:val="auto"/>
          <w:sz w:val="24"/>
          <w:highlight w:val="none"/>
        </w:rPr>
        <w:t>②</w:t>
      </w:r>
      <w:r>
        <w:rPr>
          <w:rFonts w:hint="default" w:ascii="Times New Roman" w:hAnsi="Times New Roman" w:cs="Times New Roman"/>
          <w:bCs/>
          <w:color w:val="auto"/>
          <w:sz w:val="24"/>
          <w:highlight w:val="none"/>
        </w:rPr>
        <w:fldChar w:fldCharType="end"/>
      </w:r>
      <w:r>
        <w:rPr>
          <w:rFonts w:hint="default" w:ascii="Times New Roman" w:hAnsi="Times New Roman" w:cs="Times New Roman"/>
          <w:bCs/>
          <w:color w:val="auto"/>
          <w:sz w:val="24"/>
          <w:highlight w:val="none"/>
        </w:rPr>
        <w:t>供应商因涉嫌违法违规，按照规定应当不予退还保证金的，有关部门处理认定违法违规行为期间不计入退还保证金时限之内。）</w:t>
      </w:r>
    </w:p>
    <w:p w14:paraId="5F63408B">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19.5发生下列情形之一的，采购代理机构将不予退还投标人交纳的投标保证金：</w:t>
      </w:r>
    </w:p>
    <w:p w14:paraId="6EA5E252">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（1）在招标文件规定的投标截止时间后撤回投标的；</w:t>
      </w:r>
    </w:p>
    <w:p w14:paraId="2EA9967D">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（2）在采购人确定中标人以前放弃中标候选资格的；</w:t>
      </w:r>
    </w:p>
    <w:p w14:paraId="228688AE">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（3）中标后放弃中标、不领取或者不接收中标通知书的；</w:t>
      </w:r>
    </w:p>
    <w:p w14:paraId="6B5802D0">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（4）由于中标人的原因未能按照招标文件的规定与采购人签订合同的；</w:t>
      </w:r>
    </w:p>
    <w:p w14:paraId="170FFF2F">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（5）投标人提供虚假资料的；</w:t>
      </w:r>
    </w:p>
    <w:p w14:paraId="274E4E46">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（6）投标有效期内，投标人在政府采购活动中有违法、违规、违纪行为。</w:t>
      </w:r>
    </w:p>
    <w:p w14:paraId="1D4E6FDA">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14" w:name="_Toc466298052"/>
      <w:bookmarkStart w:id="215" w:name="_Toc21149"/>
      <w:bookmarkStart w:id="216" w:name="_Toc8874"/>
      <w:bookmarkStart w:id="217" w:name="_Toc1300"/>
      <w:bookmarkStart w:id="218" w:name="_Toc465085354"/>
      <w:bookmarkStart w:id="219" w:name="_Toc472604601"/>
      <w:bookmarkStart w:id="220" w:name="_Toc472599556"/>
      <w:r>
        <w:rPr>
          <w:rFonts w:hint="default" w:ascii="Times New Roman" w:hAnsi="Times New Roman" w:cs="Times New Roman"/>
          <w:bCs w:val="0"/>
          <w:color w:val="auto"/>
          <w:sz w:val="24"/>
          <w:szCs w:val="24"/>
          <w:highlight w:val="none"/>
        </w:rPr>
        <w:t>20.投标有效期</w:t>
      </w:r>
      <w:bookmarkEnd w:id="214"/>
      <w:bookmarkEnd w:id="215"/>
      <w:bookmarkEnd w:id="216"/>
      <w:bookmarkEnd w:id="217"/>
      <w:bookmarkEnd w:id="218"/>
      <w:r>
        <w:rPr>
          <w:rFonts w:hint="default" w:ascii="Times New Roman" w:hAnsi="Times New Roman" w:cs="Times New Roman"/>
          <w:color w:val="auto"/>
          <w:sz w:val="24"/>
          <w:szCs w:val="24"/>
          <w:highlight w:val="none"/>
        </w:rPr>
        <w:t>（实质性要求）</w:t>
      </w:r>
      <w:bookmarkEnd w:id="219"/>
      <w:bookmarkEnd w:id="220"/>
    </w:p>
    <w:p w14:paraId="112D32E8">
      <w:pPr>
        <w:tabs>
          <w:tab w:val="left" w:pos="7665"/>
        </w:tabs>
        <w:spacing w:line="276" w:lineRule="auto"/>
        <w:ind w:left="20" w:leftChars="6"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投标有效期见投标人须知前附表（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7F321EE4">
      <w:pPr>
        <w:tabs>
          <w:tab w:val="left" w:pos="7665"/>
        </w:tabs>
        <w:spacing w:line="276" w:lineRule="auto"/>
        <w:ind w:left="20" w:leftChars="6"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20.2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7389837B">
      <w:pPr>
        <w:tabs>
          <w:tab w:val="left" w:pos="7665"/>
        </w:tabs>
        <w:spacing w:line="276" w:lineRule="auto"/>
        <w:ind w:left="20" w:leftChars="6"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7C024F19">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21" w:name="_Toc23997"/>
      <w:bookmarkStart w:id="222" w:name="_Toc183682364"/>
      <w:bookmarkStart w:id="223" w:name="_Toc183582227"/>
      <w:bookmarkStart w:id="224" w:name="_Toc472599559"/>
      <w:bookmarkStart w:id="225" w:name="_Toc20616"/>
      <w:bookmarkStart w:id="226" w:name="_Toc465085357"/>
      <w:bookmarkStart w:id="227" w:name="_Toc28594"/>
      <w:bookmarkStart w:id="228" w:name="_Toc466298055"/>
      <w:bookmarkStart w:id="229" w:name="_Toc472604604"/>
      <w:bookmarkStart w:id="230" w:name="_Toc217446054"/>
      <w:r>
        <w:rPr>
          <w:rFonts w:hint="default" w:ascii="Times New Roman" w:hAnsi="Times New Roman" w:cs="Times New Roman"/>
          <w:bCs w:val="0"/>
          <w:color w:val="auto"/>
          <w:sz w:val="24"/>
          <w:szCs w:val="24"/>
          <w:highlight w:val="none"/>
        </w:rPr>
        <w:t>21.投标文件的</w:t>
      </w:r>
      <w:bookmarkEnd w:id="221"/>
      <w:bookmarkEnd w:id="222"/>
      <w:bookmarkEnd w:id="223"/>
      <w:bookmarkEnd w:id="224"/>
      <w:bookmarkEnd w:id="225"/>
      <w:bookmarkEnd w:id="226"/>
      <w:bookmarkEnd w:id="227"/>
      <w:bookmarkEnd w:id="228"/>
      <w:bookmarkEnd w:id="229"/>
      <w:bookmarkEnd w:id="230"/>
      <w:r>
        <w:rPr>
          <w:rFonts w:hint="default" w:ascii="Times New Roman" w:hAnsi="Times New Roman" w:cs="Times New Roman"/>
          <w:bCs w:val="0"/>
          <w:color w:val="auto"/>
          <w:sz w:val="24"/>
          <w:szCs w:val="24"/>
          <w:highlight w:val="none"/>
        </w:rPr>
        <w:t>上传</w:t>
      </w:r>
    </w:p>
    <w:p w14:paraId="6CFBFAF1">
      <w:pPr>
        <w:tabs>
          <w:tab w:val="left" w:pos="1095"/>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21.1投标人应在规定的投标截止时间前上传投标文件。</w:t>
      </w:r>
    </w:p>
    <w:p w14:paraId="7FBAB583">
      <w:pPr>
        <w:tabs>
          <w:tab w:val="left" w:pos="1095"/>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21.2投标人通过下载招标文件的政采云平台上传电子投标文件。</w:t>
      </w:r>
    </w:p>
    <w:p w14:paraId="4ED25E4E">
      <w:pPr>
        <w:tabs>
          <w:tab w:val="left" w:pos="1095"/>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21.3除投标人须知表另有规定外，投标人所上传的投标文件不予退还。</w:t>
      </w:r>
    </w:p>
    <w:p w14:paraId="35EE2986">
      <w:pPr>
        <w:tabs>
          <w:tab w:val="left" w:pos="1095"/>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 xml:space="preserve"> 逾期</w:t>
      </w:r>
      <w:r>
        <w:rPr>
          <w:rFonts w:hint="default" w:ascii="Times New Roman" w:hAnsi="Times New Roman" w:cs="Times New Roman"/>
          <w:color w:val="auto"/>
          <w:sz w:val="24"/>
          <w:highlight w:val="none"/>
          <w:lang w:eastAsia="zh-CN"/>
        </w:rPr>
        <w:t>上传</w:t>
      </w:r>
      <w:r>
        <w:rPr>
          <w:rFonts w:hint="default" w:ascii="Times New Roman" w:hAnsi="Times New Roman" w:cs="Times New Roman"/>
          <w:color w:val="auto"/>
          <w:sz w:val="24"/>
          <w:highlight w:val="none"/>
        </w:rPr>
        <w:t>的投标文件，政采云平台将予以拒收。</w:t>
      </w:r>
    </w:p>
    <w:p w14:paraId="6C651724">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31" w:name="_Toc183582228"/>
      <w:bookmarkStart w:id="232" w:name="_Toc183682365"/>
      <w:bookmarkStart w:id="233" w:name="_Toc472599560"/>
      <w:bookmarkStart w:id="234" w:name="_Toc23932"/>
      <w:bookmarkStart w:id="235" w:name="_Toc472604605"/>
      <w:bookmarkStart w:id="236" w:name="_Toc465085358"/>
      <w:bookmarkStart w:id="237" w:name="_Toc26314"/>
      <w:bookmarkStart w:id="238" w:name="_Toc466298056"/>
      <w:bookmarkStart w:id="239" w:name="_Toc25580"/>
      <w:bookmarkStart w:id="240" w:name="_Toc217446055"/>
      <w:r>
        <w:rPr>
          <w:rFonts w:hint="default" w:ascii="Times New Roman" w:hAnsi="Times New Roman" w:cs="Times New Roman"/>
          <w:bCs w:val="0"/>
          <w:color w:val="auto"/>
          <w:sz w:val="24"/>
          <w:szCs w:val="24"/>
          <w:highlight w:val="none"/>
        </w:rPr>
        <w:t>22.投标文件的修改和撤</w:t>
      </w:r>
      <w:bookmarkEnd w:id="231"/>
      <w:bookmarkEnd w:id="232"/>
      <w:r>
        <w:rPr>
          <w:rFonts w:hint="default" w:ascii="Times New Roman" w:hAnsi="Times New Roman" w:cs="Times New Roman"/>
          <w:bCs w:val="0"/>
          <w:color w:val="auto"/>
          <w:sz w:val="24"/>
          <w:szCs w:val="24"/>
          <w:highlight w:val="none"/>
        </w:rPr>
        <w:t>回</w:t>
      </w:r>
      <w:bookmarkEnd w:id="233"/>
      <w:bookmarkEnd w:id="234"/>
      <w:bookmarkEnd w:id="235"/>
      <w:bookmarkEnd w:id="236"/>
      <w:bookmarkEnd w:id="237"/>
      <w:bookmarkEnd w:id="238"/>
      <w:bookmarkEnd w:id="239"/>
      <w:bookmarkEnd w:id="240"/>
    </w:p>
    <w:p w14:paraId="68E368B9">
      <w:pPr>
        <w:spacing w:line="276"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在投标截止时间之后，投标人不得对其递交的投标文件做任何修改或撤回投标，撤回投标的，将按照有关规定进行相应处理。</w:t>
      </w:r>
    </w:p>
    <w:p w14:paraId="6F4848A6">
      <w:pPr>
        <w:pStyle w:val="4"/>
        <w:spacing w:before="0" w:after="0" w:line="276" w:lineRule="auto"/>
        <w:jc w:val="center"/>
        <w:rPr>
          <w:rFonts w:hint="default" w:ascii="Times New Roman" w:hAnsi="Times New Roman" w:cs="Times New Roman"/>
          <w:bCs w:val="0"/>
          <w:color w:val="auto"/>
          <w:sz w:val="28"/>
          <w:szCs w:val="24"/>
          <w:highlight w:val="none"/>
        </w:rPr>
      </w:pPr>
      <w:bookmarkStart w:id="241" w:name="_Toc466298057"/>
      <w:bookmarkStart w:id="242" w:name="_Toc465085359"/>
      <w:bookmarkStart w:id="243" w:name="_Toc472604606"/>
      <w:bookmarkStart w:id="244" w:name="_Toc472599561"/>
      <w:r>
        <w:rPr>
          <w:rFonts w:hint="default" w:ascii="Times New Roman" w:hAnsi="Times New Roman" w:cs="Times New Roman"/>
          <w:bCs w:val="0"/>
          <w:color w:val="auto"/>
          <w:sz w:val="28"/>
          <w:szCs w:val="24"/>
          <w:highlight w:val="none"/>
        </w:rPr>
        <w:t>五、开标和中标</w:t>
      </w:r>
      <w:bookmarkEnd w:id="241"/>
      <w:bookmarkEnd w:id="242"/>
      <w:bookmarkEnd w:id="243"/>
      <w:bookmarkEnd w:id="244"/>
    </w:p>
    <w:p w14:paraId="77776BAE">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45" w:name="_Toc466298058"/>
      <w:bookmarkStart w:id="246" w:name="_Toc217446057"/>
      <w:bookmarkStart w:id="247" w:name="_Toc465085360"/>
      <w:bookmarkStart w:id="248" w:name="_Toc472604607"/>
      <w:bookmarkStart w:id="249" w:name="_Toc7395"/>
      <w:bookmarkStart w:id="250" w:name="_Toc5716"/>
      <w:bookmarkStart w:id="251" w:name="_Toc3149"/>
      <w:bookmarkStart w:id="252" w:name="_Toc183582232"/>
      <w:bookmarkStart w:id="253" w:name="_Toc183682369"/>
      <w:bookmarkStart w:id="254" w:name="_Toc472599562"/>
      <w:r>
        <w:rPr>
          <w:rFonts w:hint="default" w:ascii="Times New Roman" w:hAnsi="Times New Roman" w:cs="Times New Roman"/>
          <w:bCs w:val="0"/>
          <w:color w:val="auto"/>
          <w:sz w:val="24"/>
          <w:szCs w:val="24"/>
          <w:highlight w:val="none"/>
        </w:rPr>
        <w:t>23.开标</w:t>
      </w:r>
      <w:bookmarkEnd w:id="245"/>
      <w:bookmarkEnd w:id="246"/>
      <w:bookmarkEnd w:id="247"/>
      <w:bookmarkEnd w:id="248"/>
      <w:bookmarkEnd w:id="249"/>
      <w:bookmarkEnd w:id="250"/>
      <w:bookmarkEnd w:id="251"/>
      <w:bookmarkEnd w:id="252"/>
      <w:bookmarkEnd w:id="253"/>
      <w:bookmarkEnd w:id="254"/>
    </w:p>
    <w:p w14:paraId="4A1357CF">
      <w:pPr>
        <w:spacing w:line="276" w:lineRule="auto"/>
        <w:ind w:firstLine="480" w:firstLineChars="200"/>
        <w:rPr>
          <w:rFonts w:hint="default" w:ascii="Times New Roman" w:hAnsi="Times New Roman" w:cs="Times New Roman"/>
          <w:color w:val="auto"/>
          <w:sz w:val="24"/>
          <w:highlight w:val="none"/>
        </w:rPr>
      </w:pPr>
      <w:bookmarkStart w:id="255" w:name="_Toc23728"/>
      <w:bookmarkStart w:id="256" w:name="_Toc217446058"/>
      <w:bookmarkStart w:id="257" w:name="_Toc472599563"/>
      <w:bookmarkStart w:id="258" w:name="_Toc465085361"/>
      <w:bookmarkStart w:id="259" w:name="_Toc22626"/>
      <w:bookmarkStart w:id="260" w:name="_Toc466298059"/>
      <w:bookmarkStart w:id="261" w:name="_Toc7546"/>
      <w:bookmarkStart w:id="262" w:name="_Toc472604608"/>
      <w:r>
        <w:rPr>
          <w:rFonts w:hint="default" w:ascii="Times New Roman" w:hAnsi="Times New Roman" w:cs="Times New Roman"/>
          <w:color w:val="auto"/>
          <w:sz w:val="24"/>
          <w:highlight w:val="none"/>
        </w:rPr>
        <w:t>23.1 开标在招标文件规定的时间和地点公开进行，采购人、投标人须派代表参加并签到以证明其出席。开标由采购代理机构主持，采购人、投标人代表参加。评标专家不参加开标活动。</w:t>
      </w:r>
    </w:p>
    <w:p w14:paraId="0BFB4042">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 开标时，可能根据具体情况邀请有关监督管理部门对开标活动进行现场监督。</w:t>
      </w:r>
    </w:p>
    <w:bookmarkEnd w:id="255"/>
    <w:bookmarkEnd w:id="256"/>
    <w:bookmarkEnd w:id="257"/>
    <w:bookmarkEnd w:id="258"/>
    <w:bookmarkEnd w:id="259"/>
    <w:bookmarkEnd w:id="260"/>
    <w:bookmarkEnd w:id="261"/>
    <w:bookmarkEnd w:id="262"/>
    <w:p w14:paraId="19C41DF4">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63" w:name="_Toc472604609"/>
      <w:bookmarkStart w:id="264" w:name="_Toc472599564"/>
      <w:r>
        <w:rPr>
          <w:rFonts w:hint="default" w:ascii="Times New Roman" w:hAnsi="Times New Roman" w:cs="Times New Roman"/>
          <w:bCs w:val="0"/>
          <w:color w:val="auto"/>
          <w:sz w:val="24"/>
          <w:szCs w:val="24"/>
          <w:highlight w:val="none"/>
        </w:rPr>
        <w:t>24.开评标过程存档</w:t>
      </w:r>
      <w:bookmarkEnd w:id="263"/>
      <w:bookmarkEnd w:id="264"/>
    </w:p>
    <w:p w14:paraId="76387929">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开标、评标现场活动进行全程录音录像，其音像资料作为采购文件一并存档。</w:t>
      </w:r>
    </w:p>
    <w:p w14:paraId="06EADCC1">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65" w:name="_Toc472604610"/>
      <w:bookmarkStart w:id="266" w:name="_Toc472599565"/>
      <w:bookmarkStart w:id="267" w:name="_Toc471489562"/>
      <w:r>
        <w:rPr>
          <w:rFonts w:hint="default" w:ascii="Times New Roman" w:hAnsi="Times New Roman" w:cs="Times New Roman"/>
          <w:bCs w:val="0"/>
          <w:color w:val="auto"/>
          <w:sz w:val="24"/>
          <w:szCs w:val="24"/>
          <w:highlight w:val="none"/>
        </w:rPr>
        <w:t>25.评标情况公告</w:t>
      </w:r>
      <w:bookmarkEnd w:id="265"/>
      <w:bookmarkEnd w:id="266"/>
      <w:bookmarkEnd w:id="267"/>
    </w:p>
    <w:p w14:paraId="2316CF0B">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所有供应商投标文件资格性、符合性检查情况、采用综合评分法时的总得分和分项汇总得分情况、评标结果等将在新疆政府采购网上采购结果公告栏中予以公告</w:t>
      </w:r>
    </w:p>
    <w:p w14:paraId="6F6B5A86">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68" w:name="_Toc183582238"/>
      <w:bookmarkStart w:id="269" w:name="_Toc183682375"/>
      <w:bookmarkStart w:id="270" w:name="_Toc217446063"/>
      <w:bookmarkStart w:id="271" w:name="_Toc9102"/>
      <w:bookmarkStart w:id="272" w:name="_Toc472604611"/>
      <w:bookmarkStart w:id="273" w:name="_Toc466298060"/>
      <w:bookmarkStart w:id="274" w:name="_Toc22838"/>
      <w:bookmarkStart w:id="275" w:name="_Toc465085362"/>
      <w:bookmarkStart w:id="276" w:name="_Toc29927"/>
      <w:bookmarkStart w:id="277" w:name="_Toc472599566"/>
      <w:r>
        <w:rPr>
          <w:rFonts w:hint="default" w:ascii="Times New Roman" w:hAnsi="Times New Roman" w:cs="Times New Roman"/>
          <w:bCs w:val="0"/>
          <w:color w:val="auto"/>
          <w:sz w:val="24"/>
          <w:szCs w:val="24"/>
          <w:highlight w:val="none"/>
        </w:rPr>
        <w:t>26.中标通知</w:t>
      </w:r>
      <w:bookmarkEnd w:id="268"/>
      <w:bookmarkEnd w:id="269"/>
      <w:r>
        <w:rPr>
          <w:rFonts w:hint="default" w:ascii="Times New Roman" w:hAnsi="Times New Roman" w:cs="Times New Roman"/>
          <w:bCs w:val="0"/>
          <w:color w:val="auto"/>
          <w:sz w:val="24"/>
          <w:szCs w:val="24"/>
          <w:highlight w:val="none"/>
        </w:rPr>
        <w:t>书</w:t>
      </w:r>
      <w:bookmarkEnd w:id="270"/>
      <w:bookmarkEnd w:id="271"/>
      <w:bookmarkEnd w:id="272"/>
      <w:bookmarkEnd w:id="273"/>
      <w:bookmarkEnd w:id="274"/>
      <w:bookmarkEnd w:id="275"/>
      <w:bookmarkEnd w:id="276"/>
      <w:bookmarkEnd w:id="277"/>
    </w:p>
    <w:p w14:paraId="5835A91E">
      <w:pPr>
        <w:tabs>
          <w:tab w:val="left" w:pos="7665"/>
        </w:tabs>
        <w:spacing w:line="276" w:lineRule="auto"/>
        <w:ind w:firstLine="480" w:firstLineChars="200"/>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26</w:t>
      </w:r>
      <w:r>
        <w:rPr>
          <w:rFonts w:hint="default" w:ascii="Times New Roman" w:hAnsi="Times New Roman" w:cs="Times New Roman"/>
          <w:bCs/>
          <w:color w:val="auto"/>
          <w:kern w:val="2"/>
          <w:sz w:val="24"/>
          <w:szCs w:val="24"/>
          <w:highlight w:val="none"/>
        </w:rPr>
        <w:t>.</w:t>
      </w:r>
      <w:r>
        <w:rPr>
          <w:rFonts w:hint="default" w:ascii="Times New Roman" w:hAnsi="Times New Roman" w:cs="Times New Roman"/>
          <w:color w:val="auto"/>
          <w:kern w:val="2"/>
          <w:sz w:val="24"/>
          <w:szCs w:val="24"/>
          <w:highlight w:val="none"/>
        </w:rPr>
        <w:t>1 中标通知书为签订政府采购合同的依据之一，是合同的有效组成部分。</w:t>
      </w:r>
    </w:p>
    <w:p w14:paraId="6122B3A3">
      <w:pPr>
        <w:tabs>
          <w:tab w:val="left" w:pos="7665"/>
        </w:tabs>
        <w:spacing w:line="276" w:lineRule="auto"/>
        <w:ind w:firstLine="480"/>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26.2 中标通知书对采购人和中标人均具有法律效力。中标通知书发出后，采购人改变中标结果，或者中标人无正当理由放弃中标的，应当承担相应的法律责任。</w:t>
      </w:r>
    </w:p>
    <w:p w14:paraId="55FBCBF8">
      <w:pPr>
        <w:tabs>
          <w:tab w:val="left" w:pos="7665"/>
        </w:tabs>
        <w:spacing w:line="276" w:lineRule="auto"/>
        <w:ind w:firstLine="480"/>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26</w:t>
      </w:r>
      <w:r>
        <w:rPr>
          <w:rFonts w:hint="default" w:ascii="Times New Roman" w:hAnsi="Times New Roman" w:cs="Times New Roman"/>
          <w:color w:val="auto"/>
          <w:kern w:val="2"/>
          <w:sz w:val="24"/>
          <w:szCs w:val="24"/>
          <w:highlight w:val="none"/>
          <w:lang w:eastAsia="zh-CN"/>
        </w:rPr>
        <w:t>.</w:t>
      </w:r>
      <w:r>
        <w:rPr>
          <w:rFonts w:hint="default" w:ascii="Times New Roman" w:hAnsi="Times New Roman" w:cs="Times New Roman"/>
          <w:color w:val="auto"/>
          <w:kern w:val="2"/>
          <w:sz w:val="24"/>
          <w:szCs w:val="24"/>
          <w:highlight w:val="none"/>
        </w:rPr>
        <w:t>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C2663FD">
      <w:pPr>
        <w:tabs>
          <w:tab w:val="left" w:pos="7665"/>
        </w:tabs>
        <w:spacing w:line="276"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26.4中标公告发出后，中标供应商自行来代理机构处领取中标通知书。</w:t>
      </w:r>
    </w:p>
    <w:p w14:paraId="15C9EA47">
      <w:pPr>
        <w:pStyle w:val="4"/>
        <w:spacing w:before="0" w:after="0" w:line="276" w:lineRule="auto"/>
        <w:jc w:val="center"/>
        <w:rPr>
          <w:rFonts w:hint="default" w:ascii="Times New Roman" w:hAnsi="Times New Roman" w:cs="Times New Roman"/>
          <w:bCs w:val="0"/>
          <w:color w:val="auto"/>
          <w:sz w:val="28"/>
          <w:szCs w:val="24"/>
          <w:highlight w:val="none"/>
        </w:rPr>
      </w:pPr>
      <w:bookmarkStart w:id="278" w:name="_Toc465085363"/>
      <w:bookmarkStart w:id="279" w:name="_Toc472599567"/>
      <w:bookmarkStart w:id="280" w:name="_Toc466298061"/>
      <w:bookmarkStart w:id="281" w:name="_Toc472604612"/>
      <w:r>
        <w:rPr>
          <w:rFonts w:hint="default" w:ascii="Times New Roman" w:hAnsi="Times New Roman" w:cs="Times New Roman"/>
          <w:bCs w:val="0"/>
          <w:color w:val="auto"/>
          <w:sz w:val="28"/>
          <w:szCs w:val="24"/>
          <w:highlight w:val="none"/>
        </w:rPr>
        <w:t>六、签订及履行合同和验收</w:t>
      </w:r>
      <w:bookmarkEnd w:id="278"/>
      <w:bookmarkEnd w:id="279"/>
      <w:bookmarkEnd w:id="280"/>
      <w:bookmarkEnd w:id="281"/>
      <w:r>
        <w:rPr>
          <w:rFonts w:hint="default" w:ascii="Times New Roman" w:hAnsi="Times New Roman" w:cs="Times New Roman"/>
          <w:bCs w:val="0"/>
          <w:color w:val="auto"/>
          <w:sz w:val="28"/>
          <w:szCs w:val="24"/>
          <w:highlight w:val="none"/>
        </w:rPr>
        <w:t xml:space="preserve"> </w:t>
      </w:r>
    </w:p>
    <w:p w14:paraId="1F6620EE">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82" w:name="_Toc472599568"/>
      <w:bookmarkStart w:id="283" w:name="_Toc22590"/>
      <w:bookmarkStart w:id="284" w:name="_Toc217446065"/>
      <w:bookmarkStart w:id="285" w:name="_Toc465085364"/>
      <w:bookmarkStart w:id="286" w:name="_Toc31409"/>
      <w:bookmarkStart w:id="287" w:name="_Toc472604613"/>
      <w:bookmarkStart w:id="288" w:name="_Toc466298062"/>
      <w:bookmarkStart w:id="289" w:name="_Toc16424"/>
      <w:r>
        <w:rPr>
          <w:rFonts w:hint="default" w:ascii="Times New Roman" w:hAnsi="Times New Roman" w:cs="Times New Roman"/>
          <w:bCs w:val="0"/>
          <w:color w:val="auto"/>
          <w:sz w:val="24"/>
          <w:szCs w:val="24"/>
          <w:highlight w:val="none"/>
        </w:rPr>
        <w:t>27.签订合同</w:t>
      </w:r>
      <w:bookmarkEnd w:id="282"/>
      <w:bookmarkEnd w:id="283"/>
      <w:bookmarkEnd w:id="284"/>
      <w:bookmarkEnd w:id="285"/>
      <w:bookmarkEnd w:id="286"/>
      <w:bookmarkEnd w:id="287"/>
      <w:bookmarkEnd w:id="288"/>
      <w:bookmarkEnd w:id="289"/>
    </w:p>
    <w:p w14:paraId="31EDD0DB">
      <w:pPr>
        <w:widowControl/>
        <w:shd w:val="clear" w:color="auto" w:fill="FFFFFF"/>
        <w:autoSpaceDE w:val="0"/>
        <w:spacing w:line="276" w:lineRule="auto"/>
        <w:ind w:firstLine="480" w:firstLineChars="200"/>
        <w:rPr>
          <w:rFonts w:hint="default" w:ascii="Times New Roman" w:hAnsi="Times New Roman" w:cs="Times New Roman"/>
          <w:color w:val="auto"/>
          <w:sz w:val="24"/>
          <w:highlight w:val="none"/>
        </w:rPr>
      </w:pPr>
      <w:bookmarkStart w:id="290" w:name="_Toc217446066"/>
      <w:r>
        <w:rPr>
          <w:rFonts w:hint="default" w:ascii="Times New Roman" w:hAnsi="Times New Roman" w:cs="Times New Roman"/>
          <w:color w:val="auto"/>
          <w:sz w:val="24"/>
          <w:highlight w:val="none"/>
        </w:rPr>
        <w:t>27.1中标通知书发出后，采购人不得违法改变中标结果，中标人无正当理由不得放弃中标。</w:t>
      </w:r>
    </w:p>
    <w:p w14:paraId="149340E4">
      <w:pPr>
        <w:widowControl/>
        <w:shd w:val="clear" w:color="auto" w:fill="FFFFFF"/>
        <w:autoSpaceDE w:val="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EE926EE">
      <w:pPr>
        <w:widowControl/>
        <w:shd w:val="clear" w:color="auto" w:fill="FFFFFF"/>
        <w:autoSpaceDE w:val="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政府采购合同应当包括采购人与中标人的名称和住所、标的、数量、质量、价款或者报酬、履行期限及地点和方式、验收要求、违约责任、解决争议的方法等内容。政府采购合同签订之日起两个工作日内，采购人将政府采购合同在新疆政府采购网公告；政府采购合同签订之日起七个工作日内，将政府采购合同向本采购项目同级财政部门</w:t>
      </w:r>
      <w:r>
        <w:rPr>
          <w:rFonts w:hint="default" w:ascii="Times New Roman" w:hAnsi="Times New Roman" w:cs="Times New Roman"/>
          <w:color w:val="auto"/>
          <w:sz w:val="24"/>
          <w:highlight w:val="none"/>
          <w:lang w:val="zh-CN"/>
        </w:rPr>
        <w:t>备案。</w:t>
      </w:r>
    </w:p>
    <w:p w14:paraId="6D40C5F8">
      <w:pPr>
        <w:widowControl/>
        <w:shd w:val="clear" w:color="auto" w:fill="FFFFFF"/>
        <w:autoSpaceDE w:val="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27.4采购人与中标人应当根据合同的约定依法履行合同义务。政府采购合同的履行、违约责任和解决争议的方法等适用《中华人民共和国民法典》。</w:t>
      </w:r>
    </w:p>
    <w:p w14:paraId="22A63922">
      <w:pPr>
        <w:widowControl/>
        <w:shd w:val="clear" w:color="auto" w:fill="FFFFFF"/>
        <w:autoSpaceDE w:val="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27.5采购人应当及时对采购项目进行验收。采购人可以邀请参加本项目的其他投标人或者第三方机构参与验收。参与验收的投标人或者第三方机构的意见作为验收书的参考资料一并存档。</w:t>
      </w:r>
    </w:p>
    <w:p w14:paraId="293438D1">
      <w:pPr>
        <w:widowControl/>
        <w:shd w:val="clear" w:color="auto" w:fill="FFFFFF"/>
        <w:autoSpaceDE w:val="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27.6采购人应当加强对中标人的履约管理，并按照采购合同约定，及时向中标人支付采购资金。对于中标人违反采购合同约定的行为，采购人应当及时处理，依法追究其违约责任。</w:t>
      </w:r>
    </w:p>
    <w:bookmarkEnd w:id="290"/>
    <w:p w14:paraId="4641336F">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91" w:name="_Toc472604615"/>
      <w:bookmarkStart w:id="292" w:name="_Toc472599570"/>
      <w:bookmarkStart w:id="293" w:name="_Toc471489567"/>
      <w:r>
        <w:rPr>
          <w:rFonts w:hint="default" w:ascii="Times New Roman" w:hAnsi="Times New Roman" w:cs="Times New Roman"/>
          <w:bCs w:val="0"/>
          <w:color w:val="auto"/>
          <w:sz w:val="24"/>
          <w:szCs w:val="24"/>
          <w:highlight w:val="none"/>
        </w:rPr>
        <w:t>2</w:t>
      </w:r>
      <w:r>
        <w:rPr>
          <w:rFonts w:hint="default" w:ascii="Times New Roman" w:hAnsi="Times New Roman" w:cs="Times New Roman"/>
          <w:bCs w:val="0"/>
          <w:color w:val="auto"/>
          <w:sz w:val="24"/>
          <w:szCs w:val="24"/>
          <w:highlight w:val="none"/>
          <w:lang w:val="en-US" w:eastAsia="zh-CN"/>
        </w:rPr>
        <w:t>8</w:t>
      </w:r>
      <w:r>
        <w:rPr>
          <w:rFonts w:hint="default" w:ascii="Times New Roman" w:hAnsi="Times New Roman" w:cs="Times New Roman"/>
          <w:bCs w:val="0"/>
          <w:color w:val="auto"/>
          <w:sz w:val="24"/>
          <w:szCs w:val="24"/>
          <w:highlight w:val="none"/>
        </w:rPr>
        <w:t>.合同转包</w:t>
      </w:r>
      <w:r>
        <w:rPr>
          <w:rFonts w:hint="default" w:ascii="Times New Roman" w:hAnsi="Times New Roman" w:cs="Times New Roman"/>
          <w:bCs w:val="0"/>
          <w:color w:val="auto"/>
          <w:sz w:val="24"/>
          <w:szCs w:val="24"/>
          <w:highlight w:val="none"/>
          <w:lang w:eastAsia="zh-CN"/>
        </w:rPr>
        <w:t>、分包</w:t>
      </w:r>
      <w:r>
        <w:rPr>
          <w:rFonts w:hint="default" w:ascii="Times New Roman" w:hAnsi="Times New Roman" w:cs="Times New Roman"/>
          <w:bCs w:val="0"/>
          <w:color w:val="auto"/>
          <w:sz w:val="24"/>
          <w:szCs w:val="24"/>
          <w:highlight w:val="none"/>
        </w:rPr>
        <w:t>（实质性要求）</w:t>
      </w:r>
      <w:bookmarkEnd w:id="291"/>
      <w:bookmarkEnd w:id="292"/>
      <w:bookmarkEnd w:id="293"/>
    </w:p>
    <w:p w14:paraId="53C492D9">
      <w:pPr>
        <w:spacing w:line="276" w:lineRule="auto"/>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本采购项目严禁中标人将任何政府采购合同义务转包</w:t>
      </w:r>
      <w:r>
        <w:rPr>
          <w:rFonts w:hint="default" w:ascii="Times New Roman" w:hAnsi="Times New Roman" w:cs="Times New Roman"/>
          <w:color w:val="auto"/>
          <w:sz w:val="24"/>
          <w:highlight w:val="none"/>
          <w:lang w:eastAsia="zh-CN"/>
        </w:rPr>
        <w:t>、分包</w:t>
      </w:r>
      <w:r>
        <w:rPr>
          <w:rFonts w:hint="default" w:ascii="Times New Roman" w:hAnsi="Times New Roman" w:cs="Times New Roman"/>
          <w:color w:val="auto"/>
          <w:sz w:val="24"/>
          <w:highlight w:val="none"/>
        </w:rPr>
        <w:t>。中标人转包</w:t>
      </w:r>
      <w:r>
        <w:rPr>
          <w:rFonts w:hint="default" w:ascii="Times New Roman" w:hAnsi="Times New Roman" w:cs="Times New Roman"/>
          <w:color w:val="auto"/>
          <w:sz w:val="24"/>
          <w:highlight w:val="none"/>
          <w:lang w:eastAsia="zh-CN"/>
        </w:rPr>
        <w:t>、分包</w:t>
      </w:r>
      <w:r>
        <w:rPr>
          <w:rFonts w:hint="default" w:ascii="Times New Roman" w:hAnsi="Times New Roman" w:cs="Times New Roman"/>
          <w:color w:val="auto"/>
          <w:sz w:val="24"/>
          <w:highlight w:val="none"/>
        </w:rPr>
        <w:t>的，视同拒绝履行政府采购合同义务，将依法追究法律责任。</w:t>
      </w:r>
    </w:p>
    <w:p w14:paraId="60D30182">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94" w:name="_Toc472604616"/>
      <w:bookmarkStart w:id="295" w:name="_Toc471489568"/>
      <w:bookmarkStart w:id="296" w:name="_Toc472599571"/>
      <w:r>
        <w:rPr>
          <w:rFonts w:hint="default" w:ascii="Times New Roman" w:hAnsi="Times New Roman" w:cs="Times New Roman"/>
          <w:bCs w:val="0"/>
          <w:color w:val="auto"/>
          <w:sz w:val="24"/>
          <w:szCs w:val="24"/>
          <w:highlight w:val="none"/>
          <w:lang w:val="en-US" w:eastAsia="zh-CN"/>
        </w:rPr>
        <w:t>29</w:t>
      </w:r>
      <w:r>
        <w:rPr>
          <w:rFonts w:hint="default" w:ascii="Times New Roman" w:hAnsi="Times New Roman" w:cs="Times New Roman"/>
          <w:bCs w:val="0"/>
          <w:color w:val="auto"/>
          <w:sz w:val="24"/>
          <w:szCs w:val="24"/>
          <w:highlight w:val="none"/>
        </w:rPr>
        <w:t>.补充合同</w:t>
      </w:r>
      <w:bookmarkEnd w:id="294"/>
      <w:bookmarkEnd w:id="295"/>
      <w:bookmarkEnd w:id="296"/>
    </w:p>
    <w:p w14:paraId="33B37A11">
      <w:pPr>
        <w:spacing w:line="276" w:lineRule="auto"/>
        <w:ind w:firstLine="49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1876BCF3">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297" w:name="_Toc466298065"/>
      <w:bookmarkStart w:id="298" w:name="_Toc28391"/>
      <w:bookmarkStart w:id="299" w:name="_Toc21243"/>
      <w:bookmarkStart w:id="300" w:name="_Toc472604617"/>
      <w:bookmarkStart w:id="301" w:name="_Toc472599572"/>
      <w:bookmarkStart w:id="302" w:name="_Toc22891"/>
      <w:bookmarkStart w:id="303" w:name="_Toc217446068"/>
      <w:bookmarkStart w:id="304" w:name="_Toc465085367"/>
      <w:r>
        <w:rPr>
          <w:rFonts w:hint="default" w:ascii="Times New Roman" w:hAnsi="Times New Roman" w:cs="Times New Roman"/>
          <w:bCs w:val="0"/>
          <w:color w:val="auto"/>
          <w:sz w:val="24"/>
          <w:szCs w:val="24"/>
          <w:highlight w:val="none"/>
        </w:rPr>
        <w:t>3</w:t>
      </w:r>
      <w:r>
        <w:rPr>
          <w:rFonts w:hint="default" w:ascii="Times New Roman" w:hAnsi="Times New Roman" w:cs="Times New Roman"/>
          <w:bCs w:val="0"/>
          <w:color w:val="auto"/>
          <w:sz w:val="24"/>
          <w:szCs w:val="24"/>
          <w:highlight w:val="none"/>
          <w:lang w:val="en-US" w:eastAsia="zh-CN"/>
        </w:rPr>
        <w:t>0</w:t>
      </w:r>
      <w:r>
        <w:rPr>
          <w:rFonts w:hint="default" w:ascii="Times New Roman" w:hAnsi="Times New Roman" w:cs="Times New Roman"/>
          <w:bCs w:val="0"/>
          <w:color w:val="auto"/>
          <w:sz w:val="24"/>
          <w:szCs w:val="24"/>
          <w:highlight w:val="none"/>
        </w:rPr>
        <w:t>.履约保证金</w:t>
      </w:r>
      <w:bookmarkEnd w:id="297"/>
      <w:bookmarkEnd w:id="298"/>
      <w:bookmarkEnd w:id="299"/>
      <w:bookmarkEnd w:id="300"/>
      <w:bookmarkEnd w:id="301"/>
      <w:bookmarkEnd w:id="302"/>
      <w:bookmarkEnd w:id="303"/>
      <w:bookmarkEnd w:id="304"/>
    </w:p>
    <w:p w14:paraId="1CAEA849">
      <w:pPr>
        <w:spacing w:line="276" w:lineRule="auto"/>
        <w:ind w:firstLine="480" w:firstLineChars="200"/>
        <w:rPr>
          <w:rFonts w:hint="default" w:ascii="Times New Roman" w:hAnsi="Times New Roman" w:cs="Times New Roman"/>
          <w:color w:val="auto"/>
          <w:sz w:val="24"/>
          <w:highlight w:val="none"/>
          <w:lang w:eastAsia="zh-CN"/>
        </w:rPr>
      </w:pPr>
      <w:bookmarkStart w:id="305" w:name="_Toc472599573"/>
      <w:bookmarkStart w:id="306" w:name="_Toc472604618"/>
      <w:bookmarkStart w:id="307" w:name="_Toc471489570"/>
      <w:r>
        <w:rPr>
          <w:rFonts w:hint="default" w:ascii="Times New Roman" w:hAnsi="Times New Roman" w:cs="Times New Roman"/>
          <w:color w:val="auto"/>
          <w:sz w:val="24"/>
          <w:highlight w:val="none"/>
        </w:rPr>
        <w:t>本项目不收取履约保证金</w:t>
      </w:r>
      <w:r>
        <w:rPr>
          <w:rFonts w:hint="default" w:ascii="Times New Roman" w:hAnsi="Times New Roman" w:cs="Times New Roman"/>
          <w:color w:val="auto"/>
          <w:sz w:val="24"/>
          <w:highlight w:val="none"/>
          <w:lang w:eastAsia="zh-CN"/>
        </w:rPr>
        <w:t>。</w:t>
      </w:r>
    </w:p>
    <w:p w14:paraId="6BB67BBE">
      <w:pPr>
        <w:pStyle w:val="5"/>
        <w:spacing w:before="0" w:after="0" w:line="276" w:lineRule="auto"/>
        <w:ind w:firstLine="482" w:firstLineChars="200"/>
        <w:rPr>
          <w:rFonts w:hint="default" w:ascii="Times New Roman" w:hAnsi="Times New Roman" w:cs="Times New Roman"/>
          <w:bCs w:val="0"/>
          <w:color w:val="auto"/>
          <w:sz w:val="24"/>
          <w:szCs w:val="24"/>
          <w:highlight w:val="none"/>
        </w:rPr>
      </w:pPr>
      <w:r>
        <w:rPr>
          <w:rFonts w:hint="default" w:ascii="Times New Roman" w:hAnsi="Times New Roman" w:cs="Times New Roman"/>
          <w:bCs w:val="0"/>
          <w:color w:val="auto"/>
          <w:sz w:val="24"/>
          <w:szCs w:val="24"/>
          <w:highlight w:val="none"/>
        </w:rPr>
        <w:t>3</w:t>
      </w:r>
      <w:r>
        <w:rPr>
          <w:rFonts w:hint="default" w:ascii="Times New Roman" w:hAnsi="Times New Roman" w:cs="Times New Roman"/>
          <w:bCs w:val="0"/>
          <w:color w:val="auto"/>
          <w:sz w:val="24"/>
          <w:szCs w:val="24"/>
          <w:highlight w:val="none"/>
          <w:lang w:val="en-US" w:eastAsia="zh-CN"/>
        </w:rPr>
        <w:t>1</w:t>
      </w:r>
      <w:r>
        <w:rPr>
          <w:rFonts w:hint="default" w:ascii="Times New Roman" w:hAnsi="Times New Roman" w:cs="Times New Roman"/>
          <w:bCs w:val="0"/>
          <w:color w:val="auto"/>
          <w:sz w:val="24"/>
          <w:szCs w:val="24"/>
          <w:highlight w:val="none"/>
        </w:rPr>
        <w:t>.合同公告</w:t>
      </w:r>
      <w:bookmarkEnd w:id="305"/>
      <w:bookmarkEnd w:id="306"/>
      <w:bookmarkEnd w:id="307"/>
    </w:p>
    <w:p w14:paraId="5EF22038">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116AC60B">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308" w:name="_Toc472599574"/>
      <w:bookmarkStart w:id="309" w:name="_Toc472604619"/>
      <w:bookmarkStart w:id="310" w:name="_Toc471489571"/>
      <w:r>
        <w:rPr>
          <w:rFonts w:hint="default" w:ascii="Times New Roman" w:hAnsi="Times New Roman" w:cs="Times New Roman"/>
          <w:bCs w:val="0"/>
          <w:color w:val="auto"/>
          <w:sz w:val="24"/>
          <w:szCs w:val="24"/>
          <w:highlight w:val="none"/>
        </w:rPr>
        <w:t>3</w:t>
      </w:r>
      <w:r>
        <w:rPr>
          <w:rFonts w:hint="default" w:ascii="Times New Roman" w:hAnsi="Times New Roman" w:cs="Times New Roman"/>
          <w:bCs w:val="0"/>
          <w:color w:val="auto"/>
          <w:sz w:val="24"/>
          <w:szCs w:val="24"/>
          <w:highlight w:val="none"/>
          <w:lang w:val="en-US" w:eastAsia="zh-CN"/>
        </w:rPr>
        <w:t>2</w:t>
      </w:r>
      <w:r>
        <w:rPr>
          <w:rFonts w:hint="default" w:ascii="Times New Roman" w:hAnsi="Times New Roman" w:cs="Times New Roman"/>
          <w:bCs w:val="0"/>
          <w:color w:val="auto"/>
          <w:sz w:val="24"/>
          <w:szCs w:val="24"/>
          <w:highlight w:val="none"/>
        </w:rPr>
        <w:t>.合同备案</w:t>
      </w:r>
      <w:bookmarkEnd w:id="308"/>
      <w:bookmarkEnd w:id="309"/>
      <w:bookmarkEnd w:id="310"/>
    </w:p>
    <w:p w14:paraId="297C07A8">
      <w:pPr>
        <w:spacing w:line="276" w:lineRule="auto"/>
        <w:ind w:firstLine="420" w:firstLineChars="1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中标供应商应当将政府采购合同副本自签订（双方当事人均已签字盖章）之日起两个工作日内送到中正恒天国际招标有限公司（详细地址见须知表）备案。</w:t>
      </w:r>
    </w:p>
    <w:p w14:paraId="2FC37C36">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311" w:name="_Toc466298066"/>
      <w:bookmarkStart w:id="312" w:name="_Toc23465"/>
      <w:bookmarkStart w:id="313" w:name="_Toc472599575"/>
      <w:bookmarkStart w:id="314" w:name="_Toc2391"/>
      <w:bookmarkStart w:id="315" w:name="_Toc465085368"/>
      <w:bookmarkStart w:id="316" w:name="_Toc472604620"/>
      <w:bookmarkStart w:id="317" w:name="_Toc3788"/>
      <w:r>
        <w:rPr>
          <w:rFonts w:hint="default" w:ascii="Times New Roman" w:hAnsi="Times New Roman" w:cs="Times New Roman"/>
          <w:bCs w:val="0"/>
          <w:color w:val="auto"/>
          <w:sz w:val="24"/>
          <w:szCs w:val="24"/>
          <w:highlight w:val="none"/>
        </w:rPr>
        <w:t>3</w:t>
      </w:r>
      <w:r>
        <w:rPr>
          <w:rFonts w:hint="default" w:ascii="Times New Roman" w:hAnsi="Times New Roman" w:cs="Times New Roman"/>
          <w:bCs w:val="0"/>
          <w:color w:val="auto"/>
          <w:sz w:val="24"/>
          <w:szCs w:val="24"/>
          <w:highlight w:val="none"/>
          <w:lang w:val="en-US" w:eastAsia="zh-CN"/>
        </w:rPr>
        <w:t>3</w:t>
      </w:r>
      <w:r>
        <w:rPr>
          <w:rFonts w:hint="default" w:ascii="Times New Roman" w:hAnsi="Times New Roman" w:cs="Times New Roman"/>
          <w:bCs w:val="0"/>
          <w:color w:val="auto"/>
          <w:sz w:val="24"/>
          <w:szCs w:val="24"/>
          <w:highlight w:val="none"/>
        </w:rPr>
        <w:t>.履行合同</w:t>
      </w:r>
      <w:bookmarkEnd w:id="311"/>
      <w:bookmarkEnd w:id="312"/>
      <w:bookmarkEnd w:id="313"/>
      <w:bookmarkEnd w:id="314"/>
      <w:bookmarkEnd w:id="315"/>
      <w:bookmarkEnd w:id="316"/>
      <w:bookmarkEnd w:id="317"/>
    </w:p>
    <w:p w14:paraId="3A4F82B1">
      <w:pPr>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3</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.1 中标人与采购人签订合同后，合同双方应严格执行合同条款，履行合同规定的义务，保证合同的顺利完成。</w:t>
      </w:r>
    </w:p>
    <w:p w14:paraId="581B7DAC">
      <w:pPr>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3</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.2 在合同履行过程中，如发生合同纠纷，合同双方应按照《中华人民共和国民法典》的有关规定进行处理。</w:t>
      </w:r>
    </w:p>
    <w:p w14:paraId="17AE71C0">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318" w:name="_Toc472604621"/>
      <w:bookmarkStart w:id="319" w:name="_Toc29516"/>
      <w:bookmarkStart w:id="320" w:name="_Toc465085369"/>
      <w:bookmarkStart w:id="321" w:name="_Toc16786"/>
      <w:bookmarkStart w:id="322" w:name="_Toc31802"/>
      <w:bookmarkStart w:id="323" w:name="_Toc466298067"/>
      <w:bookmarkStart w:id="324" w:name="_Toc472599576"/>
      <w:r>
        <w:rPr>
          <w:rFonts w:hint="default" w:ascii="Times New Roman" w:hAnsi="Times New Roman" w:cs="Times New Roman"/>
          <w:bCs w:val="0"/>
          <w:color w:val="auto"/>
          <w:sz w:val="24"/>
          <w:szCs w:val="24"/>
          <w:highlight w:val="none"/>
        </w:rPr>
        <w:t>3</w:t>
      </w:r>
      <w:r>
        <w:rPr>
          <w:rFonts w:hint="default" w:ascii="Times New Roman" w:hAnsi="Times New Roman" w:cs="Times New Roman"/>
          <w:bCs w:val="0"/>
          <w:color w:val="auto"/>
          <w:sz w:val="24"/>
          <w:szCs w:val="24"/>
          <w:highlight w:val="none"/>
          <w:lang w:val="en-US" w:eastAsia="zh-CN"/>
        </w:rPr>
        <w:t>4</w:t>
      </w:r>
      <w:r>
        <w:rPr>
          <w:rFonts w:hint="default" w:ascii="Times New Roman" w:hAnsi="Times New Roman" w:cs="Times New Roman"/>
          <w:bCs w:val="0"/>
          <w:color w:val="auto"/>
          <w:sz w:val="24"/>
          <w:szCs w:val="24"/>
          <w:highlight w:val="none"/>
        </w:rPr>
        <w:t>.验收</w:t>
      </w:r>
      <w:bookmarkEnd w:id="318"/>
      <w:bookmarkEnd w:id="319"/>
      <w:bookmarkEnd w:id="320"/>
      <w:bookmarkEnd w:id="321"/>
      <w:bookmarkEnd w:id="322"/>
      <w:bookmarkEnd w:id="323"/>
      <w:bookmarkEnd w:id="324"/>
    </w:p>
    <w:p w14:paraId="69B07FE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.1本项目采购人及其委托的采购代理机构将严格按照政府采购相关法律法规的要求进行验收。</w:t>
      </w:r>
    </w:p>
    <w:p w14:paraId="1DF5E884">
      <w:pP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.2 验收结果不合格的，将不予支付采购资金，还可能会报告本项目同级财政部门按照政府采购法律法规有关规定给予行政处罚或者以失信行为记入诚信档案。</w:t>
      </w:r>
    </w:p>
    <w:p w14:paraId="4AE814F7">
      <w:pPr>
        <w:pStyle w:val="4"/>
        <w:spacing w:before="0" w:after="0" w:line="276" w:lineRule="auto"/>
        <w:jc w:val="center"/>
        <w:rPr>
          <w:rFonts w:hint="default" w:ascii="Times New Roman" w:hAnsi="Times New Roman" w:cs="Times New Roman"/>
          <w:color w:val="auto"/>
          <w:sz w:val="28"/>
          <w:szCs w:val="24"/>
          <w:highlight w:val="none"/>
        </w:rPr>
      </w:pPr>
      <w:bookmarkStart w:id="325" w:name="_Toc472604623"/>
      <w:bookmarkStart w:id="326" w:name="_Toc472599577"/>
      <w:bookmarkStart w:id="327" w:name="_Toc465085370"/>
      <w:bookmarkStart w:id="328" w:name="_Toc466298068"/>
      <w:r>
        <w:rPr>
          <w:rFonts w:hint="default" w:ascii="Times New Roman" w:hAnsi="Times New Roman" w:cs="Times New Roman"/>
          <w:color w:val="auto"/>
          <w:sz w:val="28"/>
          <w:szCs w:val="24"/>
          <w:highlight w:val="none"/>
        </w:rPr>
        <w:t>七、投标纪律要求</w:t>
      </w:r>
      <w:bookmarkEnd w:id="325"/>
      <w:bookmarkEnd w:id="326"/>
      <w:bookmarkEnd w:id="327"/>
      <w:bookmarkEnd w:id="328"/>
    </w:p>
    <w:p w14:paraId="53CFDE5E">
      <w:pPr>
        <w:pStyle w:val="5"/>
        <w:spacing w:before="0" w:after="0" w:line="276" w:lineRule="auto"/>
        <w:ind w:firstLine="482" w:firstLineChars="200"/>
        <w:rPr>
          <w:rFonts w:hint="default" w:ascii="Times New Roman" w:hAnsi="Times New Roman" w:cs="Times New Roman"/>
          <w:bCs w:val="0"/>
          <w:color w:val="auto"/>
          <w:sz w:val="24"/>
          <w:szCs w:val="24"/>
          <w:highlight w:val="none"/>
        </w:rPr>
      </w:pPr>
      <w:bookmarkStart w:id="329" w:name="_Toc466298069"/>
      <w:bookmarkStart w:id="330" w:name="_Toc472599578"/>
      <w:bookmarkStart w:id="331" w:name="_Toc17671"/>
      <w:bookmarkStart w:id="332" w:name="_Toc472604624"/>
      <w:bookmarkStart w:id="333" w:name="_Toc465085371"/>
      <w:bookmarkStart w:id="334" w:name="_Toc217446075"/>
      <w:bookmarkStart w:id="335" w:name="_Toc32596"/>
      <w:bookmarkStart w:id="336" w:name="_Toc14158"/>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w:t>
      </w:r>
      <w:r>
        <w:rPr>
          <w:rFonts w:hint="default" w:ascii="Times New Roman" w:hAnsi="Times New Roman" w:cs="Times New Roman"/>
          <w:bCs w:val="0"/>
          <w:color w:val="auto"/>
          <w:sz w:val="24"/>
          <w:szCs w:val="24"/>
          <w:highlight w:val="none"/>
        </w:rPr>
        <w:t>投标人不得具有的情形</w:t>
      </w:r>
      <w:bookmarkEnd w:id="329"/>
      <w:bookmarkEnd w:id="330"/>
      <w:bookmarkEnd w:id="331"/>
      <w:bookmarkEnd w:id="332"/>
      <w:bookmarkEnd w:id="333"/>
      <w:bookmarkEnd w:id="334"/>
      <w:bookmarkEnd w:id="335"/>
      <w:bookmarkEnd w:id="336"/>
    </w:p>
    <w:p w14:paraId="39252309">
      <w:pPr>
        <w:pStyle w:val="7"/>
        <w:spacing w:line="276"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投标人参加本项目投标不得有下列情形：</w:t>
      </w:r>
    </w:p>
    <w:p w14:paraId="7AF18C64">
      <w:pP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（1）提供虚假材料谋取中标；</w:t>
      </w:r>
    </w:p>
    <w:p w14:paraId="1E9551FF">
      <w:pP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（2）采取不正当手段诋毁、排挤其他投标人；</w:t>
      </w:r>
    </w:p>
    <w:p w14:paraId="24DF1CD9">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（3）与招标采购单位、其他投标人恶意串通；</w:t>
      </w:r>
    </w:p>
    <w:p w14:paraId="55925007">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（4）向招标采购单位、评标委员会成员行贿或者提供其他不正当利益；</w:t>
      </w:r>
    </w:p>
    <w:p w14:paraId="0716FD89">
      <w:pP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（5）在招标过程中与招标采购单位进行协商谈判；</w:t>
      </w:r>
    </w:p>
    <w:p w14:paraId="5BC54195">
      <w:pP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（6）中标或者成交后无正当理由拒不与采购人签订政府采购合同；</w:t>
      </w:r>
    </w:p>
    <w:p w14:paraId="57B918D9">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（7）未按照采购文件确定的事项签订政府采购合同；</w:t>
      </w:r>
    </w:p>
    <w:p w14:paraId="0AB8FFCC">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（8）将政府采购合同转包或者违规分包；</w:t>
      </w:r>
    </w:p>
    <w:p w14:paraId="6E7608F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（9）提供假冒伪劣产品；</w:t>
      </w:r>
    </w:p>
    <w:p w14:paraId="5589D71D">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（10）擅自变更、中止或者终止政府采购合同；</w:t>
      </w:r>
    </w:p>
    <w:p w14:paraId="77565544">
      <w:pP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（11）拒绝有关部门的监督检查或者向监督检查部门提供虚假情况；</w:t>
      </w:r>
    </w:p>
    <w:p w14:paraId="00ACFD5F">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（12）法律法规规定的其他情形。</w:t>
      </w:r>
    </w:p>
    <w:p w14:paraId="5F0246F5">
      <w:pPr>
        <w:pStyle w:val="7"/>
        <w:spacing w:line="276"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投标人有上述情形的，按照规定追究法律责任，具备（1）-（10）条情形之一的，同时将取消中标资格或者认定中标无效。</w:t>
      </w:r>
    </w:p>
    <w:p w14:paraId="5FE5F23E">
      <w:pPr>
        <w:pStyle w:val="4"/>
        <w:spacing w:before="0" w:after="0" w:line="276" w:lineRule="auto"/>
        <w:jc w:val="center"/>
        <w:rPr>
          <w:rFonts w:hint="default" w:ascii="Times New Roman" w:hAnsi="Times New Roman" w:cs="Times New Roman"/>
          <w:color w:val="auto"/>
          <w:sz w:val="28"/>
          <w:szCs w:val="24"/>
          <w:highlight w:val="none"/>
        </w:rPr>
      </w:pPr>
      <w:bookmarkStart w:id="337" w:name="_Toc472599581"/>
      <w:bookmarkStart w:id="338" w:name="_Toc472604625"/>
      <w:bookmarkStart w:id="339" w:name="_Toc465085374"/>
      <w:bookmarkStart w:id="340" w:name="_Toc466298072"/>
      <w:r>
        <w:rPr>
          <w:rFonts w:hint="default" w:ascii="Times New Roman" w:hAnsi="Times New Roman" w:cs="Times New Roman"/>
          <w:color w:val="auto"/>
          <w:sz w:val="28"/>
          <w:szCs w:val="24"/>
          <w:highlight w:val="none"/>
        </w:rPr>
        <w:t>八、询问、质疑和投诉</w:t>
      </w:r>
      <w:bookmarkEnd w:id="337"/>
      <w:bookmarkEnd w:id="338"/>
      <w:bookmarkEnd w:id="339"/>
      <w:bookmarkEnd w:id="340"/>
      <w:bookmarkStart w:id="341" w:name="_Toc217446079"/>
    </w:p>
    <w:bookmarkEnd w:id="341"/>
    <w:p w14:paraId="3D4FDB93">
      <w:pPr>
        <w:pStyle w:val="5"/>
        <w:spacing w:before="0" w:after="0" w:line="276" w:lineRule="auto"/>
        <w:ind w:firstLine="482" w:firstLineChars="200"/>
        <w:rPr>
          <w:rFonts w:hint="default" w:ascii="Times New Roman" w:hAnsi="Times New Roman" w:cs="Times New Roman"/>
          <w:b w:val="0"/>
          <w:color w:val="auto"/>
          <w:sz w:val="24"/>
          <w:highlight w:val="none"/>
        </w:rPr>
      </w:pPr>
      <w:bookmarkStart w:id="342" w:name="_Toc472604626"/>
      <w:bookmarkStart w:id="343" w:name="_Toc472599582"/>
      <w:bookmarkStart w:id="344" w:name="_Toc465085375"/>
      <w:bookmarkStart w:id="345" w:name="_Toc466298073"/>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w:t>
      </w:r>
      <w:bookmarkEnd w:id="342"/>
      <w:bookmarkEnd w:id="343"/>
      <w:bookmarkEnd w:id="344"/>
      <w:bookmarkEnd w:id="345"/>
      <w:r>
        <w:rPr>
          <w:rFonts w:hint="default" w:ascii="Times New Roman" w:hAnsi="Times New Roman" w:cs="Times New Roman"/>
          <w:b w:val="0"/>
          <w:color w:val="auto"/>
          <w:sz w:val="24"/>
          <w:highlight w:val="none"/>
        </w:rPr>
        <w:t>询问、质疑、投诉的接收和处理严格按照《中华人共和国政府采购法》、《中华人民共和国政府采购法实施条例》、《政府采购货物和服务招标投标管理办法》（财政部第87号令）、《政府采购质疑和投诉办法》（财政部第94号令）规定办理。</w:t>
      </w:r>
    </w:p>
    <w:p w14:paraId="2BD77A58">
      <w:pPr>
        <w:pStyle w:val="5"/>
        <w:spacing w:before="0" w:after="0" w:line="276" w:lineRule="auto"/>
        <w:ind w:firstLine="482" w:firstLineChars="200"/>
        <w:rPr>
          <w:rFonts w:hint="default" w:ascii="Times New Roman" w:hAnsi="Times New Roman" w:cs="Times New Roman"/>
          <w:b w:val="0"/>
          <w:color w:val="auto"/>
          <w:sz w:val="24"/>
          <w:szCs w:val="24"/>
          <w:highlight w:val="none"/>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w:t>
      </w:r>
      <w:r>
        <w:rPr>
          <w:rFonts w:hint="default" w:ascii="Times New Roman" w:hAnsi="Times New Roman" w:cs="Times New Roman"/>
          <w:b w:val="0"/>
          <w:color w:val="auto"/>
          <w:sz w:val="24"/>
          <w:szCs w:val="24"/>
          <w:highlight w:val="none"/>
        </w:rPr>
        <w:t>根据《政府采购法》相关规定及代理机构与采购人签订的委托代理协议，供应商认为招标文件中有关资质要求、技术参数、商务要求、评分办法等采购需求内容使自己的权益受到损害的，可以书面形式向采购人提出询问或质疑，由采购人按规定作出答复；供应商认为招标文件中除资质要求、技术参数、商务要求、评分办法等采购需求内容以外事项、采购过程和采购结果使自己权益受到损害的，可以书面形式向代理机构提出询问或质疑询问和质疑，由代理机构负责按规定作出答复。</w:t>
      </w:r>
    </w:p>
    <w:p w14:paraId="72DD6A72">
      <w:pPr>
        <w:pStyle w:val="4"/>
        <w:spacing w:before="0" w:after="0" w:line="276" w:lineRule="auto"/>
        <w:jc w:val="center"/>
        <w:rPr>
          <w:rFonts w:hint="default" w:ascii="Times New Roman" w:hAnsi="Times New Roman" w:cs="Times New Roman"/>
          <w:color w:val="auto"/>
          <w:sz w:val="28"/>
          <w:szCs w:val="24"/>
          <w:highlight w:val="none"/>
        </w:rPr>
      </w:pPr>
      <w:bookmarkStart w:id="346" w:name="_Toc472599583"/>
      <w:bookmarkStart w:id="347" w:name="_Toc472604627"/>
      <w:r>
        <w:rPr>
          <w:rFonts w:hint="default" w:ascii="Times New Roman" w:hAnsi="Times New Roman" w:cs="Times New Roman"/>
          <w:color w:val="auto"/>
          <w:sz w:val="28"/>
          <w:szCs w:val="24"/>
          <w:highlight w:val="none"/>
        </w:rPr>
        <w:t>九、其他</w:t>
      </w:r>
      <w:bookmarkEnd w:id="346"/>
      <w:bookmarkEnd w:id="347"/>
    </w:p>
    <w:p w14:paraId="64651634">
      <w:pPr>
        <w:pStyle w:val="5"/>
        <w:spacing w:before="0" w:after="0" w:line="276" w:lineRule="auto"/>
        <w:ind w:firstLine="482" w:firstLineChars="200"/>
        <w:rPr>
          <w:rFonts w:hint="default" w:ascii="Times New Roman" w:hAnsi="Times New Roman" w:cs="Times New Roman"/>
          <w:b w:val="0"/>
          <w:color w:val="auto"/>
          <w:highlight w:val="none"/>
        </w:rPr>
      </w:pPr>
      <w:bookmarkStart w:id="348" w:name="_Toc472599584"/>
      <w:bookmarkStart w:id="349" w:name="_Toc472604628"/>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8</w:t>
      </w:r>
      <w:r>
        <w:rPr>
          <w:rFonts w:hint="default" w:ascii="Times New Roman" w:hAnsi="Times New Roman" w:cs="Times New Roman"/>
          <w:b w:val="0"/>
          <w:color w:val="auto"/>
          <w:sz w:val="24"/>
          <w:szCs w:val="24"/>
          <w:highlight w:val="none"/>
        </w:rPr>
        <w:t>.本招标文件中所引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做调整。</w:t>
      </w:r>
      <w:bookmarkEnd w:id="348"/>
      <w:bookmarkEnd w:id="349"/>
    </w:p>
    <w:p w14:paraId="7EE29843">
      <w:pPr>
        <w:pStyle w:val="7"/>
        <w:spacing w:line="276" w:lineRule="auto"/>
        <w:ind w:firstLine="480"/>
        <w:rPr>
          <w:rFonts w:hint="default" w:ascii="Times New Roman" w:hAnsi="Times New Roman" w:cs="Times New Roman"/>
          <w:color w:val="auto"/>
          <w:sz w:val="24"/>
          <w:highlight w:val="none"/>
        </w:rPr>
      </w:pPr>
    </w:p>
    <w:p w14:paraId="570883FC">
      <w:pPr>
        <w:pStyle w:val="129"/>
        <w:spacing w:line="276" w:lineRule="auto"/>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br w:type="page"/>
      </w:r>
    </w:p>
    <w:p w14:paraId="78A5C88A">
      <w:pPr>
        <w:pStyle w:val="2"/>
        <w:spacing w:line="400" w:lineRule="exact"/>
        <w:rPr>
          <w:rFonts w:hint="default" w:ascii="Times New Roman" w:hAnsi="Times New Roman" w:cs="Times New Roman"/>
          <w:bCs w:val="0"/>
          <w:color w:val="auto"/>
          <w:sz w:val="32"/>
          <w:szCs w:val="32"/>
          <w:highlight w:val="none"/>
        </w:rPr>
      </w:pPr>
      <w:bookmarkStart w:id="350" w:name="_Toc2492"/>
      <w:bookmarkStart w:id="351" w:name="_Toc9086"/>
      <w:bookmarkStart w:id="352" w:name="_Toc465085377"/>
      <w:bookmarkStart w:id="353" w:name="_Toc32207"/>
      <w:bookmarkStart w:id="354" w:name="_Toc29377"/>
      <w:bookmarkStart w:id="355" w:name="_Toc472604629"/>
      <w:bookmarkStart w:id="356" w:name="_Toc466298075"/>
      <w:r>
        <w:rPr>
          <w:rFonts w:hint="default" w:ascii="Times New Roman" w:hAnsi="Times New Roman" w:cs="Times New Roman"/>
          <w:bCs w:val="0"/>
          <w:color w:val="auto"/>
          <w:sz w:val="32"/>
          <w:szCs w:val="32"/>
          <w:highlight w:val="none"/>
        </w:rPr>
        <w:t>第三章  投标文件格式</w:t>
      </w:r>
      <w:bookmarkEnd w:id="350"/>
      <w:bookmarkEnd w:id="351"/>
      <w:bookmarkEnd w:id="352"/>
      <w:bookmarkEnd w:id="353"/>
      <w:bookmarkEnd w:id="354"/>
      <w:bookmarkEnd w:id="355"/>
      <w:bookmarkEnd w:id="356"/>
    </w:p>
    <w:p w14:paraId="73102FDE">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一、本章所制投标文件格式。</w:t>
      </w:r>
    </w:p>
    <w:p w14:paraId="641E4D7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二、本章所制投标文件格式有关表格中的备注栏，由投标人根据自身投标情况作解释性说明，不作为必填项。</w:t>
      </w:r>
    </w:p>
    <w:p w14:paraId="1D1EDC4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三、本章所制投标文件格式中需要填写的相关内容事项，可能会与本采购项目无关，在不改变投标文件原义、不影响本项目采购需求的情况下，投标人可以不予填写。</w:t>
      </w:r>
    </w:p>
    <w:p w14:paraId="68A743A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056B8F95">
      <w:pPr>
        <w:pStyle w:val="143"/>
        <w:numPr>
          <w:ilvl w:val="0"/>
          <w:numId w:val="2"/>
        </w:numPr>
        <w:jc w:val="left"/>
        <w:rPr>
          <w:rFonts w:hint="default" w:ascii="Times New Roman" w:hAnsi="Times New Roman" w:eastAsia="宋体" w:cs="Times New Roman"/>
          <w:color w:val="auto"/>
          <w:highlight w:val="none"/>
        </w:rPr>
      </w:pPr>
      <w:bookmarkStart w:id="357" w:name="_Toc465085390"/>
      <w:bookmarkStart w:id="358" w:name="_Toc466298088"/>
      <w:bookmarkStart w:id="359" w:name="_Toc472604640"/>
      <w:r>
        <w:rPr>
          <w:rFonts w:hint="default" w:ascii="Times New Roman" w:hAnsi="Times New Roman" w:eastAsia="宋体" w:cs="Times New Roman"/>
          <w:color w:val="auto"/>
          <w:highlight w:val="none"/>
        </w:rPr>
        <w:t>“资格性响应文件”格式</w:t>
      </w:r>
    </w:p>
    <w:p w14:paraId="08066A00">
      <w:pPr>
        <w:spacing w:line="360" w:lineRule="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封面：</w:t>
      </w:r>
    </w:p>
    <w:p w14:paraId="0967F37B">
      <w:pPr>
        <w:spacing w:line="360" w:lineRule="auto"/>
        <w:rPr>
          <w:rFonts w:hint="default" w:ascii="Times New Roman" w:hAnsi="Times New Roman" w:cs="Times New Roman"/>
          <w:b/>
          <w:color w:val="auto"/>
          <w:sz w:val="32"/>
          <w:szCs w:val="32"/>
          <w:highlight w:val="none"/>
        </w:rPr>
      </w:pPr>
    </w:p>
    <w:p w14:paraId="6064072F">
      <w:pPr>
        <w:pStyle w:val="16"/>
        <w:rPr>
          <w:rFonts w:hint="default" w:ascii="Times New Roman" w:hAnsi="Times New Roman" w:cs="Times New Roman"/>
          <w:b/>
          <w:color w:val="auto"/>
          <w:sz w:val="32"/>
          <w:szCs w:val="32"/>
          <w:highlight w:val="none"/>
        </w:rPr>
      </w:pPr>
    </w:p>
    <w:p w14:paraId="12B21747">
      <w:pPr>
        <w:rPr>
          <w:rFonts w:hint="default" w:ascii="Times New Roman" w:hAnsi="Times New Roman" w:cs="Times New Roman"/>
          <w:color w:val="auto"/>
          <w:highlight w:val="none"/>
        </w:rPr>
      </w:pPr>
    </w:p>
    <w:p w14:paraId="26C9AC13">
      <w:pPr>
        <w:spacing w:line="360" w:lineRule="auto"/>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40"/>
          <w:szCs w:val="48"/>
          <w:highlight w:val="none"/>
        </w:rPr>
        <w:t>XXX项目</w:t>
      </w:r>
    </w:p>
    <w:p w14:paraId="7F6CF427">
      <w:pPr>
        <w:spacing w:line="360" w:lineRule="auto"/>
        <w:rPr>
          <w:rFonts w:hint="default" w:ascii="Times New Roman" w:hAnsi="Times New Roman" w:cs="Times New Roman"/>
          <w:b/>
          <w:color w:val="auto"/>
          <w:sz w:val="52"/>
          <w:szCs w:val="52"/>
          <w:highlight w:val="none"/>
        </w:rPr>
      </w:pPr>
    </w:p>
    <w:p w14:paraId="6288031C">
      <w:pPr>
        <w:spacing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52"/>
          <w:szCs w:val="52"/>
          <w:highlight w:val="none"/>
        </w:rPr>
        <w:t>资格性响应投标文件</w:t>
      </w:r>
    </w:p>
    <w:p w14:paraId="39A7D651">
      <w:pPr>
        <w:spacing w:line="360" w:lineRule="auto"/>
        <w:rPr>
          <w:rFonts w:hint="default" w:ascii="Times New Roman" w:hAnsi="Times New Roman" w:cs="Times New Roman"/>
          <w:b/>
          <w:color w:val="auto"/>
          <w:sz w:val="36"/>
          <w:highlight w:val="none"/>
        </w:rPr>
      </w:pPr>
    </w:p>
    <w:p w14:paraId="1A8BA04C">
      <w:pPr>
        <w:spacing w:line="360" w:lineRule="auto"/>
        <w:rPr>
          <w:rFonts w:hint="default" w:ascii="Times New Roman" w:hAnsi="Times New Roman" w:cs="Times New Roman"/>
          <w:b/>
          <w:color w:val="auto"/>
          <w:sz w:val="36"/>
          <w:highlight w:val="none"/>
        </w:rPr>
      </w:pPr>
    </w:p>
    <w:p w14:paraId="70202F9F">
      <w:pPr>
        <w:spacing w:line="360" w:lineRule="auto"/>
        <w:jc w:val="left"/>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 标 人名称：</w:t>
      </w:r>
    </w:p>
    <w:p w14:paraId="1B9160BD">
      <w:pPr>
        <w:spacing w:line="360" w:lineRule="auto"/>
        <w:jc w:val="left"/>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采购项目编号：</w:t>
      </w:r>
    </w:p>
    <w:p w14:paraId="342FC6A1">
      <w:pPr>
        <w:spacing w:line="360" w:lineRule="auto"/>
        <w:ind w:firstLine="790" w:firstLineChars="246"/>
        <w:jc w:val="center"/>
        <w:rPr>
          <w:rFonts w:hint="default" w:ascii="Times New Roman" w:hAnsi="Times New Roman" w:cs="Times New Roman"/>
          <w:b/>
          <w:color w:val="auto"/>
          <w:sz w:val="32"/>
          <w:highlight w:val="none"/>
        </w:rPr>
      </w:pPr>
    </w:p>
    <w:p w14:paraId="678492B5">
      <w:pPr>
        <w:pStyle w:val="16"/>
        <w:rPr>
          <w:rFonts w:hint="default" w:ascii="Times New Roman" w:hAnsi="Times New Roman" w:cs="Times New Roman"/>
          <w:color w:val="auto"/>
          <w:highlight w:val="none"/>
        </w:rPr>
      </w:pPr>
    </w:p>
    <w:p w14:paraId="0D211B98">
      <w:pPr>
        <w:spacing w:line="360" w:lineRule="auto"/>
        <w:ind w:firstLine="790" w:firstLineChars="246"/>
        <w:jc w:val="center"/>
        <w:rPr>
          <w:rFonts w:hint="default" w:ascii="Times New Roman" w:hAnsi="Times New Roman" w:cs="Times New Roman"/>
          <w:b/>
          <w:color w:val="auto"/>
          <w:sz w:val="32"/>
          <w:highlight w:val="none"/>
        </w:rPr>
      </w:pPr>
    </w:p>
    <w:p w14:paraId="119A5E6F">
      <w:pPr>
        <w:spacing w:line="360" w:lineRule="auto"/>
        <w:jc w:val="lef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投标时间：   年  月  日</w:t>
      </w:r>
    </w:p>
    <w:p w14:paraId="413D6CB5">
      <w:pPr>
        <w:rPr>
          <w:rFonts w:hint="default" w:ascii="Times New Roman" w:hAnsi="Times New Roman" w:cs="Times New Roman"/>
          <w:color w:val="auto"/>
          <w:highlight w:val="none"/>
        </w:rPr>
      </w:pPr>
      <w:bookmarkStart w:id="360" w:name="_Toc308164824"/>
      <w:bookmarkStart w:id="361" w:name="_Toc19094"/>
      <w:bookmarkStart w:id="362" w:name="_Toc448770627"/>
      <w:bookmarkStart w:id="363" w:name="_Toc445751949"/>
      <w:bookmarkStart w:id="364" w:name="_Toc12086"/>
      <w:bookmarkStart w:id="365" w:name="_Toc466298076"/>
      <w:bookmarkStart w:id="366" w:name="_Toc472604631"/>
      <w:bookmarkStart w:id="367" w:name="_Toc21418"/>
      <w:bookmarkStart w:id="368" w:name="_Toc445751864"/>
      <w:bookmarkStart w:id="369" w:name="_Toc13447"/>
      <w:bookmarkStart w:id="370" w:name="_Toc471489581"/>
      <w:bookmarkStart w:id="371" w:name="_Toc465085378"/>
    </w:p>
    <w:p w14:paraId="18C98813">
      <w:pPr>
        <w:rPr>
          <w:rFonts w:hint="default" w:ascii="Times New Roman" w:hAnsi="Times New Roman" w:cs="Times New Roman"/>
          <w:color w:val="auto"/>
          <w:highlight w:val="none"/>
        </w:rPr>
      </w:pPr>
    </w:p>
    <w:p w14:paraId="59033D3A">
      <w:pPr>
        <w:rPr>
          <w:rFonts w:hint="default" w:ascii="Times New Roman" w:hAnsi="Times New Roman" w:cs="Times New Roman"/>
          <w:color w:val="auto"/>
          <w:highlight w:val="none"/>
        </w:rPr>
      </w:pPr>
    </w:p>
    <w:p w14:paraId="7D153425">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7DF079B3">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bookmarkEnd w:id="360"/>
      <w:r>
        <w:rPr>
          <w:rFonts w:hint="default" w:ascii="Times New Roman" w:hAnsi="Times New Roman" w:cs="Times New Roman"/>
          <w:color w:val="auto"/>
          <w:highlight w:val="none"/>
        </w:rPr>
        <w:t>具有独立承担民事责任的能力的证明材料</w:t>
      </w:r>
    </w:p>
    <w:p w14:paraId="482AC677">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bookmarkEnd w:id="361"/>
    <w:bookmarkEnd w:id="362"/>
    <w:bookmarkEnd w:id="363"/>
    <w:bookmarkEnd w:id="364"/>
    <w:bookmarkEnd w:id="365"/>
    <w:bookmarkEnd w:id="366"/>
    <w:bookmarkEnd w:id="367"/>
    <w:bookmarkEnd w:id="368"/>
    <w:bookmarkEnd w:id="369"/>
    <w:bookmarkEnd w:id="370"/>
    <w:bookmarkEnd w:id="371"/>
    <w:p w14:paraId="12A2A569">
      <w:pPr>
        <w:pStyle w:val="4"/>
        <w:jc w:val="center"/>
        <w:rPr>
          <w:rFonts w:hint="default" w:ascii="Times New Roman" w:hAnsi="Times New Roman" w:cs="Times New Roman"/>
          <w:color w:val="auto"/>
          <w:sz w:val="24"/>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bookmarkStart w:id="372" w:name="_Hlk535236685"/>
      <w:r>
        <w:rPr>
          <w:rFonts w:hint="default" w:ascii="Times New Roman" w:hAnsi="Times New Roman" w:cs="Times New Roman"/>
          <w:color w:val="auto"/>
          <w:highlight w:val="none"/>
        </w:rPr>
        <w:t>法定代表人/单位负责人授权书</w:t>
      </w:r>
      <w:bookmarkEnd w:id="372"/>
    </w:p>
    <w:p w14:paraId="744CAA5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中正恒天国际招标有限公司：</w:t>
      </w:r>
    </w:p>
    <w:p w14:paraId="70FA503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本授权声明：XXXX XXXX（投标人名称）XXXX（法定代表人/单位负责人姓名、职务）授权XXXX（被授权人姓名、职务）为我方 “XXXX” 项目（招标编号：XXXX）投标活动的合法代表，以我方名义全权处理该项目有关投标、签订合同以及执行合同等一切事宜。</w:t>
      </w:r>
    </w:p>
    <w:p w14:paraId="6923C31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特此声明。</w:t>
      </w:r>
    </w:p>
    <w:tbl>
      <w:tblPr>
        <w:tblStyle w:val="40"/>
        <w:tblpPr w:leftFromText="180" w:rightFromText="180" w:vertAnchor="text" w:horzAnchor="page" w:tblpX="1404" w:tblpY="1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A01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261" w:type="dxa"/>
            <w:noWrap w:val="0"/>
            <w:vAlign w:val="center"/>
          </w:tcPr>
          <w:p w14:paraId="74C46980">
            <w:pPr>
              <w:spacing w:after="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r>
              <w:rPr>
                <w:rFonts w:hint="default" w:ascii="Times New Roman" w:hAnsi="Times New Roman" w:cs="Times New Roman"/>
                <w:color w:val="auto"/>
                <w:sz w:val="24"/>
                <w:highlight w:val="none"/>
              </w:rPr>
              <w:t>/单位负责人</w:t>
            </w:r>
          </w:p>
          <w:p w14:paraId="6F0E28A2">
            <w:pPr>
              <w:spacing w:after="0"/>
              <w:jc w:val="center"/>
              <w:rPr>
                <w:rFonts w:hint="default" w:ascii="Times New Roman" w:hAnsi="Times New Roman" w:cs="Times New Roman"/>
                <w:color w:val="auto"/>
                <w:sz w:val="24"/>
                <w:szCs w:val="24"/>
                <w:highlight w:val="none"/>
              </w:rPr>
            </w:pPr>
          </w:p>
        </w:tc>
        <w:tc>
          <w:tcPr>
            <w:tcW w:w="4261" w:type="dxa"/>
            <w:noWrap w:val="0"/>
            <w:vAlign w:val="center"/>
          </w:tcPr>
          <w:p w14:paraId="4124F77D">
            <w:pPr>
              <w:spacing w:after="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r>
              <w:rPr>
                <w:rFonts w:hint="default" w:ascii="Times New Roman" w:hAnsi="Times New Roman" w:cs="Times New Roman"/>
                <w:color w:val="auto"/>
                <w:sz w:val="24"/>
                <w:highlight w:val="none"/>
              </w:rPr>
              <w:t>/单位负责人</w:t>
            </w:r>
          </w:p>
        </w:tc>
      </w:tr>
      <w:tr w14:paraId="0BD1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261" w:type="dxa"/>
            <w:noWrap w:val="0"/>
            <w:vAlign w:val="center"/>
          </w:tcPr>
          <w:p w14:paraId="25A49337">
            <w:pPr>
              <w:spacing w:after="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被授权人</w:t>
            </w:r>
          </w:p>
        </w:tc>
        <w:tc>
          <w:tcPr>
            <w:tcW w:w="4261" w:type="dxa"/>
            <w:noWrap w:val="0"/>
            <w:vAlign w:val="center"/>
          </w:tcPr>
          <w:p w14:paraId="10D3B827">
            <w:pPr>
              <w:spacing w:after="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被授权人</w:t>
            </w:r>
          </w:p>
        </w:tc>
      </w:tr>
    </w:tbl>
    <w:p w14:paraId="269EC520">
      <w:pPr>
        <w:spacing w:line="360" w:lineRule="auto"/>
        <w:jc w:val="center"/>
        <w:rPr>
          <w:rFonts w:hint="default" w:ascii="Times New Roman" w:hAnsi="Times New Roman" w:cs="Times New Roman"/>
          <w:color w:val="auto"/>
          <w:sz w:val="24"/>
          <w:highlight w:val="none"/>
        </w:rPr>
      </w:pPr>
    </w:p>
    <w:p w14:paraId="457087B7">
      <w:pPr>
        <w:spacing w:line="360" w:lineRule="auto"/>
        <w:ind w:firstLine="480" w:firstLineChars="200"/>
        <w:rPr>
          <w:rFonts w:hint="default" w:ascii="Times New Roman" w:hAnsi="Times New Roman" w:cs="Times New Roman"/>
          <w:color w:val="auto"/>
          <w:sz w:val="24"/>
          <w:highlight w:val="none"/>
        </w:rPr>
      </w:pPr>
      <w:bookmarkStart w:id="373" w:name="_Hlk535236712"/>
      <w:r>
        <w:rPr>
          <w:rFonts w:hint="default" w:ascii="Times New Roman" w:hAnsi="Times New Roman" w:cs="Times New Roman"/>
          <w:color w:val="auto"/>
          <w:sz w:val="24"/>
          <w:highlight w:val="none"/>
        </w:rPr>
        <w:t>法定代表人/单位负责人签字</w:t>
      </w:r>
      <w:bookmarkEnd w:id="373"/>
      <w:r>
        <w:rPr>
          <w:rFonts w:hint="default" w:ascii="Times New Roman" w:hAnsi="Times New Roman" w:cs="Times New Roman"/>
          <w:color w:val="auto"/>
          <w:sz w:val="24"/>
          <w:highlight w:val="none"/>
        </w:rPr>
        <w:t>或者加盖个人名章：XXXX</w:t>
      </w:r>
    </w:p>
    <w:p w14:paraId="17266A7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授权代表签字：XXXX</w:t>
      </w:r>
    </w:p>
    <w:p w14:paraId="1291204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投标人名称：XXXX（单位盖章）</w:t>
      </w:r>
    </w:p>
    <w:p w14:paraId="2F8F23D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期：XXXX</w:t>
      </w:r>
    </w:p>
    <w:p w14:paraId="3BA3C4E7">
      <w:pPr>
        <w:spacing w:line="360" w:lineRule="auto"/>
        <w:rPr>
          <w:rFonts w:hint="default" w:ascii="Times New Roman" w:hAnsi="Times New Roman" w:cs="Times New Roman"/>
          <w:color w:val="auto"/>
          <w:sz w:val="22"/>
          <w:szCs w:val="18"/>
          <w:highlight w:val="none"/>
        </w:rPr>
      </w:pPr>
    </w:p>
    <w:p w14:paraId="6549ABA9">
      <w:pPr>
        <w:spacing w:line="360" w:lineRule="auto"/>
        <w:ind w:firstLine="48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说明：</w:t>
      </w:r>
    </w:p>
    <w:p w14:paraId="327B5F88">
      <w:pPr>
        <w:spacing w:line="360" w:lineRule="auto"/>
        <w:ind w:firstLine="480"/>
        <w:rPr>
          <w:rFonts w:hint="default" w:ascii="Times New Roman" w:hAnsi="Times New Roman" w:cs="Times New Roman"/>
          <w:color w:val="auto"/>
          <w:sz w:val="22"/>
          <w:szCs w:val="22"/>
          <w:highlight w:val="none"/>
        </w:rPr>
      </w:pPr>
      <w:bookmarkStart w:id="374" w:name="_Hlk535236731"/>
      <w:r>
        <w:rPr>
          <w:rFonts w:hint="default" w:ascii="Times New Roman" w:hAnsi="Times New Roman" w:cs="Times New Roman"/>
          <w:color w:val="auto"/>
          <w:sz w:val="22"/>
          <w:szCs w:val="22"/>
          <w:highlight w:val="none"/>
        </w:rPr>
        <w:t>1、供应商为法人单位提供“法定代表人</w:t>
      </w:r>
      <w:r>
        <w:rPr>
          <w:rFonts w:hint="default" w:ascii="Times New Roman" w:hAnsi="Times New Roman" w:cs="Times New Roman"/>
          <w:color w:val="auto"/>
          <w:sz w:val="24"/>
          <w:highlight w:val="none"/>
        </w:rPr>
        <w:t>/单位负责人</w:t>
      </w:r>
      <w:r>
        <w:rPr>
          <w:rFonts w:hint="default" w:ascii="Times New Roman" w:hAnsi="Times New Roman" w:cs="Times New Roman"/>
          <w:color w:val="auto"/>
          <w:sz w:val="22"/>
          <w:szCs w:val="22"/>
          <w:highlight w:val="none"/>
        </w:rPr>
        <w:t>授权书”，供应商为其他组织提供“单位负责人授权书”。</w:t>
      </w:r>
    </w:p>
    <w:p w14:paraId="722F061D">
      <w:pPr>
        <w:spacing w:line="360" w:lineRule="auto"/>
        <w:ind w:firstLine="48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2、如法定代表人/单位负责人参加投标的，投标文件中不需提供授权委托书，但必须提供法定代表人</w:t>
      </w:r>
      <w:r>
        <w:rPr>
          <w:rFonts w:hint="default" w:ascii="Times New Roman" w:hAnsi="Times New Roman" w:cs="Times New Roman"/>
          <w:color w:val="auto"/>
          <w:sz w:val="24"/>
          <w:highlight w:val="none"/>
        </w:rPr>
        <w:t>/单位负责人</w:t>
      </w:r>
      <w:r>
        <w:rPr>
          <w:rFonts w:hint="default" w:ascii="Times New Roman" w:hAnsi="Times New Roman" w:cs="Times New Roman"/>
          <w:color w:val="auto"/>
          <w:sz w:val="22"/>
          <w:szCs w:val="22"/>
          <w:highlight w:val="none"/>
        </w:rPr>
        <w:t>身份证明材料。</w:t>
      </w:r>
    </w:p>
    <w:p w14:paraId="6487F815">
      <w:pPr>
        <w:spacing w:line="360" w:lineRule="auto"/>
        <w:ind w:firstLine="48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3、如委托代理人参加投标的，投标文件中必须提供授权委托书、法定代表人/单位负责人和委托代理人的身份证明材料。</w:t>
      </w:r>
    </w:p>
    <w:p w14:paraId="6828AE8E">
      <w:pPr>
        <w:spacing w:line="360" w:lineRule="auto"/>
        <w:ind w:firstLine="48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22"/>
          <w:highlight w:val="none"/>
        </w:rPr>
        <w:t>4、</w:t>
      </w:r>
      <w:r>
        <w:rPr>
          <w:rFonts w:hint="default" w:ascii="Times New Roman" w:hAnsi="Times New Roman" w:cs="Times New Roman"/>
          <w:color w:val="auto"/>
          <w:sz w:val="22"/>
          <w:szCs w:val="18"/>
          <w:highlight w:val="none"/>
        </w:rPr>
        <w:t>身份证明材料包括居民身份证或户口本或军官证或护照等，且应在有效期内。</w:t>
      </w:r>
    </w:p>
    <w:p w14:paraId="4681AB36">
      <w:pPr>
        <w:spacing w:line="360" w:lineRule="auto"/>
        <w:ind w:firstLine="48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18"/>
          <w:highlight w:val="none"/>
        </w:rPr>
        <w:t>5、</w:t>
      </w:r>
      <w:r>
        <w:rPr>
          <w:rFonts w:hint="default" w:ascii="Times New Roman" w:hAnsi="Times New Roman" w:cs="Times New Roman"/>
          <w:b/>
          <w:color w:val="auto"/>
          <w:sz w:val="22"/>
          <w:szCs w:val="18"/>
          <w:highlight w:val="none"/>
        </w:rPr>
        <w:t>法定代表人/单位负责人和授权代表均须签字或加盖个人名章，并加盖单位公章，否则按无效标处理。</w:t>
      </w:r>
    </w:p>
    <w:bookmarkEnd w:id="374"/>
    <w:p w14:paraId="3C37753C">
      <w:pPr>
        <w:pStyle w:val="4"/>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bookmarkStart w:id="375" w:name="_Hlk535236837"/>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、具备良好商业信誉的证明材料</w:t>
      </w:r>
    </w:p>
    <w:p w14:paraId="58BC2C03">
      <w:pPr>
        <w:rPr>
          <w:rFonts w:hint="default" w:ascii="Times New Roman" w:hAnsi="Times New Roman" w:cs="Times New Roman"/>
          <w:color w:val="auto"/>
          <w:sz w:val="24"/>
          <w:szCs w:val="24"/>
          <w:highlight w:val="none"/>
        </w:rPr>
      </w:pPr>
    </w:p>
    <w:p w14:paraId="581BF4F6">
      <w:pPr>
        <w:spacing w:line="48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中正恒天国际招标有限公司：</w:t>
      </w:r>
    </w:p>
    <w:p w14:paraId="720D2AFD">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（公司名称）参加</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（项目名称）的</w:t>
      </w:r>
      <w:r>
        <w:rPr>
          <w:rFonts w:hint="default" w:ascii="Times New Roman" w:hAnsi="Times New Roman" w:cs="Times New Roman"/>
          <w:color w:val="auto"/>
          <w:sz w:val="24"/>
          <w:szCs w:val="28"/>
          <w:highlight w:val="none"/>
        </w:rPr>
        <w:t>采购</w:t>
      </w:r>
      <w:r>
        <w:rPr>
          <w:rFonts w:hint="default" w:ascii="Times New Roman" w:hAnsi="Times New Roman" w:cs="Times New Roman"/>
          <w:color w:val="auto"/>
          <w:sz w:val="24"/>
          <w:szCs w:val="24"/>
          <w:highlight w:val="none"/>
        </w:rPr>
        <w:t>活动，现承诺我公司具有良好的商业信誉。</w:t>
      </w:r>
    </w:p>
    <w:p w14:paraId="0207F12D">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本公司对上述承诺内容事项真实性负责。如经查实上述承诺的内容事项存在虚假，我公司愿意接受以提供虚假材料谋取中标追究法律责任。</w:t>
      </w:r>
    </w:p>
    <w:p w14:paraId="54A152D8">
      <w:pPr>
        <w:pStyle w:val="179"/>
        <w:ind w:firstLine="480"/>
        <w:rPr>
          <w:rFonts w:hint="default" w:ascii="Times New Roman" w:hAnsi="Times New Roman" w:cs="Times New Roman"/>
          <w:color w:val="auto"/>
          <w:highlight w:val="none"/>
        </w:rPr>
      </w:pPr>
    </w:p>
    <w:p w14:paraId="2F54FBAD">
      <w:pPr>
        <w:spacing w:line="360" w:lineRule="auto"/>
        <w:ind w:firstLine="720" w:firstLineChars="300"/>
        <w:jc w:val="center"/>
        <w:rPr>
          <w:rFonts w:hint="default" w:ascii="Times New Roman" w:hAnsi="Times New Roman" w:cs="Times New Roman"/>
          <w:color w:val="auto"/>
          <w:sz w:val="24"/>
          <w:highlight w:val="none"/>
        </w:rPr>
      </w:pPr>
    </w:p>
    <w:p w14:paraId="5D701DF2">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2C3369FE">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48C07D3A">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137ED543">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、具备健全的财务会计制度的证明材料</w:t>
      </w:r>
    </w:p>
    <w:p w14:paraId="0C71966D">
      <w:pPr>
        <w:jc w:val="center"/>
        <w:rPr>
          <w:rFonts w:hint="default" w:ascii="Times New Roman" w:hAnsi="Times New Roman" w:cs="Times New Roman"/>
          <w:b/>
          <w:bCs/>
          <w:color w:val="auto"/>
          <w:sz w:val="24"/>
          <w:highlight w:val="none"/>
        </w:rPr>
      </w:pPr>
    </w:p>
    <w:p w14:paraId="703F42C0">
      <w:pPr>
        <w:jc w:val="center"/>
        <w:rPr>
          <w:rFonts w:hint="default" w:ascii="Times New Roman" w:hAnsi="Times New Roman" w:cs="Times New Roman"/>
          <w:b/>
          <w:bCs/>
          <w:color w:val="auto"/>
          <w:sz w:val="24"/>
          <w:highlight w:val="none"/>
        </w:rPr>
      </w:pPr>
    </w:p>
    <w:p w14:paraId="69DD113C">
      <w:pP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（以下4项任选其一提供）</w:t>
      </w:r>
    </w:p>
    <w:p w14:paraId="5602AAA8">
      <w:pP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①提供202</w:t>
      </w:r>
      <w:r>
        <w:rPr>
          <w:rFonts w:hint="eastAsia" w:ascii="Times New Roman" w:cs="Times New Roman"/>
          <w:color w:val="auto"/>
          <w:sz w:val="24"/>
          <w:highlight w:val="none"/>
          <w:lang w:val="en-US" w:eastAsia="zh-CN"/>
        </w:rPr>
        <w:t>4</w:t>
      </w:r>
      <w:r>
        <w:rPr>
          <w:rFonts w:hint="default" w:ascii="Times New Roman" w:hAnsi="Times New Roman" w:cs="Times New Roman"/>
          <w:color w:val="auto"/>
          <w:sz w:val="24"/>
          <w:highlight w:val="none"/>
        </w:rPr>
        <w:t>年或202</w:t>
      </w:r>
      <w:r>
        <w:rPr>
          <w:rFonts w:hint="eastAsia" w:ascii="Times New Roman" w:cs="Times New Roman"/>
          <w:color w:val="auto"/>
          <w:sz w:val="24"/>
          <w:highlight w:val="none"/>
          <w:lang w:val="en-US" w:eastAsia="zh-CN"/>
        </w:rPr>
        <w:t>5</w:t>
      </w:r>
      <w:r>
        <w:rPr>
          <w:rFonts w:hint="default" w:ascii="Times New Roman" w:hAnsi="Times New Roman" w:cs="Times New Roman"/>
          <w:color w:val="auto"/>
          <w:sz w:val="24"/>
          <w:highlight w:val="none"/>
        </w:rPr>
        <w:t>年度经审计的财务报告；</w:t>
      </w:r>
    </w:p>
    <w:p w14:paraId="67A42238">
      <w:pP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②提供202</w:t>
      </w:r>
      <w:r>
        <w:rPr>
          <w:rFonts w:hint="eastAsia" w:ascii="Times New Roman" w:cs="Times New Roman"/>
          <w:color w:val="auto"/>
          <w:sz w:val="24"/>
          <w:highlight w:val="none"/>
          <w:lang w:val="en-US" w:eastAsia="zh-CN"/>
        </w:rPr>
        <w:t>4</w:t>
      </w:r>
      <w:r>
        <w:rPr>
          <w:rFonts w:hint="default" w:ascii="Times New Roman" w:hAnsi="Times New Roman" w:cs="Times New Roman"/>
          <w:color w:val="auto"/>
          <w:sz w:val="24"/>
          <w:highlight w:val="none"/>
        </w:rPr>
        <w:t>年或202</w:t>
      </w:r>
      <w:r>
        <w:rPr>
          <w:rFonts w:hint="eastAsia" w:ascii="Times New Roman" w:cs="Times New Roman"/>
          <w:color w:val="auto"/>
          <w:sz w:val="24"/>
          <w:highlight w:val="none"/>
          <w:lang w:val="en-US" w:eastAsia="zh-CN"/>
        </w:rPr>
        <w:t>5</w:t>
      </w:r>
      <w:r>
        <w:rPr>
          <w:rFonts w:hint="default" w:ascii="Times New Roman" w:hAnsi="Times New Roman" w:cs="Times New Roman"/>
          <w:color w:val="auto"/>
          <w:sz w:val="24"/>
          <w:highlight w:val="none"/>
        </w:rPr>
        <w:t>年度供应商内部的财务报表复印件（至少包含资产负债表）；</w:t>
      </w:r>
    </w:p>
    <w:p w14:paraId="24509E18">
      <w:pP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③提供截至投标文件递交截止日一年内银行出具的资信证明（复印件）；</w:t>
      </w:r>
    </w:p>
    <w:p w14:paraId="556D05EF">
      <w:pP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④供应商注册时间截至投标文件递交截止日不足一年的，也可提供在工商备案的公司章程（复印件）。</w:t>
      </w:r>
    </w:p>
    <w:p w14:paraId="01EA606B">
      <w:pPr>
        <w:rPr>
          <w:rFonts w:hint="default" w:ascii="Times New Roman" w:hAnsi="Times New Roman" w:cs="Times New Roman"/>
          <w:color w:val="auto"/>
          <w:sz w:val="24"/>
          <w:highlight w:val="none"/>
        </w:rPr>
      </w:pPr>
    </w:p>
    <w:p w14:paraId="7BC5DE9B">
      <w:pPr>
        <w:rPr>
          <w:rFonts w:hint="default" w:ascii="Times New Roman" w:hAnsi="Times New Roman" w:cs="Times New Roman"/>
          <w:color w:val="auto"/>
          <w:sz w:val="24"/>
          <w:highlight w:val="none"/>
        </w:rPr>
      </w:pPr>
    </w:p>
    <w:p w14:paraId="10EC24BD">
      <w:pPr>
        <w:rPr>
          <w:rFonts w:hint="default" w:ascii="Times New Roman" w:hAnsi="Times New Roman" w:cs="Times New Roman"/>
          <w:color w:val="auto"/>
          <w:sz w:val="24"/>
          <w:highlight w:val="none"/>
        </w:rPr>
      </w:pPr>
    </w:p>
    <w:p w14:paraId="592C3675">
      <w:pPr>
        <w:rPr>
          <w:rFonts w:hint="default" w:ascii="Times New Roman" w:hAnsi="Times New Roman" w:cs="Times New Roman"/>
          <w:color w:val="auto"/>
          <w:sz w:val="24"/>
          <w:highlight w:val="none"/>
        </w:rPr>
      </w:pPr>
    </w:p>
    <w:p w14:paraId="6983BC47">
      <w:pPr>
        <w:rPr>
          <w:rFonts w:hint="default" w:ascii="Times New Roman" w:hAnsi="Times New Roman" w:cs="Times New Roman"/>
          <w:color w:val="auto"/>
          <w:sz w:val="24"/>
          <w:highlight w:val="none"/>
        </w:rPr>
      </w:pPr>
    </w:p>
    <w:p w14:paraId="20A97FD0">
      <w:pPr>
        <w:rPr>
          <w:rFonts w:hint="default" w:ascii="Times New Roman" w:hAnsi="Times New Roman" w:cs="Times New Roman"/>
          <w:color w:val="auto"/>
          <w:sz w:val="24"/>
          <w:highlight w:val="none"/>
        </w:rPr>
      </w:pPr>
    </w:p>
    <w:p w14:paraId="71708921">
      <w:pPr>
        <w:rPr>
          <w:rFonts w:hint="default" w:ascii="Times New Roman" w:hAnsi="Times New Roman" w:cs="Times New Roman"/>
          <w:color w:val="auto"/>
          <w:sz w:val="24"/>
          <w:highlight w:val="none"/>
        </w:rPr>
      </w:pPr>
    </w:p>
    <w:p w14:paraId="1B7B1469">
      <w:pPr>
        <w:rPr>
          <w:rFonts w:hint="default" w:ascii="Times New Roman" w:hAnsi="Times New Roman" w:cs="Times New Roman"/>
          <w:color w:val="auto"/>
          <w:sz w:val="24"/>
          <w:highlight w:val="none"/>
        </w:rPr>
      </w:pPr>
    </w:p>
    <w:p w14:paraId="7BFBEA46">
      <w:pPr>
        <w:rPr>
          <w:rFonts w:hint="default" w:ascii="Times New Roman" w:hAnsi="Times New Roman" w:cs="Times New Roman"/>
          <w:color w:val="auto"/>
          <w:sz w:val="24"/>
          <w:highlight w:val="none"/>
        </w:rPr>
      </w:pPr>
    </w:p>
    <w:p w14:paraId="295D0C00">
      <w:pPr>
        <w:rPr>
          <w:rFonts w:hint="default" w:ascii="Times New Roman" w:hAnsi="Times New Roman" w:cs="Times New Roman"/>
          <w:color w:val="auto"/>
          <w:sz w:val="24"/>
          <w:highlight w:val="none"/>
        </w:rPr>
      </w:pPr>
    </w:p>
    <w:p w14:paraId="05F92839">
      <w:pPr>
        <w:rPr>
          <w:rFonts w:hint="default" w:ascii="Times New Roman" w:hAnsi="Times New Roman" w:cs="Times New Roman"/>
          <w:color w:val="auto"/>
          <w:sz w:val="24"/>
          <w:highlight w:val="none"/>
        </w:rPr>
      </w:pPr>
    </w:p>
    <w:p w14:paraId="110CC86A">
      <w:pPr>
        <w:rPr>
          <w:rFonts w:hint="default" w:ascii="Times New Roman" w:hAnsi="Times New Roman" w:cs="Times New Roman"/>
          <w:color w:val="auto"/>
          <w:sz w:val="24"/>
          <w:highlight w:val="none"/>
        </w:rPr>
      </w:pPr>
    </w:p>
    <w:p w14:paraId="007944E4">
      <w:pPr>
        <w:rPr>
          <w:rFonts w:hint="default" w:ascii="Times New Roman" w:hAnsi="Times New Roman" w:cs="Times New Roman"/>
          <w:color w:val="auto"/>
          <w:sz w:val="24"/>
          <w:highlight w:val="none"/>
        </w:rPr>
      </w:pPr>
    </w:p>
    <w:p w14:paraId="311F12CE">
      <w:pPr>
        <w:rPr>
          <w:rFonts w:hint="default" w:ascii="Times New Roman" w:hAnsi="Times New Roman" w:cs="Times New Roman"/>
          <w:color w:val="auto"/>
          <w:sz w:val="24"/>
          <w:highlight w:val="none"/>
        </w:rPr>
      </w:pPr>
    </w:p>
    <w:p w14:paraId="45F7B55C">
      <w:pPr>
        <w:rPr>
          <w:rFonts w:hint="default" w:ascii="Times New Roman" w:hAnsi="Times New Roman" w:cs="Times New Roman"/>
          <w:color w:val="auto"/>
          <w:sz w:val="24"/>
          <w:highlight w:val="none"/>
        </w:rPr>
      </w:pPr>
    </w:p>
    <w:p w14:paraId="410777AF">
      <w:pPr>
        <w:rPr>
          <w:rFonts w:hint="default" w:ascii="Times New Roman" w:hAnsi="Times New Roman" w:cs="Times New Roman"/>
          <w:color w:val="auto"/>
          <w:sz w:val="24"/>
          <w:highlight w:val="none"/>
        </w:rPr>
      </w:pPr>
    </w:p>
    <w:p w14:paraId="07504A95">
      <w:pPr>
        <w:rPr>
          <w:rFonts w:hint="default" w:ascii="Times New Roman" w:hAnsi="Times New Roman" w:cs="Times New Roman"/>
          <w:color w:val="auto"/>
          <w:sz w:val="24"/>
          <w:highlight w:val="none"/>
        </w:rPr>
      </w:pPr>
    </w:p>
    <w:p w14:paraId="444DE0DD">
      <w:pPr>
        <w:rPr>
          <w:rFonts w:hint="default" w:ascii="Times New Roman" w:hAnsi="Times New Roman" w:cs="Times New Roman"/>
          <w:color w:val="auto"/>
          <w:sz w:val="24"/>
          <w:highlight w:val="none"/>
        </w:rPr>
      </w:pPr>
    </w:p>
    <w:p w14:paraId="2D105246">
      <w:pPr>
        <w:rPr>
          <w:rFonts w:hint="default" w:ascii="Times New Roman" w:hAnsi="Times New Roman" w:cs="Times New Roman"/>
          <w:color w:val="auto"/>
          <w:sz w:val="24"/>
          <w:highlight w:val="none"/>
        </w:rPr>
      </w:pPr>
    </w:p>
    <w:p w14:paraId="2B41C845">
      <w:pPr>
        <w:rPr>
          <w:rFonts w:hint="default" w:ascii="Times New Roman" w:hAnsi="Times New Roman" w:cs="Times New Roman"/>
          <w:color w:val="auto"/>
          <w:sz w:val="24"/>
          <w:highlight w:val="none"/>
        </w:rPr>
      </w:pPr>
    </w:p>
    <w:p w14:paraId="72240075">
      <w:pPr>
        <w:rPr>
          <w:rFonts w:hint="default" w:ascii="Times New Roman" w:hAnsi="Times New Roman" w:cs="Times New Roman"/>
          <w:color w:val="auto"/>
          <w:sz w:val="24"/>
          <w:highlight w:val="none"/>
        </w:rPr>
      </w:pPr>
    </w:p>
    <w:p w14:paraId="0B0BAECA">
      <w:pPr>
        <w:rPr>
          <w:rFonts w:hint="default" w:ascii="Times New Roman" w:hAnsi="Times New Roman" w:cs="Times New Roman"/>
          <w:color w:val="auto"/>
          <w:sz w:val="24"/>
          <w:highlight w:val="none"/>
        </w:rPr>
      </w:pPr>
    </w:p>
    <w:p w14:paraId="1005421C">
      <w:pPr>
        <w:rPr>
          <w:rFonts w:hint="default" w:ascii="Times New Roman" w:hAnsi="Times New Roman" w:cs="Times New Roman"/>
          <w:color w:val="auto"/>
          <w:sz w:val="24"/>
          <w:highlight w:val="none"/>
        </w:rPr>
      </w:pPr>
    </w:p>
    <w:p w14:paraId="6A98BA0D">
      <w:pPr>
        <w:rPr>
          <w:rFonts w:hint="default" w:ascii="Times New Roman" w:hAnsi="Times New Roman" w:cs="Times New Roman"/>
          <w:color w:val="auto"/>
          <w:sz w:val="24"/>
          <w:highlight w:val="none"/>
        </w:rPr>
      </w:pPr>
    </w:p>
    <w:p w14:paraId="11A87B48">
      <w:pPr>
        <w:rPr>
          <w:rFonts w:hint="default" w:ascii="Times New Roman" w:hAnsi="Times New Roman" w:cs="Times New Roman"/>
          <w:color w:val="auto"/>
          <w:sz w:val="24"/>
          <w:highlight w:val="none"/>
        </w:rPr>
      </w:pPr>
    </w:p>
    <w:p w14:paraId="7CF58C91">
      <w:pPr>
        <w:rPr>
          <w:rFonts w:hint="default" w:ascii="Times New Roman" w:hAnsi="Times New Roman" w:cs="Times New Roman"/>
          <w:color w:val="auto"/>
          <w:sz w:val="24"/>
          <w:highlight w:val="none"/>
        </w:rPr>
      </w:pPr>
    </w:p>
    <w:p w14:paraId="70AEF8DF">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、具有履行合同所必需的设备和专业技术能力承诺函</w:t>
      </w:r>
    </w:p>
    <w:p w14:paraId="319158B6">
      <w:pPr>
        <w:spacing w:line="480" w:lineRule="auto"/>
        <w:rPr>
          <w:rFonts w:hint="default" w:ascii="Times New Roman" w:hAnsi="Times New Roman" w:cs="Times New Roman"/>
          <w:color w:val="auto"/>
          <w:sz w:val="24"/>
          <w:szCs w:val="24"/>
          <w:highlight w:val="none"/>
        </w:rPr>
      </w:pPr>
    </w:p>
    <w:p w14:paraId="173148DF">
      <w:pPr>
        <w:spacing w:line="48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中正恒天国际招标有限公司：</w:t>
      </w:r>
    </w:p>
    <w:p w14:paraId="4305B04B">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（公司名称）参加</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（项目名称）的</w:t>
      </w:r>
      <w:r>
        <w:rPr>
          <w:rFonts w:hint="default" w:ascii="Times New Roman" w:hAnsi="Times New Roman" w:cs="Times New Roman"/>
          <w:color w:val="auto"/>
          <w:sz w:val="24"/>
          <w:szCs w:val="28"/>
          <w:highlight w:val="none"/>
        </w:rPr>
        <w:t>采购</w:t>
      </w:r>
      <w:r>
        <w:rPr>
          <w:rFonts w:hint="default" w:ascii="Times New Roman" w:hAnsi="Times New Roman" w:cs="Times New Roman"/>
          <w:color w:val="auto"/>
          <w:sz w:val="24"/>
          <w:szCs w:val="24"/>
          <w:highlight w:val="none"/>
        </w:rPr>
        <w:t>活动，现承诺我公司具有履行合同所必需的设备和专业技术能力。</w:t>
      </w:r>
    </w:p>
    <w:p w14:paraId="210F6806">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本公司对上述承诺内容事项真实性负责。如经查实上述承诺的内容事项存在虚假，我公司愿意接受以提供虚假材料谋取中标追究法律责任。</w:t>
      </w:r>
    </w:p>
    <w:p w14:paraId="16AF4BCE">
      <w:pPr>
        <w:spacing w:line="276" w:lineRule="auto"/>
        <w:ind w:firstLine="480" w:firstLineChars="200"/>
        <w:rPr>
          <w:rFonts w:hint="default" w:ascii="Times New Roman" w:hAnsi="Times New Roman" w:cs="Times New Roman"/>
          <w:color w:val="auto"/>
          <w:sz w:val="24"/>
          <w:highlight w:val="none"/>
        </w:rPr>
      </w:pPr>
    </w:p>
    <w:p w14:paraId="2E854629">
      <w:pPr>
        <w:spacing w:line="276" w:lineRule="auto"/>
        <w:ind w:firstLine="480" w:firstLineChars="200"/>
        <w:rPr>
          <w:rFonts w:hint="default" w:ascii="Times New Roman" w:hAnsi="Times New Roman" w:cs="Times New Roman"/>
          <w:color w:val="auto"/>
          <w:sz w:val="24"/>
          <w:highlight w:val="none"/>
        </w:rPr>
      </w:pPr>
    </w:p>
    <w:p w14:paraId="5407D0BF">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1A1FCB90">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70DA917F">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7E645D3F">
      <w:pPr>
        <w:rPr>
          <w:rFonts w:hint="default" w:ascii="Times New Roman" w:hAnsi="Times New Roman" w:cs="Times New Roman"/>
          <w:color w:val="auto"/>
          <w:sz w:val="24"/>
          <w:highlight w:val="none"/>
        </w:rPr>
      </w:pPr>
    </w:p>
    <w:p w14:paraId="08283B2D">
      <w:pPr>
        <w:rPr>
          <w:rFonts w:hint="default" w:ascii="Times New Roman" w:hAnsi="Times New Roman" w:cs="Times New Roman"/>
          <w:color w:val="auto"/>
          <w:highlight w:val="none"/>
        </w:rPr>
      </w:pPr>
    </w:p>
    <w:p w14:paraId="16241465">
      <w:pPr>
        <w:rPr>
          <w:rFonts w:hint="default" w:ascii="Times New Roman" w:hAnsi="Times New Roman" w:cs="Times New Roman"/>
          <w:color w:val="auto"/>
          <w:highlight w:val="none"/>
        </w:rPr>
      </w:pPr>
    </w:p>
    <w:p w14:paraId="0599CF4A">
      <w:pPr>
        <w:rPr>
          <w:rFonts w:hint="default" w:ascii="Times New Roman" w:hAnsi="Times New Roman" w:cs="Times New Roman"/>
          <w:color w:val="auto"/>
          <w:highlight w:val="none"/>
        </w:rPr>
      </w:pPr>
    </w:p>
    <w:p w14:paraId="0AE200B2">
      <w:pPr>
        <w:rPr>
          <w:rFonts w:hint="default" w:ascii="Times New Roman" w:hAnsi="Times New Roman" w:cs="Times New Roman"/>
          <w:color w:val="auto"/>
          <w:highlight w:val="none"/>
        </w:rPr>
      </w:pPr>
    </w:p>
    <w:p w14:paraId="191FF81C">
      <w:pPr>
        <w:rPr>
          <w:rFonts w:hint="default" w:ascii="Times New Roman" w:hAnsi="Times New Roman" w:cs="Times New Roman"/>
          <w:color w:val="auto"/>
          <w:highlight w:val="none"/>
        </w:rPr>
      </w:pPr>
    </w:p>
    <w:p w14:paraId="5FEA27DE">
      <w:pPr>
        <w:rPr>
          <w:rFonts w:hint="default" w:ascii="Times New Roman" w:hAnsi="Times New Roman" w:cs="Times New Roman"/>
          <w:color w:val="auto"/>
          <w:highlight w:val="none"/>
        </w:rPr>
      </w:pPr>
    </w:p>
    <w:p w14:paraId="4E79C68D">
      <w:pPr>
        <w:rPr>
          <w:rFonts w:hint="default" w:ascii="Times New Roman" w:hAnsi="Times New Roman" w:cs="Times New Roman"/>
          <w:color w:val="auto"/>
          <w:highlight w:val="none"/>
        </w:rPr>
      </w:pPr>
    </w:p>
    <w:p w14:paraId="153064E5">
      <w:pPr>
        <w:rPr>
          <w:rFonts w:hint="default" w:ascii="Times New Roman" w:hAnsi="Times New Roman" w:cs="Times New Roman"/>
          <w:color w:val="auto"/>
          <w:highlight w:val="none"/>
        </w:rPr>
      </w:pPr>
    </w:p>
    <w:p w14:paraId="4D6A65B6">
      <w:pPr>
        <w:rPr>
          <w:rFonts w:hint="default" w:ascii="Times New Roman" w:hAnsi="Times New Roman" w:cs="Times New Roman"/>
          <w:color w:val="auto"/>
          <w:highlight w:val="none"/>
        </w:rPr>
      </w:pPr>
    </w:p>
    <w:p w14:paraId="72966F92">
      <w:pPr>
        <w:rPr>
          <w:rFonts w:hint="default" w:ascii="Times New Roman" w:hAnsi="Times New Roman" w:cs="Times New Roman"/>
          <w:color w:val="auto"/>
          <w:highlight w:val="none"/>
        </w:rPr>
      </w:pPr>
    </w:p>
    <w:p w14:paraId="3F7A0B93">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bookmarkStart w:id="376" w:name="_Toc44404137"/>
      <w:r>
        <w:rPr>
          <w:rFonts w:hint="default" w:ascii="Times New Roman" w:hAnsi="Times New Roman" w:cs="Times New Roman"/>
          <w:color w:val="auto"/>
          <w:highlight w:val="none"/>
        </w:rPr>
        <w:t>具备依法缴纳税收和社会保障资金良好记录的书面承诺</w:t>
      </w:r>
      <w:bookmarkEnd w:id="376"/>
    </w:p>
    <w:p w14:paraId="082A1E96">
      <w:pPr>
        <w:jc w:val="center"/>
        <w:rPr>
          <w:rFonts w:hint="default" w:ascii="Times New Roman" w:hAnsi="Times New Roman" w:cs="Times New Roman"/>
          <w:color w:val="auto"/>
          <w:sz w:val="24"/>
          <w:highlight w:val="none"/>
        </w:rPr>
      </w:pPr>
    </w:p>
    <w:p w14:paraId="1C2BDB82">
      <w:pPr>
        <w:jc w:val="center"/>
        <w:rPr>
          <w:rFonts w:hint="default" w:ascii="Times New Roman" w:hAnsi="Times New Roman" w:cs="Times New Roman"/>
          <w:color w:val="auto"/>
          <w:sz w:val="24"/>
          <w:highlight w:val="none"/>
        </w:rPr>
      </w:pPr>
    </w:p>
    <w:p w14:paraId="40E208C5">
      <w:pPr>
        <w:spacing w:line="48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中正恒天国际招标有限公司：</w:t>
      </w:r>
    </w:p>
    <w:p w14:paraId="3C23E456">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（公司名称）参加</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（项目名称）的</w:t>
      </w:r>
      <w:r>
        <w:rPr>
          <w:rFonts w:hint="default" w:ascii="Times New Roman" w:hAnsi="Times New Roman" w:cs="Times New Roman"/>
          <w:color w:val="auto"/>
          <w:sz w:val="24"/>
          <w:szCs w:val="28"/>
          <w:highlight w:val="none"/>
        </w:rPr>
        <w:t>采购</w:t>
      </w:r>
      <w:r>
        <w:rPr>
          <w:rFonts w:hint="default" w:ascii="Times New Roman" w:hAnsi="Times New Roman" w:cs="Times New Roman"/>
          <w:color w:val="auto"/>
          <w:sz w:val="24"/>
          <w:szCs w:val="24"/>
          <w:highlight w:val="none"/>
        </w:rPr>
        <w:t>活动，现承诺我公司具备依法缴纳税收和社会保障资金良好记录。</w:t>
      </w:r>
    </w:p>
    <w:p w14:paraId="774F7F39">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本公司对上述承诺内容事项真实性负责。如经查实上述承诺的内容事项存在虚假，我公司愿意接受以提供虚假材料谋取中标追究法律责任。</w:t>
      </w:r>
    </w:p>
    <w:p w14:paraId="222C777C">
      <w:pPr>
        <w:pStyle w:val="179"/>
        <w:ind w:firstLine="480"/>
        <w:rPr>
          <w:rFonts w:hint="default" w:ascii="Times New Roman" w:hAnsi="Times New Roman" w:cs="Times New Roman"/>
          <w:color w:val="auto"/>
          <w:highlight w:val="none"/>
        </w:rPr>
      </w:pPr>
    </w:p>
    <w:p w14:paraId="155C7D58">
      <w:pPr>
        <w:spacing w:line="360" w:lineRule="auto"/>
        <w:ind w:firstLine="720" w:firstLineChars="300"/>
        <w:jc w:val="center"/>
        <w:rPr>
          <w:rFonts w:hint="default" w:ascii="Times New Roman" w:hAnsi="Times New Roman" w:cs="Times New Roman"/>
          <w:color w:val="auto"/>
          <w:sz w:val="24"/>
          <w:highlight w:val="none"/>
        </w:rPr>
      </w:pPr>
    </w:p>
    <w:p w14:paraId="6D99CC11">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09EF26D3">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1E1709A2">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360F3481">
      <w:pPr>
        <w:rPr>
          <w:rFonts w:hint="default" w:ascii="Times New Roman" w:hAnsi="Times New Roman" w:cs="Times New Roman"/>
          <w:color w:val="auto"/>
          <w:sz w:val="24"/>
          <w:szCs w:val="24"/>
          <w:highlight w:val="none"/>
        </w:rPr>
      </w:pPr>
    </w:p>
    <w:p w14:paraId="16F9AA8E">
      <w:pPr>
        <w:rPr>
          <w:rFonts w:hint="default" w:ascii="Times New Roman" w:hAnsi="Times New Roman" w:cs="Times New Roman"/>
          <w:color w:val="auto"/>
          <w:sz w:val="24"/>
          <w:szCs w:val="24"/>
          <w:highlight w:val="none"/>
        </w:rPr>
      </w:pPr>
    </w:p>
    <w:p w14:paraId="0D3504F1">
      <w:pPr>
        <w:rPr>
          <w:rFonts w:hint="default" w:ascii="Times New Roman" w:hAnsi="Times New Roman" w:cs="Times New Roman"/>
          <w:color w:val="auto"/>
          <w:sz w:val="24"/>
          <w:szCs w:val="24"/>
          <w:highlight w:val="none"/>
        </w:rPr>
      </w:pPr>
    </w:p>
    <w:p w14:paraId="2D8A1499">
      <w:pPr>
        <w:rPr>
          <w:rFonts w:hint="default" w:ascii="Times New Roman" w:hAnsi="Times New Roman" w:cs="Times New Roman"/>
          <w:color w:val="auto"/>
          <w:sz w:val="24"/>
          <w:szCs w:val="24"/>
          <w:highlight w:val="none"/>
        </w:rPr>
      </w:pPr>
    </w:p>
    <w:p w14:paraId="659B1AB2">
      <w:pPr>
        <w:rPr>
          <w:rFonts w:hint="default" w:ascii="Times New Roman" w:hAnsi="Times New Roman" w:cs="Times New Roman"/>
          <w:color w:val="auto"/>
          <w:sz w:val="24"/>
          <w:szCs w:val="24"/>
          <w:highlight w:val="none"/>
        </w:rPr>
      </w:pPr>
    </w:p>
    <w:p w14:paraId="598D40FC">
      <w:pPr>
        <w:rPr>
          <w:rFonts w:hint="default" w:ascii="Times New Roman" w:hAnsi="Times New Roman" w:cs="Times New Roman"/>
          <w:color w:val="auto"/>
          <w:sz w:val="24"/>
          <w:szCs w:val="24"/>
          <w:highlight w:val="none"/>
        </w:rPr>
      </w:pPr>
    </w:p>
    <w:p w14:paraId="372FF925">
      <w:pPr>
        <w:rPr>
          <w:rFonts w:hint="default" w:ascii="Times New Roman" w:hAnsi="Times New Roman" w:cs="Times New Roman"/>
          <w:color w:val="auto"/>
          <w:sz w:val="24"/>
          <w:szCs w:val="24"/>
          <w:highlight w:val="none"/>
        </w:rPr>
      </w:pPr>
    </w:p>
    <w:p w14:paraId="5C09D3CE">
      <w:pPr>
        <w:rPr>
          <w:rFonts w:hint="default" w:ascii="Times New Roman" w:hAnsi="Times New Roman" w:cs="Times New Roman"/>
          <w:color w:val="auto"/>
          <w:sz w:val="24"/>
          <w:szCs w:val="24"/>
          <w:highlight w:val="none"/>
        </w:rPr>
      </w:pPr>
    </w:p>
    <w:p w14:paraId="37D15E33">
      <w:pPr>
        <w:rPr>
          <w:rFonts w:hint="default" w:ascii="Times New Roman" w:hAnsi="Times New Roman" w:cs="Times New Roman"/>
          <w:color w:val="auto"/>
          <w:sz w:val="24"/>
          <w:szCs w:val="24"/>
          <w:highlight w:val="none"/>
        </w:rPr>
      </w:pPr>
    </w:p>
    <w:p w14:paraId="3021CFA8">
      <w:pPr>
        <w:rPr>
          <w:rFonts w:hint="default" w:ascii="Times New Roman" w:hAnsi="Times New Roman" w:cs="Times New Roman"/>
          <w:color w:val="auto"/>
          <w:sz w:val="24"/>
          <w:szCs w:val="24"/>
          <w:highlight w:val="none"/>
        </w:rPr>
      </w:pPr>
    </w:p>
    <w:p w14:paraId="1A01792A">
      <w:pPr>
        <w:rPr>
          <w:rFonts w:hint="default" w:ascii="Times New Roman" w:hAnsi="Times New Roman" w:cs="Times New Roman"/>
          <w:color w:val="auto"/>
          <w:sz w:val="24"/>
          <w:szCs w:val="24"/>
          <w:highlight w:val="none"/>
        </w:rPr>
      </w:pPr>
    </w:p>
    <w:p w14:paraId="569BEB3D">
      <w:pPr>
        <w:rPr>
          <w:rFonts w:hint="default" w:ascii="Times New Roman" w:hAnsi="Times New Roman" w:cs="Times New Roman"/>
          <w:color w:val="auto"/>
          <w:sz w:val="24"/>
          <w:szCs w:val="24"/>
          <w:highlight w:val="none"/>
        </w:rPr>
      </w:pPr>
    </w:p>
    <w:p w14:paraId="4558BCAC">
      <w:pPr>
        <w:rPr>
          <w:rFonts w:hint="default" w:ascii="Times New Roman" w:hAnsi="Times New Roman" w:cs="Times New Roman"/>
          <w:color w:val="auto"/>
          <w:sz w:val="24"/>
          <w:szCs w:val="24"/>
          <w:highlight w:val="none"/>
        </w:rPr>
      </w:pPr>
    </w:p>
    <w:p w14:paraId="11D5AC44">
      <w:pPr>
        <w:rPr>
          <w:rFonts w:hint="default" w:ascii="Times New Roman" w:hAnsi="Times New Roman" w:cs="Times New Roman"/>
          <w:color w:val="auto"/>
          <w:sz w:val="24"/>
          <w:szCs w:val="24"/>
          <w:highlight w:val="none"/>
        </w:rPr>
      </w:pPr>
    </w:p>
    <w:p w14:paraId="633A7192">
      <w:pPr>
        <w:rPr>
          <w:rFonts w:hint="default" w:ascii="Times New Roman" w:hAnsi="Times New Roman" w:cs="Times New Roman"/>
          <w:color w:val="auto"/>
          <w:sz w:val="24"/>
          <w:szCs w:val="24"/>
          <w:highlight w:val="none"/>
        </w:rPr>
      </w:pPr>
    </w:p>
    <w:p w14:paraId="2AB8EA95">
      <w:pPr>
        <w:rPr>
          <w:rFonts w:hint="default" w:ascii="Times New Roman" w:hAnsi="Times New Roman" w:cs="Times New Roman"/>
          <w:color w:val="auto"/>
          <w:sz w:val="24"/>
          <w:szCs w:val="24"/>
          <w:highlight w:val="none"/>
        </w:rPr>
      </w:pPr>
    </w:p>
    <w:p w14:paraId="3624BA82">
      <w:pPr>
        <w:rPr>
          <w:rFonts w:hint="default" w:ascii="Times New Roman" w:hAnsi="Times New Roman" w:cs="Times New Roman"/>
          <w:color w:val="auto"/>
          <w:sz w:val="24"/>
          <w:szCs w:val="24"/>
          <w:highlight w:val="none"/>
        </w:rPr>
      </w:pPr>
    </w:p>
    <w:p w14:paraId="120E1DAD">
      <w:pPr>
        <w:rPr>
          <w:rFonts w:hint="default" w:ascii="Times New Roman" w:hAnsi="Times New Roman" w:cs="Times New Roman"/>
          <w:color w:val="auto"/>
          <w:sz w:val="24"/>
          <w:szCs w:val="24"/>
          <w:highlight w:val="none"/>
        </w:rPr>
      </w:pPr>
    </w:p>
    <w:p w14:paraId="10D534DF">
      <w:pPr>
        <w:rPr>
          <w:rFonts w:hint="default" w:ascii="Times New Roman" w:hAnsi="Times New Roman" w:cs="Times New Roman"/>
          <w:color w:val="auto"/>
          <w:sz w:val="24"/>
          <w:szCs w:val="24"/>
          <w:highlight w:val="none"/>
        </w:rPr>
      </w:pPr>
    </w:p>
    <w:p w14:paraId="3566AC41">
      <w:pPr>
        <w:rPr>
          <w:rFonts w:hint="default" w:ascii="Times New Roman" w:hAnsi="Times New Roman" w:cs="Times New Roman"/>
          <w:color w:val="auto"/>
          <w:sz w:val="24"/>
          <w:szCs w:val="24"/>
          <w:highlight w:val="none"/>
        </w:rPr>
      </w:pPr>
    </w:p>
    <w:p w14:paraId="795F99D2">
      <w:pPr>
        <w:rPr>
          <w:rFonts w:hint="default" w:ascii="Times New Roman" w:hAnsi="Times New Roman" w:cs="Times New Roman"/>
          <w:color w:val="auto"/>
          <w:sz w:val="24"/>
          <w:szCs w:val="24"/>
          <w:highlight w:val="none"/>
        </w:rPr>
      </w:pPr>
    </w:p>
    <w:p w14:paraId="14D3082C">
      <w:pPr>
        <w:rPr>
          <w:rFonts w:hint="default" w:ascii="Times New Roman" w:hAnsi="Times New Roman" w:cs="Times New Roman"/>
          <w:color w:val="auto"/>
          <w:sz w:val="24"/>
          <w:szCs w:val="24"/>
          <w:highlight w:val="none"/>
        </w:rPr>
      </w:pPr>
    </w:p>
    <w:p w14:paraId="16338C61">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、参加本次政府采购活动的投标人单位及其现任法定代表人/主要负责人不具有行贿犯罪记录承诺函</w:t>
      </w:r>
    </w:p>
    <w:p w14:paraId="2E38134D">
      <w:pPr>
        <w:adjustRightInd w:val="0"/>
        <w:spacing w:line="440" w:lineRule="exact"/>
        <w:jc w:val="left"/>
        <w:rPr>
          <w:rFonts w:hint="default" w:ascii="Times New Roman" w:hAnsi="Times New Roman" w:cs="Times New Roman"/>
          <w:color w:val="auto"/>
          <w:sz w:val="24"/>
          <w:szCs w:val="22"/>
          <w:highlight w:val="none"/>
        </w:rPr>
      </w:pPr>
    </w:p>
    <w:p w14:paraId="26F348F4">
      <w:pPr>
        <w:adjustRightInd w:val="0"/>
        <w:spacing w:line="360" w:lineRule="auto"/>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中正恒天国际招标有限公司：</w:t>
      </w:r>
    </w:p>
    <w:p w14:paraId="60294561">
      <w:pPr>
        <w:adjustRightInd w:val="0"/>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本单位作为本次政府采购项目的投标人，根据招标文件要求，现郑重承诺如下：</w:t>
      </w:r>
    </w:p>
    <w:p w14:paraId="2E81F7EC">
      <w:pPr>
        <w:adjustRightInd w:val="0"/>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本单位及其现任法定代表人/主要负责人不具有行贿犯罪记录。</w:t>
      </w:r>
    </w:p>
    <w:p w14:paraId="0501788C">
      <w:pPr>
        <w:adjustRightInd w:val="0"/>
        <w:spacing w:line="360" w:lineRule="auto"/>
        <w:ind w:left="510" w:leftChars="150"/>
        <w:jc w:val="left"/>
        <w:rPr>
          <w:rFonts w:hint="default" w:ascii="Times New Roman" w:hAnsi="Times New Roman" w:cs="Times New Roman"/>
          <w:color w:val="auto"/>
          <w:sz w:val="24"/>
          <w:szCs w:val="22"/>
          <w:highlight w:val="none"/>
        </w:rPr>
      </w:pPr>
    </w:p>
    <w:p w14:paraId="5D2E0342">
      <w:pPr>
        <w:adjustRightInd w:val="0"/>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本公司对上述承诺内容事项真实性负责。如经查实上述承诺的内容事项存在虚假，我公司愿意接受以提供虚假材料谋取中标追究法律责任。</w:t>
      </w:r>
    </w:p>
    <w:p w14:paraId="735D21D0">
      <w:pPr>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且同时承诺如本单位中标，如果虚假承诺，作无效投标、中标处理。</w:t>
      </w:r>
    </w:p>
    <w:p w14:paraId="016347F8">
      <w:pPr>
        <w:adjustRightInd w:val="0"/>
        <w:spacing w:line="360" w:lineRule="auto"/>
        <w:ind w:left="510" w:leftChars="150"/>
        <w:jc w:val="left"/>
        <w:rPr>
          <w:rFonts w:hint="default" w:ascii="Times New Roman" w:hAnsi="Times New Roman" w:cs="Times New Roman"/>
          <w:color w:val="auto"/>
          <w:sz w:val="24"/>
          <w:highlight w:val="none"/>
        </w:rPr>
      </w:pPr>
    </w:p>
    <w:p w14:paraId="477C61E6">
      <w:pPr>
        <w:adjustRightInd w:val="0"/>
        <w:spacing w:line="360" w:lineRule="auto"/>
        <w:ind w:left="510" w:leftChars="150"/>
        <w:jc w:val="left"/>
        <w:rPr>
          <w:rFonts w:hint="default" w:ascii="Times New Roman" w:hAnsi="Times New Roman" w:cs="Times New Roman"/>
          <w:color w:val="auto"/>
          <w:sz w:val="24"/>
          <w:highlight w:val="none"/>
        </w:rPr>
      </w:pPr>
    </w:p>
    <w:p w14:paraId="1B947519">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471B2DEB">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3BDB8689">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3840AAB5">
      <w:pPr>
        <w:adjustRightInd w:val="0"/>
        <w:spacing w:line="360" w:lineRule="auto"/>
        <w:ind w:left="510" w:leftChars="150"/>
        <w:jc w:val="left"/>
        <w:rPr>
          <w:rFonts w:hint="default" w:ascii="Times New Roman" w:hAnsi="Times New Roman" w:cs="Times New Roman"/>
          <w:color w:val="auto"/>
          <w:sz w:val="24"/>
          <w:highlight w:val="none"/>
        </w:rPr>
      </w:pPr>
    </w:p>
    <w:bookmarkEnd w:id="375"/>
    <w:p w14:paraId="205BAEA4">
      <w:pPr>
        <w:spacing w:line="440" w:lineRule="exact"/>
        <w:ind w:firstLine="424" w:firstLineChars="177"/>
        <w:rPr>
          <w:rFonts w:hint="default" w:ascii="Times New Roman" w:hAnsi="Times New Roman" w:cs="Times New Roman"/>
          <w:color w:val="auto"/>
          <w:sz w:val="24"/>
          <w:highlight w:val="none"/>
        </w:rPr>
      </w:pPr>
    </w:p>
    <w:p w14:paraId="26F47BB0">
      <w:pPr>
        <w:spacing w:line="440" w:lineRule="exact"/>
        <w:ind w:firstLine="424" w:firstLineChars="177"/>
        <w:rPr>
          <w:rFonts w:hint="default" w:ascii="Times New Roman" w:hAnsi="Times New Roman" w:cs="Times New Roman"/>
          <w:color w:val="auto"/>
          <w:sz w:val="24"/>
          <w:highlight w:val="none"/>
        </w:rPr>
      </w:pPr>
    </w:p>
    <w:p w14:paraId="683D2D9E">
      <w:pPr>
        <w:pStyle w:val="4"/>
        <w:jc w:val="center"/>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br w:type="page"/>
      </w:r>
      <w:bookmarkStart w:id="377" w:name="_Hlk535236912"/>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、参加本次政府采购活动前三年内，在经营活动中没有重大违法记录</w:t>
      </w:r>
    </w:p>
    <w:p w14:paraId="53A51692">
      <w:pPr>
        <w:spacing w:line="480" w:lineRule="auto"/>
        <w:rPr>
          <w:rFonts w:hint="default" w:ascii="Times New Roman" w:hAnsi="Times New Roman" w:cs="Times New Roman"/>
          <w:color w:val="auto"/>
          <w:highlight w:val="none"/>
        </w:rPr>
      </w:pPr>
    </w:p>
    <w:p w14:paraId="3B84352B">
      <w:pPr>
        <w:spacing w:line="360" w:lineRule="auto"/>
        <w:ind w:firstLine="600" w:firstLineChars="2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①未被列入“信用中国”网站中的“失信被执行名单”、“企业经营异常名录”、“重大税收违法失信主体”其中之一；</w:t>
      </w:r>
    </w:p>
    <w:p w14:paraId="466A57EF">
      <w:pPr>
        <w:spacing w:line="360" w:lineRule="auto"/>
        <w:ind w:firstLine="600" w:firstLineChars="2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②未被列入“中国政府采购网”中的“政府采购严重违法失信行为记录名单”。</w:t>
      </w:r>
    </w:p>
    <w:p w14:paraId="5C6282B5">
      <w:pPr>
        <w:spacing w:line="360" w:lineRule="auto"/>
        <w:rPr>
          <w:rFonts w:hint="default" w:ascii="Times New Roman" w:hAnsi="Times New Roman" w:cs="Times New Roman"/>
          <w:color w:val="auto"/>
          <w:sz w:val="24"/>
          <w:highlight w:val="none"/>
        </w:rPr>
      </w:pPr>
    </w:p>
    <w:p w14:paraId="34541D04">
      <w:pPr>
        <w:spacing w:line="440" w:lineRule="exact"/>
        <w:ind w:firstLine="426" w:firstLineChars="177"/>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说明:</w:t>
      </w:r>
      <w:bookmarkEnd w:id="377"/>
      <w:r>
        <w:rPr>
          <w:rFonts w:hint="default" w:ascii="Times New Roman" w:hAnsi="Times New Roman" w:cs="Times New Roman"/>
          <w:b/>
          <w:bCs/>
          <w:color w:val="auto"/>
          <w:sz w:val="24"/>
          <w:szCs w:val="24"/>
          <w:highlight w:val="none"/>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0E62089F">
      <w:pPr>
        <w:spacing w:line="440" w:lineRule="exact"/>
        <w:ind w:firstLine="424" w:firstLineChars="177"/>
        <w:rPr>
          <w:rFonts w:hint="default" w:ascii="Times New Roman" w:hAnsi="Times New Roman" w:cs="Times New Roman"/>
          <w:color w:val="auto"/>
          <w:sz w:val="24"/>
          <w:highlight w:val="none"/>
        </w:rPr>
      </w:pPr>
    </w:p>
    <w:p w14:paraId="0F0668D8">
      <w:pPr>
        <w:spacing w:line="440" w:lineRule="exact"/>
        <w:ind w:firstLine="424" w:firstLineChars="177"/>
        <w:rPr>
          <w:rFonts w:hint="default" w:ascii="Times New Roman" w:hAnsi="Times New Roman" w:cs="Times New Roman"/>
          <w:color w:val="auto"/>
          <w:sz w:val="24"/>
          <w:highlight w:val="none"/>
        </w:rPr>
      </w:pPr>
    </w:p>
    <w:p w14:paraId="0BDFE321">
      <w:pPr>
        <w:spacing w:line="440" w:lineRule="exact"/>
        <w:ind w:firstLine="424" w:firstLineChars="177"/>
        <w:rPr>
          <w:rFonts w:hint="default" w:ascii="Times New Roman" w:hAnsi="Times New Roman" w:cs="Times New Roman"/>
          <w:color w:val="auto"/>
          <w:sz w:val="24"/>
          <w:highlight w:val="none"/>
        </w:rPr>
      </w:pPr>
    </w:p>
    <w:p w14:paraId="5B9DDCAE">
      <w:pPr>
        <w:spacing w:line="440" w:lineRule="exact"/>
        <w:ind w:firstLine="424" w:firstLineChars="177"/>
        <w:rPr>
          <w:rFonts w:hint="default" w:ascii="Times New Roman" w:hAnsi="Times New Roman" w:cs="Times New Roman"/>
          <w:color w:val="auto"/>
          <w:sz w:val="24"/>
          <w:highlight w:val="none"/>
        </w:rPr>
      </w:pPr>
    </w:p>
    <w:p w14:paraId="09C6A000">
      <w:pPr>
        <w:spacing w:line="440" w:lineRule="exact"/>
        <w:ind w:firstLine="424" w:firstLineChars="177"/>
        <w:rPr>
          <w:rFonts w:hint="default" w:ascii="Times New Roman" w:hAnsi="Times New Roman" w:cs="Times New Roman"/>
          <w:color w:val="auto"/>
          <w:sz w:val="24"/>
          <w:highlight w:val="none"/>
        </w:rPr>
      </w:pPr>
    </w:p>
    <w:p w14:paraId="75DDD49F">
      <w:pPr>
        <w:spacing w:line="440" w:lineRule="exact"/>
        <w:ind w:firstLine="424" w:firstLineChars="177"/>
        <w:rPr>
          <w:rFonts w:hint="default" w:ascii="Times New Roman" w:hAnsi="Times New Roman" w:cs="Times New Roman"/>
          <w:color w:val="auto"/>
          <w:sz w:val="24"/>
          <w:highlight w:val="none"/>
        </w:rPr>
      </w:pPr>
    </w:p>
    <w:p w14:paraId="06A29601">
      <w:pPr>
        <w:spacing w:line="440" w:lineRule="exact"/>
        <w:ind w:firstLine="424" w:firstLineChars="17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6B86D397">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有效投标保证金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或保函</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缴纳凭证</w:t>
      </w:r>
    </w:p>
    <w:p w14:paraId="1F395276">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5ECDC371">
      <w:pPr>
        <w:pStyle w:val="4"/>
        <w:jc w:val="center"/>
        <w:rPr>
          <w:rFonts w:hint="default" w:ascii="Times New Roman" w:hAnsi="Times New Roman" w:eastAsia="宋体" w:cs="Times New Roman"/>
          <w:color w:val="auto"/>
          <w:highlight w:val="none"/>
          <w:lang w:eastAsia="zh-CN"/>
        </w:rPr>
      </w:pPr>
      <w:bookmarkStart w:id="378" w:name="_Toc475704343"/>
      <w:bookmarkStart w:id="379" w:name="_Toc469494218"/>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、中小企业声明函</w:t>
      </w:r>
      <w:bookmarkEnd w:id="378"/>
      <w:bookmarkEnd w:id="379"/>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服务</w:t>
      </w:r>
      <w:r>
        <w:rPr>
          <w:rFonts w:hint="default" w:ascii="Times New Roman" w:hAnsi="Times New Roman" w:cs="Times New Roman"/>
          <w:color w:val="auto"/>
          <w:highlight w:val="none"/>
          <w:lang w:eastAsia="zh-CN"/>
        </w:rPr>
        <w:t>）</w:t>
      </w:r>
    </w:p>
    <w:p w14:paraId="11F08739">
      <w:pPr>
        <w:spacing w:line="360" w:lineRule="auto"/>
        <w:ind w:firstLine="480" w:firstLineChars="200"/>
        <w:jc w:val="left"/>
        <w:rPr>
          <w:rFonts w:hint="default" w:ascii="Times New Roman" w:hAnsi="Times New Roman" w:cs="Times New Roman"/>
          <w:color w:val="auto"/>
          <w:sz w:val="24"/>
          <w:szCs w:val="24"/>
          <w:highlight w:val="none"/>
        </w:rPr>
      </w:pPr>
      <w:bookmarkStart w:id="380" w:name="_Hlk534965171"/>
      <w:r>
        <w:rPr>
          <w:rFonts w:hint="default" w:ascii="Times New Roman" w:hAnsi="Times New Roman" w:cs="Times New Roman"/>
          <w:color w:val="auto"/>
          <w:sz w:val="24"/>
          <w:szCs w:val="24"/>
          <w:highlight w:val="none"/>
        </w:rPr>
        <w:t>本公司郑重声明,根据《政府采购促进中小企业发展管理办法》(财库(2020)46号)的规定,本公司参加</w:t>
      </w:r>
      <w:r>
        <w:rPr>
          <w:rFonts w:hint="default" w:ascii="Times New Roman" w:hAnsi="Times New Roman" w:cs="Times New Roman"/>
          <w:color w:val="auto"/>
          <w:sz w:val="24"/>
          <w:szCs w:val="24"/>
          <w:highlight w:val="none"/>
          <w:u w:val="single"/>
        </w:rPr>
        <w:t>(单位名称)</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4"/>
          <w:highlight w:val="none"/>
          <w:u w:val="single"/>
        </w:rPr>
        <w:t>(项目名称)</w:t>
      </w:r>
      <w:r>
        <w:rPr>
          <w:rFonts w:hint="default" w:ascii="Times New Roman" w:hAnsi="Times New Roman" w:cs="Times New Roman"/>
          <w:color w:val="auto"/>
          <w:sz w:val="24"/>
          <w:szCs w:val="24"/>
          <w:highlight w:val="none"/>
        </w:rPr>
        <w:t>采购活动,服务全部由符合政策要求的中小企业承接。相关企业的具体情况如下:</w:t>
      </w:r>
    </w:p>
    <w:p w14:paraId="4DC2DC7F">
      <w:pPr>
        <w:spacing w:line="360" w:lineRule="auto"/>
        <w:ind w:firstLine="360" w:firstLineChars="15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u w:val="single"/>
        </w:rPr>
        <w:t>(标的名称)</w:t>
      </w:r>
      <w:r>
        <w:rPr>
          <w:rFonts w:hint="default" w:ascii="Times New Roman" w:hAnsi="Times New Roman" w:cs="Times New Roman"/>
          <w:color w:val="auto"/>
          <w:sz w:val="24"/>
          <w:szCs w:val="24"/>
          <w:highlight w:val="none"/>
        </w:rPr>
        <w:t>,属于</w:t>
      </w:r>
      <w:r>
        <w:rPr>
          <w:rFonts w:hint="default" w:ascii="Times New Roman" w:hAnsi="Times New Roman" w:cs="Times New Roman"/>
          <w:color w:val="auto"/>
          <w:sz w:val="24"/>
          <w:szCs w:val="24"/>
          <w:highlight w:val="none"/>
          <w:u w:val="single"/>
        </w:rPr>
        <w:t>(采购文件中明确的所属行业)</w:t>
      </w:r>
      <w:r>
        <w:rPr>
          <w:rFonts w:hint="default" w:ascii="Times New Roman" w:hAnsi="Times New Roman" w:cs="Times New Roman"/>
          <w:color w:val="auto"/>
          <w:sz w:val="24"/>
          <w:szCs w:val="24"/>
          <w:highlight w:val="none"/>
        </w:rPr>
        <w:t>;承建(承接)企业为</w:t>
      </w:r>
      <w:r>
        <w:rPr>
          <w:rFonts w:hint="default" w:ascii="Times New Roman" w:hAnsi="Times New Roman" w:cs="Times New Roman"/>
          <w:color w:val="auto"/>
          <w:sz w:val="24"/>
          <w:szCs w:val="24"/>
          <w:highlight w:val="none"/>
          <w:u w:val="single"/>
        </w:rPr>
        <w:t>(企业名称)</w:t>
      </w:r>
      <w:r>
        <w:rPr>
          <w:rFonts w:hint="default" w:ascii="Times New Roman" w:hAnsi="Times New Roman" w:cs="Times New Roman"/>
          <w:color w:val="auto"/>
          <w:sz w:val="24"/>
          <w:szCs w:val="24"/>
          <w:highlight w:val="none"/>
        </w:rPr>
        <w:t>,从业人员</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人,营业收入为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万元,资产总额为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万元,属于(中型企业、小型企业、微型企业)；</w:t>
      </w:r>
    </w:p>
    <w:p w14:paraId="37884391">
      <w:pPr>
        <w:spacing w:line="360" w:lineRule="auto"/>
        <w:ind w:firstLine="360" w:firstLineChars="15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u w:val="single"/>
        </w:rPr>
        <w:t>(标的名称)</w:t>
      </w:r>
      <w:r>
        <w:rPr>
          <w:rFonts w:hint="default" w:ascii="Times New Roman" w:hAnsi="Times New Roman" w:cs="Times New Roman"/>
          <w:color w:val="auto"/>
          <w:sz w:val="24"/>
          <w:szCs w:val="24"/>
          <w:highlight w:val="none"/>
        </w:rPr>
        <w:t>,属于</w:t>
      </w:r>
      <w:r>
        <w:rPr>
          <w:rFonts w:hint="default" w:ascii="Times New Roman" w:hAnsi="Times New Roman" w:cs="Times New Roman"/>
          <w:color w:val="auto"/>
          <w:sz w:val="24"/>
          <w:szCs w:val="24"/>
          <w:highlight w:val="none"/>
          <w:u w:val="single"/>
        </w:rPr>
        <w:t>(采购文件中明确的所属行业)</w:t>
      </w:r>
      <w:r>
        <w:rPr>
          <w:rFonts w:hint="default" w:ascii="Times New Roman" w:hAnsi="Times New Roman" w:cs="Times New Roman"/>
          <w:color w:val="auto"/>
          <w:sz w:val="24"/>
          <w:szCs w:val="24"/>
          <w:highlight w:val="none"/>
        </w:rPr>
        <w:t>;承建(承接)企业为</w:t>
      </w:r>
      <w:r>
        <w:rPr>
          <w:rFonts w:hint="default" w:ascii="Times New Roman" w:hAnsi="Times New Roman" w:cs="Times New Roman"/>
          <w:color w:val="auto"/>
          <w:sz w:val="24"/>
          <w:szCs w:val="24"/>
          <w:highlight w:val="none"/>
          <w:u w:val="single"/>
        </w:rPr>
        <w:t>(企业名称)</w:t>
      </w:r>
      <w:r>
        <w:rPr>
          <w:rFonts w:hint="default" w:ascii="Times New Roman" w:hAnsi="Times New Roman" w:cs="Times New Roman"/>
          <w:color w:val="auto"/>
          <w:sz w:val="24"/>
          <w:szCs w:val="24"/>
          <w:highlight w:val="none"/>
        </w:rPr>
        <w:t>,从业人员</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人,营业收入为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万元,资产总额 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万元,属于</w:t>
      </w:r>
      <w:r>
        <w:rPr>
          <w:rFonts w:hint="default" w:ascii="Times New Roman" w:hAnsi="Times New Roman" w:cs="Times New Roman"/>
          <w:color w:val="auto"/>
          <w:sz w:val="24"/>
          <w:szCs w:val="24"/>
          <w:highlight w:val="none"/>
          <w:u w:val="single"/>
        </w:rPr>
        <w:t>(中型企业、小型企业、微型企业)</w:t>
      </w:r>
      <w:r>
        <w:rPr>
          <w:rFonts w:hint="default" w:ascii="Times New Roman" w:hAnsi="Times New Roman" w:cs="Times New Roman"/>
          <w:color w:val="auto"/>
          <w:sz w:val="24"/>
          <w:szCs w:val="24"/>
          <w:highlight w:val="none"/>
        </w:rPr>
        <w:t>；</w:t>
      </w:r>
    </w:p>
    <w:p w14:paraId="5A097ABB">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238C59B9">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以上企业；不属于大企业的分支机构,不存在控股股东为大企业的情形,也不存在与大企业的负责人为同一人的情形。</w:t>
      </w:r>
    </w:p>
    <w:p w14:paraId="53485618">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本企业对上述声明内容的真实性负责。如有虚假,将依法承担相应责任。</w:t>
      </w:r>
    </w:p>
    <w:p w14:paraId="582796EB">
      <w:pPr>
        <w:spacing w:line="360" w:lineRule="auto"/>
        <w:ind w:firstLine="480" w:firstLineChars="200"/>
        <w:jc w:val="left"/>
        <w:rPr>
          <w:rFonts w:hint="default" w:ascii="Times New Roman" w:hAnsi="Times New Roman" w:cs="Times New Roman"/>
          <w:color w:val="auto"/>
          <w:sz w:val="24"/>
          <w:szCs w:val="24"/>
          <w:highlight w:val="none"/>
        </w:rPr>
      </w:pPr>
    </w:p>
    <w:p w14:paraId="1C2B331D">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企业名称(盖章):</w:t>
      </w:r>
    </w:p>
    <w:p w14:paraId="692B7529">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日期:</w:t>
      </w:r>
    </w:p>
    <w:p w14:paraId="38FC05CC">
      <w:pPr>
        <w:jc w:val="left"/>
        <w:rPr>
          <w:rFonts w:hint="default" w:ascii="Times New Roman" w:hAnsi="Times New Roman" w:cs="Times New Roman"/>
          <w:color w:val="auto"/>
          <w:sz w:val="18"/>
          <w:szCs w:val="18"/>
          <w:highlight w:val="none"/>
        </w:rPr>
      </w:pPr>
    </w:p>
    <w:bookmarkEnd w:id="380"/>
    <w:p w14:paraId="0D557A10">
      <w:pPr>
        <w:spacing w:line="44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注：</w:t>
      </w:r>
    </w:p>
    <w:p w14:paraId="20AD409C">
      <w:pPr>
        <w:spacing w:line="440" w:lineRule="exact"/>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①从业人员、营业收入，资产总额填报上一年度数据，无上一年数据的新成立企业可不填报。</w:t>
      </w:r>
    </w:p>
    <w:p w14:paraId="2630271C">
      <w:pPr>
        <w:spacing w:line="440" w:lineRule="exact"/>
        <w:ind w:firstLine="48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sz w:val="24"/>
          <w:szCs w:val="24"/>
          <w:highlight w:val="none"/>
        </w:rPr>
        <w:t>②在服务采购项目中，服务由中小企业承接，即提供服务的人员为中小企业依照《中华人民共和国劳动合同法》订立劳动合同的从业人员。</w:t>
      </w:r>
    </w:p>
    <w:p w14:paraId="7EFE7904">
      <w:pPr>
        <w:spacing w:line="440" w:lineRule="exact"/>
        <w:ind w:firstLine="48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sz w:val="24"/>
          <w:szCs w:val="24"/>
          <w:highlight w:val="none"/>
        </w:rPr>
        <w:t>③服务类：中小企业声明函中，采购文件中明确的所属行业必填项（</w:t>
      </w:r>
      <w:r>
        <w:rPr>
          <w:rFonts w:hint="default" w:ascii="Times New Roman" w:hAnsi="Times New Roman" w:cs="Times New Roman"/>
          <w:b/>
          <w:bCs/>
          <w:color w:val="auto"/>
          <w:sz w:val="24"/>
          <w:szCs w:val="24"/>
          <w:highlight w:val="none"/>
          <w:lang w:eastAsia="zh-CN"/>
        </w:rPr>
        <w:t>招标</w:t>
      </w:r>
      <w:r>
        <w:rPr>
          <w:rFonts w:hint="default" w:ascii="Times New Roman" w:hAnsi="Times New Roman" w:cs="Times New Roman"/>
          <w:b/>
          <w:bCs/>
          <w:color w:val="auto"/>
          <w:sz w:val="24"/>
          <w:szCs w:val="24"/>
          <w:highlight w:val="none"/>
        </w:rPr>
        <w:t>文件第二章须知表），承接企业必须填写企业名称，各位投标人请仔细阅读清楚，不得有遗漏。如有遗漏以不满足实质性要求废标。</w:t>
      </w:r>
    </w:p>
    <w:p w14:paraId="7C5982D6">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20ACD681">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、《联合体意向协议书》（格式自拟）</w:t>
      </w:r>
    </w:p>
    <w:p w14:paraId="32A2B963">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076E952">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rPr>
        <w:t>监狱企业声明函（如涉及）</w:t>
      </w:r>
    </w:p>
    <w:p w14:paraId="31E19F1B">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（格式自拟）</w:t>
      </w:r>
    </w:p>
    <w:p w14:paraId="08126508">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说明：</w:t>
      </w:r>
    </w:p>
    <w:p w14:paraId="27271049">
      <w:pPr>
        <w:spacing w:line="44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1、投标人符合《政府采购支持监狱企业发展有关问题的通知》（财库【2014】68号）规定的划分标准为监狱企业适用。此项内容根据供应商自身情况自行选择是否提供，未提供则不享受价格优惠。</w:t>
      </w:r>
    </w:p>
    <w:p w14:paraId="36226859">
      <w:pPr>
        <w:spacing w:line="44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2、在政府采购活动中，监狱企业视同小型、微型企业，享受预留份额、评审中价格扣除等政府采购促进中小企业发展的政府采购政策。监狱企业参加政府采购活动时，</w:t>
      </w:r>
      <w:r>
        <w:rPr>
          <w:rFonts w:hint="default" w:ascii="Times New Roman" w:hAnsi="Times New Roman" w:cs="Times New Roman"/>
          <w:b/>
          <w:color w:val="auto"/>
          <w:sz w:val="24"/>
          <w:szCs w:val="24"/>
          <w:highlight w:val="none"/>
        </w:rPr>
        <w:t>还应当提供由省级以上监狱管理局、戒毒管理局(含新疆生产建设兵团)出具的属于监狱企业的证明文件</w:t>
      </w:r>
      <w:r>
        <w:rPr>
          <w:rFonts w:hint="default" w:ascii="Times New Roman" w:hAnsi="Times New Roman" w:cs="Times New Roman"/>
          <w:color w:val="auto"/>
          <w:sz w:val="24"/>
          <w:szCs w:val="24"/>
          <w:highlight w:val="none"/>
        </w:rPr>
        <w:t>。</w:t>
      </w:r>
    </w:p>
    <w:p w14:paraId="6F356C76">
      <w:pPr>
        <w:rPr>
          <w:rFonts w:hint="default" w:ascii="Times New Roman" w:hAnsi="Times New Roman" w:cs="Times New Roman"/>
          <w:color w:val="auto"/>
          <w:highlight w:val="none"/>
        </w:rPr>
      </w:pPr>
    </w:p>
    <w:p w14:paraId="1BB799C2">
      <w:pPr>
        <w:rPr>
          <w:rFonts w:hint="default" w:ascii="Times New Roman" w:hAnsi="Times New Roman" w:cs="Times New Roman"/>
          <w:color w:val="auto"/>
          <w:highlight w:val="none"/>
        </w:rPr>
      </w:pPr>
    </w:p>
    <w:p w14:paraId="4668AA75">
      <w:pPr>
        <w:rPr>
          <w:rFonts w:hint="default" w:ascii="Times New Roman" w:hAnsi="Times New Roman" w:cs="Times New Roman"/>
          <w:color w:val="auto"/>
          <w:highlight w:val="none"/>
        </w:rPr>
      </w:pPr>
    </w:p>
    <w:p w14:paraId="69A0EEB7">
      <w:pPr>
        <w:rPr>
          <w:rFonts w:hint="default" w:ascii="Times New Roman" w:hAnsi="Times New Roman" w:cs="Times New Roman"/>
          <w:color w:val="auto"/>
          <w:highlight w:val="none"/>
        </w:rPr>
      </w:pPr>
    </w:p>
    <w:p w14:paraId="024817FC">
      <w:pPr>
        <w:rPr>
          <w:rFonts w:hint="default" w:ascii="Times New Roman" w:hAnsi="Times New Roman" w:cs="Times New Roman"/>
          <w:color w:val="auto"/>
          <w:highlight w:val="none"/>
        </w:rPr>
      </w:pPr>
    </w:p>
    <w:p w14:paraId="4BD61BC2">
      <w:pPr>
        <w:rPr>
          <w:rFonts w:hint="default" w:ascii="Times New Roman" w:hAnsi="Times New Roman" w:cs="Times New Roman"/>
          <w:color w:val="auto"/>
          <w:highlight w:val="none"/>
        </w:rPr>
      </w:pPr>
    </w:p>
    <w:p w14:paraId="5BA42F49">
      <w:pPr>
        <w:rPr>
          <w:rFonts w:hint="default" w:ascii="Times New Roman" w:hAnsi="Times New Roman" w:cs="Times New Roman"/>
          <w:color w:val="auto"/>
          <w:highlight w:val="none"/>
        </w:rPr>
      </w:pPr>
    </w:p>
    <w:p w14:paraId="4995C7A1">
      <w:pPr>
        <w:rPr>
          <w:rFonts w:hint="default" w:ascii="Times New Roman" w:hAnsi="Times New Roman" w:cs="Times New Roman"/>
          <w:color w:val="auto"/>
          <w:highlight w:val="none"/>
        </w:rPr>
      </w:pPr>
    </w:p>
    <w:p w14:paraId="74F6B2D4">
      <w:pPr>
        <w:rPr>
          <w:rFonts w:hint="default" w:ascii="Times New Roman" w:hAnsi="Times New Roman" w:cs="Times New Roman"/>
          <w:color w:val="auto"/>
          <w:highlight w:val="none"/>
        </w:rPr>
      </w:pPr>
    </w:p>
    <w:p w14:paraId="632049A9">
      <w:pPr>
        <w:rPr>
          <w:rFonts w:hint="default" w:ascii="Times New Roman" w:hAnsi="Times New Roman" w:cs="Times New Roman"/>
          <w:color w:val="auto"/>
          <w:highlight w:val="none"/>
        </w:rPr>
      </w:pPr>
    </w:p>
    <w:p w14:paraId="7D9D245F">
      <w:pPr>
        <w:rPr>
          <w:rFonts w:hint="default" w:ascii="Times New Roman" w:hAnsi="Times New Roman" w:cs="Times New Roman"/>
          <w:color w:val="auto"/>
          <w:highlight w:val="none"/>
        </w:rPr>
      </w:pPr>
    </w:p>
    <w:p w14:paraId="4344B1FA">
      <w:pPr>
        <w:rPr>
          <w:rFonts w:hint="default" w:ascii="Times New Roman" w:hAnsi="Times New Roman" w:cs="Times New Roman"/>
          <w:color w:val="auto"/>
          <w:highlight w:val="none"/>
        </w:rPr>
      </w:pPr>
    </w:p>
    <w:p w14:paraId="7FEF3196">
      <w:pPr>
        <w:rPr>
          <w:rFonts w:hint="default" w:ascii="Times New Roman" w:hAnsi="Times New Roman" w:cs="Times New Roman"/>
          <w:color w:val="auto"/>
          <w:highlight w:val="none"/>
        </w:rPr>
      </w:pPr>
    </w:p>
    <w:p w14:paraId="10C18144">
      <w:pPr>
        <w:rPr>
          <w:rFonts w:hint="default" w:ascii="Times New Roman" w:hAnsi="Times New Roman" w:cs="Times New Roman"/>
          <w:color w:val="auto"/>
          <w:highlight w:val="none"/>
        </w:rPr>
      </w:pPr>
    </w:p>
    <w:p w14:paraId="012E3DE5">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、残疾人福利性单位声明函（如涉及）</w:t>
      </w:r>
    </w:p>
    <w:p w14:paraId="3DBDD48F">
      <w:pPr>
        <w:snapToGrid w:val="0"/>
        <w:spacing w:line="480" w:lineRule="auto"/>
        <w:ind w:firstLine="420"/>
        <w:rPr>
          <w:rFonts w:hint="default" w:ascii="Times New Roman" w:hAnsi="Times New Roman" w:cs="Times New Roman"/>
          <w:color w:val="auto"/>
          <w:sz w:val="24"/>
          <w:highlight w:val="none"/>
        </w:rPr>
      </w:pPr>
    </w:p>
    <w:p w14:paraId="2F01C618">
      <w:pPr>
        <w:snapToGrid w:val="0"/>
        <w:spacing w:line="480" w:lineRule="auto"/>
        <w:ind w:firstLine="4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B77D89">
      <w:pPr>
        <w:snapToGrid w:val="0"/>
        <w:spacing w:line="480" w:lineRule="auto"/>
        <w:ind w:firstLine="4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本单位对上述声明的真实性负责。如有虚假，将依法承担相应责任。</w:t>
      </w:r>
    </w:p>
    <w:p w14:paraId="070E9B7B">
      <w:pPr>
        <w:rPr>
          <w:rFonts w:hint="default" w:ascii="Times New Roman" w:hAnsi="Times New Roman" w:cs="Times New Roman"/>
          <w:color w:val="auto"/>
          <w:sz w:val="24"/>
          <w:highlight w:val="none"/>
        </w:rPr>
      </w:pPr>
    </w:p>
    <w:p w14:paraId="4455451E">
      <w:pPr>
        <w:rPr>
          <w:rFonts w:hint="default" w:ascii="Times New Roman" w:hAnsi="Times New Roman" w:cs="Times New Roman"/>
          <w:color w:val="auto"/>
          <w:highlight w:val="none"/>
        </w:rPr>
      </w:pPr>
    </w:p>
    <w:p w14:paraId="22878F60">
      <w:pPr>
        <w:spacing w:line="440" w:lineRule="exact"/>
        <w:ind w:left="4760" w:leftChars="1400" w:right="479" w:rightChars="141"/>
        <w:rPr>
          <w:rFonts w:hint="default" w:ascii="Times New Roman" w:hAnsi="Times New Roman" w:cs="Times New Roman"/>
          <w:color w:val="auto"/>
          <w:sz w:val="24"/>
          <w:highlight w:val="none"/>
        </w:rPr>
      </w:pPr>
      <w:bookmarkStart w:id="381" w:name="_Hlk534905999"/>
      <w:r>
        <w:rPr>
          <w:rFonts w:hint="default" w:ascii="Times New Roman" w:hAnsi="Times New Roman" w:cs="Times New Roman"/>
          <w:color w:val="auto"/>
          <w:sz w:val="24"/>
          <w:highlight w:val="none"/>
        </w:rPr>
        <w:t>单位名称（公章）：</w:t>
      </w:r>
    </w:p>
    <w:p w14:paraId="68AD8BF2">
      <w:pPr>
        <w:spacing w:line="440" w:lineRule="exact"/>
        <w:ind w:left="4760" w:leftChars="1400" w:right="479" w:rightChars="14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p>
    <w:bookmarkEnd w:id="381"/>
    <w:p w14:paraId="47CD08E6">
      <w:pPr>
        <w:spacing w:line="440" w:lineRule="exact"/>
        <w:ind w:right="480"/>
        <w:rPr>
          <w:rFonts w:hint="default" w:ascii="Times New Roman" w:hAnsi="Times New Roman" w:cs="Times New Roman"/>
          <w:color w:val="auto"/>
          <w:sz w:val="24"/>
          <w:highlight w:val="none"/>
        </w:rPr>
      </w:pPr>
    </w:p>
    <w:p w14:paraId="6E6F3F95">
      <w:pPr>
        <w:spacing w:line="440" w:lineRule="exact"/>
        <w:rPr>
          <w:rFonts w:hint="default" w:ascii="Times New Roman" w:hAnsi="Times New Roman" w:cs="Times New Roman"/>
          <w:color w:val="auto"/>
          <w:sz w:val="24"/>
          <w:szCs w:val="24"/>
          <w:highlight w:val="none"/>
        </w:rPr>
      </w:pPr>
      <w:bookmarkStart w:id="382" w:name="_Hlk534906006"/>
      <w:r>
        <w:rPr>
          <w:rFonts w:hint="default" w:ascii="Times New Roman" w:hAnsi="Times New Roman" w:cs="Times New Roman"/>
          <w:color w:val="auto"/>
          <w:sz w:val="24"/>
          <w:szCs w:val="24"/>
          <w:highlight w:val="none"/>
        </w:rPr>
        <w:t>注：</w:t>
      </w:r>
    </w:p>
    <w:p w14:paraId="64A88EC3">
      <w:pPr>
        <w:spacing w:line="440" w:lineRule="exact"/>
        <w:ind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1、此声明函根据供应商自身情况填写，自行选择是否提供，未提供则不享受价格优惠。</w:t>
      </w:r>
    </w:p>
    <w:p w14:paraId="3A75CD83">
      <w:pPr>
        <w:spacing w:line="440" w:lineRule="exact"/>
        <w:ind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2、残疾人福利性单位视同小型、微型企业，享受预留份额、评审中价格扣除等促进中小企业发展的政府采购政策。残疾人福利性单位属于小型、微型企业的，不重复享受政策。</w:t>
      </w:r>
      <w:bookmarkEnd w:id="382"/>
    </w:p>
    <w:p w14:paraId="2BDCA351">
      <w:pPr>
        <w:spacing w:line="440" w:lineRule="exact"/>
        <w:ind w:firstLine="240" w:firstLineChars="100"/>
        <w:jc w:val="center"/>
        <w:rPr>
          <w:rFonts w:hint="default" w:ascii="Times New Roman" w:hAnsi="Times New Roman" w:cs="Times New Roman"/>
          <w:color w:val="auto"/>
          <w:sz w:val="24"/>
          <w:szCs w:val="24"/>
          <w:highlight w:val="none"/>
        </w:rPr>
      </w:pPr>
    </w:p>
    <w:p w14:paraId="35D60A3C">
      <w:pPr>
        <w:spacing w:line="440" w:lineRule="exact"/>
        <w:ind w:firstLine="240" w:firstLineChars="100"/>
        <w:jc w:val="center"/>
        <w:rPr>
          <w:rFonts w:hint="default" w:ascii="Times New Roman" w:hAnsi="Times New Roman" w:cs="Times New Roman"/>
          <w:color w:val="auto"/>
          <w:sz w:val="24"/>
          <w:szCs w:val="24"/>
          <w:highlight w:val="none"/>
        </w:rPr>
      </w:pPr>
    </w:p>
    <w:p w14:paraId="628D30F1">
      <w:pPr>
        <w:spacing w:line="440" w:lineRule="exact"/>
        <w:ind w:firstLine="240" w:firstLineChars="100"/>
        <w:jc w:val="center"/>
        <w:rPr>
          <w:rFonts w:hint="default" w:ascii="Times New Roman" w:hAnsi="Times New Roman" w:cs="Times New Roman"/>
          <w:color w:val="auto"/>
          <w:sz w:val="24"/>
          <w:szCs w:val="24"/>
          <w:highlight w:val="none"/>
        </w:rPr>
      </w:pPr>
    </w:p>
    <w:p w14:paraId="0350A584">
      <w:pPr>
        <w:spacing w:line="440" w:lineRule="exact"/>
        <w:ind w:firstLine="240" w:firstLineChars="100"/>
        <w:jc w:val="center"/>
        <w:rPr>
          <w:rFonts w:hint="default" w:ascii="Times New Roman" w:hAnsi="Times New Roman" w:cs="Times New Roman"/>
          <w:color w:val="auto"/>
          <w:sz w:val="24"/>
          <w:szCs w:val="24"/>
          <w:highlight w:val="none"/>
        </w:rPr>
      </w:pPr>
    </w:p>
    <w:p w14:paraId="3D8D250C">
      <w:pPr>
        <w:spacing w:line="440" w:lineRule="exact"/>
        <w:ind w:firstLine="240" w:firstLineChars="100"/>
        <w:jc w:val="center"/>
        <w:rPr>
          <w:rFonts w:hint="default" w:ascii="Times New Roman" w:hAnsi="Times New Roman" w:cs="Times New Roman"/>
          <w:color w:val="auto"/>
          <w:sz w:val="24"/>
          <w:szCs w:val="24"/>
          <w:highlight w:val="none"/>
        </w:rPr>
      </w:pPr>
    </w:p>
    <w:p w14:paraId="71AC44CA">
      <w:pPr>
        <w:spacing w:line="440" w:lineRule="exact"/>
        <w:ind w:firstLine="240" w:firstLineChars="100"/>
        <w:jc w:val="center"/>
        <w:rPr>
          <w:rFonts w:hint="default" w:ascii="Times New Roman" w:hAnsi="Times New Roman" w:cs="Times New Roman"/>
          <w:color w:val="auto"/>
          <w:sz w:val="24"/>
          <w:szCs w:val="24"/>
          <w:highlight w:val="none"/>
        </w:rPr>
      </w:pPr>
    </w:p>
    <w:p w14:paraId="44F3BC94">
      <w:pPr>
        <w:spacing w:line="440" w:lineRule="exact"/>
        <w:ind w:firstLine="240" w:firstLineChars="100"/>
        <w:jc w:val="center"/>
        <w:rPr>
          <w:rFonts w:hint="default" w:ascii="Times New Roman" w:hAnsi="Times New Roman" w:cs="Times New Roman"/>
          <w:color w:val="auto"/>
          <w:sz w:val="24"/>
          <w:szCs w:val="24"/>
          <w:highlight w:val="none"/>
        </w:rPr>
      </w:pPr>
    </w:p>
    <w:p w14:paraId="1C7AD644">
      <w:pPr>
        <w:rPr>
          <w:rFonts w:hint="default" w:ascii="Times New Roman" w:hAnsi="Times New Roman" w:cs="Times New Roman"/>
          <w:color w:val="auto"/>
          <w:highlight w:val="none"/>
          <w:lang w:val="en-US" w:eastAsia="zh-CN"/>
        </w:rPr>
      </w:pPr>
    </w:p>
    <w:p w14:paraId="7A4FCD72">
      <w:pPr>
        <w:pStyle w:val="143"/>
        <w:numPr>
          <w:ilvl w:val="0"/>
          <w:numId w:val="2"/>
        </w:numPr>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“技术商务响应文件”格式</w:t>
      </w:r>
    </w:p>
    <w:p w14:paraId="26EEC048">
      <w:pPr>
        <w:spacing w:line="360" w:lineRule="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封面：</w:t>
      </w:r>
    </w:p>
    <w:p w14:paraId="6F20236A">
      <w:pPr>
        <w:spacing w:line="360" w:lineRule="auto"/>
        <w:rPr>
          <w:rFonts w:hint="default" w:ascii="Times New Roman" w:hAnsi="Times New Roman" w:cs="Times New Roman"/>
          <w:b/>
          <w:color w:val="auto"/>
          <w:sz w:val="32"/>
          <w:szCs w:val="32"/>
          <w:highlight w:val="none"/>
        </w:rPr>
      </w:pPr>
    </w:p>
    <w:p w14:paraId="7C47E161">
      <w:pPr>
        <w:pStyle w:val="16"/>
        <w:rPr>
          <w:rFonts w:hint="default" w:ascii="Times New Roman" w:hAnsi="Times New Roman" w:cs="Times New Roman"/>
          <w:color w:val="auto"/>
          <w:highlight w:val="none"/>
        </w:rPr>
      </w:pPr>
    </w:p>
    <w:p w14:paraId="500C7144">
      <w:pPr>
        <w:spacing w:line="360" w:lineRule="auto"/>
        <w:rPr>
          <w:rFonts w:hint="default" w:ascii="Times New Roman" w:hAnsi="Times New Roman" w:cs="Times New Roman"/>
          <w:b/>
          <w:color w:val="auto"/>
          <w:sz w:val="32"/>
          <w:szCs w:val="32"/>
          <w:highlight w:val="none"/>
        </w:rPr>
      </w:pPr>
    </w:p>
    <w:p w14:paraId="6DEA5273">
      <w:pPr>
        <w:spacing w:line="360" w:lineRule="auto"/>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40"/>
          <w:szCs w:val="48"/>
          <w:highlight w:val="none"/>
        </w:rPr>
        <w:t>XX项目</w:t>
      </w:r>
    </w:p>
    <w:p w14:paraId="2CE41B24">
      <w:pPr>
        <w:spacing w:line="360" w:lineRule="auto"/>
        <w:rPr>
          <w:rFonts w:hint="default" w:ascii="Times New Roman" w:hAnsi="Times New Roman" w:cs="Times New Roman"/>
          <w:b/>
          <w:color w:val="auto"/>
          <w:sz w:val="52"/>
          <w:szCs w:val="52"/>
          <w:highlight w:val="none"/>
        </w:rPr>
      </w:pPr>
    </w:p>
    <w:p w14:paraId="6C7E225B">
      <w:pPr>
        <w:spacing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52"/>
          <w:szCs w:val="52"/>
          <w:highlight w:val="none"/>
        </w:rPr>
        <w:t>技术商务响应投标文件</w:t>
      </w:r>
    </w:p>
    <w:p w14:paraId="6CF81F6C">
      <w:pPr>
        <w:spacing w:line="360" w:lineRule="auto"/>
        <w:rPr>
          <w:rFonts w:hint="default" w:ascii="Times New Roman" w:hAnsi="Times New Roman" w:cs="Times New Roman"/>
          <w:b/>
          <w:color w:val="auto"/>
          <w:sz w:val="36"/>
          <w:highlight w:val="none"/>
        </w:rPr>
      </w:pPr>
    </w:p>
    <w:p w14:paraId="58098812">
      <w:pPr>
        <w:spacing w:line="360" w:lineRule="auto"/>
        <w:jc w:val="left"/>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 标 人名称：</w:t>
      </w:r>
    </w:p>
    <w:p w14:paraId="1C37C04B">
      <w:pPr>
        <w:spacing w:line="360" w:lineRule="auto"/>
        <w:jc w:val="left"/>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采购项目编号：</w:t>
      </w:r>
    </w:p>
    <w:p w14:paraId="0179154B">
      <w:pPr>
        <w:spacing w:line="360" w:lineRule="auto"/>
        <w:ind w:firstLine="790" w:firstLineChars="246"/>
        <w:jc w:val="center"/>
        <w:rPr>
          <w:rFonts w:hint="default" w:ascii="Times New Roman" w:hAnsi="Times New Roman" w:cs="Times New Roman"/>
          <w:b/>
          <w:color w:val="auto"/>
          <w:sz w:val="32"/>
          <w:highlight w:val="none"/>
        </w:rPr>
      </w:pPr>
    </w:p>
    <w:p w14:paraId="588C56CB">
      <w:pPr>
        <w:pStyle w:val="16"/>
        <w:rPr>
          <w:rFonts w:hint="default" w:ascii="Times New Roman" w:hAnsi="Times New Roman" w:cs="Times New Roman"/>
          <w:color w:val="auto"/>
          <w:highlight w:val="none"/>
        </w:rPr>
      </w:pPr>
    </w:p>
    <w:p w14:paraId="3BB0675E">
      <w:pPr>
        <w:rPr>
          <w:rFonts w:hint="default" w:ascii="Times New Roman" w:hAnsi="Times New Roman" w:cs="Times New Roman"/>
          <w:b/>
          <w:color w:val="auto"/>
          <w:sz w:val="32"/>
          <w:highlight w:val="none"/>
        </w:rPr>
      </w:pPr>
    </w:p>
    <w:p w14:paraId="09B13C92">
      <w:pPr>
        <w:rPr>
          <w:rFonts w:hint="default" w:ascii="Times New Roman" w:hAnsi="Times New Roman" w:cs="Times New Roman"/>
          <w:b/>
          <w:color w:val="auto"/>
          <w:sz w:val="32"/>
          <w:highlight w:val="none"/>
        </w:rPr>
      </w:pPr>
    </w:p>
    <w:p w14:paraId="499D4AC2">
      <w:pPr>
        <w:pStyle w:val="18"/>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投标时间：X年X月X日</w:t>
      </w:r>
    </w:p>
    <w:p w14:paraId="6D726293">
      <w:pPr>
        <w:rPr>
          <w:rFonts w:hint="default" w:ascii="Times New Roman" w:hAnsi="Times New Roman" w:cs="Times New Roman"/>
          <w:color w:val="auto"/>
          <w:highlight w:val="none"/>
        </w:rPr>
      </w:pPr>
    </w:p>
    <w:p w14:paraId="42107877">
      <w:pPr>
        <w:rPr>
          <w:rFonts w:hint="default" w:ascii="Times New Roman" w:hAnsi="Times New Roman" w:cs="Times New Roman"/>
          <w:color w:val="auto"/>
          <w:highlight w:val="none"/>
        </w:rPr>
      </w:pPr>
    </w:p>
    <w:p w14:paraId="04D02EE4">
      <w:pPr>
        <w:rPr>
          <w:rFonts w:hint="default" w:ascii="Times New Roman" w:hAnsi="Times New Roman" w:cs="Times New Roman"/>
          <w:color w:val="auto"/>
          <w:highlight w:val="none"/>
        </w:rPr>
      </w:pPr>
    </w:p>
    <w:p w14:paraId="0AD3098C">
      <w:pPr>
        <w:jc w:val="center"/>
        <w:outlineLvl w:val="9"/>
        <w:rPr>
          <w:rFonts w:hint="default" w:ascii="Times New Roman" w:hAnsi="Times New Roman" w:cs="Times New Roman"/>
          <w:color w:val="auto"/>
          <w:highlight w:val="none"/>
        </w:rPr>
      </w:pPr>
      <w:bookmarkStart w:id="383" w:name="_Toc471489580"/>
      <w:bookmarkStart w:id="384" w:name="_Toc472604630"/>
    </w:p>
    <w:p w14:paraId="70175405">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1、投标函</w:t>
      </w:r>
      <w:bookmarkEnd w:id="383"/>
      <w:r>
        <w:rPr>
          <w:rFonts w:hint="default" w:ascii="Times New Roman" w:hAnsi="Times New Roman" w:cs="Times New Roman"/>
          <w:color w:val="auto"/>
          <w:highlight w:val="none"/>
        </w:rPr>
        <w:t>（实质性要求）</w:t>
      </w:r>
      <w:bookmarkEnd w:id="384"/>
    </w:p>
    <w:p w14:paraId="4D127165">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中正恒天国际招标有限公司：</w:t>
      </w:r>
    </w:p>
    <w:p w14:paraId="220F1555">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我方全面研究了“XXXXXXXX”项目（招标编号：XXXX）招标文件，决定参加贵单位组织的本项目投标。我方授权XXXX（姓名、职务）代表我方XXXX（投标单位的名称）全权处理本项目投标的有关事宜。</w:t>
      </w:r>
    </w:p>
    <w:p w14:paraId="6096E59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一、我方自愿按照招标文件规定的各项要求向采购人提供所需服务，总投标价为人民币XX万元（大写：XXXX）。</w:t>
      </w:r>
    </w:p>
    <w:p w14:paraId="2706EC1E">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二、一旦我方中标，我方将严格履行政府采购合同规定的责任和义务。</w:t>
      </w:r>
    </w:p>
    <w:p w14:paraId="02D3AB28">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三、我方为本项目在政采云平台上传电子投标文件1份；</w:t>
      </w:r>
    </w:p>
    <w:p w14:paraId="0C975B51">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四、我方同意本次招标的投标有效期</w:t>
      </w:r>
      <w:bookmarkStart w:id="385" w:name="_Hlk534905609"/>
      <w:r>
        <w:rPr>
          <w:rFonts w:hint="default" w:ascii="Times New Roman" w:hAnsi="Times New Roman" w:cs="Times New Roman"/>
          <w:color w:val="auto"/>
          <w:sz w:val="24"/>
          <w:highlight w:val="none"/>
        </w:rPr>
        <w:t>为120日历天</w:t>
      </w:r>
      <w:bookmarkEnd w:id="385"/>
      <w:r>
        <w:rPr>
          <w:rFonts w:hint="default" w:ascii="Times New Roman" w:hAnsi="Times New Roman" w:cs="Times New Roman"/>
          <w:color w:val="auto"/>
          <w:sz w:val="24"/>
          <w:highlight w:val="none"/>
        </w:rPr>
        <w:t>。</w:t>
      </w:r>
    </w:p>
    <w:p w14:paraId="2A1C3C03">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五、我方愿意按照招标文件要求的代理费收取方式及收取标准一次性足额支付招标代理费。</w:t>
      </w:r>
    </w:p>
    <w:p w14:paraId="1EF42896">
      <w:pPr>
        <w:pStyle w:val="18"/>
        <w:spacing w:after="0"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六、我方愿意按照招标文件要求的投标保证金收取方式及金额缴纳投标保证金。</w:t>
      </w:r>
    </w:p>
    <w:p w14:paraId="694FC13B">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七、我方愿意提供贵单位可能另外要求的，与投标有关的文件资料，并保证我方已提供和将要提供的文件资料是真实、准确的。</w:t>
      </w:r>
    </w:p>
    <w:p w14:paraId="0623F451">
      <w:pPr>
        <w:spacing w:line="276" w:lineRule="auto"/>
        <w:ind w:firstLine="480" w:firstLineChars="200"/>
        <w:rPr>
          <w:rFonts w:hint="default" w:ascii="Times New Roman" w:hAnsi="Times New Roman" w:cs="Times New Roman"/>
          <w:color w:val="auto"/>
          <w:sz w:val="24"/>
          <w:highlight w:val="none"/>
        </w:rPr>
      </w:pPr>
    </w:p>
    <w:p w14:paraId="752BF20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212846FB">
      <w:pPr>
        <w:spacing w:line="360" w:lineRule="auto"/>
        <w:ind w:firstLine="480" w:firstLineChars="200"/>
        <w:rPr>
          <w:rFonts w:hint="default" w:ascii="Times New Roman" w:hAnsi="Times New Roman" w:cs="Times New Roman"/>
          <w:color w:val="auto"/>
          <w:sz w:val="24"/>
          <w:highlight w:val="none"/>
        </w:rPr>
      </w:pPr>
      <w:bookmarkStart w:id="386" w:name="_Hlk534906119"/>
      <w:r>
        <w:rPr>
          <w:rFonts w:hint="default" w:ascii="Times New Roman" w:hAnsi="Times New Roman" w:cs="Times New Roman"/>
          <w:color w:val="auto"/>
          <w:sz w:val="24"/>
          <w:highlight w:val="none"/>
        </w:rPr>
        <w:t>法定代表人/单位负责人或授权代表（签字或加盖个人名章）</w:t>
      </w:r>
      <w:bookmarkEnd w:id="386"/>
      <w:r>
        <w:rPr>
          <w:rFonts w:hint="default" w:ascii="Times New Roman" w:hAnsi="Times New Roman" w:cs="Times New Roman"/>
          <w:color w:val="auto"/>
          <w:sz w:val="24"/>
          <w:highlight w:val="none"/>
        </w:rPr>
        <w:t>：XXXX</w:t>
      </w:r>
    </w:p>
    <w:p w14:paraId="6CE75B0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通讯地址：XXXX</w:t>
      </w:r>
    </w:p>
    <w:p w14:paraId="7C1145F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邮政编码：XXXX</w:t>
      </w:r>
    </w:p>
    <w:p w14:paraId="4E2A6DB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联系电话：XXXX</w:t>
      </w:r>
    </w:p>
    <w:p w14:paraId="4B34D4E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真：XXXX</w:t>
      </w:r>
    </w:p>
    <w:p w14:paraId="633FEAC4">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日    期：XXXX年XXXX月XXXX日</w:t>
      </w:r>
    </w:p>
    <w:p w14:paraId="051AC964">
      <w:pPr>
        <w:rPr>
          <w:rFonts w:hint="default" w:ascii="Times New Roman" w:hAnsi="Times New Roman" w:cs="Times New Roman"/>
          <w:color w:val="auto"/>
          <w:highlight w:val="none"/>
        </w:rPr>
      </w:pPr>
    </w:p>
    <w:p w14:paraId="2031CEFF">
      <w:pPr>
        <w:rPr>
          <w:rFonts w:hint="default" w:ascii="Times New Roman" w:hAnsi="Times New Roman" w:cs="Times New Roman"/>
          <w:color w:val="auto"/>
          <w:highlight w:val="none"/>
        </w:rPr>
      </w:pPr>
    </w:p>
    <w:p w14:paraId="1344ED53">
      <w:pPr>
        <w:rPr>
          <w:rFonts w:hint="default" w:ascii="Times New Roman" w:hAnsi="Times New Roman" w:cs="Times New Roman"/>
          <w:color w:val="auto"/>
          <w:highlight w:val="none"/>
          <w:lang w:val="en-US" w:eastAsia="zh-CN"/>
        </w:rPr>
      </w:pPr>
      <w:bookmarkStart w:id="387" w:name="_Toc14668"/>
      <w:bookmarkStart w:id="388" w:name="_Toc465085382"/>
      <w:bookmarkStart w:id="389" w:name="_Toc466298080"/>
      <w:bookmarkStart w:id="390" w:name="_Toc12622"/>
      <w:bookmarkStart w:id="391" w:name="_Toc472604633"/>
      <w:bookmarkStart w:id="392" w:name="_Toc31452"/>
      <w:r>
        <w:rPr>
          <w:rFonts w:hint="default" w:ascii="Times New Roman" w:hAnsi="Times New Roman" w:cs="Times New Roman"/>
          <w:color w:val="auto"/>
          <w:highlight w:val="none"/>
          <w:lang w:val="en-US" w:eastAsia="zh-CN"/>
        </w:rPr>
        <w:br w:type="page"/>
      </w:r>
    </w:p>
    <w:p w14:paraId="3704BF28">
      <w:pPr>
        <w:pStyle w:val="4"/>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承诺函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实质性要求</w:t>
      </w:r>
      <w:r>
        <w:rPr>
          <w:rFonts w:hint="default" w:ascii="Times New Roman" w:hAnsi="Times New Roman" w:cs="Times New Roman"/>
          <w:color w:val="auto"/>
          <w:highlight w:val="none"/>
          <w:lang w:eastAsia="zh-CN"/>
        </w:rPr>
        <w:t>）</w:t>
      </w:r>
    </w:p>
    <w:p w14:paraId="3E99EA31">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中正恒天国际招标有限公司：</w:t>
      </w:r>
    </w:p>
    <w:p w14:paraId="321BCDDB">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我公司作为本次采购项目的投标人，根据招标文件要求，现郑重承诺如下：</w:t>
      </w:r>
    </w:p>
    <w:p w14:paraId="21EAC811">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一、具备《中华人民共和国政府采购法》第二十二条第一款和本项目规定的条件：</w:t>
      </w:r>
    </w:p>
    <w:p w14:paraId="7F14343E">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w:t>
      </w:r>
      <w:r>
        <w:rPr>
          <w:rFonts w:hint="default" w:ascii="Times New Roman" w:hAnsi="Times New Roman" w:eastAsia="宋体" w:cs="Times New Roman"/>
          <w:color w:val="auto"/>
          <w:sz w:val="24"/>
          <w:highlight w:val="none"/>
          <w:lang w:val="en-US" w:eastAsia="zh-CN"/>
        </w:rPr>
        <w:t>法人或者其他组织的营业执照等证明文件，法定代表人</w:t>
      </w:r>
      <w:r>
        <w:rPr>
          <w:rFonts w:hint="default" w:ascii="Times New Roman" w:hAnsi="Times New Roman" w:cs="Times New Roman"/>
          <w:color w:val="auto"/>
          <w:sz w:val="24"/>
          <w:highlight w:val="none"/>
        </w:rPr>
        <w:t>/单位负责人</w:t>
      </w:r>
      <w:r>
        <w:rPr>
          <w:rFonts w:hint="default" w:ascii="Times New Roman" w:hAnsi="Times New Roman" w:eastAsia="宋体" w:cs="Times New Roman"/>
          <w:color w:val="auto"/>
          <w:sz w:val="24"/>
          <w:highlight w:val="none"/>
          <w:lang w:val="en-US" w:eastAsia="zh-CN"/>
        </w:rPr>
        <w:t>或负责人的身份证明；</w:t>
      </w:r>
      <w:r>
        <w:rPr>
          <w:rFonts w:hint="default" w:ascii="Times New Roman" w:hAnsi="Times New Roman" w:cs="Times New Roman"/>
          <w:color w:val="auto"/>
          <w:sz w:val="24"/>
          <w:highlight w:val="none"/>
        </w:rPr>
        <w:t xml:space="preserve"> </w:t>
      </w:r>
    </w:p>
    <w:p w14:paraId="4D630C04">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（二）具有良好的商业信誉和健全的财务会计制度； </w:t>
      </w:r>
    </w:p>
    <w:p w14:paraId="25CBDC2D">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（三）具有履行合同所必需的设备和专业技术能力； </w:t>
      </w:r>
    </w:p>
    <w:p w14:paraId="25EF5628">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（四）有依法缴纳税收和社会保障资金的良好记录； </w:t>
      </w:r>
    </w:p>
    <w:p w14:paraId="1F81B2D9">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（五）参加本次政府采购活动前三年内，在经营活动中没有重大违法记录；</w:t>
      </w:r>
    </w:p>
    <w:p w14:paraId="55A42A22">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（六）法律、行政法规规定的其他条件；</w:t>
      </w:r>
    </w:p>
    <w:p w14:paraId="47D34358">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（七）根据采购项目提出的特殊条件。</w:t>
      </w:r>
    </w:p>
    <w:p w14:paraId="5884BECC">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1CE3B7C">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三、参加本次招标采购活动，不存在与单位负责人为同一人或者存在直接控股、管理关系的其他供应商参与同一合同项下的政府采购活动的行为。</w:t>
      </w:r>
    </w:p>
    <w:p w14:paraId="6FE0CB84">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四、参加本次招标采购活动，不存在和其他供应商在同一合同项下的采购项目中，同时委托同一个自然人、同一家庭的人员、同一单位的人员作为代理人的行为。</w:t>
      </w:r>
    </w:p>
    <w:p w14:paraId="1C9DCB7C">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五、在行贿犯罪信息查询期限内，我单位及其现任法定代表人/单位负责人、主要负责人有（ ）没有（ ）行贿犯罪记录。</w:t>
      </w:r>
    </w:p>
    <w:p w14:paraId="3DDA15B1">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六</w:t>
      </w:r>
      <w:r>
        <w:rPr>
          <w:rFonts w:hint="default" w:ascii="Times New Roman" w:hAnsi="Times New Roman" w:cs="Times New Roman"/>
          <w:color w:val="auto"/>
          <w:sz w:val="24"/>
          <w:highlight w:val="none"/>
        </w:rPr>
        <w:t>、我单位有（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287CE86B">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本公司对上述承诺的内容事项真实性负责。如经查实上述承诺的内容事项存在虚假，我公司愿意接受以提供虚假材料谋取中标追究法律责任。</w:t>
      </w:r>
    </w:p>
    <w:p w14:paraId="16A63A49">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4A6AB33B">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5D0CD493">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00B2A2DA">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25B76FB9">
      <w:pPr>
        <w:spacing w:line="276" w:lineRule="auto"/>
        <w:rPr>
          <w:rFonts w:hint="default" w:ascii="Times New Roman" w:hAnsi="Times New Roman" w:cs="Times New Roman"/>
          <w:color w:val="auto"/>
          <w:sz w:val="24"/>
          <w:highlight w:val="none"/>
        </w:rPr>
      </w:pPr>
    </w:p>
    <w:p w14:paraId="6B335270">
      <w:pPr>
        <w:pStyle w:val="4"/>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bookmarkEnd w:id="387"/>
      <w:r>
        <w:rPr>
          <w:rFonts w:hint="default" w:ascii="Times New Roman" w:hAnsi="Times New Roman" w:cs="Times New Roman"/>
          <w:color w:val="auto"/>
          <w:highlight w:val="none"/>
        </w:rPr>
        <w:t>开标一览表</w:t>
      </w:r>
      <w:bookmarkEnd w:id="388"/>
      <w:bookmarkEnd w:id="389"/>
      <w:bookmarkEnd w:id="390"/>
      <w:bookmarkEnd w:id="391"/>
      <w:bookmarkEnd w:id="392"/>
    </w:p>
    <w:tbl>
      <w:tblPr>
        <w:tblStyle w:val="40"/>
        <w:tblW w:w="8520" w:type="dxa"/>
        <w:tblInd w:w="93" w:type="dxa"/>
        <w:tblLayout w:type="autofit"/>
        <w:tblCellMar>
          <w:top w:w="0" w:type="dxa"/>
          <w:left w:w="108" w:type="dxa"/>
          <w:bottom w:w="0" w:type="dxa"/>
          <w:right w:w="108" w:type="dxa"/>
        </w:tblCellMar>
      </w:tblPr>
      <w:tblGrid>
        <w:gridCol w:w="819"/>
        <w:gridCol w:w="1354"/>
        <w:gridCol w:w="719"/>
        <w:gridCol w:w="667"/>
        <w:gridCol w:w="2036"/>
        <w:gridCol w:w="2925"/>
      </w:tblGrid>
      <w:tr w14:paraId="66C72FC1">
        <w:tblPrEx>
          <w:tblCellMar>
            <w:top w:w="0" w:type="dxa"/>
            <w:left w:w="108" w:type="dxa"/>
            <w:bottom w:w="0" w:type="dxa"/>
            <w:right w:w="108" w:type="dxa"/>
          </w:tblCellMar>
        </w:tblPrEx>
        <w:trPr>
          <w:trHeight w:val="506"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14:paraId="1B2E0A7E">
            <w:pPr>
              <w:widowControl/>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p>
        </w:tc>
        <w:tc>
          <w:tcPr>
            <w:tcW w:w="5628" w:type="dxa"/>
            <w:gridSpan w:val="3"/>
            <w:tcBorders>
              <w:top w:val="single" w:color="auto" w:sz="4" w:space="0"/>
              <w:left w:val="nil"/>
              <w:bottom w:val="single" w:color="auto" w:sz="4" w:space="0"/>
              <w:right w:val="single" w:color="auto" w:sz="4" w:space="0"/>
            </w:tcBorders>
            <w:vAlign w:val="center"/>
          </w:tcPr>
          <w:p w14:paraId="705C16ED">
            <w:pPr>
              <w:widowControl/>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kern w:val="2"/>
                <w:sz w:val="24"/>
                <w:szCs w:val="24"/>
                <w:highlight w:val="none"/>
              </w:rPr>
              <w:t>XXXX</w:t>
            </w:r>
            <w:r>
              <w:rPr>
                <w:rFonts w:hint="default" w:ascii="Times New Roman" w:hAnsi="Times New Roman" w:cs="Times New Roman"/>
                <w:color w:val="auto"/>
                <w:sz w:val="24"/>
                <w:szCs w:val="24"/>
                <w:highlight w:val="none"/>
              </w:rPr>
              <w:t>项目</w:t>
            </w:r>
          </w:p>
        </w:tc>
      </w:tr>
      <w:tr w14:paraId="277CA985">
        <w:tblPrEx>
          <w:tblCellMar>
            <w:top w:w="0" w:type="dxa"/>
            <w:left w:w="108" w:type="dxa"/>
            <w:bottom w:w="0" w:type="dxa"/>
            <w:right w:w="108" w:type="dxa"/>
          </w:tblCellMar>
        </w:tblPrEx>
        <w:trPr>
          <w:trHeight w:val="443"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14:paraId="3DD65D33">
            <w:pPr>
              <w:widowControl/>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项目编号</w:t>
            </w:r>
          </w:p>
        </w:tc>
        <w:tc>
          <w:tcPr>
            <w:tcW w:w="5628" w:type="dxa"/>
            <w:gridSpan w:val="3"/>
            <w:tcBorders>
              <w:top w:val="single" w:color="auto" w:sz="4" w:space="0"/>
              <w:left w:val="nil"/>
              <w:bottom w:val="single" w:color="auto" w:sz="4" w:space="0"/>
              <w:right w:val="single" w:color="auto" w:sz="4" w:space="0"/>
            </w:tcBorders>
            <w:vAlign w:val="center"/>
          </w:tcPr>
          <w:p w14:paraId="5400CC5D">
            <w:pPr>
              <w:widowControl/>
              <w:spacing w:line="360" w:lineRule="auto"/>
              <w:rPr>
                <w:rFonts w:hint="default" w:ascii="Times New Roman" w:hAnsi="Times New Roman" w:cs="Times New Roman"/>
                <w:color w:val="auto"/>
                <w:sz w:val="24"/>
                <w:szCs w:val="24"/>
                <w:highlight w:val="none"/>
              </w:rPr>
            </w:pPr>
          </w:p>
        </w:tc>
      </w:tr>
      <w:tr w14:paraId="7F7BEA9E">
        <w:tblPrEx>
          <w:tblCellMar>
            <w:top w:w="0" w:type="dxa"/>
            <w:left w:w="108" w:type="dxa"/>
            <w:bottom w:w="0" w:type="dxa"/>
            <w:right w:w="108" w:type="dxa"/>
          </w:tblCellMar>
        </w:tblPrEx>
        <w:trPr>
          <w:trHeight w:val="960" w:hRule="atLeast"/>
        </w:trPr>
        <w:tc>
          <w:tcPr>
            <w:tcW w:w="819" w:type="dxa"/>
            <w:tcBorders>
              <w:top w:val="nil"/>
              <w:left w:val="single" w:color="auto" w:sz="4" w:space="0"/>
              <w:bottom w:val="single" w:color="auto" w:sz="4" w:space="0"/>
              <w:right w:val="single" w:color="auto" w:sz="4" w:space="0"/>
            </w:tcBorders>
            <w:vAlign w:val="center"/>
          </w:tcPr>
          <w:p w14:paraId="792FF451">
            <w:pPr>
              <w:widowControl/>
              <w:spacing w:line="360" w:lineRule="auto"/>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序号</w:t>
            </w:r>
          </w:p>
        </w:tc>
        <w:tc>
          <w:tcPr>
            <w:tcW w:w="2740" w:type="dxa"/>
            <w:gridSpan w:val="3"/>
            <w:tcBorders>
              <w:top w:val="nil"/>
              <w:left w:val="nil"/>
              <w:bottom w:val="single" w:color="auto" w:sz="4" w:space="0"/>
              <w:right w:val="single" w:color="auto" w:sz="4" w:space="0"/>
            </w:tcBorders>
            <w:vAlign w:val="center"/>
          </w:tcPr>
          <w:p w14:paraId="5AE2830B">
            <w:pPr>
              <w:widowControl/>
              <w:spacing w:line="360" w:lineRule="auto"/>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服务内容</w:t>
            </w:r>
          </w:p>
        </w:tc>
        <w:tc>
          <w:tcPr>
            <w:tcW w:w="2036" w:type="dxa"/>
            <w:tcBorders>
              <w:top w:val="nil"/>
              <w:left w:val="nil"/>
              <w:bottom w:val="single" w:color="auto" w:sz="4" w:space="0"/>
              <w:right w:val="single" w:color="auto" w:sz="4" w:space="0"/>
            </w:tcBorders>
            <w:vAlign w:val="center"/>
          </w:tcPr>
          <w:p w14:paraId="4AD8550D">
            <w:pPr>
              <w:spacing w:line="360" w:lineRule="auto"/>
              <w:jc w:val="center"/>
              <w:rPr>
                <w:rFonts w:hint="eastAsia" w:ascii="Times New Roman" w:hAnsi="Times New Roman" w:eastAsia="宋体" w:cs="Times New Roman"/>
                <w:bCs/>
                <w:color w:val="auto"/>
                <w:sz w:val="24"/>
                <w:szCs w:val="24"/>
                <w:highlight w:val="none"/>
                <w:lang w:eastAsia="zh-CN"/>
              </w:rPr>
            </w:pPr>
            <w:r>
              <w:rPr>
                <w:rFonts w:hint="eastAsia" w:ascii="Times New Roman" w:cs="Times New Roman"/>
                <w:bCs/>
                <w:color w:val="auto"/>
                <w:sz w:val="24"/>
                <w:szCs w:val="24"/>
                <w:highlight w:val="none"/>
                <w:lang w:val="en-US" w:eastAsia="zh-CN"/>
              </w:rPr>
              <w:t>交付期</w:t>
            </w:r>
          </w:p>
        </w:tc>
        <w:tc>
          <w:tcPr>
            <w:tcW w:w="2925" w:type="dxa"/>
            <w:tcBorders>
              <w:top w:val="nil"/>
              <w:left w:val="nil"/>
              <w:bottom w:val="single" w:color="auto" w:sz="4" w:space="0"/>
              <w:right w:val="single" w:color="auto" w:sz="4" w:space="0"/>
            </w:tcBorders>
            <w:vAlign w:val="center"/>
          </w:tcPr>
          <w:p w14:paraId="447D9258">
            <w:pPr>
              <w:widowControl/>
              <w:spacing w:line="360" w:lineRule="auto"/>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报价（元）</w:t>
            </w:r>
          </w:p>
        </w:tc>
      </w:tr>
      <w:tr w14:paraId="55D77771">
        <w:tblPrEx>
          <w:tblCellMar>
            <w:top w:w="0" w:type="dxa"/>
            <w:left w:w="108" w:type="dxa"/>
            <w:bottom w:w="0" w:type="dxa"/>
            <w:right w:w="108" w:type="dxa"/>
          </w:tblCellMar>
        </w:tblPrEx>
        <w:trPr>
          <w:trHeight w:val="942" w:hRule="atLeast"/>
        </w:trPr>
        <w:tc>
          <w:tcPr>
            <w:tcW w:w="819" w:type="dxa"/>
            <w:tcBorders>
              <w:top w:val="nil"/>
              <w:left w:val="single" w:color="auto" w:sz="4" w:space="0"/>
              <w:bottom w:val="single" w:color="auto" w:sz="4" w:space="0"/>
              <w:right w:val="single" w:color="auto" w:sz="4" w:space="0"/>
            </w:tcBorders>
            <w:vAlign w:val="center"/>
          </w:tcPr>
          <w:p w14:paraId="520B1718">
            <w:pPr>
              <w:widowControl/>
              <w:spacing w:line="360" w:lineRule="auto"/>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w:t>
            </w:r>
          </w:p>
        </w:tc>
        <w:tc>
          <w:tcPr>
            <w:tcW w:w="2740" w:type="dxa"/>
            <w:gridSpan w:val="3"/>
            <w:tcBorders>
              <w:top w:val="nil"/>
              <w:left w:val="nil"/>
              <w:bottom w:val="single" w:color="auto" w:sz="4" w:space="0"/>
              <w:right w:val="single" w:color="auto" w:sz="4" w:space="0"/>
            </w:tcBorders>
            <w:vAlign w:val="center"/>
          </w:tcPr>
          <w:p w14:paraId="6047F721">
            <w:pPr>
              <w:widowControl/>
              <w:spacing w:line="360" w:lineRule="auto"/>
              <w:jc w:val="center"/>
              <w:rPr>
                <w:rFonts w:hint="default" w:ascii="Times New Roman" w:hAnsi="Times New Roman" w:cs="Times New Roman"/>
                <w:bCs/>
                <w:color w:val="auto"/>
                <w:sz w:val="24"/>
                <w:szCs w:val="24"/>
                <w:highlight w:val="none"/>
              </w:rPr>
            </w:pPr>
          </w:p>
        </w:tc>
        <w:tc>
          <w:tcPr>
            <w:tcW w:w="2036" w:type="dxa"/>
            <w:tcBorders>
              <w:top w:val="nil"/>
              <w:left w:val="nil"/>
              <w:bottom w:val="single" w:color="auto" w:sz="4" w:space="0"/>
              <w:right w:val="single" w:color="auto" w:sz="4" w:space="0"/>
            </w:tcBorders>
            <w:vAlign w:val="center"/>
          </w:tcPr>
          <w:p w14:paraId="22AC0AC6">
            <w:pPr>
              <w:spacing w:line="360" w:lineRule="auto"/>
              <w:jc w:val="center"/>
              <w:rPr>
                <w:rFonts w:hint="default" w:ascii="Times New Roman" w:hAnsi="Times New Roman" w:cs="Times New Roman"/>
                <w:bCs/>
                <w:color w:val="auto"/>
                <w:sz w:val="24"/>
                <w:szCs w:val="24"/>
                <w:highlight w:val="none"/>
              </w:rPr>
            </w:pPr>
          </w:p>
        </w:tc>
        <w:tc>
          <w:tcPr>
            <w:tcW w:w="2925" w:type="dxa"/>
            <w:tcBorders>
              <w:top w:val="nil"/>
              <w:left w:val="nil"/>
              <w:bottom w:val="single" w:color="auto" w:sz="4" w:space="0"/>
              <w:right w:val="single" w:color="auto" w:sz="4" w:space="0"/>
            </w:tcBorders>
            <w:vAlign w:val="center"/>
          </w:tcPr>
          <w:p w14:paraId="432A2BBA">
            <w:pPr>
              <w:widowControl/>
              <w:spacing w:line="360" w:lineRule="auto"/>
              <w:jc w:val="center"/>
              <w:rPr>
                <w:rFonts w:hint="default" w:ascii="Times New Roman" w:hAnsi="Times New Roman" w:cs="Times New Roman"/>
                <w:bCs/>
                <w:color w:val="auto"/>
                <w:sz w:val="24"/>
                <w:szCs w:val="24"/>
                <w:highlight w:val="none"/>
              </w:rPr>
            </w:pPr>
          </w:p>
        </w:tc>
      </w:tr>
      <w:tr w14:paraId="68EA29FD">
        <w:tblPrEx>
          <w:tblCellMar>
            <w:top w:w="0" w:type="dxa"/>
            <w:left w:w="108" w:type="dxa"/>
            <w:bottom w:w="0" w:type="dxa"/>
            <w:right w:w="108" w:type="dxa"/>
          </w:tblCellMar>
        </w:tblPrEx>
        <w:trPr>
          <w:trHeight w:val="1271" w:hRule="atLeast"/>
        </w:trPr>
        <w:tc>
          <w:tcPr>
            <w:tcW w:w="2173" w:type="dxa"/>
            <w:gridSpan w:val="2"/>
            <w:tcBorders>
              <w:top w:val="single" w:color="auto" w:sz="4" w:space="0"/>
              <w:left w:val="single" w:color="auto" w:sz="4" w:space="0"/>
              <w:bottom w:val="single" w:color="auto" w:sz="4" w:space="0"/>
              <w:right w:val="single" w:color="auto" w:sz="4" w:space="0"/>
            </w:tcBorders>
            <w:vAlign w:val="center"/>
          </w:tcPr>
          <w:p w14:paraId="51B5692F">
            <w:pPr>
              <w:widowControl/>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投标总价</w:t>
            </w:r>
          </w:p>
        </w:tc>
        <w:tc>
          <w:tcPr>
            <w:tcW w:w="6347" w:type="dxa"/>
            <w:gridSpan w:val="4"/>
            <w:tcBorders>
              <w:top w:val="single" w:color="auto" w:sz="4" w:space="0"/>
              <w:left w:val="nil"/>
              <w:bottom w:val="single" w:color="auto" w:sz="4" w:space="0"/>
              <w:right w:val="single" w:color="auto" w:sz="4" w:space="0"/>
            </w:tcBorders>
            <w:vAlign w:val="center"/>
          </w:tcPr>
          <w:p w14:paraId="2F37005C">
            <w:pPr>
              <w:widowControl/>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b/>
                <w:color w:val="auto"/>
                <w:kern w:val="2"/>
                <w:sz w:val="24"/>
                <w:szCs w:val="24"/>
                <w:highlight w:val="none"/>
              </w:rPr>
              <w:t>人民币大写：</w:t>
            </w:r>
            <w:r>
              <w:rPr>
                <w:rFonts w:hint="default" w:ascii="Times New Roman" w:hAnsi="Times New Roman" w:cs="Times New Roman"/>
                <w:b/>
                <w:color w:val="auto"/>
                <w:kern w:val="2"/>
                <w:sz w:val="24"/>
                <w:szCs w:val="24"/>
                <w:highlight w:val="none"/>
                <w:u w:val="single"/>
              </w:rPr>
              <w:t xml:space="preserve">           </w:t>
            </w:r>
          </w:p>
        </w:tc>
      </w:tr>
    </w:tbl>
    <w:p w14:paraId="230A2608">
      <w:pPr>
        <w:spacing w:line="440" w:lineRule="exact"/>
        <w:ind w:left="549" w:leftChars="-15" w:hanging="600" w:hanging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注：报价应是最终用户验收合格后的总价。 </w:t>
      </w:r>
    </w:p>
    <w:p w14:paraId="0B2D98C3">
      <w:pPr>
        <w:spacing w:line="440" w:lineRule="exact"/>
        <w:jc w:val="left"/>
        <w:rPr>
          <w:rFonts w:hint="default" w:ascii="Times New Roman" w:hAnsi="Times New Roman" w:cs="Times New Roman"/>
          <w:color w:val="auto"/>
          <w:sz w:val="24"/>
          <w:highlight w:val="none"/>
        </w:rPr>
      </w:pPr>
    </w:p>
    <w:p w14:paraId="1BC4BE3C">
      <w:pPr>
        <w:spacing w:line="440" w:lineRule="exact"/>
        <w:jc w:val="left"/>
        <w:rPr>
          <w:rFonts w:hint="default" w:ascii="Times New Roman" w:hAnsi="Times New Roman" w:cs="Times New Roman"/>
          <w:color w:val="auto"/>
          <w:sz w:val="24"/>
          <w:highlight w:val="none"/>
        </w:rPr>
      </w:pPr>
    </w:p>
    <w:p w14:paraId="0A18A827">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7BD29381">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5BCCA668">
      <w:pP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5C48FB08">
      <w:pPr>
        <w:spacing w:line="440" w:lineRule="exact"/>
        <w:ind w:left="510" w:left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16539AD1">
      <w:pPr>
        <w:pStyle w:val="4"/>
        <w:jc w:val="center"/>
        <w:rPr>
          <w:rFonts w:hint="default" w:ascii="Times New Roman" w:hAnsi="Times New Roman" w:cs="Times New Roman"/>
          <w:color w:val="auto"/>
          <w:highlight w:val="none"/>
        </w:rPr>
      </w:pPr>
      <w:bookmarkStart w:id="393" w:name="_Toc465085387"/>
      <w:bookmarkStart w:id="394" w:name="_Toc472604638"/>
      <w:bookmarkStart w:id="395" w:name="_Toc466298085"/>
      <w:r>
        <w:rPr>
          <w:rFonts w:hint="default" w:ascii="Times New Roman" w:hAnsi="Times New Roman" w:cs="Times New Roman"/>
          <w:color w:val="auto"/>
          <w:highlight w:val="none"/>
        </w:rPr>
        <w:t>4、</w:t>
      </w:r>
      <w:bookmarkEnd w:id="393"/>
      <w:bookmarkEnd w:id="394"/>
      <w:bookmarkEnd w:id="395"/>
      <w:r>
        <w:rPr>
          <w:rFonts w:hint="default" w:ascii="Times New Roman" w:hAnsi="Times New Roman" w:cs="Times New Roman"/>
          <w:color w:val="auto"/>
          <w:highlight w:val="none"/>
        </w:rPr>
        <w:t>服务应答表</w:t>
      </w:r>
    </w:p>
    <w:p w14:paraId="60610024">
      <w:pPr>
        <w:pStyle w:val="8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项目编号： </w:t>
      </w:r>
    </w:p>
    <w:p w14:paraId="03196B99">
      <w:pPr>
        <w:pStyle w:val="8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项目名称：                                         </w:t>
      </w:r>
    </w:p>
    <w:tbl>
      <w:tblPr>
        <w:tblStyle w:val="40"/>
        <w:tblW w:w="81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126"/>
        <w:gridCol w:w="3113"/>
        <w:gridCol w:w="2007"/>
      </w:tblGrid>
      <w:tr w14:paraId="7820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44" w:type="dxa"/>
            <w:vAlign w:val="center"/>
          </w:tcPr>
          <w:p w14:paraId="0CFF3B62">
            <w:pPr>
              <w:pStyle w:val="7"/>
              <w:tabs>
                <w:tab w:val="left" w:pos="6880"/>
              </w:tabs>
              <w:spacing w:line="360" w:lineRule="auto"/>
              <w:ind w:firstLine="0"/>
              <w:rPr>
                <w:rFonts w:hint="default" w:ascii="Times New Roman" w:hAnsi="Times New Roman" w:cs="Times New Roman"/>
                <w:b/>
                <w:color w:val="auto"/>
                <w:kern w:val="0"/>
                <w:sz w:val="24"/>
                <w:szCs w:val="20"/>
                <w:highlight w:val="none"/>
              </w:rPr>
            </w:pPr>
            <w:r>
              <w:rPr>
                <w:rFonts w:hint="default" w:ascii="Times New Roman" w:hAnsi="Times New Roman" w:cs="Times New Roman"/>
                <w:b/>
                <w:color w:val="auto"/>
                <w:kern w:val="0"/>
                <w:sz w:val="24"/>
                <w:szCs w:val="20"/>
                <w:highlight w:val="none"/>
              </w:rPr>
              <w:t>序号</w:t>
            </w:r>
          </w:p>
        </w:tc>
        <w:tc>
          <w:tcPr>
            <w:tcW w:w="2126" w:type="dxa"/>
            <w:vAlign w:val="center"/>
          </w:tcPr>
          <w:p w14:paraId="798AE2D6">
            <w:pPr>
              <w:pStyle w:val="7"/>
              <w:tabs>
                <w:tab w:val="left" w:pos="6880"/>
              </w:tabs>
              <w:spacing w:line="360" w:lineRule="auto"/>
              <w:ind w:firstLine="0"/>
              <w:jc w:val="center"/>
              <w:rPr>
                <w:rFonts w:hint="default" w:ascii="Times New Roman" w:hAnsi="Times New Roman" w:cs="Times New Roman"/>
                <w:b/>
                <w:color w:val="auto"/>
                <w:kern w:val="0"/>
                <w:sz w:val="24"/>
                <w:szCs w:val="20"/>
                <w:highlight w:val="none"/>
              </w:rPr>
            </w:pPr>
            <w:r>
              <w:rPr>
                <w:rFonts w:hint="default" w:ascii="Times New Roman" w:hAnsi="Times New Roman" w:cs="Times New Roman"/>
                <w:b/>
                <w:color w:val="auto"/>
                <w:kern w:val="0"/>
                <w:sz w:val="24"/>
                <w:szCs w:val="20"/>
                <w:highlight w:val="none"/>
              </w:rPr>
              <w:t>招标文件要求</w:t>
            </w:r>
          </w:p>
        </w:tc>
        <w:tc>
          <w:tcPr>
            <w:tcW w:w="3113" w:type="dxa"/>
            <w:vAlign w:val="center"/>
          </w:tcPr>
          <w:p w14:paraId="2EB9BAE1">
            <w:pPr>
              <w:pStyle w:val="7"/>
              <w:tabs>
                <w:tab w:val="left" w:pos="6880"/>
              </w:tabs>
              <w:spacing w:line="360" w:lineRule="auto"/>
              <w:ind w:firstLine="0"/>
              <w:jc w:val="center"/>
              <w:rPr>
                <w:rFonts w:hint="default" w:ascii="Times New Roman" w:hAnsi="Times New Roman" w:cs="Times New Roman"/>
                <w:b/>
                <w:color w:val="auto"/>
                <w:kern w:val="0"/>
                <w:sz w:val="24"/>
                <w:szCs w:val="20"/>
                <w:highlight w:val="none"/>
              </w:rPr>
            </w:pPr>
            <w:r>
              <w:rPr>
                <w:rFonts w:hint="default" w:ascii="Times New Roman" w:hAnsi="Times New Roman" w:cs="Times New Roman"/>
                <w:b/>
                <w:color w:val="auto"/>
                <w:kern w:val="0"/>
                <w:sz w:val="24"/>
                <w:szCs w:val="20"/>
                <w:highlight w:val="none"/>
              </w:rPr>
              <w:t>投标文件的应答</w:t>
            </w:r>
          </w:p>
        </w:tc>
        <w:tc>
          <w:tcPr>
            <w:tcW w:w="2007" w:type="dxa"/>
            <w:vAlign w:val="center"/>
          </w:tcPr>
          <w:p w14:paraId="137F5F34">
            <w:pPr>
              <w:pStyle w:val="7"/>
              <w:tabs>
                <w:tab w:val="left" w:pos="6880"/>
              </w:tabs>
              <w:spacing w:line="360" w:lineRule="auto"/>
              <w:ind w:firstLine="0"/>
              <w:jc w:val="center"/>
              <w:rPr>
                <w:rFonts w:hint="default" w:ascii="Times New Roman" w:hAnsi="Times New Roman" w:cs="Times New Roman"/>
                <w:b/>
                <w:color w:val="auto"/>
                <w:kern w:val="0"/>
                <w:sz w:val="24"/>
                <w:szCs w:val="20"/>
                <w:highlight w:val="none"/>
              </w:rPr>
            </w:pPr>
            <w:r>
              <w:rPr>
                <w:rFonts w:hint="default" w:ascii="Times New Roman" w:hAnsi="Times New Roman" w:cs="Times New Roman"/>
                <w:b/>
                <w:color w:val="auto"/>
                <w:kern w:val="0"/>
                <w:sz w:val="24"/>
                <w:szCs w:val="20"/>
                <w:highlight w:val="none"/>
              </w:rPr>
              <w:t>偏离情况</w:t>
            </w:r>
          </w:p>
        </w:tc>
      </w:tr>
      <w:tr w14:paraId="23E9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7FEDEF49">
            <w:pPr>
              <w:pStyle w:val="7"/>
              <w:tabs>
                <w:tab w:val="left" w:pos="34"/>
              </w:tabs>
              <w:spacing w:line="360" w:lineRule="auto"/>
              <w:ind w:left="-108" w:firstLine="0"/>
              <w:jc w:val="center"/>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1</w:t>
            </w:r>
          </w:p>
        </w:tc>
        <w:tc>
          <w:tcPr>
            <w:tcW w:w="2126" w:type="dxa"/>
            <w:vAlign w:val="center"/>
          </w:tcPr>
          <w:p w14:paraId="3ADF1553">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3113" w:type="dxa"/>
            <w:vAlign w:val="center"/>
          </w:tcPr>
          <w:p w14:paraId="6358914A">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2007" w:type="dxa"/>
            <w:vAlign w:val="center"/>
          </w:tcPr>
          <w:p w14:paraId="5ABB4A9B">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r>
      <w:tr w14:paraId="57AD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7C745395">
            <w:pPr>
              <w:pStyle w:val="7"/>
              <w:tabs>
                <w:tab w:val="left" w:pos="34"/>
              </w:tabs>
              <w:spacing w:line="360" w:lineRule="auto"/>
              <w:ind w:left="-108" w:firstLine="0"/>
              <w:jc w:val="center"/>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2</w:t>
            </w:r>
          </w:p>
        </w:tc>
        <w:tc>
          <w:tcPr>
            <w:tcW w:w="2126" w:type="dxa"/>
            <w:vAlign w:val="center"/>
          </w:tcPr>
          <w:p w14:paraId="28B575CA">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3113" w:type="dxa"/>
            <w:vAlign w:val="center"/>
          </w:tcPr>
          <w:p w14:paraId="5687C76B">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2007" w:type="dxa"/>
            <w:vAlign w:val="center"/>
          </w:tcPr>
          <w:p w14:paraId="49D634F0">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r>
      <w:tr w14:paraId="500D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2F91A55C">
            <w:pPr>
              <w:pStyle w:val="7"/>
              <w:tabs>
                <w:tab w:val="left" w:pos="34"/>
              </w:tabs>
              <w:spacing w:line="360" w:lineRule="auto"/>
              <w:ind w:left="-108" w:firstLine="0"/>
              <w:jc w:val="center"/>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3</w:t>
            </w:r>
          </w:p>
        </w:tc>
        <w:tc>
          <w:tcPr>
            <w:tcW w:w="2126" w:type="dxa"/>
            <w:vAlign w:val="center"/>
          </w:tcPr>
          <w:p w14:paraId="2B394267">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3113" w:type="dxa"/>
            <w:vAlign w:val="center"/>
          </w:tcPr>
          <w:p w14:paraId="18419AC7">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2007" w:type="dxa"/>
            <w:vAlign w:val="center"/>
          </w:tcPr>
          <w:p w14:paraId="504B23AC">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r>
      <w:tr w14:paraId="1B7A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218C9AF9">
            <w:pPr>
              <w:pStyle w:val="7"/>
              <w:tabs>
                <w:tab w:val="left" w:pos="34"/>
              </w:tabs>
              <w:spacing w:line="360" w:lineRule="auto"/>
              <w:ind w:left="-108" w:firstLine="0"/>
              <w:jc w:val="center"/>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4</w:t>
            </w:r>
          </w:p>
        </w:tc>
        <w:tc>
          <w:tcPr>
            <w:tcW w:w="2126" w:type="dxa"/>
            <w:vAlign w:val="center"/>
          </w:tcPr>
          <w:p w14:paraId="4EEEA6D6">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3113" w:type="dxa"/>
            <w:vAlign w:val="center"/>
          </w:tcPr>
          <w:p w14:paraId="764F824F">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2007" w:type="dxa"/>
            <w:vAlign w:val="center"/>
          </w:tcPr>
          <w:p w14:paraId="1BCB140D">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r>
      <w:tr w14:paraId="73AA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76A7B4ED">
            <w:pPr>
              <w:pStyle w:val="7"/>
              <w:tabs>
                <w:tab w:val="left" w:pos="34"/>
              </w:tabs>
              <w:spacing w:line="360" w:lineRule="auto"/>
              <w:ind w:left="-108" w:firstLine="0"/>
              <w:jc w:val="center"/>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5</w:t>
            </w:r>
          </w:p>
        </w:tc>
        <w:tc>
          <w:tcPr>
            <w:tcW w:w="2126" w:type="dxa"/>
            <w:vAlign w:val="center"/>
          </w:tcPr>
          <w:p w14:paraId="0C611AB2">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3113" w:type="dxa"/>
            <w:vAlign w:val="center"/>
          </w:tcPr>
          <w:p w14:paraId="4E568C0A">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2007" w:type="dxa"/>
            <w:vAlign w:val="center"/>
          </w:tcPr>
          <w:p w14:paraId="7B8D07B5">
            <w:pPr>
              <w:pStyle w:val="7"/>
              <w:tabs>
                <w:tab w:val="left" w:pos="6880"/>
              </w:tabs>
              <w:spacing w:line="360" w:lineRule="auto"/>
              <w:ind w:firstLine="480"/>
              <w:rPr>
                <w:rFonts w:hint="default" w:ascii="Times New Roman" w:hAnsi="Times New Roman" w:cs="Times New Roman"/>
                <w:color w:val="auto"/>
                <w:kern w:val="0"/>
                <w:sz w:val="24"/>
                <w:szCs w:val="20"/>
                <w:highlight w:val="none"/>
              </w:rPr>
            </w:pPr>
          </w:p>
        </w:tc>
      </w:tr>
    </w:tbl>
    <w:p w14:paraId="5A0EF130">
      <w:pPr>
        <w:spacing w:line="360" w:lineRule="auto"/>
        <w:ind w:left="674" w:leftChars="57" w:hanging="480" w:hanging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注：1、供应商必须把招标文件</w:t>
      </w:r>
      <w:r>
        <w:rPr>
          <w:rFonts w:hint="default" w:ascii="Times New Roman" w:hAnsi="Times New Roman" w:cs="Times New Roman"/>
          <w:b/>
          <w:color w:val="auto"/>
          <w:sz w:val="24"/>
          <w:highlight w:val="none"/>
        </w:rPr>
        <w:t>第六章 采购项目技术、商务及其他要求“</w:t>
      </w:r>
      <w:r>
        <w:rPr>
          <w:rFonts w:hint="eastAsia" w:ascii="Times New Roman" w:cs="Times New Roman"/>
          <w:b/>
          <w:color w:val="auto"/>
          <w:sz w:val="24"/>
          <w:highlight w:val="none"/>
          <w:lang w:val="en-US" w:eastAsia="zh-CN"/>
        </w:rPr>
        <w:t>一</w:t>
      </w:r>
      <w:r>
        <w:rPr>
          <w:rFonts w:hint="default" w:ascii="Times New Roman" w:hAnsi="Times New Roman" w:cs="Times New Roman"/>
          <w:b/>
          <w:color w:val="auto"/>
          <w:sz w:val="24"/>
          <w:highlight w:val="none"/>
        </w:rPr>
        <w:t>、项目概况</w:t>
      </w:r>
      <w:r>
        <w:rPr>
          <w:rFonts w:hint="eastAsia" w:ascii="Times New Roman" w:cs="Times New Roman"/>
          <w:b/>
          <w:color w:val="auto"/>
          <w:sz w:val="24"/>
          <w:highlight w:val="none"/>
          <w:lang w:eastAsia="zh-CN"/>
        </w:rPr>
        <w:t>、</w:t>
      </w:r>
      <w:r>
        <w:rPr>
          <w:rFonts w:hint="eastAsia" w:ascii="Times New Roman" w:cs="Times New Roman"/>
          <w:b/>
          <w:color w:val="auto"/>
          <w:sz w:val="24"/>
          <w:highlight w:val="none"/>
          <w:lang w:val="en-US" w:eastAsia="zh-CN"/>
        </w:rPr>
        <w:t>二、采购需求</w:t>
      </w:r>
      <w:r>
        <w:rPr>
          <w:rFonts w:hint="eastAsia" w:ascii="Times New Roman" w:cs="Times New Roman"/>
          <w:b/>
          <w:color w:val="auto"/>
          <w:sz w:val="24"/>
          <w:highlight w:val="none"/>
          <w:lang w:eastAsia="zh-CN"/>
        </w:rPr>
        <w:t>、</w:t>
      </w:r>
      <w:r>
        <w:rPr>
          <w:rFonts w:hint="eastAsia" w:ascii="Times New Roman" w:cs="Times New Roman"/>
          <w:b/>
          <w:color w:val="auto"/>
          <w:sz w:val="24"/>
          <w:highlight w:val="none"/>
          <w:lang w:val="en-US" w:eastAsia="zh-CN"/>
        </w:rPr>
        <w:t>三、</w:t>
      </w:r>
      <w:r>
        <w:rPr>
          <w:rFonts w:hint="default" w:ascii="Times New Roman" w:hAnsi="Times New Roman" w:cs="Times New Roman"/>
          <w:b/>
          <w:color w:val="auto"/>
          <w:sz w:val="24"/>
          <w:highlight w:val="none"/>
        </w:rPr>
        <w:t>技术要求”</w:t>
      </w:r>
      <w:r>
        <w:rPr>
          <w:rFonts w:hint="default" w:ascii="Times New Roman" w:hAnsi="Times New Roman" w:cs="Times New Roman"/>
          <w:color w:val="auto"/>
          <w:sz w:val="24"/>
          <w:highlight w:val="none"/>
        </w:rPr>
        <w:t>事项全部列入此表。</w:t>
      </w:r>
    </w:p>
    <w:p w14:paraId="49DDF0F8">
      <w:pPr>
        <w:spacing w:line="360" w:lineRule="auto"/>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2、按照招标项目要求的顺序对应填写。</w:t>
      </w:r>
    </w:p>
    <w:p w14:paraId="6A624DF2">
      <w:pPr>
        <w:spacing w:line="360" w:lineRule="auto"/>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3、供应商必须据实填写，不得虚假填写，否则将取消其投标或中标资格。</w:t>
      </w:r>
    </w:p>
    <w:p w14:paraId="1AF07C42">
      <w:pPr>
        <w:adjustRightInd w:val="0"/>
        <w:spacing w:line="400" w:lineRule="exact"/>
        <w:ind w:firstLine="420" w:firstLineChars="175"/>
        <w:jc w:val="left"/>
        <w:rPr>
          <w:rFonts w:hint="default" w:ascii="Times New Roman" w:hAnsi="Times New Roman" w:cs="Times New Roman"/>
          <w:bCs/>
          <w:color w:val="auto"/>
          <w:sz w:val="24"/>
          <w:highlight w:val="none"/>
        </w:rPr>
      </w:pPr>
    </w:p>
    <w:p w14:paraId="4801FE82">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 XXXX（盖章）</w:t>
      </w:r>
    </w:p>
    <w:p w14:paraId="247FADAE">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2A875C2B">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 XXXX</w:t>
      </w:r>
    </w:p>
    <w:p w14:paraId="77EDAD51">
      <w:pPr>
        <w:spacing w:line="440" w:lineRule="exact"/>
        <w:ind w:firstLine="680" w:firstLineChars="20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br w:type="page"/>
      </w:r>
    </w:p>
    <w:p w14:paraId="5683EC84">
      <w:pPr>
        <w:pStyle w:val="4"/>
        <w:jc w:val="center"/>
        <w:rPr>
          <w:rFonts w:hint="default" w:ascii="Times New Roman" w:hAnsi="Times New Roman" w:cs="Times New Roman"/>
          <w:color w:val="auto"/>
          <w:highlight w:val="none"/>
        </w:rPr>
      </w:pPr>
      <w:bookmarkStart w:id="396" w:name="_Toc217446087"/>
      <w:bookmarkStart w:id="397" w:name="_Toc465085384"/>
      <w:bookmarkStart w:id="398" w:name="_Toc15265"/>
      <w:bookmarkStart w:id="399" w:name="_Toc472604635"/>
      <w:bookmarkStart w:id="400" w:name="_Toc7313"/>
      <w:bookmarkStart w:id="401" w:name="_Toc30103"/>
      <w:bookmarkStart w:id="402" w:name="_Toc466298082"/>
      <w:bookmarkStart w:id="403" w:name="_Toc13791"/>
      <w:r>
        <w:rPr>
          <w:rFonts w:hint="default" w:ascii="Times New Roman" w:hAnsi="Times New Roman" w:cs="Times New Roman"/>
          <w:color w:val="auto"/>
          <w:highlight w:val="none"/>
        </w:rPr>
        <w:t>5、商务应答表</w:t>
      </w:r>
      <w:bookmarkEnd w:id="396"/>
      <w:bookmarkEnd w:id="397"/>
      <w:bookmarkEnd w:id="398"/>
      <w:bookmarkEnd w:id="399"/>
      <w:bookmarkEnd w:id="400"/>
      <w:bookmarkEnd w:id="401"/>
      <w:bookmarkEnd w:id="402"/>
      <w:bookmarkEnd w:id="403"/>
    </w:p>
    <w:p w14:paraId="574AC869">
      <w:pPr>
        <w:pStyle w:val="29"/>
        <w:pBdr>
          <w:bottom w:val="none" w:color="auto" w:sz="0" w:space="0"/>
        </w:pBdr>
        <w:tabs>
          <w:tab w:val="clear" w:pos="4153"/>
          <w:tab w:val="clear" w:pos="8306"/>
        </w:tabs>
        <w:snapToGrid/>
        <w:spacing w:line="4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项目编号：</w:t>
      </w:r>
    </w:p>
    <w:p w14:paraId="137B58DC">
      <w:pPr>
        <w:pStyle w:val="29"/>
        <w:pBdr>
          <w:bottom w:val="none" w:color="auto" w:sz="0" w:space="0"/>
        </w:pBdr>
        <w:tabs>
          <w:tab w:val="clear" w:pos="4153"/>
          <w:tab w:val="clear" w:pos="8306"/>
        </w:tabs>
        <w:snapToGrid/>
        <w:spacing w:line="4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项目名称：                              </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2552"/>
        <w:gridCol w:w="2364"/>
      </w:tblGrid>
      <w:tr w14:paraId="3AE0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vAlign w:val="center"/>
          </w:tcPr>
          <w:p w14:paraId="65CC9844">
            <w:pP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序号</w:t>
            </w:r>
          </w:p>
        </w:tc>
        <w:tc>
          <w:tcPr>
            <w:tcW w:w="2268" w:type="dxa"/>
            <w:vAlign w:val="center"/>
          </w:tcPr>
          <w:p w14:paraId="61F00D4F">
            <w:pPr>
              <w:spacing w:line="400" w:lineRule="exact"/>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招标要求</w:t>
            </w:r>
          </w:p>
        </w:tc>
        <w:tc>
          <w:tcPr>
            <w:tcW w:w="2552" w:type="dxa"/>
            <w:vAlign w:val="center"/>
          </w:tcPr>
          <w:p w14:paraId="39E30CA5">
            <w:pPr>
              <w:spacing w:line="400" w:lineRule="exact"/>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投标应答</w:t>
            </w:r>
          </w:p>
        </w:tc>
        <w:tc>
          <w:tcPr>
            <w:tcW w:w="2364" w:type="dxa"/>
            <w:vAlign w:val="center"/>
          </w:tcPr>
          <w:p w14:paraId="01374024">
            <w:pPr>
              <w:spacing w:line="400" w:lineRule="exact"/>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偏离情况</w:t>
            </w:r>
          </w:p>
        </w:tc>
      </w:tr>
      <w:tr w14:paraId="79BB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42F18815">
            <w:pPr>
              <w:spacing w:line="400" w:lineRule="exact"/>
              <w:jc w:val="center"/>
              <w:rPr>
                <w:rFonts w:hint="default" w:ascii="Times New Roman" w:hAnsi="Times New Roman" w:cs="Times New Roman"/>
                <w:color w:val="auto"/>
                <w:sz w:val="24"/>
                <w:highlight w:val="none"/>
              </w:rPr>
            </w:pPr>
          </w:p>
        </w:tc>
        <w:tc>
          <w:tcPr>
            <w:tcW w:w="2268" w:type="dxa"/>
          </w:tcPr>
          <w:p w14:paraId="5CB79EAA">
            <w:pPr>
              <w:spacing w:line="400" w:lineRule="exact"/>
              <w:jc w:val="center"/>
              <w:rPr>
                <w:rFonts w:hint="default" w:ascii="Times New Roman" w:hAnsi="Times New Roman" w:cs="Times New Roman"/>
                <w:color w:val="auto"/>
                <w:sz w:val="24"/>
                <w:highlight w:val="none"/>
              </w:rPr>
            </w:pPr>
          </w:p>
        </w:tc>
        <w:tc>
          <w:tcPr>
            <w:tcW w:w="2552" w:type="dxa"/>
          </w:tcPr>
          <w:p w14:paraId="1B70B4C0">
            <w:pPr>
              <w:spacing w:line="400" w:lineRule="exact"/>
              <w:ind w:left="317" w:hanging="316" w:hangingChars="132"/>
              <w:jc w:val="center"/>
              <w:rPr>
                <w:rFonts w:hint="default" w:ascii="Times New Roman" w:hAnsi="Times New Roman" w:cs="Times New Roman"/>
                <w:color w:val="auto"/>
                <w:sz w:val="24"/>
                <w:highlight w:val="none"/>
              </w:rPr>
            </w:pPr>
          </w:p>
        </w:tc>
        <w:tc>
          <w:tcPr>
            <w:tcW w:w="2364" w:type="dxa"/>
          </w:tcPr>
          <w:p w14:paraId="7FB05060">
            <w:pPr>
              <w:spacing w:line="400" w:lineRule="exact"/>
              <w:ind w:left="317" w:hanging="316" w:hangingChars="132"/>
              <w:jc w:val="center"/>
              <w:rPr>
                <w:rFonts w:hint="default" w:ascii="Times New Roman" w:hAnsi="Times New Roman" w:cs="Times New Roman"/>
                <w:color w:val="auto"/>
                <w:sz w:val="24"/>
                <w:highlight w:val="none"/>
              </w:rPr>
            </w:pPr>
          </w:p>
        </w:tc>
      </w:tr>
      <w:tr w14:paraId="47FA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1A458975">
            <w:pPr>
              <w:spacing w:line="400" w:lineRule="exact"/>
              <w:jc w:val="center"/>
              <w:rPr>
                <w:rFonts w:hint="default" w:ascii="Times New Roman" w:hAnsi="Times New Roman" w:cs="Times New Roman"/>
                <w:color w:val="auto"/>
                <w:sz w:val="24"/>
                <w:highlight w:val="none"/>
              </w:rPr>
            </w:pPr>
          </w:p>
        </w:tc>
        <w:tc>
          <w:tcPr>
            <w:tcW w:w="2268" w:type="dxa"/>
          </w:tcPr>
          <w:p w14:paraId="63A902C1">
            <w:pPr>
              <w:spacing w:line="400" w:lineRule="exact"/>
              <w:jc w:val="center"/>
              <w:rPr>
                <w:rFonts w:hint="default" w:ascii="Times New Roman" w:hAnsi="Times New Roman" w:cs="Times New Roman"/>
                <w:color w:val="auto"/>
                <w:sz w:val="24"/>
                <w:highlight w:val="none"/>
              </w:rPr>
            </w:pPr>
          </w:p>
        </w:tc>
        <w:tc>
          <w:tcPr>
            <w:tcW w:w="2552" w:type="dxa"/>
          </w:tcPr>
          <w:p w14:paraId="7DA09BC8">
            <w:pPr>
              <w:spacing w:line="400" w:lineRule="exact"/>
              <w:jc w:val="center"/>
              <w:rPr>
                <w:rFonts w:hint="default" w:ascii="Times New Roman" w:hAnsi="Times New Roman" w:cs="Times New Roman"/>
                <w:color w:val="auto"/>
                <w:sz w:val="24"/>
                <w:highlight w:val="none"/>
              </w:rPr>
            </w:pPr>
          </w:p>
        </w:tc>
        <w:tc>
          <w:tcPr>
            <w:tcW w:w="2364" w:type="dxa"/>
          </w:tcPr>
          <w:p w14:paraId="278536EE">
            <w:pPr>
              <w:spacing w:line="400" w:lineRule="exact"/>
              <w:jc w:val="center"/>
              <w:rPr>
                <w:rFonts w:hint="default" w:ascii="Times New Roman" w:hAnsi="Times New Roman" w:cs="Times New Roman"/>
                <w:color w:val="auto"/>
                <w:sz w:val="24"/>
                <w:highlight w:val="none"/>
              </w:rPr>
            </w:pPr>
          </w:p>
        </w:tc>
      </w:tr>
      <w:tr w14:paraId="1A4D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536671F8">
            <w:pPr>
              <w:spacing w:line="400" w:lineRule="exact"/>
              <w:jc w:val="center"/>
              <w:rPr>
                <w:rFonts w:hint="default" w:ascii="Times New Roman" w:hAnsi="Times New Roman" w:cs="Times New Roman"/>
                <w:color w:val="auto"/>
                <w:sz w:val="24"/>
                <w:highlight w:val="none"/>
              </w:rPr>
            </w:pPr>
          </w:p>
        </w:tc>
        <w:tc>
          <w:tcPr>
            <w:tcW w:w="2268" w:type="dxa"/>
          </w:tcPr>
          <w:p w14:paraId="6361418F">
            <w:pPr>
              <w:spacing w:line="400" w:lineRule="exact"/>
              <w:jc w:val="center"/>
              <w:rPr>
                <w:rFonts w:hint="default" w:ascii="Times New Roman" w:hAnsi="Times New Roman" w:cs="Times New Roman"/>
                <w:color w:val="auto"/>
                <w:sz w:val="24"/>
                <w:highlight w:val="none"/>
              </w:rPr>
            </w:pPr>
          </w:p>
        </w:tc>
        <w:tc>
          <w:tcPr>
            <w:tcW w:w="2552" w:type="dxa"/>
          </w:tcPr>
          <w:p w14:paraId="2955E8D5">
            <w:pPr>
              <w:spacing w:line="400" w:lineRule="exact"/>
              <w:jc w:val="center"/>
              <w:rPr>
                <w:rFonts w:hint="default" w:ascii="Times New Roman" w:hAnsi="Times New Roman" w:cs="Times New Roman"/>
                <w:color w:val="auto"/>
                <w:sz w:val="24"/>
                <w:highlight w:val="none"/>
              </w:rPr>
            </w:pPr>
          </w:p>
        </w:tc>
        <w:tc>
          <w:tcPr>
            <w:tcW w:w="2364" w:type="dxa"/>
          </w:tcPr>
          <w:p w14:paraId="3F5A2A34">
            <w:pPr>
              <w:spacing w:line="400" w:lineRule="exact"/>
              <w:jc w:val="center"/>
              <w:rPr>
                <w:rFonts w:hint="default" w:ascii="Times New Roman" w:hAnsi="Times New Roman" w:cs="Times New Roman"/>
                <w:color w:val="auto"/>
                <w:sz w:val="24"/>
                <w:highlight w:val="none"/>
              </w:rPr>
            </w:pPr>
          </w:p>
        </w:tc>
      </w:tr>
      <w:tr w14:paraId="1115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377685A2">
            <w:pPr>
              <w:spacing w:line="400" w:lineRule="exact"/>
              <w:jc w:val="center"/>
              <w:rPr>
                <w:rFonts w:hint="default" w:ascii="Times New Roman" w:hAnsi="Times New Roman" w:cs="Times New Roman"/>
                <w:color w:val="auto"/>
                <w:sz w:val="24"/>
                <w:highlight w:val="none"/>
              </w:rPr>
            </w:pPr>
          </w:p>
        </w:tc>
        <w:tc>
          <w:tcPr>
            <w:tcW w:w="2268" w:type="dxa"/>
          </w:tcPr>
          <w:p w14:paraId="21BC4EE3">
            <w:pPr>
              <w:spacing w:line="400" w:lineRule="exact"/>
              <w:jc w:val="center"/>
              <w:rPr>
                <w:rFonts w:hint="default" w:ascii="Times New Roman" w:hAnsi="Times New Roman" w:cs="Times New Roman"/>
                <w:color w:val="auto"/>
                <w:sz w:val="24"/>
                <w:highlight w:val="none"/>
              </w:rPr>
            </w:pPr>
          </w:p>
        </w:tc>
        <w:tc>
          <w:tcPr>
            <w:tcW w:w="2552" w:type="dxa"/>
          </w:tcPr>
          <w:p w14:paraId="10F818A8">
            <w:pPr>
              <w:spacing w:line="400" w:lineRule="exact"/>
              <w:jc w:val="center"/>
              <w:rPr>
                <w:rFonts w:hint="default" w:ascii="Times New Roman" w:hAnsi="Times New Roman" w:cs="Times New Roman"/>
                <w:color w:val="auto"/>
                <w:sz w:val="24"/>
                <w:highlight w:val="none"/>
              </w:rPr>
            </w:pPr>
          </w:p>
        </w:tc>
        <w:tc>
          <w:tcPr>
            <w:tcW w:w="2364" w:type="dxa"/>
          </w:tcPr>
          <w:p w14:paraId="58CC3D9D">
            <w:pPr>
              <w:spacing w:line="400" w:lineRule="exact"/>
              <w:jc w:val="center"/>
              <w:rPr>
                <w:rFonts w:hint="default" w:ascii="Times New Roman" w:hAnsi="Times New Roman" w:cs="Times New Roman"/>
                <w:color w:val="auto"/>
                <w:sz w:val="24"/>
                <w:highlight w:val="none"/>
              </w:rPr>
            </w:pPr>
          </w:p>
        </w:tc>
      </w:tr>
    </w:tbl>
    <w:p w14:paraId="538BF6DB">
      <w:pPr>
        <w:rPr>
          <w:rFonts w:hint="default" w:ascii="Times New Roman" w:hAnsi="Times New Roman" w:cs="Times New Roman"/>
          <w:color w:val="auto"/>
          <w:sz w:val="24"/>
          <w:highlight w:val="none"/>
        </w:rPr>
      </w:pPr>
    </w:p>
    <w:p w14:paraId="1B684D39">
      <w:p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注：1、供应商必须把招标文件</w:t>
      </w:r>
      <w:r>
        <w:rPr>
          <w:rFonts w:hint="default" w:ascii="Times New Roman" w:hAnsi="Times New Roman" w:cs="Times New Roman"/>
          <w:b/>
          <w:bCs/>
          <w:color w:val="auto"/>
          <w:sz w:val="24"/>
          <w:highlight w:val="none"/>
        </w:rPr>
        <w:t>第六章</w:t>
      </w:r>
      <w:r>
        <w:rPr>
          <w:rFonts w:hint="eastAsia" w:ascii="Times New Roman" w:cs="Times New Roman"/>
          <w:b/>
          <w:bCs/>
          <w:color w:val="auto"/>
          <w:sz w:val="24"/>
          <w:highlight w:val="none"/>
          <w:lang w:val="en-US" w:eastAsia="zh-CN"/>
        </w:rPr>
        <w:t>四、</w:t>
      </w:r>
      <w:r>
        <w:rPr>
          <w:rFonts w:hint="default" w:ascii="Times New Roman" w:hAnsi="Times New Roman" w:cs="Times New Roman"/>
          <w:b/>
          <w:bCs/>
          <w:color w:val="auto"/>
          <w:sz w:val="24"/>
          <w:highlight w:val="none"/>
        </w:rPr>
        <w:t>商务要求</w:t>
      </w:r>
      <w:r>
        <w:rPr>
          <w:rFonts w:hint="eastAsia" w:ascii="Times New Roman" w:cs="Times New Roman"/>
          <w:b/>
          <w:bCs/>
          <w:color w:val="auto"/>
          <w:sz w:val="24"/>
          <w:highlight w:val="none"/>
          <w:lang w:eastAsia="zh-CN"/>
        </w:rPr>
        <w:t>、</w:t>
      </w:r>
      <w:r>
        <w:rPr>
          <w:rFonts w:hint="eastAsia" w:ascii="Times New Roman" w:cs="Times New Roman"/>
          <w:b/>
          <w:bCs/>
          <w:color w:val="auto"/>
          <w:sz w:val="24"/>
          <w:highlight w:val="none"/>
          <w:lang w:val="en-US" w:eastAsia="zh-CN"/>
        </w:rPr>
        <w:t>五、其他要求</w:t>
      </w:r>
      <w:r>
        <w:rPr>
          <w:rFonts w:hint="default" w:ascii="Times New Roman" w:hAnsi="Times New Roman" w:cs="Times New Roman"/>
          <w:b/>
          <w:bCs/>
          <w:color w:val="auto"/>
          <w:sz w:val="24"/>
          <w:highlight w:val="none"/>
        </w:rPr>
        <w:t>事项</w:t>
      </w:r>
      <w:r>
        <w:rPr>
          <w:rFonts w:hint="default" w:ascii="Times New Roman" w:hAnsi="Times New Roman" w:cs="Times New Roman"/>
          <w:color w:val="auto"/>
          <w:sz w:val="24"/>
          <w:highlight w:val="none"/>
        </w:rPr>
        <w:t>列入此表。</w:t>
      </w:r>
    </w:p>
    <w:p w14:paraId="77F232AC">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2、按照招标项目</w:t>
      </w:r>
      <w:r>
        <w:rPr>
          <w:rFonts w:hint="eastAsia" w:ascii="Times New Roman" w:cs="Times New Roman"/>
          <w:color w:val="auto"/>
          <w:sz w:val="24"/>
          <w:highlight w:val="none"/>
          <w:lang w:val="en-US" w:eastAsia="zh-CN"/>
        </w:rPr>
        <w:t>要求</w:t>
      </w:r>
      <w:r>
        <w:rPr>
          <w:rFonts w:hint="default" w:ascii="Times New Roman" w:hAnsi="Times New Roman" w:cs="Times New Roman"/>
          <w:color w:val="auto"/>
          <w:sz w:val="24"/>
          <w:highlight w:val="none"/>
        </w:rPr>
        <w:t>的顺序逐条对应填写。</w:t>
      </w:r>
    </w:p>
    <w:p w14:paraId="448FDC0A">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3、供应商必须据实填写，不得虚假填写，否则将取消其投标或中标资格。</w:t>
      </w:r>
    </w:p>
    <w:p w14:paraId="382EE1B9">
      <w:pPr>
        <w:spacing w:line="400" w:lineRule="exact"/>
        <w:rPr>
          <w:rFonts w:hint="default" w:ascii="Times New Roman" w:hAnsi="Times New Roman" w:cs="Times New Roman"/>
          <w:color w:val="auto"/>
          <w:sz w:val="24"/>
          <w:highlight w:val="none"/>
        </w:rPr>
      </w:pPr>
    </w:p>
    <w:p w14:paraId="038C9E66">
      <w:pPr>
        <w:adjustRightInd w:val="0"/>
        <w:spacing w:line="400" w:lineRule="exact"/>
        <w:ind w:firstLine="420" w:firstLineChars="175"/>
        <w:jc w:val="left"/>
        <w:rPr>
          <w:rFonts w:hint="default" w:ascii="Times New Roman" w:hAnsi="Times New Roman" w:cs="Times New Roman"/>
          <w:bCs/>
          <w:color w:val="auto"/>
          <w:sz w:val="24"/>
          <w:highlight w:val="none"/>
        </w:rPr>
      </w:pPr>
    </w:p>
    <w:p w14:paraId="43916ECE">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投标人名称：XXXX（盖章）</w:t>
      </w:r>
    </w:p>
    <w:p w14:paraId="2F1CFFC2">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1B96FFDA">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 XXXX</w:t>
      </w:r>
    </w:p>
    <w:p w14:paraId="229074D8">
      <w:pPr>
        <w:adjustRightInd w:val="0"/>
        <w:spacing w:line="400" w:lineRule="exact"/>
        <w:ind w:firstLine="420" w:firstLineChars="175"/>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br w:type="page"/>
      </w:r>
    </w:p>
    <w:p w14:paraId="292B2C33">
      <w:pPr>
        <w:pStyle w:val="4"/>
        <w:jc w:val="center"/>
        <w:rPr>
          <w:rFonts w:hint="default" w:ascii="Times New Roman" w:hAnsi="Times New Roman" w:cs="Times New Roman"/>
          <w:color w:val="auto"/>
          <w:highlight w:val="none"/>
        </w:rPr>
      </w:pPr>
      <w:bookmarkStart w:id="404" w:name="_Toc18225"/>
      <w:bookmarkStart w:id="405" w:name="_Toc2970"/>
      <w:bookmarkStart w:id="406" w:name="_Toc8502"/>
      <w:bookmarkStart w:id="407" w:name="_Toc466298083"/>
      <w:bookmarkStart w:id="408" w:name="_Toc20572"/>
      <w:bookmarkStart w:id="409" w:name="_Toc465085385"/>
      <w:bookmarkStart w:id="410" w:name="_Toc472604636"/>
      <w:r>
        <w:rPr>
          <w:rFonts w:hint="default" w:ascii="Times New Roman" w:hAnsi="Times New Roman" w:cs="Times New Roman"/>
          <w:color w:val="auto"/>
          <w:highlight w:val="none"/>
        </w:rPr>
        <w:t>6、投标人基本情况表</w:t>
      </w:r>
      <w:bookmarkEnd w:id="404"/>
      <w:bookmarkEnd w:id="405"/>
      <w:bookmarkEnd w:id="406"/>
      <w:bookmarkEnd w:id="407"/>
      <w:bookmarkEnd w:id="408"/>
      <w:bookmarkEnd w:id="409"/>
      <w:bookmarkEnd w:id="410"/>
    </w:p>
    <w:tbl>
      <w:tblPr>
        <w:tblStyle w:val="40"/>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8"/>
        <w:gridCol w:w="1019"/>
        <w:gridCol w:w="820"/>
        <w:gridCol w:w="470"/>
        <w:gridCol w:w="830"/>
        <w:gridCol w:w="488"/>
        <w:gridCol w:w="8"/>
        <w:gridCol w:w="554"/>
        <w:gridCol w:w="400"/>
        <w:gridCol w:w="609"/>
        <w:gridCol w:w="1429"/>
      </w:tblGrid>
      <w:tr w14:paraId="06B267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24259046">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w:t>
            </w:r>
          </w:p>
        </w:tc>
        <w:tc>
          <w:tcPr>
            <w:tcW w:w="6627" w:type="dxa"/>
            <w:gridSpan w:val="10"/>
            <w:vAlign w:val="center"/>
          </w:tcPr>
          <w:p w14:paraId="0E9A3E33">
            <w:pPr>
              <w:autoSpaceDE w:val="0"/>
              <w:autoSpaceDN w:val="0"/>
              <w:adjustRightInd w:val="0"/>
              <w:spacing w:line="400" w:lineRule="exact"/>
              <w:jc w:val="center"/>
              <w:rPr>
                <w:rFonts w:hint="default" w:ascii="Times New Roman" w:hAnsi="Times New Roman" w:cs="Times New Roman"/>
                <w:color w:val="auto"/>
                <w:sz w:val="24"/>
                <w:highlight w:val="none"/>
              </w:rPr>
            </w:pPr>
          </w:p>
        </w:tc>
      </w:tr>
      <w:tr w14:paraId="500870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08076625">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注册地址</w:t>
            </w:r>
          </w:p>
        </w:tc>
        <w:tc>
          <w:tcPr>
            <w:tcW w:w="3635" w:type="dxa"/>
            <w:gridSpan w:val="6"/>
            <w:vAlign w:val="center"/>
          </w:tcPr>
          <w:p w14:paraId="605C43C5">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954" w:type="dxa"/>
            <w:gridSpan w:val="2"/>
            <w:vAlign w:val="center"/>
          </w:tcPr>
          <w:p w14:paraId="7D791CE4">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p>
        </w:tc>
        <w:tc>
          <w:tcPr>
            <w:tcW w:w="2038" w:type="dxa"/>
            <w:gridSpan w:val="2"/>
            <w:vAlign w:val="center"/>
          </w:tcPr>
          <w:p w14:paraId="1C754D63">
            <w:pPr>
              <w:autoSpaceDE w:val="0"/>
              <w:autoSpaceDN w:val="0"/>
              <w:adjustRightInd w:val="0"/>
              <w:spacing w:line="400" w:lineRule="exact"/>
              <w:jc w:val="center"/>
              <w:rPr>
                <w:rFonts w:hint="default" w:ascii="Times New Roman" w:hAnsi="Times New Roman" w:cs="Times New Roman"/>
                <w:color w:val="auto"/>
                <w:sz w:val="24"/>
                <w:highlight w:val="none"/>
              </w:rPr>
            </w:pPr>
          </w:p>
        </w:tc>
      </w:tr>
      <w:tr w14:paraId="7D2FD1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Merge w:val="restart"/>
            <w:vAlign w:val="center"/>
          </w:tcPr>
          <w:p w14:paraId="6337FB31">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联系方式</w:t>
            </w:r>
          </w:p>
        </w:tc>
        <w:tc>
          <w:tcPr>
            <w:tcW w:w="1019" w:type="dxa"/>
            <w:vAlign w:val="center"/>
          </w:tcPr>
          <w:p w14:paraId="2027C357">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联系人</w:t>
            </w:r>
          </w:p>
        </w:tc>
        <w:tc>
          <w:tcPr>
            <w:tcW w:w="2608" w:type="dxa"/>
            <w:gridSpan w:val="4"/>
            <w:vAlign w:val="center"/>
          </w:tcPr>
          <w:p w14:paraId="7AEEC718">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962" w:type="dxa"/>
            <w:gridSpan w:val="3"/>
            <w:vAlign w:val="center"/>
          </w:tcPr>
          <w:p w14:paraId="0CB6615A">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电话</w:t>
            </w:r>
          </w:p>
        </w:tc>
        <w:tc>
          <w:tcPr>
            <w:tcW w:w="2038" w:type="dxa"/>
            <w:gridSpan w:val="2"/>
            <w:vAlign w:val="center"/>
          </w:tcPr>
          <w:p w14:paraId="09EAF559">
            <w:pPr>
              <w:autoSpaceDE w:val="0"/>
              <w:autoSpaceDN w:val="0"/>
              <w:adjustRightInd w:val="0"/>
              <w:spacing w:line="400" w:lineRule="exact"/>
              <w:jc w:val="center"/>
              <w:rPr>
                <w:rFonts w:hint="default" w:ascii="Times New Roman" w:hAnsi="Times New Roman" w:cs="Times New Roman"/>
                <w:color w:val="auto"/>
                <w:sz w:val="24"/>
                <w:highlight w:val="none"/>
              </w:rPr>
            </w:pPr>
          </w:p>
        </w:tc>
      </w:tr>
      <w:tr w14:paraId="7C035A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98" w:type="dxa"/>
            <w:vMerge w:val="continue"/>
            <w:vAlign w:val="center"/>
          </w:tcPr>
          <w:p w14:paraId="7EDE06F6">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019" w:type="dxa"/>
            <w:vAlign w:val="center"/>
          </w:tcPr>
          <w:p w14:paraId="556AD9DA">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传真</w:t>
            </w:r>
          </w:p>
        </w:tc>
        <w:tc>
          <w:tcPr>
            <w:tcW w:w="2608" w:type="dxa"/>
            <w:gridSpan w:val="4"/>
            <w:vAlign w:val="center"/>
          </w:tcPr>
          <w:p w14:paraId="2D7820CD">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962" w:type="dxa"/>
            <w:gridSpan w:val="3"/>
            <w:vAlign w:val="center"/>
          </w:tcPr>
          <w:p w14:paraId="095A4B48">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网址</w:t>
            </w:r>
          </w:p>
        </w:tc>
        <w:tc>
          <w:tcPr>
            <w:tcW w:w="2038" w:type="dxa"/>
            <w:gridSpan w:val="2"/>
            <w:vAlign w:val="center"/>
          </w:tcPr>
          <w:p w14:paraId="643F51BB">
            <w:pPr>
              <w:autoSpaceDE w:val="0"/>
              <w:autoSpaceDN w:val="0"/>
              <w:adjustRightInd w:val="0"/>
              <w:spacing w:line="400" w:lineRule="exact"/>
              <w:jc w:val="center"/>
              <w:rPr>
                <w:rFonts w:hint="default" w:ascii="Times New Roman" w:hAnsi="Times New Roman" w:cs="Times New Roman"/>
                <w:color w:val="auto"/>
                <w:sz w:val="24"/>
                <w:highlight w:val="none"/>
              </w:rPr>
            </w:pPr>
          </w:p>
        </w:tc>
      </w:tr>
      <w:tr w14:paraId="44C3F9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2B5E2A78">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组织结构</w:t>
            </w:r>
          </w:p>
        </w:tc>
        <w:tc>
          <w:tcPr>
            <w:tcW w:w="6627" w:type="dxa"/>
            <w:gridSpan w:val="10"/>
            <w:vAlign w:val="center"/>
          </w:tcPr>
          <w:p w14:paraId="5A4A2F93">
            <w:pPr>
              <w:autoSpaceDE w:val="0"/>
              <w:autoSpaceDN w:val="0"/>
              <w:adjustRightInd w:val="0"/>
              <w:spacing w:line="400" w:lineRule="exact"/>
              <w:jc w:val="center"/>
              <w:rPr>
                <w:rFonts w:hint="default" w:ascii="Times New Roman" w:hAnsi="Times New Roman" w:cs="Times New Roman"/>
                <w:color w:val="auto"/>
                <w:sz w:val="24"/>
                <w:highlight w:val="none"/>
              </w:rPr>
            </w:pPr>
          </w:p>
        </w:tc>
      </w:tr>
      <w:tr w14:paraId="7F54C9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98" w:type="dxa"/>
            <w:vAlign w:val="center"/>
          </w:tcPr>
          <w:p w14:paraId="2990646B">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w:t>
            </w:r>
          </w:p>
        </w:tc>
        <w:tc>
          <w:tcPr>
            <w:tcW w:w="1019" w:type="dxa"/>
            <w:vAlign w:val="center"/>
          </w:tcPr>
          <w:p w14:paraId="02FCBC6C">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p>
        </w:tc>
        <w:tc>
          <w:tcPr>
            <w:tcW w:w="820" w:type="dxa"/>
            <w:vAlign w:val="center"/>
          </w:tcPr>
          <w:p w14:paraId="7CD87DA7">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00" w:type="dxa"/>
            <w:gridSpan w:val="2"/>
            <w:vAlign w:val="center"/>
          </w:tcPr>
          <w:p w14:paraId="54B7CC75">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技术职称</w:t>
            </w:r>
          </w:p>
        </w:tc>
        <w:tc>
          <w:tcPr>
            <w:tcW w:w="1050" w:type="dxa"/>
            <w:gridSpan w:val="3"/>
            <w:vAlign w:val="center"/>
          </w:tcPr>
          <w:p w14:paraId="3ECFA9BC">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009" w:type="dxa"/>
            <w:gridSpan w:val="2"/>
            <w:vAlign w:val="center"/>
          </w:tcPr>
          <w:p w14:paraId="33E550C6">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电话</w:t>
            </w:r>
          </w:p>
        </w:tc>
        <w:tc>
          <w:tcPr>
            <w:tcW w:w="1429" w:type="dxa"/>
            <w:vAlign w:val="center"/>
          </w:tcPr>
          <w:p w14:paraId="6B41D8A5">
            <w:pP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5FC7F8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98" w:type="dxa"/>
            <w:vAlign w:val="center"/>
          </w:tcPr>
          <w:p w14:paraId="2F17E2F2">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技术负责人</w:t>
            </w:r>
          </w:p>
        </w:tc>
        <w:tc>
          <w:tcPr>
            <w:tcW w:w="1019" w:type="dxa"/>
            <w:vAlign w:val="center"/>
          </w:tcPr>
          <w:p w14:paraId="654A64FE">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p>
        </w:tc>
        <w:tc>
          <w:tcPr>
            <w:tcW w:w="820" w:type="dxa"/>
            <w:vAlign w:val="center"/>
          </w:tcPr>
          <w:p w14:paraId="2F5426C0">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00" w:type="dxa"/>
            <w:gridSpan w:val="2"/>
            <w:vAlign w:val="center"/>
          </w:tcPr>
          <w:p w14:paraId="2F6C67A5">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技术职称</w:t>
            </w:r>
          </w:p>
        </w:tc>
        <w:tc>
          <w:tcPr>
            <w:tcW w:w="1050" w:type="dxa"/>
            <w:gridSpan w:val="3"/>
            <w:vAlign w:val="center"/>
          </w:tcPr>
          <w:p w14:paraId="1B8204AD">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009" w:type="dxa"/>
            <w:gridSpan w:val="2"/>
            <w:vAlign w:val="center"/>
          </w:tcPr>
          <w:p w14:paraId="0BF2C7DD">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电话</w:t>
            </w:r>
          </w:p>
        </w:tc>
        <w:tc>
          <w:tcPr>
            <w:tcW w:w="1429" w:type="dxa"/>
            <w:vAlign w:val="center"/>
          </w:tcPr>
          <w:p w14:paraId="3E464754">
            <w:pP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664200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1DE54FCC">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成立时间</w:t>
            </w:r>
          </w:p>
        </w:tc>
        <w:tc>
          <w:tcPr>
            <w:tcW w:w="2309" w:type="dxa"/>
            <w:gridSpan w:val="3"/>
            <w:vAlign w:val="center"/>
          </w:tcPr>
          <w:p w14:paraId="667AB506">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4318" w:type="dxa"/>
            <w:gridSpan w:val="7"/>
            <w:vAlign w:val="center"/>
          </w:tcPr>
          <w:p w14:paraId="5A1FF8D7">
            <w:pPr>
              <w:autoSpaceDE w:val="0"/>
              <w:autoSpaceDN w:val="0"/>
              <w:adjustRightInd w:val="0"/>
              <w:spacing w:line="400" w:lineRule="exact"/>
              <w:ind w:firstLine="1680" w:firstLineChars="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员工总人数：</w:t>
            </w:r>
          </w:p>
        </w:tc>
      </w:tr>
      <w:tr w14:paraId="328ED6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1E32C43B">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企业资质</w:t>
            </w:r>
          </w:p>
          <w:p w14:paraId="46ABCCF8">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等级</w:t>
            </w:r>
          </w:p>
        </w:tc>
        <w:tc>
          <w:tcPr>
            <w:tcW w:w="2309" w:type="dxa"/>
            <w:gridSpan w:val="3"/>
            <w:vAlign w:val="center"/>
          </w:tcPr>
          <w:p w14:paraId="490FF1B4">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18" w:type="dxa"/>
            <w:gridSpan w:val="2"/>
            <w:vMerge w:val="restart"/>
            <w:vAlign w:val="center"/>
          </w:tcPr>
          <w:p w14:paraId="1C4132AF">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其中</w:t>
            </w:r>
          </w:p>
        </w:tc>
        <w:tc>
          <w:tcPr>
            <w:tcW w:w="1571" w:type="dxa"/>
            <w:gridSpan w:val="4"/>
            <w:vAlign w:val="center"/>
          </w:tcPr>
          <w:p w14:paraId="2F3A9E1A">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项目经理</w:t>
            </w:r>
          </w:p>
        </w:tc>
        <w:tc>
          <w:tcPr>
            <w:tcW w:w="1429" w:type="dxa"/>
            <w:vAlign w:val="center"/>
          </w:tcPr>
          <w:p w14:paraId="2BDB4EBB">
            <w:pP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0D8BC0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05BF756F">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营业执照号</w:t>
            </w:r>
          </w:p>
        </w:tc>
        <w:tc>
          <w:tcPr>
            <w:tcW w:w="2309" w:type="dxa"/>
            <w:gridSpan w:val="3"/>
            <w:vAlign w:val="center"/>
          </w:tcPr>
          <w:p w14:paraId="434E1AEE">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18" w:type="dxa"/>
            <w:gridSpan w:val="2"/>
            <w:vMerge w:val="continue"/>
            <w:vAlign w:val="center"/>
          </w:tcPr>
          <w:p w14:paraId="705AD9D4">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571" w:type="dxa"/>
            <w:gridSpan w:val="4"/>
            <w:vAlign w:val="center"/>
          </w:tcPr>
          <w:p w14:paraId="55C708D9">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高级职称</w:t>
            </w:r>
          </w:p>
          <w:p w14:paraId="7AF878B6">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1429" w:type="dxa"/>
            <w:vAlign w:val="center"/>
          </w:tcPr>
          <w:p w14:paraId="4DED3EC1">
            <w:pP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29FF55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58FD8117">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注册资金</w:t>
            </w:r>
          </w:p>
        </w:tc>
        <w:tc>
          <w:tcPr>
            <w:tcW w:w="2309" w:type="dxa"/>
            <w:gridSpan w:val="3"/>
            <w:vAlign w:val="center"/>
          </w:tcPr>
          <w:p w14:paraId="3E9255E4">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18" w:type="dxa"/>
            <w:gridSpan w:val="2"/>
            <w:vMerge w:val="continue"/>
            <w:vAlign w:val="center"/>
          </w:tcPr>
          <w:p w14:paraId="6555E35C">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571" w:type="dxa"/>
            <w:gridSpan w:val="4"/>
            <w:vAlign w:val="center"/>
          </w:tcPr>
          <w:p w14:paraId="286A57A8">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中级职称</w:t>
            </w:r>
          </w:p>
          <w:p w14:paraId="720122F9">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1429" w:type="dxa"/>
            <w:vAlign w:val="center"/>
          </w:tcPr>
          <w:p w14:paraId="330C4179">
            <w:pP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0F7819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3B15C8DB">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开户银行</w:t>
            </w:r>
          </w:p>
        </w:tc>
        <w:tc>
          <w:tcPr>
            <w:tcW w:w="2309" w:type="dxa"/>
            <w:gridSpan w:val="3"/>
            <w:vAlign w:val="center"/>
          </w:tcPr>
          <w:p w14:paraId="701204B4">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18" w:type="dxa"/>
            <w:gridSpan w:val="2"/>
            <w:vMerge w:val="continue"/>
            <w:vAlign w:val="center"/>
          </w:tcPr>
          <w:p w14:paraId="63851DB3">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571" w:type="dxa"/>
            <w:gridSpan w:val="4"/>
            <w:vAlign w:val="center"/>
          </w:tcPr>
          <w:p w14:paraId="1DB12057">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初级职称</w:t>
            </w:r>
          </w:p>
          <w:p w14:paraId="0A4FB417">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1429" w:type="dxa"/>
            <w:vAlign w:val="center"/>
          </w:tcPr>
          <w:p w14:paraId="1F26F66A">
            <w:pP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595F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0F6FC13B">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账号</w:t>
            </w:r>
          </w:p>
        </w:tc>
        <w:tc>
          <w:tcPr>
            <w:tcW w:w="2309" w:type="dxa"/>
            <w:gridSpan w:val="3"/>
            <w:vAlign w:val="center"/>
          </w:tcPr>
          <w:p w14:paraId="37A21091">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18" w:type="dxa"/>
            <w:gridSpan w:val="2"/>
            <w:vMerge w:val="continue"/>
            <w:vAlign w:val="center"/>
          </w:tcPr>
          <w:p w14:paraId="54933822">
            <w:pP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571" w:type="dxa"/>
            <w:gridSpan w:val="4"/>
            <w:vAlign w:val="center"/>
          </w:tcPr>
          <w:p w14:paraId="5D4D3759">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技工</w:t>
            </w:r>
          </w:p>
        </w:tc>
        <w:tc>
          <w:tcPr>
            <w:tcW w:w="1429" w:type="dxa"/>
            <w:vAlign w:val="center"/>
          </w:tcPr>
          <w:p w14:paraId="5C2E39F8">
            <w:pP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525FB5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51" w:hRule="atLeast"/>
        </w:trPr>
        <w:tc>
          <w:tcPr>
            <w:tcW w:w="1598" w:type="dxa"/>
            <w:vAlign w:val="center"/>
          </w:tcPr>
          <w:p w14:paraId="4CDA9283">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经营范围</w:t>
            </w:r>
          </w:p>
        </w:tc>
        <w:tc>
          <w:tcPr>
            <w:tcW w:w="6627" w:type="dxa"/>
            <w:gridSpan w:val="10"/>
            <w:vAlign w:val="center"/>
          </w:tcPr>
          <w:p w14:paraId="14F81A24">
            <w:pPr>
              <w:autoSpaceDE w:val="0"/>
              <w:autoSpaceDN w:val="0"/>
              <w:adjustRightInd w:val="0"/>
              <w:spacing w:line="400" w:lineRule="exact"/>
              <w:rPr>
                <w:rFonts w:hint="default" w:ascii="Times New Roman" w:hAnsi="Times New Roman" w:cs="Times New Roman"/>
                <w:b/>
                <w:bCs/>
                <w:color w:val="auto"/>
                <w:sz w:val="24"/>
                <w:highlight w:val="none"/>
              </w:rPr>
            </w:pPr>
          </w:p>
        </w:tc>
      </w:tr>
      <w:tr w14:paraId="1EA2DB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98" w:type="dxa"/>
          </w:tcPr>
          <w:p w14:paraId="77CA761C">
            <w:pP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备注</w:t>
            </w:r>
          </w:p>
        </w:tc>
        <w:tc>
          <w:tcPr>
            <w:tcW w:w="6627" w:type="dxa"/>
            <w:gridSpan w:val="10"/>
          </w:tcPr>
          <w:p w14:paraId="596D6109">
            <w:pPr>
              <w:autoSpaceDE w:val="0"/>
              <w:autoSpaceDN w:val="0"/>
              <w:adjustRightInd w:val="0"/>
              <w:spacing w:line="400" w:lineRule="exact"/>
              <w:jc w:val="left"/>
              <w:rPr>
                <w:rFonts w:hint="default" w:ascii="Times New Roman" w:hAnsi="Times New Roman" w:cs="Times New Roman"/>
                <w:color w:val="auto"/>
                <w:sz w:val="24"/>
                <w:highlight w:val="none"/>
              </w:rPr>
            </w:pPr>
          </w:p>
        </w:tc>
      </w:tr>
    </w:tbl>
    <w:p w14:paraId="59C66CF7">
      <w:pPr>
        <w:rPr>
          <w:rFonts w:hint="default" w:ascii="Times New Roman" w:hAnsi="Times New Roman" w:cs="Times New Roman"/>
          <w:color w:val="auto"/>
          <w:highlight w:val="none"/>
        </w:rPr>
      </w:pPr>
    </w:p>
    <w:p w14:paraId="25FABC15">
      <w:pPr>
        <w:adjustRightInd w:val="0"/>
        <w:spacing w:line="400" w:lineRule="exact"/>
        <w:ind w:firstLine="420" w:firstLineChars="175"/>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投标人名称：</w:t>
      </w:r>
      <w:r>
        <w:rPr>
          <w:rFonts w:hint="default" w:ascii="Times New Roman" w:hAnsi="Times New Roman" w:cs="Times New Roman"/>
          <w:color w:val="auto"/>
          <w:sz w:val="24"/>
          <w:highlight w:val="none"/>
        </w:rPr>
        <w:t>XXXX</w:t>
      </w:r>
      <w:r>
        <w:rPr>
          <w:rFonts w:hint="default" w:ascii="Times New Roman" w:hAnsi="Times New Roman" w:cs="Times New Roman"/>
          <w:bCs/>
          <w:color w:val="auto"/>
          <w:sz w:val="24"/>
          <w:highlight w:val="none"/>
        </w:rPr>
        <w:t>（盖章）</w:t>
      </w:r>
    </w:p>
    <w:p w14:paraId="04BDBDD1">
      <w:pPr>
        <w:adjustRightInd w:val="0"/>
        <w:spacing w:line="400" w:lineRule="exact"/>
        <w:ind w:firstLine="420" w:firstLineChars="175"/>
        <w:jc w:val="left"/>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法定代表人/单位负责人或授权代表（签字或加盖个人名章）</w:t>
      </w:r>
      <w:r>
        <w:rPr>
          <w:rFonts w:hint="default" w:ascii="Times New Roman" w:hAnsi="Times New Roman" w:cs="Times New Roman"/>
          <w:bCs/>
          <w:color w:val="auto"/>
          <w:sz w:val="24"/>
          <w:highlight w:val="none"/>
        </w:rPr>
        <w:t>：</w:t>
      </w:r>
      <w:r>
        <w:rPr>
          <w:rFonts w:hint="default" w:ascii="Times New Roman" w:hAnsi="Times New Roman" w:cs="Times New Roman"/>
          <w:color w:val="auto"/>
          <w:sz w:val="24"/>
          <w:highlight w:val="none"/>
        </w:rPr>
        <w:t>XXXX</w:t>
      </w:r>
    </w:p>
    <w:p w14:paraId="6E833AFA">
      <w:pPr>
        <w:adjustRightInd w:val="0"/>
        <w:spacing w:line="400" w:lineRule="exact"/>
        <w:ind w:firstLine="420" w:firstLineChars="175"/>
        <w:jc w:val="left"/>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投标日期:</w:t>
      </w:r>
      <w:r>
        <w:rPr>
          <w:rFonts w:hint="default" w:ascii="Times New Roman" w:hAnsi="Times New Roman" w:cs="Times New Roman"/>
          <w:color w:val="auto"/>
          <w:sz w:val="24"/>
          <w:highlight w:val="none"/>
        </w:rPr>
        <w:t xml:space="preserve"> XXXX</w:t>
      </w:r>
    </w:p>
    <w:p w14:paraId="3E180FA5">
      <w:pPr>
        <w:adjustRightInd w:val="0"/>
        <w:spacing w:line="400" w:lineRule="exact"/>
        <w:ind w:firstLine="420" w:firstLineChars="175"/>
        <w:jc w:val="left"/>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br w:type="page"/>
      </w:r>
    </w:p>
    <w:p w14:paraId="4125EC5F">
      <w:pPr>
        <w:pStyle w:val="4"/>
        <w:jc w:val="center"/>
        <w:rPr>
          <w:rFonts w:hint="default" w:ascii="Times New Roman" w:hAnsi="Times New Roman" w:cs="Times New Roman"/>
          <w:color w:val="auto"/>
          <w:highlight w:val="none"/>
        </w:rPr>
      </w:pPr>
      <w:bookmarkStart w:id="411" w:name="_Toc465085386"/>
      <w:bookmarkStart w:id="412" w:name="_Toc466298084"/>
      <w:bookmarkStart w:id="413" w:name="_Toc472604637"/>
      <w:r>
        <w:rPr>
          <w:rFonts w:hint="default" w:ascii="Times New Roman" w:hAnsi="Times New Roman" w:cs="Times New Roman"/>
          <w:color w:val="auto"/>
          <w:highlight w:val="none"/>
        </w:rPr>
        <w:t>7、类似项目业绩一览表</w:t>
      </w:r>
      <w:bookmarkEnd w:id="411"/>
      <w:bookmarkEnd w:id="412"/>
      <w:bookmarkEnd w:id="413"/>
    </w:p>
    <w:p w14:paraId="615981D0">
      <w:pPr>
        <w:pStyle w:val="145"/>
        <w:rPr>
          <w:rFonts w:hint="default" w:ascii="Times New Roman" w:hAnsi="Times New Roman" w:cs="Times New Roman"/>
          <w:color w:val="auto"/>
          <w:highlight w:val="none"/>
        </w:rPr>
      </w:pPr>
    </w:p>
    <w:tbl>
      <w:tblPr>
        <w:tblStyle w:val="4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7"/>
        <w:gridCol w:w="1640"/>
        <w:gridCol w:w="1444"/>
        <w:gridCol w:w="1285"/>
        <w:gridCol w:w="1491"/>
        <w:gridCol w:w="1376"/>
        <w:gridCol w:w="1105"/>
      </w:tblGrid>
      <w:tr w14:paraId="180587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tcBorders>
              <w:top w:val="single" w:color="auto" w:sz="4" w:space="0"/>
            </w:tcBorders>
            <w:vAlign w:val="center"/>
          </w:tcPr>
          <w:p w14:paraId="30F530D2">
            <w:pPr>
              <w:spacing w:line="400" w:lineRule="exact"/>
              <w:ind w:firstLine="120" w:firstLineChars="50"/>
              <w:jc w:val="center"/>
              <w:rPr>
                <w:rFonts w:hint="eastAsia" w:ascii="Times New Roman" w:hAnsi="Times New Roman" w:eastAsia="宋体" w:cs="Times New Roman"/>
                <w:b/>
                <w:color w:val="auto"/>
                <w:sz w:val="24"/>
                <w:highlight w:val="none"/>
                <w:lang w:val="en-US" w:eastAsia="zh-CN"/>
              </w:rPr>
            </w:pPr>
            <w:r>
              <w:rPr>
                <w:rFonts w:hint="eastAsia" w:ascii="Times New Roman" w:cs="Times New Roman"/>
                <w:b/>
                <w:color w:val="auto"/>
                <w:sz w:val="24"/>
                <w:highlight w:val="none"/>
                <w:lang w:val="en-US" w:eastAsia="zh-CN"/>
              </w:rPr>
              <w:t>序号</w:t>
            </w:r>
          </w:p>
        </w:tc>
        <w:tc>
          <w:tcPr>
            <w:tcW w:w="1640" w:type="dxa"/>
            <w:vAlign w:val="center"/>
          </w:tcPr>
          <w:p w14:paraId="6466A4CB">
            <w:pPr>
              <w:spacing w:line="400" w:lineRule="exact"/>
              <w:jc w:val="center"/>
              <w:rPr>
                <w:rFonts w:hint="default" w:ascii="Times New Roman" w:hAnsi="Times New Roman" w:eastAsia="宋体" w:cs="Times New Roman"/>
                <w:b/>
                <w:color w:val="auto"/>
                <w:sz w:val="24"/>
                <w:highlight w:val="none"/>
                <w:lang w:val="en-US" w:eastAsia="zh-CN"/>
              </w:rPr>
            </w:pPr>
            <w:r>
              <w:rPr>
                <w:rFonts w:hint="eastAsia" w:ascii="Times New Roman" w:cs="Times New Roman"/>
                <w:b/>
                <w:color w:val="auto"/>
                <w:sz w:val="24"/>
                <w:highlight w:val="none"/>
                <w:lang w:val="en-US" w:eastAsia="zh-CN"/>
              </w:rPr>
              <w:t>采购单位名称</w:t>
            </w:r>
          </w:p>
        </w:tc>
        <w:tc>
          <w:tcPr>
            <w:tcW w:w="1444" w:type="dxa"/>
            <w:vAlign w:val="center"/>
          </w:tcPr>
          <w:p w14:paraId="39C5808F">
            <w:pPr>
              <w:spacing w:line="40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项目名称</w:t>
            </w:r>
          </w:p>
        </w:tc>
        <w:tc>
          <w:tcPr>
            <w:tcW w:w="1285" w:type="dxa"/>
            <w:vAlign w:val="center"/>
          </w:tcPr>
          <w:p w14:paraId="68692AEB">
            <w:pPr>
              <w:spacing w:line="40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完成时间</w:t>
            </w:r>
          </w:p>
        </w:tc>
        <w:tc>
          <w:tcPr>
            <w:tcW w:w="1491" w:type="dxa"/>
            <w:vAlign w:val="center"/>
          </w:tcPr>
          <w:p w14:paraId="1F5B8F2E">
            <w:pPr>
              <w:spacing w:line="400" w:lineRule="exact"/>
              <w:ind w:firstLine="120" w:firstLineChars="50"/>
              <w:jc w:val="center"/>
              <w:rPr>
                <w:rFonts w:hint="default" w:ascii="Times New Roman" w:hAnsi="Times New Roman" w:eastAsia="宋体" w:cs="Times New Roman"/>
                <w:b/>
                <w:color w:val="auto"/>
                <w:sz w:val="24"/>
                <w:highlight w:val="none"/>
                <w:lang w:val="en-US" w:eastAsia="zh-CN"/>
              </w:rPr>
            </w:pPr>
            <w:r>
              <w:rPr>
                <w:rFonts w:hint="eastAsia" w:ascii="Times New Roman" w:cs="Times New Roman"/>
                <w:b/>
                <w:color w:val="auto"/>
                <w:sz w:val="24"/>
                <w:highlight w:val="none"/>
                <w:lang w:val="en-US" w:eastAsia="zh-CN"/>
              </w:rPr>
              <w:t>合同金额</w:t>
            </w:r>
          </w:p>
        </w:tc>
        <w:tc>
          <w:tcPr>
            <w:tcW w:w="1376" w:type="dxa"/>
            <w:tcBorders>
              <w:right w:val="single" w:color="auto" w:sz="4" w:space="0"/>
            </w:tcBorders>
            <w:vAlign w:val="center"/>
          </w:tcPr>
          <w:p w14:paraId="1031B94B">
            <w:pPr>
              <w:spacing w:line="400" w:lineRule="exact"/>
              <w:jc w:val="center"/>
              <w:rPr>
                <w:rFonts w:hint="default" w:ascii="Times New Roman" w:hAnsi="Times New Roman" w:eastAsia="宋体" w:cs="Times New Roman"/>
                <w:b/>
                <w:color w:val="auto"/>
                <w:sz w:val="24"/>
                <w:highlight w:val="none"/>
                <w:lang w:val="en-US" w:eastAsia="zh-CN"/>
              </w:rPr>
            </w:pPr>
            <w:r>
              <w:rPr>
                <w:rFonts w:hint="eastAsia" w:ascii="Times New Roman" w:cs="Times New Roman"/>
                <w:b/>
                <w:color w:val="auto"/>
                <w:sz w:val="24"/>
                <w:highlight w:val="none"/>
                <w:lang w:val="en-US" w:eastAsia="zh-CN"/>
              </w:rPr>
              <w:t>材料页码</w:t>
            </w:r>
          </w:p>
        </w:tc>
        <w:tc>
          <w:tcPr>
            <w:tcW w:w="1105" w:type="dxa"/>
            <w:tcBorders>
              <w:left w:val="single" w:color="auto" w:sz="4" w:space="0"/>
            </w:tcBorders>
            <w:vAlign w:val="center"/>
          </w:tcPr>
          <w:p w14:paraId="0A1585E1">
            <w:pPr>
              <w:spacing w:line="400" w:lineRule="exact"/>
              <w:jc w:val="center"/>
              <w:rPr>
                <w:rFonts w:hint="eastAsia" w:ascii="Times New Roman" w:hAnsi="Times New Roman" w:eastAsia="宋体" w:cs="Times New Roman"/>
                <w:b/>
                <w:color w:val="auto"/>
                <w:sz w:val="24"/>
                <w:highlight w:val="none"/>
                <w:lang w:eastAsia="zh-CN"/>
              </w:rPr>
            </w:pPr>
            <w:r>
              <w:rPr>
                <w:rFonts w:hint="eastAsia" w:ascii="Times New Roman" w:cs="Times New Roman"/>
                <w:b/>
                <w:color w:val="auto"/>
                <w:sz w:val="24"/>
                <w:highlight w:val="none"/>
                <w:lang w:val="en-US" w:eastAsia="zh-CN"/>
              </w:rPr>
              <w:t>年份</w:t>
            </w:r>
          </w:p>
        </w:tc>
      </w:tr>
      <w:tr w14:paraId="1A96F1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62A1AE2B">
            <w:pPr>
              <w:spacing w:line="400" w:lineRule="exact"/>
              <w:jc w:val="center"/>
              <w:rPr>
                <w:rFonts w:hint="default" w:ascii="Times New Roman" w:hAnsi="Times New Roman" w:cs="Times New Roman"/>
                <w:color w:val="auto"/>
                <w:sz w:val="24"/>
                <w:highlight w:val="none"/>
              </w:rPr>
            </w:pPr>
          </w:p>
        </w:tc>
        <w:tc>
          <w:tcPr>
            <w:tcW w:w="1640" w:type="dxa"/>
            <w:vAlign w:val="center"/>
          </w:tcPr>
          <w:p w14:paraId="47C17A6E">
            <w:pPr>
              <w:spacing w:line="400" w:lineRule="exact"/>
              <w:jc w:val="center"/>
              <w:rPr>
                <w:rFonts w:hint="default" w:ascii="Times New Roman" w:hAnsi="Times New Roman" w:cs="Times New Roman"/>
                <w:color w:val="auto"/>
                <w:sz w:val="24"/>
                <w:highlight w:val="none"/>
              </w:rPr>
            </w:pPr>
          </w:p>
        </w:tc>
        <w:tc>
          <w:tcPr>
            <w:tcW w:w="1444" w:type="dxa"/>
            <w:vAlign w:val="center"/>
          </w:tcPr>
          <w:p w14:paraId="1FCB67A6">
            <w:pPr>
              <w:spacing w:line="400" w:lineRule="exact"/>
              <w:jc w:val="center"/>
              <w:rPr>
                <w:rFonts w:hint="default" w:ascii="Times New Roman" w:hAnsi="Times New Roman" w:cs="Times New Roman"/>
                <w:color w:val="auto"/>
                <w:sz w:val="24"/>
                <w:highlight w:val="none"/>
              </w:rPr>
            </w:pPr>
          </w:p>
        </w:tc>
        <w:tc>
          <w:tcPr>
            <w:tcW w:w="1285" w:type="dxa"/>
            <w:vAlign w:val="center"/>
          </w:tcPr>
          <w:p w14:paraId="070547EE">
            <w:pPr>
              <w:spacing w:line="400" w:lineRule="exact"/>
              <w:jc w:val="center"/>
              <w:rPr>
                <w:rFonts w:hint="default" w:ascii="Times New Roman" w:hAnsi="Times New Roman" w:cs="Times New Roman"/>
                <w:color w:val="auto"/>
                <w:sz w:val="24"/>
                <w:highlight w:val="none"/>
              </w:rPr>
            </w:pPr>
          </w:p>
        </w:tc>
        <w:tc>
          <w:tcPr>
            <w:tcW w:w="1491" w:type="dxa"/>
            <w:vAlign w:val="center"/>
          </w:tcPr>
          <w:p w14:paraId="5A1E76F8">
            <w:pPr>
              <w:spacing w:line="400" w:lineRule="exact"/>
              <w:jc w:val="center"/>
              <w:rPr>
                <w:rFonts w:hint="default" w:ascii="Times New Roman" w:hAnsi="Times New Roman" w:cs="Times New Roman"/>
                <w:color w:val="auto"/>
                <w:sz w:val="24"/>
                <w:highlight w:val="none"/>
              </w:rPr>
            </w:pPr>
          </w:p>
        </w:tc>
        <w:tc>
          <w:tcPr>
            <w:tcW w:w="1376" w:type="dxa"/>
            <w:tcBorders>
              <w:right w:val="single" w:color="auto" w:sz="4" w:space="0"/>
            </w:tcBorders>
            <w:vAlign w:val="center"/>
          </w:tcPr>
          <w:p w14:paraId="712350D1">
            <w:pP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16DF5CB0">
            <w:pPr>
              <w:spacing w:line="400" w:lineRule="exact"/>
              <w:jc w:val="center"/>
              <w:rPr>
                <w:rFonts w:hint="default" w:ascii="Times New Roman" w:hAnsi="Times New Roman" w:cs="Times New Roman"/>
                <w:color w:val="auto"/>
                <w:sz w:val="24"/>
                <w:highlight w:val="none"/>
              </w:rPr>
            </w:pPr>
          </w:p>
        </w:tc>
      </w:tr>
      <w:tr w14:paraId="2A5D69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29FD5E59">
            <w:pPr>
              <w:spacing w:line="400" w:lineRule="exact"/>
              <w:jc w:val="center"/>
              <w:rPr>
                <w:rFonts w:hint="default" w:ascii="Times New Roman" w:hAnsi="Times New Roman" w:cs="Times New Roman"/>
                <w:color w:val="auto"/>
                <w:sz w:val="24"/>
                <w:highlight w:val="none"/>
              </w:rPr>
            </w:pPr>
          </w:p>
        </w:tc>
        <w:tc>
          <w:tcPr>
            <w:tcW w:w="1640" w:type="dxa"/>
            <w:vAlign w:val="center"/>
          </w:tcPr>
          <w:p w14:paraId="49C67410">
            <w:pPr>
              <w:spacing w:line="400" w:lineRule="exact"/>
              <w:jc w:val="center"/>
              <w:rPr>
                <w:rFonts w:hint="default" w:ascii="Times New Roman" w:hAnsi="Times New Roman" w:cs="Times New Roman"/>
                <w:color w:val="auto"/>
                <w:sz w:val="24"/>
                <w:highlight w:val="none"/>
              </w:rPr>
            </w:pPr>
          </w:p>
        </w:tc>
        <w:tc>
          <w:tcPr>
            <w:tcW w:w="1444" w:type="dxa"/>
            <w:vAlign w:val="center"/>
          </w:tcPr>
          <w:p w14:paraId="400906A7">
            <w:pPr>
              <w:spacing w:line="400" w:lineRule="exact"/>
              <w:jc w:val="center"/>
              <w:rPr>
                <w:rFonts w:hint="default" w:ascii="Times New Roman" w:hAnsi="Times New Roman" w:cs="Times New Roman"/>
                <w:color w:val="auto"/>
                <w:sz w:val="24"/>
                <w:highlight w:val="none"/>
              </w:rPr>
            </w:pPr>
          </w:p>
        </w:tc>
        <w:tc>
          <w:tcPr>
            <w:tcW w:w="1285" w:type="dxa"/>
            <w:vAlign w:val="center"/>
          </w:tcPr>
          <w:p w14:paraId="67A8875F">
            <w:pPr>
              <w:spacing w:line="400" w:lineRule="exact"/>
              <w:jc w:val="center"/>
              <w:rPr>
                <w:rFonts w:hint="default" w:ascii="Times New Roman" w:hAnsi="Times New Roman" w:cs="Times New Roman"/>
                <w:color w:val="auto"/>
                <w:sz w:val="24"/>
                <w:highlight w:val="none"/>
              </w:rPr>
            </w:pPr>
          </w:p>
        </w:tc>
        <w:tc>
          <w:tcPr>
            <w:tcW w:w="1491" w:type="dxa"/>
            <w:vAlign w:val="center"/>
          </w:tcPr>
          <w:p w14:paraId="23C5FA55">
            <w:pPr>
              <w:spacing w:line="400" w:lineRule="exact"/>
              <w:jc w:val="center"/>
              <w:rPr>
                <w:rFonts w:hint="default" w:ascii="Times New Roman" w:hAnsi="Times New Roman" w:cs="Times New Roman"/>
                <w:color w:val="auto"/>
                <w:sz w:val="24"/>
                <w:highlight w:val="none"/>
              </w:rPr>
            </w:pPr>
          </w:p>
        </w:tc>
        <w:tc>
          <w:tcPr>
            <w:tcW w:w="1376" w:type="dxa"/>
            <w:tcBorders>
              <w:right w:val="single" w:color="auto" w:sz="4" w:space="0"/>
            </w:tcBorders>
            <w:vAlign w:val="center"/>
          </w:tcPr>
          <w:p w14:paraId="62A41A04">
            <w:pP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4646EB91">
            <w:pPr>
              <w:spacing w:line="400" w:lineRule="exact"/>
              <w:jc w:val="center"/>
              <w:rPr>
                <w:rFonts w:hint="default" w:ascii="Times New Roman" w:hAnsi="Times New Roman" w:cs="Times New Roman"/>
                <w:color w:val="auto"/>
                <w:sz w:val="24"/>
                <w:highlight w:val="none"/>
              </w:rPr>
            </w:pPr>
          </w:p>
        </w:tc>
      </w:tr>
      <w:tr w14:paraId="57E68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1A70D9AE">
            <w:pPr>
              <w:spacing w:line="400" w:lineRule="exact"/>
              <w:jc w:val="center"/>
              <w:rPr>
                <w:rFonts w:hint="default" w:ascii="Times New Roman" w:hAnsi="Times New Roman" w:cs="Times New Roman"/>
                <w:color w:val="auto"/>
                <w:sz w:val="24"/>
                <w:highlight w:val="none"/>
              </w:rPr>
            </w:pPr>
          </w:p>
        </w:tc>
        <w:tc>
          <w:tcPr>
            <w:tcW w:w="1640" w:type="dxa"/>
            <w:vAlign w:val="center"/>
          </w:tcPr>
          <w:p w14:paraId="6775765B">
            <w:pPr>
              <w:spacing w:line="400" w:lineRule="exact"/>
              <w:jc w:val="center"/>
              <w:rPr>
                <w:rFonts w:hint="default" w:ascii="Times New Roman" w:hAnsi="Times New Roman" w:cs="Times New Roman"/>
                <w:color w:val="auto"/>
                <w:sz w:val="24"/>
                <w:highlight w:val="none"/>
              </w:rPr>
            </w:pPr>
          </w:p>
        </w:tc>
        <w:tc>
          <w:tcPr>
            <w:tcW w:w="1444" w:type="dxa"/>
            <w:vAlign w:val="center"/>
          </w:tcPr>
          <w:p w14:paraId="182AED1F">
            <w:pPr>
              <w:spacing w:line="400" w:lineRule="exact"/>
              <w:jc w:val="center"/>
              <w:rPr>
                <w:rFonts w:hint="default" w:ascii="Times New Roman" w:hAnsi="Times New Roman" w:cs="Times New Roman"/>
                <w:color w:val="auto"/>
                <w:sz w:val="24"/>
                <w:highlight w:val="none"/>
              </w:rPr>
            </w:pPr>
          </w:p>
        </w:tc>
        <w:tc>
          <w:tcPr>
            <w:tcW w:w="1285" w:type="dxa"/>
            <w:vAlign w:val="center"/>
          </w:tcPr>
          <w:p w14:paraId="2AA786E5">
            <w:pPr>
              <w:spacing w:line="400" w:lineRule="exact"/>
              <w:jc w:val="center"/>
              <w:rPr>
                <w:rFonts w:hint="default" w:ascii="Times New Roman" w:hAnsi="Times New Roman" w:cs="Times New Roman"/>
                <w:color w:val="auto"/>
                <w:sz w:val="24"/>
                <w:highlight w:val="none"/>
              </w:rPr>
            </w:pPr>
          </w:p>
        </w:tc>
        <w:tc>
          <w:tcPr>
            <w:tcW w:w="1491" w:type="dxa"/>
            <w:vAlign w:val="center"/>
          </w:tcPr>
          <w:p w14:paraId="3F4D5B4F">
            <w:pPr>
              <w:spacing w:line="400" w:lineRule="exact"/>
              <w:jc w:val="center"/>
              <w:rPr>
                <w:rFonts w:hint="default" w:ascii="Times New Roman" w:hAnsi="Times New Roman" w:cs="Times New Roman"/>
                <w:color w:val="auto"/>
                <w:sz w:val="24"/>
                <w:highlight w:val="none"/>
              </w:rPr>
            </w:pPr>
          </w:p>
        </w:tc>
        <w:tc>
          <w:tcPr>
            <w:tcW w:w="1376" w:type="dxa"/>
            <w:tcBorders>
              <w:right w:val="single" w:color="auto" w:sz="4" w:space="0"/>
            </w:tcBorders>
            <w:vAlign w:val="center"/>
          </w:tcPr>
          <w:p w14:paraId="25E3B964">
            <w:pP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153FD5BE">
            <w:pPr>
              <w:spacing w:line="400" w:lineRule="exact"/>
              <w:jc w:val="center"/>
              <w:rPr>
                <w:rFonts w:hint="default" w:ascii="Times New Roman" w:hAnsi="Times New Roman" w:cs="Times New Roman"/>
                <w:color w:val="auto"/>
                <w:sz w:val="24"/>
                <w:highlight w:val="none"/>
              </w:rPr>
            </w:pPr>
          </w:p>
        </w:tc>
      </w:tr>
      <w:tr w14:paraId="6DCD8C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34AD6C20">
            <w:pPr>
              <w:spacing w:line="400" w:lineRule="exact"/>
              <w:jc w:val="center"/>
              <w:rPr>
                <w:rFonts w:hint="default" w:ascii="Times New Roman" w:hAnsi="Times New Roman" w:cs="Times New Roman"/>
                <w:color w:val="auto"/>
                <w:sz w:val="24"/>
                <w:highlight w:val="none"/>
              </w:rPr>
            </w:pPr>
          </w:p>
        </w:tc>
        <w:tc>
          <w:tcPr>
            <w:tcW w:w="1640" w:type="dxa"/>
            <w:tcBorders>
              <w:right w:val="single" w:color="auto" w:sz="4" w:space="0"/>
            </w:tcBorders>
            <w:vAlign w:val="center"/>
          </w:tcPr>
          <w:p w14:paraId="52CC55B8">
            <w:pPr>
              <w:spacing w:line="400" w:lineRule="exact"/>
              <w:jc w:val="center"/>
              <w:rPr>
                <w:rFonts w:hint="default" w:ascii="Times New Roman" w:hAnsi="Times New Roman" w:cs="Times New Roman"/>
                <w:color w:val="auto"/>
                <w:sz w:val="24"/>
                <w:highlight w:val="none"/>
              </w:rPr>
            </w:pPr>
          </w:p>
        </w:tc>
        <w:tc>
          <w:tcPr>
            <w:tcW w:w="1444" w:type="dxa"/>
            <w:tcBorders>
              <w:left w:val="single" w:color="auto" w:sz="4" w:space="0"/>
            </w:tcBorders>
            <w:vAlign w:val="center"/>
          </w:tcPr>
          <w:p w14:paraId="04CD0BAA">
            <w:pPr>
              <w:spacing w:line="400" w:lineRule="exact"/>
              <w:jc w:val="center"/>
              <w:rPr>
                <w:rFonts w:hint="default" w:ascii="Times New Roman" w:hAnsi="Times New Roman" w:cs="Times New Roman"/>
                <w:color w:val="auto"/>
                <w:sz w:val="24"/>
                <w:highlight w:val="none"/>
              </w:rPr>
            </w:pPr>
          </w:p>
        </w:tc>
        <w:tc>
          <w:tcPr>
            <w:tcW w:w="1285" w:type="dxa"/>
            <w:vAlign w:val="center"/>
          </w:tcPr>
          <w:p w14:paraId="4480DF54">
            <w:pPr>
              <w:spacing w:line="400" w:lineRule="exact"/>
              <w:jc w:val="center"/>
              <w:rPr>
                <w:rFonts w:hint="default" w:ascii="Times New Roman" w:hAnsi="Times New Roman" w:cs="Times New Roman"/>
                <w:color w:val="auto"/>
                <w:sz w:val="24"/>
                <w:highlight w:val="none"/>
              </w:rPr>
            </w:pPr>
          </w:p>
        </w:tc>
        <w:tc>
          <w:tcPr>
            <w:tcW w:w="1491" w:type="dxa"/>
            <w:vAlign w:val="center"/>
          </w:tcPr>
          <w:p w14:paraId="3C8E6D1F">
            <w:pPr>
              <w:spacing w:line="400" w:lineRule="exact"/>
              <w:jc w:val="center"/>
              <w:rPr>
                <w:rFonts w:hint="default" w:ascii="Times New Roman" w:hAnsi="Times New Roman" w:cs="Times New Roman"/>
                <w:color w:val="auto"/>
                <w:sz w:val="24"/>
                <w:highlight w:val="none"/>
              </w:rPr>
            </w:pPr>
          </w:p>
        </w:tc>
        <w:tc>
          <w:tcPr>
            <w:tcW w:w="1376" w:type="dxa"/>
            <w:tcBorders>
              <w:right w:val="single" w:color="auto" w:sz="4" w:space="0"/>
            </w:tcBorders>
            <w:vAlign w:val="center"/>
          </w:tcPr>
          <w:p w14:paraId="398B2645">
            <w:pP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348B9787">
            <w:pPr>
              <w:spacing w:line="400" w:lineRule="exact"/>
              <w:jc w:val="center"/>
              <w:rPr>
                <w:rFonts w:hint="default" w:ascii="Times New Roman" w:hAnsi="Times New Roman" w:cs="Times New Roman"/>
                <w:color w:val="auto"/>
                <w:sz w:val="24"/>
                <w:highlight w:val="none"/>
              </w:rPr>
            </w:pPr>
          </w:p>
        </w:tc>
      </w:tr>
      <w:tr w14:paraId="4C5EE6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tcBorders>
              <w:right w:val="single" w:color="auto" w:sz="4" w:space="0"/>
            </w:tcBorders>
            <w:vAlign w:val="center"/>
          </w:tcPr>
          <w:p w14:paraId="51F47814">
            <w:pPr>
              <w:spacing w:line="400" w:lineRule="exact"/>
              <w:rPr>
                <w:rFonts w:hint="default" w:ascii="Times New Roman" w:hAnsi="Times New Roman" w:cs="Times New Roman"/>
                <w:color w:val="auto"/>
                <w:sz w:val="24"/>
                <w:highlight w:val="none"/>
              </w:rPr>
            </w:pPr>
          </w:p>
        </w:tc>
        <w:tc>
          <w:tcPr>
            <w:tcW w:w="1640" w:type="dxa"/>
            <w:tcBorders>
              <w:left w:val="single" w:color="auto" w:sz="4" w:space="0"/>
              <w:right w:val="single" w:color="auto" w:sz="4" w:space="0"/>
            </w:tcBorders>
            <w:vAlign w:val="center"/>
          </w:tcPr>
          <w:p w14:paraId="7597FD84">
            <w:pPr>
              <w:spacing w:line="400" w:lineRule="exact"/>
              <w:rPr>
                <w:rFonts w:hint="default" w:ascii="Times New Roman" w:hAnsi="Times New Roman" w:cs="Times New Roman"/>
                <w:color w:val="auto"/>
                <w:sz w:val="24"/>
                <w:highlight w:val="none"/>
              </w:rPr>
            </w:pPr>
          </w:p>
        </w:tc>
        <w:tc>
          <w:tcPr>
            <w:tcW w:w="1444" w:type="dxa"/>
            <w:tcBorders>
              <w:left w:val="single" w:color="auto" w:sz="4" w:space="0"/>
              <w:right w:val="single" w:color="auto" w:sz="4" w:space="0"/>
            </w:tcBorders>
            <w:vAlign w:val="center"/>
          </w:tcPr>
          <w:p w14:paraId="4B66F69E">
            <w:pPr>
              <w:spacing w:line="400" w:lineRule="exact"/>
              <w:rPr>
                <w:rFonts w:hint="default" w:ascii="Times New Roman" w:hAnsi="Times New Roman" w:cs="Times New Roman"/>
                <w:color w:val="auto"/>
                <w:sz w:val="24"/>
                <w:highlight w:val="none"/>
              </w:rPr>
            </w:pPr>
          </w:p>
        </w:tc>
        <w:tc>
          <w:tcPr>
            <w:tcW w:w="1285" w:type="dxa"/>
            <w:tcBorders>
              <w:left w:val="single" w:color="auto" w:sz="4" w:space="0"/>
              <w:right w:val="single" w:color="auto" w:sz="4" w:space="0"/>
            </w:tcBorders>
            <w:vAlign w:val="center"/>
          </w:tcPr>
          <w:p w14:paraId="741623F2">
            <w:pPr>
              <w:spacing w:line="400" w:lineRule="exact"/>
              <w:rPr>
                <w:rFonts w:hint="default" w:ascii="Times New Roman" w:hAnsi="Times New Roman" w:cs="Times New Roman"/>
                <w:color w:val="auto"/>
                <w:sz w:val="24"/>
                <w:highlight w:val="none"/>
              </w:rPr>
            </w:pPr>
          </w:p>
        </w:tc>
        <w:tc>
          <w:tcPr>
            <w:tcW w:w="1491" w:type="dxa"/>
            <w:tcBorders>
              <w:left w:val="single" w:color="auto" w:sz="4" w:space="0"/>
              <w:right w:val="single" w:color="auto" w:sz="4" w:space="0"/>
            </w:tcBorders>
            <w:vAlign w:val="center"/>
          </w:tcPr>
          <w:p w14:paraId="773B3BCD">
            <w:pPr>
              <w:spacing w:line="400" w:lineRule="exact"/>
              <w:rPr>
                <w:rFonts w:hint="default" w:ascii="Times New Roman" w:hAnsi="Times New Roman" w:cs="Times New Roman"/>
                <w:color w:val="auto"/>
                <w:sz w:val="24"/>
                <w:highlight w:val="none"/>
              </w:rPr>
            </w:pPr>
          </w:p>
        </w:tc>
        <w:tc>
          <w:tcPr>
            <w:tcW w:w="1376" w:type="dxa"/>
            <w:tcBorders>
              <w:left w:val="single" w:color="auto" w:sz="4" w:space="0"/>
              <w:right w:val="single" w:color="auto" w:sz="4" w:space="0"/>
            </w:tcBorders>
            <w:vAlign w:val="center"/>
          </w:tcPr>
          <w:p w14:paraId="57A311E6">
            <w:pPr>
              <w:spacing w:line="400" w:lineRule="exact"/>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6C8428D5">
            <w:pPr>
              <w:spacing w:line="400" w:lineRule="exact"/>
              <w:rPr>
                <w:rFonts w:hint="default" w:ascii="Times New Roman" w:hAnsi="Times New Roman" w:cs="Times New Roman"/>
                <w:color w:val="auto"/>
                <w:sz w:val="24"/>
                <w:highlight w:val="none"/>
              </w:rPr>
            </w:pPr>
          </w:p>
        </w:tc>
      </w:tr>
      <w:tr w14:paraId="2FE0B8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3EF87072">
            <w:pPr>
              <w:spacing w:line="400" w:lineRule="exact"/>
              <w:rPr>
                <w:rFonts w:hint="default" w:ascii="Times New Roman" w:hAnsi="Times New Roman" w:cs="Times New Roman"/>
                <w:color w:val="auto"/>
                <w:sz w:val="24"/>
                <w:highlight w:val="none"/>
              </w:rPr>
            </w:pPr>
          </w:p>
        </w:tc>
        <w:tc>
          <w:tcPr>
            <w:tcW w:w="1640" w:type="dxa"/>
            <w:vAlign w:val="center"/>
          </w:tcPr>
          <w:p w14:paraId="062C0990">
            <w:pPr>
              <w:spacing w:line="400" w:lineRule="exact"/>
              <w:rPr>
                <w:rFonts w:hint="default" w:ascii="Times New Roman" w:hAnsi="Times New Roman" w:cs="Times New Roman"/>
                <w:color w:val="auto"/>
                <w:sz w:val="24"/>
                <w:highlight w:val="none"/>
              </w:rPr>
            </w:pPr>
          </w:p>
        </w:tc>
        <w:tc>
          <w:tcPr>
            <w:tcW w:w="1444" w:type="dxa"/>
            <w:vAlign w:val="center"/>
          </w:tcPr>
          <w:p w14:paraId="514B314E">
            <w:pPr>
              <w:spacing w:line="400" w:lineRule="exact"/>
              <w:rPr>
                <w:rFonts w:hint="default" w:ascii="Times New Roman" w:hAnsi="Times New Roman" w:cs="Times New Roman"/>
                <w:color w:val="auto"/>
                <w:sz w:val="24"/>
                <w:highlight w:val="none"/>
              </w:rPr>
            </w:pPr>
          </w:p>
        </w:tc>
        <w:tc>
          <w:tcPr>
            <w:tcW w:w="1285" w:type="dxa"/>
            <w:vAlign w:val="center"/>
          </w:tcPr>
          <w:p w14:paraId="1E820371">
            <w:pPr>
              <w:spacing w:line="400" w:lineRule="exact"/>
              <w:rPr>
                <w:rFonts w:hint="default" w:ascii="Times New Roman" w:hAnsi="Times New Roman" w:cs="Times New Roman"/>
                <w:color w:val="auto"/>
                <w:sz w:val="24"/>
                <w:highlight w:val="none"/>
              </w:rPr>
            </w:pPr>
          </w:p>
        </w:tc>
        <w:tc>
          <w:tcPr>
            <w:tcW w:w="1491" w:type="dxa"/>
            <w:tcBorders>
              <w:right w:val="single" w:color="auto" w:sz="4" w:space="0"/>
            </w:tcBorders>
            <w:vAlign w:val="center"/>
          </w:tcPr>
          <w:p w14:paraId="2A37631B">
            <w:pPr>
              <w:spacing w:line="400" w:lineRule="exact"/>
              <w:rPr>
                <w:rFonts w:hint="default" w:ascii="Times New Roman" w:hAnsi="Times New Roman" w:cs="Times New Roman"/>
                <w:color w:val="auto"/>
                <w:sz w:val="24"/>
                <w:highlight w:val="none"/>
              </w:rPr>
            </w:pPr>
          </w:p>
        </w:tc>
        <w:tc>
          <w:tcPr>
            <w:tcW w:w="1376" w:type="dxa"/>
            <w:tcBorders>
              <w:left w:val="single" w:color="auto" w:sz="4" w:space="0"/>
              <w:right w:val="single" w:color="auto" w:sz="4" w:space="0"/>
            </w:tcBorders>
            <w:vAlign w:val="center"/>
          </w:tcPr>
          <w:p w14:paraId="13C8F4B2">
            <w:pPr>
              <w:spacing w:line="400" w:lineRule="exact"/>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2A6FC5AF">
            <w:pPr>
              <w:spacing w:line="400" w:lineRule="exact"/>
              <w:rPr>
                <w:rFonts w:hint="default" w:ascii="Times New Roman" w:hAnsi="Times New Roman" w:cs="Times New Roman"/>
                <w:color w:val="auto"/>
                <w:sz w:val="24"/>
                <w:highlight w:val="none"/>
              </w:rPr>
            </w:pPr>
          </w:p>
        </w:tc>
      </w:tr>
      <w:tr w14:paraId="7F967B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50949C67">
            <w:pPr>
              <w:spacing w:line="400" w:lineRule="exact"/>
              <w:jc w:val="center"/>
              <w:rPr>
                <w:rFonts w:hint="default" w:ascii="Times New Roman" w:hAnsi="Times New Roman" w:cs="Times New Roman"/>
                <w:color w:val="auto"/>
                <w:sz w:val="24"/>
                <w:highlight w:val="none"/>
              </w:rPr>
            </w:pPr>
          </w:p>
        </w:tc>
        <w:tc>
          <w:tcPr>
            <w:tcW w:w="1640" w:type="dxa"/>
            <w:vAlign w:val="center"/>
          </w:tcPr>
          <w:p w14:paraId="051669A9">
            <w:pPr>
              <w:spacing w:line="400" w:lineRule="exact"/>
              <w:jc w:val="center"/>
              <w:rPr>
                <w:rFonts w:hint="default" w:ascii="Times New Roman" w:hAnsi="Times New Roman" w:cs="Times New Roman"/>
                <w:color w:val="auto"/>
                <w:sz w:val="24"/>
                <w:highlight w:val="none"/>
              </w:rPr>
            </w:pPr>
          </w:p>
        </w:tc>
        <w:tc>
          <w:tcPr>
            <w:tcW w:w="1444" w:type="dxa"/>
            <w:vAlign w:val="center"/>
          </w:tcPr>
          <w:p w14:paraId="3E8EE907">
            <w:pPr>
              <w:spacing w:line="400" w:lineRule="exact"/>
              <w:jc w:val="center"/>
              <w:rPr>
                <w:rFonts w:hint="default" w:ascii="Times New Roman" w:hAnsi="Times New Roman" w:cs="Times New Roman"/>
                <w:color w:val="auto"/>
                <w:sz w:val="24"/>
                <w:highlight w:val="none"/>
              </w:rPr>
            </w:pPr>
          </w:p>
        </w:tc>
        <w:tc>
          <w:tcPr>
            <w:tcW w:w="1285" w:type="dxa"/>
            <w:vAlign w:val="center"/>
          </w:tcPr>
          <w:p w14:paraId="57890238">
            <w:pPr>
              <w:spacing w:line="400" w:lineRule="exact"/>
              <w:jc w:val="center"/>
              <w:rPr>
                <w:rFonts w:hint="default" w:ascii="Times New Roman" w:hAnsi="Times New Roman" w:cs="Times New Roman"/>
                <w:color w:val="auto"/>
                <w:sz w:val="24"/>
                <w:highlight w:val="none"/>
              </w:rPr>
            </w:pPr>
          </w:p>
        </w:tc>
        <w:tc>
          <w:tcPr>
            <w:tcW w:w="1491" w:type="dxa"/>
            <w:tcBorders>
              <w:right w:val="single" w:color="auto" w:sz="4" w:space="0"/>
            </w:tcBorders>
            <w:vAlign w:val="center"/>
          </w:tcPr>
          <w:p w14:paraId="1B2E38F3">
            <w:pPr>
              <w:spacing w:line="400" w:lineRule="exact"/>
              <w:jc w:val="center"/>
              <w:rPr>
                <w:rFonts w:hint="default" w:ascii="Times New Roman" w:hAnsi="Times New Roman" w:cs="Times New Roman"/>
                <w:color w:val="auto"/>
                <w:sz w:val="24"/>
                <w:highlight w:val="none"/>
              </w:rPr>
            </w:pPr>
          </w:p>
        </w:tc>
        <w:tc>
          <w:tcPr>
            <w:tcW w:w="1376" w:type="dxa"/>
            <w:tcBorders>
              <w:left w:val="single" w:color="auto" w:sz="4" w:space="0"/>
              <w:right w:val="single" w:color="auto" w:sz="4" w:space="0"/>
            </w:tcBorders>
            <w:vAlign w:val="center"/>
          </w:tcPr>
          <w:p w14:paraId="28CDE38E">
            <w:pP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28DD674C">
            <w:pPr>
              <w:spacing w:line="400" w:lineRule="exact"/>
              <w:jc w:val="center"/>
              <w:rPr>
                <w:rFonts w:hint="default" w:ascii="Times New Roman" w:hAnsi="Times New Roman" w:cs="Times New Roman"/>
                <w:color w:val="auto"/>
                <w:sz w:val="24"/>
                <w:highlight w:val="none"/>
              </w:rPr>
            </w:pPr>
          </w:p>
        </w:tc>
      </w:tr>
      <w:tr w14:paraId="3D2DC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1C79E1C6">
            <w:pPr>
              <w:spacing w:line="400" w:lineRule="exact"/>
              <w:jc w:val="center"/>
              <w:rPr>
                <w:rFonts w:hint="default" w:ascii="Times New Roman" w:hAnsi="Times New Roman" w:cs="Times New Roman"/>
                <w:color w:val="auto"/>
                <w:sz w:val="24"/>
                <w:highlight w:val="none"/>
              </w:rPr>
            </w:pPr>
          </w:p>
        </w:tc>
        <w:tc>
          <w:tcPr>
            <w:tcW w:w="1640" w:type="dxa"/>
            <w:vAlign w:val="center"/>
          </w:tcPr>
          <w:p w14:paraId="53611B6F">
            <w:pPr>
              <w:spacing w:line="400" w:lineRule="exact"/>
              <w:jc w:val="center"/>
              <w:rPr>
                <w:rFonts w:hint="default" w:ascii="Times New Roman" w:hAnsi="Times New Roman" w:cs="Times New Roman"/>
                <w:color w:val="auto"/>
                <w:sz w:val="24"/>
                <w:highlight w:val="none"/>
              </w:rPr>
            </w:pPr>
          </w:p>
        </w:tc>
        <w:tc>
          <w:tcPr>
            <w:tcW w:w="1444" w:type="dxa"/>
            <w:vAlign w:val="center"/>
          </w:tcPr>
          <w:p w14:paraId="3A2E7377">
            <w:pPr>
              <w:spacing w:line="400" w:lineRule="exact"/>
              <w:jc w:val="center"/>
              <w:rPr>
                <w:rFonts w:hint="default" w:ascii="Times New Roman" w:hAnsi="Times New Roman" w:cs="Times New Roman"/>
                <w:color w:val="auto"/>
                <w:sz w:val="24"/>
                <w:highlight w:val="none"/>
              </w:rPr>
            </w:pPr>
          </w:p>
        </w:tc>
        <w:tc>
          <w:tcPr>
            <w:tcW w:w="1285" w:type="dxa"/>
            <w:vAlign w:val="center"/>
          </w:tcPr>
          <w:p w14:paraId="085346E5">
            <w:pPr>
              <w:spacing w:line="400" w:lineRule="exact"/>
              <w:jc w:val="center"/>
              <w:rPr>
                <w:rFonts w:hint="default" w:ascii="Times New Roman" w:hAnsi="Times New Roman" w:cs="Times New Roman"/>
                <w:color w:val="auto"/>
                <w:sz w:val="24"/>
                <w:highlight w:val="none"/>
              </w:rPr>
            </w:pPr>
          </w:p>
        </w:tc>
        <w:tc>
          <w:tcPr>
            <w:tcW w:w="1491" w:type="dxa"/>
            <w:tcBorders>
              <w:right w:val="single" w:color="auto" w:sz="4" w:space="0"/>
            </w:tcBorders>
            <w:vAlign w:val="center"/>
          </w:tcPr>
          <w:p w14:paraId="06529F20">
            <w:pPr>
              <w:spacing w:line="400" w:lineRule="exact"/>
              <w:jc w:val="center"/>
              <w:rPr>
                <w:rFonts w:hint="default" w:ascii="Times New Roman" w:hAnsi="Times New Roman" w:cs="Times New Roman"/>
                <w:color w:val="auto"/>
                <w:sz w:val="24"/>
                <w:highlight w:val="none"/>
              </w:rPr>
            </w:pPr>
          </w:p>
        </w:tc>
        <w:tc>
          <w:tcPr>
            <w:tcW w:w="1376" w:type="dxa"/>
            <w:tcBorders>
              <w:left w:val="single" w:color="auto" w:sz="4" w:space="0"/>
              <w:right w:val="single" w:color="auto" w:sz="4" w:space="0"/>
            </w:tcBorders>
            <w:vAlign w:val="center"/>
          </w:tcPr>
          <w:p w14:paraId="1E43262D">
            <w:pP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7EB35E6F">
            <w:pPr>
              <w:spacing w:line="400" w:lineRule="exact"/>
              <w:jc w:val="center"/>
              <w:rPr>
                <w:rFonts w:hint="default" w:ascii="Times New Roman" w:hAnsi="Times New Roman" w:cs="Times New Roman"/>
                <w:color w:val="auto"/>
                <w:sz w:val="24"/>
                <w:highlight w:val="none"/>
              </w:rPr>
            </w:pPr>
          </w:p>
        </w:tc>
      </w:tr>
      <w:tr w14:paraId="7CBF4A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7" w:type="dxa"/>
            <w:tcBorders>
              <w:bottom w:val="single" w:color="auto" w:sz="4" w:space="0"/>
            </w:tcBorders>
            <w:vAlign w:val="center"/>
          </w:tcPr>
          <w:p w14:paraId="1F5E9831">
            <w:pPr>
              <w:spacing w:line="400" w:lineRule="exact"/>
              <w:jc w:val="center"/>
              <w:rPr>
                <w:rFonts w:hint="default" w:ascii="Times New Roman" w:hAnsi="Times New Roman" w:cs="Times New Roman"/>
                <w:color w:val="auto"/>
                <w:sz w:val="24"/>
                <w:highlight w:val="none"/>
              </w:rPr>
            </w:pPr>
          </w:p>
        </w:tc>
        <w:tc>
          <w:tcPr>
            <w:tcW w:w="1640" w:type="dxa"/>
            <w:tcBorders>
              <w:bottom w:val="single" w:color="auto" w:sz="4" w:space="0"/>
            </w:tcBorders>
            <w:vAlign w:val="center"/>
          </w:tcPr>
          <w:p w14:paraId="27FFA049">
            <w:pPr>
              <w:spacing w:line="400" w:lineRule="exact"/>
              <w:jc w:val="center"/>
              <w:rPr>
                <w:rFonts w:hint="default" w:ascii="Times New Roman" w:hAnsi="Times New Roman" w:cs="Times New Roman"/>
                <w:color w:val="auto"/>
                <w:sz w:val="24"/>
                <w:highlight w:val="none"/>
              </w:rPr>
            </w:pPr>
          </w:p>
        </w:tc>
        <w:tc>
          <w:tcPr>
            <w:tcW w:w="1444" w:type="dxa"/>
            <w:tcBorders>
              <w:bottom w:val="single" w:color="auto" w:sz="4" w:space="0"/>
            </w:tcBorders>
            <w:vAlign w:val="center"/>
          </w:tcPr>
          <w:p w14:paraId="11D5AE0C">
            <w:pPr>
              <w:spacing w:line="400" w:lineRule="exact"/>
              <w:jc w:val="center"/>
              <w:rPr>
                <w:rFonts w:hint="default" w:ascii="Times New Roman" w:hAnsi="Times New Roman" w:cs="Times New Roman"/>
                <w:color w:val="auto"/>
                <w:sz w:val="24"/>
                <w:highlight w:val="none"/>
              </w:rPr>
            </w:pPr>
          </w:p>
        </w:tc>
        <w:tc>
          <w:tcPr>
            <w:tcW w:w="1285" w:type="dxa"/>
            <w:tcBorders>
              <w:bottom w:val="single" w:color="auto" w:sz="4" w:space="0"/>
            </w:tcBorders>
            <w:vAlign w:val="center"/>
          </w:tcPr>
          <w:p w14:paraId="712D8941">
            <w:pPr>
              <w:spacing w:line="400" w:lineRule="exact"/>
              <w:jc w:val="center"/>
              <w:rPr>
                <w:rFonts w:hint="default" w:ascii="Times New Roman" w:hAnsi="Times New Roman" w:cs="Times New Roman"/>
                <w:color w:val="auto"/>
                <w:sz w:val="24"/>
                <w:highlight w:val="none"/>
              </w:rPr>
            </w:pPr>
          </w:p>
        </w:tc>
        <w:tc>
          <w:tcPr>
            <w:tcW w:w="1491" w:type="dxa"/>
            <w:tcBorders>
              <w:bottom w:val="single" w:color="auto" w:sz="4" w:space="0"/>
              <w:right w:val="single" w:color="auto" w:sz="4" w:space="0"/>
            </w:tcBorders>
            <w:vAlign w:val="center"/>
          </w:tcPr>
          <w:p w14:paraId="5EAE5240">
            <w:pPr>
              <w:spacing w:line="400" w:lineRule="exact"/>
              <w:jc w:val="center"/>
              <w:rPr>
                <w:rFonts w:hint="default" w:ascii="Times New Roman" w:hAnsi="Times New Roman" w:cs="Times New Roman"/>
                <w:color w:val="auto"/>
                <w:sz w:val="24"/>
                <w:highlight w:val="none"/>
              </w:rPr>
            </w:pPr>
          </w:p>
        </w:tc>
        <w:tc>
          <w:tcPr>
            <w:tcW w:w="1376" w:type="dxa"/>
            <w:tcBorders>
              <w:left w:val="single" w:color="auto" w:sz="4" w:space="0"/>
              <w:bottom w:val="single" w:color="auto" w:sz="4" w:space="0"/>
              <w:right w:val="single" w:color="auto" w:sz="4" w:space="0"/>
            </w:tcBorders>
            <w:vAlign w:val="center"/>
          </w:tcPr>
          <w:p w14:paraId="72BC10D4">
            <w:pP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bottom w:val="single" w:color="auto" w:sz="4" w:space="0"/>
            </w:tcBorders>
            <w:vAlign w:val="center"/>
          </w:tcPr>
          <w:p w14:paraId="6F98EB0E">
            <w:pPr>
              <w:spacing w:line="400" w:lineRule="exact"/>
              <w:jc w:val="center"/>
              <w:rPr>
                <w:rFonts w:hint="default" w:ascii="Times New Roman" w:hAnsi="Times New Roman" w:cs="Times New Roman"/>
                <w:color w:val="auto"/>
                <w:sz w:val="24"/>
                <w:highlight w:val="none"/>
              </w:rPr>
            </w:pPr>
          </w:p>
        </w:tc>
      </w:tr>
      <w:tr w14:paraId="0FC51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7" w:type="dxa"/>
            <w:tcBorders>
              <w:top w:val="single" w:color="auto" w:sz="4" w:space="0"/>
              <w:bottom w:val="single" w:color="auto" w:sz="4" w:space="0"/>
            </w:tcBorders>
            <w:vAlign w:val="center"/>
          </w:tcPr>
          <w:p w14:paraId="119D5D73">
            <w:pPr>
              <w:spacing w:line="400" w:lineRule="exact"/>
              <w:jc w:val="center"/>
              <w:rPr>
                <w:rFonts w:hint="default" w:ascii="Times New Roman" w:hAnsi="Times New Roman" w:cs="Times New Roman"/>
                <w:color w:val="auto"/>
                <w:sz w:val="24"/>
                <w:highlight w:val="none"/>
              </w:rPr>
            </w:pPr>
          </w:p>
        </w:tc>
        <w:tc>
          <w:tcPr>
            <w:tcW w:w="1640" w:type="dxa"/>
            <w:tcBorders>
              <w:top w:val="single" w:color="auto" w:sz="4" w:space="0"/>
              <w:bottom w:val="single" w:color="auto" w:sz="4" w:space="0"/>
            </w:tcBorders>
            <w:vAlign w:val="center"/>
          </w:tcPr>
          <w:p w14:paraId="1186EEF7">
            <w:pPr>
              <w:spacing w:line="400" w:lineRule="exact"/>
              <w:jc w:val="center"/>
              <w:rPr>
                <w:rFonts w:hint="default" w:ascii="Times New Roman" w:hAnsi="Times New Roman" w:cs="Times New Roman"/>
                <w:color w:val="auto"/>
                <w:sz w:val="24"/>
                <w:highlight w:val="none"/>
              </w:rPr>
            </w:pPr>
          </w:p>
        </w:tc>
        <w:tc>
          <w:tcPr>
            <w:tcW w:w="1444" w:type="dxa"/>
            <w:tcBorders>
              <w:top w:val="single" w:color="auto" w:sz="4" w:space="0"/>
              <w:bottom w:val="single" w:color="auto" w:sz="4" w:space="0"/>
            </w:tcBorders>
            <w:vAlign w:val="center"/>
          </w:tcPr>
          <w:p w14:paraId="7FBEC242">
            <w:pPr>
              <w:spacing w:line="400" w:lineRule="exact"/>
              <w:jc w:val="center"/>
              <w:rPr>
                <w:rFonts w:hint="default" w:ascii="Times New Roman" w:hAnsi="Times New Roman" w:cs="Times New Roman"/>
                <w:color w:val="auto"/>
                <w:sz w:val="24"/>
                <w:highlight w:val="none"/>
              </w:rPr>
            </w:pPr>
          </w:p>
        </w:tc>
        <w:tc>
          <w:tcPr>
            <w:tcW w:w="1285" w:type="dxa"/>
            <w:tcBorders>
              <w:top w:val="single" w:color="auto" w:sz="4" w:space="0"/>
              <w:bottom w:val="single" w:color="auto" w:sz="4" w:space="0"/>
            </w:tcBorders>
            <w:vAlign w:val="center"/>
          </w:tcPr>
          <w:p w14:paraId="4782A610">
            <w:pPr>
              <w:spacing w:line="400" w:lineRule="exact"/>
              <w:jc w:val="center"/>
              <w:rPr>
                <w:rFonts w:hint="default" w:ascii="Times New Roman" w:hAnsi="Times New Roman" w:cs="Times New Roman"/>
                <w:color w:val="auto"/>
                <w:sz w:val="24"/>
                <w:highlight w:val="none"/>
              </w:rPr>
            </w:pPr>
          </w:p>
        </w:tc>
        <w:tc>
          <w:tcPr>
            <w:tcW w:w="1491" w:type="dxa"/>
            <w:tcBorders>
              <w:top w:val="single" w:color="auto" w:sz="4" w:space="0"/>
              <w:bottom w:val="single" w:color="auto" w:sz="4" w:space="0"/>
              <w:right w:val="single" w:color="auto" w:sz="4" w:space="0"/>
            </w:tcBorders>
            <w:vAlign w:val="center"/>
          </w:tcPr>
          <w:p w14:paraId="4365624B">
            <w:pPr>
              <w:spacing w:line="400" w:lineRule="exact"/>
              <w:jc w:val="center"/>
              <w:rPr>
                <w:rFonts w:hint="default" w:ascii="Times New Roman" w:hAnsi="Times New Roman" w:cs="Times New Roman"/>
                <w:color w:val="auto"/>
                <w:sz w:val="24"/>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7E2D7F5D">
            <w:pPr>
              <w:spacing w:line="400" w:lineRule="exact"/>
              <w:jc w:val="center"/>
              <w:rPr>
                <w:rFonts w:hint="default" w:ascii="Times New Roman" w:hAnsi="Times New Roman" w:cs="Times New Roman"/>
                <w:color w:val="auto"/>
                <w:sz w:val="24"/>
                <w:highlight w:val="none"/>
              </w:rPr>
            </w:pPr>
          </w:p>
        </w:tc>
        <w:tc>
          <w:tcPr>
            <w:tcW w:w="1105" w:type="dxa"/>
            <w:tcBorders>
              <w:top w:val="single" w:color="auto" w:sz="4" w:space="0"/>
              <w:left w:val="single" w:color="auto" w:sz="4" w:space="0"/>
              <w:bottom w:val="single" w:color="auto" w:sz="4" w:space="0"/>
            </w:tcBorders>
            <w:vAlign w:val="center"/>
          </w:tcPr>
          <w:p w14:paraId="180C380B">
            <w:pPr>
              <w:spacing w:line="400" w:lineRule="exact"/>
              <w:jc w:val="center"/>
              <w:rPr>
                <w:rFonts w:hint="default" w:ascii="Times New Roman" w:hAnsi="Times New Roman" w:cs="Times New Roman"/>
                <w:color w:val="auto"/>
                <w:sz w:val="24"/>
                <w:highlight w:val="none"/>
              </w:rPr>
            </w:pPr>
          </w:p>
        </w:tc>
      </w:tr>
      <w:tr w14:paraId="75CD13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7" w:type="dxa"/>
            <w:tcBorders>
              <w:top w:val="single" w:color="auto" w:sz="4" w:space="0"/>
              <w:bottom w:val="single" w:color="auto" w:sz="4" w:space="0"/>
            </w:tcBorders>
            <w:vAlign w:val="center"/>
          </w:tcPr>
          <w:p w14:paraId="6B84E5E6">
            <w:pPr>
              <w:spacing w:line="400" w:lineRule="exact"/>
              <w:jc w:val="center"/>
              <w:rPr>
                <w:rFonts w:hint="default" w:ascii="Times New Roman" w:hAnsi="Times New Roman" w:cs="Times New Roman"/>
                <w:color w:val="auto"/>
                <w:sz w:val="24"/>
                <w:highlight w:val="none"/>
              </w:rPr>
            </w:pPr>
          </w:p>
        </w:tc>
        <w:tc>
          <w:tcPr>
            <w:tcW w:w="1640" w:type="dxa"/>
            <w:tcBorders>
              <w:top w:val="single" w:color="auto" w:sz="4" w:space="0"/>
              <w:bottom w:val="single" w:color="auto" w:sz="4" w:space="0"/>
            </w:tcBorders>
            <w:vAlign w:val="center"/>
          </w:tcPr>
          <w:p w14:paraId="72D06A80">
            <w:pPr>
              <w:spacing w:line="400" w:lineRule="exact"/>
              <w:jc w:val="center"/>
              <w:rPr>
                <w:rFonts w:hint="default" w:ascii="Times New Roman" w:hAnsi="Times New Roman" w:cs="Times New Roman"/>
                <w:color w:val="auto"/>
                <w:sz w:val="24"/>
                <w:highlight w:val="none"/>
              </w:rPr>
            </w:pPr>
          </w:p>
        </w:tc>
        <w:tc>
          <w:tcPr>
            <w:tcW w:w="1444" w:type="dxa"/>
            <w:tcBorders>
              <w:top w:val="single" w:color="auto" w:sz="4" w:space="0"/>
              <w:bottom w:val="single" w:color="auto" w:sz="4" w:space="0"/>
            </w:tcBorders>
            <w:vAlign w:val="center"/>
          </w:tcPr>
          <w:p w14:paraId="25EC9FBF">
            <w:pPr>
              <w:spacing w:line="400" w:lineRule="exact"/>
              <w:jc w:val="center"/>
              <w:rPr>
                <w:rFonts w:hint="default" w:ascii="Times New Roman" w:hAnsi="Times New Roman" w:cs="Times New Roman"/>
                <w:color w:val="auto"/>
                <w:sz w:val="24"/>
                <w:highlight w:val="none"/>
              </w:rPr>
            </w:pPr>
          </w:p>
        </w:tc>
        <w:tc>
          <w:tcPr>
            <w:tcW w:w="1285" w:type="dxa"/>
            <w:tcBorders>
              <w:top w:val="single" w:color="auto" w:sz="4" w:space="0"/>
              <w:bottom w:val="single" w:color="auto" w:sz="4" w:space="0"/>
            </w:tcBorders>
            <w:vAlign w:val="center"/>
          </w:tcPr>
          <w:p w14:paraId="430D0657">
            <w:pPr>
              <w:spacing w:line="400" w:lineRule="exact"/>
              <w:jc w:val="center"/>
              <w:rPr>
                <w:rFonts w:hint="default" w:ascii="Times New Roman" w:hAnsi="Times New Roman" w:cs="Times New Roman"/>
                <w:color w:val="auto"/>
                <w:sz w:val="24"/>
                <w:highlight w:val="none"/>
              </w:rPr>
            </w:pPr>
          </w:p>
        </w:tc>
        <w:tc>
          <w:tcPr>
            <w:tcW w:w="1491" w:type="dxa"/>
            <w:tcBorders>
              <w:top w:val="single" w:color="auto" w:sz="4" w:space="0"/>
              <w:bottom w:val="single" w:color="auto" w:sz="4" w:space="0"/>
              <w:right w:val="single" w:color="auto" w:sz="4" w:space="0"/>
            </w:tcBorders>
            <w:vAlign w:val="center"/>
          </w:tcPr>
          <w:p w14:paraId="0EFCDAC6">
            <w:pPr>
              <w:spacing w:line="400" w:lineRule="exact"/>
              <w:jc w:val="center"/>
              <w:rPr>
                <w:rFonts w:hint="default" w:ascii="Times New Roman" w:hAnsi="Times New Roman" w:cs="Times New Roman"/>
                <w:color w:val="auto"/>
                <w:sz w:val="24"/>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350C6054">
            <w:pPr>
              <w:spacing w:line="400" w:lineRule="exact"/>
              <w:jc w:val="center"/>
              <w:rPr>
                <w:rFonts w:hint="default" w:ascii="Times New Roman" w:hAnsi="Times New Roman" w:cs="Times New Roman"/>
                <w:color w:val="auto"/>
                <w:sz w:val="24"/>
                <w:highlight w:val="none"/>
              </w:rPr>
            </w:pPr>
          </w:p>
        </w:tc>
        <w:tc>
          <w:tcPr>
            <w:tcW w:w="1105" w:type="dxa"/>
            <w:tcBorders>
              <w:top w:val="single" w:color="auto" w:sz="4" w:space="0"/>
              <w:left w:val="single" w:color="auto" w:sz="4" w:space="0"/>
              <w:bottom w:val="single" w:color="auto" w:sz="4" w:space="0"/>
            </w:tcBorders>
            <w:vAlign w:val="center"/>
          </w:tcPr>
          <w:p w14:paraId="1E64CD52">
            <w:pPr>
              <w:spacing w:line="400" w:lineRule="exact"/>
              <w:jc w:val="center"/>
              <w:rPr>
                <w:rFonts w:hint="default" w:ascii="Times New Roman" w:hAnsi="Times New Roman" w:cs="Times New Roman"/>
                <w:color w:val="auto"/>
                <w:sz w:val="24"/>
                <w:highlight w:val="none"/>
              </w:rPr>
            </w:pPr>
          </w:p>
        </w:tc>
      </w:tr>
      <w:tr w14:paraId="4366D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7" w:type="dxa"/>
            <w:tcBorders>
              <w:top w:val="single" w:color="auto" w:sz="4" w:space="0"/>
              <w:bottom w:val="single" w:color="auto" w:sz="4" w:space="0"/>
            </w:tcBorders>
            <w:vAlign w:val="center"/>
          </w:tcPr>
          <w:p w14:paraId="1A982FF6">
            <w:pPr>
              <w:spacing w:line="400" w:lineRule="exact"/>
              <w:jc w:val="center"/>
              <w:rPr>
                <w:rFonts w:hint="default" w:ascii="Times New Roman" w:hAnsi="Times New Roman" w:cs="Times New Roman"/>
                <w:color w:val="auto"/>
                <w:sz w:val="24"/>
                <w:highlight w:val="none"/>
              </w:rPr>
            </w:pPr>
          </w:p>
        </w:tc>
        <w:tc>
          <w:tcPr>
            <w:tcW w:w="1640" w:type="dxa"/>
            <w:tcBorders>
              <w:top w:val="single" w:color="auto" w:sz="4" w:space="0"/>
              <w:bottom w:val="single" w:color="auto" w:sz="4" w:space="0"/>
            </w:tcBorders>
            <w:vAlign w:val="center"/>
          </w:tcPr>
          <w:p w14:paraId="290B03BD">
            <w:pPr>
              <w:spacing w:line="400" w:lineRule="exact"/>
              <w:jc w:val="center"/>
              <w:rPr>
                <w:rFonts w:hint="default" w:ascii="Times New Roman" w:hAnsi="Times New Roman" w:cs="Times New Roman"/>
                <w:color w:val="auto"/>
                <w:sz w:val="24"/>
                <w:highlight w:val="none"/>
              </w:rPr>
            </w:pPr>
          </w:p>
        </w:tc>
        <w:tc>
          <w:tcPr>
            <w:tcW w:w="1444" w:type="dxa"/>
            <w:tcBorders>
              <w:top w:val="single" w:color="auto" w:sz="4" w:space="0"/>
              <w:bottom w:val="single" w:color="auto" w:sz="4" w:space="0"/>
            </w:tcBorders>
            <w:vAlign w:val="center"/>
          </w:tcPr>
          <w:p w14:paraId="61E2F71B">
            <w:pPr>
              <w:spacing w:line="400" w:lineRule="exact"/>
              <w:jc w:val="center"/>
              <w:rPr>
                <w:rFonts w:hint="default" w:ascii="Times New Roman" w:hAnsi="Times New Roman" w:cs="Times New Roman"/>
                <w:color w:val="auto"/>
                <w:sz w:val="24"/>
                <w:highlight w:val="none"/>
              </w:rPr>
            </w:pPr>
          </w:p>
        </w:tc>
        <w:tc>
          <w:tcPr>
            <w:tcW w:w="1285" w:type="dxa"/>
            <w:tcBorders>
              <w:top w:val="single" w:color="auto" w:sz="4" w:space="0"/>
              <w:bottom w:val="single" w:color="auto" w:sz="4" w:space="0"/>
            </w:tcBorders>
            <w:vAlign w:val="center"/>
          </w:tcPr>
          <w:p w14:paraId="299078F4">
            <w:pPr>
              <w:spacing w:line="400" w:lineRule="exact"/>
              <w:jc w:val="center"/>
              <w:rPr>
                <w:rFonts w:hint="default" w:ascii="Times New Roman" w:hAnsi="Times New Roman" w:cs="Times New Roman"/>
                <w:color w:val="auto"/>
                <w:sz w:val="24"/>
                <w:highlight w:val="none"/>
              </w:rPr>
            </w:pPr>
          </w:p>
        </w:tc>
        <w:tc>
          <w:tcPr>
            <w:tcW w:w="1491" w:type="dxa"/>
            <w:tcBorders>
              <w:top w:val="single" w:color="auto" w:sz="4" w:space="0"/>
              <w:bottom w:val="single" w:color="auto" w:sz="4" w:space="0"/>
              <w:right w:val="single" w:color="auto" w:sz="4" w:space="0"/>
            </w:tcBorders>
            <w:vAlign w:val="center"/>
          </w:tcPr>
          <w:p w14:paraId="0D7EE0E4">
            <w:pPr>
              <w:spacing w:line="400" w:lineRule="exact"/>
              <w:jc w:val="center"/>
              <w:rPr>
                <w:rFonts w:hint="default" w:ascii="Times New Roman" w:hAnsi="Times New Roman" w:cs="Times New Roman"/>
                <w:color w:val="auto"/>
                <w:sz w:val="24"/>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0D9EA31D">
            <w:pPr>
              <w:spacing w:line="400" w:lineRule="exact"/>
              <w:jc w:val="center"/>
              <w:rPr>
                <w:rFonts w:hint="default" w:ascii="Times New Roman" w:hAnsi="Times New Roman" w:cs="Times New Roman"/>
                <w:color w:val="auto"/>
                <w:sz w:val="24"/>
                <w:highlight w:val="none"/>
              </w:rPr>
            </w:pPr>
          </w:p>
        </w:tc>
        <w:tc>
          <w:tcPr>
            <w:tcW w:w="1105" w:type="dxa"/>
            <w:tcBorders>
              <w:top w:val="single" w:color="auto" w:sz="4" w:space="0"/>
              <w:left w:val="single" w:color="auto" w:sz="4" w:space="0"/>
              <w:bottom w:val="single" w:color="auto" w:sz="4" w:space="0"/>
            </w:tcBorders>
            <w:vAlign w:val="center"/>
          </w:tcPr>
          <w:p w14:paraId="076446E1">
            <w:pPr>
              <w:spacing w:line="400" w:lineRule="exact"/>
              <w:jc w:val="center"/>
              <w:rPr>
                <w:rFonts w:hint="default" w:ascii="Times New Roman" w:hAnsi="Times New Roman" w:cs="Times New Roman"/>
                <w:color w:val="auto"/>
                <w:sz w:val="24"/>
                <w:highlight w:val="none"/>
              </w:rPr>
            </w:pPr>
          </w:p>
        </w:tc>
      </w:tr>
      <w:tr w14:paraId="7AB364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7" w:type="dxa"/>
            <w:tcBorders>
              <w:top w:val="single" w:color="auto" w:sz="4" w:space="0"/>
            </w:tcBorders>
            <w:vAlign w:val="center"/>
          </w:tcPr>
          <w:p w14:paraId="0641C277">
            <w:pPr>
              <w:spacing w:line="400" w:lineRule="exact"/>
              <w:jc w:val="center"/>
              <w:rPr>
                <w:rFonts w:hint="default" w:ascii="Times New Roman" w:hAnsi="Times New Roman" w:cs="Times New Roman"/>
                <w:color w:val="auto"/>
                <w:sz w:val="24"/>
                <w:highlight w:val="none"/>
              </w:rPr>
            </w:pPr>
          </w:p>
        </w:tc>
        <w:tc>
          <w:tcPr>
            <w:tcW w:w="1640" w:type="dxa"/>
            <w:tcBorders>
              <w:top w:val="single" w:color="auto" w:sz="4" w:space="0"/>
            </w:tcBorders>
            <w:vAlign w:val="center"/>
          </w:tcPr>
          <w:p w14:paraId="3FCCC8B6">
            <w:pPr>
              <w:spacing w:line="400" w:lineRule="exact"/>
              <w:jc w:val="center"/>
              <w:rPr>
                <w:rFonts w:hint="default" w:ascii="Times New Roman" w:hAnsi="Times New Roman" w:cs="Times New Roman"/>
                <w:color w:val="auto"/>
                <w:sz w:val="24"/>
                <w:highlight w:val="none"/>
              </w:rPr>
            </w:pPr>
          </w:p>
        </w:tc>
        <w:tc>
          <w:tcPr>
            <w:tcW w:w="1444" w:type="dxa"/>
            <w:tcBorders>
              <w:top w:val="single" w:color="auto" w:sz="4" w:space="0"/>
            </w:tcBorders>
            <w:vAlign w:val="center"/>
          </w:tcPr>
          <w:p w14:paraId="2CC8ACA9">
            <w:pPr>
              <w:spacing w:line="400" w:lineRule="exact"/>
              <w:jc w:val="center"/>
              <w:rPr>
                <w:rFonts w:hint="default" w:ascii="Times New Roman" w:hAnsi="Times New Roman" w:cs="Times New Roman"/>
                <w:color w:val="auto"/>
                <w:sz w:val="24"/>
                <w:highlight w:val="none"/>
              </w:rPr>
            </w:pPr>
          </w:p>
        </w:tc>
        <w:tc>
          <w:tcPr>
            <w:tcW w:w="1285" w:type="dxa"/>
            <w:tcBorders>
              <w:top w:val="single" w:color="auto" w:sz="4" w:space="0"/>
            </w:tcBorders>
            <w:vAlign w:val="center"/>
          </w:tcPr>
          <w:p w14:paraId="54E8E7CE">
            <w:pPr>
              <w:spacing w:line="400" w:lineRule="exact"/>
              <w:jc w:val="center"/>
              <w:rPr>
                <w:rFonts w:hint="default" w:ascii="Times New Roman" w:hAnsi="Times New Roman" w:cs="Times New Roman"/>
                <w:color w:val="auto"/>
                <w:sz w:val="24"/>
                <w:highlight w:val="none"/>
              </w:rPr>
            </w:pPr>
          </w:p>
        </w:tc>
        <w:tc>
          <w:tcPr>
            <w:tcW w:w="1491" w:type="dxa"/>
            <w:tcBorders>
              <w:top w:val="single" w:color="auto" w:sz="4" w:space="0"/>
              <w:right w:val="single" w:color="auto" w:sz="4" w:space="0"/>
            </w:tcBorders>
            <w:vAlign w:val="center"/>
          </w:tcPr>
          <w:p w14:paraId="39552908">
            <w:pPr>
              <w:spacing w:line="400" w:lineRule="exact"/>
              <w:jc w:val="center"/>
              <w:rPr>
                <w:rFonts w:hint="default" w:ascii="Times New Roman" w:hAnsi="Times New Roman" w:cs="Times New Roman"/>
                <w:color w:val="auto"/>
                <w:sz w:val="24"/>
                <w:highlight w:val="none"/>
              </w:rPr>
            </w:pPr>
          </w:p>
        </w:tc>
        <w:tc>
          <w:tcPr>
            <w:tcW w:w="1376" w:type="dxa"/>
            <w:tcBorders>
              <w:top w:val="single" w:color="auto" w:sz="4" w:space="0"/>
              <w:left w:val="single" w:color="auto" w:sz="4" w:space="0"/>
              <w:right w:val="single" w:color="auto" w:sz="4" w:space="0"/>
            </w:tcBorders>
            <w:vAlign w:val="center"/>
          </w:tcPr>
          <w:p w14:paraId="5E63FE65">
            <w:pPr>
              <w:spacing w:line="400" w:lineRule="exact"/>
              <w:jc w:val="center"/>
              <w:rPr>
                <w:rFonts w:hint="default" w:ascii="Times New Roman" w:hAnsi="Times New Roman" w:cs="Times New Roman"/>
                <w:color w:val="auto"/>
                <w:sz w:val="24"/>
                <w:highlight w:val="none"/>
              </w:rPr>
            </w:pPr>
          </w:p>
        </w:tc>
        <w:tc>
          <w:tcPr>
            <w:tcW w:w="1105" w:type="dxa"/>
            <w:tcBorders>
              <w:top w:val="single" w:color="auto" w:sz="4" w:space="0"/>
              <w:left w:val="single" w:color="auto" w:sz="4" w:space="0"/>
            </w:tcBorders>
            <w:vAlign w:val="center"/>
          </w:tcPr>
          <w:p w14:paraId="526FA1D2">
            <w:pPr>
              <w:spacing w:line="400" w:lineRule="exact"/>
              <w:jc w:val="center"/>
              <w:rPr>
                <w:rFonts w:hint="default" w:ascii="Times New Roman" w:hAnsi="Times New Roman" w:cs="Times New Roman"/>
                <w:color w:val="auto"/>
                <w:sz w:val="24"/>
                <w:highlight w:val="none"/>
              </w:rPr>
            </w:pPr>
          </w:p>
        </w:tc>
      </w:tr>
    </w:tbl>
    <w:p w14:paraId="3728197F">
      <w:pPr>
        <w:tabs>
          <w:tab w:val="left" w:pos="555"/>
          <w:tab w:val="left" w:pos="2214"/>
          <w:tab w:val="left" w:pos="3774"/>
          <w:tab w:val="left" w:pos="4854"/>
          <w:tab w:val="left" w:pos="5934"/>
          <w:tab w:val="left" w:pos="7014"/>
          <w:tab w:val="left" w:pos="8214"/>
          <w:tab w:val="left" w:pos="10134"/>
          <w:tab w:val="left" w:pos="11124"/>
        </w:tabs>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注：</w:t>
      </w:r>
      <w:bookmarkStart w:id="414" w:name="_Hlk535237100"/>
      <w:r>
        <w:rPr>
          <w:rFonts w:hint="default" w:ascii="Times New Roman" w:hAnsi="Times New Roman" w:cs="Times New Roman"/>
          <w:b/>
          <w:bCs/>
          <w:color w:val="auto"/>
          <w:sz w:val="24"/>
          <w:highlight w:val="none"/>
        </w:rPr>
        <w:t>以上业绩需提供招标文件要求的有关书面证明材料。</w:t>
      </w:r>
      <w:bookmarkEnd w:id="414"/>
    </w:p>
    <w:p w14:paraId="295AD82E">
      <w:pPr>
        <w:spacing w:line="400" w:lineRule="exact"/>
        <w:rPr>
          <w:rFonts w:hint="default" w:ascii="Times New Roman" w:hAnsi="Times New Roman" w:cs="Times New Roman"/>
          <w:color w:val="auto"/>
          <w:sz w:val="24"/>
          <w:highlight w:val="none"/>
        </w:rPr>
      </w:pPr>
    </w:p>
    <w:p w14:paraId="1B03EF23">
      <w:pPr>
        <w:adjustRightInd w:val="0"/>
        <w:spacing w:line="40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  （盖章）</w:t>
      </w:r>
    </w:p>
    <w:p w14:paraId="17ED6062">
      <w:pPr>
        <w:adjustRightInd w:val="0"/>
        <w:spacing w:line="40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w:t>
      </w:r>
      <w:r>
        <w:rPr>
          <w:rFonts w:hint="default" w:ascii="Times New Roman" w:hAnsi="Times New Roman" w:cs="Times New Roman"/>
          <w:bCs/>
          <w:color w:val="auto"/>
          <w:sz w:val="24"/>
          <w:highlight w:val="none"/>
        </w:rPr>
        <w:t>：</w:t>
      </w:r>
      <w:r>
        <w:rPr>
          <w:rFonts w:hint="default" w:ascii="Times New Roman" w:hAnsi="Times New Roman" w:cs="Times New Roman"/>
          <w:color w:val="auto"/>
          <w:sz w:val="24"/>
          <w:highlight w:val="none"/>
        </w:rPr>
        <w:t>XXXX</w:t>
      </w:r>
    </w:p>
    <w:p w14:paraId="128E3A1C">
      <w:pPr>
        <w:spacing w:line="400" w:lineRule="exact"/>
        <w:ind w:firstLine="480" w:firstLineChars="200"/>
        <w:rPr>
          <w:rFonts w:hint="default" w:ascii="Times New Roman" w:hAnsi="Times New Roman" w:cs="Times New Roman"/>
          <w:b/>
          <w:color w:val="auto"/>
          <w:sz w:val="24"/>
          <w:highlight w:val="none"/>
        </w:rPr>
      </w:pPr>
      <w:r>
        <w:rPr>
          <w:rFonts w:hint="default" w:ascii="Times New Roman" w:hAnsi="Times New Roman" w:cs="Times New Roman"/>
          <w:bCs/>
          <w:color w:val="auto"/>
          <w:sz w:val="24"/>
          <w:highlight w:val="none"/>
        </w:rPr>
        <w:t>投标日期:</w:t>
      </w:r>
      <w:r>
        <w:rPr>
          <w:rFonts w:hint="default" w:ascii="Times New Roman" w:hAnsi="Times New Roman" w:cs="Times New Roman"/>
          <w:color w:val="auto"/>
          <w:sz w:val="24"/>
          <w:highlight w:val="none"/>
        </w:rPr>
        <w:t xml:space="preserve"> XXXX</w:t>
      </w:r>
    </w:p>
    <w:p w14:paraId="18A3D536">
      <w:pPr>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2BEFBBC0">
      <w:pPr>
        <w:pStyle w:val="4"/>
        <w:jc w:val="center"/>
        <w:rPr>
          <w:rFonts w:hint="default" w:ascii="Times New Roman" w:hAnsi="Times New Roman" w:cs="Times New Roman"/>
          <w:color w:val="auto"/>
          <w:highlight w:val="none"/>
        </w:rPr>
      </w:pPr>
      <w:bookmarkStart w:id="415" w:name="_Toc20269"/>
      <w:bookmarkStart w:id="416" w:name="_Toc217446091"/>
      <w:bookmarkStart w:id="417" w:name="_Toc15549"/>
      <w:bookmarkStart w:id="418" w:name="_Toc465085388"/>
      <w:bookmarkStart w:id="419" w:name="_Toc26299"/>
      <w:bookmarkStart w:id="420" w:name="_Toc466298086"/>
      <w:bookmarkStart w:id="421" w:name="_Toc14457"/>
      <w:bookmarkStart w:id="422" w:name="_Toc472604639"/>
      <w:r>
        <w:rPr>
          <w:rFonts w:hint="default" w:ascii="Times New Roman" w:hAnsi="Times New Roman" w:cs="Times New Roman"/>
          <w:color w:val="auto"/>
          <w:highlight w:val="none"/>
        </w:rPr>
        <w:t>8、本项目人员情况表</w:t>
      </w:r>
      <w:bookmarkEnd w:id="415"/>
      <w:bookmarkEnd w:id="416"/>
      <w:bookmarkEnd w:id="417"/>
      <w:bookmarkEnd w:id="418"/>
      <w:bookmarkEnd w:id="419"/>
      <w:bookmarkEnd w:id="420"/>
      <w:bookmarkEnd w:id="421"/>
      <w:bookmarkEnd w:id="422"/>
    </w:p>
    <w:p w14:paraId="1A6B0E30">
      <w:pPr>
        <w:spacing w:line="400" w:lineRule="exact"/>
        <w:ind w:firstLine="48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项目编号：</w:t>
      </w:r>
    </w:p>
    <w:p w14:paraId="34B05449">
      <w:pPr>
        <w:spacing w:line="400" w:lineRule="exact"/>
        <w:ind w:firstLine="480"/>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 xml:space="preserve">项目名称：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4"/>
        <w:gridCol w:w="1179"/>
        <w:gridCol w:w="1138"/>
        <w:gridCol w:w="1625"/>
        <w:gridCol w:w="1100"/>
        <w:gridCol w:w="1142"/>
      </w:tblGrid>
      <w:tr w14:paraId="3E4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811" w:type="dxa"/>
            <w:vAlign w:val="center"/>
          </w:tcPr>
          <w:p w14:paraId="56F32BA7">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类别</w:t>
            </w:r>
          </w:p>
        </w:tc>
        <w:tc>
          <w:tcPr>
            <w:tcW w:w="1284" w:type="dxa"/>
            <w:vAlign w:val="center"/>
          </w:tcPr>
          <w:p w14:paraId="32D01B0D">
            <w:pPr>
              <w:spacing w:line="400" w:lineRule="exact"/>
              <w:jc w:val="center"/>
              <w:rPr>
                <w:rFonts w:hint="eastAsia" w:ascii="Times New Roman" w:hAnsi="Times New Roman" w:eastAsia="宋体" w:cs="Times New Roman"/>
                <w:color w:val="auto"/>
                <w:sz w:val="24"/>
                <w:highlight w:val="none"/>
                <w:lang w:eastAsia="zh-CN"/>
              </w:rPr>
            </w:pPr>
            <w:r>
              <w:rPr>
                <w:rFonts w:hint="eastAsia" w:ascii="Times New Roman" w:cs="Times New Roman"/>
                <w:color w:val="auto"/>
                <w:sz w:val="24"/>
                <w:highlight w:val="none"/>
                <w:lang w:val="en-US" w:eastAsia="zh-CN"/>
              </w:rPr>
              <w:t>姓名</w:t>
            </w:r>
          </w:p>
        </w:tc>
        <w:tc>
          <w:tcPr>
            <w:tcW w:w="1179" w:type="dxa"/>
            <w:vAlign w:val="center"/>
          </w:tcPr>
          <w:p w14:paraId="17085B6E">
            <w:pPr>
              <w:spacing w:line="400" w:lineRule="exact"/>
              <w:jc w:val="center"/>
              <w:rPr>
                <w:rFonts w:hint="eastAsia" w:ascii="Times New Roman" w:hAnsi="Times New Roman" w:eastAsia="宋体" w:cs="Times New Roman"/>
                <w:color w:val="auto"/>
                <w:sz w:val="24"/>
                <w:highlight w:val="none"/>
                <w:lang w:eastAsia="zh-CN"/>
              </w:rPr>
            </w:pPr>
            <w:r>
              <w:rPr>
                <w:rFonts w:hint="eastAsia" w:ascii="Times New Roman" w:cs="Times New Roman"/>
                <w:color w:val="auto"/>
                <w:sz w:val="24"/>
                <w:highlight w:val="none"/>
                <w:lang w:val="en-US" w:eastAsia="zh-CN"/>
              </w:rPr>
              <w:t>职务</w:t>
            </w:r>
          </w:p>
        </w:tc>
        <w:tc>
          <w:tcPr>
            <w:tcW w:w="1138" w:type="dxa"/>
            <w:vAlign w:val="center"/>
          </w:tcPr>
          <w:p w14:paraId="053C1337">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职称</w:t>
            </w:r>
          </w:p>
        </w:tc>
        <w:tc>
          <w:tcPr>
            <w:tcW w:w="1625" w:type="dxa"/>
            <w:vAlign w:val="center"/>
          </w:tcPr>
          <w:p w14:paraId="1FE3AB16">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专业</w:t>
            </w:r>
          </w:p>
        </w:tc>
        <w:tc>
          <w:tcPr>
            <w:tcW w:w="1100" w:type="dxa"/>
            <w:vAlign w:val="center"/>
          </w:tcPr>
          <w:p w14:paraId="76055B68">
            <w:pPr>
              <w:spacing w:line="400" w:lineRule="exact"/>
              <w:jc w:val="center"/>
              <w:rPr>
                <w:rFonts w:hint="eastAsia"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学历</w:t>
            </w:r>
          </w:p>
        </w:tc>
        <w:tc>
          <w:tcPr>
            <w:tcW w:w="1142" w:type="dxa"/>
            <w:vAlign w:val="center"/>
          </w:tcPr>
          <w:p w14:paraId="7FF67A63">
            <w:pPr>
              <w:spacing w:line="400" w:lineRule="exact"/>
              <w:jc w:val="center"/>
              <w:rPr>
                <w:rFonts w:hint="eastAsia" w:ascii="Times New Roman" w:hAnsi="Times New Roman" w:eastAsia="宋体" w:cs="Times New Roman"/>
                <w:color w:val="auto"/>
                <w:sz w:val="24"/>
                <w:highlight w:val="none"/>
                <w:lang w:eastAsia="zh-CN"/>
              </w:rPr>
            </w:pPr>
            <w:r>
              <w:rPr>
                <w:rFonts w:hint="eastAsia" w:ascii="Times New Roman" w:cs="Times New Roman"/>
                <w:color w:val="auto"/>
                <w:sz w:val="24"/>
                <w:highlight w:val="none"/>
                <w:lang w:val="en-US" w:eastAsia="zh-CN"/>
              </w:rPr>
              <w:t>手机号</w:t>
            </w:r>
          </w:p>
        </w:tc>
      </w:tr>
      <w:tr w14:paraId="5BEC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vAlign w:val="center"/>
          </w:tcPr>
          <w:p w14:paraId="03592CB8">
            <w:pPr>
              <w:spacing w:line="400" w:lineRule="exact"/>
              <w:jc w:val="center"/>
              <w:rPr>
                <w:rFonts w:hint="default"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管理..</w:t>
            </w:r>
          </w:p>
        </w:tc>
        <w:tc>
          <w:tcPr>
            <w:tcW w:w="1284" w:type="dxa"/>
          </w:tcPr>
          <w:p w14:paraId="1B884546">
            <w:pPr>
              <w:spacing w:line="400" w:lineRule="exact"/>
              <w:jc w:val="center"/>
              <w:rPr>
                <w:rFonts w:hint="default" w:ascii="Times New Roman" w:hAnsi="Times New Roman" w:cs="Times New Roman"/>
                <w:color w:val="auto"/>
                <w:sz w:val="24"/>
                <w:highlight w:val="none"/>
              </w:rPr>
            </w:pPr>
          </w:p>
        </w:tc>
        <w:tc>
          <w:tcPr>
            <w:tcW w:w="1179" w:type="dxa"/>
          </w:tcPr>
          <w:p w14:paraId="1554FC24">
            <w:pPr>
              <w:spacing w:line="400" w:lineRule="exact"/>
              <w:jc w:val="center"/>
              <w:rPr>
                <w:rFonts w:hint="default" w:ascii="Times New Roman" w:hAnsi="Times New Roman" w:cs="Times New Roman"/>
                <w:color w:val="auto"/>
                <w:sz w:val="24"/>
                <w:highlight w:val="none"/>
              </w:rPr>
            </w:pPr>
          </w:p>
        </w:tc>
        <w:tc>
          <w:tcPr>
            <w:tcW w:w="1138" w:type="dxa"/>
          </w:tcPr>
          <w:p w14:paraId="454EED14">
            <w:pPr>
              <w:spacing w:line="400" w:lineRule="exact"/>
              <w:jc w:val="center"/>
              <w:rPr>
                <w:rFonts w:hint="default" w:ascii="Times New Roman" w:hAnsi="Times New Roman" w:cs="Times New Roman"/>
                <w:color w:val="auto"/>
                <w:sz w:val="24"/>
                <w:highlight w:val="none"/>
              </w:rPr>
            </w:pPr>
          </w:p>
        </w:tc>
        <w:tc>
          <w:tcPr>
            <w:tcW w:w="1625" w:type="dxa"/>
          </w:tcPr>
          <w:p w14:paraId="4F52A16A">
            <w:pPr>
              <w:spacing w:line="400" w:lineRule="exact"/>
              <w:jc w:val="center"/>
              <w:rPr>
                <w:rFonts w:hint="default" w:ascii="Times New Roman" w:hAnsi="Times New Roman" w:cs="Times New Roman"/>
                <w:color w:val="auto"/>
                <w:sz w:val="24"/>
                <w:highlight w:val="none"/>
              </w:rPr>
            </w:pPr>
          </w:p>
        </w:tc>
        <w:tc>
          <w:tcPr>
            <w:tcW w:w="1100" w:type="dxa"/>
          </w:tcPr>
          <w:p w14:paraId="5B4B10B6">
            <w:pPr>
              <w:spacing w:line="400" w:lineRule="exact"/>
              <w:jc w:val="center"/>
              <w:rPr>
                <w:rFonts w:hint="default" w:ascii="Times New Roman" w:hAnsi="Times New Roman" w:cs="Times New Roman"/>
                <w:color w:val="auto"/>
                <w:sz w:val="24"/>
                <w:highlight w:val="none"/>
              </w:rPr>
            </w:pPr>
          </w:p>
        </w:tc>
        <w:tc>
          <w:tcPr>
            <w:tcW w:w="1142" w:type="dxa"/>
          </w:tcPr>
          <w:p w14:paraId="64839BEC">
            <w:pPr>
              <w:spacing w:line="400" w:lineRule="exact"/>
              <w:jc w:val="center"/>
              <w:rPr>
                <w:rFonts w:hint="default" w:ascii="Times New Roman" w:hAnsi="Times New Roman" w:cs="Times New Roman"/>
                <w:color w:val="auto"/>
                <w:sz w:val="24"/>
                <w:highlight w:val="none"/>
              </w:rPr>
            </w:pPr>
          </w:p>
        </w:tc>
      </w:tr>
      <w:tr w14:paraId="483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vAlign w:val="center"/>
          </w:tcPr>
          <w:p w14:paraId="19F15C00">
            <w:pPr>
              <w:spacing w:line="400" w:lineRule="exact"/>
              <w:jc w:val="center"/>
              <w:rPr>
                <w:rFonts w:hint="default" w:ascii="Times New Roman" w:hAnsi="Times New Roman" w:cs="Times New Roman"/>
                <w:color w:val="auto"/>
                <w:sz w:val="24"/>
                <w:highlight w:val="none"/>
              </w:rPr>
            </w:pPr>
          </w:p>
        </w:tc>
        <w:tc>
          <w:tcPr>
            <w:tcW w:w="1284" w:type="dxa"/>
          </w:tcPr>
          <w:p w14:paraId="2DF71D4D">
            <w:pPr>
              <w:spacing w:line="400" w:lineRule="exact"/>
              <w:jc w:val="center"/>
              <w:rPr>
                <w:rFonts w:hint="default" w:ascii="Times New Roman" w:hAnsi="Times New Roman" w:cs="Times New Roman"/>
                <w:color w:val="auto"/>
                <w:sz w:val="24"/>
                <w:highlight w:val="none"/>
              </w:rPr>
            </w:pPr>
          </w:p>
        </w:tc>
        <w:tc>
          <w:tcPr>
            <w:tcW w:w="1179" w:type="dxa"/>
          </w:tcPr>
          <w:p w14:paraId="0387FEE8">
            <w:pPr>
              <w:spacing w:line="400" w:lineRule="exact"/>
              <w:jc w:val="center"/>
              <w:rPr>
                <w:rFonts w:hint="default" w:ascii="Times New Roman" w:hAnsi="Times New Roman" w:cs="Times New Roman"/>
                <w:color w:val="auto"/>
                <w:sz w:val="24"/>
                <w:highlight w:val="none"/>
              </w:rPr>
            </w:pPr>
          </w:p>
        </w:tc>
        <w:tc>
          <w:tcPr>
            <w:tcW w:w="1138" w:type="dxa"/>
          </w:tcPr>
          <w:p w14:paraId="69515C52">
            <w:pPr>
              <w:spacing w:line="400" w:lineRule="exact"/>
              <w:jc w:val="center"/>
              <w:rPr>
                <w:rFonts w:hint="default" w:ascii="Times New Roman" w:hAnsi="Times New Roman" w:cs="Times New Roman"/>
                <w:color w:val="auto"/>
                <w:sz w:val="24"/>
                <w:highlight w:val="none"/>
              </w:rPr>
            </w:pPr>
          </w:p>
        </w:tc>
        <w:tc>
          <w:tcPr>
            <w:tcW w:w="1625" w:type="dxa"/>
          </w:tcPr>
          <w:p w14:paraId="3E1526E8">
            <w:pPr>
              <w:spacing w:line="400" w:lineRule="exact"/>
              <w:jc w:val="center"/>
              <w:rPr>
                <w:rFonts w:hint="default" w:ascii="Times New Roman" w:hAnsi="Times New Roman" w:cs="Times New Roman"/>
                <w:color w:val="auto"/>
                <w:sz w:val="24"/>
                <w:highlight w:val="none"/>
              </w:rPr>
            </w:pPr>
          </w:p>
        </w:tc>
        <w:tc>
          <w:tcPr>
            <w:tcW w:w="1100" w:type="dxa"/>
          </w:tcPr>
          <w:p w14:paraId="28214B14">
            <w:pPr>
              <w:spacing w:line="400" w:lineRule="exact"/>
              <w:jc w:val="center"/>
              <w:rPr>
                <w:rFonts w:hint="default" w:ascii="Times New Roman" w:hAnsi="Times New Roman" w:cs="Times New Roman"/>
                <w:color w:val="auto"/>
                <w:sz w:val="24"/>
                <w:highlight w:val="none"/>
              </w:rPr>
            </w:pPr>
          </w:p>
        </w:tc>
        <w:tc>
          <w:tcPr>
            <w:tcW w:w="1142" w:type="dxa"/>
          </w:tcPr>
          <w:p w14:paraId="7B49321F">
            <w:pPr>
              <w:spacing w:line="400" w:lineRule="exact"/>
              <w:jc w:val="center"/>
              <w:rPr>
                <w:rFonts w:hint="default" w:ascii="Times New Roman" w:hAnsi="Times New Roman" w:cs="Times New Roman"/>
                <w:color w:val="auto"/>
                <w:sz w:val="24"/>
                <w:highlight w:val="none"/>
              </w:rPr>
            </w:pPr>
          </w:p>
        </w:tc>
      </w:tr>
      <w:tr w14:paraId="7B0E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vAlign w:val="center"/>
          </w:tcPr>
          <w:p w14:paraId="1F03DAEB">
            <w:pPr>
              <w:spacing w:line="400" w:lineRule="exact"/>
              <w:jc w:val="center"/>
              <w:rPr>
                <w:rFonts w:hint="default" w:ascii="Times New Roman" w:hAnsi="Times New Roman" w:cs="Times New Roman"/>
                <w:color w:val="auto"/>
                <w:sz w:val="24"/>
                <w:highlight w:val="none"/>
              </w:rPr>
            </w:pPr>
          </w:p>
        </w:tc>
        <w:tc>
          <w:tcPr>
            <w:tcW w:w="1284" w:type="dxa"/>
          </w:tcPr>
          <w:p w14:paraId="0D174A29">
            <w:pPr>
              <w:spacing w:line="400" w:lineRule="exact"/>
              <w:jc w:val="center"/>
              <w:rPr>
                <w:rFonts w:hint="default" w:ascii="Times New Roman" w:hAnsi="Times New Roman" w:cs="Times New Roman"/>
                <w:color w:val="auto"/>
                <w:sz w:val="24"/>
                <w:highlight w:val="none"/>
              </w:rPr>
            </w:pPr>
          </w:p>
        </w:tc>
        <w:tc>
          <w:tcPr>
            <w:tcW w:w="1179" w:type="dxa"/>
          </w:tcPr>
          <w:p w14:paraId="3E8F9257">
            <w:pPr>
              <w:spacing w:line="400" w:lineRule="exact"/>
              <w:jc w:val="center"/>
              <w:rPr>
                <w:rFonts w:hint="default" w:ascii="Times New Roman" w:hAnsi="Times New Roman" w:cs="Times New Roman"/>
                <w:color w:val="auto"/>
                <w:sz w:val="24"/>
                <w:highlight w:val="none"/>
              </w:rPr>
            </w:pPr>
          </w:p>
        </w:tc>
        <w:tc>
          <w:tcPr>
            <w:tcW w:w="1138" w:type="dxa"/>
          </w:tcPr>
          <w:p w14:paraId="68C6FB8E">
            <w:pPr>
              <w:spacing w:line="400" w:lineRule="exact"/>
              <w:jc w:val="center"/>
              <w:rPr>
                <w:rFonts w:hint="default" w:ascii="Times New Roman" w:hAnsi="Times New Roman" w:cs="Times New Roman"/>
                <w:color w:val="auto"/>
                <w:sz w:val="24"/>
                <w:highlight w:val="none"/>
              </w:rPr>
            </w:pPr>
          </w:p>
        </w:tc>
        <w:tc>
          <w:tcPr>
            <w:tcW w:w="1625" w:type="dxa"/>
          </w:tcPr>
          <w:p w14:paraId="32F89D7B">
            <w:pPr>
              <w:spacing w:line="400" w:lineRule="exact"/>
              <w:jc w:val="center"/>
              <w:rPr>
                <w:rFonts w:hint="default" w:ascii="Times New Roman" w:hAnsi="Times New Roman" w:cs="Times New Roman"/>
                <w:color w:val="auto"/>
                <w:sz w:val="24"/>
                <w:highlight w:val="none"/>
              </w:rPr>
            </w:pPr>
          </w:p>
        </w:tc>
        <w:tc>
          <w:tcPr>
            <w:tcW w:w="1100" w:type="dxa"/>
          </w:tcPr>
          <w:p w14:paraId="4AC2EA96">
            <w:pPr>
              <w:spacing w:line="400" w:lineRule="exact"/>
              <w:jc w:val="center"/>
              <w:rPr>
                <w:rFonts w:hint="default" w:ascii="Times New Roman" w:hAnsi="Times New Roman" w:cs="Times New Roman"/>
                <w:color w:val="auto"/>
                <w:sz w:val="24"/>
                <w:highlight w:val="none"/>
              </w:rPr>
            </w:pPr>
          </w:p>
        </w:tc>
        <w:tc>
          <w:tcPr>
            <w:tcW w:w="1142" w:type="dxa"/>
          </w:tcPr>
          <w:p w14:paraId="6B820053">
            <w:pPr>
              <w:spacing w:line="400" w:lineRule="exact"/>
              <w:jc w:val="center"/>
              <w:rPr>
                <w:rFonts w:hint="default" w:ascii="Times New Roman" w:hAnsi="Times New Roman" w:cs="Times New Roman"/>
                <w:color w:val="auto"/>
                <w:sz w:val="24"/>
                <w:highlight w:val="none"/>
              </w:rPr>
            </w:pPr>
          </w:p>
        </w:tc>
      </w:tr>
      <w:tr w14:paraId="02A7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restart"/>
            <w:vAlign w:val="center"/>
          </w:tcPr>
          <w:p w14:paraId="1351BE5F">
            <w:pPr>
              <w:spacing w:line="400" w:lineRule="exact"/>
              <w:jc w:val="center"/>
              <w:rPr>
                <w:rFonts w:hint="default"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技术..</w:t>
            </w:r>
          </w:p>
        </w:tc>
        <w:tc>
          <w:tcPr>
            <w:tcW w:w="1284" w:type="dxa"/>
          </w:tcPr>
          <w:p w14:paraId="7B6B8041">
            <w:pPr>
              <w:spacing w:line="400" w:lineRule="exact"/>
              <w:jc w:val="center"/>
              <w:rPr>
                <w:rFonts w:hint="default" w:ascii="Times New Roman" w:hAnsi="Times New Roman" w:cs="Times New Roman"/>
                <w:color w:val="auto"/>
                <w:sz w:val="24"/>
                <w:highlight w:val="none"/>
              </w:rPr>
            </w:pPr>
          </w:p>
        </w:tc>
        <w:tc>
          <w:tcPr>
            <w:tcW w:w="1179" w:type="dxa"/>
          </w:tcPr>
          <w:p w14:paraId="1C1D3743">
            <w:pPr>
              <w:spacing w:line="400" w:lineRule="exact"/>
              <w:jc w:val="center"/>
              <w:rPr>
                <w:rFonts w:hint="default" w:ascii="Times New Roman" w:hAnsi="Times New Roman" w:cs="Times New Roman"/>
                <w:color w:val="auto"/>
                <w:sz w:val="24"/>
                <w:highlight w:val="none"/>
              </w:rPr>
            </w:pPr>
          </w:p>
        </w:tc>
        <w:tc>
          <w:tcPr>
            <w:tcW w:w="1138" w:type="dxa"/>
          </w:tcPr>
          <w:p w14:paraId="04498B2F">
            <w:pPr>
              <w:spacing w:line="400" w:lineRule="exact"/>
              <w:jc w:val="center"/>
              <w:rPr>
                <w:rFonts w:hint="default" w:ascii="Times New Roman" w:hAnsi="Times New Roman" w:cs="Times New Roman"/>
                <w:color w:val="auto"/>
                <w:sz w:val="24"/>
                <w:highlight w:val="none"/>
              </w:rPr>
            </w:pPr>
          </w:p>
        </w:tc>
        <w:tc>
          <w:tcPr>
            <w:tcW w:w="1625" w:type="dxa"/>
          </w:tcPr>
          <w:p w14:paraId="4A072165">
            <w:pPr>
              <w:spacing w:line="400" w:lineRule="exact"/>
              <w:jc w:val="center"/>
              <w:rPr>
                <w:rFonts w:hint="default" w:ascii="Times New Roman" w:hAnsi="Times New Roman" w:cs="Times New Roman"/>
                <w:color w:val="auto"/>
                <w:sz w:val="24"/>
                <w:highlight w:val="none"/>
              </w:rPr>
            </w:pPr>
          </w:p>
        </w:tc>
        <w:tc>
          <w:tcPr>
            <w:tcW w:w="1100" w:type="dxa"/>
          </w:tcPr>
          <w:p w14:paraId="2C9DAA22">
            <w:pPr>
              <w:spacing w:line="400" w:lineRule="exact"/>
              <w:jc w:val="center"/>
              <w:rPr>
                <w:rFonts w:hint="default" w:ascii="Times New Roman" w:hAnsi="Times New Roman" w:cs="Times New Roman"/>
                <w:color w:val="auto"/>
                <w:sz w:val="24"/>
                <w:highlight w:val="none"/>
              </w:rPr>
            </w:pPr>
          </w:p>
        </w:tc>
        <w:tc>
          <w:tcPr>
            <w:tcW w:w="1142" w:type="dxa"/>
          </w:tcPr>
          <w:p w14:paraId="54E19545">
            <w:pPr>
              <w:spacing w:line="400" w:lineRule="exact"/>
              <w:jc w:val="center"/>
              <w:rPr>
                <w:rFonts w:hint="default" w:ascii="Times New Roman" w:hAnsi="Times New Roman" w:cs="Times New Roman"/>
                <w:color w:val="auto"/>
                <w:sz w:val="24"/>
                <w:highlight w:val="none"/>
              </w:rPr>
            </w:pPr>
          </w:p>
        </w:tc>
      </w:tr>
      <w:tr w14:paraId="6B5D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vAlign w:val="center"/>
          </w:tcPr>
          <w:p w14:paraId="55CE25D8">
            <w:pPr>
              <w:spacing w:line="400" w:lineRule="exact"/>
              <w:jc w:val="center"/>
              <w:rPr>
                <w:rFonts w:hint="default" w:ascii="Times New Roman" w:hAnsi="Times New Roman" w:cs="Times New Roman"/>
                <w:color w:val="auto"/>
                <w:sz w:val="24"/>
                <w:highlight w:val="none"/>
              </w:rPr>
            </w:pPr>
          </w:p>
        </w:tc>
        <w:tc>
          <w:tcPr>
            <w:tcW w:w="1284" w:type="dxa"/>
          </w:tcPr>
          <w:p w14:paraId="107A23BE">
            <w:pPr>
              <w:spacing w:line="400" w:lineRule="exact"/>
              <w:jc w:val="center"/>
              <w:rPr>
                <w:rFonts w:hint="default" w:ascii="Times New Roman" w:hAnsi="Times New Roman" w:cs="Times New Roman"/>
                <w:color w:val="auto"/>
                <w:sz w:val="24"/>
                <w:highlight w:val="none"/>
              </w:rPr>
            </w:pPr>
          </w:p>
        </w:tc>
        <w:tc>
          <w:tcPr>
            <w:tcW w:w="1179" w:type="dxa"/>
          </w:tcPr>
          <w:p w14:paraId="570A7571">
            <w:pPr>
              <w:spacing w:line="400" w:lineRule="exact"/>
              <w:jc w:val="center"/>
              <w:rPr>
                <w:rFonts w:hint="default" w:ascii="Times New Roman" w:hAnsi="Times New Roman" w:cs="Times New Roman"/>
                <w:color w:val="auto"/>
                <w:sz w:val="24"/>
                <w:highlight w:val="none"/>
              </w:rPr>
            </w:pPr>
          </w:p>
        </w:tc>
        <w:tc>
          <w:tcPr>
            <w:tcW w:w="1138" w:type="dxa"/>
          </w:tcPr>
          <w:p w14:paraId="5F665EE7">
            <w:pPr>
              <w:spacing w:line="400" w:lineRule="exact"/>
              <w:jc w:val="center"/>
              <w:rPr>
                <w:rFonts w:hint="default" w:ascii="Times New Roman" w:hAnsi="Times New Roman" w:cs="Times New Roman"/>
                <w:color w:val="auto"/>
                <w:sz w:val="24"/>
                <w:highlight w:val="none"/>
              </w:rPr>
            </w:pPr>
          </w:p>
        </w:tc>
        <w:tc>
          <w:tcPr>
            <w:tcW w:w="1625" w:type="dxa"/>
          </w:tcPr>
          <w:p w14:paraId="7F70EFEF">
            <w:pPr>
              <w:spacing w:line="400" w:lineRule="exact"/>
              <w:jc w:val="center"/>
              <w:rPr>
                <w:rFonts w:hint="default" w:ascii="Times New Roman" w:hAnsi="Times New Roman" w:cs="Times New Roman"/>
                <w:color w:val="auto"/>
                <w:sz w:val="24"/>
                <w:highlight w:val="none"/>
              </w:rPr>
            </w:pPr>
          </w:p>
        </w:tc>
        <w:tc>
          <w:tcPr>
            <w:tcW w:w="1100" w:type="dxa"/>
          </w:tcPr>
          <w:p w14:paraId="0A84E9DE">
            <w:pPr>
              <w:spacing w:line="400" w:lineRule="exact"/>
              <w:jc w:val="center"/>
              <w:rPr>
                <w:rFonts w:hint="default" w:ascii="Times New Roman" w:hAnsi="Times New Roman" w:cs="Times New Roman"/>
                <w:color w:val="auto"/>
                <w:sz w:val="24"/>
                <w:highlight w:val="none"/>
              </w:rPr>
            </w:pPr>
          </w:p>
        </w:tc>
        <w:tc>
          <w:tcPr>
            <w:tcW w:w="1142" w:type="dxa"/>
          </w:tcPr>
          <w:p w14:paraId="7DE74FE6">
            <w:pPr>
              <w:spacing w:line="400" w:lineRule="exact"/>
              <w:jc w:val="center"/>
              <w:rPr>
                <w:rFonts w:hint="default" w:ascii="Times New Roman" w:hAnsi="Times New Roman" w:cs="Times New Roman"/>
                <w:color w:val="auto"/>
                <w:sz w:val="24"/>
                <w:highlight w:val="none"/>
              </w:rPr>
            </w:pPr>
          </w:p>
        </w:tc>
      </w:tr>
      <w:tr w14:paraId="0427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vAlign w:val="center"/>
          </w:tcPr>
          <w:p w14:paraId="0BCA882E">
            <w:pPr>
              <w:spacing w:line="400" w:lineRule="exact"/>
              <w:jc w:val="center"/>
              <w:rPr>
                <w:rFonts w:hint="default" w:ascii="Times New Roman" w:hAnsi="Times New Roman" w:cs="Times New Roman"/>
                <w:color w:val="auto"/>
                <w:sz w:val="24"/>
                <w:highlight w:val="none"/>
              </w:rPr>
            </w:pPr>
          </w:p>
        </w:tc>
        <w:tc>
          <w:tcPr>
            <w:tcW w:w="1284" w:type="dxa"/>
          </w:tcPr>
          <w:p w14:paraId="1957F400">
            <w:pPr>
              <w:spacing w:line="400" w:lineRule="exact"/>
              <w:jc w:val="center"/>
              <w:rPr>
                <w:rFonts w:hint="default" w:ascii="Times New Roman" w:hAnsi="Times New Roman" w:cs="Times New Roman"/>
                <w:color w:val="auto"/>
                <w:sz w:val="24"/>
                <w:highlight w:val="none"/>
              </w:rPr>
            </w:pPr>
          </w:p>
        </w:tc>
        <w:tc>
          <w:tcPr>
            <w:tcW w:w="1179" w:type="dxa"/>
          </w:tcPr>
          <w:p w14:paraId="426A1680">
            <w:pPr>
              <w:spacing w:line="400" w:lineRule="exact"/>
              <w:jc w:val="center"/>
              <w:rPr>
                <w:rFonts w:hint="default" w:ascii="Times New Roman" w:hAnsi="Times New Roman" w:cs="Times New Roman"/>
                <w:color w:val="auto"/>
                <w:sz w:val="24"/>
                <w:highlight w:val="none"/>
              </w:rPr>
            </w:pPr>
          </w:p>
        </w:tc>
        <w:tc>
          <w:tcPr>
            <w:tcW w:w="1138" w:type="dxa"/>
          </w:tcPr>
          <w:p w14:paraId="0D6CD235">
            <w:pPr>
              <w:spacing w:line="400" w:lineRule="exact"/>
              <w:jc w:val="center"/>
              <w:rPr>
                <w:rFonts w:hint="default" w:ascii="Times New Roman" w:hAnsi="Times New Roman" w:cs="Times New Roman"/>
                <w:color w:val="auto"/>
                <w:sz w:val="24"/>
                <w:highlight w:val="none"/>
              </w:rPr>
            </w:pPr>
          </w:p>
        </w:tc>
        <w:tc>
          <w:tcPr>
            <w:tcW w:w="1625" w:type="dxa"/>
          </w:tcPr>
          <w:p w14:paraId="3BE88C09">
            <w:pPr>
              <w:spacing w:line="400" w:lineRule="exact"/>
              <w:jc w:val="center"/>
              <w:rPr>
                <w:rFonts w:hint="default" w:ascii="Times New Roman" w:hAnsi="Times New Roman" w:cs="Times New Roman"/>
                <w:color w:val="auto"/>
                <w:sz w:val="24"/>
                <w:highlight w:val="none"/>
              </w:rPr>
            </w:pPr>
          </w:p>
        </w:tc>
        <w:tc>
          <w:tcPr>
            <w:tcW w:w="1100" w:type="dxa"/>
          </w:tcPr>
          <w:p w14:paraId="63F25CBC">
            <w:pPr>
              <w:spacing w:line="400" w:lineRule="exact"/>
              <w:jc w:val="center"/>
              <w:rPr>
                <w:rFonts w:hint="default" w:ascii="Times New Roman" w:hAnsi="Times New Roman" w:cs="Times New Roman"/>
                <w:color w:val="auto"/>
                <w:sz w:val="24"/>
                <w:highlight w:val="none"/>
              </w:rPr>
            </w:pPr>
          </w:p>
        </w:tc>
        <w:tc>
          <w:tcPr>
            <w:tcW w:w="1142" w:type="dxa"/>
          </w:tcPr>
          <w:p w14:paraId="410201C5">
            <w:pPr>
              <w:spacing w:line="400" w:lineRule="exact"/>
              <w:jc w:val="center"/>
              <w:rPr>
                <w:rFonts w:hint="default" w:ascii="Times New Roman" w:hAnsi="Times New Roman" w:cs="Times New Roman"/>
                <w:color w:val="auto"/>
                <w:sz w:val="24"/>
                <w:highlight w:val="none"/>
              </w:rPr>
            </w:pPr>
          </w:p>
        </w:tc>
      </w:tr>
      <w:tr w14:paraId="4685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vAlign w:val="center"/>
          </w:tcPr>
          <w:p w14:paraId="728E1E9A">
            <w:pPr>
              <w:spacing w:line="400" w:lineRule="exact"/>
              <w:jc w:val="center"/>
              <w:rPr>
                <w:rFonts w:hint="default"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售后...</w:t>
            </w:r>
          </w:p>
        </w:tc>
        <w:tc>
          <w:tcPr>
            <w:tcW w:w="1284" w:type="dxa"/>
          </w:tcPr>
          <w:p w14:paraId="6FC0397E">
            <w:pPr>
              <w:spacing w:line="400" w:lineRule="exact"/>
              <w:jc w:val="center"/>
              <w:rPr>
                <w:rFonts w:hint="default" w:ascii="Times New Roman" w:hAnsi="Times New Roman" w:cs="Times New Roman"/>
                <w:color w:val="auto"/>
                <w:sz w:val="24"/>
                <w:highlight w:val="none"/>
              </w:rPr>
            </w:pPr>
          </w:p>
        </w:tc>
        <w:tc>
          <w:tcPr>
            <w:tcW w:w="1179" w:type="dxa"/>
          </w:tcPr>
          <w:p w14:paraId="277030AA">
            <w:pPr>
              <w:spacing w:line="400" w:lineRule="exact"/>
              <w:jc w:val="center"/>
              <w:rPr>
                <w:rFonts w:hint="default" w:ascii="Times New Roman" w:hAnsi="Times New Roman" w:cs="Times New Roman"/>
                <w:color w:val="auto"/>
                <w:sz w:val="24"/>
                <w:highlight w:val="none"/>
              </w:rPr>
            </w:pPr>
          </w:p>
        </w:tc>
        <w:tc>
          <w:tcPr>
            <w:tcW w:w="1138" w:type="dxa"/>
          </w:tcPr>
          <w:p w14:paraId="5782927D">
            <w:pPr>
              <w:spacing w:line="400" w:lineRule="exact"/>
              <w:jc w:val="center"/>
              <w:rPr>
                <w:rFonts w:hint="default" w:ascii="Times New Roman" w:hAnsi="Times New Roman" w:cs="Times New Roman"/>
                <w:color w:val="auto"/>
                <w:sz w:val="24"/>
                <w:highlight w:val="none"/>
              </w:rPr>
            </w:pPr>
          </w:p>
        </w:tc>
        <w:tc>
          <w:tcPr>
            <w:tcW w:w="1625" w:type="dxa"/>
          </w:tcPr>
          <w:p w14:paraId="2EB15C0E">
            <w:pPr>
              <w:spacing w:line="400" w:lineRule="exact"/>
              <w:jc w:val="center"/>
              <w:rPr>
                <w:rFonts w:hint="default" w:ascii="Times New Roman" w:hAnsi="Times New Roman" w:cs="Times New Roman"/>
                <w:color w:val="auto"/>
                <w:sz w:val="24"/>
                <w:highlight w:val="none"/>
              </w:rPr>
            </w:pPr>
          </w:p>
        </w:tc>
        <w:tc>
          <w:tcPr>
            <w:tcW w:w="1100" w:type="dxa"/>
          </w:tcPr>
          <w:p w14:paraId="3639828F">
            <w:pPr>
              <w:spacing w:line="400" w:lineRule="exact"/>
              <w:jc w:val="center"/>
              <w:rPr>
                <w:rFonts w:hint="default" w:ascii="Times New Roman" w:hAnsi="Times New Roman" w:cs="Times New Roman"/>
                <w:color w:val="auto"/>
                <w:sz w:val="24"/>
                <w:highlight w:val="none"/>
              </w:rPr>
            </w:pPr>
          </w:p>
        </w:tc>
        <w:tc>
          <w:tcPr>
            <w:tcW w:w="1142" w:type="dxa"/>
          </w:tcPr>
          <w:p w14:paraId="42709E55">
            <w:pPr>
              <w:spacing w:line="400" w:lineRule="exact"/>
              <w:jc w:val="center"/>
              <w:rPr>
                <w:rFonts w:hint="default" w:ascii="Times New Roman" w:hAnsi="Times New Roman" w:cs="Times New Roman"/>
                <w:color w:val="auto"/>
                <w:sz w:val="24"/>
                <w:highlight w:val="none"/>
              </w:rPr>
            </w:pPr>
          </w:p>
        </w:tc>
      </w:tr>
      <w:tr w14:paraId="4B05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tcPr>
          <w:p w14:paraId="19C76DFF">
            <w:pPr>
              <w:spacing w:line="400" w:lineRule="exact"/>
              <w:jc w:val="center"/>
              <w:rPr>
                <w:rFonts w:hint="default" w:ascii="Times New Roman" w:hAnsi="Times New Roman" w:cs="Times New Roman"/>
                <w:color w:val="auto"/>
                <w:sz w:val="24"/>
                <w:highlight w:val="none"/>
              </w:rPr>
            </w:pPr>
          </w:p>
        </w:tc>
        <w:tc>
          <w:tcPr>
            <w:tcW w:w="1284" w:type="dxa"/>
          </w:tcPr>
          <w:p w14:paraId="36865FDE">
            <w:pPr>
              <w:spacing w:line="400" w:lineRule="exact"/>
              <w:jc w:val="center"/>
              <w:rPr>
                <w:rFonts w:hint="default" w:ascii="Times New Roman" w:hAnsi="Times New Roman" w:cs="Times New Roman"/>
                <w:color w:val="auto"/>
                <w:sz w:val="24"/>
                <w:highlight w:val="none"/>
              </w:rPr>
            </w:pPr>
          </w:p>
        </w:tc>
        <w:tc>
          <w:tcPr>
            <w:tcW w:w="1179" w:type="dxa"/>
          </w:tcPr>
          <w:p w14:paraId="61BC6690">
            <w:pPr>
              <w:spacing w:line="400" w:lineRule="exact"/>
              <w:jc w:val="center"/>
              <w:rPr>
                <w:rFonts w:hint="default" w:ascii="Times New Roman" w:hAnsi="Times New Roman" w:cs="Times New Roman"/>
                <w:b/>
                <w:bCs/>
                <w:color w:val="auto"/>
                <w:sz w:val="24"/>
                <w:highlight w:val="none"/>
              </w:rPr>
            </w:pPr>
          </w:p>
        </w:tc>
        <w:tc>
          <w:tcPr>
            <w:tcW w:w="1138" w:type="dxa"/>
          </w:tcPr>
          <w:p w14:paraId="5E6AD254">
            <w:pPr>
              <w:spacing w:line="400" w:lineRule="exact"/>
              <w:jc w:val="center"/>
              <w:rPr>
                <w:rFonts w:hint="default" w:ascii="Times New Roman" w:hAnsi="Times New Roman" w:cs="Times New Roman"/>
                <w:b/>
                <w:bCs/>
                <w:color w:val="auto"/>
                <w:sz w:val="24"/>
                <w:highlight w:val="none"/>
              </w:rPr>
            </w:pPr>
          </w:p>
        </w:tc>
        <w:tc>
          <w:tcPr>
            <w:tcW w:w="1625" w:type="dxa"/>
          </w:tcPr>
          <w:p w14:paraId="1F24E0A1">
            <w:pPr>
              <w:spacing w:line="400" w:lineRule="exact"/>
              <w:jc w:val="center"/>
              <w:rPr>
                <w:rFonts w:hint="default" w:ascii="Times New Roman" w:hAnsi="Times New Roman" w:cs="Times New Roman"/>
                <w:b/>
                <w:bCs/>
                <w:color w:val="auto"/>
                <w:sz w:val="24"/>
                <w:highlight w:val="none"/>
              </w:rPr>
            </w:pPr>
          </w:p>
        </w:tc>
        <w:tc>
          <w:tcPr>
            <w:tcW w:w="1100" w:type="dxa"/>
          </w:tcPr>
          <w:p w14:paraId="296D5D48">
            <w:pPr>
              <w:spacing w:line="400" w:lineRule="exact"/>
              <w:jc w:val="center"/>
              <w:rPr>
                <w:rFonts w:hint="default" w:ascii="Times New Roman" w:hAnsi="Times New Roman" w:cs="Times New Roman"/>
                <w:b/>
                <w:bCs/>
                <w:color w:val="auto"/>
                <w:sz w:val="24"/>
                <w:highlight w:val="none"/>
              </w:rPr>
            </w:pPr>
          </w:p>
        </w:tc>
        <w:tc>
          <w:tcPr>
            <w:tcW w:w="1142" w:type="dxa"/>
          </w:tcPr>
          <w:p w14:paraId="69E818A5">
            <w:pPr>
              <w:spacing w:line="400" w:lineRule="exact"/>
              <w:jc w:val="center"/>
              <w:rPr>
                <w:rFonts w:hint="default" w:ascii="Times New Roman" w:hAnsi="Times New Roman" w:cs="Times New Roman"/>
                <w:b/>
                <w:bCs/>
                <w:color w:val="auto"/>
                <w:sz w:val="24"/>
                <w:highlight w:val="none"/>
              </w:rPr>
            </w:pPr>
          </w:p>
        </w:tc>
      </w:tr>
      <w:tr w14:paraId="6E42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tcPr>
          <w:p w14:paraId="3B1F2D90">
            <w:pPr>
              <w:spacing w:line="400" w:lineRule="exact"/>
              <w:jc w:val="center"/>
              <w:rPr>
                <w:rFonts w:hint="default" w:ascii="Times New Roman" w:hAnsi="Times New Roman" w:cs="Times New Roman"/>
                <w:color w:val="auto"/>
                <w:sz w:val="24"/>
                <w:highlight w:val="none"/>
              </w:rPr>
            </w:pPr>
          </w:p>
        </w:tc>
        <w:tc>
          <w:tcPr>
            <w:tcW w:w="1284" w:type="dxa"/>
          </w:tcPr>
          <w:p w14:paraId="700A4AC2">
            <w:pPr>
              <w:spacing w:line="400" w:lineRule="exact"/>
              <w:jc w:val="center"/>
              <w:rPr>
                <w:rFonts w:hint="default" w:ascii="Times New Roman" w:hAnsi="Times New Roman" w:cs="Times New Roman"/>
                <w:color w:val="auto"/>
                <w:sz w:val="24"/>
                <w:highlight w:val="none"/>
              </w:rPr>
            </w:pPr>
          </w:p>
        </w:tc>
        <w:tc>
          <w:tcPr>
            <w:tcW w:w="1179" w:type="dxa"/>
          </w:tcPr>
          <w:p w14:paraId="1BB933C5">
            <w:pPr>
              <w:spacing w:line="400" w:lineRule="exact"/>
              <w:jc w:val="center"/>
              <w:rPr>
                <w:rFonts w:hint="default" w:ascii="Times New Roman" w:hAnsi="Times New Roman" w:cs="Times New Roman"/>
                <w:b/>
                <w:bCs/>
                <w:color w:val="auto"/>
                <w:sz w:val="24"/>
                <w:highlight w:val="none"/>
              </w:rPr>
            </w:pPr>
          </w:p>
        </w:tc>
        <w:tc>
          <w:tcPr>
            <w:tcW w:w="1138" w:type="dxa"/>
          </w:tcPr>
          <w:p w14:paraId="79DA4846">
            <w:pPr>
              <w:spacing w:line="400" w:lineRule="exact"/>
              <w:jc w:val="center"/>
              <w:rPr>
                <w:rFonts w:hint="default" w:ascii="Times New Roman" w:hAnsi="Times New Roman" w:cs="Times New Roman"/>
                <w:b/>
                <w:bCs/>
                <w:color w:val="auto"/>
                <w:sz w:val="24"/>
                <w:highlight w:val="none"/>
              </w:rPr>
            </w:pPr>
          </w:p>
        </w:tc>
        <w:tc>
          <w:tcPr>
            <w:tcW w:w="1625" w:type="dxa"/>
          </w:tcPr>
          <w:p w14:paraId="186FEFCB">
            <w:pPr>
              <w:spacing w:line="400" w:lineRule="exact"/>
              <w:jc w:val="center"/>
              <w:rPr>
                <w:rFonts w:hint="default" w:ascii="Times New Roman" w:hAnsi="Times New Roman" w:cs="Times New Roman"/>
                <w:b/>
                <w:bCs/>
                <w:color w:val="auto"/>
                <w:sz w:val="24"/>
                <w:highlight w:val="none"/>
              </w:rPr>
            </w:pPr>
          </w:p>
        </w:tc>
        <w:tc>
          <w:tcPr>
            <w:tcW w:w="1100" w:type="dxa"/>
          </w:tcPr>
          <w:p w14:paraId="54DD4AE3">
            <w:pPr>
              <w:spacing w:line="400" w:lineRule="exact"/>
              <w:jc w:val="center"/>
              <w:rPr>
                <w:rFonts w:hint="default" w:ascii="Times New Roman" w:hAnsi="Times New Roman" w:cs="Times New Roman"/>
                <w:b/>
                <w:bCs/>
                <w:color w:val="auto"/>
                <w:sz w:val="24"/>
                <w:highlight w:val="none"/>
              </w:rPr>
            </w:pPr>
          </w:p>
        </w:tc>
        <w:tc>
          <w:tcPr>
            <w:tcW w:w="1142" w:type="dxa"/>
          </w:tcPr>
          <w:p w14:paraId="67208A26">
            <w:pPr>
              <w:spacing w:line="400" w:lineRule="exact"/>
              <w:jc w:val="center"/>
              <w:rPr>
                <w:rFonts w:hint="default" w:ascii="Times New Roman" w:hAnsi="Times New Roman" w:cs="Times New Roman"/>
                <w:b/>
                <w:bCs/>
                <w:color w:val="auto"/>
                <w:sz w:val="24"/>
                <w:highlight w:val="none"/>
              </w:rPr>
            </w:pPr>
          </w:p>
        </w:tc>
      </w:tr>
    </w:tbl>
    <w:p w14:paraId="604EAF00">
      <w:pPr>
        <w:tabs>
          <w:tab w:val="left" w:pos="555"/>
          <w:tab w:val="left" w:pos="2214"/>
          <w:tab w:val="left" w:pos="3774"/>
          <w:tab w:val="left" w:pos="4854"/>
          <w:tab w:val="left" w:pos="5934"/>
          <w:tab w:val="left" w:pos="7014"/>
          <w:tab w:val="left" w:pos="8214"/>
          <w:tab w:val="left" w:pos="10134"/>
          <w:tab w:val="left" w:pos="11124"/>
        </w:tabs>
        <w:spacing w:line="400" w:lineRule="exact"/>
        <w:ind w:right="255" w:rightChars="75" w:firstLine="778" w:firstLineChars="323"/>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注：以上提供相关人员证明材料。</w:t>
      </w:r>
    </w:p>
    <w:p w14:paraId="49EDAFCB">
      <w:pPr>
        <w:spacing w:line="400" w:lineRule="exact"/>
        <w:jc w:val="center"/>
        <w:rPr>
          <w:rFonts w:hint="default" w:ascii="Times New Roman" w:hAnsi="Times New Roman" w:cs="Times New Roman"/>
          <w:b/>
          <w:bCs/>
          <w:color w:val="auto"/>
          <w:sz w:val="24"/>
          <w:highlight w:val="none"/>
        </w:rPr>
      </w:pPr>
    </w:p>
    <w:p w14:paraId="229B1941">
      <w:pPr>
        <w:adjustRightInd w:val="0"/>
        <w:spacing w:line="400" w:lineRule="exact"/>
        <w:ind w:firstLine="900" w:firstLineChars="375"/>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投标人名称：</w:t>
      </w:r>
      <w:r>
        <w:rPr>
          <w:rFonts w:hint="default" w:ascii="Times New Roman" w:hAnsi="Times New Roman" w:cs="Times New Roman"/>
          <w:color w:val="auto"/>
          <w:sz w:val="24"/>
          <w:highlight w:val="none"/>
        </w:rPr>
        <w:t>XXXX</w:t>
      </w:r>
      <w:r>
        <w:rPr>
          <w:rFonts w:hint="default" w:ascii="Times New Roman" w:hAnsi="Times New Roman" w:cs="Times New Roman"/>
          <w:bCs/>
          <w:color w:val="auto"/>
          <w:sz w:val="24"/>
          <w:highlight w:val="none"/>
        </w:rPr>
        <w:t>（盖章）</w:t>
      </w:r>
    </w:p>
    <w:p w14:paraId="71B3C50A">
      <w:pPr>
        <w:adjustRightInd w:val="0"/>
        <w:spacing w:line="400" w:lineRule="exact"/>
        <w:ind w:firstLine="900" w:firstLineChars="375"/>
        <w:jc w:val="left"/>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法定代表人/单位负责人或授权代表（签字或加盖个人名章）</w:t>
      </w:r>
      <w:r>
        <w:rPr>
          <w:rFonts w:hint="default" w:ascii="Times New Roman" w:hAnsi="Times New Roman" w:cs="Times New Roman"/>
          <w:bCs/>
          <w:color w:val="auto"/>
          <w:sz w:val="24"/>
          <w:highlight w:val="none"/>
        </w:rPr>
        <w:t>：</w:t>
      </w:r>
      <w:r>
        <w:rPr>
          <w:rFonts w:hint="default" w:ascii="Times New Roman" w:hAnsi="Times New Roman" w:cs="Times New Roman"/>
          <w:color w:val="auto"/>
          <w:sz w:val="24"/>
          <w:highlight w:val="none"/>
        </w:rPr>
        <w:t>XXXX</w:t>
      </w:r>
    </w:p>
    <w:p w14:paraId="577107D7">
      <w:pPr>
        <w:adjustRightInd w:val="0"/>
        <w:spacing w:line="400" w:lineRule="exact"/>
        <w:ind w:firstLine="900" w:firstLineChars="375"/>
        <w:jc w:val="left"/>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投标日期:</w:t>
      </w:r>
      <w:r>
        <w:rPr>
          <w:rFonts w:hint="default" w:ascii="Times New Roman" w:hAnsi="Times New Roman" w:cs="Times New Roman"/>
          <w:color w:val="auto"/>
          <w:sz w:val="24"/>
          <w:highlight w:val="none"/>
        </w:rPr>
        <w:t xml:space="preserve"> XXXX</w:t>
      </w:r>
    </w:p>
    <w:p w14:paraId="0660BFA4">
      <w:pPr>
        <w:rPr>
          <w:rFonts w:hint="default" w:ascii="Times New Roman" w:hAnsi="Times New Roman" w:cs="Times New Roman"/>
          <w:color w:val="auto"/>
          <w:highlight w:val="none"/>
          <w:lang w:val="en-US" w:eastAsia="zh-CN"/>
        </w:rPr>
      </w:pPr>
      <w:bookmarkStart w:id="423" w:name="_Hlk535237171"/>
      <w:r>
        <w:rPr>
          <w:rFonts w:hint="default" w:ascii="Times New Roman" w:hAnsi="Times New Roman" w:cs="Times New Roman"/>
          <w:color w:val="auto"/>
          <w:highlight w:val="none"/>
          <w:lang w:val="en-US" w:eastAsia="zh-CN"/>
        </w:rPr>
        <w:br w:type="page"/>
      </w:r>
    </w:p>
    <w:p w14:paraId="3C103E01">
      <w:pPr>
        <w:pStyle w:val="4"/>
        <w:jc w:val="center"/>
        <w:rPr>
          <w:rFonts w:hint="default" w:ascii="Times New Roman" w:hAnsi="Times New Roman" w:cs="Times New Roman"/>
          <w:color w:val="auto"/>
          <w:kern w:val="28"/>
          <w:sz w:val="30"/>
          <w:szCs w:val="22"/>
          <w:highlight w:val="none"/>
        </w:rPr>
      </w:pP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、供应商诚信情况承诺函</w:t>
      </w:r>
    </w:p>
    <w:p w14:paraId="23F2FC19">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致中正恒天国际招标有限公司： </w:t>
      </w:r>
    </w:p>
    <w:p w14:paraId="6BDAF30B">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本单位</w:t>
      </w:r>
      <w:r>
        <w:rPr>
          <w:rFonts w:hint="default" w:ascii="Times New Roman" w:hAnsi="Times New Roman" w:cs="Times New Roman"/>
          <w:color w:val="auto"/>
          <w:sz w:val="24"/>
          <w:szCs w:val="24"/>
          <w:highlight w:val="none"/>
          <w:u w:val="single"/>
        </w:rPr>
        <w:t>XXXX（供应商名称）</w:t>
      </w:r>
      <w:r>
        <w:rPr>
          <w:rFonts w:hint="default" w:ascii="Times New Roman" w:hAnsi="Times New Roman" w:cs="Times New Roman"/>
          <w:color w:val="auto"/>
          <w:sz w:val="24"/>
          <w:szCs w:val="24"/>
          <w:highlight w:val="none"/>
        </w:rPr>
        <w:t>参加</w:t>
      </w:r>
      <w:r>
        <w:rPr>
          <w:rFonts w:hint="default" w:ascii="Times New Roman" w:hAnsi="Times New Roman" w:cs="Times New Roman"/>
          <w:color w:val="auto"/>
          <w:sz w:val="24"/>
          <w:szCs w:val="24"/>
          <w:highlight w:val="none"/>
          <w:u w:val="single"/>
        </w:rPr>
        <w:t xml:space="preserve"> XXXX （项目名称及采购编号）</w:t>
      </w:r>
      <w:r>
        <w:rPr>
          <w:rFonts w:hint="default" w:ascii="Times New Roman" w:hAnsi="Times New Roman" w:cs="Times New Roman"/>
          <w:color w:val="auto"/>
          <w:sz w:val="24"/>
          <w:szCs w:val="24"/>
          <w:highlight w:val="none"/>
        </w:rPr>
        <w:t>的政府采购活动，现根据《新疆维吾尔自治区政府采购信用管理暂行办法》新财购〔2015〕30号的相关规定，针对本单位的诚信情况作出以下承诺：</w:t>
      </w:r>
    </w:p>
    <w:p w14:paraId="47C83A5A">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我单位具有《新疆维吾尔自治区政府采购信用管理暂行办法》新财购〔2015〕30号所规定的失信行为</w:t>
      </w:r>
      <w:r>
        <w:rPr>
          <w:rFonts w:hint="default" w:ascii="Times New Roman" w:hAnsi="Times New Roman" w:cs="Times New Roman"/>
          <w:color w:val="auto"/>
          <w:sz w:val="24"/>
          <w:szCs w:val="24"/>
          <w:highlight w:val="none"/>
          <w:u w:val="single"/>
        </w:rPr>
        <w:t>XXXX</w:t>
      </w:r>
      <w:r>
        <w:rPr>
          <w:rFonts w:hint="default" w:ascii="Times New Roman" w:hAnsi="Times New Roman" w:cs="Times New Roman"/>
          <w:color w:val="auto"/>
          <w:sz w:val="24"/>
          <w:szCs w:val="24"/>
          <w:highlight w:val="none"/>
        </w:rPr>
        <w:t>次（填写失信行为的次数时，建议使用大写数字，如零、壹、贰、叁、肆等。）；（仅限投标截止当日仍在有效期的次数）</w:t>
      </w:r>
    </w:p>
    <w:p w14:paraId="4E1B7298">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我单位对以上填写信息的真实性负责。如有不实，本单位愿承担由此产生的一切法律责任和后果。</w:t>
      </w:r>
    </w:p>
    <w:p w14:paraId="39AEB9C7">
      <w:pPr>
        <w:spacing w:line="480" w:lineRule="auto"/>
        <w:ind w:firstLine="480" w:firstLineChars="200"/>
        <w:rPr>
          <w:rFonts w:hint="default" w:ascii="Times New Roman" w:hAnsi="Times New Roman" w:cs="Times New Roman"/>
          <w:color w:val="auto"/>
          <w:sz w:val="24"/>
          <w:szCs w:val="24"/>
          <w:highlight w:val="none"/>
        </w:rPr>
      </w:pPr>
    </w:p>
    <w:p w14:paraId="0B46898B">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投标人名称：XXXX（单位盖章）。</w:t>
      </w:r>
    </w:p>
    <w:p w14:paraId="193247DF">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法定代表人/单位负责人或授权代表（签字或加盖个人名章）：XXXX。</w:t>
      </w:r>
    </w:p>
    <w:p w14:paraId="26D25096">
      <w:pP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投标日期: XXXX。</w:t>
      </w:r>
    </w:p>
    <w:p w14:paraId="1BEB0D79">
      <w:pPr>
        <w:spacing w:line="480" w:lineRule="auto"/>
        <w:ind w:firstLine="480" w:firstLineChars="200"/>
        <w:rPr>
          <w:rFonts w:hint="default" w:ascii="Times New Roman" w:hAnsi="Times New Roman" w:cs="Times New Roman"/>
          <w:color w:val="auto"/>
          <w:sz w:val="24"/>
          <w:szCs w:val="24"/>
          <w:highlight w:val="none"/>
        </w:rPr>
      </w:pPr>
    </w:p>
    <w:p w14:paraId="6B0D419F">
      <w:pPr>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注：1、本表格式及内容仅供参考，投标人也可提供自己的格式；</w:t>
      </w:r>
    </w:p>
    <w:p w14:paraId="58007D5C">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2、投标人存在以上所述失信行为的，将按照第二章投标人须知附表的要求进行处理；</w:t>
      </w:r>
    </w:p>
    <w:p w14:paraId="0FA50B92">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财政部门对政府采购当事人的失信行为依法进行处罚、处理后，应当在新疆政府采购网向社会公告，并记入诚信档案，有效期为1年。工商部门、税务部门、审判机关及其他有关部门单位认定供应商的失信行为明确了有效期的，不再重复计算。</w:t>
      </w:r>
    </w:p>
    <w:p w14:paraId="3E2826C8">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4、投标人的失信行为受到行政处罚或司法惩处的，评审时不再对其以价格加成进行惩戒。</w:t>
      </w:r>
    </w:p>
    <w:p w14:paraId="79B4B38A">
      <w:pPr>
        <w:spacing w:line="360" w:lineRule="auto"/>
        <w:ind w:firstLine="790" w:firstLineChars="246"/>
        <w:jc w:val="center"/>
        <w:rPr>
          <w:rFonts w:hint="default" w:ascii="Times New Roman" w:hAnsi="Times New Roman" w:cs="Times New Roman"/>
          <w:b/>
          <w:color w:val="auto"/>
          <w:sz w:val="32"/>
          <w:szCs w:val="32"/>
          <w:highlight w:val="none"/>
        </w:rPr>
      </w:pPr>
    </w:p>
    <w:p w14:paraId="05720E03">
      <w:pPr>
        <w:adjustRightInd w:val="0"/>
        <w:spacing w:line="360" w:lineRule="auto"/>
        <w:jc w:val="left"/>
        <w:rPr>
          <w:rFonts w:hint="default" w:ascii="Times New Roman" w:hAnsi="Times New Roman" w:cs="Times New Roman"/>
          <w:color w:val="auto"/>
          <w:sz w:val="24"/>
          <w:highlight w:val="none"/>
        </w:rPr>
      </w:pPr>
    </w:p>
    <w:bookmarkEnd w:id="423"/>
    <w:p w14:paraId="0A685365">
      <w:pPr>
        <w:pStyle w:val="4"/>
        <w:spacing w:line="400" w:lineRule="exact"/>
        <w:jc w:val="center"/>
        <w:rPr>
          <w:rFonts w:hint="eastAsia" w:ascii="Times New Roman" w:hAnsi="Times New Roman" w:cs="Times New Roman"/>
          <w:color w:val="auto"/>
          <w:highlight w:val="none"/>
          <w:lang w:val="en-US" w:eastAsia="zh-CN"/>
        </w:rPr>
      </w:pPr>
      <w:bookmarkStart w:id="424" w:name="_Toc519517095"/>
      <w:bookmarkStart w:id="425" w:name="_Toc509843561"/>
      <w:bookmarkStart w:id="426" w:name="_Toc517348619"/>
      <w:bookmarkStart w:id="427" w:name="_Toc516057996"/>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w:t>
      </w:r>
      <w:bookmarkEnd w:id="424"/>
      <w:bookmarkEnd w:id="425"/>
      <w:bookmarkEnd w:id="426"/>
      <w:bookmarkEnd w:id="427"/>
      <w:r>
        <w:rPr>
          <w:rFonts w:hint="eastAsia" w:ascii="Times New Roman" w:hAnsi="Times New Roman" w:cs="Times New Roman"/>
          <w:color w:val="auto"/>
          <w:highlight w:val="none"/>
          <w:lang w:val="en-US" w:eastAsia="zh-CN"/>
        </w:rPr>
        <w:t>总公司授权书</w:t>
      </w:r>
    </w:p>
    <w:p w14:paraId="483B97F3">
      <w:pPr>
        <w:spacing w:line="400" w:lineRule="exact"/>
        <w:ind w:firstLine="480" w:firstLineChars="200"/>
        <w:jc w:val="center"/>
        <w:rPr>
          <w:rFonts w:hint="default" w:ascii="Times New Roman" w:cs="Times New Roman"/>
          <w:color w:val="auto"/>
          <w:sz w:val="24"/>
          <w:szCs w:val="24"/>
          <w:highlight w:val="none"/>
          <w:lang w:val="en-US" w:eastAsia="zh-CN"/>
        </w:rPr>
      </w:pPr>
      <w:r>
        <w:rPr>
          <w:rFonts w:hint="eastAsia" w:ascii="Times New Roman" w:cs="Times New Roman"/>
          <w:color w:val="auto"/>
          <w:sz w:val="24"/>
          <w:szCs w:val="24"/>
          <w:highlight w:val="none"/>
          <w:lang w:val="en-US" w:eastAsia="zh-CN"/>
        </w:rPr>
        <w:t>如参与的投标人为分公司形式，则需提供总公司授权书并加盖公章</w:t>
      </w:r>
    </w:p>
    <w:p w14:paraId="15D72FE1">
      <w:pPr>
        <w:spacing w:line="400" w:lineRule="exact"/>
        <w:ind w:firstLine="480" w:firstLineChars="200"/>
        <w:jc w:val="center"/>
        <w:rPr>
          <w:rFonts w:hint="default"/>
          <w:lang w:val="en-US" w:eastAsia="zh-CN"/>
        </w:rPr>
      </w:pPr>
      <w:r>
        <w:rPr>
          <w:rFonts w:hint="default" w:ascii="Times New Roman" w:hAnsi="Times New Roman" w:cs="Times New Roman"/>
          <w:color w:val="auto"/>
          <w:sz w:val="24"/>
          <w:szCs w:val="24"/>
          <w:highlight w:val="none"/>
        </w:rPr>
        <w:t>格式自拟。</w:t>
      </w:r>
    </w:p>
    <w:p w14:paraId="27D264F5">
      <w:pP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br w:type="page"/>
      </w:r>
    </w:p>
    <w:p w14:paraId="1AC7877D">
      <w:pPr>
        <w:pStyle w:val="4"/>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方案</w:t>
      </w:r>
    </w:p>
    <w:p w14:paraId="708497C5">
      <w:pPr>
        <w:spacing w:line="400" w:lineRule="exact"/>
        <w:ind w:firstLine="480" w:firstLineChars="20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格式自拟。</w:t>
      </w:r>
    </w:p>
    <w:p w14:paraId="7D2354EF">
      <w:pPr>
        <w:spacing w:line="400" w:lineRule="exact"/>
        <w:ind w:firstLine="480" w:firstLineChars="200"/>
        <w:rPr>
          <w:rFonts w:hint="default" w:ascii="Times New Roman" w:hAnsi="Times New Roman" w:cs="Times New Roman"/>
          <w:color w:val="auto"/>
          <w:sz w:val="24"/>
          <w:szCs w:val="24"/>
          <w:highlight w:val="none"/>
        </w:rPr>
      </w:pPr>
    </w:p>
    <w:p w14:paraId="15284676">
      <w:pPr>
        <w:pStyle w:val="4"/>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、其他材料</w:t>
      </w:r>
    </w:p>
    <w:p w14:paraId="0485D6EE">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bCs/>
          <w:color w:val="auto"/>
          <w:sz w:val="24"/>
          <w:szCs w:val="24"/>
          <w:highlight w:val="none"/>
        </w:rPr>
        <w:t>附:供应商的信誉证明、获奖情况等相关材料及综合评分中评分标准及供应商认为需要提供的其他资料。</w:t>
      </w:r>
    </w:p>
    <w:p w14:paraId="12622FB5">
      <w:pPr>
        <w:spacing w:line="440" w:lineRule="exact"/>
        <w:rPr>
          <w:rFonts w:hint="default" w:ascii="Times New Roman" w:hAnsi="Times New Roman" w:cs="Times New Roman"/>
          <w:color w:val="auto"/>
          <w:sz w:val="24"/>
          <w:szCs w:val="24"/>
          <w:highlight w:val="none"/>
        </w:rPr>
      </w:pPr>
    </w:p>
    <w:p w14:paraId="3B925FF3">
      <w:pPr>
        <w:rPr>
          <w:rFonts w:hint="default" w:ascii="Times New Roman" w:hAnsi="Times New Roman" w:cs="Times New Roman"/>
          <w:color w:val="auto"/>
          <w:sz w:val="24"/>
          <w:highlight w:val="none"/>
        </w:rPr>
      </w:pPr>
    </w:p>
    <w:p w14:paraId="0007D03B">
      <w:pPr>
        <w:pStyle w:val="2"/>
        <w:pageBreakBefore/>
        <w:spacing w:before="0" w:after="156" w:afterLines="50" w:line="44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第四章  投标人和投标产品的资格、资质性及其他类似效力要求</w:t>
      </w:r>
      <w:bookmarkEnd w:id="357"/>
      <w:bookmarkEnd w:id="358"/>
      <w:bookmarkEnd w:id="359"/>
    </w:p>
    <w:p w14:paraId="00B5C6BD">
      <w:pPr>
        <w:pStyle w:val="145"/>
        <w:rPr>
          <w:rFonts w:hint="default" w:ascii="Times New Roman" w:hAnsi="Times New Roman" w:cs="Times New Roman"/>
          <w:color w:val="auto"/>
          <w:highlight w:val="none"/>
        </w:rPr>
      </w:pPr>
    </w:p>
    <w:p w14:paraId="424F743D">
      <w:pPr>
        <w:pStyle w:val="4"/>
        <w:spacing w:before="0" w:after="0" w:line="440" w:lineRule="exact"/>
        <w:ind w:firstLine="482" w:firstLineChars="200"/>
        <w:rPr>
          <w:rFonts w:hint="default" w:ascii="Times New Roman" w:hAnsi="Times New Roman" w:cs="Times New Roman"/>
          <w:color w:val="auto"/>
          <w:sz w:val="24"/>
          <w:szCs w:val="24"/>
          <w:highlight w:val="none"/>
        </w:rPr>
      </w:pPr>
      <w:bookmarkStart w:id="428" w:name="_Toc5367"/>
      <w:bookmarkStart w:id="429" w:name="_Toc8672"/>
      <w:bookmarkStart w:id="430" w:name="_Toc472604641"/>
      <w:bookmarkStart w:id="431" w:name="_Toc18944"/>
      <w:bookmarkStart w:id="432" w:name="_Toc10778"/>
      <w:bookmarkStart w:id="433" w:name="_Toc466298089"/>
      <w:bookmarkStart w:id="434" w:name="_Toc8256"/>
      <w:bookmarkStart w:id="435" w:name="_Toc14927"/>
      <w:bookmarkStart w:id="436" w:name="_Toc465085391"/>
      <w:bookmarkStart w:id="437" w:name="_Toc10853"/>
      <w:bookmarkStart w:id="438" w:name="_Toc6814"/>
      <w:r>
        <w:rPr>
          <w:rFonts w:hint="default" w:ascii="Times New Roman" w:hAnsi="Times New Roman" w:cs="Times New Roman"/>
          <w:color w:val="auto"/>
          <w:sz w:val="24"/>
          <w:szCs w:val="24"/>
          <w:highlight w:val="none"/>
        </w:rPr>
        <w:t>一、投标人资格、资质性及其他类似效力要求</w:t>
      </w:r>
      <w:bookmarkEnd w:id="428"/>
      <w:bookmarkEnd w:id="429"/>
      <w:bookmarkEnd w:id="430"/>
      <w:bookmarkEnd w:id="431"/>
      <w:bookmarkEnd w:id="432"/>
      <w:bookmarkEnd w:id="433"/>
      <w:bookmarkEnd w:id="434"/>
      <w:bookmarkEnd w:id="435"/>
      <w:bookmarkEnd w:id="436"/>
      <w:bookmarkEnd w:id="437"/>
      <w:bookmarkEnd w:id="438"/>
    </w:p>
    <w:p w14:paraId="1492518F">
      <w:pPr>
        <w:pStyle w:val="136"/>
        <w:spacing w:line="420" w:lineRule="exact"/>
        <w:ind w:firstLine="480" w:firstLineChars="200"/>
        <w:rPr>
          <w:rFonts w:hint="default" w:ascii="Times New Roman" w:hAnsi="Times New Roman" w:cs="Times New Roman"/>
          <w:color w:val="auto"/>
          <w:sz w:val="24"/>
          <w:highlight w:val="none"/>
        </w:rPr>
      </w:pPr>
      <w:bookmarkStart w:id="439" w:name="_Toc25419"/>
      <w:bookmarkStart w:id="440" w:name="_Toc1969"/>
      <w:bookmarkStart w:id="441" w:name="_Toc18482"/>
      <w:bookmarkStart w:id="442" w:name="_Toc4840"/>
      <w:bookmarkStart w:id="443" w:name="_Toc8671"/>
      <w:bookmarkStart w:id="444" w:name="_Toc2706"/>
      <w:r>
        <w:rPr>
          <w:rFonts w:hint="default" w:ascii="Times New Roman" w:hAnsi="Times New Roman" w:cs="Times New Roman"/>
          <w:color w:val="auto"/>
          <w:sz w:val="24"/>
          <w:highlight w:val="none"/>
        </w:rPr>
        <w:t>1、</w:t>
      </w:r>
      <w:r>
        <w:rPr>
          <w:rFonts w:hint="default" w:ascii="Times New Roman" w:hAnsi="Times New Roman" w:eastAsia="宋体" w:cs="Times New Roman"/>
          <w:color w:val="auto"/>
          <w:sz w:val="24"/>
          <w:highlight w:val="none"/>
          <w:lang w:val="en-US" w:eastAsia="zh-CN"/>
        </w:rPr>
        <w:t>法人或者其他组织的营业执照等证明文件，法定代表人</w:t>
      </w:r>
      <w:r>
        <w:rPr>
          <w:rFonts w:hint="default" w:ascii="Times New Roman" w:hAnsi="Times New Roman" w:cs="Times New Roman"/>
          <w:color w:val="auto"/>
          <w:sz w:val="24"/>
          <w:highlight w:val="none"/>
        </w:rPr>
        <w:t>/单位负责人</w:t>
      </w:r>
      <w:r>
        <w:rPr>
          <w:rFonts w:hint="default" w:ascii="Times New Roman" w:hAnsi="Times New Roman" w:eastAsia="宋体" w:cs="Times New Roman"/>
          <w:color w:val="auto"/>
          <w:sz w:val="24"/>
          <w:highlight w:val="none"/>
          <w:lang w:val="en-US" w:eastAsia="zh-CN"/>
        </w:rPr>
        <w:t>或负责人的身份证明；</w:t>
      </w:r>
    </w:p>
    <w:p w14:paraId="2ED1AEDB">
      <w:pP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2、具有良好的商业信誉和健全的财务会计制度；</w:t>
      </w:r>
    </w:p>
    <w:p w14:paraId="45026064">
      <w:pP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3、具有履行合同所必需的设备和专业技术能力；</w:t>
      </w:r>
    </w:p>
    <w:p w14:paraId="4D61B7F4">
      <w:pP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4、具有依法缴纳税收和社会保障资金的良好记录；</w:t>
      </w:r>
    </w:p>
    <w:p w14:paraId="5D848560">
      <w:pP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5、参加本次政府采购活动前三年内，在经营活动中没有重大违法记录。</w:t>
      </w:r>
    </w:p>
    <w:p w14:paraId="0220C78B">
      <w:pP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6、符合法律、行政法规规定的其他条件。</w:t>
      </w:r>
    </w:p>
    <w:p w14:paraId="237F30B4">
      <w:pP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7、本项目接受联合体投标。</w:t>
      </w:r>
    </w:p>
    <w:p w14:paraId="66C31BDB">
      <w:pP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8、根据采购项目提出的特殊条件：</w:t>
      </w:r>
      <w:r>
        <w:rPr>
          <w:rFonts w:hint="default" w:ascii="Times New Roman" w:hAnsi="Times New Roman" w:cs="Times New Roman"/>
          <w:color w:val="auto"/>
          <w:sz w:val="24"/>
          <w:highlight w:val="none"/>
          <w:lang w:val="en-US" w:eastAsia="zh-CN"/>
        </w:rPr>
        <w:t>无</w:t>
      </w:r>
    </w:p>
    <w:p w14:paraId="3F9889CE">
      <w:pP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9、投标人单位及其现任法定代表人/单位负责人/主要负责人不得具有行贿犯罪记录。</w:t>
      </w:r>
    </w:p>
    <w:p w14:paraId="60EE21F1">
      <w:pPr>
        <w:tabs>
          <w:tab w:val="left" w:pos="7665"/>
        </w:tabs>
        <w:spacing w:line="400" w:lineRule="exact"/>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rPr>
        <w:t>、落实政府采购政策需满足的资格要求：</w:t>
      </w:r>
      <w:r>
        <w:rPr>
          <w:rFonts w:hint="default" w:ascii="Times New Roman" w:hAnsi="Times New Roman" w:cs="Times New Roman"/>
          <w:b w:val="0"/>
          <w:bCs w:val="0"/>
          <w:color w:val="auto"/>
          <w:sz w:val="24"/>
          <w:highlight w:val="none"/>
          <w:lang w:val="en-US" w:eastAsia="zh-CN"/>
        </w:rPr>
        <w:t>本项目预留部分采购项目预算专门面向中小企业采购。</w:t>
      </w:r>
    </w:p>
    <w:p w14:paraId="1856BA1B">
      <w:pPr>
        <w:tabs>
          <w:tab w:val="left" w:pos="7665"/>
        </w:tabs>
        <w:spacing w:line="400" w:lineRule="exact"/>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1）投标人所提供的服务属于大型企业的，必须将本项目联合给一家或者多家中小企业，中小企业承担的合同份额占合同金额的比例达到30%以上（其中预留给小微企业的部分不低于合同金额的18%），接受联合体的中小企业与联合企业之间不得存在直接控股、管理关系。投标时须按格式提供《联合体意向协议书》（格式自拟）以及接受联合体的供应商的《中小企业声明函》。</w:t>
      </w:r>
    </w:p>
    <w:p w14:paraId="5AC30638">
      <w:pPr>
        <w:tabs>
          <w:tab w:val="left" w:pos="7665"/>
        </w:tabs>
        <w:spacing w:line="400" w:lineRule="exact"/>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2）投标人所提供的服务属于中型企业的，必须将本项目联合给一家或者多家小微企业，小微企业承担的合同份额不低于合同金额的18%，接受联合体的中小企业与联合企业之间不得存在直接控股、管理关系。投标时须按格式提供《联合体意向协议书》（格式自拟）以及联合体的供应商的《中小企业声明函》。</w:t>
      </w:r>
    </w:p>
    <w:p w14:paraId="35B89EB6">
      <w:pP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b w:val="0"/>
          <w:bCs w:val="0"/>
          <w:color w:val="auto"/>
          <w:sz w:val="24"/>
          <w:highlight w:val="none"/>
          <w:lang w:val="en-US" w:eastAsia="zh-CN"/>
        </w:rPr>
        <w:t>（3）投标人所提供的服务属于小微企业的，不得联合给大中型企业；是否联合体给小微企业不作强制要求，投标时须提交《中小企业声明函》（见投标格式）。</w:t>
      </w:r>
    </w:p>
    <w:p w14:paraId="59BF8567">
      <w:pPr>
        <w:pStyle w:val="4"/>
        <w:spacing w:before="0" w:after="0" w:line="440" w:lineRule="exact"/>
        <w:ind w:firstLine="482" w:firstLineChars="200"/>
        <w:rPr>
          <w:rFonts w:hint="default" w:ascii="Times New Roman" w:hAnsi="Times New Roman" w:cs="Times New Roman"/>
          <w:color w:val="auto"/>
          <w:sz w:val="24"/>
          <w:szCs w:val="24"/>
          <w:highlight w:val="none"/>
        </w:rPr>
      </w:pPr>
      <w:bookmarkStart w:id="445" w:name="_Toc21232"/>
      <w:bookmarkStart w:id="446" w:name="_Toc466298090"/>
      <w:bookmarkStart w:id="447" w:name="_Toc27487"/>
      <w:bookmarkStart w:id="448" w:name="_Toc465085392"/>
      <w:bookmarkStart w:id="449" w:name="_Toc472604642"/>
      <w:r>
        <w:rPr>
          <w:rFonts w:hint="default" w:ascii="Times New Roman" w:hAnsi="Times New Roman" w:cs="Times New Roman"/>
          <w:color w:val="auto"/>
          <w:sz w:val="24"/>
          <w:szCs w:val="24"/>
          <w:highlight w:val="none"/>
        </w:rPr>
        <w:t>二、投标产品（如涉及）的资格、资质性及其他类似效力要求</w:t>
      </w:r>
      <w:bookmarkEnd w:id="439"/>
      <w:bookmarkEnd w:id="440"/>
      <w:bookmarkEnd w:id="441"/>
      <w:bookmarkEnd w:id="442"/>
      <w:bookmarkEnd w:id="443"/>
      <w:bookmarkEnd w:id="444"/>
      <w:bookmarkEnd w:id="445"/>
      <w:bookmarkEnd w:id="446"/>
      <w:bookmarkEnd w:id="447"/>
      <w:bookmarkEnd w:id="448"/>
      <w:bookmarkEnd w:id="449"/>
    </w:p>
    <w:p w14:paraId="6F03CA9E">
      <w:pPr>
        <w:pStyle w:val="136"/>
        <w:spacing w:line="42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（一）资格要求：无</w:t>
      </w:r>
    </w:p>
    <w:p w14:paraId="53B9E98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（二）资质性要求：无</w:t>
      </w:r>
    </w:p>
    <w:p w14:paraId="496A9609">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（三）其他类似效力要求：</w:t>
      </w:r>
    </w:p>
    <w:p w14:paraId="42AFCE8F">
      <w:pPr>
        <w:spacing w:line="440" w:lineRule="exact"/>
        <w:ind w:firstLine="501" w:firstLineChars="20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（1）满足招标文件中关于资质、资格的其他要求；</w:t>
      </w:r>
    </w:p>
    <w:p w14:paraId="40580AF7">
      <w:pPr>
        <w:spacing w:line="440" w:lineRule="exact"/>
        <w:ind w:firstLine="501" w:firstLineChars="20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（2）投标人自行提供认为有利于本次投标的相关真实有效的证明文件及材料。</w:t>
      </w:r>
    </w:p>
    <w:p w14:paraId="0EDB8ADC">
      <w:pPr>
        <w:spacing w:line="360" w:lineRule="auto"/>
        <w:ind w:firstLine="501" w:firstLineChars="209"/>
        <w:rPr>
          <w:rFonts w:hint="default" w:ascii="Times New Roman" w:hAnsi="Times New Roman" w:cs="Times New Roman"/>
          <w:color w:val="auto"/>
          <w:sz w:val="24"/>
          <w:szCs w:val="24"/>
          <w:highlight w:val="none"/>
        </w:rPr>
      </w:pPr>
      <w:bookmarkStart w:id="450" w:name="_Hlk534965288"/>
      <w:bookmarkStart w:id="451" w:name="_Hlk534906202"/>
      <w:r>
        <w:rPr>
          <w:rFonts w:hint="default" w:ascii="Times New Roman" w:hAnsi="Times New Roman" w:cs="Times New Roman"/>
          <w:color w:val="auto"/>
          <w:sz w:val="24"/>
          <w:szCs w:val="24"/>
          <w:highlight w:val="none"/>
        </w:rPr>
        <w:t>注：《中华人民共和国政府采购法实施条例》第十九条第一款规定的“较大数额罚款”认定为200万元以上的罚款，法律、行政法规以及国务院有关部门明确规定相关领域“较大数额罚款”标准高于200万元的，从其规定。</w:t>
      </w:r>
    </w:p>
    <w:bookmarkEnd w:id="450"/>
    <w:bookmarkEnd w:id="451"/>
    <w:p w14:paraId="1941952C">
      <w:pPr>
        <w:pStyle w:val="2"/>
        <w:pageBreakBefore/>
        <w:spacing w:before="0" w:after="156" w:afterLines="50" w:line="440" w:lineRule="exact"/>
        <w:rPr>
          <w:rFonts w:hint="default" w:ascii="Times New Roman" w:hAnsi="Times New Roman" w:cs="Times New Roman"/>
          <w:color w:val="auto"/>
          <w:sz w:val="30"/>
          <w:szCs w:val="30"/>
          <w:highlight w:val="none"/>
        </w:rPr>
      </w:pPr>
      <w:bookmarkStart w:id="452" w:name="_Toc9700"/>
      <w:bookmarkStart w:id="453" w:name="_Toc4142"/>
      <w:bookmarkStart w:id="454" w:name="_Toc21257"/>
      <w:bookmarkStart w:id="455" w:name="_Toc466298091"/>
      <w:bookmarkStart w:id="456" w:name="_Toc465085393"/>
      <w:bookmarkStart w:id="457" w:name="_Toc472604643"/>
      <w:bookmarkStart w:id="458" w:name="_Toc360804506"/>
      <w:r>
        <w:rPr>
          <w:rFonts w:hint="default" w:ascii="Times New Roman" w:hAnsi="Times New Roman" w:cs="Times New Roman"/>
          <w:color w:val="auto"/>
          <w:sz w:val="30"/>
          <w:szCs w:val="30"/>
          <w:highlight w:val="none"/>
        </w:rPr>
        <w:t>第五章  投标人应当提供的资格、资质性及其他</w:t>
      </w:r>
      <w:bookmarkEnd w:id="452"/>
      <w:bookmarkEnd w:id="453"/>
      <w:bookmarkEnd w:id="454"/>
      <w:r>
        <w:rPr>
          <w:rFonts w:hint="default" w:ascii="Times New Roman" w:hAnsi="Times New Roman" w:cs="Times New Roman"/>
          <w:color w:val="auto"/>
          <w:sz w:val="30"/>
          <w:szCs w:val="30"/>
          <w:highlight w:val="none"/>
        </w:rPr>
        <w:t>类似效力要求的相关证明材料</w:t>
      </w:r>
      <w:bookmarkEnd w:id="455"/>
      <w:bookmarkEnd w:id="456"/>
      <w:bookmarkEnd w:id="457"/>
    </w:p>
    <w:bookmarkEnd w:id="458"/>
    <w:p w14:paraId="595057F5">
      <w:pPr>
        <w:pStyle w:val="145"/>
        <w:rPr>
          <w:rFonts w:hint="default" w:ascii="Times New Roman" w:hAnsi="Times New Roman" w:cs="Times New Roman"/>
          <w:color w:val="auto"/>
          <w:highlight w:val="none"/>
        </w:rPr>
      </w:pPr>
    </w:p>
    <w:p w14:paraId="2B9BDC31">
      <w:pPr>
        <w:ind w:firstLine="482" w:firstLineChars="200"/>
        <w:rPr>
          <w:rFonts w:hint="default" w:ascii="Times New Roman" w:hAnsi="Times New Roman" w:cs="Times New Roman"/>
          <w:b/>
          <w:color w:val="auto"/>
          <w:sz w:val="24"/>
          <w:szCs w:val="24"/>
          <w:highlight w:val="none"/>
        </w:rPr>
      </w:pPr>
      <w:bookmarkStart w:id="459" w:name="_Toc17321"/>
      <w:bookmarkStart w:id="460" w:name="_Toc29238"/>
      <w:bookmarkStart w:id="461" w:name="_Toc10665"/>
      <w:bookmarkStart w:id="462" w:name="_Toc31487"/>
      <w:bookmarkStart w:id="463" w:name="_Toc32687"/>
      <w:bookmarkStart w:id="464" w:name="_Toc30806"/>
      <w:bookmarkStart w:id="465" w:name="_Toc29904"/>
      <w:bookmarkStart w:id="466" w:name="_Toc24711"/>
      <w:bookmarkStart w:id="467" w:name="_Toc465085395"/>
      <w:bookmarkStart w:id="468" w:name="_Hlk534906298"/>
      <w:bookmarkStart w:id="469" w:name="_Toc14211"/>
      <w:bookmarkStart w:id="470" w:name="_Toc19760"/>
      <w:bookmarkStart w:id="471" w:name="_Toc27752"/>
      <w:bookmarkStart w:id="472" w:name="_Toc465085402"/>
      <w:bookmarkStart w:id="473" w:name="_Toc6874"/>
      <w:bookmarkStart w:id="474" w:name="_Toc3141"/>
      <w:bookmarkStart w:id="475" w:name="_Toc29152"/>
      <w:bookmarkStart w:id="476" w:name="_Toc472604646"/>
      <w:bookmarkStart w:id="477" w:name="_Toc466298094"/>
      <w:bookmarkStart w:id="478" w:name="_Toc6778"/>
      <w:bookmarkStart w:id="479" w:name="_Toc18877"/>
      <w:bookmarkStart w:id="480" w:name="_Toc19461"/>
      <w:bookmarkStart w:id="481" w:name="_Toc5757"/>
      <w:bookmarkStart w:id="482" w:name="_Toc31118"/>
      <w:r>
        <w:rPr>
          <w:rFonts w:hint="default" w:ascii="Times New Roman" w:hAnsi="Times New Roman" w:cs="Times New Roman"/>
          <w:b/>
          <w:color w:val="auto"/>
          <w:sz w:val="24"/>
          <w:szCs w:val="24"/>
          <w:highlight w:val="none"/>
        </w:rPr>
        <w:t xml:space="preserve">一、投标人应当提供的资格、资质性文件及其他类似效力的要求的相关证明材料（有一项不通过，否决投标文件）  </w:t>
      </w:r>
    </w:p>
    <w:p w14:paraId="692CB73E">
      <w:pPr>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（一） 资格要求相关证明材料：</w:t>
      </w:r>
      <w:bookmarkEnd w:id="459"/>
      <w:bookmarkEnd w:id="460"/>
      <w:bookmarkEnd w:id="461"/>
      <w:bookmarkEnd w:id="462"/>
      <w:bookmarkEnd w:id="463"/>
      <w:bookmarkEnd w:id="464"/>
      <w:bookmarkEnd w:id="465"/>
      <w:bookmarkEnd w:id="466"/>
      <w:bookmarkEnd w:id="467"/>
    </w:p>
    <w:p w14:paraId="77252F4B">
      <w:pP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1、具有独立承担民事责任的能力的证明材料。</w:t>
      </w:r>
      <w:r>
        <w:rPr>
          <w:rFonts w:hint="default" w:ascii="Times New Roman" w:hAnsi="Times New Roman" w:cs="Times New Roman"/>
          <w:color w:val="auto"/>
          <w:sz w:val="24"/>
          <w:highlight w:val="none"/>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w:t>
      </w:r>
    </w:p>
    <w:p w14:paraId="006403E3">
      <w:pP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2、具备良好商业信誉的证明材料</w:t>
      </w:r>
      <w:r>
        <w:rPr>
          <w:rFonts w:hint="default" w:ascii="Times New Roman" w:hAnsi="Times New Roman" w:cs="Times New Roman"/>
          <w:color w:val="auto"/>
          <w:sz w:val="24"/>
          <w:highlight w:val="none"/>
        </w:rPr>
        <w:t>（提供承诺函，格式详见第三章）；</w:t>
      </w:r>
    </w:p>
    <w:p w14:paraId="785AE2B1">
      <w:pP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3、具备健全的财务会计制度的证明材料</w:t>
      </w:r>
      <w:r>
        <w:rPr>
          <w:rFonts w:hint="default" w:ascii="Times New Roman" w:hAnsi="Times New Roman" w:cs="Times New Roman"/>
          <w:color w:val="auto"/>
          <w:sz w:val="24"/>
          <w:highlight w:val="none"/>
        </w:rPr>
        <w:t>：（以下4项任选其一提供）</w:t>
      </w:r>
    </w:p>
    <w:p w14:paraId="2079DDEC">
      <w:pP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①提供202</w:t>
      </w:r>
      <w:r>
        <w:rPr>
          <w:rFonts w:hint="eastAsia" w:ascii="Times New Roman" w:cs="Times New Roman"/>
          <w:color w:val="auto"/>
          <w:sz w:val="24"/>
          <w:highlight w:val="none"/>
          <w:lang w:val="en-US" w:eastAsia="zh-CN"/>
        </w:rPr>
        <w:t>4</w:t>
      </w:r>
      <w:r>
        <w:rPr>
          <w:rFonts w:hint="default" w:ascii="Times New Roman" w:hAnsi="Times New Roman" w:cs="Times New Roman"/>
          <w:color w:val="auto"/>
          <w:sz w:val="24"/>
          <w:highlight w:val="none"/>
        </w:rPr>
        <w:t>年或20</w:t>
      </w:r>
      <w:r>
        <w:rPr>
          <w:rFonts w:hint="eastAsia" w:ascii="Times New Roman" w:cs="Times New Roman"/>
          <w:color w:val="auto"/>
          <w:sz w:val="24"/>
          <w:highlight w:val="none"/>
          <w:lang w:val="en-US" w:eastAsia="zh-CN"/>
        </w:rPr>
        <w:t>25</w:t>
      </w:r>
      <w:r>
        <w:rPr>
          <w:rFonts w:hint="default" w:ascii="Times New Roman" w:hAnsi="Times New Roman" w:cs="Times New Roman"/>
          <w:color w:val="auto"/>
          <w:sz w:val="24"/>
          <w:highlight w:val="none"/>
        </w:rPr>
        <w:t>年度经审计的财务报告；</w:t>
      </w:r>
    </w:p>
    <w:p w14:paraId="2941FF9D">
      <w:pP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②提供202</w:t>
      </w:r>
      <w:r>
        <w:rPr>
          <w:rFonts w:hint="eastAsia" w:ascii="Times New Roman" w:cs="Times New Roman"/>
          <w:color w:val="auto"/>
          <w:sz w:val="24"/>
          <w:highlight w:val="none"/>
          <w:lang w:val="en-US" w:eastAsia="zh-CN"/>
        </w:rPr>
        <w:t>4</w:t>
      </w:r>
      <w:r>
        <w:rPr>
          <w:rFonts w:hint="default" w:ascii="Times New Roman" w:hAnsi="Times New Roman" w:cs="Times New Roman"/>
          <w:color w:val="auto"/>
          <w:sz w:val="24"/>
          <w:highlight w:val="none"/>
        </w:rPr>
        <w:t>年或20</w:t>
      </w:r>
      <w:r>
        <w:rPr>
          <w:rFonts w:hint="eastAsia" w:ascii="Times New Roman" w:cs="Times New Roman"/>
          <w:color w:val="auto"/>
          <w:sz w:val="24"/>
          <w:highlight w:val="none"/>
          <w:lang w:val="en-US" w:eastAsia="zh-CN"/>
        </w:rPr>
        <w:t>25</w:t>
      </w:r>
      <w:r>
        <w:rPr>
          <w:rFonts w:hint="default" w:ascii="Times New Roman" w:hAnsi="Times New Roman" w:cs="Times New Roman"/>
          <w:color w:val="auto"/>
          <w:sz w:val="24"/>
          <w:highlight w:val="none"/>
        </w:rPr>
        <w:t>年度供应商内部的财务报表复印件（至少包含资产负债表）；</w:t>
      </w:r>
    </w:p>
    <w:p w14:paraId="0983AF16">
      <w:pP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③提供截至投标文件递交截止日一年内银行出具的资信证明（复印件）；</w:t>
      </w:r>
    </w:p>
    <w:p w14:paraId="54CDD12B">
      <w:pP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④供应商注册时间截至投标文件递交截止日不足一年的，也可提供在工商备案的公司章程（复印件）。</w:t>
      </w:r>
    </w:p>
    <w:p w14:paraId="44325D0C">
      <w:pPr>
        <w:spacing w:line="360" w:lineRule="auto"/>
        <w:ind w:firstLine="602" w:firstLineChars="25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4、具有履行合同所必需的设备和专业技术能力的证明材料</w:t>
      </w:r>
    </w:p>
    <w:p w14:paraId="07A5EE6D">
      <w:pP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投标人自行提供或提供承诺函（承诺函格式详见第三章）。</w:t>
      </w:r>
    </w:p>
    <w:p w14:paraId="64314484">
      <w:pP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5、具有依法缴纳税收和社会保障资金的良好记录：</w:t>
      </w:r>
      <w:r>
        <w:rPr>
          <w:rFonts w:hint="default" w:ascii="Times New Roman" w:hAnsi="Times New Roman" w:cs="Times New Roman"/>
          <w:color w:val="auto"/>
          <w:sz w:val="24"/>
          <w:highlight w:val="none"/>
        </w:rPr>
        <w:t>（以下2项任选其一提供）</w:t>
      </w:r>
    </w:p>
    <w:p w14:paraId="72BAB5EC">
      <w:pPr>
        <w:spacing w:line="360" w:lineRule="auto"/>
        <w:ind w:firstLine="600" w:firstLineChars="25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highlight w:val="none"/>
        </w:rPr>
        <w:t>①</w:t>
      </w:r>
      <w:r>
        <w:rPr>
          <w:rFonts w:hint="default" w:ascii="Times New Roman" w:hAnsi="Times New Roman" w:cs="Times New Roman"/>
          <w:color w:val="auto"/>
          <w:sz w:val="24"/>
          <w:szCs w:val="22"/>
          <w:highlight w:val="none"/>
        </w:rPr>
        <w:t>提供 202</w:t>
      </w:r>
      <w:r>
        <w:rPr>
          <w:rFonts w:hint="eastAsia" w:ascii="Times New Roman" w:cs="Times New Roman"/>
          <w:color w:val="auto"/>
          <w:sz w:val="24"/>
          <w:szCs w:val="22"/>
          <w:highlight w:val="none"/>
          <w:lang w:val="en-US" w:eastAsia="zh-CN"/>
        </w:rPr>
        <w:t>6</w:t>
      </w:r>
      <w:r>
        <w:rPr>
          <w:rFonts w:hint="default" w:ascii="Times New Roman" w:hAnsi="Times New Roman" w:cs="Times New Roman"/>
          <w:color w:val="auto"/>
          <w:sz w:val="24"/>
          <w:szCs w:val="22"/>
          <w:highlight w:val="none"/>
        </w:rPr>
        <w:t>年以来任意一月税务部门出具的纳税证明社保缴纳的证明材料；</w:t>
      </w:r>
    </w:p>
    <w:p w14:paraId="101B7C76">
      <w:pPr>
        <w:spacing w:line="360" w:lineRule="auto"/>
        <w:ind w:firstLine="600" w:firstLineChars="25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②提供承诺函（</w:t>
      </w:r>
      <w:r>
        <w:rPr>
          <w:rFonts w:hint="default" w:ascii="Times New Roman" w:hAnsi="Times New Roman" w:cs="Times New Roman"/>
          <w:color w:val="auto"/>
          <w:sz w:val="24"/>
          <w:highlight w:val="none"/>
        </w:rPr>
        <w:t>格式详见第三章</w:t>
      </w:r>
      <w:r>
        <w:rPr>
          <w:rFonts w:hint="default" w:ascii="Times New Roman" w:hAnsi="Times New Roman" w:cs="Times New Roman"/>
          <w:color w:val="auto"/>
          <w:sz w:val="24"/>
          <w:szCs w:val="22"/>
          <w:highlight w:val="none"/>
        </w:rPr>
        <w:t>）。</w:t>
      </w:r>
    </w:p>
    <w:p w14:paraId="115CE1EB">
      <w:pPr>
        <w:numPr>
          <w:ilvl w:val="0"/>
          <w:numId w:val="3"/>
        </w:numPr>
        <w:spacing w:line="360" w:lineRule="auto"/>
        <w:ind w:firstLine="602" w:firstLineChars="25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参加本次政府采购活动前三年内，在经营活动中没有重大违法记录</w:t>
      </w:r>
    </w:p>
    <w:p w14:paraId="12C8BB84">
      <w:pPr>
        <w:spacing w:line="360" w:lineRule="auto"/>
        <w:ind w:firstLine="600" w:firstLineChars="2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①未被列入“信用中国”网站中的“失信被执行名单”、“企业经营异常名录”、“重大税收违法失信主体”其中之一；</w:t>
      </w:r>
    </w:p>
    <w:p w14:paraId="0E52DB5B">
      <w:pPr>
        <w:spacing w:line="360"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②未被列入“中国政府采购网”中的“政府采购严重违法失信行为记录名单”。</w:t>
      </w:r>
    </w:p>
    <w:p w14:paraId="72B27034">
      <w:pPr>
        <w:spacing w:line="360" w:lineRule="auto"/>
        <w:ind w:firstLine="602" w:firstLineChars="250"/>
        <w:rPr>
          <w:rFonts w:hint="default" w:ascii="Times New Roman" w:hAnsi="Times New Roman" w:cs="Times New Roman"/>
          <w:color w:val="auto"/>
          <w:sz w:val="24"/>
          <w:szCs w:val="22"/>
          <w:highlight w:val="none"/>
        </w:rPr>
      </w:pPr>
      <w:r>
        <w:rPr>
          <w:rFonts w:hint="default" w:ascii="Times New Roman" w:hAnsi="Times New Roman" w:cs="Times New Roman"/>
          <w:b/>
          <w:bCs/>
          <w:color w:val="auto"/>
          <w:sz w:val="24"/>
          <w:highlight w:val="none"/>
        </w:rPr>
        <w:t>7、投标人单位及其现任法定代表人/单位负责人/主要负责人不得具有行贿犯罪记录</w:t>
      </w:r>
      <w:r>
        <w:rPr>
          <w:rFonts w:hint="default" w:ascii="Times New Roman" w:hAnsi="Times New Roman" w:cs="Times New Roman"/>
          <w:color w:val="auto"/>
          <w:sz w:val="24"/>
          <w:highlight w:val="none"/>
        </w:rPr>
        <w:t>（提供投标人单位及其现任法定代表人/单位负责人/主要负责人无行贿犯罪记录书面承诺函,如果发现虚假承诺，作无效投标处理。）</w:t>
      </w:r>
    </w:p>
    <w:p w14:paraId="74FFCB61">
      <w:pPr>
        <w:spacing w:line="360" w:lineRule="auto"/>
        <w:ind w:firstLine="602" w:firstLineChars="25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8、</w:t>
      </w:r>
      <w:bookmarkEnd w:id="468"/>
      <w:r>
        <w:rPr>
          <w:rFonts w:hint="default" w:ascii="Times New Roman" w:hAnsi="Times New Roman" w:cs="Times New Roman"/>
          <w:b/>
          <w:bCs/>
          <w:color w:val="auto"/>
          <w:sz w:val="24"/>
          <w:highlight w:val="none"/>
        </w:rPr>
        <w:t>有效投标保证金缴纳凭证复印件；</w:t>
      </w:r>
    </w:p>
    <w:p w14:paraId="060FCCF3">
      <w:pP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lang w:val="en-US" w:eastAsia="zh-CN"/>
        </w:rPr>
        <w:t>9</w:t>
      </w:r>
      <w:r>
        <w:rPr>
          <w:rFonts w:hint="default" w:ascii="Times New Roman" w:hAnsi="Times New Roman" w:cs="Times New Roman"/>
          <w:b/>
          <w:bCs/>
          <w:color w:val="auto"/>
          <w:sz w:val="24"/>
          <w:highlight w:val="none"/>
        </w:rPr>
        <w:t>、有效的法定</w:t>
      </w:r>
      <w:r>
        <w:rPr>
          <w:rFonts w:hint="default" w:ascii="Times New Roman" w:hAnsi="Times New Roman" w:cs="Times New Roman"/>
          <w:b/>
          <w:bCs/>
          <w:color w:val="auto"/>
          <w:sz w:val="24"/>
          <w:szCs w:val="22"/>
          <w:highlight w:val="none"/>
        </w:rPr>
        <w:t>代表人</w:t>
      </w:r>
      <w:r>
        <w:rPr>
          <w:rFonts w:hint="default" w:ascii="Times New Roman" w:hAnsi="Times New Roman" w:cs="Times New Roman"/>
          <w:b/>
          <w:bCs/>
          <w:color w:val="auto"/>
          <w:sz w:val="24"/>
          <w:highlight w:val="none"/>
        </w:rPr>
        <w:t>授权书</w:t>
      </w:r>
      <w:bookmarkStart w:id="483" w:name="_Hlk534965443"/>
      <w:r>
        <w:rPr>
          <w:rFonts w:hint="default" w:ascii="Times New Roman" w:hAnsi="Times New Roman" w:cs="Times New Roman"/>
          <w:b/>
          <w:bCs/>
          <w:color w:val="auto"/>
          <w:sz w:val="24"/>
          <w:highlight w:val="none"/>
        </w:rPr>
        <w:t>复印件</w:t>
      </w:r>
      <w:r>
        <w:rPr>
          <w:rFonts w:hint="default" w:ascii="Times New Roman" w:hAnsi="Times New Roman" w:cs="Times New Roman"/>
          <w:color w:val="auto"/>
          <w:sz w:val="24"/>
          <w:highlight w:val="none"/>
        </w:rPr>
        <w:t>（分公司提供负责人授权书，经营部提供投资人授权书，其他组织提供单位负责人授权书，法定代表人/负责人/投资人亲自参加则不提供）</w:t>
      </w:r>
      <w:bookmarkEnd w:id="483"/>
      <w:r>
        <w:rPr>
          <w:rFonts w:hint="default" w:ascii="Times New Roman" w:hAnsi="Times New Roman" w:cs="Times New Roman"/>
          <w:color w:val="auto"/>
          <w:sz w:val="24"/>
          <w:highlight w:val="none"/>
        </w:rPr>
        <w:t>；</w:t>
      </w:r>
    </w:p>
    <w:p w14:paraId="29EF4F74">
      <w:pP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rPr>
        <w:t>、有效的法定代表人和授权代表的身份证复印件</w:t>
      </w:r>
      <w:r>
        <w:rPr>
          <w:rFonts w:hint="default" w:ascii="Times New Roman" w:hAnsi="Times New Roman" w:cs="Times New Roman"/>
          <w:color w:val="auto"/>
          <w:sz w:val="24"/>
          <w:highlight w:val="none"/>
        </w:rPr>
        <w:t>（法定代表人/负责人/投资人亲自参加则只提供本人身份证复印件）；</w:t>
      </w:r>
    </w:p>
    <w:p w14:paraId="091CDE4D">
      <w:pPr>
        <w:tabs>
          <w:tab w:val="left" w:pos="7665"/>
        </w:tabs>
        <w:spacing w:line="400" w:lineRule="exact"/>
        <w:ind w:firstLine="482" w:firstLineChars="20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11</w:t>
      </w:r>
      <w:r>
        <w:rPr>
          <w:rFonts w:hint="default" w:ascii="Times New Roman" w:hAnsi="Times New Roman" w:cs="Times New Roman"/>
          <w:b/>
          <w:bCs/>
          <w:color w:val="auto"/>
          <w:sz w:val="24"/>
          <w:highlight w:val="none"/>
        </w:rPr>
        <w:t>、落实政府采购政策需满足的资格要求：</w:t>
      </w:r>
      <w:r>
        <w:rPr>
          <w:rFonts w:hint="default" w:ascii="Times New Roman" w:hAnsi="Times New Roman" w:cs="Times New Roman"/>
          <w:b w:val="0"/>
          <w:bCs w:val="0"/>
          <w:color w:val="auto"/>
          <w:sz w:val="24"/>
          <w:highlight w:val="none"/>
          <w:lang w:val="en-US" w:eastAsia="zh-CN"/>
        </w:rPr>
        <w:t>本项目预留部分采购项目预算专门面向中小企业采购。</w:t>
      </w:r>
    </w:p>
    <w:p w14:paraId="5FB9A74A">
      <w:pPr>
        <w:spacing w:line="440" w:lineRule="exact"/>
        <w:ind w:firstLine="501" w:firstLineChars="209"/>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1）投标人所提供的服务属于大型企业的，必须将本项目联合给一家或者多家中小企业，中小企业承担的合同份额占合同金额的比例达到30%以上（其中预留给小微企业的部分不低于合同金额的18%），接受联合体的中小企业与联合企业之间不得存在直接控股、管理关系。投标时须按格式提供《联合体意向协议书》（格式自拟）以及接受联合体的供应商的《中小企业声明函》。</w:t>
      </w:r>
    </w:p>
    <w:p w14:paraId="49BD9345">
      <w:pPr>
        <w:spacing w:line="440" w:lineRule="exact"/>
        <w:ind w:firstLine="501" w:firstLineChars="209"/>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2）投标人所提供的服务属于中型企业的，必须将本项目联合给一家或者多家小微企业，小微企业承担的合同份额不低于合同金额的18%，接受联合体的中小企业与联合企业之间不得存在直接控股、管理关系。投标时须按格式提供《联合体意向协议书》（格式自拟）以及联合体的供应商的《中小企业声明函》。</w:t>
      </w:r>
    </w:p>
    <w:p w14:paraId="7727220B">
      <w:pPr>
        <w:spacing w:line="440" w:lineRule="exact"/>
        <w:ind w:firstLine="501" w:firstLineChars="209"/>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（3）投标人所提供的服务属于小微企业的，不得联合给大中型企业；是否联合体给小微企业不作强制要求，投标时须提交《中小企业声明函》（见投标格式）</w:t>
      </w:r>
    </w:p>
    <w:p w14:paraId="64D3AE5E">
      <w:pPr>
        <w:spacing w:line="440" w:lineRule="exact"/>
        <w:ind w:firstLine="504" w:firstLineChars="209"/>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szCs w:val="22"/>
          <w:highlight w:val="none"/>
        </w:rPr>
        <w:t>注：以上要求</w:t>
      </w:r>
      <w:r>
        <w:rPr>
          <w:rFonts w:hint="default" w:ascii="Times New Roman" w:hAnsi="Times New Roman" w:cs="Times New Roman"/>
          <w:b/>
          <w:bCs/>
          <w:color w:val="auto"/>
          <w:sz w:val="24"/>
          <w:highlight w:val="none"/>
        </w:rPr>
        <w:t>提供的证明材料</w:t>
      </w:r>
      <w:r>
        <w:rPr>
          <w:rFonts w:hint="default" w:ascii="Times New Roman" w:hAnsi="Times New Roman" w:cs="Times New Roman"/>
          <w:b/>
          <w:bCs/>
          <w:color w:val="auto"/>
          <w:sz w:val="24"/>
          <w:szCs w:val="22"/>
          <w:highlight w:val="none"/>
        </w:rPr>
        <w:t>均须加盖投标单位的</w:t>
      </w:r>
      <w:r>
        <w:rPr>
          <w:rFonts w:hint="default" w:ascii="Times New Roman" w:hAnsi="Times New Roman" w:cs="Times New Roman"/>
          <w:b/>
          <w:bCs/>
          <w:color w:val="auto"/>
          <w:sz w:val="24"/>
          <w:szCs w:val="22"/>
          <w:highlight w:val="none"/>
          <w:lang w:val="en-US" w:eastAsia="zh-CN"/>
        </w:rPr>
        <w:t>公章或电子章</w:t>
      </w:r>
      <w:r>
        <w:rPr>
          <w:rFonts w:hint="default" w:ascii="Times New Roman" w:hAnsi="Times New Roman" w:cs="Times New Roman"/>
          <w:b/>
          <w:bCs/>
          <w:color w:val="auto"/>
          <w:sz w:val="24"/>
          <w:szCs w:val="22"/>
          <w:highlight w:val="none"/>
        </w:rPr>
        <w:t>。（以上为实质性要求）</w:t>
      </w:r>
    </w:p>
    <w:p w14:paraId="342357DA">
      <w:pP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br w:type="page"/>
      </w:r>
    </w:p>
    <w:p w14:paraId="7A2C4965">
      <w:pPr>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二、符合性评审标准（有一项不通过，否决投标文件）：</w:t>
      </w:r>
    </w:p>
    <w:tbl>
      <w:tblPr>
        <w:tblStyle w:val="40"/>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795"/>
      </w:tblGrid>
      <w:tr w14:paraId="50A0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368" w:type="dxa"/>
            <w:gridSpan w:val="2"/>
            <w:noWrap w:val="0"/>
            <w:vAlign w:val="center"/>
          </w:tcPr>
          <w:p w14:paraId="1D2756C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评  审  内  容</w:t>
            </w:r>
          </w:p>
        </w:tc>
      </w:tr>
      <w:tr w14:paraId="3352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3" w:type="dxa"/>
            <w:noWrap w:val="0"/>
            <w:vAlign w:val="center"/>
          </w:tcPr>
          <w:p w14:paraId="25DE2DA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795" w:type="dxa"/>
            <w:noWrap w:val="0"/>
            <w:vAlign w:val="center"/>
          </w:tcPr>
          <w:p w14:paraId="450233DF">
            <w:pP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投标文件是否按照招标文件规定格式完整提供的</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是否存在内容不全或关键字迹模糊，无法辨认。</w:t>
            </w:r>
          </w:p>
        </w:tc>
      </w:tr>
      <w:tr w14:paraId="4D16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573" w:type="dxa"/>
            <w:noWrap w:val="0"/>
            <w:vAlign w:val="center"/>
          </w:tcPr>
          <w:p w14:paraId="2D8D6E1F">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c>
          <w:tcPr>
            <w:tcW w:w="7795" w:type="dxa"/>
            <w:noWrap w:val="0"/>
            <w:vAlign w:val="center"/>
          </w:tcPr>
          <w:p w14:paraId="78B8B19D">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投标报价</w:t>
            </w:r>
            <w:r>
              <w:rPr>
                <w:rFonts w:hint="default" w:ascii="Times New Roman" w:hAnsi="Times New Roman" w:eastAsia="宋体" w:cs="Times New Roman"/>
                <w:color w:val="auto"/>
                <w:kern w:val="0"/>
                <w:sz w:val="21"/>
                <w:szCs w:val="21"/>
                <w:highlight w:val="none"/>
                <w:lang w:val="en-US" w:eastAsia="zh-CN"/>
              </w:rPr>
              <w:t>是否</w:t>
            </w:r>
            <w:r>
              <w:rPr>
                <w:rFonts w:hint="default" w:ascii="Times New Roman" w:hAnsi="Times New Roman" w:eastAsia="宋体" w:cs="Times New Roman"/>
                <w:color w:val="auto"/>
                <w:kern w:val="0"/>
                <w:sz w:val="21"/>
                <w:szCs w:val="21"/>
                <w:highlight w:val="none"/>
              </w:rPr>
              <w:t>符合</w:t>
            </w:r>
            <w:r>
              <w:rPr>
                <w:rFonts w:hint="default" w:ascii="Times New Roman" w:hAnsi="Times New Roman" w:eastAsia="宋体" w:cs="Times New Roman"/>
                <w:color w:val="auto"/>
                <w:kern w:val="0"/>
                <w:sz w:val="21"/>
                <w:szCs w:val="21"/>
                <w:highlight w:val="none"/>
                <w:lang w:val="en-US" w:eastAsia="zh-CN"/>
              </w:rPr>
              <w:t>招标</w:t>
            </w:r>
            <w:r>
              <w:rPr>
                <w:rFonts w:hint="default" w:ascii="Times New Roman" w:hAnsi="Times New Roman" w:eastAsia="宋体" w:cs="Times New Roman"/>
                <w:color w:val="auto"/>
                <w:kern w:val="0"/>
                <w:sz w:val="21"/>
                <w:szCs w:val="21"/>
                <w:highlight w:val="none"/>
              </w:rPr>
              <w:t>文件规定的要求</w:t>
            </w:r>
            <w:r>
              <w:rPr>
                <w:rFonts w:hint="default" w:ascii="Times New Roman" w:hAnsi="Times New Roman" w:eastAsia="宋体" w:cs="Times New Roman"/>
                <w:color w:val="auto"/>
                <w:kern w:val="0"/>
                <w:sz w:val="21"/>
                <w:szCs w:val="21"/>
                <w:highlight w:val="none"/>
                <w:lang w:eastAsia="zh-CN"/>
              </w:rPr>
              <w:t>且</w:t>
            </w:r>
            <w:r>
              <w:rPr>
                <w:rFonts w:hint="default" w:ascii="Times New Roman" w:hAnsi="Times New Roman" w:eastAsia="宋体" w:cs="Times New Roman"/>
                <w:color w:val="auto"/>
                <w:kern w:val="0"/>
                <w:sz w:val="21"/>
                <w:szCs w:val="21"/>
                <w:highlight w:val="none"/>
                <w:lang w:val="en-US" w:eastAsia="zh-CN"/>
              </w:rPr>
              <w:t>不</w:t>
            </w:r>
            <w:r>
              <w:rPr>
                <w:rFonts w:hint="default" w:ascii="Times New Roman" w:hAnsi="Times New Roman" w:eastAsia="宋体" w:cs="Times New Roman"/>
                <w:color w:val="auto"/>
                <w:kern w:val="0"/>
                <w:sz w:val="21"/>
                <w:szCs w:val="21"/>
                <w:highlight w:val="none"/>
              </w:rPr>
              <w:t>超过预算价或最高限价</w:t>
            </w:r>
            <w:r>
              <w:rPr>
                <w:rFonts w:hint="default" w:ascii="Times New Roman" w:hAnsi="Times New Roman" w:eastAsia="宋体" w:cs="Times New Roman"/>
                <w:color w:val="auto"/>
                <w:kern w:val="0"/>
                <w:sz w:val="21"/>
                <w:szCs w:val="21"/>
                <w:highlight w:val="none"/>
                <w:lang w:eastAsia="zh-CN"/>
              </w:rPr>
              <w:t>的</w:t>
            </w:r>
            <w:r>
              <w:rPr>
                <w:rFonts w:hint="default" w:ascii="Times New Roman" w:hAnsi="Times New Roman" w:eastAsia="宋体" w:cs="Times New Roman"/>
                <w:color w:val="auto"/>
                <w:kern w:val="0"/>
                <w:sz w:val="21"/>
                <w:szCs w:val="21"/>
                <w:highlight w:val="none"/>
              </w:rPr>
              <w:t>；</w:t>
            </w:r>
          </w:p>
        </w:tc>
      </w:tr>
      <w:tr w14:paraId="6799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573" w:type="dxa"/>
            <w:noWrap w:val="0"/>
            <w:vAlign w:val="center"/>
          </w:tcPr>
          <w:p w14:paraId="7B557B37">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p>
        </w:tc>
        <w:tc>
          <w:tcPr>
            <w:tcW w:w="7795" w:type="dxa"/>
            <w:noWrap w:val="0"/>
            <w:vAlign w:val="center"/>
          </w:tcPr>
          <w:p w14:paraId="546332A8">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kern w:val="0"/>
                <w:sz w:val="21"/>
                <w:szCs w:val="21"/>
                <w:highlight w:val="none"/>
              </w:rPr>
              <w:t>文件载明的</w:t>
            </w:r>
            <w:r>
              <w:rPr>
                <w:rFonts w:hint="default" w:ascii="Times New Roman" w:hAnsi="Times New Roman" w:eastAsia="宋体" w:cs="Times New Roman"/>
                <w:color w:val="auto"/>
                <w:kern w:val="0"/>
                <w:sz w:val="21"/>
                <w:szCs w:val="21"/>
                <w:highlight w:val="none"/>
                <w:lang w:val="en-US" w:eastAsia="zh-CN"/>
              </w:rPr>
              <w:t>服务期限没有</w:t>
            </w:r>
            <w:r>
              <w:rPr>
                <w:rFonts w:hint="default" w:ascii="Times New Roman" w:hAnsi="Times New Roman" w:eastAsia="宋体" w:cs="Times New Roman"/>
                <w:color w:val="auto"/>
                <w:kern w:val="0"/>
                <w:sz w:val="21"/>
                <w:szCs w:val="21"/>
                <w:highlight w:val="none"/>
              </w:rPr>
              <w:t>超过</w:t>
            </w:r>
            <w:r>
              <w:rPr>
                <w:rFonts w:hint="default" w:ascii="Times New Roman" w:hAnsi="Times New Roman" w:eastAsia="宋体" w:cs="Times New Roman"/>
                <w:color w:val="auto"/>
                <w:kern w:val="0"/>
                <w:sz w:val="21"/>
                <w:szCs w:val="21"/>
                <w:highlight w:val="none"/>
                <w:lang w:val="en-US" w:eastAsia="zh-CN"/>
              </w:rPr>
              <w:t>招标</w:t>
            </w:r>
            <w:r>
              <w:rPr>
                <w:rFonts w:hint="default" w:ascii="Times New Roman" w:hAnsi="Times New Roman" w:eastAsia="宋体" w:cs="Times New Roman"/>
                <w:color w:val="auto"/>
                <w:kern w:val="0"/>
                <w:sz w:val="21"/>
                <w:szCs w:val="21"/>
                <w:highlight w:val="none"/>
              </w:rPr>
              <w:t>文件规定的期限；</w:t>
            </w:r>
          </w:p>
        </w:tc>
      </w:tr>
      <w:tr w14:paraId="66F1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73" w:type="dxa"/>
            <w:noWrap w:val="0"/>
            <w:vAlign w:val="center"/>
          </w:tcPr>
          <w:p w14:paraId="39E9B06C">
            <w:pPr>
              <w:spacing w:line="36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w:t>
            </w:r>
          </w:p>
        </w:tc>
        <w:tc>
          <w:tcPr>
            <w:tcW w:w="7795" w:type="dxa"/>
            <w:noWrap w:val="0"/>
            <w:vAlign w:val="center"/>
          </w:tcPr>
          <w:p w14:paraId="6FFB3642">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商务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技术偏离表</w:t>
            </w:r>
            <w:r>
              <w:rPr>
                <w:rFonts w:hint="default" w:ascii="Times New Roman" w:hAnsi="Times New Roman" w:eastAsia="宋体" w:cs="Times New Roman"/>
                <w:color w:val="auto"/>
                <w:sz w:val="21"/>
                <w:szCs w:val="21"/>
                <w:highlight w:val="none"/>
                <w:lang w:eastAsia="zh-CN"/>
              </w:rPr>
              <w:t>是否按照要求提供。</w:t>
            </w:r>
          </w:p>
        </w:tc>
      </w:tr>
      <w:tr w14:paraId="627B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573" w:type="dxa"/>
            <w:noWrap w:val="0"/>
            <w:vAlign w:val="center"/>
          </w:tcPr>
          <w:p w14:paraId="3E69E4AD">
            <w:pPr>
              <w:spacing w:line="36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w:t>
            </w:r>
          </w:p>
        </w:tc>
        <w:tc>
          <w:tcPr>
            <w:tcW w:w="7795" w:type="dxa"/>
            <w:noWrap w:val="0"/>
            <w:vAlign w:val="center"/>
          </w:tcPr>
          <w:p w14:paraId="01028CFB">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文件</w:t>
            </w:r>
            <w:r>
              <w:rPr>
                <w:rFonts w:hint="default" w:ascii="Times New Roman" w:hAnsi="Times New Roman" w:eastAsia="宋体" w:cs="Times New Roman"/>
                <w:color w:val="auto"/>
                <w:sz w:val="21"/>
                <w:szCs w:val="21"/>
                <w:highlight w:val="none"/>
                <w:lang w:val="en-US" w:eastAsia="zh-CN"/>
              </w:rPr>
              <w:t>中没</w:t>
            </w:r>
            <w:r>
              <w:rPr>
                <w:rFonts w:hint="default" w:ascii="Times New Roman" w:hAnsi="Times New Roman" w:eastAsia="宋体" w:cs="Times New Roman"/>
                <w:color w:val="auto"/>
                <w:sz w:val="21"/>
                <w:szCs w:val="21"/>
                <w:highlight w:val="none"/>
              </w:rPr>
              <w:t>有</w:t>
            </w:r>
            <w:r>
              <w:rPr>
                <w:rFonts w:hint="default"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rPr>
              <w:t>不能接受的附加条件的；</w:t>
            </w:r>
          </w:p>
        </w:tc>
      </w:tr>
      <w:tr w14:paraId="41BF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573" w:type="dxa"/>
            <w:noWrap w:val="0"/>
            <w:vAlign w:val="center"/>
          </w:tcPr>
          <w:p w14:paraId="596352E4">
            <w:pPr>
              <w:spacing w:line="36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6</w:t>
            </w:r>
          </w:p>
        </w:tc>
        <w:tc>
          <w:tcPr>
            <w:tcW w:w="7795" w:type="dxa"/>
            <w:noWrap w:val="0"/>
            <w:vAlign w:val="center"/>
          </w:tcPr>
          <w:p w14:paraId="63D752FB">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是否</w:t>
            </w:r>
            <w:r>
              <w:rPr>
                <w:rFonts w:hint="default" w:ascii="Times New Roman" w:hAnsi="Times New Roman" w:eastAsia="宋体" w:cs="Times New Roman"/>
                <w:color w:val="auto"/>
                <w:sz w:val="21"/>
                <w:szCs w:val="21"/>
                <w:highlight w:val="none"/>
              </w:rPr>
              <w:t>满足</w:t>
            </w:r>
            <w:r>
              <w:rPr>
                <w:rFonts w:hint="default" w:ascii="Times New Roman" w:hAnsi="Times New Roman" w:cs="Times New Roman"/>
                <w:color w:val="auto"/>
                <w:sz w:val="21"/>
                <w:szCs w:val="21"/>
                <w:highlight w:val="none"/>
              </w:rPr>
              <w:t>招标</w:t>
            </w:r>
            <w:r>
              <w:rPr>
                <w:rFonts w:hint="default" w:ascii="Times New Roman" w:hAnsi="Times New Roman" w:eastAsia="宋体" w:cs="Times New Roman"/>
                <w:color w:val="auto"/>
                <w:sz w:val="21"/>
                <w:szCs w:val="21"/>
                <w:highlight w:val="none"/>
              </w:rPr>
              <w:t>文件实质性要求的其他情形；</w:t>
            </w:r>
          </w:p>
        </w:tc>
      </w:tr>
    </w:tbl>
    <w:p w14:paraId="3A353D3D">
      <w:pPr>
        <w:spacing w:line="440" w:lineRule="exact"/>
        <w:ind w:firstLine="241" w:firstLineChars="100"/>
        <w:rPr>
          <w:rFonts w:hint="default" w:ascii="Times New Roman" w:hAnsi="Times New Roman" w:cs="Times New Roman"/>
          <w:color w:val="auto"/>
          <w:highlight w:val="none"/>
        </w:rPr>
      </w:pPr>
      <w:r>
        <w:rPr>
          <w:rFonts w:hint="default" w:ascii="Times New Roman" w:hAnsi="Times New Roman" w:cs="Times New Roman"/>
          <w:b/>
          <w:bCs/>
          <w:color w:val="auto"/>
          <w:sz w:val="24"/>
          <w:szCs w:val="22"/>
          <w:highlight w:val="none"/>
        </w:rPr>
        <w:t>注：以上要求</w:t>
      </w:r>
      <w:r>
        <w:rPr>
          <w:rFonts w:hint="default" w:ascii="Times New Roman" w:hAnsi="Times New Roman" w:cs="Times New Roman"/>
          <w:b/>
          <w:bCs/>
          <w:color w:val="auto"/>
          <w:sz w:val="24"/>
          <w:highlight w:val="none"/>
        </w:rPr>
        <w:t>提供的证明材料</w:t>
      </w:r>
      <w:r>
        <w:rPr>
          <w:rFonts w:hint="default" w:ascii="Times New Roman" w:hAnsi="Times New Roman" w:cs="Times New Roman"/>
          <w:b/>
          <w:bCs/>
          <w:color w:val="auto"/>
          <w:sz w:val="24"/>
          <w:szCs w:val="22"/>
          <w:highlight w:val="none"/>
        </w:rPr>
        <w:t>均须加盖投标单位的公章或电子章。（以上为实质性要求）</w:t>
      </w:r>
    </w:p>
    <w:p w14:paraId="1A915B52">
      <w:pPr>
        <w:spacing w:line="360" w:lineRule="auto"/>
        <w:ind w:firstLine="482" w:firstLineChars="200"/>
        <w:rPr>
          <w:rFonts w:hint="default" w:ascii="Times New Roman" w:hAnsi="Times New Roman" w:cs="Times New Roman"/>
          <w:b/>
          <w:color w:val="auto"/>
          <w:sz w:val="24"/>
          <w:szCs w:val="24"/>
          <w:highlight w:val="none"/>
        </w:rPr>
      </w:pPr>
    </w:p>
    <w:p w14:paraId="4779D8BA">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7CE24C8B">
      <w:pPr>
        <w:pStyle w:val="143"/>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rPr>
        <w:t xml:space="preserve">第六章 </w:t>
      </w:r>
      <w:bookmarkStart w:id="484" w:name="_Toc360804507"/>
      <w:r>
        <w:rPr>
          <w:rFonts w:hint="default" w:ascii="Times New Roman" w:hAnsi="Times New Roman" w:eastAsia="宋体" w:cs="Times New Roman"/>
          <w:color w:val="auto"/>
          <w:highlight w:val="none"/>
        </w:rPr>
        <w:t xml:space="preserve"> 招标项目技术、商务及其他要求</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4"/>
      <w:bookmarkStart w:id="485" w:name="_Toc472604651"/>
      <w:bookmarkStart w:id="486" w:name="_Toc9128"/>
      <w:bookmarkStart w:id="487" w:name="_Toc465085407"/>
      <w:bookmarkStart w:id="488" w:name="_Toc8897"/>
      <w:bookmarkStart w:id="489" w:name="_Toc466298099"/>
    </w:p>
    <w:p w14:paraId="103FF4E4">
      <w:pPr>
        <w:pStyle w:val="4"/>
        <w:keepNext/>
        <w:keepLines/>
        <w:pageBreakBefore w:val="0"/>
        <w:widowControl w:val="0"/>
        <w:kinsoku/>
        <w:wordWrap/>
        <w:overflowPunct/>
        <w:topLinePunct w:val="0"/>
        <w:autoSpaceDE/>
        <w:autoSpaceDN/>
        <w:bidi w:val="0"/>
        <w:adjustRightInd/>
        <w:snapToGrid/>
        <w:spacing w:before="20" w:after="20" w:line="240" w:lineRule="auto"/>
        <w:ind w:firstLine="562" w:firstLineChars="200"/>
        <w:textAlignment w:val="auto"/>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一、项目概况</w:t>
      </w:r>
    </w:p>
    <w:p w14:paraId="5F05B0C1">
      <w:pPr>
        <w:wordWrap w:val="0"/>
        <w:spacing w:line="460" w:lineRule="exact"/>
        <w:ind w:firstLine="480" w:firstLineChars="200"/>
        <w:rPr>
          <w:rStyle w:val="211"/>
          <w:rFonts w:hint="default" w:ascii="Times New Roman" w:hAnsi="Times New Roman" w:eastAsia="宋体" w:cs="Times New Roman"/>
          <w:bCs/>
          <w:color w:val="auto"/>
          <w:sz w:val="24"/>
          <w:szCs w:val="24"/>
          <w:highlight w:val="none"/>
          <w:lang w:val="en-US" w:eastAsia="zh-CN"/>
        </w:rPr>
      </w:pPr>
      <w:r>
        <w:rPr>
          <w:rStyle w:val="211"/>
          <w:rFonts w:hint="default" w:ascii="Times New Roman" w:hAnsi="Times New Roman" w:cs="Times New Roman"/>
          <w:bCs/>
          <w:color w:val="auto"/>
          <w:sz w:val="24"/>
          <w:szCs w:val="24"/>
          <w:highlight w:val="none"/>
          <w:lang w:val="en-US" w:eastAsia="zh-CN"/>
        </w:rPr>
        <w:t>为</w:t>
      </w:r>
      <w:r>
        <w:rPr>
          <w:rStyle w:val="211"/>
          <w:rFonts w:hint="default" w:ascii="Times New Roman" w:hAnsi="Times New Roman" w:eastAsia="宋体" w:cs="Times New Roman"/>
          <w:bCs/>
          <w:color w:val="auto"/>
          <w:sz w:val="24"/>
          <w:szCs w:val="24"/>
          <w:highlight w:val="none"/>
          <w:lang w:val="en-US" w:eastAsia="zh-CN"/>
        </w:rPr>
        <w:t>进一步规范业务流程、数据标准和服务模式，推进市场监管业务信息系统的数字化、智能化改造，</w:t>
      </w:r>
      <w:r>
        <w:rPr>
          <w:rStyle w:val="211"/>
          <w:rFonts w:hint="default" w:ascii="Times New Roman" w:hAnsi="Times New Roman" w:cs="Times New Roman"/>
          <w:bCs/>
          <w:color w:val="auto"/>
          <w:sz w:val="24"/>
          <w:szCs w:val="24"/>
          <w:highlight w:val="none"/>
          <w:lang w:val="en-US" w:eastAsia="zh-CN"/>
        </w:rPr>
        <w:t>构</w:t>
      </w:r>
      <w:r>
        <w:rPr>
          <w:rStyle w:val="211"/>
          <w:rFonts w:hint="default" w:ascii="Times New Roman" w:hAnsi="Times New Roman" w:eastAsia="宋体" w:cs="Times New Roman"/>
          <w:bCs/>
          <w:color w:val="auto"/>
          <w:sz w:val="24"/>
          <w:szCs w:val="24"/>
          <w:highlight w:val="none"/>
          <w:lang w:val="en-US" w:eastAsia="zh-CN"/>
        </w:rPr>
        <w:t>建事前事中事后全链条全领域监管格局。包括棉花质量智慧监管、检验检测机构智慧监管、网络商品交易监测预警、计量智慧监管、智慧执法助手、“丝路有信”新疆企业信用码、人工智能辅助、质量强企强链强县数字化、新疆食品追溯、食品安全智慧监管、食品抽检“二级站”、互联网+AI监管、数字化场景驾驶舱分析、特种设备智慧监管、车用气瓶监管、智慧监管指挥调度、非公路用旅游观光车智慧监管</w:t>
      </w:r>
      <w:r>
        <w:rPr>
          <w:rStyle w:val="211"/>
          <w:rFonts w:hint="default" w:ascii="Times New Roman" w:hAnsi="Times New Roman" w:cs="Times New Roman"/>
          <w:bCs/>
          <w:color w:val="auto"/>
          <w:sz w:val="24"/>
          <w:szCs w:val="24"/>
          <w:highlight w:val="none"/>
          <w:lang w:val="en-US" w:eastAsia="zh-CN"/>
        </w:rPr>
        <w:t>等</w:t>
      </w:r>
      <w:r>
        <w:rPr>
          <w:rStyle w:val="211"/>
          <w:rFonts w:hint="default" w:ascii="Times New Roman" w:hAnsi="Times New Roman" w:eastAsia="宋体" w:cs="Times New Roman"/>
          <w:bCs/>
          <w:color w:val="auto"/>
          <w:sz w:val="24"/>
          <w:szCs w:val="24"/>
          <w:highlight w:val="none"/>
          <w:lang w:val="en-US" w:eastAsia="zh-CN"/>
        </w:rPr>
        <w:t>17个子系</w:t>
      </w:r>
      <w:r>
        <w:rPr>
          <w:rStyle w:val="211"/>
          <w:rFonts w:hint="default" w:ascii="Times New Roman" w:hAnsi="Times New Roman" w:cs="Times New Roman"/>
          <w:bCs/>
          <w:color w:val="auto"/>
          <w:sz w:val="24"/>
          <w:szCs w:val="24"/>
          <w:highlight w:val="none"/>
          <w:lang w:val="en-US" w:eastAsia="zh-CN"/>
        </w:rPr>
        <w:t>统的升级改造。</w:t>
      </w:r>
    </w:p>
    <w:p w14:paraId="6B72207E">
      <w:pPr>
        <w:pStyle w:val="4"/>
        <w:keepNext/>
        <w:keepLines/>
        <w:pageBreakBefore w:val="0"/>
        <w:widowControl w:val="0"/>
        <w:kinsoku/>
        <w:wordWrap/>
        <w:overflowPunct/>
        <w:topLinePunct w:val="0"/>
        <w:autoSpaceDE/>
        <w:autoSpaceDN/>
        <w:bidi w:val="0"/>
        <w:adjustRightInd/>
        <w:snapToGrid/>
        <w:spacing w:before="20" w:after="20" w:line="240" w:lineRule="auto"/>
        <w:ind w:firstLine="562"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二、采购需求</w:t>
      </w:r>
    </w:p>
    <w:p w14:paraId="6689BB1D">
      <w:pPr>
        <w:wordWrap w:val="0"/>
        <w:spacing w:line="460" w:lineRule="exact"/>
        <w:ind w:firstLine="480" w:firstLineChars="200"/>
        <w:rPr>
          <w:rStyle w:val="211"/>
          <w:rFonts w:hint="default" w:ascii="Times New Roman" w:hAnsi="Times New Roman" w:eastAsia="宋体" w:cs="Times New Roman"/>
          <w:b w:val="0"/>
          <w:bCs/>
          <w:color w:val="auto"/>
          <w:sz w:val="24"/>
          <w:szCs w:val="24"/>
          <w:highlight w:val="none"/>
          <w:lang w:val="en-US" w:eastAsia="zh-CN"/>
        </w:rPr>
      </w:pPr>
      <w:r>
        <w:rPr>
          <w:rStyle w:val="211"/>
          <w:rFonts w:hint="default" w:ascii="Times New Roman" w:hAnsi="Times New Roman" w:cs="Times New Roman"/>
          <w:b w:val="0"/>
          <w:bCs/>
          <w:color w:val="auto"/>
          <w:sz w:val="24"/>
          <w:szCs w:val="24"/>
          <w:highlight w:val="none"/>
          <w:lang w:val="en-US" w:eastAsia="zh-CN"/>
        </w:rPr>
        <w:t>各系统采购需求包括但不限于</w:t>
      </w:r>
      <w:r>
        <w:rPr>
          <w:rStyle w:val="211"/>
          <w:rFonts w:hint="default" w:ascii="Times New Roman" w:hAnsi="Times New Roman" w:eastAsia="宋体" w:cs="Times New Roman"/>
          <w:b w:val="0"/>
          <w:bCs/>
          <w:color w:val="auto"/>
          <w:sz w:val="24"/>
          <w:szCs w:val="24"/>
          <w:highlight w:val="none"/>
          <w:lang w:val="en-US" w:eastAsia="zh-CN"/>
        </w:rPr>
        <w:t>以下定制化开发的具体功能描述，项目实施阶段</w:t>
      </w:r>
      <w:r>
        <w:rPr>
          <w:rStyle w:val="211"/>
          <w:rFonts w:hint="default" w:ascii="Times New Roman" w:hAnsi="Times New Roman" w:cs="Times New Roman"/>
          <w:b w:val="0"/>
          <w:bCs/>
          <w:color w:val="auto"/>
          <w:sz w:val="24"/>
          <w:szCs w:val="24"/>
          <w:highlight w:val="none"/>
          <w:lang w:val="en-US" w:eastAsia="zh-CN"/>
        </w:rPr>
        <w:t>可</w:t>
      </w:r>
      <w:r>
        <w:rPr>
          <w:rStyle w:val="211"/>
          <w:rFonts w:hint="default" w:ascii="Times New Roman" w:hAnsi="Times New Roman" w:eastAsia="宋体" w:cs="Times New Roman"/>
          <w:b w:val="0"/>
          <w:bCs/>
          <w:color w:val="auto"/>
          <w:sz w:val="24"/>
          <w:szCs w:val="24"/>
          <w:highlight w:val="none"/>
          <w:lang w:val="en-US" w:eastAsia="zh-CN"/>
        </w:rPr>
        <w:t>根据采购人实际业务</w:t>
      </w:r>
      <w:r>
        <w:rPr>
          <w:rStyle w:val="211"/>
          <w:rFonts w:hint="eastAsia" w:ascii="Times New Roman" w:cs="Times New Roman"/>
          <w:b w:val="0"/>
          <w:bCs/>
          <w:color w:val="auto"/>
          <w:sz w:val="24"/>
          <w:szCs w:val="24"/>
          <w:highlight w:val="none"/>
          <w:lang w:val="en-US" w:eastAsia="zh-CN"/>
        </w:rPr>
        <w:t>和国家政策</w:t>
      </w:r>
      <w:r>
        <w:rPr>
          <w:rStyle w:val="211"/>
          <w:rFonts w:hint="default" w:ascii="Times New Roman" w:hAnsi="Times New Roman" w:eastAsia="宋体" w:cs="Times New Roman"/>
          <w:b w:val="0"/>
          <w:bCs/>
          <w:color w:val="auto"/>
          <w:sz w:val="24"/>
          <w:szCs w:val="24"/>
          <w:highlight w:val="none"/>
          <w:lang w:val="en-US" w:eastAsia="zh-CN"/>
        </w:rPr>
        <w:t>需求进行调整</w:t>
      </w:r>
      <w:r>
        <w:rPr>
          <w:rStyle w:val="211"/>
          <w:rFonts w:hint="default" w:ascii="Times New Roman" w:hAnsi="Times New Roman" w:cs="Times New Roman"/>
          <w:b w:val="0"/>
          <w:bCs/>
          <w:color w:val="auto"/>
          <w:sz w:val="24"/>
          <w:szCs w:val="24"/>
          <w:highlight w:val="none"/>
          <w:lang w:val="en-US" w:eastAsia="zh-CN"/>
        </w:rPr>
        <w:t>增加</w:t>
      </w:r>
      <w:r>
        <w:rPr>
          <w:rStyle w:val="211"/>
          <w:rFonts w:hint="default" w:ascii="Times New Roman" w:hAnsi="Times New Roman" w:eastAsia="宋体" w:cs="Times New Roman"/>
          <w:b w:val="0"/>
          <w:bCs/>
          <w:color w:val="auto"/>
          <w:sz w:val="24"/>
          <w:szCs w:val="24"/>
          <w:highlight w:val="none"/>
          <w:lang w:val="en-US" w:eastAsia="zh-CN"/>
        </w:rPr>
        <w:t>。</w:t>
      </w:r>
      <w:r>
        <w:rPr>
          <w:rStyle w:val="211"/>
          <w:rFonts w:hint="default" w:ascii="Times New Roman" w:hAnsi="Times New Roman" w:cs="Times New Roman"/>
          <w:b w:val="0"/>
          <w:bCs/>
          <w:color w:val="auto"/>
          <w:sz w:val="24"/>
          <w:szCs w:val="24"/>
          <w:highlight w:val="none"/>
          <w:lang w:val="en-US" w:eastAsia="zh-CN"/>
        </w:rPr>
        <w:t>各系统须无条件对接建设单位大数据中心、数据驾驶舱和</w:t>
      </w:r>
      <w:r>
        <w:rPr>
          <w:rStyle w:val="211"/>
          <w:rFonts w:hint="default" w:ascii="Times New Roman" w:hAnsi="Times New Roman" w:eastAsia="宋体" w:cs="Times New Roman"/>
          <w:b w:val="0"/>
          <w:bCs/>
          <w:color w:val="auto"/>
          <w:sz w:val="24"/>
          <w:szCs w:val="24"/>
          <w:highlight w:val="none"/>
          <w:lang w:val="en-US" w:eastAsia="zh-CN"/>
        </w:rPr>
        <w:t>市场监管统计调查子系统</w:t>
      </w:r>
      <w:r>
        <w:rPr>
          <w:rStyle w:val="211"/>
          <w:rFonts w:hint="default" w:ascii="Times New Roman" w:hAnsi="Times New Roman" w:cs="Times New Roman"/>
          <w:b w:val="0"/>
          <w:bCs/>
          <w:color w:val="auto"/>
          <w:sz w:val="24"/>
          <w:szCs w:val="24"/>
          <w:highlight w:val="none"/>
          <w:lang w:val="en-US" w:eastAsia="zh-CN"/>
        </w:rPr>
        <w:t>，须按数字化发展局相关要求完成本系统生产数据资源目录梳理、归集和治理工作，须按市场监管统计调查子系统样式开发本系统主要数据统计页面不少于3个，内容包含本系统所有主要数据，实现本系统数据实时统计、分析和展示功能，并实现在专网通过API调用该系统的功能。</w:t>
      </w:r>
      <w:r>
        <w:rPr>
          <w:rStyle w:val="211"/>
          <w:rFonts w:hint="default" w:ascii="Times New Roman" w:hAnsi="Times New Roman" w:eastAsia="宋体" w:cs="Times New Roman"/>
          <w:b w:val="0"/>
          <w:bCs/>
          <w:color w:val="auto"/>
          <w:sz w:val="24"/>
          <w:szCs w:val="24"/>
          <w:highlight w:val="none"/>
          <w:lang w:val="en-US" w:eastAsia="zh-CN"/>
        </w:rPr>
        <w:t>在建设项目实施周期内，项目中标方须响应和解决采购人由于相关政策调整、信息技术变化发展、实际业务需要等原因提出的功能补充或完善需求</w:t>
      </w:r>
      <w:r>
        <w:rPr>
          <w:rStyle w:val="211"/>
          <w:rFonts w:hint="default" w:ascii="Times New Roman" w:hAnsi="Times New Roman" w:cs="Times New Roman"/>
          <w:b w:val="0"/>
          <w:bCs/>
          <w:color w:val="auto"/>
          <w:sz w:val="24"/>
          <w:szCs w:val="24"/>
          <w:highlight w:val="none"/>
          <w:lang w:val="en-US" w:eastAsia="zh-CN"/>
        </w:rPr>
        <w:t>。</w:t>
      </w:r>
      <w:r>
        <w:rPr>
          <w:rStyle w:val="211"/>
          <w:rFonts w:hint="default" w:ascii="Times New Roman" w:hAnsi="Times New Roman" w:cs="Times New Roman"/>
          <w:b w:val="0"/>
          <w:bCs/>
          <w:color w:val="auto"/>
          <w:sz w:val="24"/>
          <w:szCs w:val="24"/>
          <w:highlight w:val="none"/>
          <w:lang w:val="en" w:eastAsia="zh-CN"/>
        </w:rPr>
        <w:t>各系统新增需求不超过本系统二级功能</w:t>
      </w:r>
      <w:r>
        <w:rPr>
          <w:rStyle w:val="211"/>
          <w:rFonts w:hint="default" w:ascii="Times New Roman" w:hAnsi="Times New Roman" w:cs="Times New Roman"/>
          <w:b w:val="0"/>
          <w:bCs/>
          <w:color w:val="auto"/>
          <w:sz w:val="24"/>
          <w:szCs w:val="24"/>
          <w:highlight w:val="none"/>
          <w:lang w:val="en-US" w:eastAsia="zh-CN"/>
        </w:rPr>
        <w:t>10项及以内视为合同内内容，新增二级功能需求超过10项双方另行协商处理</w:t>
      </w:r>
      <w:r>
        <w:rPr>
          <w:rStyle w:val="211"/>
          <w:rFonts w:hint="default" w:ascii="Times New Roman" w:hAnsi="Times New Roman" w:eastAsia="宋体" w:cs="Times New Roman"/>
          <w:b w:val="0"/>
          <w:bCs/>
          <w:color w:val="auto"/>
          <w:sz w:val="24"/>
          <w:szCs w:val="24"/>
          <w:highlight w:val="none"/>
          <w:lang w:val="en-US" w:eastAsia="zh-CN"/>
        </w:rPr>
        <w:t>。</w:t>
      </w:r>
    </w:p>
    <w:p w14:paraId="2E45DC85">
      <w:pPr>
        <w:pStyle w:val="5"/>
        <w:keepNext/>
        <w:keepLines/>
        <w:pageBreakBefore w:val="0"/>
        <w:widowControl w:val="0"/>
        <w:kinsoku/>
        <w:wordWrap/>
        <w:overflowPunct/>
        <w:topLinePunct w:val="0"/>
        <w:autoSpaceDE/>
        <w:autoSpaceDN/>
        <w:bidi w:val="0"/>
        <w:adjustRightInd/>
        <w:snapToGrid/>
        <w:spacing w:before="20" w:after="20" w:line="360" w:lineRule="auto"/>
        <w:ind w:firstLine="482"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（一）市场监管“一网统管”应用系统开发</w:t>
      </w:r>
    </w:p>
    <w:p w14:paraId="5428B619">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1.棉花质量智慧监管子系统</w:t>
      </w:r>
    </w:p>
    <w:tbl>
      <w:tblPr>
        <w:tblStyle w:val="40"/>
        <w:tblW w:w="4876" w:type="pct"/>
        <w:tblInd w:w="144" w:type="dxa"/>
        <w:tblLayout w:type="autofit"/>
        <w:tblCellMar>
          <w:top w:w="0" w:type="dxa"/>
          <w:left w:w="108" w:type="dxa"/>
          <w:bottom w:w="0" w:type="dxa"/>
          <w:right w:w="108" w:type="dxa"/>
        </w:tblCellMar>
      </w:tblPr>
      <w:tblGrid>
        <w:gridCol w:w="1041"/>
        <w:gridCol w:w="1009"/>
        <w:gridCol w:w="6261"/>
      </w:tblGrid>
      <w:tr w14:paraId="58EE0E50">
        <w:tblPrEx>
          <w:tblCellMar>
            <w:top w:w="0" w:type="dxa"/>
            <w:left w:w="108" w:type="dxa"/>
            <w:bottom w:w="0" w:type="dxa"/>
            <w:right w:w="108" w:type="dxa"/>
          </w:tblCellMar>
        </w:tblPrEx>
        <w:trPr>
          <w:trHeight w:val="288"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EC6D">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系统名称</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CDCE">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模块名称</w:t>
            </w:r>
          </w:p>
        </w:tc>
        <w:tc>
          <w:tcPr>
            <w:tcW w:w="3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1FC2">
            <w:pPr>
              <w:widowControl/>
              <w:ind w:firstLine="422" w:firstLineChars="20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规格参数</w:t>
            </w:r>
          </w:p>
        </w:tc>
      </w:tr>
      <w:tr w14:paraId="174BC044">
        <w:tblPrEx>
          <w:tblCellMar>
            <w:top w:w="0" w:type="dxa"/>
            <w:left w:w="108" w:type="dxa"/>
            <w:bottom w:w="0" w:type="dxa"/>
            <w:right w:w="108" w:type="dxa"/>
          </w:tblCellMar>
        </w:tblPrEx>
        <w:trPr>
          <w:trHeight w:val="3168" w:hRule="atLeast"/>
        </w:trPr>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E4BB5">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市场监管一网统管系统-棉花质量智慧监管子系统</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3783">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质量监管</w:t>
            </w:r>
          </w:p>
        </w:tc>
        <w:tc>
          <w:tcPr>
            <w:tcW w:w="3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0EA0">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1.1基本技术条件管理</w:t>
            </w:r>
          </w:p>
          <w:p w14:paraId="75FE22EE">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各地区市场监督管理局对加工企业的基本条件进行核查、监督,并将加工企业的基本技术条件信息上传至智慧监管平台。各地州市场监管管理局对加工企业基本技术条件进行抽查、督查, 将传统的加工企业基本技术条件管理流程信息化。</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1.2籽棉收购环节监管</w:t>
            </w:r>
          </w:p>
          <w:p w14:paraId="0A85ACFD">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采集自治区所有棉花加工企业的收购磅单信息,包括每一收购磅单的重量、价格、交售者信息、籽棉检验信息等。实时动态汇总本辖区加工企业籽棉收购数量、质量信息。绘制籽棉净重、收购单价、籽棉折合皮棉净重、籽棉折合皮棉公重、毛衣分、含杂率、 回潮率、长度等收购数据趋势图。实时掌握各地州市、县籽棉收购动态 信息。后台自动分析监控收购大数据,自动记录并推送收购异常收购行为。</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1.3异常收购信息推送</w:t>
            </w:r>
          </w:p>
          <w:p w14:paraId="52576387">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xml:space="preserve">根据设定的收购、加工环节籽棉质量指标预 警界限值,对超预警界限值的加工企业异常行为自动推送。推送内容主要包括:回潮率、含杂率、日平均毛衣分差值、周毛衣分差值、加工皮 棉包时间间隔、日加工量、日加工包数等。 </w:t>
            </w:r>
          </w:p>
          <w:p w14:paraId="79AB08BD">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同时增加企业角色账号，监管人员对企业异常行为处理完成后，系统通过平台自动推送给企业，企业可以通过小程序了解处理结果，并根据处理结果进行整改。</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1.4皮棉加工环节监管</w:t>
            </w:r>
          </w:p>
          <w:p w14:paraId="26BD5840">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平台实时动态汇总本辖区加工企业皮加工、入库公检信息。绘制皮棉加工量、入库公检量、皮棉长度、强度、长度 整齐度、马克隆值、轧花质量等主要指标趋势图。实时掌握各地州市、县皮棉加工、入库公检动态信息。后台自动分析监控加工大数据,自动记录并推送加工企业有异常加工行为。</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1.5异常加工信息推送</w:t>
            </w:r>
          </w:p>
          <w:p w14:paraId="1E3ADDF8">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棉花加工企业加工时间间隔、回潮、最大加工包数等加工行为存在异常时,及时预警并推送至监管平台。</w:t>
            </w:r>
          </w:p>
          <w:p w14:paraId="003D057D">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同时增加企业角色账号，监管人员对企业异常行为处理完成后，系统通过平台自动推送给企业，企业可以通过小程序了解处理结果，并根据处理结果进行整改。</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1.6专业仓储环节监管</w:t>
            </w:r>
          </w:p>
          <w:p w14:paraId="31B7D9C9">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通过平台可核查全区36家专业监管仓库的基本情况、计量器具检验情况、企业入库批次过磅重量信息、棉包专用取样口情况、视频设备安装情况等。</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1.7检验室管理</w:t>
            </w:r>
          </w:p>
          <w:p w14:paraId="092A5E55">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公证检验监督管理是通过线上维护公检实验室的基础信息，实现监督抽验管理，汇总统计检验数据并实现数据可视化管理。包含但不限于公检实验室基本情况、公证检验分析、数据可视化三个子模块。</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1.8诚信经营评价</w:t>
            </w:r>
          </w:p>
          <w:p w14:paraId="0E5500F2">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根据《自治区棉花加工企业诚信经营评价管理办法》规定，将智慧监管平台汇总采集到的各类质量违法违规信息，按不良行为评定要求，科学评定信用等级，为加工企业的诚信经营评价管理做好数据支撑。包含但不限于不良行为记录、</w:t>
            </w:r>
            <w:r>
              <w:rPr>
                <w:rFonts w:hint="default" w:ascii="Times New Roman" w:hAnsi="Times New Roman" w:cs="Times New Roman"/>
                <w:color w:val="auto"/>
                <w:sz w:val="21"/>
                <w:szCs w:val="21"/>
                <w:highlight w:val="none"/>
              </w:rPr>
              <w:t>三量核查预警、消息推送、外部数据共享等功能。</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1.9质量监督</w:t>
            </w:r>
          </w:p>
          <w:p w14:paraId="622A934F">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智慧监管增加企业账号，监管部门针对企业的通知或者结果可以通过小程序推送给企业，包括责令改正、监督检查结果、数据核查结果等。</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1.10质量追溯</w:t>
            </w:r>
          </w:p>
          <w:p w14:paraId="615669DA">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对接自治区棉花目标价格政策信息平台质量追溯系统模块，自治区所属企业和数据。</w:t>
            </w:r>
          </w:p>
          <w:p w14:paraId="5988B90E">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主要包括质量追溯优质棉统计（包括导出）、质量追溯籽棉追溯预警、质量追溯皮棉预警、企业数据核查、追溯日志等。</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1.11行政指导</w:t>
            </w:r>
          </w:p>
          <w:p w14:paraId="78EECDFA">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包括人员培训、设备检定、技术帮扶、法治和标准宣传等模块。</w:t>
            </w:r>
          </w:p>
          <w:p w14:paraId="61C9BC77">
            <w:pPr>
              <w:widowControl/>
              <w:ind w:firstLine="420" w:firstLineChars="200"/>
              <w:jc w:val="left"/>
              <w:rPr>
                <w:rFonts w:hint="default" w:ascii="Times New Roman" w:hAnsi="Times New Roman" w:cs="Times New Roman"/>
                <w:color w:val="auto"/>
                <w:kern w:val="0"/>
                <w:sz w:val="21"/>
                <w:szCs w:val="21"/>
                <w:highlight w:val="none"/>
              </w:rPr>
            </w:pPr>
          </w:p>
        </w:tc>
      </w:tr>
      <w:tr w14:paraId="2BC4ED35">
        <w:tblPrEx>
          <w:tblCellMar>
            <w:top w:w="0" w:type="dxa"/>
            <w:left w:w="108" w:type="dxa"/>
            <w:bottom w:w="0" w:type="dxa"/>
            <w:right w:w="108" w:type="dxa"/>
          </w:tblCellMar>
        </w:tblPrEx>
        <w:trPr>
          <w:trHeight w:val="288" w:hRule="atLeast"/>
        </w:trPr>
        <w:tc>
          <w:tcPr>
            <w:tcW w:w="626" w:type="pct"/>
            <w:vMerge w:val="continue"/>
            <w:tcBorders>
              <w:top w:val="single" w:color="000000" w:sz="4" w:space="0"/>
              <w:left w:val="single" w:color="000000" w:sz="4" w:space="0"/>
              <w:bottom w:val="single" w:color="000000" w:sz="4" w:space="0"/>
              <w:right w:val="single" w:color="000000" w:sz="4" w:space="0"/>
            </w:tcBorders>
            <w:vAlign w:val="center"/>
          </w:tcPr>
          <w:p w14:paraId="0FF2859A">
            <w:pPr>
              <w:widowControl/>
              <w:jc w:val="left"/>
              <w:rPr>
                <w:rFonts w:hint="default" w:ascii="Times New Roman" w:hAnsi="Times New Roman" w:cs="Times New Roman"/>
                <w:color w:val="auto"/>
                <w:kern w:val="0"/>
                <w:sz w:val="21"/>
                <w:szCs w:val="21"/>
                <w:highlight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9025">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视频监控</w:t>
            </w:r>
          </w:p>
        </w:tc>
        <w:tc>
          <w:tcPr>
            <w:tcW w:w="3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9BCE">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2.1 监管仓库管理</w:t>
            </w:r>
          </w:p>
          <w:p w14:paraId="55464333">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通过视频监控云平台实现线上视频监控管理。将自治区36家专业监管仓库本地视频服务器部署接入网关，统一接入中央服务器，实现监管人员在线上掌握各企业情况。重点对皮棉入库过磅、现场公证检验等关键环节异常行为实现智能分析、抓拍现场照片功能，为监督核查提供事实依据，维护专业仓储监管+在库公证检验制度的权威性。</w:t>
            </w:r>
          </w:p>
        </w:tc>
      </w:tr>
      <w:tr w14:paraId="5C80DDD6">
        <w:tblPrEx>
          <w:tblCellMar>
            <w:top w:w="0" w:type="dxa"/>
            <w:left w:w="108" w:type="dxa"/>
            <w:bottom w:w="0" w:type="dxa"/>
            <w:right w:w="108" w:type="dxa"/>
          </w:tblCellMar>
        </w:tblPrEx>
        <w:trPr>
          <w:trHeight w:val="1408" w:hRule="atLeast"/>
        </w:trPr>
        <w:tc>
          <w:tcPr>
            <w:tcW w:w="626" w:type="pct"/>
            <w:vMerge w:val="continue"/>
            <w:tcBorders>
              <w:top w:val="single" w:color="000000" w:sz="4" w:space="0"/>
              <w:left w:val="single" w:color="000000" w:sz="4" w:space="0"/>
              <w:bottom w:val="single" w:color="000000" w:sz="4" w:space="0"/>
              <w:right w:val="single" w:color="000000" w:sz="4" w:space="0"/>
            </w:tcBorders>
            <w:vAlign w:val="center"/>
          </w:tcPr>
          <w:p w14:paraId="63BBB6BF">
            <w:pPr>
              <w:widowControl/>
              <w:jc w:val="left"/>
              <w:rPr>
                <w:rFonts w:hint="default" w:ascii="Times New Roman" w:hAnsi="Times New Roman" w:cs="Times New Roman"/>
                <w:color w:val="auto"/>
                <w:kern w:val="0"/>
                <w:sz w:val="21"/>
                <w:szCs w:val="21"/>
                <w:highlight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2F2E">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工作平台</w:t>
            </w:r>
          </w:p>
        </w:tc>
        <w:tc>
          <w:tcPr>
            <w:tcW w:w="3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583E">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3.1门户首页</w:t>
            </w:r>
          </w:p>
          <w:p w14:paraId="4C8796F6">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工作台提供给监管人员开展工作的快捷入口，页面展示自己所监管地区的数据统计。主要包含但不限于企业待审核、已审核数量，籽棉收购情况、皮棉加工情况，预计信息登录。具体展示内容有：加工企业数、籽棉收购量（吨）、皮棉加工量（吨）、待处理预计数、参与质量追溯籽棉数量、棉花种植面积、质量追溯参与棉农数量、追溯卡打印数量、质量追溯优质棉数量、视频监管企业数、监控设备数量、各地区籽棉收购量图表、各地区皮棉加工量、预计信息列表、加工企业地图分布、各地区上一年度企业诚信经营评价等级等。</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3.2数据总览</w:t>
            </w:r>
          </w:p>
          <w:p w14:paraId="6B3D378E">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数据总览设计为一个数据大屏页，内容展示当前监管人员监管地区下的所有数据汇总，显示形式有数字，饼状图、柱状图、地图、列表等。</w:t>
            </w:r>
          </w:p>
          <w:p w14:paraId="18535FAF">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主要包括种植数据汇总、收购数据汇总、加工数据汇总、质量追溯数据汇总、面积数据汇总、棉农数据汇总、互交互认数据汇总等。（外部数据共享）</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3.3企业信息</w:t>
            </w:r>
          </w:p>
          <w:p w14:paraId="772BEF85">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由企业登录系统填报基本信息、联系信息、产能信息、税票信息、相关证照、实物标准、加工设备信息、配套设备信息。</w:t>
            </w:r>
          </w:p>
          <w:p w14:paraId="71E8E757">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提供给监管人员对企业基本信息的查询与管理，监管人员通过审核企业填报的基本信息、设备信息，技术条件等来判断企业是否符合收购加工标准。其中又细分为企业信息填报、企业查询、企业审核、修改审核三个子功能。</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3.4预警管理</w:t>
            </w:r>
          </w:p>
          <w:p w14:paraId="7411C80C">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预警管理提供监管人员对收购、加工数据过程中的数据预警。预计分类有回潮率预警、含杂率预警、日衣分差值、周衣分差值、加工时间间隔、日加工量、日加工包数。系统会根据每个企业的配置每天晚上自动对收购加工数据进行预计统计，第二天会将统计结果推送给监管人员，监管人员根据自己所监管的企业异常情况进行处理。</w:t>
            </w:r>
          </w:p>
          <w:p w14:paraId="2BC59DAA">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预计功能主要有：预计设置和预计查询两个模块，其中预计查询可以对预计数据进行审核、导出。</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3.5知识库</w:t>
            </w:r>
          </w:p>
          <w:p w14:paraId="2A554F77">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标准和知识库功能模块主要是设置维护收购、加工、检验、监督等过程中适用的各类法律法规、规章制度、国家标准等，方便监督执法人员调用学习、提升监管能力，统一监管标准。区局通过知识库上传标准知识文件,供各地州、 县 (市 )局 学习参考。</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3.6系统管理</w:t>
            </w:r>
          </w:p>
          <w:p w14:paraId="74351D42">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提供系统运维人员相关功能，对系统监控、运维。</w:t>
            </w:r>
          </w:p>
          <w:p w14:paraId="14DD564F">
            <w:pPr>
              <w:widowControl/>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包含但不限于（1）用户管理、（2）角色管理、（3）菜单管理、（4）部门管理、（5）岗位管理、（6）字典管理、（7）文件下载等功能。</w:t>
            </w:r>
          </w:p>
        </w:tc>
      </w:tr>
      <w:tr w14:paraId="4F60FD77">
        <w:tblPrEx>
          <w:tblCellMar>
            <w:top w:w="0" w:type="dxa"/>
            <w:left w:w="108" w:type="dxa"/>
            <w:bottom w:w="0" w:type="dxa"/>
            <w:right w:w="108" w:type="dxa"/>
          </w:tblCellMar>
        </w:tblPrEx>
        <w:trPr>
          <w:trHeight w:val="864" w:hRule="atLeast"/>
        </w:trPr>
        <w:tc>
          <w:tcPr>
            <w:tcW w:w="626" w:type="pct"/>
            <w:vMerge w:val="continue"/>
            <w:tcBorders>
              <w:top w:val="single" w:color="000000" w:sz="4" w:space="0"/>
              <w:left w:val="single" w:color="000000" w:sz="4" w:space="0"/>
              <w:bottom w:val="single" w:color="000000" w:sz="4" w:space="0"/>
              <w:right w:val="single" w:color="000000" w:sz="4" w:space="0"/>
            </w:tcBorders>
            <w:vAlign w:val="center"/>
          </w:tcPr>
          <w:p w14:paraId="689ECE57">
            <w:pPr>
              <w:widowControl/>
              <w:jc w:val="left"/>
              <w:rPr>
                <w:rFonts w:hint="default" w:ascii="Times New Roman" w:hAnsi="Times New Roman" w:cs="Times New Roman"/>
                <w:color w:val="auto"/>
                <w:kern w:val="0"/>
                <w:sz w:val="21"/>
                <w:szCs w:val="21"/>
                <w:highlight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9181">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小程序</w:t>
            </w:r>
          </w:p>
        </w:tc>
        <w:tc>
          <w:tcPr>
            <w:tcW w:w="3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F21C">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
              </w:rPr>
              <w:t>4.1</w:t>
            </w:r>
            <w:r>
              <w:rPr>
                <w:rFonts w:hint="default" w:ascii="Times New Roman" w:hAnsi="Times New Roman" w:cs="Times New Roman"/>
                <w:color w:val="auto"/>
                <w:kern w:val="0"/>
                <w:sz w:val="21"/>
                <w:szCs w:val="21"/>
                <w:highlight w:val="none"/>
              </w:rPr>
              <w:t>智慧监管平台小程序主要是辅助基层监管人员进行现场监管不良行为记录、企业数据查看、异常信息展示、预警信息处理等。通过平台分配的用户权限展示不同功能。</w:t>
            </w:r>
          </w:p>
        </w:tc>
      </w:tr>
      <w:tr w14:paraId="33EC8BAE">
        <w:tblPrEx>
          <w:tblCellMar>
            <w:top w:w="0" w:type="dxa"/>
            <w:left w:w="108" w:type="dxa"/>
            <w:bottom w:w="0" w:type="dxa"/>
            <w:right w:w="108" w:type="dxa"/>
          </w:tblCellMar>
        </w:tblPrEx>
        <w:trPr>
          <w:trHeight w:val="864" w:hRule="atLeast"/>
        </w:trPr>
        <w:tc>
          <w:tcPr>
            <w:tcW w:w="1041" w:type="dxa"/>
            <w:tcBorders>
              <w:top w:val="single" w:color="000000" w:sz="4" w:space="0"/>
              <w:left w:val="single" w:color="000000" w:sz="4" w:space="0"/>
              <w:bottom w:val="single" w:color="000000" w:sz="4" w:space="0"/>
              <w:right w:val="single" w:color="000000" w:sz="4" w:space="0"/>
            </w:tcBorders>
            <w:vAlign w:val="center"/>
          </w:tcPr>
          <w:p w14:paraId="71230FFA">
            <w:pPr>
              <w:widowControl/>
              <w:jc w:val="left"/>
              <w:rPr>
                <w:rFonts w:hint="default" w:ascii="Times New Roman" w:hAnsi="Times New Roman" w:cs="Times New Roman"/>
                <w:color w:val="auto"/>
                <w:kern w:val="0"/>
                <w:sz w:val="21"/>
                <w:szCs w:val="21"/>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895A">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“扫码入企”相关配合工作</w:t>
            </w:r>
          </w:p>
        </w:tc>
        <w:tc>
          <w:tcPr>
            <w:tcW w:w="6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4527">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 w:eastAsia="zh-CN"/>
              </w:rPr>
              <w:t>5.1</w:t>
            </w:r>
            <w:r>
              <w:rPr>
                <w:rFonts w:hint="default" w:ascii="Times New Roman" w:hAnsi="Times New Roman" w:cs="Times New Roman"/>
                <w:color w:val="auto"/>
                <w:kern w:val="0"/>
                <w:sz w:val="21"/>
                <w:szCs w:val="21"/>
                <w:highlight w:val="none"/>
                <w:lang w:val="en-US" w:eastAsia="zh-CN"/>
              </w:rPr>
              <w:t>按数字化发展局明确的贯通业务系统和技术标准要求，</w:t>
            </w:r>
            <w:r>
              <w:rPr>
                <w:rFonts w:hint="default" w:ascii="Times New Roman" w:hAnsi="Times New Roman" w:cs="Times New Roman"/>
                <w:color w:val="auto"/>
                <w:kern w:val="0"/>
                <w:sz w:val="21"/>
                <w:szCs w:val="21"/>
                <w:highlight w:val="none"/>
              </w:rPr>
              <w:t>做好</w:t>
            </w:r>
            <w:r>
              <w:rPr>
                <w:rFonts w:hint="default" w:ascii="Times New Roman" w:hAnsi="Times New Roman" w:cs="Times New Roman"/>
                <w:color w:val="auto"/>
                <w:kern w:val="0"/>
                <w:sz w:val="21"/>
                <w:szCs w:val="21"/>
                <w:highlight w:val="none"/>
                <w:lang w:eastAsia="zh-CN"/>
              </w:rPr>
              <w:t>与自治区“扫码入企”平台、“新企办”“新服办”的接口开发工作，实现本系统数据共享。</w:t>
            </w:r>
          </w:p>
        </w:tc>
      </w:tr>
    </w:tbl>
    <w:p w14:paraId="03D91929">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2.“丝路有信”新疆企业信用码子系统</w:t>
      </w:r>
    </w:p>
    <w:tbl>
      <w:tblPr>
        <w:tblStyle w:val="40"/>
        <w:tblW w:w="4877" w:type="pct"/>
        <w:tblInd w:w="157" w:type="dxa"/>
        <w:tblLayout w:type="autofit"/>
        <w:tblCellMar>
          <w:top w:w="0" w:type="dxa"/>
          <w:left w:w="108" w:type="dxa"/>
          <w:bottom w:w="0" w:type="dxa"/>
          <w:right w:w="108" w:type="dxa"/>
        </w:tblCellMar>
      </w:tblPr>
      <w:tblGrid>
        <w:gridCol w:w="1039"/>
        <w:gridCol w:w="1013"/>
        <w:gridCol w:w="6260"/>
      </w:tblGrid>
      <w:tr w14:paraId="038E3409">
        <w:tblPrEx>
          <w:tblCellMar>
            <w:top w:w="0" w:type="dxa"/>
            <w:left w:w="108" w:type="dxa"/>
            <w:bottom w:w="0" w:type="dxa"/>
            <w:right w:w="108" w:type="dxa"/>
          </w:tblCellMar>
        </w:tblPrEx>
        <w:trPr>
          <w:trHeight w:val="288"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F6B7">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系统名称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39B9">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模块名称</w:t>
            </w:r>
          </w:p>
        </w:tc>
        <w:tc>
          <w:tcPr>
            <w:tcW w:w="3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9898">
            <w:pPr>
              <w:ind w:firstLine="422" w:firstLineChars="20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规格参数</w:t>
            </w:r>
          </w:p>
        </w:tc>
      </w:tr>
      <w:tr w14:paraId="4F470D99">
        <w:tblPrEx>
          <w:tblCellMar>
            <w:top w:w="0" w:type="dxa"/>
            <w:left w:w="108" w:type="dxa"/>
            <w:bottom w:w="0" w:type="dxa"/>
            <w:right w:w="108" w:type="dxa"/>
          </w:tblCellMar>
        </w:tblPrEx>
        <w:trPr>
          <w:trHeight w:val="1440" w:hRule="atLeast"/>
        </w:trPr>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96E7C">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市场监管一网统管系统-“丝路有信”新疆企业信用码子系统</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4474">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触发式监管</w:t>
            </w:r>
          </w:p>
        </w:tc>
        <w:tc>
          <w:tcPr>
            <w:tcW w:w="3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46DD">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1.1风险指标体系</w:t>
            </w:r>
          </w:p>
          <w:p w14:paraId="4911BFD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参照《企业信用风险分类管理办法》，构建 “5 维度 3 层级” 指标体系：指标权重采用 “层次分析法（AHP）+ 机器学习” 动态调整，初始权重经专家论证确定，后续根据监管效果自动优化。</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1.2预警处置流程</w:t>
            </w:r>
          </w:p>
          <w:p w14:paraId="06F56382">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数据采集：每日凌晨通过 ETL 工具抽取国家企业信用信息公示系统、新疆政务服务网等 12 个数据源，清洗后存入风险指标库。</w:t>
            </w:r>
          </w:p>
          <w:p w14:paraId="0CC07A2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模型计算：基于 Spark 分布式计算框架，对每家企业的 72 项指标进行加权计算，生成 0-1000 分的风险值，对应红（≥800）、黄（600-799）、绿（&lt;600）三色预警。</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1.3功能扩展</w:t>
            </w:r>
          </w:p>
          <w:p w14:paraId="4339519F">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开发 “监管驾驶舱” 可视化界面，支持按区域、行业、时间维度查看风险分布，提供 “风险热力图”“指标波动预警”“监管效能分析” 等功能，辅助监管决策。</w:t>
            </w:r>
          </w:p>
          <w:p w14:paraId="4E77FBCA">
            <w:pPr>
              <w:ind w:firstLine="420" w:firstLineChars="200"/>
              <w:rPr>
                <w:rFonts w:hint="default" w:ascii="Times New Roman" w:hAnsi="Times New Roman" w:cs="Times New Roman"/>
                <w:color w:val="auto"/>
                <w:sz w:val="21"/>
                <w:szCs w:val="21"/>
                <w:highlight w:val="none"/>
              </w:rPr>
            </w:pPr>
          </w:p>
        </w:tc>
      </w:tr>
      <w:tr w14:paraId="2BCED8E3">
        <w:tblPrEx>
          <w:tblCellMar>
            <w:top w:w="0" w:type="dxa"/>
            <w:left w:w="108" w:type="dxa"/>
            <w:bottom w:w="0" w:type="dxa"/>
            <w:right w:w="108" w:type="dxa"/>
          </w:tblCellMar>
        </w:tblPrEx>
        <w:trPr>
          <w:trHeight w:val="576" w:hRule="atLeast"/>
        </w:trPr>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55AC40FB">
            <w:pPr>
              <w:widowControl/>
              <w:jc w:val="left"/>
              <w:rPr>
                <w:rFonts w:hint="default" w:ascii="Times New Roman" w:hAnsi="Times New Roman" w:cs="Times New Roman"/>
                <w:color w:val="auto"/>
                <w:kern w:val="0"/>
                <w:sz w:val="21"/>
                <w:szCs w:val="21"/>
                <w:highlight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3750">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重点领域信用分类</w:t>
            </w:r>
          </w:p>
        </w:tc>
        <w:tc>
          <w:tcPr>
            <w:tcW w:w="3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51A5">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2.1学校食堂模块</w:t>
            </w:r>
          </w:p>
          <w:p w14:paraId="2CC1F0B2">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对接教育部门数据，获取学校食堂许可信息、从业人员健康档案。</w:t>
            </w:r>
          </w:p>
          <w:p w14:paraId="1B83F8C0">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开发 “食品安全风险指数” 模型，计算公式为：风险指数=食品抽检不合格率×40% + 投诉率×30% + 从业人员培训合格率×30%</w:t>
            </w:r>
          </w:p>
          <w:p w14:paraId="01C90A1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按指数划分风险等级，C 级企业自动触发联合检查（市场监管 + 教育 + 卫健部门）。</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2.2经营主体信用评价模块</w:t>
            </w:r>
          </w:p>
          <w:p w14:paraId="7219675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在《个体工商户信用评价指标》国家标准体系框架下，结合新疆实际，构建个体工商户信用评价指标体系，统一评价标准并动态优化。</w:t>
            </w:r>
          </w:p>
          <w:p w14:paraId="1BBBD2C4">
            <w:pPr>
              <w:ind w:firstLine="420" w:firstLineChars="200"/>
              <w:rPr>
                <w:rFonts w:hint="default" w:ascii="Times New Roman" w:hAnsi="Times New Roman" w:cs="Times New Roman"/>
                <w:color w:val="auto"/>
                <w:sz w:val="21"/>
                <w:szCs w:val="21"/>
                <w:highlight w:val="none"/>
              </w:rPr>
            </w:pPr>
          </w:p>
        </w:tc>
      </w:tr>
      <w:tr w14:paraId="370B6EBC">
        <w:tblPrEx>
          <w:tblCellMar>
            <w:top w:w="0" w:type="dxa"/>
            <w:left w:w="108" w:type="dxa"/>
            <w:bottom w:w="0" w:type="dxa"/>
            <w:right w:w="108" w:type="dxa"/>
          </w:tblCellMar>
        </w:tblPrEx>
        <w:trPr>
          <w:trHeight w:val="1728" w:hRule="atLeast"/>
        </w:trPr>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6D1EF785">
            <w:pPr>
              <w:widowControl/>
              <w:jc w:val="left"/>
              <w:rPr>
                <w:rFonts w:hint="default" w:ascii="Times New Roman" w:hAnsi="Times New Roman" w:cs="Times New Roman"/>
                <w:color w:val="auto"/>
                <w:kern w:val="0"/>
                <w:sz w:val="21"/>
                <w:szCs w:val="21"/>
                <w:highlight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E455">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经营主体标注功能</w:t>
            </w:r>
          </w:p>
        </w:tc>
        <w:tc>
          <w:tcPr>
            <w:tcW w:w="3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4E69">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3.1</w:t>
            </w:r>
            <w:r>
              <w:rPr>
                <w:rFonts w:hint="default" w:ascii="Times New Roman" w:hAnsi="Times New Roman" w:cs="Times New Roman"/>
                <w:color w:val="auto"/>
                <w:sz w:val="21"/>
                <w:szCs w:val="21"/>
                <w:highlight w:val="none"/>
              </w:rPr>
              <w:t>从行业领域（细分为食品、药品、特种设备...等标注）、风险状况（细分为A、B、C、D...等标注）、主体类型（细分为个体工商户、企业、农民专业合作社...等）和经营状态（细分为存续、注销、清算...等标注）4个维度建立经营主体标注体系。</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展示方式：消费者扫码后，在企业详情页顶部以 “标签云” 形式展示，点击标签可查看具体风险详情及整改情况。</w:t>
            </w:r>
          </w:p>
        </w:tc>
      </w:tr>
      <w:tr w14:paraId="54D214C3">
        <w:tblPrEx>
          <w:tblCellMar>
            <w:top w:w="0" w:type="dxa"/>
            <w:left w:w="108" w:type="dxa"/>
            <w:bottom w:w="0" w:type="dxa"/>
            <w:right w:w="108" w:type="dxa"/>
          </w:tblCellMar>
        </w:tblPrEx>
        <w:trPr>
          <w:trHeight w:val="1440" w:hRule="atLeast"/>
        </w:trPr>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7F32A253">
            <w:pPr>
              <w:widowControl/>
              <w:jc w:val="left"/>
              <w:rPr>
                <w:rFonts w:hint="default" w:ascii="Times New Roman" w:hAnsi="Times New Roman" w:cs="Times New Roman"/>
                <w:color w:val="auto"/>
                <w:kern w:val="0"/>
                <w:sz w:val="21"/>
                <w:szCs w:val="21"/>
                <w:highlight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7EBE">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信用智能服务</w:t>
            </w:r>
          </w:p>
        </w:tc>
        <w:tc>
          <w:tcPr>
            <w:tcW w:w="3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0E5C">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4.1信用修复模块</w:t>
            </w:r>
          </w:p>
          <w:p w14:paraId="0465CAB7">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企业在线提交修复申请，系统自动校验材料完整性（如整改报告、证明文件等），不符合要求的实时驳回并提示缺漏项。</w:t>
            </w:r>
          </w:p>
          <w:p w14:paraId="73A3A72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引入 “智能初审” 功能，对无争议的轻微违规（如未及时公示即时信息），系统自动审核通过，审批时效从 5 天缩短至 1 天。</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4.2自我承诺模块</w:t>
            </w:r>
          </w:p>
          <w:p w14:paraId="0B761CB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 “通用承诺模板”（如诚信经营承诺、质量安全承诺）和 “行业专属模板”（如餐饮行业食品安全承诺），企业勾选承诺内容后，自动生成电子承诺书并公示。</w:t>
            </w:r>
          </w:p>
          <w:p w14:paraId="34C4491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承诺履行情况纳入信用评价，主动履约企业次年信用等级可提升 1 级（限 B 类及以上企业）。</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4.3工作提醒模块</w:t>
            </w:r>
          </w:p>
          <w:p w14:paraId="6953B75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系统根据规则（如期限临近、任务未完成）生成提醒任务，通过短信、邮件或平台消息推送至企业/监管人员，标记任务处理进度，超时未处理自动升级提醒或触发预警。</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4.4非现场核查模块</w:t>
            </w:r>
          </w:p>
          <w:p w14:paraId="1ED9E106">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自动抓取企业公开数据（工商、税务、舆情等）及内部填报信息，通过规则引擎或AI模型分析数据一致性、合规性，输出核查结果（正常/异常），标注风险点及证据链，异常数据触发预警或人工复核，正常数据更新至信用档案。</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4.5远程预警模块</w:t>
            </w:r>
          </w:p>
          <w:p w14:paraId="53E30C1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实时监测企业信用指标（如履约率、投诉量、黑名单），向监管人员发送预警详情，同步通知企业限期自查，企业提交说明或整改，系统跟踪直至风险解除或升级处理。</w:t>
            </w:r>
          </w:p>
          <w:p w14:paraId="6462EF86">
            <w:pPr>
              <w:ind w:firstLine="420" w:firstLineChars="200"/>
              <w:rPr>
                <w:rFonts w:hint="default" w:ascii="Times New Roman" w:hAnsi="Times New Roman" w:cs="Times New Roman"/>
                <w:color w:val="auto"/>
                <w:sz w:val="21"/>
                <w:szCs w:val="21"/>
                <w:highlight w:val="none"/>
              </w:rPr>
            </w:pPr>
          </w:p>
        </w:tc>
      </w:tr>
      <w:tr w14:paraId="1A628B3B">
        <w:tblPrEx>
          <w:tblCellMar>
            <w:top w:w="0" w:type="dxa"/>
            <w:left w:w="108" w:type="dxa"/>
            <w:bottom w:w="0" w:type="dxa"/>
            <w:right w:w="108" w:type="dxa"/>
          </w:tblCellMar>
        </w:tblPrEx>
        <w:trPr>
          <w:trHeight w:val="1440" w:hRule="atLeast"/>
        </w:trPr>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676A8232">
            <w:pPr>
              <w:widowControl/>
              <w:jc w:val="left"/>
              <w:rPr>
                <w:rFonts w:hint="default" w:ascii="Times New Roman" w:hAnsi="Times New Roman" w:cs="Times New Roman"/>
                <w:color w:val="auto"/>
                <w:kern w:val="0"/>
                <w:sz w:val="21"/>
                <w:szCs w:val="21"/>
                <w:highlight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1ED5">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信用数据采集溯源及预警控制</w:t>
            </w:r>
          </w:p>
        </w:tc>
        <w:tc>
          <w:tcPr>
            <w:tcW w:w="3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60C0">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5.1分布式智能爬虫</w:t>
            </w:r>
          </w:p>
          <w:p w14:paraId="1C67321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分散部署多个轻量化采集节点，实现了并行抓取、负载均衡与资源智能调度，极大提升了数据获取的速度与稳定性。具体而言，其“异步、并发、高频抓取”技术特点可确保系统在无需等待单一任务完成的前提下，同时向多个目标网站发起数据请求，避免因单点故障影响整体效率。</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5.2开源数据采集调度</w:t>
            </w:r>
          </w:p>
          <w:p w14:paraId="76F52826">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通过灵活配置任务策略，支持企业根据业务需求自主设定采集范围、频率、优先级及策略参数。搭建中枢管理平台，用于实现对海量数据采集任务的统一规划、分发与监控。</w:t>
            </w:r>
          </w:p>
          <w:p w14:paraId="20F9F4E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支持灵活配置任务策略，涵盖采集范围、频率、优先级以及采集源白名单等参数的设置。</w:t>
            </w:r>
          </w:p>
          <w:p w14:paraId="1F31CBD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采用开源架构，提供可定制的底层代码，支持自建或云端部署模式。</w:t>
            </w:r>
          </w:p>
          <w:p w14:paraId="2E3DD6C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开发可视化操作界面和自动化日志记录功能，以便监控任务执行状态。</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5.3数据敏感性识别引|擎</w:t>
            </w:r>
          </w:p>
          <w:p w14:paraId="47FEA7AA">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实时扫描机制，可有效排除敏感信息，降低法律风险。内置涵盖个人信息、商业秘密及政策敏感词的动态词库，以及可自定义的规则库，如字段关联检测规则、数据格式校验规则等。智能清洗引擎、敏感数据管控系统、信用建模平台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5.4多维审计与溯源</w:t>
            </w:r>
          </w:p>
          <w:p w14:paraId="12F0401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在每一项数据被采集并上传至系统时，自动为其添加包含但不限于来源标签、脚本版本号及执行任务ID的元数据信息。为采集的数据自动添加来源标签、脚本版本号、执行任务 ID 等元数据信息。</w:t>
            </w:r>
          </w:p>
          <w:p w14:paraId="2B5EA90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实现数据全生命周期的可追溯性，能够通过元数据追溯数据的采集来源、脚本版本和任务信息。</w:t>
            </w:r>
          </w:p>
          <w:p w14:paraId="6F8DA50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与外部监管系统实现接口兼容，支持将元数据信息实时同步至监管平台。开发自动化报告生成系统，为合规检查提供依据。</w:t>
            </w:r>
          </w:p>
          <w:p w14:paraId="3FBE0E3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多维审计模块-五元溯源要素：采集 URL、脚本版本、任务 ID、设备 IP、时间戳，均通过区块链轻节点存证；</w:t>
            </w:r>
          </w:p>
          <w:p w14:paraId="7222061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审计日志可视化：支持按时间、数据源、任务类型等维度检索日志，生成溯源报告（如某企业信用数据采集路径详情）。</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5.5全流程溯源与合规</w:t>
            </w:r>
          </w:p>
          <w:p w14:paraId="39FA8B9F">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整合国内各行业数据采集的监管法规要求，在数据采集策略配置阶段设立合规门槛。</w:t>
            </w:r>
          </w:p>
          <w:p w14:paraId="6E11BBB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开发与政府监管部门对接的数据溯源接口，支持快速调取关联数据和生成审计报告。</w:t>
            </w:r>
          </w:p>
          <w:p w14:paraId="2071BF47">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实现自动化报告生成功能，能够根据监管要求生成结构化的审计报告和合规证明文件。</w:t>
            </w:r>
          </w:p>
          <w:p w14:paraId="5766794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对接国家信用信息共享平台，定期报送采集数据清单和合规报告；</w:t>
            </w:r>
          </w:p>
          <w:p w14:paraId="2C075B5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内置政策动态更新机制，当《征信业管理条例》等法规修订时，系统自动调整采集策略（如新增数据源白名单、调整敏感词库）。</w:t>
            </w:r>
          </w:p>
          <w:p w14:paraId="0FBFE939">
            <w:pPr>
              <w:ind w:firstLine="420" w:firstLineChars="200"/>
              <w:rPr>
                <w:rFonts w:hint="default" w:ascii="Times New Roman" w:hAnsi="Times New Roman" w:cs="Times New Roman"/>
                <w:color w:val="auto"/>
                <w:sz w:val="21"/>
                <w:szCs w:val="21"/>
                <w:highlight w:val="none"/>
              </w:rPr>
            </w:pPr>
          </w:p>
        </w:tc>
      </w:tr>
      <w:tr w14:paraId="59955E4E">
        <w:tblPrEx>
          <w:tblCellMar>
            <w:top w:w="0" w:type="dxa"/>
            <w:left w:w="108" w:type="dxa"/>
            <w:bottom w:w="0" w:type="dxa"/>
            <w:right w:w="108" w:type="dxa"/>
          </w:tblCellMar>
        </w:tblPrEx>
        <w:trPr>
          <w:trHeight w:val="558" w:hRule="atLeast"/>
        </w:trPr>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50CEC8A5">
            <w:pPr>
              <w:widowControl/>
              <w:jc w:val="left"/>
              <w:rPr>
                <w:rFonts w:hint="default" w:ascii="Times New Roman" w:hAnsi="Times New Roman" w:cs="Times New Roman"/>
                <w:color w:val="auto"/>
                <w:kern w:val="0"/>
                <w:sz w:val="21"/>
                <w:szCs w:val="21"/>
                <w:highlight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5D8F">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信用修复智能AI助手</w:t>
            </w:r>
          </w:p>
        </w:tc>
        <w:tc>
          <w:tcPr>
            <w:tcW w:w="3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8AEA">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6.1 智能知识问答</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政策精准解读：整合国家与地方信用修复法规政策，构建结构化知识库，可解答 “修复条件、所需材料、办理时限” 等高频问题，支持语音、文字多模态交互。</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案例智能匹配：根据用户失信类型（如年报异常、行政处罚），自动推送同类修复成功案例，包含但不限于具体流程、关键材料与办理建议。</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典型案例库：拓展采集渠道，细化脱敏，按多维度匹配推送。</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常见问题库：自动归集问题，解答关联资源，优化并设反馈奖励。</w:t>
            </w:r>
          </w:p>
          <w:p w14:paraId="38A17281">
            <w:pPr>
              <w:ind w:firstLine="420" w:firstLineChars="200"/>
              <w:rPr>
                <w:rFonts w:hint="default" w:ascii="Times New Roman" w:hAnsi="Times New Roman" w:cs="Times New Roman"/>
                <w:color w:val="auto"/>
                <w:sz w:val="21"/>
                <w:szCs w:val="21"/>
                <w:highlight w:val="none"/>
              </w:rPr>
            </w:pPr>
          </w:p>
        </w:tc>
      </w:tr>
      <w:tr w14:paraId="6BA62AC0">
        <w:tblPrEx>
          <w:tblCellMar>
            <w:top w:w="0" w:type="dxa"/>
            <w:left w:w="108" w:type="dxa"/>
            <w:bottom w:w="0" w:type="dxa"/>
            <w:right w:w="108" w:type="dxa"/>
          </w:tblCellMar>
        </w:tblPrEx>
        <w:trPr>
          <w:trHeight w:val="864" w:hRule="atLeast"/>
        </w:trPr>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071A33A8">
            <w:pPr>
              <w:widowControl/>
              <w:jc w:val="left"/>
              <w:rPr>
                <w:rFonts w:hint="default" w:ascii="Times New Roman" w:hAnsi="Times New Roman" w:cs="Times New Roman"/>
                <w:color w:val="auto"/>
                <w:kern w:val="0"/>
                <w:sz w:val="21"/>
                <w:szCs w:val="21"/>
                <w:highlight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DBC4">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年报服务AI助手("智服小联")</w:t>
            </w:r>
          </w:p>
        </w:tc>
        <w:tc>
          <w:tcPr>
            <w:tcW w:w="3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1482">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7.1</w:t>
            </w:r>
            <w:r>
              <w:rPr>
                <w:rFonts w:hint="default" w:ascii="Times New Roman" w:hAnsi="Times New Roman" w:cs="Times New Roman"/>
                <w:color w:val="auto"/>
                <w:sz w:val="21"/>
                <w:szCs w:val="21"/>
                <w:highlight w:val="none"/>
              </w:rPr>
              <w:t>年报服务AI机器人“智服小联”，依托大数据与人工智能技术，从后台整合、前端筛检、个性服务三个维度，构建起全流程智能化年报服务机制，为年报服务工作注入 “智慧基因”。</w:t>
            </w:r>
          </w:p>
        </w:tc>
      </w:tr>
      <w:tr w14:paraId="44DCE6E8">
        <w:tblPrEx>
          <w:tblCellMar>
            <w:top w:w="0" w:type="dxa"/>
            <w:left w:w="108" w:type="dxa"/>
            <w:bottom w:w="0" w:type="dxa"/>
            <w:right w:w="108" w:type="dxa"/>
          </w:tblCellMar>
        </w:tblPrEx>
        <w:trPr>
          <w:trHeight w:val="1152" w:hRule="atLeast"/>
        </w:trPr>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32B2B973">
            <w:pPr>
              <w:widowControl/>
              <w:jc w:val="left"/>
              <w:rPr>
                <w:rFonts w:hint="default" w:ascii="Times New Roman" w:hAnsi="Times New Roman" w:cs="Times New Roman"/>
                <w:color w:val="auto"/>
                <w:kern w:val="0"/>
                <w:sz w:val="21"/>
                <w:szCs w:val="21"/>
                <w:highlight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D1D1">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新疆智慧监管一张网与"丝路有信"小程序互通功能</w:t>
            </w:r>
          </w:p>
        </w:tc>
        <w:tc>
          <w:tcPr>
            <w:tcW w:w="3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28F9">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8.1</w:t>
            </w:r>
            <w:r>
              <w:rPr>
                <w:rFonts w:hint="default" w:ascii="Times New Roman" w:hAnsi="Times New Roman" w:cs="Times New Roman"/>
                <w:color w:val="auto"/>
                <w:sz w:val="21"/>
                <w:szCs w:val="21"/>
                <w:highlight w:val="none"/>
              </w:rPr>
              <w:t>“新疆智慧监管一张网”与“丝路有信”小程序互通，在“丝路有信”小程序增加入企扫码功能</w:t>
            </w:r>
          </w:p>
        </w:tc>
      </w:tr>
      <w:tr w14:paraId="756AFDF7">
        <w:tblPrEx>
          <w:tblCellMar>
            <w:top w:w="0" w:type="dxa"/>
            <w:left w:w="108" w:type="dxa"/>
            <w:bottom w:w="0" w:type="dxa"/>
            <w:right w:w="108" w:type="dxa"/>
          </w:tblCellMar>
        </w:tblPrEx>
        <w:trPr>
          <w:trHeight w:val="1152" w:hRule="atLeast"/>
        </w:trPr>
        <w:tc>
          <w:tcPr>
            <w:tcW w:w="1039" w:type="dxa"/>
            <w:tcBorders>
              <w:top w:val="single" w:color="000000" w:sz="4" w:space="0"/>
              <w:left w:val="single" w:color="000000" w:sz="4" w:space="0"/>
              <w:bottom w:val="single" w:color="000000" w:sz="4" w:space="0"/>
              <w:right w:val="single" w:color="000000" w:sz="4" w:space="0"/>
            </w:tcBorders>
            <w:vAlign w:val="center"/>
          </w:tcPr>
          <w:p w14:paraId="493D6D94">
            <w:pPr>
              <w:widowControl/>
              <w:jc w:val="left"/>
              <w:rPr>
                <w:rFonts w:hint="default" w:ascii="Times New Roman" w:hAnsi="Times New Roman" w:cs="Times New Roman"/>
                <w:color w:val="auto"/>
                <w:kern w:val="0"/>
                <w:sz w:val="21"/>
                <w:szCs w:val="21"/>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9CE8">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“扫码入企”相关配合工作</w:t>
            </w:r>
          </w:p>
        </w:tc>
        <w:tc>
          <w:tcPr>
            <w:tcW w:w="6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03B7">
            <w:pPr>
              <w:widowControl/>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0"/>
                <w:sz w:val="21"/>
                <w:szCs w:val="21"/>
                <w:highlight w:val="none"/>
                <w:lang w:val="en" w:eastAsia="zh-CN"/>
              </w:rPr>
              <w:t>9.1</w:t>
            </w:r>
            <w:r>
              <w:rPr>
                <w:rFonts w:hint="default" w:ascii="Times New Roman" w:hAnsi="Times New Roman" w:cs="Times New Roman"/>
                <w:color w:val="auto"/>
                <w:kern w:val="0"/>
                <w:sz w:val="21"/>
                <w:szCs w:val="21"/>
                <w:highlight w:val="none"/>
                <w:lang w:val="en-US" w:eastAsia="zh-CN"/>
              </w:rPr>
              <w:t>按数字化发展局明确的贯通业务系统和技术标准要求，</w:t>
            </w:r>
            <w:r>
              <w:rPr>
                <w:rFonts w:hint="default" w:ascii="Times New Roman" w:hAnsi="Times New Roman" w:cs="Times New Roman"/>
                <w:color w:val="auto"/>
                <w:kern w:val="0"/>
                <w:sz w:val="21"/>
                <w:szCs w:val="21"/>
                <w:highlight w:val="none"/>
              </w:rPr>
              <w:t>做好</w:t>
            </w:r>
            <w:r>
              <w:rPr>
                <w:rFonts w:hint="default" w:ascii="Times New Roman" w:hAnsi="Times New Roman" w:cs="Times New Roman"/>
                <w:color w:val="auto"/>
                <w:kern w:val="0"/>
                <w:sz w:val="21"/>
                <w:szCs w:val="21"/>
                <w:highlight w:val="none"/>
                <w:lang w:eastAsia="zh-CN"/>
              </w:rPr>
              <w:t>与自治区“扫码入企”平台、“新企办”“新服办”的接口开发工作，实现本系统数据共享。</w:t>
            </w:r>
          </w:p>
        </w:tc>
      </w:tr>
    </w:tbl>
    <w:p w14:paraId="1621AD7B">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3.检验检测机构智慧监管子系统</w:t>
      </w:r>
    </w:p>
    <w:tbl>
      <w:tblPr>
        <w:tblStyle w:val="40"/>
        <w:tblW w:w="4884" w:type="pct"/>
        <w:tblInd w:w="144" w:type="dxa"/>
        <w:tblLayout w:type="autofit"/>
        <w:tblCellMar>
          <w:top w:w="0" w:type="dxa"/>
          <w:left w:w="108" w:type="dxa"/>
          <w:bottom w:w="0" w:type="dxa"/>
          <w:right w:w="108" w:type="dxa"/>
        </w:tblCellMar>
      </w:tblPr>
      <w:tblGrid>
        <w:gridCol w:w="1039"/>
        <w:gridCol w:w="1026"/>
        <w:gridCol w:w="6259"/>
      </w:tblGrid>
      <w:tr w14:paraId="5CCF05AF">
        <w:tblPrEx>
          <w:tblCellMar>
            <w:top w:w="0" w:type="dxa"/>
            <w:left w:w="108" w:type="dxa"/>
            <w:bottom w:w="0" w:type="dxa"/>
            <w:right w:w="108" w:type="dxa"/>
          </w:tblCellMar>
        </w:tblPrEx>
        <w:trPr>
          <w:trHeight w:val="288"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377A">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系统名称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7337">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模块名称</w:t>
            </w:r>
          </w:p>
        </w:tc>
        <w:tc>
          <w:tcPr>
            <w:tcW w:w="3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C87A">
            <w:pPr>
              <w:ind w:firstLine="422" w:firstLineChars="20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规格参数</w:t>
            </w:r>
          </w:p>
        </w:tc>
      </w:tr>
      <w:tr w14:paraId="7B644883">
        <w:tblPrEx>
          <w:tblCellMar>
            <w:top w:w="0" w:type="dxa"/>
            <w:left w:w="108" w:type="dxa"/>
            <w:bottom w:w="0" w:type="dxa"/>
            <w:right w:w="108" w:type="dxa"/>
          </w:tblCellMar>
        </w:tblPrEx>
        <w:trPr>
          <w:trHeight w:val="1152" w:hRule="atLeast"/>
        </w:trPr>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DF3DF">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市场监管一网统管系统-检验检测机构智慧监管子系统</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35C6">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授权签字人能力考核子系统</w:t>
            </w:r>
          </w:p>
        </w:tc>
        <w:tc>
          <w:tcPr>
            <w:tcW w:w="3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3478">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1.1新建授权签字人能力考核机构端</w:t>
            </w:r>
          </w:p>
          <w:p w14:paraId="4E18E06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包含但不限于（1）授权签字人查询功能、（2）考试报名、（3）考试查询、（4）考试信息、（5）考试报名状态管理、（6）授权签字人考试结果等功能。</w:t>
            </w:r>
          </w:p>
          <w:p w14:paraId="44C41FBA">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1.2新建授权签字人能力考核监管端</w:t>
            </w:r>
          </w:p>
          <w:p w14:paraId="714D382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1）考试报名情况、（2）考试机构清单、（3）考试配置管理、（4）试卷基础信息配置管理、（5）试卷题量设置管理、（6）试卷题型设置管理、（7）考试场次情况、（8）考试错题分析、（9）单场考试情况、（10）考试任务管理、（11）考试任务信息、（12）选择考试检验检测机构、（13）考试结果、（14）已报名逾期未考试人员清单、（15）逾期未报名参与考试机构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1.3新建授权签字人能力考核考试端</w:t>
            </w:r>
          </w:p>
          <w:p w14:paraId="210095B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包含但不限于（1）我的考试、（2）进度提示、（3）试题导航、（4）考试作答、（5）考试提交等功能。</w:t>
            </w:r>
          </w:p>
          <w:p w14:paraId="504D9615">
            <w:pPr>
              <w:ind w:firstLine="420" w:firstLineChars="200"/>
              <w:rPr>
                <w:rFonts w:hint="default" w:ascii="Times New Roman" w:hAnsi="Times New Roman" w:cs="Times New Roman"/>
                <w:color w:val="auto"/>
                <w:sz w:val="21"/>
                <w:szCs w:val="21"/>
                <w:highlight w:val="none"/>
              </w:rPr>
            </w:pPr>
          </w:p>
        </w:tc>
      </w:tr>
      <w:tr w14:paraId="58D48C2C">
        <w:tblPrEx>
          <w:tblCellMar>
            <w:top w:w="0" w:type="dxa"/>
            <w:left w:w="108" w:type="dxa"/>
            <w:bottom w:w="0" w:type="dxa"/>
            <w:right w:w="108" w:type="dxa"/>
          </w:tblCellMar>
        </w:tblPrEx>
        <w:trPr>
          <w:trHeight w:val="557" w:hRule="atLeast"/>
        </w:trPr>
        <w:tc>
          <w:tcPr>
            <w:tcW w:w="624" w:type="pct"/>
            <w:vMerge w:val="continue"/>
            <w:tcBorders>
              <w:top w:val="single" w:color="000000" w:sz="4" w:space="0"/>
              <w:left w:val="single" w:color="000000" w:sz="4" w:space="0"/>
              <w:bottom w:val="single" w:color="000000" w:sz="4" w:space="0"/>
              <w:right w:val="single" w:color="000000" w:sz="4" w:space="0"/>
            </w:tcBorders>
            <w:vAlign w:val="center"/>
          </w:tcPr>
          <w:p w14:paraId="10B2049D">
            <w:pPr>
              <w:widowControl/>
              <w:jc w:val="left"/>
              <w:rPr>
                <w:rFonts w:hint="default" w:ascii="Times New Roman" w:hAnsi="Times New Roman" w:cs="Times New Roman"/>
                <w:color w:val="auto"/>
                <w:kern w:val="0"/>
                <w:sz w:val="21"/>
                <w:szCs w:val="21"/>
                <w:highlight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8D3F">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检验检测机构综合分级子系统</w:t>
            </w:r>
          </w:p>
        </w:tc>
        <w:tc>
          <w:tcPr>
            <w:tcW w:w="3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8A04">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2.1检验检测监管端机构分级监管模块</w:t>
            </w:r>
          </w:p>
          <w:p w14:paraId="696C3D3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展示机构分级分类情况、综合分级画像、综合分级预警等分级分类信息。提供根据机构分级分类体系及算法计算机构分级分类结果功能。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2.2检验检测机构综合数据收集</w:t>
            </w:r>
          </w:p>
          <w:p w14:paraId="3527784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与执法数据进行对接，收集检验检测机构违法数据，包括违法事实，违法日期等。与年报数据进行对接，收集检验检测机构年报上传状态。提供检验检测机构统计直报数据导入功能。根据监管数据、直报数据、审批系统机构数据、执法系统机构数据、年报系统机构数据，依据检验检测机构综合分级评级指标及算法，对机构进行A、B、C、D四类综合分级。</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2.3检验检测机构综合分级计算</w:t>
            </w:r>
          </w:p>
          <w:p w14:paraId="423A5BF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根据监管数据、直报数据、审批系统机构数据、执法系统机构数据、年报系统机构数据，依据检验检测机构综合分级评级指标及算法，对机构进行A、B、C、D四类综合分级。</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2.4检验检测机构综合分级画像</w:t>
            </w:r>
          </w:p>
          <w:p w14:paraId="1D56FEC0">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以直观可视化界面呈现检验检测机构画像，涵盖机构基础信息如名称、地址、证书编号，最新评级等级，评级得分，人员情况，设备情况、检验检测技术人员实验室面积等，让用户快速构建对机构的整体印象。</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2.5检验检测机构综合分级预警</w:t>
            </w:r>
          </w:p>
          <w:p w14:paraId="6858BC1A">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以列表的形式展示每类的机构的清单信息，包括机构名称、证书编号、行政区划、最新评级时间、评级得分等信息。展示基本情况指标中各指标扣分情况。</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2.6检验检测机构综合分级情况市州汇总分析</w:t>
            </w:r>
          </w:p>
          <w:p w14:paraId="4CCE92E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全自治区14个市州展示A\B\C\D四个类别的机构数量，并提供与上次数量对比及在总数中占比功能。提供点击市州名称，可以查看市州下面具体区县的A\B\C\D四个类别的机构数量，并提供与上次数量对比及在总数中占比功能。提供点击每类机构的数字后，可以查看具体机构明细，包括机构名称、地址、证书编号等信息。</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2.7检验检测机构综合分级情况行业汇总分析</w:t>
            </w:r>
          </w:p>
          <w:p w14:paraId="4AD33A6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22个行业展示A\B\C\D四个类别的机构数量，并提供与上次数量对比及在总数中占比功能。提供点击每类机构的数字后，可以查看具体机构明细，包括机构名称、地址、证书编号等信息。提供按柱状图的方式展示22个行业A、B、C、D的分布情况，点击具体数量，支持查看明细信息。</w:t>
            </w:r>
          </w:p>
          <w:p w14:paraId="192178C0">
            <w:pPr>
              <w:ind w:firstLine="420" w:firstLineChars="200"/>
              <w:rPr>
                <w:rFonts w:hint="default" w:ascii="Times New Roman" w:hAnsi="Times New Roman" w:cs="Times New Roman"/>
                <w:color w:val="auto"/>
                <w:sz w:val="21"/>
                <w:szCs w:val="21"/>
                <w:highlight w:val="none"/>
              </w:rPr>
            </w:pPr>
          </w:p>
        </w:tc>
      </w:tr>
      <w:tr w14:paraId="559E0218">
        <w:tblPrEx>
          <w:tblCellMar>
            <w:top w:w="0" w:type="dxa"/>
            <w:left w:w="108" w:type="dxa"/>
            <w:bottom w:w="0" w:type="dxa"/>
            <w:right w:w="108" w:type="dxa"/>
          </w:tblCellMar>
        </w:tblPrEx>
        <w:trPr>
          <w:trHeight w:val="864" w:hRule="atLeast"/>
        </w:trPr>
        <w:tc>
          <w:tcPr>
            <w:tcW w:w="624" w:type="pct"/>
            <w:vMerge w:val="continue"/>
            <w:tcBorders>
              <w:top w:val="single" w:color="000000" w:sz="4" w:space="0"/>
              <w:left w:val="single" w:color="000000" w:sz="4" w:space="0"/>
              <w:bottom w:val="single" w:color="000000" w:sz="4" w:space="0"/>
              <w:right w:val="single" w:color="000000" w:sz="4" w:space="0"/>
            </w:tcBorders>
            <w:vAlign w:val="center"/>
          </w:tcPr>
          <w:p w14:paraId="0F5E5A87">
            <w:pPr>
              <w:widowControl/>
              <w:jc w:val="left"/>
              <w:rPr>
                <w:rFonts w:hint="default" w:ascii="Times New Roman" w:hAnsi="Times New Roman" w:cs="Times New Roman"/>
                <w:color w:val="auto"/>
                <w:kern w:val="0"/>
                <w:sz w:val="21"/>
                <w:szCs w:val="21"/>
                <w:highlight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A226">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检验检测机构主体责任落实子系统</w:t>
            </w:r>
          </w:p>
        </w:tc>
        <w:tc>
          <w:tcPr>
            <w:tcW w:w="3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B853">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3.1新建检验检测监管端机构主体责任落实监管模块</w:t>
            </w:r>
          </w:p>
          <w:p w14:paraId="2AB1B53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提供展示机构主体责任落实情况，发布主体责任落实任务，审核机构关停申报等功能。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3.2新建检验检测机构端机构主体责任落实模块</w:t>
            </w:r>
          </w:p>
          <w:p w14:paraId="65386F10">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提供机构落实自身主体责任及查询历史落实情况等功能（自查任务创建、实验室环境自查结果上报、样品管理自查结果上报、仪器设备自查结果上报、现场照片上传、自查任务提交、自查任务删除</w:t>
            </w:r>
            <w:r>
              <w:rPr>
                <w:rFonts w:hint="default" w:ascii="Times New Roman" w:hAnsi="Times New Roman" w:cs="Times New Roman"/>
                <w:color w:val="auto"/>
                <w:sz w:val="21"/>
                <w:szCs w:val="21"/>
                <w:highlight w:val="none"/>
                <w:lang w:eastAsia="zh-CN"/>
              </w:rPr>
              <w:t>、短信提醒功能</w:t>
            </w:r>
            <w:r>
              <w:rPr>
                <w:rFonts w:hint="default" w:ascii="Times New Roman" w:hAnsi="Times New Roman" w:cs="Times New Roman"/>
                <w:color w:val="auto"/>
                <w:sz w:val="21"/>
                <w:szCs w:val="21"/>
                <w:highlight w:val="none"/>
              </w:rPr>
              <w:t>）。</w:t>
            </w:r>
          </w:p>
        </w:tc>
      </w:tr>
      <w:tr w14:paraId="5EF7EEE6">
        <w:tblPrEx>
          <w:tblCellMar>
            <w:top w:w="0" w:type="dxa"/>
            <w:left w:w="108" w:type="dxa"/>
            <w:bottom w:w="0" w:type="dxa"/>
            <w:right w:w="108" w:type="dxa"/>
          </w:tblCellMar>
        </w:tblPrEx>
        <w:trPr>
          <w:trHeight w:val="864" w:hRule="atLeast"/>
        </w:trPr>
        <w:tc>
          <w:tcPr>
            <w:tcW w:w="624" w:type="pct"/>
            <w:vMerge w:val="continue"/>
            <w:tcBorders>
              <w:top w:val="single" w:color="000000" w:sz="4" w:space="0"/>
              <w:left w:val="single" w:color="000000" w:sz="4" w:space="0"/>
              <w:bottom w:val="single" w:color="000000" w:sz="4" w:space="0"/>
              <w:right w:val="single" w:color="000000" w:sz="4" w:space="0"/>
            </w:tcBorders>
            <w:vAlign w:val="center"/>
          </w:tcPr>
          <w:p w14:paraId="2425DEE8">
            <w:pPr>
              <w:widowControl/>
              <w:jc w:val="left"/>
              <w:rPr>
                <w:rFonts w:hint="default" w:ascii="Times New Roman" w:hAnsi="Times New Roman" w:cs="Times New Roman"/>
                <w:color w:val="auto"/>
                <w:kern w:val="0"/>
                <w:sz w:val="21"/>
                <w:szCs w:val="21"/>
                <w:highlight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2C90">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检验检测检查补录子系统</w:t>
            </w:r>
          </w:p>
        </w:tc>
        <w:tc>
          <w:tcPr>
            <w:tcW w:w="3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4526">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4.1新建双随机检查补录</w:t>
            </w:r>
          </w:p>
          <w:p w14:paraId="19494FF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提供监管检验检测机构双随机检查补录计划查询功能，支持按照机构名称、地址、证书编号查询，对查询结果提供自定义筛选功能，提供查询结果一键导出功能。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4.2新建重点专项检查补录</w:t>
            </w:r>
          </w:p>
          <w:p w14:paraId="5967F3E2">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提供监管检验检测机构重点专项检查补录计划查询功能，支持按照机构名称、地址、证书编号查询，对查询结果提供自定义筛选功能，提供查询结果一键导出功能。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4.3新建日常巡查检查补录</w:t>
            </w:r>
          </w:p>
          <w:p w14:paraId="184BB47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提供监管检验检测机构日常巡查检查任务计划查询功能，支持按照机构名称、地址、证书编号查询，对查询结果提供自定列筛选功能，提供查询结果一键导出功能。</w:t>
            </w:r>
          </w:p>
          <w:p w14:paraId="186AF973">
            <w:pPr>
              <w:ind w:firstLine="420" w:firstLineChars="200"/>
              <w:rPr>
                <w:rFonts w:hint="default" w:ascii="Times New Roman" w:hAnsi="Times New Roman" w:cs="Times New Roman"/>
                <w:color w:val="auto"/>
                <w:sz w:val="21"/>
                <w:szCs w:val="21"/>
                <w:highlight w:val="none"/>
              </w:rPr>
            </w:pPr>
          </w:p>
        </w:tc>
      </w:tr>
      <w:tr w14:paraId="15B63A04">
        <w:tblPrEx>
          <w:tblCellMar>
            <w:top w:w="0" w:type="dxa"/>
            <w:left w:w="108" w:type="dxa"/>
            <w:bottom w:w="0" w:type="dxa"/>
            <w:right w:w="108" w:type="dxa"/>
          </w:tblCellMar>
        </w:tblPrEx>
        <w:trPr>
          <w:trHeight w:val="864" w:hRule="atLeast"/>
        </w:trPr>
        <w:tc>
          <w:tcPr>
            <w:tcW w:w="624" w:type="pct"/>
            <w:vMerge w:val="continue"/>
            <w:tcBorders>
              <w:top w:val="single" w:color="000000" w:sz="4" w:space="0"/>
              <w:left w:val="single" w:color="000000" w:sz="4" w:space="0"/>
              <w:bottom w:val="single" w:color="000000" w:sz="4" w:space="0"/>
              <w:right w:val="single" w:color="000000" w:sz="4" w:space="0"/>
            </w:tcBorders>
            <w:vAlign w:val="center"/>
          </w:tcPr>
          <w:p w14:paraId="7CFCCDE0">
            <w:pPr>
              <w:widowControl/>
              <w:jc w:val="left"/>
              <w:rPr>
                <w:rFonts w:hint="default" w:ascii="Times New Roman" w:hAnsi="Times New Roman" w:cs="Times New Roman"/>
                <w:color w:val="auto"/>
                <w:kern w:val="0"/>
                <w:sz w:val="21"/>
                <w:szCs w:val="21"/>
                <w:highlight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1B5A">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检验检测机构原始报告溯源子系统</w:t>
            </w:r>
          </w:p>
        </w:tc>
        <w:tc>
          <w:tcPr>
            <w:tcW w:w="3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9BB2">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5.1新建检验检测机构端报告管理模块</w:t>
            </w:r>
          </w:p>
          <w:p w14:paraId="55D7893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支持机构以PDF、图片等任何方式上传报告，通过 OCR、NLP、知识图谱等技术解析非结构化报告，与机构资质、人员授权等结构化数据交叉比对；结合刚性业务规则与智能风险识别模型，精准识别报告签字无授权、超资质检测、数据逻辑矛盾等问题，按风险等级推送监管人员，提高监管的精准性和靶向性。</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5.2新建检验检测监管端报告溯源监管模块</w:t>
            </w:r>
          </w:p>
          <w:p w14:paraId="7AFF857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提供监管人员查询本管辖区域内的机构上传的报告信息，并可以根据相关数据对相应机构进行预警提醒，对收到投诉举报、转(交)办、通过监管系统发现问题等出具虚假报告的机构发起监管任务。</w:t>
            </w:r>
          </w:p>
        </w:tc>
      </w:tr>
      <w:tr w14:paraId="46070010">
        <w:tblPrEx>
          <w:tblCellMar>
            <w:top w:w="0" w:type="dxa"/>
            <w:left w:w="108" w:type="dxa"/>
            <w:bottom w:w="0" w:type="dxa"/>
            <w:right w:w="108" w:type="dxa"/>
          </w:tblCellMar>
        </w:tblPrEx>
        <w:trPr>
          <w:trHeight w:val="864" w:hRule="atLeast"/>
        </w:trPr>
        <w:tc>
          <w:tcPr>
            <w:tcW w:w="624" w:type="pct"/>
            <w:vMerge w:val="continue"/>
            <w:tcBorders>
              <w:top w:val="single" w:color="000000" w:sz="4" w:space="0"/>
              <w:left w:val="single" w:color="000000" w:sz="4" w:space="0"/>
              <w:bottom w:val="single" w:color="000000" w:sz="4" w:space="0"/>
              <w:right w:val="single" w:color="000000" w:sz="4" w:space="0"/>
            </w:tcBorders>
            <w:vAlign w:val="center"/>
          </w:tcPr>
          <w:p w14:paraId="7508330C">
            <w:pPr>
              <w:widowControl/>
              <w:jc w:val="left"/>
              <w:rPr>
                <w:rFonts w:hint="default" w:ascii="Times New Roman" w:hAnsi="Times New Roman" w:cs="Times New Roman"/>
                <w:color w:val="auto"/>
                <w:kern w:val="0"/>
                <w:sz w:val="21"/>
                <w:szCs w:val="21"/>
                <w:highlight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7022">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自治区级质检中心子系统</w:t>
            </w:r>
          </w:p>
        </w:tc>
        <w:tc>
          <w:tcPr>
            <w:tcW w:w="3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45B9">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6.1 新建检验检测机构端质检中心筹建模块</w:t>
            </w:r>
          </w:p>
          <w:p w14:paraId="03FAAA7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用于展示当前登录机构的筹建申报记录。用户可以通过该模块查看申报的基本信息，包括申报编号、提交时间、申报状态等。包含但不限于筹建申报修改、筹建申报查询、筹建申报提交、筹建申报附件上传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6.2新建检验检测监管端质检中心筹建管理模块</w:t>
            </w:r>
          </w:p>
          <w:p w14:paraId="4E8FE51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于提交申请筹建自治区级质检中心单位所申报材料进行查看、受理申请、组织专家审查材料、判定筹建申请结果。包含但不限于筹建申报展示、筹建申报详情、筹建申请材料审查任务发起、筹建申请批准、筹建申请驳回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6.3新建检验检测专家端质检中心材料审查模块</w:t>
            </w:r>
          </w:p>
          <w:p w14:paraId="7D0CFA1A">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针对被抽取参与质检中心申报和验收申请的材料审查及论证任务的专家，提供线上填报评审结果功能。接收材料形式审查任务，对审查的申报资料进行结果判定，并上报至任务发起单位。包含但不限于审查任务展示、审查任务查询、审查任务详情、审查任务结果填报等功能。</w:t>
            </w:r>
          </w:p>
        </w:tc>
      </w:tr>
      <w:tr w14:paraId="7152F981">
        <w:tblPrEx>
          <w:tblCellMar>
            <w:top w:w="0" w:type="dxa"/>
            <w:left w:w="108" w:type="dxa"/>
            <w:bottom w:w="0" w:type="dxa"/>
            <w:right w:w="108" w:type="dxa"/>
          </w:tblCellMar>
        </w:tblPrEx>
        <w:trPr>
          <w:trHeight w:val="1125" w:hRule="atLeast"/>
        </w:trPr>
        <w:tc>
          <w:tcPr>
            <w:tcW w:w="624" w:type="pct"/>
            <w:vMerge w:val="continue"/>
            <w:tcBorders>
              <w:top w:val="single" w:color="000000" w:sz="4" w:space="0"/>
              <w:left w:val="single" w:color="000000" w:sz="4" w:space="0"/>
              <w:bottom w:val="single" w:color="000000" w:sz="4" w:space="0"/>
              <w:right w:val="single" w:color="000000" w:sz="4" w:space="0"/>
            </w:tcBorders>
            <w:vAlign w:val="center"/>
          </w:tcPr>
          <w:p w14:paraId="1FFD40AA">
            <w:pPr>
              <w:widowControl/>
              <w:jc w:val="left"/>
              <w:rPr>
                <w:rFonts w:hint="default" w:ascii="Times New Roman" w:hAnsi="Times New Roman" w:cs="Times New Roman"/>
                <w:color w:val="auto"/>
                <w:kern w:val="0"/>
                <w:sz w:val="21"/>
                <w:szCs w:val="21"/>
                <w:highlight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6C1C">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检验检测监管监测督办子系统</w:t>
            </w:r>
          </w:p>
        </w:tc>
        <w:tc>
          <w:tcPr>
            <w:tcW w:w="3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3838">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7.1总体概况功能建设</w:t>
            </w:r>
          </w:p>
          <w:p w14:paraId="48AD106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包含但不限于监管对象数量、监管对象列表、监管对象详情、监管对象行业分布数量、各行业监管对象列表、监管对象详情等功能。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7.2机构画像功能建设</w:t>
            </w:r>
          </w:p>
          <w:p w14:paraId="1E9FE8A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包含但不限于机构画像列表、机构证书信息、能力信息、双随机检查信息、能力验证信息、后处理信息等功能。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7.3监管预警功能建设</w:t>
            </w:r>
          </w:p>
          <w:p w14:paraId="0AAA9D8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本功能提供对全省超两次不合格机构数量、逾期数量、双随机后处理逾期数量、能力验证后处理逾期数量、证书过期数和证书临期数量进行告知预警。</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7.4监管动态功能建设</w:t>
            </w:r>
          </w:p>
          <w:p w14:paraId="135CF46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包含但不限于最新检查任务列表、检查详情、监管任务数量统计、监管任务列表、提供任务列表、搜索、检查记录信息展示功能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7.5任务进度功能建设</w:t>
            </w:r>
          </w:p>
          <w:p w14:paraId="06DB0FC6">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包含但不限于检查进度情况、双随机检查未完成列表、各市州双随机检查进度信息、各市州双随机检查任务列表、提供任务列表、搜索、检查记录信息展示功能。各市州双随机检查任务检查详情等功能。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7.6信用评级功能建设</w:t>
            </w:r>
          </w:p>
          <w:p w14:paraId="080E58E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功能根据A、B、C、D四类信用评价展示系统中目前对应信用评级的检验检测机构信息。本功能提供查询指定年度中机构有信用评价升级的机构信息。本功能提供查询指定年度中机构有信用评价降级的机构信息。序号、机构名称、降级时间、原等级、现等级。本功能提供查询指定年度中机构有信用评价等级连续降级的机构信息。</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7.7数据分析功能建设</w:t>
            </w:r>
          </w:p>
          <w:p w14:paraId="1DD86299">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包含但不限于数据统计导出、检索功能、基于变更数据实时感知的智能推送、内部系统数据互通、统计分析、报告发码及报告查询、打通与市场监管总局检验检测数据渠道等功能。</w:t>
            </w:r>
          </w:p>
        </w:tc>
      </w:tr>
      <w:tr w14:paraId="55E78C13">
        <w:tblPrEx>
          <w:tblCellMar>
            <w:top w:w="0" w:type="dxa"/>
            <w:left w:w="108" w:type="dxa"/>
            <w:bottom w:w="0" w:type="dxa"/>
            <w:right w:w="108" w:type="dxa"/>
          </w:tblCellMar>
        </w:tblPrEx>
        <w:trPr>
          <w:trHeight w:val="1152" w:hRule="atLeast"/>
        </w:trPr>
        <w:tc>
          <w:tcPr>
            <w:tcW w:w="624" w:type="pct"/>
            <w:vMerge w:val="continue"/>
            <w:tcBorders>
              <w:top w:val="single" w:color="000000" w:sz="4" w:space="0"/>
              <w:left w:val="single" w:color="000000" w:sz="4" w:space="0"/>
              <w:bottom w:val="single" w:color="000000" w:sz="4" w:space="0"/>
              <w:right w:val="single" w:color="000000" w:sz="4" w:space="0"/>
            </w:tcBorders>
            <w:vAlign w:val="center"/>
          </w:tcPr>
          <w:p w14:paraId="084CD1BB">
            <w:pPr>
              <w:widowControl/>
              <w:jc w:val="left"/>
              <w:rPr>
                <w:rFonts w:hint="default" w:ascii="Times New Roman" w:hAnsi="Times New Roman" w:cs="Times New Roman"/>
                <w:color w:val="auto"/>
                <w:kern w:val="0"/>
                <w:sz w:val="21"/>
                <w:szCs w:val="21"/>
                <w:highlight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7531">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双随机检查升级改造</w:t>
            </w:r>
          </w:p>
        </w:tc>
        <w:tc>
          <w:tcPr>
            <w:tcW w:w="3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9F0C">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8.1</w:t>
            </w:r>
            <w:r>
              <w:rPr>
                <w:rFonts w:hint="default" w:ascii="Times New Roman" w:hAnsi="Times New Roman" w:cs="Times New Roman"/>
                <w:color w:val="auto"/>
                <w:sz w:val="21"/>
                <w:szCs w:val="21"/>
                <w:highlight w:val="none"/>
              </w:rPr>
              <w:t>在计划制定中，增加随机条件选项，如能力验证不合格、新获证机构、近三年未检查机构、授权签字人考试不合格所在机构、行政处罚机构、监管人员辖区、专家领域等选项，提升双随机抽取机构和人员的精准性和智能化，提高工作效率。</w:t>
            </w:r>
          </w:p>
        </w:tc>
      </w:tr>
      <w:tr w14:paraId="3BA07FDF">
        <w:tblPrEx>
          <w:tblCellMar>
            <w:top w:w="0" w:type="dxa"/>
            <w:left w:w="108" w:type="dxa"/>
            <w:bottom w:w="0" w:type="dxa"/>
            <w:right w:w="108" w:type="dxa"/>
          </w:tblCellMar>
        </w:tblPrEx>
        <w:trPr>
          <w:trHeight w:val="576" w:hRule="atLeast"/>
        </w:trPr>
        <w:tc>
          <w:tcPr>
            <w:tcW w:w="624" w:type="pct"/>
            <w:vMerge w:val="continue"/>
            <w:tcBorders>
              <w:top w:val="single" w:color="000000" w:sz="4" w:space="0"/>
              <w:left w:val="single" w:color="000000" w:sz="4" w:space="0"/>
              <w:bottom w:val="single" w:color="000000" w:sz="4" w:space="0"/>
              <w:right w:val="single" w:color="000000" w:sz="4" w:space="0"/>
            </w:tcBorders>
            <w:vAlign w:val="center"/>
          </w:tcPr>
          <w:p w14:paraId="0782024C">
            <w:pPr>
              <w:widowControl/>
              <w:jc w:val="left"/>
              <w:rPr>
                <w:rFonts w:hint="default" w:ascii="Times New Roman" w:hAnsi="Times New Roman" w:cs="Times New Roman"/>
                <w:color w:val="auto"/>
                <w:kern w:val="0"/>
                <w:sz w:val="21"/>
                <w:szCs w:val="21"/>
                <w:highlight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7120">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外部系统数据互通对接</w:t>
            </w:r>
          </w:p>
        </w:tc>
        <w:tc>
          <w:tcPr>
            <w:tcW w:w="3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B1F4">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9.1</w:t>
            </w:r>
            <w:r>
              <w:rPr>
                <w:rFonts w:hint="default" w:ascii="Times New Roman" w:hAnsi="Times New Roman" w:cs="Times New Roman"/>
                <w:color w:val="auto"/>
                <w:sz w:val="21"/>
                <w:szCs w:val="21"/>
                <w:highlight w:val="none"/>
              </w:rPr>
              <w:t>与生态环境、住建等行业检验检测机构管理部门相关系统对接，时时推送机构监管、处罚、信用等数据，实现信息共享、联合监管、联合惩戒。</w:t>
            </w:r>
          </w:p>
        </w:tc>
      </w:tr>
      <w:tr w14:paraId="147E3FFF">
        <w:tblPrEx>
          <w:tblCellMar>
            <w:top w:w="0" w:type="dxa"/>
            <w:left w:w="108" w:type="dxa"/>
            <w:bottom w:w="0" w:type="dxa"/>
            <w:right w:w="108" w:type="dxa"/>
          </w:tblCellMar>
        </w:tblPrEx>
        <w:trPr>
          <w:trHeight w:val="576" w:hRule="atLeast"/>
        </w:trPr>
        <w:tc>
          <w:tcPr>
            <w:tcW w:w="1039" w:type="dxa"/>
            <w:tcBorders>
              <w:top w:val="single" w:color="000000" w:sz="4" w:space="0"/>
              <w:left w:val="single" w:color="000000" w:sz="4" w:space="0"/>
              <w:bottom w:val="single" w:color="000000" w:sz="4" w:space="0"/>
              <w:right w:val="single" w:color="000000" w:sz="4" w:space="0"/>
            </w:tcBorders>
            <w:vAlign w:val="center"/>
          </w:tcPr>
          <w:p w14:paraId="3957EAA2">
            <w:pPr>
              <w:widowControl/>
              <w:jc w:val="left"/>
              <w:rPr>
                <w:rFonts w:hint="default" w:ascii="Times New Roman" w:hAnsi="Times New Roman" w:cs="Times New Roman"/>
                <w:color w:val="auto"/>
                <w:kern w:val="0"/>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C342">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“扫码入企”相关配合工作</w:t>
            </w:r>
          </w:p>
        </w:tc>
        <w:tc>
          <w:tcPr>
            <w:tcW w:w="6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F1A9">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val="en" w:eastAsia="zh-CN"/>
              </w:rPr>
              <w:t>10.1</w:t>
            </w:r>
            <w:r>
              <w:rPr>
                <w:rFonts w:hint="default" w:ascii="Times New Roman" w:hAnsi="Times New Roman" w:cs="Times New Roman"/>
                <w:color w:val="auto"/>
                <w:kern w:val="0"/>
                <w:sz w:val="21"/>
                <w:szCs w:val="21"/>
                <w:highlight w:val="none"/>
                <w:lang w:val="en-US" w:eastAsia="zh-CN"/>
              </w:rPr>
              <w:t>按数字化发展局明确的贯通业务系统和技术标准要求，</w:t>
            </w:r>
            <w:r>
              <w:rPr>
                <w:rFonts w:hint="default" w:ascii="Times New Roman" w:hAnsi="Times New Roman" w:cs="Times New Roman"/>
                <w:color w:val="auto"/>
                <w:kern w:val="0"/>
                <w:sz w:val="21"/>
                <w:szCs w:val="21"/>
                <w:highlight w:val="none"/>
              </w:rPr>
              <w:t>做好</w:t>
            </w:r>
            <w:r>
              <w:rPr>
                <w:rFonts w:hint="default" w:ascii="Times New Roman" w:hAnsi="Times New Roman" w:cs="Times New Roman"/>
                <w:color w:val="auto"/>
                <w:kern w:val="0"/>
                <w:sz w:val="21"/>
                <w:szCs w:val="21"/>
                <w:highlight w:val="none"/>
                <w:lang w:eastAsia="zh-CN"/>
              </w:rPr>
              <w:t>与自治区“扫码入企”平台、“新企办”“新服办”的接口开发工作，实现本系统数据共享。</w:t>
            </w:r>
          </w:p>
        </w:tc>
      </w:tr>
    </w:tbl>
    <w:p w14:paraId="4ED666AE">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4.网络商品交易监测预警子系统</w:t>
      </w:r>
    </w:p>
    <w:tbl>
      <w:tblPr>
        <w:tblStyle w:val="40"/>
        <w:tblW w:w="4897" w:type="pct"/>
        <w:tblInd w:w="132" w:type="dxa"/>
        <w:tblLayout w:type="autofit"/>
        <w:tblCellMar>
          <w:top w:w="0" w:type="dxa"/>
          <w:left w:w="108" w:type="dxa"/>
          <w:bottom w:w="0" w:type="dxa"/>
          <w:right w:w="108" w:type="dxa"/>
        </w:tblCellMar>
      </w:tblPr>
      <w:tblGrid>
        <w:gridCol w:w="1038"/>
        <w:gridCol w:w="1038"/>
        <w:gridCol w:w="6270"/>
      </w:tblGrid>
      <w:tr w14:paraId="2A2FD30D">
        <w:tblPrEx>
          <w:tblCellMar>
            <w:top w:w="0" w:type="dxa"/>
            <w:left w:w="108" w:type="dxa"/>
            <w:bottom w:w="0" w:type="dxa"/>
            <w:right w:w="108" w:type="dxa"/>
          </w:tblCellMar>
        </w:tblPrEx>
        <w:trPr>
          <w:trHeight w:val="288"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ADCA">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系统名称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2867">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模块名称</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D688">
            <w:pPr>
              <w:ind w:firstLine="422" w:firstLineChars="20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规格参数</w:t>
            </w:r>
          </w:p>
        </w:tc>
      </w:tr>
      <w:tr w14:paraId="5425D67C">
        <w:tblPrEx>
          <w:tblCellMar>
            <w:top w:w="0" w:type="dxa"/>
            <w:left w:w="108" w:type="dxa"/>
            <w:bottom w:w="0" w:type="dxa"/>
            <w:right w:w="108" w:type="dxa"/>
          </w:tblCellMar>
        </w:tblPrEx>
        <w:trPr>
          <w:trHeight w:val="1152" w:hRule="atLeast"/>
        </w:trPr>
        <w:tc>
          <w:tcPr>
            <w:tcW w:w="622" w:type="pct"/>
            <w:vMerge w:val="restart"/>
            <w:tcBorders>
              <w:top w:val="single" w:color="000000" w:sz="4" w:space="0"/>
              <w:left w:val="single" w:color="000000" w:sz="4" w:space="0"/>
              <w:right w:val="single" w:color="000000" w:sz="4" w:space="0"/>
            </w:tcBorders>
            <w:shd w:val="clear" w:color="auto" w:fill="auto"/>
            <w:vAlign w:val="center"/>
          </w:tcPr>
          <w:p w14:paraId="3DF107A7">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市场监管一网统管系统-网络商品交易监测预警子系统</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DD6D">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升级网络交易监管移动端</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4D18">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1.</w:t>
            </w:r>
            <w:r>
              <w:rPr>
                <w:rFonts w:hint="default" w:ascii="Times New Roman" w:hAnsi="Times New Roman" w:cs="Times New Roman"/>
                <w:color w:val="auto"/>
                <w:sz w:val="21"/>
                <w:szCs w:val="21"/>
                <w:highlight w:val="none"/>
              </w:rPr>
              <w:t>升级手机端的网络交易监管应用。通过升级该移动端应用，实现网络交易监管移动办公智能化和便利化。包括移动端监管智库建设、移动端监测模块建设。</w:t>
            </w:r>
          </w:p>
        </w:tc>
      </w:tr>
      <w:tr w14:paraId="53A28D23">
        <w:tblPrEx>
          <w:tblCellMar>
            <w:top w:w="0" w:type="dxa"/>
            <w:left w:w="108" w:type="dxa"/>
            <w:bottom w:w="0" w:type="dxa"/>
            <w:right w:w="108" w:type="dxa"/>
          </w:tblCellMar>
        </w:tblPrEx>
        <w:trPr>
          <w:trHeight w:val="864" w:hRule="atLeast"/>
        </w:trPr>
        <w:tc>
          <w:tcPr>
            <w:tcW w:w="622" w:type="pct"/>
            <w:vMerge w:val="continue"/>
            <w:tcBorders>
              <w:left w:val="single" w:color="000000" w:sz="4" w:space="0"/>
              <w:right w:val="single" w:color="000000" w:sz="4" w:space="0"/>
            </w:tcBorders>
            <w:vAlign w:val="center"/>
          </w:tcPr>
          <w:p w14:paraId="64FCADF8">
            <w:pPr>
              <w:widowControl/>
              <w:jc w:val="left"/>
              <w:rPr>
                <w:rFonts w:hint="default" w:ascii="Times New Roman" w:hAnsi="Times New Roman" w:cs="Times New Roman"/>
                <w:color w:val="auto"/>
                <w:kern w:val="0"/>
                <w:sz w:val="21"/>
                <w:szCs w:val="21"/>
                <w:highlight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E22E">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升级网络市场智慧监管协同应用</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E81E">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2.</w:t>
            </w:r>
            <w:r>
              <w:rPr>
                <w:rFonts w:hint="default" w:ascii="Times New Roman" w:hAnsi="Times New Roman" w:cs="Times New Roman"/>
                <w:color w:val="auto"/>
                <w:sz w:val="21"/>
                <w:szCs w:val="21"/>
                <w:highlight w:val="none"/>
              </w:rPr>
              <w:t>通过大数据、人工智能等手段，提供库内主体和商品的搜索引擎，实现监管执法、线索派发、案件查办、在线取证等功能，有效地加强网络市场监管手段，为网络交易监管各项业务条线的开展提供有力支撑。</w:t>
            </w:r>
          </w:p>
        </w:tc>
      </w:tr>
      <w:tr w14:paraId="2B218E3E">
        <w:tblPrEx>
          <w:tblCellMar>
            <w:top w:w="0" w:type="dxa"/>
            <w:left w:w="108" w:type="dxa"/>
            <w:bottom w:w="0" w:type="dxa"/>
            <w:right w:w="108" w:type="dxa"/>
          </w:tblCellMar>
        </w:tblPrEx>
        <w:trPr>
          <w:trHeight w:val="1152" w:hRule="atLeast"/>
        </w:trPr>
        <w:tc>
          <w:tcPr>
            <w:tcW w:w="622" w:type="pct"/>
            <w:vMerge w:val="continue"/>
            <w:tcBorders>
              <w:left w:val="single" w:color="000000" w:sz="4" w:space="0"/>
              <w:right w:val="single" w:color="000000" w:sz="4" w:space="0"/>
            </w:tcBorders>
            <w:vAlign w:val="center"/>
          </w:tcPr>
          <w:p w14:paraId="2FEDD3CD">
            <w:pPr>
              <w:widowControl/>
              <w:jc w:val="left"/>
              <w:rPr>
                <w:rFonts w:hint="default" w:ascii="Times New Roman" w:hAnsi="Times New Roman" w:cs="Times New Roman"/>
                <w:color w:val="auto"/>
                <w:kern w:val="0"/>
                <w:sz w:val="21"/>
                <w:szCs w:val="21"/>
                <w:highlight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A946">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升级直播监测可视化应用功能模块</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AB4F">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3.</w:t>
            </w:r>
            <w:r>
              <w:rPr>
                <w:rFonts w:hint="default" w:ascii="Times New Roman" w:hAnsi="Times New Roman" w:cs="Times New Roman"/>
                <w:color w:val="auto"/>
                <w:sz w:val="21"/>
                <w:szCs w:val="21"/>
                <w:highlight w:val="none"/>
              </w:rPr>
              <w:t>基于大模型技术打造智能化直播带货违法行为研判和处置，通过实时音视频分析、智能语音识别、商品合规性检查和违法行为研判等多维度监测手段，实现对直播过程的全方位智能化监管。整合先进的人工智能技术，能够准确识别和预警各类违法违规行为，为监管执法提供有力的技术支撑。</w:t>
            </w:r>
          </w:p>
        </w:tc>
      </w:tr>
      <w:tr w14:paraId="057EEB0A">
        <w:tblPrEx>
          <w:tblCellMar>
            <w:top w:w="0" w:type="dxa"/>
            <w:left w:w="108" w:type="dxa"/>
            <w:bottom w:w="0" w:type="dxa"/>
            <w:right w:w="108" w:type="dxa"/>
          </w:tblCellMar>
        </w:tblPrEx>
        <w:trPr>
          <w:trHeight w:val="864" w:hRule="atLeast"/>
        </w:trPr>
        <w:tc>
          <w:tcPr>
            <w:tcW w:w="622" w:type="pct"/>
            <w:vMerge w:val="continue"/>
            <w:tcBorders>
              <w:left w:val="single" w:color="000000" w:sz="4" w:space="0"/>
              <w:right w:val="single" w:color="000000" w:sz="4" w:space="0"/>
            </w:tcBorders>
            <w:vAlign w:val="center"/>
          </w:tcPr>
          <w:p w14:paraId="1546208B">
            <w:pPr>
              <w:widowControl/>
              <w:jc w:val="left"/>
              <w:rPr>
                <w:rFonts w:hint="default" w:ascii="Times New Roman" w:hAnsi="Times New Roman" w:cs="Times New Roman"/>
                <w:color w:val="auto"/>
                <w:kern w:val="0"/>
                <w:sz w:val="21"/>
                <w:szCs w:val="21"/>
                <w:highlight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F58D">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"去极端化"专项监测应用服务模块</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4F60">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4.</w:t>
            </w:r>
            <w:r>
              <w:rPr>
                <w:rFonts w:hint="default" w:ascii="Times New Roman" w:hAnsi="Times New Roman" w:cs="Times New Roman"/>
                <w:color w:val="auto"/>
                <w:sz w:val="21"/>
                <w:szCs w:val="21"/>
                <w:highlight w:val="none"/>
              </w:rPr>
              <w:t>包括(1) 数据采集、(2) 数据处理与建设专项库、(3) “去极端化”模型定制、(4) 少数民族语言转译、(5) 违法行为识别、(6) 线索分析、(7) 可视化图表统计、(8) 自动化分析报告等功能。</w:t>
            </w:r>
          </w:p>
        </w:tc>
      </w:tr>
      <w:tr w14:paraId="633EC781">
        <w:tblPrEx>
          <w:tblCellMar>
            <w:top w:w="0" w:type="dxa"/>
            <w:left w:w="108" w:type="dxa"/>
            <w:bottom w:w="0" w:type="dxa"/>
            <w:right w:w="108" w:type="dxa"/>
          </w:tblCellMar>
        </w:tblPrEx>
        <w:trPr>
          <w:trHeight w:val="864" w:hRule="atLeast"/>
        </w:trPr>
        <w:tc>
          <w:tcPr>
            <w:tcW w:w="622" w:type="pct"/>
            <w:vMerge w:val="continue"/>
            <w:tcBorders>
              <w:left w:val="single" w:color="000000" w:sz="4" w:space="0"/>
              <w:right w:val="single" w:color="000000" w:sz="4" w:space="0"/>
            </w:tcBorders>
            <w:vAlign w:val="center"/>
          </w:tcPr>
          <w:p w14:paraId="55FB6F3A">
            <w:pPr>
              <w:widowControl/>
              <w:jc w:val="left"/>
              <w:rPr>
                <w:rFonts w:hint="default" w:ascii="Times New Roman" w:hAnsi="Times New Roman" w:cs="Times New Roman"/>
                <w:color w:val="auto"/>
                <w:kern w:val="0"/>
                <w:sz w:val="21"/>
                <w:szCs w:val="21"/>
                <w:highlight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DEF2">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短视频监测应用功能模块</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BD49">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5.</w:t>
            </w:r>
            <w:r>
              <w:rPr>
                <w:rFonts w:hint="default" w:ascii="Times New Roman" w:hAnsi="Times New Roman" w:cs="Times New Roman"/>
                <w:color w:val="auto"/>
                <w:sz w:val="21"/>
                <w:szCs w:val="21"/>
                <w:highlight w:val="none"/>
              </w:rPr>
              <w:t xml:space="preserve">包括（1）态势大屏、（2）专项监测、（3）重点账号监测、（4）视频分析、（5）预警推送、（6）智能编报、（7）热搜榜、（8）场景识别、（9）综合检索等功能。      </w:t>
            </w:r>
          </w:p>
        </w:tc>
      </w:tr>
      <w:tr w14:paraId="3658F95D">
        <w:tblPrEx>
          <w:tblCellMar>
            <w:top w:w="0" w:type="dxa"/>
            <w:left w:w="108" w:type="dxa"/>
            <w:bottom w:w="0" w:type="dxa"/>
            <w:right w:w="108" w:type="dxa"/>
          </w:tblCellMar>
        </w:tblPrEx>
        <w:trPr>
          <w:trHeight w:val="576" w:hRule="atLeast"/>
        </w:trPr>
        <w:tc>
          <w:tcPr>
            <w:tcW w:w="622" w:type="pct"/>
            <w:vMerge w:val="continue"/>
            <w:tcBorders>
              <w:left w:val="single" w:color="000000" w:sz="4" w:space="0"/>
              <w:right w:val="single" w:color="000000" w:sz="4" w:space="0"/>
            </w:tcBorders>
            <w:vAlign w:val="center"/>
          </w:tcPr>
          <w:p w14:paraId="412C4DE9">
            <w:pPr>
              <w:widowControl/>
              <w:jc w:val="left"/>
              <w:rPr>
                <w:rFonts w:hint="default" w:ascii="Times New Roman" w:hAnsi="Times New Roman" w:cs="Times New Roman"/>
                <w:color w:val="auto"/>
                <w:kern w:val="0"/>
                <w:sz w:val="21"/>
                <w:szCs w:val="21"/>
                <w:highlight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BEC3">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监管智库应用功能模块</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633D">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6.</w:t>
            </w:r>
            <w:r>
              <w:rPr>
                <w:rFonts w:hint="default" w:ascii="Times New Roman" w:hAnsi="Times New Roman" w:cs="Times New Roman"/>
                <w:color w:val="auto"/>
                <w:sz w:val="21"/>
                <w:szCs w:val="21"/>
                <w:highlight w:val="none"/>
              </w:rPr>
              <w:t>监管智库应用模块能够为监管人员提供全面的支持，从智能问答到案例查询，再到智能报告和模拟演练，全面提升监管效率和决策质量。</w:t>
            </w:r>
          </w:p>
        </w:tc>
      </w:tr>
      <w:tr w14:paraId="392D4E13">
        <w:tblPrEx>
          <w:tblCellMar>
            <w:top w:w="0" w:type="dxa"/>
            <w:left w:w="108" w:type="dxa"/>
            <w:bottom w:w="0" w:type="dxa"/>
            <w:right w:w="108" w:type="dxa"/>
          </w:tblCellMar>
        </w:tblPrEx>
        <w:trPr>
          <w:trHeight w:val="576" w:hRule="atLeast"/>
        </w:trPr>
        <w:tc>
          <w:tcPr>
            <w:tcW w:w="622" w:type="pct"/>
            <w:vMerge w:val="continue"/>
            <w:tcBorders>
              <w:left w:val="single" w:color="000000" w:sz="4" w:space="0"/>
              <w:right w:val="single" w:color="000000" w:sz="4" w:space="0"/>
            </w:tcBorders>
            <w:vAlign w:val="center"/>
          </w:tcPr>
          <w:p w14:paraId="7D689680">
            <w:pPr>
              <w:widowControl/>
              <w:jc w:val="left"/>
              <w:rPr>
                <w:rFonts w:hint="default" w:ascii="Times New Roman" w:hAnsi="Times New Roman" w:cs="Times New Roman"/>
                <w:color w:val="auto"/>
                <w:kern w:val="0"/>
                <w:sz w:val="21"/>
                <w:szCs w:val="21"/>
                <w:highlight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1C65">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态势研判模块</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1D6E">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7.</w:t>
            </w:r>
            <w:r>
              <w:rPr>
                <w:rFonts w:hint="default" w:ascii="Times New Roman" w:hAnsi="Times New Roman" w:cs="Times New Roman"/>
                <w:color w:val="auto"/>
                <w:sz w:val="21"/>
                <w:szCs w:val="21"/>
                <w:highlight w:val="none"/>
              </w:rPr>
              <w:t>1通过可视化大屏动态展示监管核心指标，包括实时监测查询各类直播带货主体信息账号数、重点管控对象、直播活动场次、上架商品总量等。</w:t>
            </w:r>
          </w:p>
          <w:p w14:paraId="4FF2A19D">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7.2</w:t>
            </w:r>
            <w:r>
              <w:rPr>
                <w:rFonts w:hint="default" w:ascii="Times New Roman" w:hAnsi="Times New Roman" w:cs="Times New Roman"/>
                <w:color w:val="auto"/>
                <w:sz w:val="21"/>
                <w:szCs w:val="21"/>
                <w:highlight w:val="none"/>
              </w:rPr>
              <w:t>监测范围全面覆盖抖音、快手等主流直播电商平台，围绕虚假宣传、传销、价格欺诈、商品质量、食品安全、市场去极端化、意识形态违规等风险维度展示专项分析结果。</w:t>
            </w:r>
          </w:p>
          <w:p w14:paraId="5FDB0B34">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7.3</w:t>
            </w:r>
            <w:r>
              <w:rPr>
                <w:rFonts w:hint="default" w:ascii="Times New Roman" w:hAnsi="Times New Roman" w:cs="Times New Roman"/>
                <w:color w:val="auto"/>
                <w:sz w:val="21"/>
                <w:szCs w:val="21"/>
                <w:highlight w:val="none"/>
              </w:rPr>
              <w:t>支持新疆区域风险热力图展示，直观呈现高风险聚集区域与分布态势，实现地理空间与风险等级联动可视。</w:t>
            </w:r>
          </w:p>
          <w:p w14:paraId="5AAD2311">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7.4</w:t>
            </w:r>
            <w:r>
              <w:rPr>
                <w:rFonts w:hint="default" w:ascii="Times New Roman" w:hAnsi="Times New Roman" w:cs="Times New Roman"/>
                <w:color w:val="auto"/>
                <w:sz w:val="21"/>
                <w:szCs w:val="21"/>
                <w:highlight w:val="none"/>
              </w:rPr>
              <w:t>支持关联分析各地区账号风险等级分类、直播内容语言类型占比等多维度数据，提供实时预警事件追踪看板。</w:t>
            </w:r>
          </w:p>
          <w:p w14:paraId="54FB23E3">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7.5</w:t>
            </w:r>
            <w:r>
              <w:rPr>
                <w:rFonts w:hint="default" w:ascii="Times New Roman" w:hAnsi="Times New Roman" w:cs="Times New Roman"/>
                <w:color w:val="auto"/>
                <w:sz w:val="21"/>
                <w:szCs w:val="21"/>
                <w:highlight w:val="none"/>
              </w:rPr>
              <w:t>具备时间序列分析功能，支持按小时、日、周、月等维度统计并展示风险趋势变化，针对重点商品类别提供专项预警波动分析，为监管决策提供数据化、可视化支撑。</w:t>
            </w:r>
          </w:p>
        </w:tc>
      </w:tr>
      <w:tr w14:paraId="2842D652">
        <w:tblPrEx>
          <w:tblCellMar>
            <w:top w:w="0" w:type="dxa"/>
            <w:left w:w="108" w:type="dxa"/>
            <w:bottom w:w="0" w:type="dxa"/>
            <w:right w:w="108" w:type="dxa"/>
          </w:tblCellMar>
        </w:tblPrEx>
        <w:trPr>
          <w:trHeight w:val="576" w:hRule="atLeast"/>
        </w:trPr>
        <w:tc>
          <w:tcPr>
            <w:tcW w:w="622" w:type="pct"/>
            <w:vMerge w:val="continue"/>
            <w:tcBorders>
              <w:left w:val="single" w:color="000000" w:sz="4" w:space="0"/>
              <w:right w:val="single" w:color="000000" w:sz="4" w:space="0"/>
            </w:tcBorders>
            <w:vAlign w:val="center"/>
          </w:tcPr>
          <w:p w14:paraId="3A0D9A0C">
            <w:pPr>
              <w:widowControl/>
              <w:jc w:val="left"/>
              <w:rPr>
                <w:rFonts w:hint="default" w:ascii="Times New Roman" w:hAnsi="Times New Roman" w:cs="Times New Roman"/>
                <w:color w:val="auto"/>
                <w:kern w:val="0"/>
                <w:sz w:val="21"/>
                <w:szCs w:val="21"/>
                <w:highlight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D364">
            <w:pPr>
              <w:widowControl/>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直播监测模块</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DD66">
            <w:pPr>
              <w:rPr>
                <w:rFonts w:hint="default" w:ascii="Times New Roman" w:hAnsi="Times New Roman" w:cs="Times New Roman"/>
                <w:color w:val="auto"/>
                <w:sz w:val="21"/>
                <w:szCs w:val="21"/>
                <w:highlight w:val="none"/>
                <w:lang w:val="en"/>
              </w:rPr>
            </w:pPr>
            <w:r>
              <w:rPr>
                <w:rFonts w:hint="default" w:ascii="Times New Roman" w:hAnsi="Times New Roman" w:cs="Times New Roman"/>
                <w:color w:val="auto"/>
                <w:sz w:val="21"/>
                <w:szCs w:val="21"/>
                <w:highlight w:val="none"/>
                <w:lang w:val="en"/>
              </w:rPr>
              <w:t>8.1系统支持直播监测列表后台动态维护，对直播账号实施全生命周期伴随式监测，在直播开始时自动触发采集任务，实现从开播到下播的全程数据覆盖。</w:t>
            </w:r>
          </w:p>
          <w:p w14:paraId="6EA58984">
            <w:pPr>
              <w:rPr>
                <w:rFonts w:hint="default" w:ascii="Times New Roman" w:hAnsi="Times New Roman" w:cs="Times New Roman"/>
                <w:color w:val="auto"/>
                <w:sz w:val="21"/>
                <w:szCs w:val="21"/>
                <w:highlight w:val="none"/>
                <w:lang w:val="en"/>
              </w:rPr>
            </w:pPr>
            <w:r>
              <w:rPr>
                <w:rFonts w:hint="default" w:ascii="Times New Roman" w:hAnsi="Times New Roman" w:cs="Times New Roman"/>
                <w:color w:val="auto"/>
                <w:sz w:val="21"/>
                <w:szCs w:val="21"/>
                <w:highlight w:val="none"/>
                <w:lang w:val="en"/>
              </w:rPr>
              <w:t>8.2基于多模态AI视觉分析技术，实现对直播画面的实时解析与违规内容智能识别。自动提取直播画面中的文字信息、商品特征、场景元素及人物行为等多维度视觉要素，通过预设违规特征库与动态识别模型，对涉嫌虚假宣传、违规营销等行为进行精准识别，自动标注违规画面片段生成判定依据说明及风险等级评估。</w:t>
            </w:r>
          </w:p>
          <w:p w14:paraId="025EAD95">
            <w:pPr>
              <w:rPr>
                <w:rFonts w:hint="default" w:ascii="Times New Roman" w:hAnsi="Times New Roman" w:cs="Times New Roman"/>
                <w:color w:val="auto"/>
                <w:sz w:val="21"/>
                <w:szCs w:val="21"/>
                <w:highlight w:val="none"/>
                <w:lang w:val="en"/>
              </w:rPr>
            </w:pPr>
            <w:r>
              <w:rPr>
                <w:rFonts w:hint="default" w:ascii="Times New Roman" w:hAnsi="Times New Roman" w:cs="Times New Roman"/>
                <w:color w:val="auto"/>
                <w:sz w:val="21"/>
                <w:szCs w:val="21"/>
                <w:highlight w:val="none"/>
                <w:lang w:val="en"/>
              </w:rPr>
              <w:t>8.3支持对维吾尔语、哈萨克语等多语种直播语音进行高精度实时转写，并可实时或近实时翻译为国通语，打破语言壁垒。模型需针对网络直播场景下的口语化表达、方言口音、背景噪音、混合语码（如维汉夹杂）进行优化，确保识别与翻译的准确性和可用性。基于转写和翻译后的文本，结合大语言模型的深层语义理解能力，进行上下文关联分析、意图识别、情感判断，精准捕捉用民族语言进行的虚假承诺、敏感言论、违规导流等行为，实现基于语义的风险内容挖掘。</w:t>
            </w:r>
          </w:p>
          <w:p w14:paraId="384D63DF">
            <w:pPr>
              <w:rPr>
                <w:rFonts w:hint="default" w:ascii="Times New Roman" w:hAnsi="Times New Roman" w:cs="Times New Roman"/>
                <w:color w:val="auto"/>
                <w:sz w:val="21"/>
                <w:szCs w:val="21"/>
                <w:highlight w:val="none"/>
                <w:lang w:val="en"/>
              </w:rPr>
            </w:pPr>
            <w:r>
              <w:rPr>
                <w:rFonts w:hint="default" w:ascii="Times New Roman" w:hAnsi="Times New Roman" w:cs="Times New Roman"/>
                <w:color w:val="auto"/>
                <w:sz w:val="21"/>
                <w:szCs w:val="21"/>
                <w:highlight w:val="none"/>
                <w:lang w:val="en"/>
              </w:rPr>
              <w:t>8.4支持对识别结果进行人工复核与研判，提供违规证据链结构化展示、关键帧截图及时间戳标记功能。复核确认后，支持一键导出含完整证据包（包括视频片段、截图、判定结果、时间线标注）的标准化数据文件。</w:t>
            </w:r>
          </w:p>
          <w:p w14:paraId="240ED98C">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8.5支持审核人员可通过系统内置流程一键上报至指定管理角色，并附完整的证据链（视频片段、截图、判定结果、审核意见），实现内部风险处置的全程留痕与可追溯。</w:t>
            </w:r>
            <w:bookmarkStart w:id="661" w:name="_GoBack"/>
            <w:bookmarkEnd w:id="661"/>
          </w:p>
        </w:tc>
      </w:tr>
      <w:tr w14:paraId="3BED6891">
        <w:tblPrEx>
          <w:tblCellMar>
            <w:top w:w="0" w:type="dxa"/>
            <w:left w:w="108" w:type="dxa"/>
            <w:bottom w:w="0" w:type="dxa"/>
            <w:right w:w="108" w:type="dxa"/>
          </w:tblCellMar>
        </w:tblPrEx>
        <w:trPr>
          <w:trHeight w:val="576" w:hRule="atLeast"/>
        </w:trPr>
        <w:tc>
          <w:tcPr>
            <w:tcW w:w="622" w:type="pct"/>
            <w:vMerge w:val="continue"/>
            <w:tcBorders>
              <w:left w:val="single" w:color="000000" w:sz="4" w:space="0"/>
              <w:right w:val="single" w:color="000000" w:sz="4" w:space="0"/>
            </w:tcBorders>
            <w:vAlign w:val="center"/>
          </w:tcPr>
          <w:p w14:paraId="313E62D8">
            <w:pPr>
              <w:widowControl/>
              <w:jc w:val="left"/>
              <w:rPr>
                <w:rFonts w:hint="default" w:ascii="Times New Roman" w:hAnsi="Times New Roman" w:cs="Times New Roman"/>
                <w:color w:val="auto"/>
                <w:kern w:val="0"/>
                <w:sz w:val="21"/>
                <w:szCs w:val="21"/>
                <w:highlight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7A73">
            <w:pPr>
              <w:widowControl/>
              <w:jc w:val="left"/>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风险预警模块</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7411">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9.</w:t>
            </w:r>
            <w:r>
              <w:rPr>
                <w:rFonts w:hint="default" w:ascii="Times New Roman" w:hAnsi="Times New Roman" w:cs="Times New Roman"/>
                <w:color w:val="auto"/>
                <w:sz w:val="21"/>
                <w:szCs w:val="21"/>
                <w:highlight w:val="none"/>
                <w:lang w:val="en-US" w:eastAsia="zh-CN"/>
              </w:rPr>
              <w:t>1.支持实时汇聚短视频、直播、商品三大渠道的风险事件，并依据风险性质与严重程度进行分级分类展示。</w:t>
            </w:r>
          </w:p>
          <w:p w14:paraId="02DA5442">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9.</w:t>
            </w:r>
            <w:r>
              <w:rPr>
                <w:rFonts w:hint="default" w:ascii="Times New Roman" w:hAnsi="Times New Roman" w:cs="Times New Roman"/>
                <w:color w:val="auto"/>
                <w:sz w:val="21"/>
                <w:szCs w:val="21"/>
                <w:highlight w:val="none"/>
                <w:lang w:val="en-US" w:eastAsia="zh-CN"/>
              </w:rPr>
              <w:t>2.支持提供动态预警数量统计与趋势变化视图，支持通过逐级下钻方式查看具体案例详情。</w:t>
            </w:r>
          </w:p>
          <w:p w14:paraId="4C8F1792">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eastAsia="zh-CN"/>
              </w:rPr>
              <w:t>9.</w:t>
            </w:r>
            <w:r>
              <w:rPr>
                <w:rFonts w:hint="default" w:ascii="Times New Roman" w:hAnsi="Times New Roman" w:cs="Times New Roman"/>
                <w:color w:val="auto"/>
                <w:sz w:val="21"/>
                <w:szCs w:val="21"/>
                <w:highlight w:val="none"/>
                <w:lang w:val="en-US" w:eastAsia="zh-CN"/>
              </w:rPr>
              <w:t>3.针对新疆特色产品、传统民族药品等重点监管品类，系统自动识别并标记其可能存在的假冒伪劣、虚假宣传、质量安全隐患等多类风险，并依据风险等级与影响范围进行智能排序，形成优先级处置建议。</w:t>
            </w:r>
          </w:p>
        </w:tc>
      </w:tr>
      <w:tr w14:paraId="618FD9F2">
        <w:tblPrEx>
          <w:tblCellMar>
            <w:top w:w="0" w:type="dxa"/>
            <w:left w:w="108" w:type="dxa"/>
            <w:bottom w:w="0" w:type="dxa"/>
            <w:right w:w="108" w:type="dxa"/>
          </w:tblCellMar>
        </w:tblPrEx>
        <w:trPr>
          <w:trHeight w:val="576" w:hRule="atLeast"/>
        </w:trPr>
        <w:tc>
          <w:tcPr>
            <w:tcW w:w="622" w:type="pct"/>
            <w:vMerge w:val="continue"/>
            <w:tcBorders>
              <w:left w:val="single" w:color="000000" w:sz="4" w:space="0"/>
              <w:bottom w:val="single" w:color="000000" w:sz="4" w:space="0"/>
              <w:right w:val="single" w:color="000000" w:sz="4" w:space="0"/>
            </w:tcBorders>
            <w:vAlign w:val="center"/>
          </w:tcPr>
          <w:p w14:paraId="369329E8">
            <w:pPr>
              <w:widowControl/>
              <w:jc w:val="left"/>
              <w:rPr>
                <w:rFonts w:hint="default" w:ascii="Times New Roman" w:hAnsi="Times New Roman" w:cs="Times New Roman"/>
                <w:color w:val="auto"/>
                <w:kern w:val="0"/>
                <w:sz w:val="21"/>
                <w:szCs w:val="21"/>
                <w:highlight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65A7">
            <w:pPr>
              <w:widowControl/>
              <w:jc w:val="left"/>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舆情发现模块</w:t>
            </w:r>
          </w:p>
        </w:tc>
        <w:tc>
          <w:tcPr>
            <w:tcW w:w="3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14D0">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10.</w:t>
            </w:r>
            <w:r>
              <w:rPr>
                <w:rFonts w:hint="default" w:ascii="Times New Roman" w:hAnsi="Times New Roman" w:cs="Times New Roman"/>
                <w:color w:val="auto"/>
                <w:sz w:val="21"/>
                <w:szCs w:val="21"/>
                <w:highlight w:val="none"/>
                <w:lang w:val="en-US" w:eastAsia="zh-CN"/>
              </w:rPr>
              <w:t>1.支持自定义监测话题与专项事件，实现对特定舆情的精准追踪与响应。围绕新疆高价特产、“名医”人设违规宣传、疑似传销模式的低价商品网络营销等事件，系统自动采集关联短视频、评论及账号信息。</w:t>
            </w:r>
          </w:p>
          <w:p w14:paraId="3398808B">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10.</w:t>
            </w:r>
            <w:r>
              <w:rPr>
                <w:rFonts w:hint="default" w:ascii="Times New Roman" w:hAnsi="Times New Roman" w:cs="Times New Roman"/>
                <w:color w:val="auto"/>
                <w:sz w:val="21"/>
                <w:szCs w:val="21"/>
                <w:highlight w:val="none"/>
                <w:lang w:val="en-US" w:eastAsia="zh-CN"/>
              </w:rPr>
              <w:t>2.支持中、维、哈跨语言舆情挖掘，直接对维语、哈语等内容的语义向量进行跨语言对齐与比对，发现不同语言社群中对同一事件或话题的讨论热点与情绪倾向。</w:t>
            </w:r>
          </w:p>
          <w:p w14:paraId="25EB188E">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10.</w:t>
            </w:r>
            <w:r>
              <w:rPr>
                <w:rFonts w:hint="default" w:ascii="Times New Roman" w:hAnsi="Times New Roman" w:cs="Times New Roman"/>
                <w:color w:val="auto"/>
                <w:sz w:val="21"/>
                <w:szCs w:val="21"/>
                <w:highlight w:val="none"/>
                <w:lang w:val="en-US" w:eastAsia="zh-CN"/>
              </w:rPr>
              <w:t>3.支持基于大模型技术精准识别预警违规关键帧，违规话术，实现评论正负向分类，账号关联分析，自动标注高风险内容，有效降低人工复核范围和工作量，完成从多语言事件溯源、跨文化传播追踪、多维观点分析到综合风险评估与处置建议的全链路闭环研判。</w:t>
            </w:r>
          </w:p>
          <w:p w14:paraId="12B98994">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eastAsia="zh-CN"/>
              </w:rPr>
              <w:t>10.</w:t>
            </w:r>
            <w:r>
              <w:rPr>
                <w:rFonts w:hint="default" w:ascii="Times New Roman" w:hAnsi="Times New Roman" w:cs="Times New Roman"/>
                <w:color w:val="auto"/>
                <w:sz w:val="21"/>
                <w:szCs w:val="21"/>
                <w:highlight w:val="none"/>
                <w:lang w:val="en-US" w:eastAsia="zh-CN"/>
              </w:rPr>
              <w:t>4.针对每个事件提供直观的可视化数据分析大屏，输出可定制分析报告，为监管决策提供量化可信数据支撑。</w:t>
            </w:r>
          </w:p>
        </w:tc>
      </w:tr>
    </w:tbl>
    <w:p w14:paraId="1B6FA7C3">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5.人工智能辅助子系统</w:t>
      </w:r>
    </w:p>
    <w:tbl>
      <w:tblPr>
        <w:tblStyle w:val="40"/>
        <w:tblW w:w="4890" w:type="pct"/>
        <w:tblInd w:w="132" w:type="dxa"/>
        <w:tblLayout w:type="autofit"/>
        <w:tblCellMar>
          <w:top w:w="0" w:type="dxa"/>
          <w:left w:w="108" w:type="dxa"/>
          <w:bottom w:w="0" w:type="dxa"/>
          <w:right w:w="108" w:type="dxa"/>
        </w:tblCellMar>
      </w:tblPr>
      <w:tblGrid>
        <w:gridCol w:w="1039"/>
        <w:gridCol w:w="1036"/>
        <w:gridCol w:w="6260"/>
      </w:tblGrid>
      <w:tr w14:paraId="0663A0E0">
        <w:tblPrEx>
          <w:tblCellMar>
            <w:top w:w="0" w:type="dxa"/>
            <w:left w:w="108" w:type="dxa"/>
            <w:bottom w:w="0" w:type="dxa"/>
            <w:right w:w="108" w:type="dxa"/>
          </w:tblCellMar>
        </w:tblPrEx>
        <w:trPr>
          <w:trHeight w:val="288"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BA17">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系统名称</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1555">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模块名称</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8B51">
            <w:pPr>
              <w:ind w:firstLine="422" w:firstLineChars="20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规格参数</w:t>
            </w:r>
          </w:p>
        </w:tc>
      </w:tr>
      <w:tr w14:paraId="13308B45">
        <w:tblPrEx>
          <w:tblCellMar>
            <w:top w:w="0" w:type="dxa"/>
            <w:left w:w="108" w:type="dxa"/>
            <w:bottom w:w="0" w:type="dxa"/>
            <w:right w:w="108" w:type="dxa"/>
          </w:tblCellMar>
        </w:tblPrEx>
        <w:trPr>
          <w:trHeight w:val="90" w:hRule="atLeast"/>
        </w:trPr>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E7423">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市场监管一网统管系统-人工智能辅助子系统</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FBF3">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GPU算力中心</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1CA6">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1.</w:t>
            </w:r>
            <w:r>
              <w:rPr>
                <w:rFonts w:hint="default" w:ascii="Times New Roman" w:hAnsi="Times New Roman" w:cs="Times New Roman"/>
                <w:color w:val="auto"/>
                <w:sz w:val="21"/>
                <w:szCs w:val="21"/>
                <w:highlight w:val="none"/>
              </w:rPr>
              <w:t>围绕新疆维吾尔自治区市场监管行业垂直大模型及智能体应用的算力需求，在市场监管局内网建设高性能、高可靠的专用GPU算力中心。</w:t>
            </w:r>
          </w:p>
          <w:p w14:paraId="0B8FCDA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内部私有算力集群建立按照部署推理算力群、预训练算力群和测试算力群以及普通服务器若干台进行搭建。私有算力集群为内部协同办公和监管使用，提供内部私有算力集群处理不对外公开的敏感数据。</w:t>
            </w:r>
          </w:p>
        </w:tc>
      </w:tr>
      <w:tr w14:paraId="436E5183">
        <w:tblPrEx>
          <w:tblCellMar>
            <w:top w:w="0" w:type="dxa"/>
            <w:left w:w="108" w:type="dxa"/>
            <w:bottom w:w="0" w:type="dxa"/>
            <w:right w:w="108" w:type="dxa"/>
          </w:tblCellMar>
        </w:tblPrEx>
        <w:trPr>
          <w:trHeight w:val="2877" w:hRule="atLeast"/>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14:paraId="33533E8D">
            <w:pPr>
              <w:widowControl/>
              <w:jc w:val="left"/>
              <w:rPr>
                <w:rFonts w:hint="default" w:ascii="Times New Roman" w:hAnsi="Times New Roman" w:cs="Times New Roman"/>
                <w:color w:val="auto"/>
                <w:kern w:val="0"/>
                <w:sz w:val="21"/>
                <w:szCs w:val="21"/>
                <w:highlight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8EAA">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市场监管私有AI大模型底座</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1201">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2.1基础大模型部署</w:t>
            </w:r>
          </w:p>
          <w:p w14:paraId="2EDCEA90">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根据行业特点，确定大模型的具体目标。明确模型目标有助于在后续建设过程中选择合适的技术和数据，确保模型能够精准满足行业需求。</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2.2模型微调</w:t>
            </w:r>
          </w:p>
          <w:p w14:paraId="21DD609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以市场监管行业数据对大模型进行微调，使大模型更加符合市场监管业务工作的要求。通过量化（FP16/INT8）、知识蒸馏等技术压缩模型体积，适配边缘端或政务云环境的推理算力限制。</w:t>
            </w:r>
          </w:p>
          <w:p w14:paraId="3A2DB9F6">
            <w:pPr>
              <w:ind w:firstLine="420" w:firstLineChars="200"/>
              <w:rPr>
                <w:rFonts w:hint="default" w:ascii="Times New Roman" w:hAnsi="Times New Roman" w:cs="Times New Roman"/>
                <w:color w:val="auto"/>
                <w:sz w:val="21"/>
                <w:szCs w:val="21"/>
                <w:highlight w:val="none"/>
              </w:rPr>
            </w:pPr>
          </w:p>
        </w:tc>
      </w:tr>
      <w:tr w14:paraId="27489ECC">
        <w:tblPrEx>
          <w:tblCellMar>
            <w:top w:w="0" w:type="dxa"/>
            <w:left w:w="108" w:type="dxa"/>
            <w:bottom w:w="0" w:type="dxa"/>
            <w:right w:w="108" w:type="dxa"/>
          </w:tblCellMar>
        </w:tblPrEx>
        <w:trPr>
          <w:trHeight w:val="3484" w:hRule="atLeast"/>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14:paraId="43A34884">
            <w:pPr>
              <w:widowControl/>
              <w:jc w:val="left"/>
              <w:rPr>
                <w:rFonts w:hint="default" w:ascii="Times New Roman" w:hAnsi="Times New Roman" w:cs="Times New Roman"/>
                <w:color w:val="auto"/>
                <w:kern w:val="0"/>
                <w:sz w:val="21"/>
                <w:szCs w:val="21"/>
                <w:highlight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A2AF">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市场监管大模型应用中台</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D33C">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3.1AI应用门户</w:t>
            </w:r>
          </w:p>
          <w:p w14:paraId="0BFFC2A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语音或文本输入查询需求，系统通过自然语言理解技术解析问题，结合RAG增强检索与深度逻辑推理，完成复杂场景下的数据检索与统计分析，并提供附带推理过程的规范化答案。智能问答机器人通过大模型的推理与语言润色功能，为监管工作提供统一、高效的智能问答服务。</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3.2AI应用支撑底座</w:t>
            </w:r>
          </w:p>
          <w:p w14:paraId="408C6949">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MCP协议标准化接口和算力资源动态调度，实现了AI能力的通用化封装和高效管理。结合大模型API的统一调用、OCR/PPT/报告生成等服务的模块化设计，人工智能能力的通用化封装和算力资源优化，显著降低AI开发成本，提升算力利用率。</w:t>
            </w:r>
          </w:p>
          <w:p w14:paraId="53A0C363">
            <w:pPr>
              <w:ind w:firstLine="420" w:firstLineChars="200"/>
              <w:rPr>
                <w:rFonts w:hint="default" w:ascii="Times New Roman" w:hAnsi="Times New Roman" w:cs="Times New Roman"/>
                <w:color w:val="auto"/>
                <w:sz w:val="21"/>
                <w:szCs w:val="21"/>
                <w:highlight w:val="none"/>
              </w:rPr>
            </w:pPr>
          </w:p>
        </w:tc>
      </w:tr>
      <w:tr w14:paraId="032BE28A">
        <w:tblPrEx>
          <w:tblCellMar>
            <w:top w:w="0" w:type="dxa"/>
            <w:left w:w="108" w:type="dxa"/>
            <w:bottom w:w="0" w:type="dxa"/>
            <w:right w:w="108" w:type="dxa"/>
          </w:tblCellMar>
        </w:tblPrEx>
        <w:trPr>
          <w:trHeight w:val="1440" w:hRule="atLeast"/>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14:paraId="380D6121">
            <w:pPr>
              <w:widowControl/>
              <w:jc w:val="left"/>
              <w:rPr>
                <w:rFonts w:hint="default" w:ascii="Times New Roman" w:hAnsi="Times New Roman" w:cs="Times New Roman"/>
                <w:color w:val="auto"/>
                <w:kern w:val="0"/>
                <w:sz w:val="21"/>
                <w:szCs w:val="21"/>
                <w:highlight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9E29">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综合业务数据深度检索统计AI应用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6550">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4.1数据接入与整合</w:t>
            </w:r>
          </w:p>
          <w:p w14:paraId="423D888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全面、细致的数据接入、识别和预处理流程，应用能够确保所处理数据的准确性和一致性，为后续深入的数据分析和挖掘工作提供可靠的数据基础，从而为市场监管部门的决策制定、业务优化等提供有力支持。</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4.2深度检索功能</w:t>
            </w:r>
          </w:p>
          <w:p w14:paraId="63B864D7">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在用户输入检索关键词时，系统能够实时提供智能联想词和自动补全功能，根据业务数据的上下文和历史检索记录，推测用户可能想要输入的完整检索条件，减少用户输入错误和提高检索效率。支持用户通过多种逻辑运算符对多个检索条件进行灵活组合。</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4.3数据统计与分析功能</w:t>
            </w:r>
          </w:p>
          <w:p w14:paraId="1C87425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能够对接入的数据进行实时计算和统计分析，提供关键指标的实时数据展示，如当前检查业务量的统计、数据增长趋势等，帮助用户及时了解市场监管业务动态，以便快速做出决策。</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4.4综合数据深度增强检索智能问答机</w:t>
            </w:r>
          </w:p>
          <w:p w14:paraId="0E8B4AB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平台具备查看历史对话记录的功能，用户可随时查阅过往的对话内容，方便回顾和参考。支持对平台已经提问的对话信息按对话标题进行检索，同时也能根据问题关键词、回答关键词等进行全文检索。</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4.5系统对接与数据处理</w:t>
            </w:r>
          </w:p>
          <w:p w14:paraId="639F5F9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与注册登记、食品、工业产品、检验检测四大业务系统的对接。获取各业务系统专业数据，针对各专业数据开发数据分析接口，将这些接口预设到知识库中。用户向智能问答机器人询问时，机器人会对问题进行语义理解，并采用向量检索和倒排序检索方式，在知识库中检索对应的知识，生成数据分析接口的调用序列，机器人通过这些接口调用，获取与问题相关的业务数据，再结合大模型中生成的分析和描述，进行文字润色，共同生成给用户的最终答案。</w:t>
            </w:r>
          </w:p>
          <w:p w14:paraId="25CF3BE6">
            <w:pPr>
              <w:ind w:firstLine="420" w:firstLineChars="200"/>
              <w:rPr>
                <w:rFonts w:hint="default" w:ascii="Times New Roman" w:hAnsi="Times New Roman" w:cs="Times New Roman"/>
                <w:color w:val="auto"/>
                <w:sz w:val="21"/>
                <w:szCs w:val="21"/>
                <w:highlight w:val="none"/>
              </w:rPr>
            </w:pPr>
          </w:p>
        </w:tc>
      </w:tr>
      <w:tr w14:paraId="44A0ECB8">
        <w:tblPrEx>
          <w:tblCellMar>
            <w:top w:w="0" w:type="dxa"/>
            <w:left w:w="108" w:type="dxa"/>
            <w:bottom w:w="0" w:type="dxa"/>
            <w:right w:w="108" w:type="dxa"/>
          </w:tblCellMar>
        </w:tblPrEx>
        <w:trPr>
          <w:trHeight w:val="344" w:hRule="atLeast"/>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14:paraId="41410B8C">
            <w:pPr>
              <w:widowControl/>
              <w:jc w:val="left"/>
              <w:rPr>
                <w:rFonts w:hint="default" w:ascii="Times New Roman" w:hAnsi="Times New Roman" w:cs="Times New Roman"/>
                <w:color w:val="auto"/>
                <w:kern w:val="0"/>
                <w:sz w:val="21"/>
                <w:szCs w:val="21"/>
                <w:highlight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6FDA">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市场监管大模型知识中心</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02CC">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5.1知识收录与分类管理</w:t>
            </w:r>
          </w:p>
          <w:p w14:paraId="53E4ABF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对作业指导书、总局文件、省局文件、政策法规、产品标准等知识资源进行精细化分类标注，完成数据清洗后批量导入系统，构建结构化知识底座。</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5.2知识向量化处理</w:t>
            </w:r>
          </w:p>
          <w:p w14:paraId="5BEE590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通过知识库工具对全量知识进行语义解析与向量化转换，生成高维度特征向量，存储至专用向量数据库，为智能检索奠定基础。</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5.3新建智能问答对话</w:t>
            </w:r>
          </w:p>
          <w:p w14:paraId="78E182CF">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支持创建多模态交互会话，向综合数据深度增强检索智能问答机器人发起知识查询请求，实现人机自然语言交互。</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5.4语义理解与解析</w:t>
            </w:r>
          </w:p>
          <w:p w14:paraId="55E59CF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调用大模型语义理解引擎，对用户提问进行深层语义分析，提取关键检索要素，转化为机器可识别的知识检索指令。</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5.5知识精准检索</w:t>
            </w:r>
          </w:p>
          <w:p w14:paraId="0569CAC6">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智能问答机器人基于向量检索与反向索引技术，在知识图谱中快速定位关联内容，实现毫秒级精准匹配与知识召回。</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5.6答案智能润色生成</w:t>
            </w:r>
          </w:p>
          <w:p w14:paraId="237D1E1A">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依托大模型内容生成能力，对检索结果进行结构化重组与自然语言润色，形成逻辑清晰、重点突出的应答内容。</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5.7知识输出</w:t>
            </w:r>
          </w:p>
          <w:p w14:paraId="784998C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将润色后的答案实时同步至客户端，支持文本查看等输出方式，提升知识获取效率。</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5.8文件版本差异分析</w:t>
            </w:r>
          </w:p>
          <w:p w14:paraId="79830A4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通过大模型文本对比算法，对历史文件版本进行逐行比对，以红色高亮标注内容差异，并自动生成变更要点说明，辅助监管人员高效掌握政策动态。</w:t>
            </w:r>
          </w:p>
        </w:tc>
      </w:tr>
      <w:tr w14:paraId="59A5D4B5">
        <w:tblPrEx>
          <w:tblCellMar>
            <w:top w:w="0" w:type="dxa"/>
            <w:left w:w="108" w:type="dxa"/>
            <w:bottom w:w="0" w:type="dxa"/>
            <w:right w:w="108" w:type="dxa"/>
          </w:tblCellMar>
        </w:tblPrEx>
        <w:trPr>
          <w:trHeight w:val="1152" w:hRule="atLeast"/>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14:paraId="0E6DD0A4">
            <w:pPr>
              <w:widowControl/>
              <w:jc w:val="left"/>
              <w:rPr>
                <w:rFonts w:hint="default" w:ascii="Times New Roman" w:hAnsi="Times New Roman" w:cs="Times New Roman"/>
                <w:color w:val="auto"/>
                <w:kern w:val="0"/>
                <w:sz w:val="21"/>
                <w:szCs w:val="21"/>
                <w:highlight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6599">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产品质量监督AI应用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F1DF">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6.1产品质量A现场监管</w:t>
            </w:r>
          </w:p>
          <w:p w14:paraId="71A8BF8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整合语音识别、自然语言处理、增强式检索、大模型推理、Agent智能体、智能工作流、生成式文档、拍照及签字图片处理等技术，实现从查询企业信息到生成现场记录单的全流程智能化操作。</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6.2触发式监管</w:t>
            </w:r>
          </w:p>
          <w:p w14:paraId="7FAFFD1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通过预设的各类触发条件，实时监测网络数据（流媒体、电商平台、新闻资讯等）及12315 投诉举报的关键数据与事件，运用大数据分析与数据建模技术，自动识别风险产品及企业相关信息。</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6.3智能专题报告</w:t>
            </w:r>
          </w:p>
          <w:p w14:paraId="4977EA3F">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针对特定产品质量监管主题，深度整合多源数据与专业分析，自动生成全面、精准且具有深度洞察的报告。帮助监管部门快速把握特定产品或行业的质量状况、趋势以及关键问题，为决策制定提供有力依据，同时也便于向相关部门、企业及公众进行信息共享与沟通。</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6.4产品质量智能双随机抽取</w:t>
            </w:r>
          </w:p>
          <w:p w14:paraId="5A1A814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设定任务基本信息，从企业库和专家库中按条件，随机抽取对应的企业和专家，参与相关检查活动。本功能通过AI驱动的动态权重计算和分层随机抽样，结合知识图谱避嫌、强化学习优化等技术，适应复杂业务规则（如多维度标签、冲突规避），对抽查数据进行初步筛选，对抽查过程进行思考与反馈，最终生成双随机检查任务清单。</w:t>
            </w:r>
          </w:p>
          <w:p w14:paraId="232BE85D">
            <w:pPr>
              <w:ind w:firstLine="420" w:firstLineChars="200"/>
              <w:rPr>
                <w:rFonts w:hint="default" w:ascii="Times New Roman" w:hAnsi="Times New Roman" w:cs="Times New Roman"/>
                <w:color w:val="auto"/>
                <w:sz w:val="21"/>
                <w:szCs w:val="21"/>
                <w:highlight w:val="none"/>
              </w:rPr>
            </w:pPr>
          </w:p>
        </w:tc>
      </w:tr>
      <w:tr w14:paraId="3BBCB4F3">
        <w:tblPrEx>
          <w:tblCellMar>
            <w:top w:w="0" w:type="dxa"/>
            <w:left w:w="108" w:type="dxa"/>
            <w:bottom w:w="0" w:type="dxa"/>
            <w:right w:w="108" w:type="dxa"/>
          </w:tblCellMar>
        </w:tblPrEx>
        <w:trPr>
          <w:trHeight w:val="90" w:hRule="atLeast"/>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14:paraId="49AB0DC8">
            <w:pPr>
              <w:widowControl/>
              <w:jc w:val="left"/>
              <w:rPr>
                <w:rFonts w:hint="default" w:ascii="Times New Roman" w:hAnsi="Times New Roman" w:cs="Times New Roman"/>
                <w:color w:val="auto"/>
                <w:kern w:val="0"/>
                <w:sz w:val="21"/>
                <w:szCs w:val="21"/>
                <w:highlight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71C9">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检验检测行政监管AI应用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3230">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7.1检验检测AI监管</w:t>
            </w:r>
          </w:p>
          <w:p w14:paraId="319E9D9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语音和文字交互方式，帮助监管人员高效完成检验检测机构监管任务。该应用整合了语音识别、自然语言处理、增强式检索、大模型推理、Agent智能体、智能工作流、生成式文档、拍照及签字图片处理等技术，实现从查询机构信息、创建检查任务到生成现场检查表和事实确认单的全流程智能化操作。</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7.2电子报告智能识别(OCR)</w:t>
            </w:r>
          </w:p>
          <w:p w14:paraId="664FBFC6">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通过AI技术实现检验检测电子报告的自动化识别与结构化解析，替代人工录入，提升报告处理效率，并支持异常报告预警。</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7.3数据完整性智能验证</w:t>
            </w:r>
          </w:p>
          <w:p w14:paraId="2736EC7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通过规则引擎与AI模型，自动校验基本信息、检测能力数据、授权签字人数据、仪器设备数据、技术人员数据的完成情况的完整性、合规性，发现逻辑矛盾或缺失项，确保数据质量。</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7.4检验检测双随机智能抽取</w:t>
            </w:r>
          </w:p>
          <w:p w14:paraId="3B15FAE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科学算法实现“双随机”（随机抽取检查对象、随机选派执法人员）的智能化分配，降低人为干预风险，提升监管公平性。包含但不限于（1）风险分级抽取、（2）智能避嫌机制、（3）多维度均衡分配、（4）可视化展示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7.5能力验证智能比对</w:t>
            </w:r>
          </w:p>
          <w:p w14:paraId="7B535EC7">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自动化比对实验室间能力验证数据，客观评估检测机构技术能力，推动结果互认与质量提升。包含但不限于（1）标准值匹配、（2）Z比分数分析、（3）趋势可视化、（4）结果互认机制、（5）任务基本信息、（6）比对算法模型说明、（7）能力验证结果等功能。</w:t>
            </w:r>
          </w:p>
        </w:tc>
      </w:tr>
      <w:tr w14:paraId="687F1260">
        <w:tblPrEx>
          <w:tblCellMar>
            <w:top w:w="0" w:type="dxa"/>
            <w:left w:w="108" w:type="dxa"/>
            <w:bottom w:w="0" w:type="dxa"/>
            <w:right w:w="108" w:type="dxa"/>
          </w:tblCellMar>
        </w:tblPrEx>
        <w:trPr>
          <w:trHeight w:val="699" w:hRule="atLeast"/>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14:paraId="7D00991B">
            <w:pPr>
              <w:widowControl/>
              <w:jc w:val="left"/>
              <w:rPr>
                <w:rFonts w:hint="default" w:ascii="Times New Roman" w:hAnsi="Times New Roman" w:cs="Times New Roman"/>
                <w:color w:val="auto"/>
                <w:kern w:val="0"/>
                <w:sz w:val="21"/>
                <w:szCs w:val="21"/>
                <w:highlight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377F">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公平竞争审查AI应用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1604">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8.1公平竞争审查智能算法</w:t>
            </w:r>
          </w:p>
          <w:p w14:paraId="0753188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领域数据构建大模型蒸馏训练及优化部署形成基础能力，构建涵盖分类、规则纠正及招投标判别等的审查对象识别模型，实现审查范围精准定位。构建违法设置审批程序、歧视性准入条件、选择性财政补贴违规行为识别分类小模型，针对垄断行为、地域市场壁垒等典型问题进行自动化识别。</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8.2多源信息采集</w:t>
            </w:r>
          </w:p>
          <w:p w14:paraId="5C8F06D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集网站特征标记针对采集目标网站，构建定制化采集体系，搭建网站调研、数据采集、数据解析、数据检测、数据修复、采集程序日志监控等，以保证系统采集数据的全面性、完整性、正确性以及采集程序的健壮性。</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8.3采集数据</w:t>
            </w:r>
          </w:p>
          <w:p w14:paraId="3D13534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平竞争审查提供数据采集与管理功能，支持展示、查询、导出及编辑辖区内各级行政机关发布的政策文件，涵盖标题、地域、发布单位等关键信息检索，并允许人工上传数据、批量修改地域属性及联动线索标记至审查模块。</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8.4审查对象</w:t>
            </w:r>
          </w:p>
          <w:p w14:paraId="62F8BFF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政策措施文件进行智能分类，涉及市场主体经济活动的文件被判定为审查对象，并支持人工调整至无需审查类别，未涉及市场活动的文件归入无需审查，同样允许人工转换，处于征求意见阶段的文件则进入征求意见稿操作，可双向转换至其他两类。</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8.5线索审查</w:t>
            </w:r>
          </w:p>
          <w:p w14:paraId="541058A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公平竞争审查违规行为识别模型识别疑似涉嫌违反公平竞争审查标准的行为线索和非线索的数据，行为线索经过人工确认后成为线索流转，监管人员可进行定期抽查，对于举报的线索，该模块支持转为线索，适配多种场景需求。</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8.6线索处置</w:t>
            </w:r>
          </w:p>
          <w:p w14:paraId="7C66857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用于公平竞争审查业务人员线索处置反馈、结果查询，上传线索反馈材料。</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8.7考评资料库</w:t>
            </w:r>
          </w:p>
          <w:p w14:paraId="00ED0447">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照公平竞争审查机制、政策措施审查及清理情况、督办督查情况、培训宣传情况、工作总结与自评等分类，将平日工作过程中形成的汇报材料，上传积累在系统中，形成不受人员流动影响的稳定工作资料库。收集整理形成公平竞争审查相关法律法规、典型案例库。</w:t>
            </w:r>
          </w:p>
        </w:tc>
      </w:tr>
    </w:tbl>
    <w:p w14:paraId="47C7BCCB">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6.计量智慧监管子系统</w:t>
      </w:r>
    </w:p>
    <w:tbl>
      <w:tblPr>
        <w:tblStyle w:val="40"/>
        <w:tblW w:w="4890" w:type="pct"/>
        <w:tblInd w:w="132"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038"/>
        <w:gridCol w:w="1039"/>
        <w:gridCol w:w="6258"/>
      </w:tblGrid>
      <w:tr w14:paraId="3AC939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8" w:hRule="atLeast"/>
        </w:trPr>
        <w:tc>
          <w:tcPr>
            <w:tcW w:w="623" w:type="pct"/>
            <w:tcBorders>
              <w:bottom w:val="single" w:color="000000" w:sz="4" w:space="0"/>
              <w:right w:val="single" w:color="000000" w:sz="4" w:space="0"/>
            </w:tcBorders>
            <w:shd w:val="clear" w:color="auto" w:fill="auto"/>
            <w:vAlign w:val="center"/>
          </w:tcPr>
          <w:p w14:paraId="77F960D0">
            <w:pPr>
              <w:widowControl/>
              <w:jc w:val="center"/>
              <w:rPr>
                <w:rFonts w:hint="default" w:ascii="Times New Roman" w:hAnsi="Times New Roman" w:cs="Times New Roman"/>
                <w:b/>
                <w:bCs/>
                <w:color w:val="auto"/>
                <w:kern w:val="0"/>
                <w:sz w:val="21"/>
                <w:szCs w:val="21"/>
                <w:highlight w:val="none"/>
              </w:rPr>
            </w:pPr>
            <w:bookmarkStart w:id="490" w:name="_Toc9393"/>
            <w:r>
              <w:rPr>
                <w:rFonts w:hint="default" w:ascii="Times New Roman" w:hAnsi="Times New Roman" w:cs="Times New Roman"/>
                <w:b/>
                <w:bCs/>
                <w:color w:val="auto"/>
                <w:kern w:val="0"/>
                <w:sz w:val="21"/>
                <w:szCs w:val="21"/>
                <w:highlight w:val="none"/>
              </w:rPr>
              <w:t>系统名称</w:t>
            </w:r>
          </w:p>
        </w:tc>
        <w:tc>
          <w:tcPr>
            <w:tcW w:w="623" w:type="pct"/>
            <w:tcBorders>
              <w:left w:val="single" w:color="000000" w:sz="4" w:space="0"/>
              <w:bottom w:val="single" w:color="000000" w:sz="4" w:space="0"/>
              <w:right w:val="single" w:color="000000" w:sz="4" w:space="0"/>
            </w:tcBorders>
            <w:shd w:val="clear" w:color="auto" w:fill="auto"/>
            <w:vAlign w:val="center"/>
          </w:tcPr>
          <w:p w14:paraId="4D632F61">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模块名称</w:t>
            </w:r>
          </w:p>
        </w:tc>
        <w:tc>
          <w:tcPr>
            <w:tcW w:w="3753" w:type="pct"/>
            <w:tcBorders>
              <w:left w:val="single" w:color="000000" w:sz="4" w:space="0"/>
              <w:bottom w:val="single" w:color="000000" w:sz="4" w:space="0"/>
            </w:tcBorders>
            <w:shd w:val="clear" w:color="auto" w:fill="auto"/>
            <w:vAlign w:val="center"/>
          </w:tcPr>
          <w:p w14:paraId="4172A83E">
            <w:pPr>
              <w:ind w:firstLine="422" w:firstLineChars="20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规格参数</w:t>
            </w:r>
          </w:p>
        </w:tc>
      </w:tr>
      <w:tr w14:paraId="7C9235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96" w:hRule="atLeast"/>
        </w:trPr>
        <w:tc>
          <w:tcPr>
            <w:tcW w:w="623" w:type="pct"/>
            <w:vMerge w:val="restart"/>
            <w:tcBorders>
              <w:top w:val="single" w:color="000000" w:sz="4" w:space="0"/>
              <w:right w:val="single" w:color="000000" w:sz="4" w:space="0"/>
            </w:tcBorders>
            <w:shd w:val="clear" w:color="auto" w:fill="auto"/>
            <w:vAlign w:val="center"/>
          </w:tcPr>
          <w:p w14:paraId="67092B02">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市场监管一网统管系统-计量智慧监管子系统</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6596">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社会公用计量标准申请/换发管理模块</w:t>
            </w:r>
          </w:p>
        </w:tc>
        <w:tc>
          <w:tcPr>
            <w:tcW w:w="3753" w:type="pct"/>
            <w:tcBorders>
              <w:top w:val="single" w:color="000000" w:sz="4" w:space="0"/>
              <w:left w:val="single" w:color="000000" w:sz="4" w:space="0"/>
              <w:bottom w:val="single" w:color="000000" w:sz="4" w:space="0"/>
            </w:tcBorders>
            <w:shd w:val="clear" w:color="auto" w:fill="auto"/>
            <w:vAlign w:val="center"/>
          </w:tcPr>
          <w:p w14:paraId="48C6F301">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1.1机构检测端-社公标换发申请</w:t>
            </w:r>
          </w:p>
          <w:p w14:paraId="2F58334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申请基本信息录入、修改、提交功能，在申请时选择本机构的社会公用最高标准并填写“社会公用计量标准证书号”、“社会公用计量标准证书发证机构”、传递地区或范围等信息，确认无误后提交，由主管部门进行审核，若审核未通过，机构应根据反馈意见修改并重新提交申请，直至审核通过为止。</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1.2机构检测端-社公标新增申请</w:t>
            </w:r>
          </w:p>
          <w:p w14:paraId="5889BBB7">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申请基本信息录入、修改、提交功能，在申请时选择本机构的企事业最高标准并填写“社会公用计量标准证书号”、“社会公用计量标准证书发证机构”、传递地区或范围等信息，确认无误后提交，由主管部门进行审核，若审核未通过，机构应根据反馈意见修改并重新提交申请，直至审核通过为止。</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1.3行政监管端-社公标申请/换发审核</w:t>
            </w:r>
          </w:p>
          <w:p w14:paraId="6DD738E9">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提供基本信息的查询、审核功能，基本信息包括计量标准名称、社会公用计量标准证书号、证书发证机构、传递地区或范围、建标单位、审核状态等。审核人员可审核通过或不通过，不通过需要填写说明信息。</w:t>
            </w:r>
          </w:p>
          <w:p w14:paraId="6E8A783C">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1.4</w:t>
            </w:r>
            <w:r>
              <w:rPr>
                <w:rFonts w:hint="default" w:ascii="Times New Roman" w:hAnsi="Times New Roman" w:cs="Times New Roman"/>
                <w:color w:val="auto"/>
                <w:sz w:val="21"/>
                <w:szCs w:val="21"/>
                <w:highlight w:val="none"/>
              </w:rPr>
              <w:t>社会公用计量标准管理模块</w:t>
            </w:r>
          </w:p>
          <w:p w14:paraId="0FFB4CE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开发社会公用计量标准管理模块，实现社会公用计量标准从需求征集、计划制定、标准建立到证书发放的全流程线上化管理；该模块将覆盖社会公用计量标准的全生命周期管理，包括标准的申报、评审、考核、备案、发证及后续的监督使用环节。通过系统化、标准化的流程管理，有效提升社会公用计量标准管理的规范性、准确性和时效性，进一步完善新疆计量标准体系建设。</w:t>
            </w:r>
          </w:p>
        </w:tc>
      </w:tr>
      <w:tr w14:paraId="16030B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6" w:hRule="atLeast"/>
        </w:trPr>
        <w:tc>
          <w:tcPr>
            <w:tcW w:w="623" w:type="pct"/>
            <w:vMerge w:val="continue"/>
            <w:tcBorders>
              <w:right w:val="single" w:color="000000" w:sz="4" w:space="0"/>
            </w:tcBorders>
            <w:vAlign w:val="center"/>
          </w:tcPr>
          <w:p w14:paraId="62AEF5EE">
            <w:pPr>
              <w:widowControl/>
              <w:jc w:val="left"/>
              <w:rPr>
                <w:rFonts w:hint="default" w:ascii="Times New Roman" w:hAnsi="Times New Roman" w:cs="Times New Roman"/>
                <w:color w:val="auto"/>
                <w:kern w:val="0"/>
                <w:sz w:val="21"/>
                <w:szCs w:val="21"/>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7535">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诚信计量模块</w:t>
            </w:r>
          </w:p>
        </w:tc>
        <w:tc>
          <w:tcPr>
            <w:tcW w:w="3753" w:type="pct"/>
            <w:tcBorders>
              <w:top w:val="single" w:color="000000" w:sz="4" w:space="0"/>
              <w:left w:val="single" w:color="000000" w:sz="4" w:space="0"/>
              <w:bottom w:val="single" w:color="auto" w:sz="4" w:space="0"/>
            </w:tcBorders>
            <w:shd w:val="clear" w:color="auto" w:fill="auto"/>
            <w:vAlign w:val="center"/>
          </w:tcPr>
          <w:p w14:paraId="1358378A">
            <w:pPr>
              <w:widowControl/>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2.1</w:t>
            </w:r>
            <w:r>
              <w:rPr>
                <w:rFonts w:hint="default" w:ascii="Times New Roman" w:hAnsi="Times New Roman" w:eastAsia="宋体" w:cs="Times New Roman"/>
                <w:color w:val="auto"/>
                <w:kern w:val="0"/>
                <w:sz w:val="21"/>
                <w:szCs w:val="21"/>
                <w:highlight w:val="none"/>
                <w:lang w:eastAsia="zh-CN"/>
              </w:rPr>
              <w:t>法定机构诚信计量管理模块</w:t>
            </w:r>
          </w:p>
          <w:p w14:paraId="2BA5427C">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（1）一票否决项基础问卷维护</w:t>
            </w:r>
          </w:p>
          <w:p w14:paraId="276306F2">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提供对法定机构诚信计量的一票否决项基础问卷进行维护功能，包括题目、选项、选项类型、是否上传材料、分数、排序。基础问卷扣分选项与风险分类评价标准项进行关联维护。</w:t>
            </w:r>
          </w:p>
          <w:p w14:paraId="1715499C">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（2）互查一票否决项问卷</w:t>
            </w:r>
          </w:p>
          <w:p w14:paraId="75B2C641">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检查组进行机构互查时，在原先的计量标准管理、法定计量检定机构管理、注册计量师管理三个问卷再多加一个一票否决项问卷，即检查组需要编辑四个问卷。</w:t>
            </w:r>
          </w:p>
          <w:p w14:paraId="447ADFFB">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（3）详情的机构信息一票否决项问卷分值查看</w:t>
            </w:r>
          </w:p>
          <w:p w14:paraId="7D9F2A20">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提供在详情里查看机构一票否决项问卷自查、互查、整改的分值和查看自查问卷与互查问卷详情功能。问卷详情包括题目、所选选项、附件资料。</w:t>
            </w:r>
          </w:p>
          <w:p w14:paraId="2308ADDF">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（4）互查完成时一票否决项问卷扣分功能</w:t>
            </w:r>
          </w:p>
          <w:p w14:paraId="371A06BB">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检查组互查完成后，一票否决项问卷里不符合的项，系统自动获取关联的风险分类标准项进行对应的扣分，并增加扣分记录。扣分记录包括扣分说明，扣分值、扣分时间。</w:t>
            </w:r>
          </w:p>
          <w:p w14:paraId="0054F81D">
            <w:pPr>
              <w:widowControl/>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2.2</w:t>
            </w:r>
            <w:r>
              <w:rPr>
                <w:rFonts w:hint="default" w:ascii="Times New Roman" w:hAnsi="Times New Roman" w:eastAsia="宋体" w:cs="Times New Roman"/>
                <w:color w:val="auto"/>
                <w:kern w:val="0"/>
                <w:sz w:val="21"/>
                <w:szCs w:val="21"/>
                <w:highlight w:val="none"/>
                <w:lang w:eastAsia="zh-CN"/>
              </w:rPr>
              <w:t>行政监管端</w:t>
            </w:r>
          </w:p>
          <w:p w14:paraId="05B6F170">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lang w:eastAsia="zh-CN"/>
              </w:rPr>
              <w:t>）法定机构诚信计量管理模块（一票否决项基础问卷维护、互查一票否决项问卷、详情的机构信息一票否决项问卷分值查看、互查完成时一票否决项问卷扣分功能）；</w:t>
            </w:r>
          </w:p>
          <w:p w14:paraId="2B2DF3AF">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eastAsia="zh-CN"/>
              </w:rPr>
              <w:t>）授权机构诚信计量管理模块（风险分类评价标准、四个基础问卷维护），授权机构诚信计量模块（与法定机构诚信计量流程一致，针对授权机构。）</w:t>
            </w:r>
          </w:p>
          <w:p w14:paraId="0DDF0AA9">
            <w:pPr>
              <w:widowControl/>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2.3</w:t>
            </w:r>
            <w:r>
              <w:rPr>
                <w:rFonts w:hint="default" w:ascii="Times New Roman" w:hAnsi="Times New Roman" w:eastAsia="宋体" w:cs="Times New Roman"/>
                <w:color w:val="auto"/>
                <w:kern w:val="0"/>
                <w:sz w:val="21"/>
                <w:szCs w:val="21"/>
                <w:highlight w:val="none"/>
                <w:lang w:eastAsia="zh-CN"/>
              </w:rPr>
              <w:t>机构检测端</w:t>
            </w:r>
          </w:p>
          <w:p w14:paraId="49A5821D">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法定机构诚信计量管理模块（提供一票否决项问卷自查功能，实现法定机构一票否决项问卷自查功能和问卷查看功能）；</w:t>
            </w:r>
          </w:p>
          <w:p w14:paraId="76286AB7">
            <w:pPr>
              <w:widowControl/>
              <w:ind w:firstLine="420" w:firstLineChars="20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授权机构诚信计量管理模块（提供授权机构诚信记录自查功能，与法定机构诚信计量流程一致，但是只针对授权机构）。</w:t>
            </w:r>
          </w:p>
          <w:p w14:paraId="41EDD11A">
            <w:pPr>
              <w:widowControl/>
              <w:ind w:firstLine="420" w:firstLineChars="200"/>
              <w:jc w:val="left"/>
              <w:rPr>
                <w:rFonts w:hint="default" w:ascii="Times New Roman" w:hAnsi="Times New Roman" w:eastAsia="宋体" w:cs="Times New Roman"/>
                <w:color w:val="auto"/>
                <w:kern w:val="0"/>
                <w:sz w:val="21"/>
                <w:szCs w:val="21"/>
                <w:highlight w:val="none"/>
                <w:lang w:eastAsia="zh-CN"/>
              </w:rPr>
            </w:pPr>
            <w:bookmarkStart w:id="491" w:name="_Toc219233391"/>
            <w:r>
              <w:rPr>
                <w:rFonts w:hint="default" w:ascii="Times New Roman" w:hAnsi="Times New Roman" w:eastAsia="宋体" w:cs="Times New Roman"/>
                <w:color w:val="auto"/>
                <w:kern w:val="0"/>
                <w:sz w:val="21"/>
                <w:szCs w:val="21"/>
                <w:highlight w:val="none"/>
                <w:lang w:eastAsia="zh-CN"/>
              </w:rPr>
              <w:t>技术机构业务受理情况统计模块</w:t>
            </w:r>
            <w:bookmarkEnd w:id="491"/>
            <w:r>
              <w:rPr>
                <w:rFonts w:hint="default" w:ascii="Times New Roman" w:hAnsi="Times New Roman" w:eastAsia="宋体" w:cs="Times New Roman"/>
                <w:color w:val="auto"/>
                <w:kern w:val="0"/>
                <w:sz w:val="21"/>
                <w:szCs w:val="21"/>
                <w:highlight w:val="none"/>
                <w:lang w:eastAsia="zh-CN"/>
              </w:rPr>
              <w:t>。根据技术机构业务受理的预约单信息，对预约单器具按照业务流程、器具二级目录、时间范围进行统计，需要体现机构当前未受理数量、已受理数量、未完成数量和已完成数量以及二级目录分布情况，</w:t>
            </w:r>
            <w:r>
              <w:rPr>
                <w:rFonts w:hint="default" w:ascii="Times New Roman" w:hAnsi="Times New Roman" w:eastAsia="宋体" w:cs="Times New Roman"/>
                <w:color w:val="auto"/>
                <w:kern w:val="0"/>
                <w:sz w:val="21"/>
                <w:szCs w:val="21"/>
                <w:highlight w:val="none"/>
                <w:lang w:val="en-US" w:eastAsia="zh-CN"/>
              </w:rPr>
              <w:t>实现自定义查询统计功能</w:t>
            </w:r>
            <w:r>
              <w:rPr>
                <w:rFonts w:hint="default" w:ascii="Times New Roman" w:hAnsi="Times New Roman" w:eastAsia="宋体" w:cs="Times New Roman"/>
                <w:color w:val="auto"/>
                <w:kern w:val="0"/>
                <w:sz w:val="21"/>
                <w:szCs w:val="21"/>
                <w:highlight w:val="none"/>
                <w:lang w:eastAsia="zh-CN"/>
              </w:rPr>
              <w:t>。</w:t>
            </w:r>
          </w:p>
          <w:p w14:paraId="643CC7B5">
            <w:pPr>
              <w:widowControl/>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 w:eastAsia="zh-CN"/>
              </w:rPr>
              <w:t>2.4</w:t>
            </w:r>
            <w:r>
              <w:rPr>
                <w:rFonts w:hint="default" w:ascii="Times New Roman" w:hAnsi="Times New Roman" w:eastAsia="宋体" w:cs="Times New Roman"/>
                <w:color w:val="auto"/>
                <w:kern w:val="0"/>
                <w:sz w:val="21"/>
                <w:szCs w:val="21"/>
                <w:highlight w:val="none"/>
                <w:lang w:eastAsia="zh-CN"/>
              </w:rPr>
              <w:t>诚信计量模块功能适配到移动端</w:t>
            </w:r>
          </w:p>
          <w:p w14:paraId="68F17896">
            <w:pPr>
              <w:widowControl/>
              <w:ind w:firstLine="420" w:firstLineChars="200"/>
              <w:jc w:val="left"/>
              <w:rPr>
                <w:rFonts w:hint="default" w:ascii="Times New Roman" w:hAnsi="Times New Roman" w:cs="Times New Roman"/>
                <w:highlight w:val="none"/>
              </w:rPr>
            </w:pPr>
            <w:r>
              <w:rPr>
                <w:rFonts w:hint="default" w:ascii="Times New Roman" w:hAnsi="Times New Roman" w:eastAsia="宋体" w:cs="Times New Roman"/>
                <w:color w:val="auto"/>
                <w:kern w:val="0"/>
                <w:sz w:val="21"/>
                <w:szCs w:val="21"/>
                <w:highlight w:val="none"/>
                <w:lang w:eastAsia="zh-CN"/>
              </w:rPr>
              <w:t>通过将现有pc端诚信计量模块监管端功能适配到新疆智慧市场监管小程序中，实现监管人员对法定机构和授权机构开展现场评价工作。通过移动端现场执法，检查全程线上化，促使智慧监管提质增效。</w:t>
            </w:r>
          </w:p>
        </w:tc>
      </w:tr>
      <w:tr w14:paraId="39B3C4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48" w:hRule="atLeast"/>
        </w:trPr>
        <w:tc>
          <w:tcPr>
            <w:tcW w:w="623" w:type="pct"/>
            <w:vMerge w:val="continue"/>
            <w:tcBorders>
              <w:right w:val="single" w:color="000000" w:sz="4" w:space="0"/>
            </w:tcBorders>
            <w:vAlign w:val="center"/>
          </w:tcPr>
          <w:p w14:paraId="75C79E57">
            <w:pPr>
              <w:widowControl/>
              <w:jc w:val="left"/>
              <w:rPr>
                <w:rFonts w:hint="default" w:ascii="Times New Roman" w:hAnsi="Times New Roman" w:cs="Times New Roman"/>
                <w:color w:val="auto"/>
                <w:kern w:val="0"/>
                <w:sz w:val="21"/>
                <w:szCs w:val="21"/>
                <w:highlight w:val="none"/>
              </w:rPr>
            </w:pPr>
          </w:p>
        </w:tc>
        <w:tc>
          <w:tcPr>
            <w:tcW w:w="623" w:type="pct"/>
            <w:tcBorders>
              <w:top w:val="single" w:color="000000" w:sz="4" w:space="0"/>
              <w:left w:val="single" w:color="000000" w:sz="4" w:space="0"/>
              <w:bottom w:val="single" w:color="000000" w:sz="4" w:space="0"/>
              <w:right w:val="single" w:color="auto" w:sz="4" w:space="0"/>
            </w:tcBorders>
            <w:shd w:val="clear" w:color="auto" w:fill="auto"/>
            <w:vAlign w:val="center"/>
          </w:tcPr>
          <w:p w14:paraId="2731C9C8">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技术机构业务受理情况统计模块</w:t>
            </w:r>
          </w:p>
        </w:tc>
        <w:tc>
          <w:tcPr>
            <w:tcW w:w="3753" w:type="pct"/>
            <w:tcBorders>
              <w:top w:val="single" w:color="auto" w:sz="4" w:space="0"/>
              <w:left w:val="single" w:color="auto" w:sz="4" w:space="0"/>
              <w:bottom w:val="single" w:color="auto" w:sz="4" w:space="0"/>
            </w:tcBorders>
            <w:shd w:val="clear" w:color="auto" w:fill="auto"/>
            <w:vAlign w:val="center"/>
          </w:tcPr>
          <w:p w14:paraId="18A7C0C6">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3.1</w:t>
            </w:r>
            <w:r>
              <w:rPr>
                <w:rFonts w:hint="default" w:ascii="Times New Roman" w:hAnsi="Times New Roman" w:cs="Times New Roman"/>
                <w:color w:val="auto"/>
                <w:sz w:val="21"/>
                <w:szCs w:val="21"/>
                <w:highlight w:val="none"/>
              </w:rPr>
              <w:t>根据技术机构业务受理的预约单信息，对预约单器具按照业务流程、器具二级目录、时间范围进行统计，需要体现机构当前未受理数量、已受理数量、未完成数量和已完成数量以及二级目录分布情况</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实现自定义查询统计功能</w:t>
            </w:r>
            <w:r>
              <w:rPr>
                <w:rFonts w:hint="default" w:ascii="Times New Roman" w:hAnsi="Times New Roman" w:cs="Times New Roman"/>
                <w:color w:val="auto"/>
                <w:sz w:val="21"/>
                <w:szCs w:val="21"/>
                <w:highlight w:val="none"/>
              </w:rPr>
              <w:t>。</w:t>
            </w:r>
          </w:p>
        </w:tc>
      </w:tr>
      <w:tr w14:paraId="3C5511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6" w:hRule="atLeast"/>
        </w:trPr>
        <w:tc>
          <w:tcPr>
            <w:tcW w:w="623" w:type="pct"/>
            <w:vMerge w:val="continue"/>
            <w:tcBorders>
              <w:right w:val="single" w:color="000000" w:sz="4" w:space="0"/>
            </w:tcBorders>
            <w:vAlign w:val="center"/>
          </w:tcPr>
          <w:p w14:paraId="2AED0BF1">
            <w:pPr>
              <w:widowControl/>
              <w:jc w:val="left"/>
              <w:rPr>
                <w:rFonts w:hint="default" w:ascii="Times New Roman" w:hAnsi="Times New Roman" w:cs="Times New Roman"/>
                <w:color w:val="auto"/>
                <w:kern w:val="0"/>
                <w:sz w:val="21"/>
                <w:szCs w:val="21"/>
                <w:highlight w:val="none"/>
              </w:rPr>
            </w:pPr>
          </w:p>
        </w:tc>
        <w:tc>
          <w:tcPr>
            <w:tcW w:w="623" w:type="pct"/>
            <w:tcBorders>
              <w:top w:val="single" w:color="000000" w:sz="4" w:space="0"/>
              <w:left w:val="single" w:color="000000" w:sz="4" w:space="0"/>
              <w:bottom w:val="single" w:color="000000" w:sz="4" w:space="0"/>
              <w:right w:val="single" w:color="auto" w:sz="4" w:space="0"/>
            </w:tcBorders>
            <w:shd w:val="clear" w:color="auto" w:fill="auto"/>
            <w:vAlign w:val="center"/>
          </w:tcPr>
          <w:p w14:paraId="3E4AAE5E">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计量器具情况统计模块</w:t>
            </w:r>
          </w:p>
        </w:tc>
        <w:tc>
          <w:tcPr>
            <w:tcW w:w="3753" w:type="pct"/>
            <w:tcBorders>
              <w:top w:val="single" w:color="auto" w:sz="4" w:space="0"/>
              <w:left w:val="single" w:color="auto" w:sz="4" w:space="0"/>
              <w:bottom w:val="single" w:color="auto" w:sz="4" w:space="0"/>
            </w:tcBorders>
            <w:shd w:val="clear" w:color="auto" w:fill="auto"/>
            <w:vAlign w:val="center"/>
          </w:tcPr>
          <w:p w14:paraId="6D59FAF6">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4.1</w:t>
            </w:r>
            <w:r>
              <w:rPr>
                <w:rFonts w:hint="default" w:ascii="Times New Roman" w:hAnsi="Times New Roman" w:cs="Times New Roman"/>
                <w:color w:val="auto"/>
                <w:sz w:val="21"/>
                <w:szCs w:val="21"/>
                <w:highlight w:val="none"/>
              </w:rPr>
              <w:t>按照计量器具的安装使用地的行政区域、使用状态进行数量和受检率的统计，需要体现辖区内所有地州的器具情况，如：在用器具数、停用器具数、报废器具数、新增器具数和受检率。</w:t>
            </w:r>
          </w:p>
        </w:tc>
      </w:tr>
      <w:tr w14:paraId="00BDA2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6" w:hRule="atLeast"/>
        </w:trPr>
        <w:tc>
          <w:tcPr>
            <w:tcW w:w="623" w:type="pct"/>
            <w:vMerge w:val="continue"/>
            <w:tcBorders>
              <w:right w:val="single" w:color="000000" w:sz="4" w:space="0"/>
            </w:tcBorders>
            <w:vAlign w:val="center"/>
          </w:tcPr>
          <w:p w14:paraId="3723BF8A">
            <w:pPr>
              <w:widowControl/>
              <w:jc w:val="left"/>
              <w:rPr>
                <w:rFonts w:hint="default" w:ascii="Times New Roman" w:hAnsi="Times New Roman" w:cs="Times New Roman"/>
                <w:color w:val="auto"/>
                <w:kern w:val="0"/>
                <w:sz w:val="21"/>
                <w:szCs w:val="21"/>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BFD6">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企业器具情况查询模块</w:t>
            </w:r>
          </w:p>
        </w:tc>
        <w:tc>
          <w:tcPr>
            <w:tcW w:w="3753" w:type="pct"/>
            <w:tcBorders>
              <w:top w:val="single" w:color="auto" w:sz="4" w:space="0"/>
              <w:left w:val="single" w:color="000000" w:sz="4" w:space="0"/>
              <w:bottom w:val="single" w:color="000000" w:sz="4" w:space="0"/>
            </w:tcBorders>
            <w:shd w:val="clear" w:color="auto" w:fill="auto"/>
            <w:vAlign w:val="center"/>
          </w:tcPr>
          <w:p w14:paraId="0C1FFFBC">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5.1</w:t>
            </w:r>
            <w:r>
              <w:rPr>
                <w:rFonts w:hint="default" w:ascii="Times New Roman" w:hAnsi="Times New Roman" w:cs="Times New Roman"/>
                <w:color w:val="auto"/>
                <w:sz w:val="21"/>
                <w:szCs w:val="21"/>
                <w:highlight w:val="none"/>
              </w:rPr>
              <w:t>根据器具的一级和二级目录、企业所属领域、器具名称以及行政主管部门等条件，统计辖区内各州市、各区县对应的使用单位数量及器具数量。对于器具的统计需区分在用器具数量、停用器具数量、报废器具数量、新增器具数量、总数以及警示数量这几个类别分别进行。</w:t>
            </w:r>
          </w:p>
        </w:tc>
      </w:tr>
      <w:tr w14:paraId="1B6E3E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6" w:hRule="atLeast"/>
        </w:trPr>
        <w:tc>
          <w:tcPr>
            <w:tcW w:w="623" w:type="pct"/>
            <w:vMerge w:val="continue"/>
            <w:tcBorders>
              <w:right w:val="single" w:color="000000" w:sz="4" w:space="0"/>
            </w:tcBorders>
            <w:vAlign w:val="center"/>
          </w:tcPr>
          <w:p w14:paraId="0A2E8F71">
            <w:pPr>
              <w:widowControl/>
              <w:jc w:val="left"/>
              <w:rPr>
                <w:rFonts w:hint="default" w:ascii="Times New Roman" w:hAnsi="Times New Roman" w:cs="Times New Roman"/>
                <w:color w:val="auto"/>
                <w:kern w:val="0"/>
                <w:sz w:val="21"/>
                <w:szCs w:val="21"/>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8998">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自定义统计查询模块</w:t>
            </w:r>
          </w:p>
        </w:tc>
        <w:tc>
          <w:tcPr>
            <w:tcW w:w="3753" w:type="pct"/>
            <w:tcBorders>
              <w:top w:val="single" w:color="auto" w:sz="4" w:space="0"/>
              <w:left w:val="single" w:color="000000" w:sz="4" w:space="0"/>
              <w:bottom w:val="single" w:color="000000" w:sz="4" w:space="0"/>
            </w:tcBorders>
            <w:shd w:val="clear" w:color="auto" w:fill="auto"/>
            <w:vAlign w:val="center"/>
          </w:tcPr>
          <w:p w14:paraId="275BE5C6">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6.1</w:t>
            </w:r>
            <w:r>
              <w:rPr>
                <w:rFonts w:hint="default" w:ascii="Times New Roman" w:hAnsi="Times New Roman" w:cs="Times New Roman"/>
                <w:color w:val="auto"/>
                <w:sz w:val="21"/>
                <w:szCs w:val="21"/>
                <w:highlight w:val="none"/>
                <w:lang w:val="en-US" w:eastAsia="zh-CN"/>
              </w:rPr>
              <w:t>本系统所有数据模块均可根据用户要求自定义统计查询功能</w:t>
            </w:r>
          </w:p>
        </w:tc>
      </w:tr>
      <w:tr w14:paraId="6321FF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2" w:hRule="atLeast"/>
        </w:trPr>
        <w:tc>
          <w:tcPr>
            <w:tcW w:w="623" w:type="pct"/>
            <w:vMerge w:val="continue"/>
            <w:tcBorders>
              <w:right w:val="single" w:color="000000" w:sz="4" w:space="0"/>
            </w:tcBorders>
            <w:vAlign w:val="center"/>
          </w:tcPr>
          <w:p w14:paraId="035D073B">
            <w:pPr>
              <w:widowControl/>
              <w:jc w:val="left"/>
              <w:rPr>
                <w:rFonts w:hint="default" w:ascii="Times New Roman" w:hAnsi="Times New Roman" w:cs="Times New Roman"/>
                <w:color w:val="auto"/>
                <w:kern w:val="0"/>
                <w:sz w:val="21"/>
                <w:szCs w:val="21"/>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CC1A">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批量制证模块</w:t>
            </w:r>
          </w:p>
        </w:tc>
        <w:tc>
          <w:tcPr>
            <w:tcW w:w="3753" w:type="pct"/>
            <w:tcBorders>
              <w:top w:val="single" w:color="000000" w:sz="4" w:space="0"/>
              <w:left w:val="single" w:color="000000" w:sz="4" w:space="0"/>
              <w:bottom w:val="single" w:color="000000" w:sz="4" w:space="0"/>
            </w:tcBorders>
            <w:shd w:val="clear" w:color="auto" w:fill="auto"/>
            <w:vAlign w:val="center"/>
          </w:tcPr>
          <w:p w14:paraId="5B98A55C">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7</w:t>
            </w:r>
            <w:r>
              <w:rPr>
                <w:rFonts w:hint="default" w:ascii="Times New Roman" w:hAnsi="Times New Roman" w:cs="Times New Roman"/>
                <w:color w:val="auto"/>
                <w:sz w:val="21"/>
                <w:szCs w:val="21"/>
                <w:highlight w:val="none"/>
              </w:rPr>
              <w:t>.1检定员发起批量制证申请</w:t>
            </w:r>
          </w:p>
          <w:p w14:paraId="14E70F46">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机构的检定员可以对待拟证的检测单进行批量选择，最多可选100件，填写相关信息后提交批量制证申请，信息包括委托单号、样品名称、样品条码、二级目录、规格型号、送检日期、拟取日期、检测类型、证书单位、申请原因。</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lang w:val="en"/>
              </w:rPr>
              <w:t>7</w:t>
            </w:r>
            <w:r>
              <w:rPr>
                <w:rFonts w:hint="default" w:ascii="Times New Roman" w:hAnsi="Times New Roman" w:cs="Times New Roman"/>
                <w:color w:val="auto"/>
                <w:sz w:val="21"/>
                <w:szCs w:val="21"/>
                <w:highlight w:val="none"/>
              </w:rPr>
              <w:t>.2批量制证申请列表</w:t>
            </w:r>
          </w:p>
          <w:p w14:paraId="7E61EDC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可以查看本机构所有的申请记录、详情信息，列表信息包括申请人、申请时间、审核人、审核状态、办理状态、申请说明、审核说明、审核时间，详情信息包括审核结果、审核说明、证书单位、样品条码、样品名称、二级目录、规格型号、出厂编号、送检日期、拟取日期、检测类型、委托单号。</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lang w:val="en"/>
              </w:rPr>
              <w:t>7</w:t>
            </w:r>
            <w:r>
              <w:rPr>
                <w:rFonts w:hint="default" w:ascii="Times New Roman" w:hAnsi="Times New Roman" w:cs="Times New Roman"/>
                <w:color w:val="auto"/>
                <w:sz w:val="21"/>
                <w:szCs w:val="21"/>
                <w:highlight w:val="none"/>
              </w:rPr>
              <w:t>.3批量制证申请审核</w:t>
            </w:r>
          </w:p>
          <w:p w14:paraId="16C6CC9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机构具有审核权限的人员可以进行审核，审核人员对申请内容进行确认，确保无误后通过审核，审核通过和不通过需要填写审核说明。审核信息包括申请人、申请时间、证书单位、样品条码、样品名称、二级目录、规格型号、出厂编号、送检日期、拟取日期、检测类型、委托单号。</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lang w:val="en"/>
              </w:rPr>
              <w:t>7</w:t>
            </w:r>
            <w:r>
              <w:rPr>
                <w:rFonts w:hint="default" w:ascii="Times New Roman" w:hAnsi="Times New Roman" w:cs="Times New Roman"/>
                <w:color w:val="auto"/>
                <w:sz w:val="21"/>
                <w:szCs w:val="21"/>
                <w:highlight w:val="none"/>
              </w:rPr>
              <w:t>.4我的批量制证申请</w:t>
            </w:r>
          </w:p>
          <w:p w14:paraId="3DDFF2E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检定员可以查看自己的所有申请记录、详情查看、制证功能，列表信息包括申请人、申请时间、审核人、审核状态、办理状态、申请说明、审核说明、审核时间，详情信息包括审核结果、审核说明、样品信息，制证时需要填写证书基本信息，包括计量标准、标准器、规程规范、授权证书、是否合格、结论、是否首检、证书模板、证书单位、实验室地点、实验室温度、实验室相对湿度、检定日期、有效期至、发布日期、证书编号。</w:t>
            </w:r>
          </w:p>
        </w:tc>
      </w:tr>
      <w:tr w14:paraId="508ACE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2" w:hRule="atLeast"/>
        </w:trPr>
        <w:tc>
          <w:tcPr>
            <w:tcW w:w="623" w:type="pct"/>
            <w:vMerge w:val="continue"/>
            <w:tcBorders>
              <w:right w:val="single" w:color="000000" w:sz="4" w:space="0"/>
            </w:tcBorders>
            <w:vAlign w:val="center"/>
          </w:tcPr>
          <w:p w14:paraId="3AAB4315">
            <w:pPr>
              <w:widowControl/>
              <w:jc w:val="left"/>
              <w:rPr>
                <w:rFonts w:hint="default" w:ascii="Times New Roman" w:hAnsi="Times New Roman" w:cs="Times New Roman"/>
                <w:color w:val="auto"/>
                <w:kern w:val="0"/>
                <w:sz w:val="21"/>
                <w:szCs w:val="21"/>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FB8D">
            <w:pPr>
              <w:widowControl/>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器具批量绑定证书</w:t>
            </w:r>
          </w:p>
        </w:tc>
        <w:tc>
          <w:tcPr>
            <w:tcW w:w="3753" w:type="pct"/>
            <w:tcBorders>
              <w:top w:val="single" w:color="000000" w:sz="4" w:space="0"/>
              <w:left w:val="single" w:color="000000" w:sz="4" w:space="0"/>
              <w:bottom w:val="single" w:color="000000" w:sz="4" w:space="0"/>
            </w:tcBorders>
            <w:shd w:val="clear" w:color="auto" w:fill="auto"/>
            <w:vAlign w:val="center"/>
          </w:tcPr>
          <w:p w14:paraId="391737CC">
            <w:pPr>
              <w:widowControl/>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 w:eastAsia="zh-CN"/>
              </w:rPr>
              <w:t>8.1</w:t>
            </w:r>
            <w:r>
              <w:rPr>
                <w:rFonts w:hint="default" w:ascii="Times New Roman" w:hAnsi="Times New Roman" w:eastAsia="宋体" w:cs="Times New Roman"/>
                <w:color w:val="auto"/>
                <w:kern w:val="0"/>
                <w:sz w:val="21"/>
                <w:szCs w:val="21"/>
                <w:highlight w:val="none"/>
                <w:lang w:eastAsia="zh-CN"/>
              </w:rPr>
              <w:t>企业可以选择多个新增的器具信息，批量添加到待处理列表中，列表中包括器具名称、出厂编号、型号/规格、制造厂商、一级目录、二级目录、器具用途、器具状态、证书编号、证书有效期至等。随后，填写检定机构、证书编号、检定结果、证书有效期及上传证书附件等信息。</w:t>
            </w:r>
          </w:p>
        </w:tc>
      </w:tr>
      <w:tr w14:paraId="67617D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2" w:hRule="atLeast"/>
        </w:trPr>
        <w:tc>
          <w:tcPr>
            <w:tcW w:w="623" w:type="pct"/>
            <w:vMerge w:val="continue"/>
            <w:tcBorders>
              <w:right w:val="single" w:color="000000" w:sz="4" w:space="0"/>
            </w:tcBorders>
            <w:vAlign w:val="center"/>
          </w:tcPr>
          <w:p w14:paraId="681419BB">
            <w:pPr>
              <w:widowControl/>
              <w:jc w:val="left"/>
              <w:rPr>
                <w:rFonts w:hint="default" w:ascii="Times New Roman" w:hAnsi="Times New Roman" w:cs="Times New Roman"/>
                <w:color w:val="auto"/>
                <w:kern w:val="0"/>
                <w:sz w:val="21"/>
                <w:szCs w:val="21"/>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C0C4">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地方计量技术规范管理模块</w:t>
            </w:r>
          </w:p>
        </w:tc>
        <w:tc>
          <w:tcPr>
            <w:tcW w:w="3753" w:type="pct"/>
            <w:tcBorders>
              <w:top w:val="single" w:color="000000" w:sz="4" w:space="0"/>
              <w:left w:val="single" w:color="000000" w:sz="4" w:space="0"/>
              <w:bottom w:val="single" w:color="000000" w:sz="4" w:space="0"/>
            </w:tcBorders>
            <w:shd w:val="clear" w:color="auto" w:fill="auto"/>
            <w:vAlign w:val="center"/>
          </w:tcPr>
          <w:p w14:paraId="49D5B4F7">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 w:eastAsia="zh-CN"/>
              </w:rPr>
              <w:t>9.1</w:t>
            </w:r>
            <w:r>
              <w:rPr>
                <w:rFonts w:hint="default" w:ascii="Times New Roman" w:hAnsi="Times New Roman" w:eastAsia="宋体" w:cs="Times New Roman"/>
                <w:color w:val="auto"/>
                <w:kern w:val="0"/>
                <w:sz w:val="21"/>
                <w:szCs w:val="21"/>
                <w:highlight w:val="none"/>
                <w:lang w:val="en-US" w:eastAsia="zh-CN"/>
              </w:rPr>
              <w:t>通过开发自治区地方计量技术规范管理模块，实现自治区地方计量技术规范申请、评审、立项、起草、审定、报批与发布、修订与废止、归档等线上流程，进一步提高自治区地方计量技术规范制（修）订工作的信息化、制度化、规范化管理水平。</w:t>
            </w:r>
          </w:p>
        </w:tc>
      </w:tr>
      <w:tr w14:paraId="7FC7D5E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2" w:hRule="atLeast"/>
        </w:trPr>
        <w:tc>
          <w:tcPr>
            <w:tcW w:w="623" w:type="pct"/>
            <w:vMerge w:val="continue"/>
            <w:tcBorders>
              <w:right w:val="single" w:color="000000" w:sz="4" w:space="0"/>
            </w:tcBorders>
            <w:vAlign w:val="center"/>
          </w:tcPr>
          <w:p w14:paraId="5F764F0A">
            <w:pPr>
              <w:widowControl/>
              <w:jc w:val="left"/>
              <w:rPr>
                <w:rFonts w:hint="default" w:ascii="Times New Roman" w:hAnsi="Times New Roman" w:cs="Times New Roman"/>
                <w:color w:val="auto"/>
                <w:kern w:val="0"/>
                <w:sz w:val="21"/>
                <w:szCs w:val="21"/>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98D6">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智能燃气表、水表在线监管对接功能</w:t>
            </w:r>
          </w:p>
        </w:tc>
        <w:tc>
          <w:tcPr>
            <w:tcW w:w="3753" w:type="pct"/>
            <w:tcBorders>
              <w:top w:val="single" w:color="000000" w:sz="4" w:space="0"/>
              <w:left w:val="single" w:color="000000" w:sz="4" w:space="0"/>
              <w:bottom w:val="single" w:color="000000" w:sz="4" w:space="0"/>
            </w:tcBorders>
            <w:shd w:val="clear" w:color="auto" w:fill="auto"/>
            <w:vAlign w:val="center"/>
          </w:tcPr>
          <w:p w14:paraId="10FF9A16">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10</w:t>
            </w:r>
            <w:r>
              <w:rPr>
                <w:rFonts w:hint="default" w:ascii="Times New Roman" w:hAnsi="Times New Roman" w:cs="Times New Roman"/>
                <w:color w:val="auto"/>
                <w:sz w:val="21"/>
                <w:szCs w:val="21"/>
                <w:highlight w:val="none"/>
                <w:lang w:val="en-US" w:eastAsia="zh-CN"/>
              </w:rPr>
              <w:t>.1本功能旨在实现“新疆计量智慧管理系统”与全疆各计量技术机构各类智能计量设备的标准化、规范化对接，打通各设备异构性带来的差异性问题，实现水表和燃气表等计量业务全流程自动化、数字化管控，保障数据真实、完整、安全；具体需构建统一的设备数据通信中台，明确接口适配规则、统一数据交换格式与通信协议，支持不同厂商、不同型号智能计量设备兼容接入，确保对接规范兼容，最终通过加密与身份认证机制将证书及数据回传至智慧管理系统各端。</w:t>
            </w:r>
          </w:p>
          <w:p w14:paraId="1A218E2F">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10</w:t>
            </w:r>
            <w:r>
              <w:rPr>
                <w:rFonts w:hint="default" w:ascii="Times New Roman" w:hAnsi="Times New Roman" w:cs="Times New Roman"/>
                <w:color w:val="auto"/>
                <w:sz w:val="21"/>
                <w:szCs w:val="21"/>
                <w:highlight w:val="none"/>
                <w:lang w:val="en-US" w:eastAsia="zh-CN"/>
              </w:rPr>
              <w:t>.2为强化民生计量器具监管，开发“智能燃气表、水表在线监管对接功能”，实现智能燃气表、智能水表精准监管。该功能通过标准化接口对接燃气公司、水务公司智能表具系统，采集表具运行状态、计量数据等核心信息；为监管部门提供可视化平台，支持数据查询统计与合规校验，对超差、故障、逾期等异常实时预警；留存表具全生命周期数据，支持溯源核查与整改跟踪，保障数据安全合规。</w:t>
            </w:r>
          </w:p>
          <w:p w14:paraId="227E0EFD">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eastAsia="zh-CN"/>
              </w:rPr>
              <w:t>10</w:t>
            </w:r>
            <w:r>
              <w:rPr>
                <w:rFonts w:hint="default" w:ascii="Times New Roman" w:hAnsi="Times New Roman" w:cs="Times New Roman"/>
                <w:color w:val="auto"/>
                <w:sz w:val="21"/>
                <w:szCs w:val="21"/>
                <w:highlight w:val="none"/>
                <w:lang w:val="en-US" w:eastAsia="zh-CN"/>
              </w:rPr>
              <w:t>.3优化智能电表检定周期调整模块，实现定时共享全量电表数据功能。（功能已实现，待调研评估）</w:t>
            </w:r>
          </w:p>
        </w:tc>
      </w:tr>
      <w:tr w14:paraId="357DFF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2" w:hRule="atLeast"/>
        </w:trPr>
        <w:tc>
          <w:tcPr>
            <w:tcW w:w="623" w:type="pct"/>
            <w:tcBorders>
              <w:right w:val="single" w:color="000000" w:sz="4" w:space="0"/>
            </w:tcBorders>
            <w:vAlign w:val="center"/>
          </w:tcPr>
          <w:p w14:paraId="58285A50">
            <w:pPr>
              <w:widowControl/>
              <w:jc w:val="left"/>
              <w:rPr>
                <w:rFonts w:hint="default" w:ascii="Times New Roman" w:hAnsi="Times New Roman" w:cs="Times New Roman"/>
                <w:color w:val="auto"/>
                <w:kern w:val="0"/>
                <w:sz w:val="21"/>
                <w:szCs w:val="21"/>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0392">
            <w:pPr>
              <w:widowControl/>
              <w:jc w:val="left"/>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证书在线编辑组件需升级</w:t>
            </w:r>
          </w:p>
        </w:tc>
        <w:tc>
          <w:tcPr>
            <w:tcW w:w="3753" w:type="pct"/>
            <w:tcBorders>
              <w:top w:val="single" w:color="000000" w:sz="4" w:space="0"/>
              <w:left w:val="single" w:color="000000" w:sz="4" w:space="0"/>
              <w:bottom w:val="single" w:color="000000" w:sz="4" w:space="0"/>
            </w:tcBorders>
            <w:shd w:val="clear" w:color="auto" w:fill="auto"/>
            <w:vAlign w:val="center"/>
          </w:tcPr>
          <w:p w14:paraId="7FA4A7E0">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11.1</w:t>
            </w:r>
            <w:r>
              <w:rPr>
                <w:rFonts w:hint="default" w:ascii="Times New Roman" w:hAnsi="Times New Roman" w:cs="Times New Roman"/>
                <w:color w:val="auto"/>
                <w:sz w:val="21"/>
                <w:szCs w:val="21"/>
                <w:highlight w:val="none"/>
                <w:lang w:val="en-US" w:eastAsia="zh-CN"/>
              </w:rPr>
              <w:t>在目前计量智慧管理系统中，证书在线编辑组件仅适配Windows系统，因终端国产化普及已无法满足使用需求，需升级组件。升级后需民时支持Windows系列及麒麟V10、统信UOS等国产操作系统，兼容各类主流芯片架构，保障证书在线编辑，与现有业务系统兼容，实现双系统平滑切换，解决国产化设备兼容问题，适配国产化发展战略，确保系统稳定运行。</w:t>
            </w:r>
          </w:p>
        </w:tc>
      </w:tr>
      <w:tr w14:paraId="1BCB5C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2" w:hRule="atLeast"/>
        </w:trPr>
        <w:tc>
          <w:tcPr>
            <w:tcW w:w="623" w:type="pct"/>
            <w:tcBorders>
              <w:right w:val="single" w:color="000000" w:sz="4" w:space="0"/>
            </w:tcBorders>
            <w:vAlign w:val="center"/>
          </w:tcPr>
          <w:p w14:paraId="52B366C7">
            <w:pPr>
              <w:widowControl/>
              <w:ind w:firstLine="420" w:firstLineChars="200"/>
              <w:jc w:val="left"/>
              <w:rPr>
                <w:rFonts w:hint="default" w:ascii="Times New Roman" w:hAnsi="Times New Roman" w:eastAsia="宋体" w:cs="Times New Roman"/>
                <w:color w:val="auto"/>
                <w:kern w:val="0"/>
                <w:sz w:val="21"/>
                <w:szCs w:val="21"/>
                <w:highlight w:val="none"/>
                <w:lang w:eastAsia="zh-CN"/>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C607">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eastAsia="zh-CN"/>
              </w:rPr>
              <w:t>配合完成触发式监管数据推送工作</w:t>
            </w:r>
          </w:p>
        </w:tc>
        <w:tc>
          <w:tcPr>
            <w:tcW w:w="3753" w:type="pct"/>
            <w:tcBorders>
              <w:top w:val="single" w:color="000000" w:sz="4" w:space="0"/>
              <w:left w:val="single" w:color="000000" w:sz="4" w:space="0"/>
              <w:bottom w:val="single" w:color="000000" w:sz="4" w:space="0"/>
            </w:tcBorders>
            <w:shd w:val="clear" w:color="auto" w:fill="auto"/>
            <w:vAlign w:val="center"/>
          </w:tcPr>
          <w:p w14:paraId="6E4B0D72">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 w:eastAsia="zh-CN"/>
              </w:rPr>
              <w:t>12.1</w:t>
            </w:r>
            <w:r>
              <w:rPr>
                <w:rFonts w:hint="default" w:ascii="Times New Roman" w:hAnsi="Times New Roman" w:eastAsia="宋体" w:cs="Times New Roman"/>
                <w:color w:val="auto"/>
                <w:kern w:val="0"/>
                <w:sz w:val="21"/>
                <w:szCs w:val="21"/>
                <w:highlight w:val="none"/>
                <w:lang w:eastAsia="zh-CN"/>
              </w:rPr>
              <w:t>根据相关业务处室的数据要求定时推送数据，实现触发式监管功能。</w:t>
            </w:r>
          </w:p>
        </w:tc>
      </w:tr>
      <w:tr w14:paraId="258EE5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2" w:hRule="atLeast"/>
        </w:trPr>
        <w:tc>
          <w:tcPr>
            <w:tcW w:w="1038" w:type="dxa"/>
            <w:tcBorders>
              <w:right w:val="single" w:color="000000" w:sz="4" w:space="0"/>
            </w:tcBorders>
            <w:vAlign w:val="center"/>
          </w:tcPr>
          <w:p w14:paraId="27E840FC">
            <w:pPr>
              <w:widowControl/>
              <w:jc w:val="left"/>
              <w:rPr>
                <w:rFonts w:hint="default" w:ascii="Times New Roman" w:hAnsi="Times New Roman" w:cs="Times New Roman"/>
                <w:color w:val="auto"/>
                <w:kern w:val="0"/>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13FA">
            <w:pPr>
              <w:widowControl/>
              <w:jc w:val="left"/>
              <w:rPr>
                <w:rFonts w:hint="default" w:ascii="Times New Roman" w:hAnsi="Times New Roman" w:cs="Times New Roman"/>
                <w:highlight w:val="none"/>
              </w:rPr>
            </w:pPr>
            <w:r>
              <w:rPr>
                <w:rFonts w:hint="default" w:ascii="Times New Roman" w:hAnsi="Times New Roman" w:cs="Times New Roman"/>
                <w:color w:val="auto"/>
                <w:kern w:val="0"/>
                <w:sz w:val="21"/>
                <w:szCs w:val="21"/>
                <w:highlight w:val="none"/>
                <w:lang w:eastAsia="zh-CN"/>
              </w:rPr>
              <w:t>“扫码入企”相关配合工作</w:t>
            </w:r>
          </w:p>
        </w:tc>
        <w:tc>
          <w:tcPr>
            <w:tcW w:w="6258" w:type="dxa"/>
            <w:tcBorders>
              <w:top w:val="single" w:color="000000" w:sz="4" w:space="0"/>
              <w:left w:val="single" w:color="000000" w:sz="4" w:space="0"/>
              <w:bottom w:val="single" w:color="000000" w:sz="4" w:space="0"/>
            </w:tcBorders>
            <w:shd w:val="clear" w:color="auto" w:fill="auto"/>
            <w:vAlign w:val="center"/>
          </w:tcPr>
          <w:p w14:paraId="53B1F10B">
            <w:pPr>
              <w:widowControl/>
              <w:jc w:val="left"/>
              <w:rPr>
                <w:rFonts w:hint="default" w:ascii="Times New Roman" w:hAnsi="Times New Roman" w:cs="Times New Roman"/>
                <w:highlight w:val="none"/>
              </w:rPr>
            </w:pPr>
            <w:r>
              <w:rPr>
                <w:rFonts w:hint="default" w:ascii="Times New Roman" w:hAnsi="Times New Roman" w:cs="Times New Roman"/>
                <w:color w:val="auto"/>
                <w:kern w:val="0"/>
                <w:sz w:val="21"/>
                <w:szCs w:val="21"/>
                <w:highlight w:val="none"/>
                <w:lang w:val="en" w:eastAsia="zh-CN"/>
              </w:rPr>
              <w:t>13.1</w:t>
            </w:r>
            <w:r>
              <w:rPr>
                <w:rFonts w:hint="default" w:ascii="Times New Roman" w:hAnsi="Times New Roman" w:cs="Times New Roman"/>
                <w:color w:val="auto"/>
                <w:kern w:val="0"/>
                <w:sz w:val="21"/>
                <w:szCs w:val="21"/>
                <w:highlight w:val="none"/>
                <w:lang w:val="en-US" w:eastAsia="zh-CN"/>
              </w:rPr>
              <w:t>按数字化发展局明确的贯通业务系统和技术标准要求，</w:t>
            </w:r>
            <w:r>
              <w:rPr>
                <w:rFonts w:hint="default" w:ascii="Times New Roman" w:hAnsi="Times New Roman" w:cs="Times New Roman"/>
                <w:color w:val="auto"/>
                <w:kern w:val="0"/>
                <w:sz w:val="21"/>
                <w:szCs w:val="21"/>
                <w:highlight w:val="none"/>
              </w:rPr>
              <w:t>做好</w:t>
            </w:r>
            <w:r>
              <w:rPr>
                <w:rFonts w:hint="default" w:ascii="Times New Roman" w:hAnsi="Times New Roman" w:cs="Times New Roman"/>
                <w:color w:val="auto"/>
                <w:kern w:val="0"/>
                <w:sz w:val="21"/>
                <w:szCs w:val="21"/>
                <w:highlight w:val="none"/>
                <w:lang w:eastAsia="zh-CN"/>
              </w:rPr>
              <w:t>与自治区“扫码入企”平台、“新企办”“新服办”的接口开发工作，实现本系统数据共享。</w:t>
            </w:r>
          </w:p>
        </w:tc>
      </w:tr>
    </w:tbl>
    <w:p w14:paraId="3B14931D">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7.新建智慧执法助手子系统</w:t>
      </w:r>
    </w:p>
    <w:tbl>
      <w:tblPr>
        <w:tblStyle w:val="41"/>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075"/>
        <w:gridCol w:w="6251"/>
      </w:tblGrid>
      <w:tr w14:paraId="7CD6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13" w:type="dxa"/>
            <w:vAlign w:val="center"/>
          </w:tcPr>
          <w:p w14:paraId="4EB132F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系统名称</w:t>
            </w:r>
          </w:p>
        </w:tc>
        <w:tc>
          <w:tcPr>
            <w:tcW w:w="1129" w:type="dxa"/>
            <w:vAlign w:val="center"/>
          </w:tcPr>
          <w:p w14:paraId="25053D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模块名称</w:t>
            </w:r>
          </w:p>
        </w:tc>
        <w:tc>
          <w:tcPr>
            <w:tcW w:w="6758" w:type="dxa"/>
            <w:vAlign w:val="center"/>
          </w:tcPr>
          <w:p w14:paraId="567D7C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规格参数</w:t>
            </w:r>
          </w:p>
        </w:tc>
      </w:tr>
      <w:tr w14:paraId="24B6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restart"/>
            <w:vAlign w:val="center"/>
          </w:tcPr>
          <w:p w14:paraId="6629E88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492" w:name="_Toc29138"/>
            <w:r>
              <w:rPr>
                <w:rFonts w:hint="default" w:ascii="Times New Roman" w:hAnsi="Times New Roman" w:eastAsia="宋体" w:cs="Times New Roman"/>
                <w:b w:val="0"/>
                <w:bCs/>
                <w:color w:val="auto"/>
                <w:sz w:val="21"/>
                <w:szCs w:val="21"/>
                <w:highlight w:val="none"/>
                <w:lang w:val="en-US" w:eastAsia="zh-CN"/>
              </w:rPr>
              <w:t>构建典型案例知识库</w:t>
            </w:r>
            <w:bookmarkEnd w:id="492"/>
          </w:p>
          <w:p w14:paraId="170DFC5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29" w:type="dxa"/>
            <w:vAlign w:val="center"/>
          </w:tcPr>
          <w:p w14:paraId="3B76A22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493" w:name="_Toc29155"/>
            <w:r>
              <w:rPr>
                <w:rFonts w:hint="default" w:ascii="Times New Roman" w:hAnsi="Times New Roman" w:eastAsia="宋体" w:cs="Times New Roman"/>
                <w:b w:val="0"/>
                <w:bCs/>
                <w:color w:val="auto"/>
                <w:sz w:val="21"/>
                <w:szCs w:val="21"/>
                <w:highlight w:val="none"/>
                <w:lang w:val="en-US" w:eastAsia="zh-CN"/>
              </w:rPr>
              <w:t>典型案例整理</w:t>
            </w:r>
            <w:bookmarkEnd w:id="493"/>
          </w:p>
        </w:tc>
        <w:tc>
          <w:tcPr>
            <w:tcW w:w="6758" w:type="dxa"/>
            <w:vAlign w:val="center"/>
          </w:tcPr>
          <w:p w14:paraId="74D4C054">
            <w:pPr>
              <w:pStyle w:val="37"/>
              <w:keepNext w:val="0"/>
              <w:keepLines w:val="0"/>
              <w:widowControl/>
              <w:suppressLineNumbers w:val="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lang w:val="en"/>
              </w:rPr>
              <w:t>1.</w:t>
            </w:r>
            <w:r>
              <w:rPr>
                <w:rFonts w:hint="default" w:ascii="Times New Roman" w:hAnsi="Times New Roman" w:cs="Times New Roman"/>
                <w:color w:val="auto"/>
                <w:sz w:val="21"/>
                <w:szCs w:val="21"/>
                <w:highlight w:val="none"/>
              </w:rPr>
              <w:t>系统需支持手工上传Word、PDF、TXT等常见文档格式文件及数据库ETL工具批量导入，实现文件高效接入；内置文档解析引擎，精准提取HTML、Word、PDF中的文本内容；解析后自动向量化并存储至向量数据库；同时提供多维度标签管理功能，支持自定义标签（如“法律法规”“政策解读”“典型案例”），实现基于标签的精准分类检索与快速查询。</w:t>
            </w:r>
          </w:p>
        </w:tc>
      </w:tr>
      <w:tr w14:paraId="2A6C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4075F9F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29" w:type="dxa"/>
            <w:vAlign w:val="center"/>
          </w:tcPr>
          <w:p w14:paraId="03C4FF1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494" w:name="_Toc4531"/>
            <w:r>
              <w:rPr>
                <w:rFonts w:hint="default" w:ascii="Times New Roman" w:hAnsi="Times New Roman" w:eastAsia="宋体" w:cs="Times New Roman"/>
                <w:b w:val="0"/>
                <w:bCs/>
                <w:color w:val="auto"/>
                <w:sz w:val="21"/>
                <w:szCs w:val="21"/>
                <w:highlight w:val="none"/>
                <w:lang w:val="en-US" w:eastAsia="zh-CN"/>
              </w:rPr>
              <w:t>典型案例投喂</w:t>
            </w:r>
            <w:bookmarkEnd w:id="494"/>
          </w:p>
        </w:tc>
        <w:tc>
          <w:tcPr>
            <w:tcW w:w="6758" w:type="dxa"/>
            <w:vAlign w:val="center"/>
          </w:tcPr>
          <w:p w14:paraId="657BF1DB">
            <w:pPr>
              <w:pStyle w:val="37"/>
              <w:keepNext w:val="0"/>
              <w:keepLines w:val="0"/>
              <w:widowControl/>
              <w:suppressLineNumbers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2.</w:t>
            </w:r>
            <w:r>
              <w:rPr>
                <w:rFonts w:hint="default" w:ascii="Times New Roman" w:hAnsi="Times New Roman" w:cs="Times New Roman"/>
                <w:color w:val="auto"/>
                <w:sz w:val="21"/>
                <w:szCs w:val="21"/>
                <w:highlight w:val="none"/>
                <w:lang w:val="en-US" w:eastAsia="zh-CN"/>
              </w:rPr>
              <w:t>系统需支持将审核通过的优质典型案例数据自动投喂至大模型，持续优化模型在定性裁量、文书撰写及执法建议等场景的准确性；提供意图全生命周期管理功能，支持新增、编辑、删除及批量操作，包括意图类别定义、处理方式配置、提示词模板设置及意图描述细化；同时内置意图分析测试管理模块，支持测试用例的新增、编辑、批量运行及删除，确保意图识别精准性与系统响应高效性。</w:t>
            </w:r>
          </w:p>
        </w:tc>
      </w:tr>
      <w:tr w14:paraId="1B71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25C59D8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29" w:type="dxa"/>
            <w:vAlign w:val="center"/>
          </w:tcPr>
          <w:p w14:paraId="128237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495" w:name="_Toc17126"/>
            <w:r>
              <w:rPr>
                <w:rFonts w:hint="default" w:ascii="Times New Roman" w:hAnsi="Times New Roman" w:eastAsia="宋体" w:cs="Times New Roman"/>
                <w:b w:val="0"/>
                <w:bCs/>
                <w:color w:val="auto"/>
                <w:sz w:val="21"/>
                <w:szCs w:val="21"/>
                <w:highlight w:val="none"/>
                <w:lang w:val="en-US" w:eastAsia="zh-CN"/>
              </w:rPr>
              <w:t>查询问题拆解</w:t>
            </w:r>
            <w:bookmarkEnd w:id="495"/>
          </w:p>
        </w:tc>
        <w:tc>
          <w:tcPr>
            <w:tcW w:w="6758" w:type="dxa"/>
            <w:vAlign w:val="center"/>
          </w:tcPr>
          <w:p w14:paraId="0DCCCF21">
            <w:pPr>
              <w:pStyle w:val="37"/>
              <w:keepNext w:val="0"/>
              <w:keepLines w:val="0"/>
              <w:widowControl/>
              <w:suppressLineNumbers w:val="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lang w:val="en"/>
              </w:rPr>
              <w:t>3.</w:t>
            </w:r>
            <w:r>
              <w:rPr>
                <w:rFonts w:hint="default" w:ascii="Times New Roman" w:hAnsi="Times New Roman" w:cs="Times New Roman"/>
                <w:color w:val="auto"/>
                <w:sz w:val="21"/>
                <w:szCs w:val="21"/>
                <w:highlight w:val="none"/>
              </w:rPr>
              <w:t>系统需提供完整的RAG引擎全流程处理能力，支持文件分块、向量化、意图精准识别、混合检索，并集成自然语言拆解功能；同时具备智能联网搜索触发机制，确保查询流程高效、精准且实时适应执法场景需求。</w:t>
            </w:r>
          </w:p>
        </w:tc>
      </w:tr>
      <w:tr w14:paraId="4464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vMerge w:val="continue"/>
            <w:vAlign w:val="center"/>
          </w:tcPr>
          <w:p w14:paraId="5117917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29" w:type="dxa"/>
            <w:vAlign w:val="center"/>
          </w:tcPr>
          <w:p w14:paraId="160BA5D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496" w:name="_Toc27477"/>
            <w:r>
              <w:rPr>
                <w:rFonts w:hint="default" w:ascii="Times New Roman" w:hAnsi="Times New Roman" w:eastAsia="宋体" w:cs="Times New Roman"/>
                <w:b w:val="0"/>
                <w:bCs/>
                <w:color w:val="auto"/>
                <w:sz w:val="21"/>
                <w:szCs w:val="21"/>
                <w:highlight w:val="none"/>
                <w:lang w:val="en-US" w:eastAsia="zh-CN"/>
              </w:rPr>
              <w:t>查询方式管理</w:t>
            </w:r>
            <w:bookmarkEnd w:id="496"/>
          </w:p>
        </w:tc>
        <w:tc>
          <w:tcPr>
            <w:tcW w:w="6758" w:type="dxa"/>
            <w:vAlign w:val="center"/>
          </w:tcPr>
          <w:p w14:paraId="3B0F9879">
            <w:pPr>
              <w:pStyle w:val="37"/>
              <w:keepNext w:val="0"/>
              <w:keepLines w:val="0"/>
              <w:widowControl/>
              <w:suppressLineNumbers w:val="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lang w:val="en"/>
              </w:rPr>
              <w:t>4.</w:t>
            </w:r>
            <w:r>
              <w:rPr>
                <w:rFonts w:hint="default" w:ascii="Times New Roman" w:hAnsi="Times New Roman" w:cs="Times New Roman"/>
                <w:color w:val="auto"/>
                <w:sz w:val="21"/>
                <w:szCs w:val="21"/>
                <w:highlight w:val="none"/>
              </w:rPr>
              <w:t>系统需支持为典型案例库问题动态配置三种查询方式：典型案例库查询、大模型查询，并提供查询问题全生命周期管理功能；同时集成精细化查询参数设置，包括查询前N个文档数量控制、最小相似分数阈值过滤、自定义查询为空提示；显著提升执法透明度、公信力及用户对模型响应逻辑的理解深度。</w:t>
            </w:r>
          </w:p>
        </w:tc>
      </w:tr>
      <w:tr w14:paraId="084D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restart"/>
            <w:vAlign w:val="center"/>
          </w:tcPr>
          <w:p w14:paraId="630AA61E">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bookmarkStart w:id="497" w:name="_Toc13345"/>
            <w:r>
              <w:rPr>
                <w:rFonts w:hint="default" w:ascii="Times New Roman" w:hAnsi="Times New Roman" w:cs="Times New Roman"/>
                <w:color w:val="auto"/>
                <w:sz w:val="21"/>
                <w:szCs w:val="21"/>
                <w:highlight w:val="none"/>
                <w:lang w:val="en-US" w:eastAsia="zh-CN"/>
              </w:rPr>
              <w:t>案件智能审查及预警提示</w:t>
            </w:r>
            <w:bookmarkEnd w:id="497"/>
          </w:p>
          <w:p w14:paraId="0EFD3468">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p>
          <w:p w14:paraId="4CF9363B">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p>
        </w:tc>
        <w:tc>
          <w:tcPr>
            <w:tcW w:w="1129" w:type="dxa"/>
            <w:vAlign w:val="center"/>
          </w:tcPr>
          <w:p w14:paraId="4B3E18EE">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bookmarkStart w:id="498" w:name="_Toc28901"/>
            <w:r>
              <w:rPr>
                <w:rFonts w:hint="default" w:ascii="Times New Roman" w:hAnsi="Times New Roman" w:cs="Times New Roman"/>
                <w:color w:val="auto"/>
                <w:sz w:val="21"/>
                <w:szCs w:val="21"/>
                <w:highlight w:val="none"/>
                <w:lang w:val="en-US" w:eastAsia="zh-CN"/>
              </w:rPr>
              <w:t>案件线索阶段智能审查</w:t>
            </w:r>
            <w:bookmarkEnd w:id="498"/>
          </w:p>
        </w:tc>
        <w:tc>
          <w:tcPr>
            <w:tcW w:w="6758" w:type="dxa"/>
            <w:vAlign w:val="center"/>
          </w:tcPr>
          <w:p w14:paraId="638ADD07">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5.</w:t>
            </w:r>
            <w:r>
              <w:rPr>
                <w:rFonts w:hint="default" w:ascii="Times New Roman" w:hAnsi="Times New Roman" w:cs="Times New Roman"/>
                <w:color w:val="auto"/>
                <w:sz w:val="21"/>
                <w:szCs w:val="21"/>
                <w:highlight w:val="none"/>
                <w:lang w:val="en-US" w:eastAsia="zh-CN"/>
              </w:rPr>
              <w:t>系统需支持案源线索智能审查，包括线索可信度评估（NLP分析内容一致性、交叉核验时间地点人物要素、对接政务数据库核查历史行为）、线索证据完整性检查（自动提示必备证据缺失项、分析证据链矛盾点、匹配法律法规及典型案例标准）、立不立案智能判断（推荐相关法条处罚依据、提示立案条件及案件定性等关键信息）。</w:t>
            </w:r>
          </w:p>
        </w:tc>
      </w:tr>
      <w:tr w14:paraId="0B49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3C57A564">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p>
        </w:tc>
        <w:tc>
          <w:tcPr>
            <w:tcW w:w="1129" w:type="dxa"/>
            <w:vAlign w:val="center"/>
          </w:tcPr>
          <w:p w14:paraId="175AE335">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bookmarkStart w:id="499" w:name="_Toc7382"/>
            <w:r>
              <w:rPr>
                <w:rFonts w:hint="default" w:ascii="Times New Roman" w:hAnsi="Times New Roman" w:cs="Times New Roman"/>
                <w:color w:val="auto"/>
                <w:sz w:val="21"/>
                <w:szCs w:val="21"/>
                <w:highlight w:val="none"/>
                <w:lang w:val="en-US" w:eastAsia="zh-CN"/>
              </w:rPr>
              <w:t>调查取证阶段智能审核</w:t>
            </w:r>
            <w:bookmarkEnd w:id="499"/>
          </w:p>
        </w:tc>
        <w:tc>
          <w:tcPr>
            <w:tcW w:w="6758" w:type="dxa"/>
            <w:vAlign w:val="center"/>
          </w:tcPr>
          <w:p w14:paraId="36D92781">
            <w:pPr>
              <w:pStyle w:val="37"/>
              <w:keepNext w:val="0"/>
              <w:keepLines w:val="0"/>
              <w:widowControl/>
              <w:suppressLineNumbers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sz w:val="21"/>
                <w:szCs w:val="21"/>
                <w:highlight w:val="none"/>
                <w:lang w:val="en"/>
              </w:rPr>
              <w:t>6.</w:t>
            </w:r>
            <w:r>
              <w:rPr>
                <w:rFonts w:hint="default" w:ascii="Times New Roman" w:hAnsi="Times New Roman" w:cs="Times New Roman"/>
                <w:color w:val="auto"/>
                <w:sz w:val="21"/>
                <w:szCs w:val="21"/>
                <w:highlight w:val="none"/>
              </w:rPr>
              <w:t>系统需支持调查取证智能审核，基于大模型推荐法条处罚依据，挖掘违法事实定性并生成审核意见；审核涵盖管辖权、当事人信息、事实证据充分性、定性准确性、依据适用性、程序合法性及处理适当性，重点验证调查时间线无矛盾、证据链完整、当事人信息一致、调查要素齐全。</w:t>
            </w:r>
          </w:p>
        </w:tc>
      </w:tr>
      <w:tr w14:paraId="46F5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03BC8FCF">
            <w:pPr>
              <w:pStyle w:val="18"/>
              <w:rPr>
                <w:rFonts w:hint="default" w:ascii="Times New Roman" w:hAnsi="Times New Roman" w:cs="Times New Roman"/>
                <w:color w:val="auto"/>
                <w:sz w:val="21"/>
                <w:szCs w:val="21"/>
                <w:highlight w:val="none"/>
                <w:lang w:val="en-US" w:eastAsia="zh-CN"/>
              </w:rPr>
            </w:pPr>
          </w:p>
        </w:tc>
        <w:tc>
          <w:tcPr>
            <w:tcW w:w="1129" w:type="dxa"/>
            <w:vAlign w:val="center"/>
          </w:tcPr>
          <w:p w14:paraId="0983B653">
            <w:pPr>
              <w:pStyle w:val="37"/>
              <w:keepNext w:val="0"/>
              <w:keepLines w:val="0"/>
              <w:widowControl/>
              <w:suppressLineNumbers w:val="0"/>
              <w:rPr>
                <w:rFonts w:hint="default" w:ascii="Times New Roman" w:hAnsi="Times New Roman" w:eastAsia="宋体" w:cs="Times New Roman"/>
                <w:b w:val="0"/>
                <w:bCs/>
                <w:color w:val="auto"/>
                <w:sz w:val="21"/>
                <w:szCs w:val="21"/>
                <w:highlight w:val="none"/>
                <w:lang w:val="en-US" w:eastAsia="zh-CN"/>
              </w:rPr>
            </w:pPr>
            <w:bookmarkStart w:id="500" w:name="_Toc15162"/>
            <w:r>
              <w:rPr>
                <w:rFonts w:hint="default" w:ascii="Times New Roman" w:hAnsi="Times New Roman" w:cs="Times New Roman"/>
                <w:color w:val="auto"/>
                <w:sz w:val="21"/>
                <w:szCs w:val="21"/>
                <w:highlight w:val="none"/>
                <w:lang w:val="en-US" w:eastAsia="zh-CN"/>
              </w:rPr>
              <w:t>处罚告知阶段智能审核</w:t>
            </w:r>
            <w:bookmarkEnd w:id="500"/>
          </w:p>
        </w:tc>
        <w:tc>
          <w:tcPr>
            <w:tcW w:w="6758" w:type="dxa"/>
            <w:vAlign w:val="center"/>
          </w:tcPr>
          <w:p w14:paraId="1013B57C">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rPr>
              <w:t>7.</w:t>
            </w:r>
            <w:r>
              <w:rPr>
                <w:rFonts w:hint="default" w:ascii="Times New Roman" w:hAnsi="Times New Roman" w:cs="Times New Roman"/>
                <w:color w:val="auto"/>
                <w:sz w:val="21"/>
                <w:szCs w:val="21"/>
                <w:highlight w:val="none"/>
              </w:rPr>
              <w:t>系统需支持处罚告知智能审批，基于大模型审核违法事实清晰性、裁量标准合理性及告知内容完整性。</w:t>
            </w:r>
          </w:p>
        </w:tc>
      </w:tr>
      <w:tr w14:paraId="7C1F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5DE72BA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29" w:type="dxa"/>
            <w:vAlign w:val="center"/>
          </w:tcPr>
          <w:p w14:paraId="74143207">
            <w:pPr>
              <w:pStyle w:val="37"/>
              <w:keepNext w:val="0"/>
              <w:keepLines w:val="0"/>
              <w:widowControl/>
              <w:suppressLineNumbers w:val="0"/>
              <w:rPr>
                <w:rFonts w:hint="default" w:ascii="Times New Roman" w:hAnsi="Times New Roman" w:eastAsia="宋体" w:cs="Times New Roman"/>
                <w:b w:val="0"/>
                <w:bCs/>
                <w:color w:val="auto"/>
                <w:sz w:val="21"/>
                <w:szCs w:val="21"/>
                <w:highlight w:val="none"/>
                <w:lang w:val="en-US" w:eastAsia="zh-CN"/>
              </w:rPr>
            </w:pPr>
            <w:bookmarkStart w:id="501" w:name="_Toc24215"/>
            <w:r>
              <w:rPr>
                <w:rFonts w:hint="default" w:ascii="Times New Roman" w:hAnsi="Times New Roman" w:cs="Times New Roman"/>
                <w:color w:val="auto"/>
                <w:sz w:val="21"/>
                <w:szCs w:val="21"/>
                <w:highlight w:val="none"/>
              </w:rPr>
              <w:t>陈述申辩</w:t>
            </w:r>
            <w:r>
              <w:rPr>
                <w:rFonts w:hint="default" w:ascii="Times New Roman" w:hAnsi="Times New Roman" w:cs="Times New Roman"/>
                <w:color w:val="auto"/>
                <w:sz w:val="21"/>
                <w:szCs w:val="21"/>
                <w:highlight w:val="none"/>
                <w:lang w:val="en-US" w:eastAsia="zh-CN"/>
              </w:rPr>
              <w:t>阶段智能审查</w:t>
            </w:r>
            <w:bookmarkEnd w:id="501"/>
          </w:p>
        </w:tc>
        <w:tc>
          <w:tcPr>
            <w:tcW w:w="6758" w:type="dxa"/>
            <w:vAlign w:val="center"/>
          </w:tcPr>
          <w:p w14:paraId="767D5117">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8.</w:t>
            </w:r>
            <w:r>
              <w:rPr>
                <w:rFonts w:hint="default" w:ascii="Times New Roman" w:hAnsi="Times New Roman" w:cs="Times New Roman"/>
                <w:color w:val="auto"/>
                <w:sz w:val="21"/>
                <w:szCs w:val="21"/>
                <w:highlight w:val="none"/>
                <w:lang w:val="en-US" w:eastAsia="zh-CN"/>
              </w:rPr>
              <w:t>系统需支持陈述申辩阶段智能审查，利用大模型对当事人提出的事实、理由和证据进行智能复核，判断逻辑合理性，审查是否采纳诉求，并综合生成相关意见及建议。</w:t>
            </w:r>
          </w:p>
        </w:tc>
      </w:tr>
      <w:tr w14:paraId="62AE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4B87F86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29" w:type="dxa"/>
            <w:vAlign w:val="center"/>
          </w:tcPr>
          <w:p w14:paraId="1498313A">
            <w:pPr>
              <w:pStyle w:val="37"/>
              <w:keepNext w:val="0"/>
              <w:keepLines w:val="0"/>
              <w:widowControl/>
              <w:suppressLineNumbers w:val="0"/>
              <w:rPr>
                <w:rFonts w:hint="default" w:ascii="Times New Roman" w:hAnsi="Times New Roman" w:eastAsia="宋体" w:cs="Times New Roman"/>
                <w:b w:val="0"/>
                <w:bCs/>
                <w:color w:val="auto"/>
                <w:sz w:val="21"/>
                <w:szCs w:val="21"/>
                <w:highlight w:val="none"/>
                <w:lang w:val="en-US" w:eastAsia="zh-CN"/>
              </w:rPr>
            </w:pPr>
            <w:bookmarkStart w:id="502" w:name="_Toc2387"/>
            <w:r>
              <w:rPr>
                <w:rFonts w:hint="default" w:ascii="Times New Roman" w:hAnsi="Times New Roman" w:cs="Times New Roman"/>
                <w:color w:val="auto"/>
                <w:sz w:val="21"/>
                <w:szCs w:val="21"/>
                <w:highlight w:val="none"/>
                <w:lang w:val="en-US" w:eastAsia="zh-CN"/>
              </w:rPr>
              <w:t>行政处罚决定智能签发</w:t>
            </w:r>
            <w:bookmarkEnd w:id="502"/>
          </w:p>
        </w:tc>
        <w:tc>
          <w:tcPr>
            <w:tcW w:w="6758" w:type="dxa"/>
            <w:vAlign w:val="center"/>
          </w:tcPr>
          <w:p w14:paraId="0ADBDD9E">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rPr>
              <w:t>9.</w:t>
            </w:r>
            <w:r>
              <w:rPr>
                <w:rFonts w:hint="default" w:ascii="Times New Roman" w:hAnsi="Times New Roman" w:cs="Times New Roman"/>
                <w:color w:val="auto"/>
                <w:sz w:val="21"/>
                <w:szCs w:val="21"/>
                <w:highlight w:val="none"/>
              </w:rPr>
              <w:t>系统需支持行政处罚决定智能签发，基于大模型审查案件材料，生成处罚建议并提供案件定性、违反条款、处罚依据及裁量标准关键提示，自动检测文书缺失内容；同时支持模型优化，并审核违法事实清晰性、定性准确性、法规适用性及裁量合理性。</w:t>
            </w:r>
          </w:p>
        </w:tc>
      </w:tr>
      <w:tr w14:paraId="0200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650B87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29" w:type="dxa"/>
            <w:vAlign w:val="center"/>
          </w:tcPr>
          <w:p w14:paraId="3BBC26CF">
            <w:pPr>
              <w:pStyle w:val="37"/>
              <w:keepNext w:val="0"/>
              <w:keepLines w:val="0"/>
              <w:widowControl/>
              <w:suppressLineNumbers w:val="0"/>
              <w:rPr>
                <w:rFonts w:hint="default" w:ascii="Times New Roman" w:hAnsi="Times New Roman" w:eastAsia="宋体" w:cs="Times New Roman"/>
                <w:b w:val="0"/>
                <w:bCs/>
                <w:color w:val="auto"/>
                <w:sz w:val="21"/>
                <w:szCs w:val="21"/>
                <w:highlight w:val="none"/>
                <w:lang w:val="en-US" w:eastAsia="zh-CN"/>
              </w:rPr>
            </w:pPr>
            <w:bookmarkStart w:id="503" w:name="_Toc22868"/>
            <w:r>
              <w:rPr>
                <w:rFonts w:hint="default" w:ascii="Times New Roman" w:hAnsi="Times New Roman" w:cs="Times New Roman"/>
                <w:color w:val="auto"/>
                <w:sz w:val="21"/>
                <w:szCs w:val="21"/>
                <w:highlight w:val="none"/>
                <w:lang w:val="en-US" w:eastAsia="zh-CN"/>
              </w:rPr>
              <w:t>案件结案阶段智能结案</w:t>
            </w:r>
            <w:bookmarkEnd w:id="503"/>
          </w:p>
        </w:tc>
        <w:tc>
          <w:tcPr>
            <w:tcW w:w="6758" w:type="dxa"/>
            <w:vAlign w:val="center"/>
          </w:tcPr>
          <w:p w14:paraId="62715FF0">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eastAsia="zh-CN"/>
              </w:rPr>
              <w:t>10.</w:t>
            </w:r>
            <w:r>
              <w:rPr>
                <w:rFonts w:hint="default" w:ascii="Times New Roman" w:hAnsi="Times New Roman" w:cs="Times New Roman"/>
                <w:color w:val="auto"/>
                <w:sz w:val="21"/>
                <w:szCs w:val="21"/>
                <w:highlight w:val="none"/>
                <w:lang w:val="en-US" w:eastAsia="zh-CN"/>
              </w:rPr>
              <w:t>系统需支持案件结案智能辅助，通过NLP自动分析案件材料，结合规则引擎与机器学习模型提取涉案金额、证据链完整性、当事人陈述一致性等关键要素，匹配法律条款库生成结案建议报告，经办案人员确认后一键结案。</w:t>
            </w:r>
          </w:p>
        </w:tc>
      </w:tr>
      <w:tr w14:paraId="5383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DBBE56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504" w:name="_Toc3236"/>
            <w:r>
              <w:rPr>
                <w:rFonts w:hint="default" w:ascii="Times New Roman" w:hAnsi="Times New Roman" w:eastAsia="宋体" w:cs="Times New Roman"/>
                <w:b w:val="0"/>
                <w:bCs/>
                <w:color w:val="auto"/>
                <w:sz w:val="21"/>
                <w:szCs w:val="21"/>
                <w:highlight w:val="none"/>
                <w:lang w:val="en-US" w:eastAsia="zh-CN"/>
              </w:rPr>
              <w:t>文书智能生成</w:t>
            </w:r>
            <w:bookmarkEnd w:id="504"/>
          </w:p>
        </w:tc>
        <w:tc>
          <w:tcPr>
            <w:tcW w:w="1129" w:type="dxa"/>
            <w:vAlign w:val="center"/>
          </w:tcPr>
          <w:p w14:paraId="6324DD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文书智能生成</w:t>
            </w:r>
          </w:p>
        </w:tc>
        <w:tc>
          <w:tcPr>
            <w:tcW w:w="6758" w:type="dxa"/>
            <w:vAlign w:val="center"/>
          </w:tcPr>
          <w:p w14:paraId="2B38CD9E">
            <w:pPr>
              <w:pStyle w:val="37"/>
              <w:keepNext w:val="0"/>
              <w:keepLines w:val="0"/>
              <w:widowControl/>
              <w:suppressLineNumbers w:val="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lang w:val="en"/>
              </w:rPr>
              <w:t>11.</w:t>
            </w:r>
            <w:r>
              <w:rPr>
                <w:rFonts w:hint="default" w:ascii="Times New Roman" w:hAnsi="Times New Roman" w:cs="Times New Roman"/>
                <w:color w:val="auto"/>
                <w:sz w:val="21"/>
                <w:szCs w:val="21"/>
                <w:highlight w:val="none"/>
              </w:rPr>
              <w:t>系统需支持文书智能生成，基于大模型和NLP技术自动生成标准化执法文</w:t>
            </w:r>
            <w:r>
              <w:rPr>
                <w:rFonts w:hint="default" w:ascii="Times New Roman" w:hAnsi="Times New Roman" w:cs="Times New Roman"/>
                <w:color w:val="auto"/>
                <w:sz w:val="21"/>
                <w:szCs w:val="21"/>
                <w:highlight w:val="none"/>
                <w:lang w:val="en-US" w:eastAsia="zh-CN"/>
              </w:rPr>
              <w:t>书</w:t>
            </w:r>
            <w:r>
              <w:rPr>
                <w:rFonts w:hint="default" w:ascii="Times New Roman" w:hAnsi="Times New Roman" w:cs="Times New Roman"/>
                <w:color w:val="auto"/>
                <w:sz w:val="21"/>
                <w:szCs w:val="21"/>
                <w:highlight w:val="none"/>
              </w:rPr>
              <w:t>，内置结构化案件信息模型，智能匹配法律条款与裁量标准，提供案情要素自动提取功能，生成初版后支持执法人员二次编辑，并自动校验文书逻辑矛盾、条款冲突等错误，输出修正建议。</w:t>
            </w:r>
          </w:p>
        </w:tc>
      </w:tr>
      <w:tr w14:paraId="7C6A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restart"/>
            <w:vAlign w:val="center"/>
          </w:tcPr>
          <w:p w14:paraId="79848480">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bookmarkStart w:id="505" w:name="_Toc3307"/>
            <w:r>
              <w:rPr>
                <w:rFonts w:hint="default" w:ascii="Times New Roman" w:hAnsi="Times New Roman" w:cs="Times New Roman"/>
                <w:color w:val="auto"/>
                <w:sz w:val="21"/>
                <w:szCs w:val="21"/>
                <w:highlight w:val="none"/>
                <w:lang w:val="en-US" w:eastAsia="zh-CN"/>
              </w:rPr>
              <w:t>文书智慧校准</w:t>
            </w:r>
            <w:bookmarkEnd w:id="505"/>
          </w:p>
        </w:tc>
        <w:tc>
          <w:tcPr>
            <w:tcW w:w="1129" w:type="dxa"/>
            <w:vAlign w:val="center"/>
          </w:tcPr>
          <w:p w14:paraId="730A6C2B">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bookmarkStart w:id="506" w:name="_Toc28898"/>
            <w:r>
              <w:rPr>
                <w:rFonts w:hint="default" w:ascii="Times New Roman" w:hAnsi="Times New Roman" w:cs="Times New Roman"/>
                <w:color w:val="auto"/>
                <w:sz w:val="21"/>
                <w:szCs w:val="21"/>
                <w:highlight w:val="none"/>
              </w:rPr>
              <w:t>调查终结报告文书信息整理</w:t>
            </w:r>
            <w:bookmarkEnd w:id="506"/>
          </w:p>
        </w:tc>
        <w:tc>
          <w:tcPr>
            <w:tcW w:w="6758" w:type="dxa"/>
            <w:vAlign w:val="center"/>
          </w:tcPr>
          <w:p w14:paraId="5F1245F2">
            <w:pPr>
              <w:pStyle w:val="37"/>
              <w:keepNext w:val="0"/>
              <w:keepLines w:val="0"/>
              <w:widowControl/>
              <w:suppressLineNumbers w:val="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lang w:val="en"/>
              </w:rPr>
              <w:t>12.</w:t>
            </w:r>
            <w:r>
              <w:rPr>
                <w:rFonts w:hint="default" w:ascii="Times New Roman" w:hAnsi="Times New Roman" w:cs="Times New Roman"/>
                <w:color w:val="auto"/>
                <w:sz w:val="21"/>
                <w:szCs w:val="21"/>
                <w:highlight w:val="none"/>
              </w:rPr>
              <w:t>系统需支持调查终结报告文书信息整理，采用“基础信息-违法事实-法律适用-裁量标准”四层模型，覆盖当事人信息、行为描述、证据链、法律条款及裁量标准等核心要素，确保与《行政处罚程序规定》严格对齐，并支持要素自动提取与动态识别对比。</w:t>
            </w:r>
          </w:p>
        </w:tc>
      </w:tr>
      <w:tr w14:paraId="0379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2C03D6F6">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p>
        </w:tc>
        <w:tc>
          <w:tcPr>
            <w:tcW w:w="1129" w:type="dxa"/>
            <w:vAlign w:val="center"/>
          </w:tcPr>
          <w:p w14:paraId="26D20FD3">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bookmarkStart w:id="507" w:name="_Toc15429"/>
            <w:r>
              <w:rPr>
                <w:rFonts w:hint="default" w:ascii="Times New Roman" w:hAnsi="Times New Roman" w:cs="Times New Roman"/>
                <w:color w:val="auto"/>
                <w:sz w:val="21"/>
                <w:szCs w:val="21"/>
                <w:highlight w:val="none"/>
              </w:rPr>
              <w:t>当事人信息准确性分析</w:t>
            </w:r>
            <w:bookmarkEnd w:id="507"/>
          </w:p>
        </w:tc>
        <w:tc>
          <w:tcPr>
            <w:tcW w:w="6758" w:type="dxa"/>
            <w:vAlign w:val="center"/>
          </w:tcPr>
          <w:p w14:paraId="7DF1DA29">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rPr>
              <w:t>13.</w:t>
            </w:r>
            <w:r>
              <w:rPr>
                <w:rFonts w:hint="default" w:ascii="Times New Roman" w:hAnsi="Times New Roman" w:cs="Times New Roman"/>
                <w:color w:val="auto"/>
                <w:sz w:val="21"/>
                <w:szCs w:val="21"/>
                <w:highlight w:val="none"/>
              </w:rPr>
              <w:t>系统需支持当事人信息准确性分析，通过数据源头联动与市场主体信息横向比对，实时调取最新市场主体数据自动比对现场填报内容，发现问题即时提醒办案人员修正。</w:t>
            </w:r>
          </w:p>
        </w:tc>
      </w:tr>
      <w:tr w14:paraId="73D7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0E2131A4">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p>
        </w:tc>
        <w:tc>
          <w:tcPr>
            <w:tcW w:w="1129" w:type="dxa"/>
            <w:vAlign w:val="center"/>
          </w:tcPr>
          <w:p w14:paraId="61C0A159">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bookmarkStart w:id="508" w:name="_Toc17208"/>
            <w:r>
              <w:rPr>
                <w:rFonts w:hint="default" w:ascii="Times New Roman" w:hAnsi="Times New Roman" w:cs="Times New Roman"/>
                <w:color w:val="auto"/>
                <w:sz w:val="21"/>
                <w:szCs w:val="21"/>
                <w:highlight w:val="none"/>
                <w:lang w:val="en-US" w:eastAsia="zh-CN"/>
              </w:rPr>
              <w:t>文书智能校验</w:t>
            </w:r>
            <w:bookmarkEnd w:id="508"/>
          </w:p>
        </w:tc>
        <w:tc>
          <w:tcPr>
            <w:tcW w:w="6758" w:type="dxa"/>
            <w:vAlign w:val="center"/>
          </w:tcPr>
          <w:p w14:paraId="7B6A4FB3">
            <w:pPr>
              <w:pStyle w:val="37"/>
              <w:keepNext w:val="0"/>
              <w:keepLines w:val="0"/>
              <w:widowControl/>
              <w:suppressLineNumbers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
              </w:rPr>
              <w:t>14.</w:t>
            </w:r>
            <w:r>
              <w:rPr>
                <w:rFonts w:hint="default" w:ascii="Times New Roman" w:hAnsi="Times New Roman" w:cs="Times New Roman"/>
                <w:color w:val="auto"/>
                <w:sz w:val="21"/>
                <w:szCs w:val="21"/>
                <w:highlight w:val="none"/>
              </w:rPr>
              <w:t>系统需支持文书智能校验功能，自动校验证据链完整性与关联性、法律条款有效性及适用层级、裁量基准合法性与合理性，并生成综合检校结论，包括法律条款有效性、定性匹配度、事实证据逻辑一致性、证据链完整性、强制措施合理性、处罚建议法定幅度符合性及裁量理由说明。</w:t>
            </w:r>
          </w:p>
        </w:tc>
      </w:tr>
      <w:tr w14:paraId="77C5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1BE588B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509" w:name="_Toc17981"/>
            <w:r>
              <w:rPr>
                <w:rFonts w:hint="default" w:ascii="Times New Roman" w:hAnsi="Times New Roman" w:eastAsia="宋体" w:cs="Times New Roman"/>
                <w:b w:val="0"/>
                <w:bCs/>
                <w:color w:val="auto"/>
                <w:sz w:val="21"/>
                <w:szCs w:val="21"/>
                <w:highlight w:val="none"/>
                <w:lang w:val="en-US" w:eastAsia="zh-CN"/>
              </w:rPr>
              <w:t>案卷智能自查</w:t>
            </w:r>
            <w:bookmarkEnd w:id="509"/>
          </w:p>
        </w:tc>
        <w:tc>
          <w:tcPr>
            <w:tcW w:w="1129" w:type="dxa"/>
            <w:vAlign w:val="center"/>
          </w:tcPr>
          <w:p w14:paraId="3D56987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案卷智能自查</w:t>
            </w:r>
          </w:p>
        </w:tc>
        <w:tc>
          <w:tcPr>
            <w:tcW w:w="6758" w:type="dxa"/>
            <w:vAlign w:val="center"/>
          </w:tcPr>
          <w:p w14:paraId="7F080EE6">
            <w:pPr>
              <w:pStyle w:val="37"/>
              <w:keepNext w:val="0"/>
              <w:keepLines w:val="0"/>
              <w:widowControl/>
              <w:suppressLineNumbers w:val="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lang w:val="en"/>
              </w:rPr>
              <w:t>15.</w:t>
            </w:r>
            <w:r>
              <w:rPr>
                <w:rFonts w:hint="default" w:ascii="Times New Roman" w:hAnsi="Times New Roman" w:cs="Times New Roman"/>
                <w:color w:val="auto"/>
                <w:sz w:val="21"/>
                <w:szCs w:val="21"/>
                <w:highlight w:val="none"/>
              </w:rPr>
              <w:t>系统需支持案卷智能自查，基于深度学习与NLP技术结合，自动实现</w:t>
            </w:r>
            <w:r>
              <w:rPr>
                <w:rFonts w:hint="default" w:ascii="Times New Roman" w:hAnsi="Times New Roman" w:cs="Times New Roman"/>
                <w:color w:val="auto"/>
                <w:sz w:val="21"/>
                <w:szCs w:val="21"/>
                <w:highlight w:val="none"/>
                <w:lang w:val="en-US" w:eastAsia="zh-CN"/>
              </w:rPr>
              <w:t>非</w:t>
            </w:r>
            <w:r>
              <w:rPr>
                <w:rFonts w:hint="default" w:ascii="Times New Roman" w:hAnsi="Times New Roman" w:cs="Times New Roman"/>
                <w:color w:val="auto"/>
                <w:sz w:val="21"/>
                <w:szCs w:val="21"/>
                <w:highlight w:val="none"/>
              </w:rPr>
              <w:t>结构化</w:t>
            </w:r>
            <w:r>
              <w:rPr>
                <w:rFonts w:hint="default" w:ascii="Times New Roman" w:hAnsi="Times New Roman" w:cs="Times New Roman"/>
                <w:color w:val="auto"/>
                <w:sz w:val="21"/>
                <w:szCs w:val="21"/>
                <w:highlight w:val="none"/>
                <w:lang w:val="en-US" w:eastAsia="zh-CN"/>
              </w:rPr>
              <w:t>数据</w:t>
            </w:r>
            <w:r>
              <w:rPr>
                <w:rFonts w:hint="default" w:ascii="Times New Roman" w:hAnsi="Times New Roman" w:cs="Times New Roman"/>
                <w:color w:val="auto"/>
                <w:sz w:val="21"/>
                <w:szCs w:val="21"/>
                <w:highlight w:val="none"/>
              </w:rPr>
              <w:t>处理、法律条款合规性检查、证据链完整性分析、程序合规审查、文书规范性检查，并输出风险等级及智能修正建议。</w:t>
            </w:r>
          </w:p>
        </w:tc>
      </w:tr>
      <w:tr w14:paraId="0765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EEBD80C">
            <w:pPr>
              <w:widowControl/>
              <w:jc w:val="left"/>
              <w:rPr>
                <w:rFonts w:hint="default" w:ascii="Times New Roman" w:hAnsi="Times New Roman" w:eastAsia="宋体" w:cs="Times New Roman"/>
                <w:b w:val="0"/>
                <w:bCs/>
                <w:color w:val="auto"/>
                <w:sz w:val="21"/>
                <w:szCs w:val="21"/>
                <w:highlight w:val="none"/>
                <w:lang w:val="en-US" w:eastAsia="zh-CN"/>
              </w:rPr>
            </w:pPr>
          </w:p>
        </w:tc>
        <w:tc>
          <w:tcPr>
            <w:tcW w:w="1129" w:type="dxa"/>
            <w:vAlign w:val="center"/>
          </w:tcPr>
          <w:p w14:paraId="1F7DCB13">
            <w:pPr>
              <w:widowControl/>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kern w:val="0"/>
                <w:sz w:val="21"/>
                <w:szCs w:val="21"/>
                <w:highlight w:val="none"/>
                <w:lang w:eastAsia="zh-CN"/>
              </w:rPr>
              <w:t>“扫码入企”相关配合工作</w:t>
            </w:r>
          </w:p>
        </w:tc>
        <w:tc>
          <w:tcPr>
            <w:tcW w:w="6758" w:type="dxa"/>
            <w:vAlign w:val="center"/>
          </w:tcPr>
          <w:p w14:paraId="5D03F5A0">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val="en" w:eastAsia="zh-CN"/>
              </w:rPr>
              <w:t>16.</w:t>
            </w:r>
            <w:r>
              <w:rPr>
                <w:rFonts w:hint="default" w:ascii="Times New Roman" w:hAnsi="Times New Roman" w:cs="Times New Roman"/>
                <w:color w:val="auto"/>
                <w:kern w:val="0"/>
                <w:sz w:val="21"/>
                <w:szCs w:val="21"/>
                <w:highlight w:val="none"/>
                <w:lang w:val="en-US" w:eastAsia="zh-CN"/>
              </w:rPr>
              <w:t>按数字化发展局明确的贯通业务系统和技术标准要求，</w:t>
            </w:r>
            <w:r>
              <w:rPr>
                <w:rFonts w:hint="default" w:ascii="Times New Roman" w:hAnsi="Times New Roman" w:cs="Times New Roman"/>
                <w:color w:val="auto"/>
                <w:kern w:val="0"/>
                <w:sz w:val="21"/>
                <w:szCs w:val="21"/>
                <w:highlight w:val="none"/>
              </w:rPr>
              <w:t>做好</w:t>
            </w:r>
            <w:r>
              <w:rPr>
                <w:rFonts w:hint="default" w:ascii="Times New Roman" w:hAnsi="Times New Roman" w:cs="Times New Roman"/>
                <w:color w:val="auto"/>
                <w:kern w:val="0"/>
                <w:sz w:val="21"/>
                <w:szCs w:val="21"/>
                <w:highlight w:val="none"/>
                <w:lang w:eastAsia="zh-CN"/>
              </w:rPr>
              <w:t>与自治区“扫码入企”平台、“新企办”“新服办”的接口开发工作，实现本系统数据共享。</w:t>
            </w:r>
          </w:p>
        </w:tc>
      </w:tr>
    </w:tbl>
    <w:p w14:paraId="169F12AF">
      <w:pPr>
        <w:rPr>
          <w:rFonts w:hint="default" w:ascii="Times New Roman" w:hAnsi="Times New Roman" w:cs="Times New Roman"/>
          <w:color w:val="auto"/>
          <w:highlight w:val="none"/>
          <w:lang w:eastAsia="zh-CN"/>
        </w:rPr>
      </w:pPr>
    </w:p>
    <w:p w14:paraId="089877AC">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8.质量强企强链强县数字化子系统</w:t>
      </w:r>
      <w:bookmarkEnd w:id="490"/>
    </w:p>
    <w:tbl>
      <w:tblPr>
        <w:tblStyle w:val="4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052"/>
        <w:gridCol w:w="6243"/>
      </w:tblGrid>
      <w:tr w14:paraId="0677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50" w:type="dxa"/>
            <w:vAlign w:val="center"/>
          </w:tcPr>
          <w:p w14:paraId="318AA8C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系统名称</w:t>
            </w:r>
          </w:p>
        </w:tc>
        <w:tc>
          <w:tcPr>
            <w:tcW w:w="1112" w:type="dxa"/>
            <w:vAlign w:val="center"/>
          </w:tcPr>
          <w:p w14:paraId="447E280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模块名称</w:t>
            </w:r>
          </w:p>
        </w:tc>
        <w:tc>
          <w:tcPr>
            <w:tcW w:w="6738" w:type="dxa"/>
            <w:vAlign w:val="center"/>
          </w:tcPr>
          <w:p w14:paraId="07A686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规格参数</w:t>
            </w:r>
          </w:p>
        </w:tc>
      </w:tr>
      <w:tr w14:paraId="0AC8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vAlign w:val="center"/>
          </w:tcPr>
          <w:p w14:paraId="2E0F3AF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食品监管和“</w:t>
            </w:r>
            <w:r>
              <w:rPr>
                <w:rFonts w:hint="default" w:ascii="Times New Roman" w:hAnsi="Times New Roman" w:eastAsia="宋体" w:cs="Times New Roman"/>
                <w:i w:val="0"/>
                <w:iCs w:val="0"/>
                <w:color w:val="000000"/>
                <w:kern w:val="0"/>
                <w:sz w:val="21"/>
                <w:szCs w:val="21"/>
                <w:highlight w:val="none"/>
                <w:u w:val="none"/>
                <w:lang w:val="en-US" w:eastAsia="zh-CN" w:bidi="ar"/>
              </w:rPr>
              <w:t>质量强企强链</w:t>
            </w:r>
            <w:r>
              <w:rPr>
                <w:rFonts w:hint="default" w:ascii="Times New Roman" w:hAnsi="Times New Roman" w:eastAsia="宋体" w:cs="Times New Roman"/>
                <w:b w:val="0"/>
                <w:bCs/>
                <w:color w:val="auto"/>
                <w:sz w:val="21"/>
                <w:szCs w:val="21"/>
                <w:highlight w:val="none"/>
              </w:rPr>
              <w:t>”系统-质量强企强链强县数字化子系统</w:t>
            </w:r>
          </w:p>
        </w:tc>
        <w:tc>
          <w:tcPr>
            <w:tcW w:w="1112" w:type="dxa"/>
            <w:vAlign w:val="center"/>
          </w:tcPr>
          <w:p w14:paraId="61BCF49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统计分析</w:t>
            </w:r>
          </w:p>
        </w:tc>
        <w:tc>
          <w:tcPr>
            <w:tcW w:w="6738" w:type="dxa"/>
            <w:vAlign w:val="center"/>
          </w:tcPr>
          <w:p w14:paraId="34639AAD">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i w:val="0"/>
                <w:iCs w:val="0"/>
                <w:color w:val="auto"/>
                <w:kern w:val="0"/>
                <w:sz w:val="21"/>
                <w:szCs w:val="21"/>
                <w:highlight w:val="none"/>
                <w:u w:val="none"/>
                <w:lang w:val="en" w:eastAsia="zh-CN" w:bidi="ar"/>
              </w:rPr>
              <w:t>1</w:t>
            </w:r>
            <w:r>
              <w:rPr>
                <w:rFonts w:hint="default" w:ascii="Times New Roman" w:hAnsi="Times New Roman" w:eastAsia="宋体" w:cs="Times New Roman"/>
                <w:b w:val="0"/>
                <w:bCs/>
                <w:i w:val="0"/>
                <w:iCs w:val="0"/>
                <w:color w:val="auto"/>
                <w:kern w:val="0"/>
                <w:sz w:val="21"/>
                <w:szCs w:val="21"/>
                <w:highlight w:val="none"/>
                <w:u w:val="none"/>
                <w:lang w:val="en-US" w:eastAsia="zh-CN" w:bidi="ar"/>
              </w:rPr>
              <w:t>.1数据展示</w:t>
            </w:r>
          </w:p>
          <w:p w14:paraId="5A178F51">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支持企业标杆入库统计、质量培育统计、地图展示、实时质量强链统计、专家总数统计等功能。实现自治区质量建设相关数据的多维度分类统计，涵盖企业标杆入库、质量培育、专家总数的自治区级与地区级统计，以及实时质量强链总数的链主、骨干、成员数细分统计，且各统计维度均支持查看对应主体具体信息。</w:t>
            </w:r>
          </w:p>
          <w:p w14:paraId="5866F340">
            <w:pPr>
              <w:rPr>
                <w:rFonts w:hint="default" w:ascii="Times New Roman" w:hAnsi="Times New Roman" w:eastAsia="宋体" w:cs="Times New Roman"/>
                <w:b w:val="0"/>
                <w:bCs/>
                <w:color w:val="auto"/>
                <w:sz w:val="21"/>
                <w:szCs w:val="21"/>
                <w:highlight w:val="none"/>
              </w:rPr>
            </w:pPr>
            <w:r>
              <w:rPr>
                <w:rFonts w:hint="default" w:ascii="Times New Roman" w:hAnsi="Times New Roman" w:cs="Times New Roman"/>
                <w:b w:val="0"/>
                <w:bCs/>
                <w:i w:val="0"/>
                <w:iCs w:val="0"/>
                <w:color w:val="auto"/>
                <w:kern w:val="0"/>
                <w:sz w:val="21"/>
                <w:szCs w:val="21"/>
                <w:highlight w:val="none"/>
                <w:u w:val="none"/>
                <w:lang w:val="en" w:eastAsia="zh-CN" w:bidi="ar"/>
              </w:rPr>
              <w:t>1.</w:t>
            </w:r>
            <w:r>
              <w:rPr>
                <w:rFonts w:hint="default" w:ascii="Times New Roman" w:hAnsi="Times New Roman" w:eastAsia="宋体" w:cs="Times New Roman"/>
                <w:b w:val="0"/>
                <w:bCs/>
                <w:i w:val="0"/>
                <w:iCs w:val="0"/>
                <w:color w:val="auto"/>
                <w:kern w:val="0"/>
                <w:sz w:val="21"/>
                <w:szCs w:val="21"/>
                <w:highlight w:val="none"/>
                <w:u w:val="none"/>
                <w:lang w:val="en-US" w:eastAsia="zh-CN" w:bidi="ar"/>
              </w:rPr>
              <w:t>2领导驾驶舱</w:t>
            </w:r>
          </w:p>
          <w:p w14:paraId="2889CBB2">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企业标杆入库总数、质量标杆培育总数、实施质量强链总数、专家总数、质量发展态势全景监测、质量基础设施效能评估、质量安全风险预警体系、重点产业质量攻坚专区等功能。实现展示新疆维吾尔自治区企业质量培育一图通，左侧针对企业标杆入库总数（自治区级、地区级）、质量标杆培育总数（自治区级、地区级）进行统计分析，中间区域以地图的形式展示每个地区的质量标杆入库数、精准培育数、实时质量强链数，右侧针对实时质量强链总数（链主数、骨干数、成员数）和专家总数（自治区级、地区级）进行统计分析。</w:t>
            </w:r>
          </w:p>
        </w:tc>
      </w:tr>
      <w:tr w14:paraId="5E09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vAlign w:val="center"/>
          </w:tcPr>
          <w:p w14:paraId="263966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12" w:type="dxa"/>
            <w:vAlign w:val="center"/>
          </w:tcPr>
          <w:p w14:paraId="552721C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组织用户管理</w:t>
            </w:r>
          </w:p>
        </w:tc>
        <w:tc>
          <w:tcPr>
            <w:tcW w:w="6738" w:type="dxa"/>
            <w:vAlign w:val="center"/>
          </w:tcPr>
          <w:p w14:paraId="60691B7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2.1区域管理</w:t>
            </w:r>
          </w:p>
          <w:p w14:paraId="7BECC6F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区域新增、区域编辑、区域删除、区域分级查询等功能。实现区域全生命周期管理功能，支持在管理界面完成区域新增（选择上级区域、输入名称、设置排序）、编辑（调整上级区域、名称、排序并保存）及删除操作。</w:t>
            </w:r>
          </w:p>
          <w:p w14:paraId="6D8628F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2.2人员管理</w:t>
            </w:r>
          </w:p>
          <w:p w14:paraId="2E060662">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人员新增、人员删除、人员修改、人员查询、角色授权、密码重置等功能。实现人员全流程信息化管理，支持在人员管理模块完成人员信息新增、删除、修改及关键字检索查询操作，新增可录入姓名、身份证号等基本信息，修改可调整人员区域、岗位、角色等多维度内容。</w:t>
            </w:r>
          </w:p>
          <w:p w14:paraId="22116CA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2.3移动小程序</w:t>
            </w:r>
          </w:p>
          <w:p w14:paraId="2D8C631B">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i w:val="0"/>
                <w:iCs w:val="0"/>
                <w:color w:val="auto"/>
                <w:kern w:val="0"/>
                <w:sz w:val="21"/>
                <w:szCs w:val="21"/>
                <w:highlight w:val="none"/>
                <w:u w:val="none"/>
                <w:lang w:val="en-US" w:eastAsia="zh-CN" w:bidi="ar"/>
              </w:rPr>
              <w:t>拓展手机端等功能。嵌入智慧监管APP，依托手机端便携性与场景适配优势，聚焦“查询检索、业务办理、消息预警、互动协同”四大核心场景，打破PC端时空限制，为产业链上中下游用户提供碎片化、高效化的质量基础服务，成为服务产业、赋能企业的移动入口。支持微信小程序平台，采用多端适配方案确保iOS与Android系统兼容；对接体系数据中台，实现移动端与PC端数据实时同步，保障信息一致性。同时确保质量服务“不中断、快响应”，助力产业链质量管控移动化升级。</w:t>
            </w:r>
          </w:p>
        </w:tc>
      </w:tr>
      <w:tr w14:paraId="3706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vAlign w:val="center"/>
          </w:tcPr>
          <w:p w14:paraId="65F9666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12" w:type="dxa"/>
            <w:vAlign w:val="center"/>
          </w:tcPr>
          <w:p w14:paraId="69029EA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专家库</w:t>
            </w:r>
          </w:p>
        </w:tc>
        <w:tc>
          <w:tcPr>
            <w:tcW w:w="6738" w:type="dxa"/>
            <w:vAlign w:val="center"/>
          </w:tcPr>
          <w:p w14:paraId="5C1DE2F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3.1专家信息管理</w:t>
            </w:r>
          </w:p>
          <w:p w14:paraId="5457252F">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支持专家录入、专家导入、专家分级筛选等功能。实现专家库的信息化管理，支持在专家库管理界面单条录入专家姓名、照片、专业领域等基础信息，同时选择所属级别和地域并录入简介、相关成果等内容。还支持下载导入模板批量录入专家信息，以xls或xlsx格式上传文件后系统自动读取并批量导入专家库，且提供专家分级筛选功能，可按姓名、手机号等关键字检索并展示匹配的专家信息。</w:t>
            </w:r>
          </w:p>
        </w:tc>
      </w:tr>
      <w:tr w14:paraId="7CE0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vMerge w:val="continue"/>
            <w:vAlign w:val="center"/>
          </w:tcPr>
          <w:p w14:paraId="1A6073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12" w:type="dxa"/>
            <w:vAlign w:val="center"/>
          </w:tcPr>
          <w:p w14:paraId="43648F5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质量标杆库</w:t>
            </w:r>
          </w:p>
        </w:tc>
        <w:tc>
          <w:tcPr>
            <w:tcW w:w="6738" w:type="dxa"/>
            <w:vAlign w:val="center"/>
          </w:tcPr>
          <w:p w14:paraId="40066F6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4.1</w:t>
            </w:r>
            <w:r>
              <w:rPr>
                <w:rFonts w:hint="default" w:ascii="Times New Roman" w:hAnsi="Times New Roman" w:eastAsia="宋体" w:cs="Times New Roman"/>
                <w:b w:val="0"/>
                <w:bCs/>
                <w:i w:val="0"/>
                <w:iCs w:val="0"/>
                <w:color w:val="auto"/>
                <w:kern w:val="0"/>
                <w:sz w:val="21"/>
                <w:szCs w:val="21"/>
                <w:highlight w:val="none"/>
                <w:u w:val="none"/>
                <w:lang w:val="en-US" w:eastAsia="zh-CN" w:bidi="ar"/>
              </w:rPr>
              <w:t>企业信息管理</w:t>
            </w:r>
          </w:p>
          <w:p w14:paraId="264DF153">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支持企业分类维护、批量导入、地域关联等功能。实现质量标杆库企业信息的分类维护、批量导入及地域关联管理，支持企业类别调整、标准化模板批量导入企业信息，以及建立企业与所属地域的地理属性对应关系。</w:t>
            </w:r>
          </w:p>
        </w:tc>
      </w:tr>
      <w:tr w14:paraId="38EC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vMerge w:val="continue"/>
            <w:vAlign w:val="center"/>
          </w:tcPr>
          <w:p w14:paraId="4E559D1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12" w:type="dxa"/>
            <w:vAlign w:val="center"/>
          </w:tcPr>
          <w:p w14:paraId="30FFB8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首席质量官管理</w:t>
            </w:r>
          </w:p>
        </w:tc>
        <w:tc>
          <w:tcPr>
            <w:tcW w:w="6738" w:type="dxa"/>
            <w:vAlign w:val="center"/>
          </w:tcPr>
          <w:p w14:paraId="5864165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5.1首席质量官删除</w:t>
            </w:r>
          </w:p>
          <w:p w14:paraId="7AF69C3A">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支持在首席质量官管理界面中，对不再需要或错误录入的目标首席质量官信息进行删除。</w:t>
            </w:r>
          </w:p>
          <w:p w14:paraId="7E8A078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5.2首席质量官查询</w:t>
            </w:r>
          </w:p>
          <w:p w14:paraId="2760D92A">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支持在首席质量官管理界面的搜索框内，输入姓名、手机号、单位名称、所属地址、社会信用代码、审核状态等关键字，系统将依据输入内容，在当前首席质量官信息中进行检索，筛选出匹配的目标首席质量官信息并展示。</w:t>
            </w:r>
          </w:p>
          <w:p w14:paraId="12189EF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5.3 重置密码</w:t>
            </w:r>
          </w:p>
          <w:p w14:paraId="1D2C82A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支持在首席质量官管理界面里，选择首席质量官的账号密码恢复为初始状态或默认值。</w:t>
            </w:r>
          </w:p>
          <w:p w14:paraId="52A4CA8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5.4 批量添加</w:t>
            </w:r>
          </w:p>
          <w:p w14:paraId="625523DA">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支持批量快速配置首席质量官信息，提升大批量岗位人员录入的效率，避免重复操作。批量导入模板下载：提供标准化的 CQO 信息导入模板（支持 Excel 格式），模板内置必填字段（姓名、所属部门 / 分支机构、联系电话、权限等级、社会信用代码）与选填字段（行业、企业规模），并附带填写说明，确保导入数据格式统一。数据批量上传与校验：支持用户上传填写完成的 Excel 文件，系统自动校验数据完整性与合规性，如检测是否重复、必填项缺失、权限等级不匹配等异常，生成校验结果报告，标注异常数据位置及原因。批量信息录入与权限配置：校验通过后，系统一键将批量 CQO 信息录入系统，并根据导入时指定的权限等级，自动分配对应功能模块操作权限，同时生成岗位人员账号并触发初始密码推送。批量操作记录留存：自动记录本次批量新增的操作人、操作时间、导入数量、成功/失败明细，形成可追溯的操作日志，支持后续审计与查询。</w:t>
            </w:r>
          </w:p>
          <w:p w14:paraId="2804337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5.5数据导出</w:t>
            </w:r>
          </w:p>
          <w:p w14:paraId="125EBE5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支持将系统内全维度首席质量官数据按需求导出，满足合规存档、深度分析、跨部门协同及外部监管报送等场景需求，解决数据“存用分离”的痛点，确保数据的可复用性与追溯性。多维度数据筛选：支持按数据类型（姓名、手机号、单位名称、所属地址、社会信用代码、审核状态）进行精准筛选，可导出筛选后数据或全量数据，满足个性化分析需求。权限管控与操作追溯：按角色配置精细化导出权限，自动记录所有导出操作（操作人、时间、数据范围、导出格式），形成可审计的操作日志，防范敏感数据泄露。</w:t>
            </w:r>
          </w:p>
        </w:tc>
      </w:tr>
      <w:tr w14:paraId="7829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vAlign w:val="center"/>
          </w:tcPr>
          <w:p w14:paraId="65F29E8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12" w:type="dxa"/>
            <w:vAlign w:val="center"/>
          </w:tcPr>
          <w:p w14:paraId="25A40A1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质量标杆培育管理</w:t>
            </w:r>
          </w:p>
        </w:tc>
        <w:tc>
          <w:tcPr>
            <w:tcW w:w="6738" w:type="dxa"/>
            <w:vAlign w:val="center"/>
          </w:tcPr>
          <w:p w14:paraId="4997F4D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6.1培育管理</w:t>
            </w:r>
          </w:p>
          <w:p w14:paraId="37A892D4">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支持企业-专家匹配、培育计划制定等功能。实现企业与专家的双向筛选及关联功能，支持选择库内已有或新增库外的企业、专家完成二者的关联配置。</w:t>
            </w:r>
          </w:p>
          <w:p w14:paraId="5AFCD8F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6.2自评</w:t>
            </w:r>
          </w:p>
          <w:p w14:paraId="1465458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支持企业在线评分、附件提交等功能。实现企业在系统中针对自身情况完成在线自评评分，同时配套附件提交功能，企业可在自评过程中上传证明材料、报告等相关附件，为评分内容提供有效支撑。</w:t>
            </w:r>
          </w:p>
          <w:p w14:paraId="558AC86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6.3初评</w:t>
            </w:r>
          </w:p>
          <w:p w14:paraId="417FFAE4">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专家初评打分、结果导出、结果查询等功能。实现专家登录系统完成企业培育相关的初评打分操作，同时为企业提供初评分表的Excel格式导出功能。还支持企业通过输入关键字在系统中检索并查询目标初评相关信息，满足企业对初评结果的查看与使用需求。</w:t>
            </w:r>
          </w:p>
          <w:p w14:paraId="662A077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6.4专家终评</w:t>
            </w:r>
          </w:p>
          <w:p w14:paraId="6430439E">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支持终评审核、评分汇总等功能。实现专家登录系统进行终评打分。将终评结果进行汇总，并支持将汇总结果进行导出。</w:t>
            </w:r>
          </w:p>
          <w:p w14:paraId="0E02532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6.5培育观察</w:t>
            </w:r>
          </w:p>
          <w:p w14:paraId="1E5956C2">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1-4次观察进展、问题反馈等功能。实现对培育企业培育观察进展的详细记录，可录入企业改进措施、成果等培育内容，设置培育状态并上传相关附件，且能在对应阶段补充完善信息。同时支持针对培育观察内容进行问题反馈，可输入问题与改进建议并上传附件支撑，还能查阅所有反馈的回复内容。</w:t>
            </w:r>
          </w:p>
        </w:tc>
      </w:tr>
      <w:tr w14:paraId="2968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vAlign w:val="center"/>
          </w:tcPr>
          <w:p w14:paraId="26747B5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12" w:type="dxa"/>
            <w:vAlign w:val="center"/>
          </w:tcPr>
          <w:p w14:paraId="16AF3F7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产业链管理</w:t>
            </w:r>
          </w:p>
        </w:tc>
        <w:tc>
          <w:tcPr>
            <w:tcW w:w="6738" w:type="dxa"/>
            <w:vAlign w:val="center"/>
          </w:tcPr>
          <w:p w14:paraId="1901E4AD">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7.1产业链维护</w:t>
            </w:r>
          </w:p>
          <w:p w14:paraId="52DBB1FF">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链主企业绑定、专家关联等功能。实现链主企业绑定功能，可直接选取企业库内企业作为链主，库外企业可录入名称、统一社会信用代码等信息添加后再完成选定。同时支持产业链的专家关联操作，可在专家库按姓名、身份证号等关键字筛选并勾选关联专家，库内无相关企业、专家信息时可新增库外信息后再进行关联选择。</w:t>
            </w:r>
          </w:p>
          <w:p w14:paraId="085FEC9C">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7.2一方案五清单两图谱</w:t>
            </w:r>
          </w:p>
          <w:p w14:paraId="1F11E266">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方案上传、清单模板导入、图谱生成等功能。实现方案上传功能，可针对目标产业链输入方案内容并上传附件，完成方案信息录入与存档。同时支持产业链供应链质量相关的各类清单页签模板导入，还能在指定界面录入图谱信息、上传附件，由系统整合信息与文件自动生成产业链图谱，直观展示产业链结构及关联关系。</w:t>
            </w:r>
          </w:p>
          <w:p w14:paraId="5B4F9F33">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7.3具体工作进展</w:t>
            </w:r>
          </w:p>
          <w:p w14:paraId="2985B70E">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阶段任务填报、进展跟踪、问题闭环等功能。实现阶段任务填报功能，支持在录入页面详细填写阶段工作任务、计划并保存完成填报，同时提供工作进展跟踪能力，可查看进展列表、补充执行情况与成果信息，也能对已有进展信息进行查看和编辑。</w:t>
            </w:r>
          </w:p>
          <w:p w14:paraId="78DC8AC1">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7.4标志性成果</w:t>
            </w:r>
          </w:p>
          <w:p w14:paraId="10CAF265">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成果归档、附件管理、版本控制等功能。实现成果归档功能，支持录入标志性成果具体内容，由系统对产业链下各类标志性成果进行有序存储与归档。同时配套附件管理功能，新增成果时可上传相关支撑文件并与成果信息关联，还支持对已上传附件的修改、删除等操作。</w:t>
            </w:r>
          </w:p>
          <w:p w14:paraId="024BEE82">
            <w:pPr>
              <w:ind w:firstLine="420" w:firstLineChars="200"/>
              <w:rPr>
                <w:rFonts w:hint="default" w:ascii="Times New Roman" w:hAnsi="Times New Roman" w:eastAsia="宋体" w:cs="Times New Roman"/>
                <w:b w:val="0"/>
                <w:bCs/>
                <w:color w:val="auto"/>
                <w:sz w:val="21"/>
                <w:szCs w:val="21"/>
                <w:highlight w:val="none"/>
                <w:lang w:val="en-US" w:eastAsia="zh-CN"/>
              </w:rPr>
            </w:pPr>
          </w:p>
        </w:tc>
      </w:tr>
      <w:tr w14:paraId="1899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vAlign w:val="center"/>
          </w:tcPr>
          <w:p w14:paraId="45F83D8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12" w:type="dxa"/>
            <w:vAlign w:val="center"/>
          </w:tcPr>
          <w:p w14:paraId="1F378DDF">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四库一箱</w:t>
            </w:r>
          </w:p>
        </w:tc>
        <w:tc>
          <w:tcPr>
            <w:tcW w:w="6738" w:type="dxa"/>
            <w:vAlign w:val="center"/>
          </w:tcPr>
          <w:p w14:paraId="58AD1729">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锚定区域战略定位与特色产业发展需求，构建的全链条质量基础支撑体系，通过标准引领、计量保障、认证规范、检测支撑与综合服务的协同联动，为产业链高质量发展提供标准化、数字化、一体化支撑，助力质量管理与产业发展深度融合。</w:t>
            </w:r>
            <w:r>
              <w:rPr>
                <w:rFonts w:hint="default" w:ascii="Times New Roman" w:hAnsi="Times New Roman" w:cs="Times New Roman"/>
                <w:color w:val="auto"/>
                <w:sz w:val="21"/>
                <w:szCs w:val="21"/>
                <w:highlight w:val="none"/>
                <w:lang w:val="en-US" w:eastAsia="zh-CN"/>
              </w:rPr>
              <w:t>支持标准规范库、计量参数库、认证项目库、检验检测能力库、综合服务工具箱等功能。</w:t>
            </w:r>
          </w:p>
          <w:p w14:paraId="32C74415">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8.1</w:t>
            </w:r>
            <w:r>
              <w:rPr>
                <w:rFonts w:hint="default" w:ascii="Times New Roman" w:hAnsi="Times New Roman" w:cs="Times New Roman"/>
                <w:color w:val="auto"/>
                <w:sz w:val="21"/>
                <w:szCs w:val="21"/>
                <w:highlight w:val="none"/>
              </w:rPr>
              <w:t>标准规范库</w:t>
            </w:r>
          </w:p>
          <w:p w14:paraId="0F06F7CA">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全维度标准整合：系统收录产业链涉及的国际、国家、行业、地方、团体五级标准，按产业细分领域（如装备制造、现代农业、现代服务等）与标准类型（产品标准、管理标准、技术标准）建立分类分级目录，实现标准资源的集中管理。​</w:t>
            </w:r>
          </w:p>
          <w:p w14:paraId="1353962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高效化检索应用：提供关键词检索、分类筛选、精准匹配等功能，支持按标准状态（现行、作废、修订中）、实施日期等维度筛选，配套标准原文查看、下载及更新提醒服务，确保企业快速获取有效标准。​</w:t>
            </w:r>
          </w:p>
          <w:p w14:paraId="37F09E0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动态化需求与评估：建立标准制定需求征集通道，收集企业在新技术、新业态中的标准缺口；跟踪标准实施成效，开展适用性评估与迭代分析，形成 “需求收集 - 标准制定 - 实施评估 - 优化更新” 的闭环管理。</w:t>
            </w:r>
          </w:p>
          <w:p w14:paraId="4CFD2126">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8.2</w:t>
            </w:r>
            <w:r>
              <w:rPr>
                <w:rFonts w:hint="default" w:ascii="Times New Roman" w:hAnsi="Times New Roman" w:cs="Times New Roman"/>
                <w:color w:val="auto"/>
                <w:sz w:val="21"/>
                <w:szCs w:val="21"/>
                <w:highlight w:val="none"/>
              </w:rPr>
              <w:t>计量参数库</w:t>
            </w:r>
          </w:p>
          <w:p w14:paraId="32E8E26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核心参数与资源梳理：系统梳理产业链关键环节的计量测试核心参数（如尺寸精度、性能指标、环境适配参数等），建立涵盖计量机构、设备型号、测试范围的计量测试能力数据库，明确各参数的测试技术路径。​</w:t>
            </w:r>
          </w:p>
          <w:p w14:paraId="58C069B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标准化方法推广：开展计量测试方法规范宣贯培训，编制操作指南与案例手册，推动关键参数测试流程、数据记录、结果判定的标准化，减少测量误差。​</w:t>
            </w:r>
          </w:p>
          <w:p w14:paraId="7CE7161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动态能力更新：实时更新计量设备校准信息、机构能力升级情况，定期补充新技术场景下的计量参数与测试方案，确保计量支撑能力与产业发展同步迭代。</w:t>
            </w:r>
          </w:p>
          <w:p w14:paraId="4903E9B0">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8.3</w:t>
            </w:r>
            <w:r>
              <w:rPr>
                <w:rFonts w:hint="default" w:ascii="Times New Roman" w:hAnsi="Times New Roman" w:cs="Times New Roman"/>
                <w:color w:val="auto"/>
                <w:sz w:val="21"/>
                <w:szCs w:val="21"/>
                <w:highlight w:val="none"/>
              </w:rPr>
              <w:t>认证项目库</w:t>
            </w:r>
          </w:p>
          <w:p w14:paraId="6FB7CFC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认证能力全景呈现：梳理各类认证机构的资质范围、认证领域与技术能力，形成认证机构名录与服务清单，明确不同认证项目的适用场景与办理流程。​</w:t>
            </w:r>
          </w:p>
          <w:p w14:paraId="31D4D4D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创新认证项目开发：针对人工智能、新能源、碳减排等新技术迭代领域，联合认证机构开发定制化认证项目；借鉴 “沙盒监管” 理念，在无国标行标的新兴领域，试点采用团体标准开展临时认证。​</w:t>
            </w:r>
          </w:p>
          <w:p w14:paraId="6B07651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国际互认协同推进：主动设计并实施国际互认合作项目，对接国际通行认证标准，推动区域特色产业认证结果的跨境互认，降低国际贸易技术壁垒。</w:t>
            </w:r>
          </w:p>
          <w:p w14:paraId="4978DC6C">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8.4</w:t>
            </w:r>
            <w:r>
              <w:rPr>
                <w:rFonts w:hint="default" w:ascii="Times New Roman" w:hAnsi="Times New Roman" w:cs="Times New Roman"/>
                <w:color w:val="auto"/>
                <w:sz w:val="21"/>
                <w:szCs w:val="21"/>
                <w:highlight w:val="none"/>
              </w:rPr>
              <w:t>检验检测能力库</w:t>
            </w:r>
          </w:p>
          <w:p w14:paraId="1E315130">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资源布局可视化：全面梳理区域内检验检测机构、设备配置、检测项目等资源，形成机构库、设备库、项目库 “三库联动” 的资源图谱，清晰呈现各领域检测能力覆盖情况。​</w:t>
            </w:r>
          </w:p>
          <w:p w14:paraId="55768EF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精准化能力优化：围绕产业新技术、新应用、新场景（如智能终端检测、绿色建材验证），优化检验检测项目设置，推动检测机构升级设备与技术能力，填补细分领域检测空白。​</w:t>
            </w:r>
          </w:p>
          <w:p w14:paraId="4846F4B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高效化资源对接：建立检测需求与机构能力的匹配机制，企业可通过平台快速查询具备对应能力的检测机构，实现 “需求提报 - 机构匹配 - 报告获取” 的一站式服务。</w:t>
            </w:r>
          </w:p>
          <w:p w14:paraId="2E76B0FF">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8.5</w:t>
            </w:r>
            <w:r>
              <w:rPr>
                <w:rFonts w:hint="default" w:ascii="Times New Roman" w:hAnsi="Times New Roman" w:cs="Times New Roman"/>
                <w:color w:val="auto"/>
                <w:sz w:val="21"/>
                <w:szCs w:val="21"/>
                <w:highlight w:val="none"/>
              </w:rPr>
              <w:t>综合服务工具箱</w:t>
            </w:r>
          </w:p>
          <w:p w14:paraId="55428C6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全生命周期服务整合：集成登记注册、质量管理体系建设、品牌培育（如 “两品一标” 申报）、知识产权保护、融资增信、国际贸易合规等服务资源，形成覆盖企业 “出生 - 成长 - 升级” 的全生命周期服务矩阵。​</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数字化转型支撑：依托数据中台整合四库质量数据与企业经营数据，构建质量管理数字化工具（如质量预警仪表盘、合规自查系统），实现质量风险实时监控与智能分析。​</w:t>
            </w:r>
          </w:p>
          <w:p w14:paraId="708C3E66">
            <w:pPr>
              <w:ind w:firstLine="420" w:firstLineChars="20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新业态服务适配：针对平台经济、共享经济等新业态，制定个性化服务方案，涵盖合规指导、质量追溯、消费者权益保障等内容，助力新业态规范发展。</w:t>
            </w:r>
          </w:p>
        </w:tc>
      </w:tr>
      <w:tr w14:paraId="74B2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vAlign w:val="center"/>
          </w:tcPr>
          <w:p w14:paraId="15C5FF6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12" w:type="dxa"/>
            <w:vAlign w:val="center"/>
          </w:tcPr>
          <w:p w14:paraId="277DD94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质量强链模块</w:t>
            </w:r>
          </w:p>
        </w:tc>
        <w:tc>
          <w:tcPr>
            <w:tcW w:w="6738" w:type="dxa"/>
            <w:vAlign w:val="center"/>
          </w:tcPr>
          <w:p w14:paraId="70952713">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9</w:t>
            </w:r>
            <w:r>
              <w:rPr>
                <w:rFonts w:hint="default" w:ascii="Times New Roman" w:hAnsi="Times New Roman" w:eastAsia="宋体" w:cs="Times New Roman"/>
                <w:b w:val="0"/>
                <w:bCs/>
                <w:color w:val="auto"/>
                <w:sz w:val="21"/>
                <w:szCs w:val="21"/>
                <w:highlight w:val="none"/>
                <w:lang w:val="en-US" w:eastAsia="zh-CN"/>
              </w:rPr>
              <w:t>.1产业质量画像</w:t>
            </w:r>
          </w:p>
          <w:p w14:paraId="1F0D45ED">
            <w:pPr>
              <w:ind w:firstLine="420" w:firstLineChars="200"/>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支持汇总自治区产业信息，针对重点产业定制化设计产业链画像，生成产业链全景地图，对接企业画像，引入企业数据，多层次、多维度全面展示产业链情况。支持通过产业链信息查询。</w:t>
            </w:r>
          </w:p>
        </w:tc>
      </w:tr>
      <w:tr w14:paraId="01FE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vAlign w:val="center"/>
          </w:tcPr>
          <w:p w14:paraId="5CD79FF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12" w:type="dxa"/>
            <w:vAlign w:val="center"/>
          </w:tcPr>
          <w:p w14:paraId="7AC81EB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质量强企业模块</w:t>
            </w:r>
          </w:p>
        </w:tc>
        <w:tc>
          <w:tcPr>
            <w:tcW w:w="6738" w:type="dxa"/>
            <w:vAlign w:val="center"/>
          </w:tcPr>
          <w:p w14:paraId="4042C363">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10</w:t>
            </w:r>
            <w:r>
              <w:rPr>
                <w:rFonts w:hint="default" w:ascii="Times New Roman" w:hAnsi="Times New Roman" w:eastAsia="宋体" w:cs="Times New Roman"/>
                <w:b w:val="0"/>
                <w:bCs/>
                <w:color w:val="auto"/>
                <w:sz w:val="21"/>
                <w:szCs w:val="21"/>
                <w:highlight w:val="none"/>
                <w:lang w:val="en-US" w:eastAsia="zh-CN"/>
              </w:rPr>
              <w:t>.1企业质量画像</w:t>
            </w:r>
          </w:p>
          <w:p w14:paraId="252BD2C5">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通过整合关于企业登记注册、行政许可、奖励荣誉等各维度信息，通过企业画像模型对每个企业生成企业质量画像，提供包括图表、统计数据等企业质量画像的可视化展示，支持按区域、行业、企业规模等条件进行数据筛选和分析。</w:t>
            </w:r>
          </w:p>
          <w:p w14:paraId="6E8AA14D">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10</w:t>
            </w:r>
            <w:r>
              <w:rPr>
                <w:rFonts w:hint="default" w:ascii="Times New Roman" w:hAnsi="Times New Roman" w:eastAsia="宋体" w:cs="Times New Roman"/>
                <w:b w:val="0"/>
                <w:bCs/>
                <w:color w:val="auto"/>
                <w:sz w:val="21"/>
                <w:szCs w:val="21"/>
                <w:highlight w:val="none"/>
                <w:lang w:val="en-US" w:eastAsia="zh-CN"/>
              </w:rPr>
              <w:t>.2优秀案例管理</w:t>
            </w:r>
          </w:p>
          <w:p w14:paraId="454A2AE6">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支持管理企业质量提升、质量问题解决、质量技术攻关、质量创新成果、产业链质量提升、质量强区等典型案例等。市州局用户录入案例，由自治区局审核后可发布。</w:t>
            </w:r>
          </w:p>
        </w:tc>
      </w:tr>
      <w:tr w14:paraId="2FB0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1150" w:type="dxa"/>
            <w:vMerge w:val="continue"/>
            <w:vAlign w:val="center"/>
          </w:tcPr>
          <w:p w14:paraId="528575D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12" w:type="dxa"/>
            <w:vAlign w:val="center"/>
          </w:tcPr>
          <w:p w14:paraId="75B766D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质量强县模块</w:t>
            </w:r>
          </w:p>
        </w:tc>
        <w:tc>
          <w:tcPr>
            <w:tcW w:w="6738" w:type="dxa"/>
            <w:vAlign w:val="center"/>
          </w:tcPr>
          <w:p w14:paraId="379E0E93">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w:t>
            </w:r>
            <w:r>
              <w:rPr>
                <w:rFonts w:hint="default" w:ascii="Times New Roman" w:hAnsi="Times New Roman" w:cs="Times New Roman"/>
                <w:b w:val="0"/>
                <w:bCs/>
                <w:color w:val="auto"/>
                <w:sz w:val="21"/>
                <w:szCs w:val="21"/>
                <w:highlight w:val="none"/>
                <w:lang w:val="en-US" w:eastAsia="zh-CN"/>
              </w:rPr>
              <w:t>1</w:t>
            </w:r>
            <w:r>
              <w:rPr>
                <w:rFonts w:hint="default" w:ascii="Times New Roman" w:hAnsi="Times New Roman" w:eastAsia="宋体" w:cs="Times New Roman"/>
                <w:b w:val="0"/>
                <w:bCs/>
                <w:color w:val="auto"/>
                <w:sz w:val="21"/>
                <w:szCs w:val="21"/>
                <w:highlight w:val="none"/>
                <w:lang w:val="en-US" w:eastAsia="zh-CN"/>
              </w:rPr>
              <w:t>.1质量强区培育管理</w:t>
            </w:r>
          </w:p>
          <w:p w14:paraId="2744E470">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质量强区培育申报、质量强区材料审核、质量强区进度跟踪等功能。实现质量强县培育在线申报与全流程管理，市州局制定统一申报格式，各区通过系统上传材料或接口对接自动关联整理数据并填报报送，同时实现申报材料在线审核功能。</w:t>
            </w:r>
          </w:p>
          <w:p w14:paraId="09EE405E">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w:t>
            </w:r>
            <w:r>
              <w:rPr>
                <w:rFonts w:hint="default" w:ascii="Times New Roman" w:hAnsi="Times New Roman" w:cs="Times New Roman"/>
                <w:b w:val="0"/>
                <w:bCs/>
                <w:color w:val="auto"/>
                <w:sz w:val="21"/>
                <w:szCs w:val="21"/>
                <w:highlight w:val="none"/>
                <w:lang w:val="en-US" w:eastAsia="zh-CN"/>
              </w:rPr>
              <w:t>1</w:t>
            </w:r>
            <w:r>
              <w:rPr>
                <w:rFonts w:hint="default" w:ascii="Times New Roman" w:hAnsi="Times New Roman" w:eastAsia="宋体" w:cs="Times New Roman"/>
                <w:b w:val="0"/>
                <w:bCs/>
                <w:color w:val="auto"/>
                <w:sz w:val="21"/>
                <w:szCs w:val="21"/>
                <w:highlight w:val="none"/>
                <w:lang w:val="en-US" w:eastAsia="zh-CN"/>
              </w:rPr>
              <w:t>.2质量指标监测分析</w:t>
            </w:r>
          </w:p>
          <w:p w14:paraId="4DC626EC">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支持质量指标数据管理、质量指标统计分析等功能。实现质量指标数据的全维度管理，支持对指标进行增删改查操作，同时配套数据批量导入与导出功能，满足各类业务对指标数据的灵活管理需求。</w:t>
            </w:r>
          </w:p>
        </w:tc>
      </w:tr>
    </w:tbl>
    <w:p w14:paraId="51D01095">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9.数字化场景驾驶舱分析子系统</w:t>
      </w:r>
    </w:p>
    <w:tbl>
      <w:tblPr>
        <w:tblStyle w:val="4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61"/>
        <w:gridCol w:w="6252"/>
      </w:tblGrid>
      <w:tr w14:paraId="0401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29" w:type="dxa"/>
            <w:vAlign w:val="center"/>
          </w:tcPr>
          <w:p w14:paraId="1E5B62F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系统名称</w:t>
            </w:r>
          </w:p>
        </w:tc>
        <w:tc>
          <w:tcPr>
            <w:tcW w:w="1121" w:type="dxa"/>
            <w:vAlign w:val="center"/>
          </w:tcPr>
          <w:p w14:paraId="481E9EF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模块名称</w:t>
            </w:r>
          </w:p>
        </w:tc>
        <w:tc>
          <w:tcPr>
            <w:tcW w:w="6737" w:type="dxa"/>
            <w:vAlign w:val="center"/>
          </w:tcPr>
          <w:p w14:paraId="7287EAC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规格参数</w:t>
            </w:r>
          </w:p>
        </w:tc>
      </w:tr>
      <w:tr w14:paraId="78BE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17B496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食品监管和“</w:t>
            </w:r>
            <w:r>
              <w:rPr>
                <w:rFonts w:hint="default" w:ascii="Times New Roman" w:hAnsi="Times New Roman" w:eastAsia="宋体" w:cs="Times New Roman"/>
                <w:i w:val="0"/>
                <w:iCs w:val="0"/>
                <w:color w:val="000000"/>
                <w:kern w:val="0"/>
                <w:sz w:val="21"/>
                <w:szCs w:val="21"/>
                <w:highlight w:val="none"/>
                <w:u w:val="none"/>
                <w:lang w:val="en-US" w:eastAsia="zh-CN" w:bidi="ar"/>
              </w:rPr>
              <w:t>质量强企强链</w:t>
            </w:r>
            <w:r>
              <w:rPr>
                <w:rFonts w:hint="default" w:ascii="Times New Roman" w:hAnsi="Times New Roman" w:eastAsia="宋体" w:cs="Times New Roman"/>
                <w:b w:val="0"/>
                <w:bCs/>
                <w:color w:val="auto"/>
                <w:sz w:val="21"/>
                <w:szCs w:val="21"/>
                <w:highlight w:val="none"/>
                <w:lang w:val="en-US" w:eastAsia="zh-CN"/>
              </w:rPr>
              <w:t>”系统-数字化场景驾驶舱分析子系统</w:t>
            </w:r>
          </w:p>
        </w:tc>
        <w:tc>
          <w:tcPr>
            <w:tcW w:w="1121" w:type="dxa"/>
            <w:vAlign w:val="center"/>
          </w:tcPr>
          <w:p w14:paraId="29A2BF6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业务总览一张屏</w:t>
            </w:r>
          </w:p>
        </w:tc>
        <w:tc>
          <w:tcPr>
            <w:tcW w:w="6737" w:type="dxa"/>
            <w:vAlign w:val="center"/>
          </w:tcPr>
          <w:p w14:paraId="50BBEBEE">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 w:eastAsia="zh-CN"/>
              </w:rPr>
              <w:t>1.</w:t>
            </w:r>
            <w:r>
              <w:rPr>
                <w:rFonts w:hint="default" w:ascii="Times New Roman" w:hAnsi="Times New Roman" w:eastAsia="宋体" w:cs="Times New Roman"/>
                <w:b w:val="0"/>
                <w:bCs/>
                <w:color w:val="auto"/>
                <w:sz w:val="21"/>
                <w:szCs w:val="21"/>
                <w:highlight w:val="none"/>
                <w:lang w:val="en-US" w:eastAsia="zh-CN"/>
              </w:rPr>
              <w:t>支持从营商环境、安全监管、质量提升、信用监管、市场秩序以及执法稽查等六个方面整体展示市场监管相关情况。</w:t>
            </w:r>
          </w:p>
        </w:tc>
      </w:tr>
      <w:tr w14:paraId="175C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4B40435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21" w:type="dxa"/>
            <w:vAlign w:val="center"/>
          </w:tcPr>
          <w:p w14:paraId="1C28F6C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工作进展一张屏</w:t>
            </w:r>
          </w:p>
        </w:tc>
        <w:tc>
          <w:tcPr>
            <w:tcW w:w="6737" w:type="dxa"/>
            <w:vAlign w:val="center"/>
          </w:tcPr>
          <w:p w14:paraId="4640B4E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i w:val="0"/>
                <w:iCs w:val="0"/>
                <w:color w:val="auto"/>
                <w:kern w:val="0"/>
                <w:sz w:val="21"/>
                <w:szCs w:val="21"/>
                <w:highlight w:val="none"/>
                <w:u w:val="none"/>
                <w:lang w:val="en" w:eastAsia="zh-CN" w:bidi="ar"/>
              </w:rPr>
              <w:t>2.</w:t>
            </w:r>
            <w:r>
              <w:rPr>
                <w:rFonts w:hint="default" w:ascii="Times New Roman" w:hAnsi="Times New Roman" w:eastAsia="宋体" w:cs="Times New Roman"/>
                <w:b w:val="0"/>
                <w:bCs/>
                <w:i w:val="0"/>
                <w:iCs w:val="0"/>
                <w:color w:val="auto"/>
                <w:kern w:val="0"/>
                <w:sz w:val="21"/>
                <w:szCs w:val="21"/>
                <w:highlight w:val="none"/>
                <w:u w:val="none"/>
                <w:lang w:val="en-US" w:eastAsia="zh-CN" w:bidi="ar"/>
              </w:rPr>
              <w:t>支持从食品监管、特种设备监管、工业产品监管、检验检测监管、纤维监管等几类监管中通过一张大屏展示本级机构目前的监管任务进度，执法案件数量、信用监管情况等来分析，区县及所级用户可以通过此页面掌握本级机构的工作进展。</w:t>
            </w:r>
          </w:p>
        </w:tc>
      </w:tr>
      <w:tr w14:paraId="26B1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2A59922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1" w:type="dxa"/>
            <w:vAlign w:val="center"/>
          </w:tcPr>
          <w:p w14:paraId="03AEB10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10" w:name="_Toc32568"/>
            <w:r>
              <w:rPr>
                <w:rFonts w:hint="default" w:ascii="Times New Roman" w:hAnsi="Times New Roman" w:eastAsia="宋体" w:cs="Times New Roman"/>
                <w:b w:val="0"/>
                <w:bCs/>
                <w:color w:val="auto"/>
                <w:kern w:val="2"/>
                <w:sz w:val="21"/>
                <w:szCs w:val="21"/>
                <w:highlight w:val="none"/>
                <w:vertAlign w:val="baseline"/>
                <w:lang w:val="en-US" w:eastAsia="zh-CN" w:bidi="ar-SA"/>
              </w:rPr>
              <w:t>营商环境</w:t>
            </w:r>
            <w:bookmarkEnd w:id="510"/>
          </w:p>
        </w:tc>
        <w:tc>
          <w:tcPr>
            <w:tcW w:w="6737" w:type="dxa"/>
            <w:vAlign w:val="center"/>
          </w:tcPr>
          <w:p w14:paraId="68BE7B6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3.1在业经营主体情况分析</w:t>
            </w:r>
          </w:p>
          <w:p w14:paraId="4B621940">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支持针对在业经营主体的主体类别、行业、发展走势等开展态势分析。展示内容：1.经营主体类别分析：对经营主体进行分类，详细展示各类经营主体的特点、数量、占比等；2.产业分析：分析经营主体的产业分布、主要产业类型、发展趋势等。</w:t>
            </w:r>
          </w:p>
          <w:p w14:paraId="465B7A1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3.2在业经营主体行业分析</w:t>
            </w:r>
          </w:p>
          <w:p w14:paraId="5CAA0076">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针对在业经营主体按行业分布、地（州、市）分布情况、发展趋势等开展态势分析。展示内容：1.行业分析：对经营主体的行业属性、主要行业、发展趋势等进行深入分析；2.区域市场主体与GDP的关联分析：分析经营主体在区域市场的数量、占比、发展趋势等。功能要求：支持日期过滤、数据联动、关键指标数据下钻、指标动效以及页面导出等功能。</w:t>
            </w:r>
          </w:p>
          <w:p w14:paraId="103DB5E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3.3新登记市场主体情况分析</w:t>
            </w:r>
          </w:p>
          <w:p w14:paraId="5A7AA953">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针对新登记市场主体按主体类型、注册资本等开展态势分析。展示内容：展示一定时间段内新设主体情况、新增资本情况，按不同主体类型展示企业新增信息。功能要求：支持日期过滤、数据联动、关键数据下钻、指标动效以及页面导出等功能。</w:t>
            </w:r>
          </w:p>
          <w:p w14:paraId="042E1D8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3.4企业生命周期情况</w:t>
            </w:r>
          </w:p>
          <w:p w14:paraId="29339391">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针对企业从开办到注销的全流程，分析企业平均生命周期。展示内容：1.所有在业企业的平均年龄信息；2.所有在业企业中不同注册资金区间的企业平均寿命；3.各地（州、市）企业的平均年龄信息。功能要求：支持数据联动、指标说明、指标动效以及页面导出等功能。</w:t>
            </w:r>
          </w:p>
          <w:p w14:paraId="5155424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3.5来疆投资情况分析</w:t>
            </w:r>
          </w:p>
          <w:p w14:paraId="4F1F2E94">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按区域、省份分析外省来疆投资分布情况，开展态势分析。展示内容：开发来疆投资分析大屏页面，包含国内各省份来疆投资情况及外资在疆投资分析。功能要求：支持日期过滤、数据联动、指标说明、指标动效以及页面导出等功能。</w:t>
            </w:r>
          </w:p>
          <w:p w14:paraId="12E85CA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3.6行政许可情况分析</w:t>
            </w:r>
          </w:p>
          <w:p w14:paraId="2CFFD9B1">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按许可类型、地市分布分析全疆行政许可分布情况。展示内容：开发行政许可大屏页面，包含食品、药品、特种设备、工业产品等相关行政许可总量及许可分布情况。功能要求：支持日期过滤、页面导出等功能。</w:t>
            </w:r>
          </w:p>
          <w:p w14:paraId="29A31C1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3.7高成长高衰退情况分析</w:t>
            </w:r>
          </w:p>
          <w:p w14:paraId="29C5DD95">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按区域、行业类型、主体类型分析全疆企业高增长、高衰退企业分布情况并展现。展示内容：开发高成长高衰退分析大屏页面，包含高成长行业top10、高衰退行业top10、各设区市高成长高衰退行业展示等内容。功能要求：支持日期过滤、页面导出、指标说明等功能。</w:t>
            </w:r>
          </w:p>
          <w:p w14:paraId="72981C2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3.8市场主体年报情况分析</w:t>
            </w:r>
          </w:p>
          <w:p w14:paraId="0E9A69C5">
            <w:pPr>
              <w:keepNext w:val="0"/>
              <w:keepLines w:val="0"/>
              <w:widowControl/>
              <w:suppressLineNumbers w:val="0"/>
              <w:ind w:firstLine="420" w:firstLineChars="200"/>
              <w:jc w:val="left"/>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strike w:val="0"/>
                <w:color w:val="auto"/>
                <w:kern w:val="0"/>
                <w:sz w:val="21"/>
                <w:szCs w:val="21"/>
                <w:highlight w:val="none"/>
                <w:u w:val="none"/>
                <w:lang w:val="en-US" w:eastAsia="zh-CN" w:bidi="ar"/>
              </w:rPr>
              <w:t>支持日期过滤、数据联动、数据下钻、指标动效以及页面导出等功能。实现通过全疆市场主体年报数据，按行业、区域、市场主体类型开展态势分析。展示内容：开发市场主体年报大屏页面，包含行业、区域、市场主体类别年报等内容。</w:t>
            </w:r>
          </w:p>
          <w:p w14:paraId="60FA5D5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3.9双随机检查情况分析</w:t>
            </w:r>
          </w:p>
          <w:p w14:paraId="2A058011">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日期过滤、数据联动、数据下钻、指标动效以及页面导出等功能。实现针对双随机检查情况、抽查比率、地州双随机开展情况开展态势分析。展示内容：开发双随机检查分析大屏页面，包含一单两库建设、抽查情况、抽查比率、各设地州双随机开展情况以及重点领域双随机检查情况等内容。</w:t>
            </w:r>
          </w:p>
          <w:p w14:paraId="36B4093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3.10经营异常名录情况分析</w:t>
            </w:r>
          </w:p>
          <w:p w14:paraId="7092E95E">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联动、数据下钻、指标动效以及页面导出等功能。针对企业被列入经营异常名录的情况开展态势分析。展示内容：开发经营异常名录大屏分析页面，包含列异原因分析、移出分析、按类别分析异常名录数据等。</w:t>
            </w:r>
          </w:p>
          <w:p w14:paraId="0BBC844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3.11严重违法失信企业情况</w:t>
            </w:r>
          </w:p>
          <w:p w14:paraId="1EACF1C8">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联动、数据下钻、指标动效以及页面导出等功能。实现针对严重违法失信企业开展态势分析。展示内容：开发违法失信企业大屏分析页面，包含按行业、日期、企业年龄分布、注册资本规模等维度展示严重违法失信企业的分布情况。</w:t>
            </w:r>
          </w:p>
          <w:p w14:paraId="252BCB4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3.12退出经营主体情况</w:t>
            </w:r>
          </w:p>
          <w:p w14:paraId="1C6F3798">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联动、数据下钻、指标动效以及页面导出等功能。实现针对退出经营主体开展态势分析。展示内容：开发退出经营主体大屏分析页面，包含本年度退出主体分析、退出主体经营结构分析、退出主体按行业分析、退出主体按地（州、市）分析。</w:t>
            </w:r>
          </w:p>
          <w:p w14:paraId="0540140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3.13风险预警分析</w:t>
            </w:r>
          </w:p>
          <w:p w14:paraId="3DBA043C">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数据下钻以及页面导出等功能。实现针对企业登记注册信息开展数据风险分析，进行企业登记预警分析。展示内容：通过列表展示企业基础信息缺失、一人多户、一码多户、法定代表人变更、投资人年龄、一址多照信息。</w:t>
            </w:r>
          </w:p>
        </w:tc>
      </w:tr>
      <w:tr w14:paraId="4694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continue"/>
            <w:vAlign w:val="center"/>
          </w:tcPr>
          <w:p w14:paraId="4DB8F36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1" w:type="dxa"/>
            <w:vAlign w:val="center"/>
          </w:tcPr>
          <w:p w14:paraId="0D7B8F1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11" w:name="_Toc24293"/>
            <w:r>
              <w:rPr>
                <w:rFonts w:hint="default" w:ascii="Times New Roman" w:hAnsi="Times New Roman" w:eastAsia="宋体" w:cs="Times New Roman"/>
                <w:b w:val="0"/>
                <w:bCs/>
                <w:color w:val="auto"/>
                <w:kern w:val="2"/>
                <w:sz w:val="21"/>
                <w:szCs w:val="21"/>
                <w:highlight w:val="none"/>
                <w:vertAlign w:val="baseline"/>
                <w:lang w:val="en-US" w:eastAsia="zh-CN" w:bidi="ar-SA"/>
              </w:rPr>
              <w:t>安全监管</w:t>
            </w:r>
            <w:bookmarkEnd w:id="511"/>
          </w:p>
        </w:tc>
        <w:tc>
          <w:tcPr>
            <w:tcW w:w="6737" w:type="dxa"/>
            <w:vAlign w:val="center"/>
          </w:tcPr>
          <w:p w14:paraId="68251E9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4.1食品安全总体情况</w:t>
            </w:r>
          </w:p>
          <w:p w14:paraId="42E0C2AB">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支持数据联动、数据下钻、指标动效以及页面导出等功能。实现针对食品安全的监管情况进行态势分析。展示内容：开发食品安全综合大屏分析页面，包含食品生产、经营、小作坊等相关汇总分析等内容。</w:t>
            </w:r>
          </w:p>
          <w:p w14:paraId="1357400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4.2食品生产监督检查情况</w:t>
            </w:r>
          </w:p>
          <w:p w14:paraId="22A67EF5">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支持数据下钻、指标动效以及页面导出等功能。实现针对食品生产监督检查情况进行态势分析。展示内容：展示食品生产检查数量及检查结果等相关汇总分析内容。</w:t>
            </w:r>
          </w:p>
          <w:p w14:paraId="5733EF8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4.3食品经营监督检查情况</w:t>
            </w:r>
          </w:p>
          <w:p w14:paraId="7BC92B36">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支持数据下钻、指标动效以及页面导出等功能。实现针对食品经营监督检查进行态势分析。展示内容：展示食品经营检查主体数量及检查结果等相关汇总分析内容。</w:t>
            </w:r>
          </w:p>
          <w:p w14:paraId="0184BE9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4.4食品抽检监测</w:t>
            </w:r>
          </w:p>
          <w:p w14:paraId="3D32EFC4">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支持数据下钻、指标动效以及页面导出等功能。实现对食品抽检监测数据进行态势分析。展示内容：开发食品抽查情况大屏分析页面，包含抽检不合格分析、处置情况等内容</w:t>
            </w:r>
          </w:p>
          <w:p w14:paraId="44AC967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4.5特种设备总体情况</w:t>
            </w:r>
          </w:p>
          <w:p w14:paraId="472B5E7A">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针对特种设备监督检查情况进行态势分析。展示内容：开发特种设备安全总体情况大屏分析页面，包含各类设备数量、安全检查情况、设备使用登记情况等分析内容。</w:t>
            </w:r>
          </w:p>
          <w:p w14:paraId="3448DA9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4.6特种登记使用情况</w:t>
            </w:r>
          </w:p>
          <w:p w14:paraId="06E37953">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对特种设备登记使用数据进行态势分析。展示内容：开发特种设备登记使用情况大屏分析页面，包含累计登记特种设备情况、重点监控设备、特设生产单位、设备登记使用情况等内容。</w:t>
            </w:r>
          </w:p>
          <w:p w14:paraId="200BF44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4.7特种设备检验情况</w:t>
            </w:r>
          </w:p>
          <w:p w14:paraId="7C09090B">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支持数据下钻、指标动效以及页面导出等功能。实现对特种设备检验检测数据进行态势分析。展示内容：开发特种设备检验情况大屏分析页面，包含设备检验率、临期/超期检查设备情况、设备检验分析等内容。</w:t>
            </w:r>
          </w:p>
          <w:p w14:paraId="4AF081A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4.8工业产品安全质量情况</w:t>
            </w:r>
          </w:p>
          <w:p w14:paraId="63948D48">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支持数据下钻、指标动效以及页面导出等功能。实现针对工业产品安全质量情况进行态势分析。展示内容：开发工业产品质量安全大屏分析页面，包含产品覆盖领域、总体情况以及许可走势等内容。</w:t>
            </w:r>
          </w:p>
        </w:tc>
      </w:tr>
      <w:tr w14:paraId="176E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75D6C3E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1" w:type="dxa"/>
            <w:vAlign w:val="center"/>
          </w:tcPr>
          <w:p w14:paraId="411223E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12" w:name="_Toc21999"/>
            <w:r>
              <w:rPr>
                <w:rFonts w:hint="default" w:ascii="Times New Roman" w:hAnsi="Times New Roman" w:eastAsia="宋体" w:cs="Times New Roman"/>
                <w:b w:val="0"/>
                <w:bCs/>
                <w:color w:val="auto"/>
                <w:kern w:val="2"/>
                <w:sz w:val="21"/>
                <w:szCs w:val="21"/>
                <w:highlight w:val="none"/>
                <w:vertAlign w:val="baseline"/>
                <w:lang w:val="en-US" w:eastAsia="zh-CN" w:bidi="ar-SA"/>
              </w:rPr>
              <w:t>执法办案</w:t>
            </w:r>
            <w:bookmarkEnd w:id="512"/>
          </w:p>
        </w:tc>
        <w:tc>
          <w:tcPr>
            <w:tcW w:w="6737" w:type="dxa"/>
            <w:vAlign w:val="center"/>
          </w:tcPr>
          <w:p w14:paraId="66F9CC9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5.1执法办案总览</w:t>
            </w:r>
          </w:p>
          <w:p w14:paraId="2A78639B">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支持数据下钻、指标动效以及页面导出等功能。实现针对执法办案的业务开展情况进行分析。展示内容：开发执法稽查情况大屏分析页面，包含制造违法行为种类等相关汇总分析等内容。</w:t>
            </w:r>
          </w:p>
          <w:p w14:paraId="23186C3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5.2食品安全执法情况</w:t>
            </w:r>
          </w:p>
          <w:p w14:paraId="0AC83BC5">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针对食品安全执法的相关数据内容进行态势分析。展示内容：开发食品安全执法大屏分析页面，包含立案量、处罚量、案值、罚没金额、各地（州、市）食品案件分析等内容。</w:t>
            </w:r>
          </w:p>
          <w:p w14:paraId="7A65101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5.3产品质量执法情况</w:t>
            </w:r>
          </w:p>
          <w:p w14:paraId="65D7B70E">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针对产品质量执法情况数据进行态势分析。展示内容：开发产品质量执法大屏分析页面，包含立案量、处罚量、案值、罚没金额、各地（州、市）产品质量案件分析等内容。</w:t>
            </w:r>
          </w:p>
          <w:p w14:paraId="02D98E9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5.4知识产权执法情况</w:t>
            </w:r>
          </w:p>
          <w:p w14:paraId="6318136C">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针对知识产权执法数据进行态势分析。展示内容：开发知识产权执法大屏分析页面，包含立案量、处罚量、案值、罚没金额、各地（州、市）知识产权案件分析等内容。</w:t>
            </w:r>
          </w:p>
          <w:p w14:paraId="199857A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5.5市场秩序执法情况</w:t>
            </w:r>
          </w:p>
          <w:p w14:paraId="55F72F27">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数据下钻、指标动效以及页面导出等功能。实现对市场秩序执法数据进行态势分析。展示内容：开发市场秩序执法大屏分析页面，包含立案量、处罚量、案值、罚没金额、各地（州、市）市场秩序案件分析等内容。</w:t>
            </w:r>
          </w:p>
        </w:tc>
      </w:tr>
    </w:tbl>
    <w:p w14:paraId="120F15AA">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10.新疆食品追溯子系统</w:t>
      </w:r>
    </w:p>
    <w:tbl>
      <w:tblPr>
        <w:tblStyle w:val="41"/>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066"/>
        <w:gridCol w:w="6251"/>
      </w:tblGrid>
      <w:tr w14:paraId="6042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38" w:type="dxa"/>
            <w:vAlign w:val="center"/>
          </w:tcPr>
          <w:p w14:paraId="2D3425A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系统名称</w:t>
            </w:r>
          </w:p>
        </w:tc>
        <w:tc>
          <w:tcPr>
            <w:tcW w:w="1125" w:type="dxa"/>
            <w:vAlign w:val="center"/>
          </w:tcPr>
          <w:p w14:paraId="59C8A01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模块名称</w:t>
            </w:r>
          </w:p>
        </w:tc>
        <w:tc>
          <w:tcPr>
            <w:tcW w:w="6725" w:type="dxa"/>
            <w:vAlign w:val="center"/>
          </w:tcPr>
          <w:p w14:paraId="287DE0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规格参数</w:t>
            </w:r>
          </w:p>
        </w:tc>
      </w:tr>
      <w:tr w14:paraId="06E9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vAlign w:val="center"/>
          </w:tcPr>
          <w:p w14:paraId="129DAA8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kern w:val="0"/>
                <w:sz w:val="21"/>
                <w:szCs w:val="21"/>
                <w:highlight w:val="none"/>
              </w:rPr>
              <w:t>食品监管和“</w:t>
            </w:r>
            <w:r>
              <w:rPr>
                <w:rFonts w:hint="default" w:ascii="Times New Roman" w:hAnsi="Times New Roman" w:eastAsia="宋体" w:cs="Times New Roman"/>
                <w:i w:val="0"/>
                <w:iCs w:val="0"/>
                <w:color w:val="000000"/>
                <w:kern w:val="0"/>
                <w:sz w:val="21"/>
                <w:szCs w:val="21"/>
                <w:highlight w:val="none"/>
                <w:u w:val="none"/>
                <w:lang w:val="en-US" w:eastAsia="zh-CN" w:bidi="ar"/>
              </w:rPr>
              <w:t>质量强企强链</w:t>
            </w:r>
            <w:r>
              <w:rPr>
                <w:rFonts w:hint="default" w:ascii="Times New Roman" w:hAnsi="Times New Roman" w:eastAsia="宋体" w:cs="Times New Roman"/>
                <w:b w:val="0"/>
                <w:bCs/>
                <w:color w:val="auto"/>
                <w:kern w:val="0"/>
                <w:sz w:val="21"/>
                <w:szCs w:val="21"/>
                <w:highlight w:val="none"/>
              </w:rPr>
              <w:t>”系统-新疆食品追溯子系统</w:t>
            </w:r>
          </w:p>
        </w:tc>
        <w:tc>
          <w:tcPr>
            <w:tcW w:w="1125" w:type="dxa"/>
            <w:vAlign w:val="center"/>
          </w:tcPr>
          <w:p w14:paraId="24CC1AE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513" w:name="_Toc215575633"/>
            <w:r>
              <w:rPr>
                <w:rFonts w:hint="default" w:ascii="Times New Roman" w:hAnsi="Times New Roman" w:eastAsia="宋体" w:cs="Times New Roman"/>
                <w:b w:val="0"/>
                <w:bCs/>
                <w:color w:val="auto"/>
                <w:sz w:val="21"/>
                <w:szCs w:val="21"/>
                <w:highlight w:val="none"/>
                <w:lang w:val="en-US" w:eastAsia="zh-CN"/>
              </w:rPr>
              <w:t>备案检查</w:t>
            </w:r>
            <w:bookmarkEnd w:id="513"/>
          </w:p>
        </w:tc>
        <w:tc>
          <w:tcPr>
            <w:tcW w:w="6725" w:type="dxa"/>
            <w:vAlign w:val="center"/>
          </w:tcPr>
          <w:p w14:paraId="432433C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1.1备案管理</w:t>
            </w:r>
          </w:p>
          <w:p w14:paraId="4EAEBE60">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尚未检查、通过检查、未通过检查、全部、锁定解锁等功能。实现按检查状态分类展示食品备案信息，均支持条形码、名称等多条件搜索，分别满足监管人员梳理未检查食品、查询合规食品、跟踪不合格食品及集中处理全量数据（含批量管理、删除）的需求；同时支持食品锁定解锁操作，锁定后禁止其进出库/货以管控问题食品流通，解锁后可恢复正常流通，全方位保障食品备案合规与食品安全监管。</w:t>
            </w:r>
          </w:p>
          <w:p w14:paraId="5504847F">
            <w:pPr>
              <w:bidi w:val="0"/>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1.2</w:t>
            </w:r>
            <w:r>
              <w:rPr>
                <w:rFonts w:hint="default" w:ascii="Times New Roman" w:hAnsi="Times New Roman" w:eastAsia="宋体" w:cs="Times New Roman"/>
                <w:b w:val="0"/>
                <w:bCs/>
                <w:color w:val="auto"/>
                <w:sz w:val="21"/>
                <w:szCs w:val="21"/>
                <w:highlight w:val="none"/>
              </w:rPr>
              <w:t>备案检查</w:t>
            </w:r>
          </w:p>
          <w:p w14:paraId="3E0FCC58">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支持尚未检查、通过检查、未通过检查等功能。实现食品检查全流程的状态化管理，支持对尚未检查食品开展计划检查、通过检查食品进行按需复查、未通过检查食品整改后复核查验并回退待检状态。</w:t>
            </w:r>
          </w:p>
          <w:p w14:paraId="4A9C04B3">
            <w:pPr>
              <w:bidi w:val="0"/>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1.3</w:t>
            </w:r>
            <w:r>
              <w:rPr>
                <w:rFonts w:hint="default" w:ascii="Times New Roman" w:hAnsi="Times New Roman" w:eastAsia="宋体" w:cs="Times New Roman"/>
                <w:b w:val="0"/>
                <w:bCs/>
                <w:color w:val="auto"/>
                <w:sz w:val="21"/>
                <w:szCs w:val="21"/>
                <w:highlight w:val="none"/>
              </w:rPr>
              <w:t>供货商备案检查</w:t>
            </w:r>
          </w:p>
          <w:p w14:paraId="78F17F5F">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未检查、通过检查、未通过检查等功能。实现供应商检查全状态的规范化管理，支持按名称、备案号检索供应商，同时为未检查、通过检查、未通过检查的供应商分别提供检查、复查、整改后再检查及删除操作。</w:t>
            </w:r>
          </w:p>
          <w:p w14:paraId="47E97B9C">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1.4质检报告检查</w:t>
            </w:r>
          </w:p>
          <w:p w14:paraId="44E0B8F4">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尚未检查、通过检查、未通过检查等功能。实现食品质检报告全检查状态的精细化管理，支持按条码、名称、编号多维度检索报告，为尚未检查、通过检查、未通过检查的质检报告分别匹配检查、复查、重新检查的针对性操作。</w:t>
            </w:r>
          </w:p>
          <w:p w14:paraId="509B5582">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1.5证照变更检查</w:t>
            </w:r>
          </w:p>
          <w:p w14:paraId="1D36BAE5">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尚未检查、通过检查、未通过检查等功能。实现证照变更请求全检查状态的规范化管理，支持按名称、企业、编号、证照类型多维度检索，对未检查请求开展合规审核并查看详情，通过的留存变更信息供查询，未通过的反馈问题并支持企业整改后重新提交申请。</w:t>
            </w:r>
          </w:p>
          <w:p w14:paraId="4B78E1F1">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1.6标识标签检查</w:t>
            </w:r>
          </w:p>
          <w:p w14:paraId="729B03AD">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尚未检查、已检查、未通过检查等功能。实现食品标识标签检查全状态的规范化管理，支持按名称、编号检索标签信息，对尚未检查的开展合规审查，已检查的留存记录供查询，未通过的反馈问题并督促企业完成整改。</w:t>
            </w:r>
          </w:p>
        </w:tc>
      </w:tr>
      <w:tr w14:paraId="65A3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7315500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25" w:type="dxa"/>
            <w:vAlign w:val="center"/>
          </w:tcPr>
          <w:p w14:paraId="2EA2D0C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rPr>
              <w:t>过期食品</w:t>
            </w:r>
          </w:p>
        </w:tc>
        <w:tc>
          <w:tcPr>
            <w:tcW w:w="6725" w:type="dxa"/>
            <w:vAlign w:val="center"/>
          </w:tcPr>
          <w:p w14:paraId="0A74237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2"/>
                <w:sz w:val="21"/>
                <w:szCs w:val="21"/>
                <w:highlight w:val="none"/>
                <w:vertAlign w:val="baseline"/>
                <w:lang w:val="en-US" w:eastAsia="zh-CN" w:bidi="ar-SA"/>
              </w:rPr>
              <w:t>2.1</w:t>
            </w:r>
            <w:r>
              <w:rPr>
                <w:rFonts w:hint="default" w:ascii="Times New Roman" w:hAnsi="Times New Roman" w:eastAsia="宋体" w:cs="Times New Roman"/>
                <w:b w:val="0"/>
                <w:bCs/>
                <w:color w:val="auto"/>
                <w:sz w:val="21"/>
                <w:szCs w:val="21"/>
                <w:highlight w:val="none"/>
              </w:rPr>
              <w:t>已过期食品</w:t>
            </w:r>
          </w:p>
          <w:p w14:paraId="4CE43193">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通过搜索和全部记录等功能。实现查看已经过期的食品详细信息，包括名称、批次、过期时间、数量、商家等。监管人员可据此对过期食品进行清查，要求商家下架、召回过期食品，防止过期食品继续在市场流通，保障消费者食品安全。</w:t>
            </w:r>
          </w:p>
          <w:p w14:paraId="5D619CF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2.2</w:t>
            </w:r>
            <w:r>
              <w:rPr>
                <w:rFonts w:hint="default" w:ascii="Times New Roman" w:hAnsi="Times New Roman" w:eastAsia="宋体" w:cs="Times New Roman"/>
                <w:b w:val="0"/>
                <w:bCs/>
                <w:color w:val="auto"/>
                <w:sz w:val="21"/>
                <w:szCs w:val="21"/>
                <w:highlight w:val="none"/>
              </w:rPr>
              <w:t>即将过期食品</w:t>
            </w:r>
          </w:p>
          <w:p w14:paraId="6E33ACD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查看在2天、7天、30天、90天、半年内即将过期的食品信息，涵盖单位、编号、名称、商家、生产批次、进货时间、剩余数量等。监管人员可提前预警，督促商家采取促销、下架等措施处理即将过期食品，减少食品浪费，同时保障消费者权益。</w:t>
            </w:r>
          </w:p>
        </w:tc>
      </w:tr>
      <w:tr w14:paraId="6F5B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5B75461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75A1912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rPr>
              <w:t>过期证照</w:t>
            </w:r>
          </w:p>
        </w:tc>
        <w:tc>
          <w:tcPr>
            <w:tcW w:w="6725" w:type="dxa"/>
            <w:vAlign w:val="center"/>
          </w:tcPr>
          <w:p w14:paraId="71E7E03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3.1质检报告</w:t>
            </w:r>
          </w:p>
          <w:p w14:paraId="7EB2C1F8">
            <w:pPr>
              <w:ind w:firstLine="420" w:firstLineChars="200"/>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w:t>
            </w:r>
            <w:r>
              <w:rPr>
                <w:rFonts w:hint="default" w:ascii="Times New Roman" w:hAnsi="Times New Roman" w:eastAsia="宋体" w:cs="Times New Roman"/>
                <w:b w:val="0"/>
                <w:bCs/>
                <w:color w:val="auto"/>
                <w:sz w:val="21"/>
                <w:szCs w:val="21"/>
                <w:highlight w:val="none"/>
              </w:rPr>
              <w:t>已过期</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即将过期</w:t>
            </w:r>
            <w:r>
              <w:rPr>
                <w:rFonts w:hint="default" w:ascii="Times New Roman" w:hAnsi="Times New Roman" w:eastAsia="宋体" w:cs="Times New Roman"/>
                <w:b w:val="0"/>
                <w:bCs/>
                <w:color w:val="auto"/>
                <w:sz w:val="21"/>
                <w:szCs w:val="21"/>
                <w:highlight w:val="none"/>
                <w:lang w:val="en-US" w:eastAsia="zh-CN"/>
              </w:rPr>
              <w:t>等功能。实现食品质检报告过期状态的专项管理，清晰展示已过期食品的详细信息，同时呈现即将过期食品的剩余天数、商家名称等关键信息并支持多维度检索。</w:t>
            </w:r>
          </w:p>
          <w:p w14:paraId="59B9469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3.2营业执照</w:t>
            </w:r>
          </w:p>
          <w:p w14:paraId="1EB4CAF5">
            <w:pPr>
              <w:keepNext w:val="0"/>
              <w:keepLines w:val="0"/>
              <w:pageBreakBefore w:val="0"/>
              <w:widowControl w:val="0"/>
              <w:tabs>
                <w:tab w:val="left" w:pos="608"/>
              </w:tabs>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w:t>
            </w:r>
            <w:r>
              <w:rPr>
                <w:rFonts w:hint="default" w:ascii="Times New Roman" w:hAnsi="Times New Roman" w:eastAsia="宋体" w:cs="Times New Roman"/>
                <w:b w:val="0"/>
                <w:bCs/>
                <w:color w:val="auto"/>
                <w:sz w:val="21"/>
                <w:szCs w:val="21"/>
                <w:highlight w:val="none"/>
              </w:rPr>
              <w:t>已过期</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即将过期</w:t>
            </w:r>
            <w:r>
              <w:rPr>
                <w:rFonts w:hint="default" w:ascii="Times New Roman" w:hAnsi="Times New Roman" w:eastAsia="宋体" w:cs="Times New Roman"/>
                <w:b w:val="0"/>
                <w:bCs/>
                <w:color w:val="auto"/>
                <w:sz w:val="21"/>
                <w:szCs w:val="21"/>
                <w:highlight w:val="none"/>
                <w:lang w:val="en-US" w:eastAsia="zh-CN"/>
              </w:rPr>
              <w:t>等功能。实现企业执照过期状态的专项管控，清晰展示已过期、即将过期的企业信息且均支持名称和编号检索，匹配对应的监管处置与提前提醒功能。</w:t>
            </w:r>
          </w:p>
          <w:p w14:paraId="2A715B1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3.3生产经营许可</w:t>
            </w:r>
          </w:p>
          <w:p w14:paraId="5C9BD8BD">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w:t>
            </w:r>
            <w:r>
              <w:rPr>
                <w:rFonts w:hint="default" w:ascii="Times New Roman" w:hAnsi="Times New Roman" w:eastAsia="宋体" w:cs="Times New Roman"/>
                <w:b w:val="0"/>
                <w:bCs/>
                <w:color w:val="auto"/>
                <w:sz w:val="21"/>
                <w:szCs w:val="21"/>
                <w:highlight w:val="none"/>
              </w:rPr>
              <w:t>已过期</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即将过期</w:t>
            </w:r>
            <w:r>
              <w:rPr>
                <w:rFonts w:hint="default" w:ascii="Times New Roman" w:hAnsi="Times New Roman" w:eastAsia="宋体" w:cs="Times New Roman"/>
                <w:b w:val="0"/>
                <w:bCs/>
                <w:color w:val="auto"/>
                <w:sz w:val="21"/>
                <w:szCs w:val="21"/>
                <w:highlight w:val="none"/>
                <w:lang w:val="en-US" w:eastAsia="zh-CN"/>
              </w:rPr>
              <w:t>等功能。实现生产经营许可过期状态的专项管理，清晰展示已过期、即将过期的许可信息且均支持企业名称和编号检索，其中即将过期信息还呈现剩余天数等关键内容。</w:t>
            </w:r>
          </w:p>
        </w:tc>
      </w:tr>
      <w:tr w14:paraId="1099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8" w:type="dxa"/>
            <w:vMerge w:val="continue"/>
            <w:vAlign w:val="center"/>
          </w:tcPr>
          <w:p w14:paraId="7AF7C64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341D7EC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商家管理</w:t>
            </w:r>
          </w:p>
        </w:tc>
        <w:tc>
          <w:tcPr>
            <w:tcW w:w="6725" w:type="dxa"/>
            <w:vAlign w:val="center"/>
          </w:tcPr>
          <w:p w14:paraId="472098B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4.1注册审核</w:t>
            </w:r>
          </w:p>
          <w:p w14:paraId="6F92EEF0">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未审核、注册审核未通过等功能。实现商家注册审核的全流程管理，覆盖未审核、注册审核未通过两类状态，支持展示用户类型、企业名称等核心信息，配备搜索、查看及审核功能，对审核未通过商家还可查看其信息修改状态。</w:t>
            </w:r>
          </w:p>
          <w:p w14:paraId="7EF7D52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4.2已审核商家信息</w:t>
            </w:r>
          </w:p>
          <w:p w14:paraId="10C676B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支持管理已审核商家信息。实现企业账户，名称，类型，负责人，联系方式，登记时间，可以查看，删除，锁定，打回。</w:t>
            </w:r>
          </w:p>
          <w:p w14:paraId="0291CFA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4.3商家变更审核</w:t>
            </w:r>
          </w:p>
          <w:p w14:paraId="58F89959">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新变更、变更未通过等功能。实现企业信息变更的全流程管理，覆盖新变更、变更未通过两类状态，对新提交的变更申请展示企业名称、账户等核心信息并支持相关操作，对审核未通过的变更可按多维度检索并开展查看、审核操作。</w:t>
            </w:r>
          </w:p>
          <w:p w14:paraId="7A04AC7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4.4商家密匙管理</w:t>
            </w:r>
          </w:p>
          <w:p w14:paraId="345F2D92">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支持商家k认证和短信认证管理，包括用户账户，单位名称，支持按照名称和编号搜索，通过修改k状态对k认证进行挂失。</w:t>
            </w:r>
          </w:p>
          <w:p w14:paraId="14D6700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4.5删除单家管理</w:t>
            </w:r>
          </w:p>
          <w:p w14:paraId="15B4BA2E">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支持被删除的商家信息，包括企业账户，名称，负责人，联系方式，登记时间，按照名称编号搜索，可以通过恢复操作，恢复到删除前状态。</w:t>
            </w:r>
          </w:p>
          <w:p w14:paraId="3DA87FC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4.6服务申请管理</w:t>
            </w:r>
          </w:p>
          <w:p w14:paraId="60DAE1FA">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未审核、审核通过、已审核等功能。实现企业申请服务变更的全审核状态管理，覆盖未审核、审核未通过、已审核三类状态，展示企业名称、申请服务类型等核心信息，分别匹配查看审核、再次审核及详情查看、仅查看的针对性操作。</w:t>
            </w:r>
          </w:p>
          <w:p w14:paraId="24DBD48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4.7商家单位修改</w:t>
            </w:r>
          </w:p>
          <w:p w14:paraId="7E12442F">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支持商家管辖单位的修改，从原管辖单位迁移到新管辖单位。</w:t>
            </w:r>
          </w:p>
          <w:p w14:paraId="095418E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4.8辖区经营企业</w:t>
            </w:r>
          </w:p>
          <w:p w14:paraId="277C65A3">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支持未纳入监管、纳入监管等功能。实现企业监管状态的分类管理，分别展示未纳入监管、已纳入监管的企业列表，均包含名称、地址、证照等核心信息并支持对应管理操作。</w:t>
            </w:r>
          </w:p>
        </w:tc>
      </w:tr>
      <w:tr w14:paraId="33AC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1138" w:type="dxa"/>
            <w:vMerge w:val="continue"/>
            <w:vAlign w:val="center"/>
          </w:tcPr>
          <w:p w14:paraId="6D71278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153D559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系统管理</w:t>
            </w:r>
          </w:p>
        </w:tc>
        <w:tc>
          <w:tcPr>
            <w:tcW w:w="6725" w:type="dxa"/>
            <w:vAlign w:val="center"/>
          </w:tcPr>
          <w:p w14:paraId="3FC88C41">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5.1用户管理</w:t>
            </w:r>
          </w:p>
          <w:p w14:paraId="41F97B80">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支持新用户添加，用户删除，修改密码，查看用户角色，查询机构下用户的功能。</w:t>
            </w:r>
          </w:p>
          <w:p w14:paraId="03CF83E2">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5.2角色管理</w:t>
            </w:r>
          </w:p>
          <w:p w14:paraId="28B3AF1E">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支持新建角色、角色修改等功能。实现角色的全流程管理，支持新建角色时配置名称、级别、说明等核心信息，也可对已有角色进行级别修改、删除及权限分配操作。</w:t>
            </w:r>
          </w:p>
          <w:p w14:paraId="5E22BD34">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5.3部门管理</w:t>
            </w:r>
          </w:p>
          <w:p w14:paraId="7997D297">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支持部门添加、管理等功能。实现基于目录树结构的部门全流程管理，支持按组织架构需求新增部门，也可对已有部门开展修改、删除调整操作。</w:t>
            </w:r>
          </w:p>
          <w:p w14:paraId="38CF53C9">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5.4参数配置</w:t>
            </w:r>
          </w:p>
          <w:p w14:paraId="19C0F4C7">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支持配置K挂失期限、是否启用K认证、角色组权限、退货时间限制等参数。实现系统管理员可根据业务需求和安全要求，灵活配置系统参数，保障系统功能的正常运行，同时满足不同业务场景的需求。</w:t>
            </w:r>
          </w:p>
          <w:p w14:paraId="58E91DA8">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5.5商家类型管理</w:t>
            </w:r>
          </w:p>
          <w:p w14:paraId="258C626C">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支持新建商家类型、商家类型管理等功能。实现商家类型的全流程管理，支持新建时自定义类型名称并分配对应权限，同时允许具备准入备案管理权限的工作人员对商家类型进行发布更改、删除的动态操作。</w:t>
            </w:r>
          </w:p>
          <w:p w14:paraId="18605BC1">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5.6信息备案类型</w:t>
            </w:r>
          </w:p>
          <w:p w14:paraId="29748432">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支持备案类型增加、信息备案类型管理等功能。实现备案类型的全流程管理，支持新建备案类型并自定义名称，同时可对备案类型开展检查设定、检查项修改、模板查看及删除等多维度操作。</w:t>
            </w:r>
          </w:p>
          <w:p w14:paraId="282B3D63">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5.7公告</w:t>
            </w:r>
          </w:p>
          <w:p w14:paraId="30C4F83C">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支持公告发布、公告管理、公告查询等功能。实现公告全流程管理，支持发布时设置发布时间、选择接收对象并编辑内容，可对公告进行二次编辑或删除，还能查询已发布公告及对应的浏览次数。</w:t>
            </w:r>
          </w:p>
          <w:p w14:paraId="1917AC43">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5.8新闻</w:t>
            </w:r>
          </w:p>
          <w:p w14:paraId="28AA7E7D">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支持新闻添加、新闻管理等功能。实现新闻的添加与全流程管理，支持发布时设置发布时间、选择新闻类型并编辑内容，对已发布新闻可查看发布人、浏览次数，还能进行再次编辑和删除操作。</w:t>
            </w:r>
          </w:p>
          <w:p w14:paraId="452FD700">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5.9消息</w:t>
            </w:r>
          </w:p>
          <w:p w14:paraId="1256B14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支持发送消息、收件箱、已发送等功能。实现消息全流程闭环管理，发送端支持编辑内容、设置标题、定向推送及向上级转发且操作全程留痕，收件箱可查看并回复消息，已发送模块可查询历史发送记录。</w:t>
            </w:r>
          </w:p>
        </w:tc>
      </w:tr>
      <w:tr w14:paraId="169D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400F5A4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0EC1E1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流向管理</w:t>
            </w:r>
          </w:p>
        </w:tc>
        <w:tc>
          <w:tcPr>
            <w:tcW w:w="6725" w:type="dxa"/>
            <w:vAlign w:val="center"/>
          </w:tcPr>
          <w:p w14:paraId="5D6B194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6.1一单通查询</w:t>
            </w:r>
          </w:p>
          <w:p w14:paraId="0283643E">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支持通过编号查询一单通具体内容，包括食品的进货、销售等相关信息。监管人员可据此追踪食品的流通轨迹，在食品安全事故发生时，快速定位问题食品的来源和去向，采取有效措施控制风险。</w:t>
            </w:r>
          </w:p>
          <w:p w14:paraId="625F186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6.2库存查询</w:t>
            </w:r>
          </w:p>
          <w:p w14:paraId="062E0DBA">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支持查询现有商品名称，通过商品名称、条码查询食品现有库存，包括类型、名称、生产企业。</w:t>
            </w:r>
          </w:p>
          <w:p w14:paraId="781F72B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6.3进货查询</w:t>
            </w:r>
          </w:p>
          <w:p w14:paraId="5D7DCE60">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支持查询条码或商品名称，根据条码和名称查询历史库存信息。</w:t>
            </w:r>
          </w:p>
          <w:p w14:paraId="73DC171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6.4销售查询</w:t>
            </w:r>
          </w:p>
          <w:p w14:paraId="6F655CA2">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支持查询条码，商品名称，单位名称，用查询结果查询历史产品的销售信息，包括一单通号，购买单位，销售时间，商家，生产批次。</w:t>
            </w:r>
          </w:p>
          <w:p w14:paraId="37559E1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6.5食品流向</w:t>
            </w:r>
          </w:p>
          <w:p w14:paraId="420C23F7">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支持通过生产企业，食品名称，条码查询产品信息，根据产品信息进行综合查询，包含上一级商家，供货时间，单位，数量，剩余，退市下架损耗，零售消费量。</w:t>
            </w:r>
          </w:p>
          <w:p w14:paraId="4FCCC29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6.6统计分析图</w:t>
            </w:r>
          </w:p>
          <w:p w14:paraId="5F832549">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支持展示商家备案统计、食品类型分布统计、商家类型分布统计等图表。监管人员可通过这些统计分析图直观了解市场主体备案情况、食品结构分布等信息，为制定监管政策、规划监管重点提供数据依据。</w:t>
            </w:r>
          </w:p>
        </w:tc>
      </w:tr>
      <w:tr w14:paraId="3836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417BF47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503721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公告信息</w:t>
            </w:r>
          </w:p>
        </w:tc>
        <w:tc>
          <w:tcPr>
            <w:tcW w:w="6725" w:type="dxa"/>
            <w:vAlign w:val="center"/>
          </w:tcPr>
          <w:p w14:paraId="52E5B4E3">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2"/>
                <w:sz w:val="21"/>
                <w:szCs w:val="21"/>
                <w:highlight w:val="none"/>
                <w:vertAlign w:val="baseline"/>
                <w:lang w:val="en-US" w:eastAsia="zh-CN" w:bidi="ar-SA"/>
              </w:rPr>
              <w:t>7.1</w:t>
            </w:r>
            <w:r>
              <w:rPr>
                <w:rFonts w:hint="default" w:ascii="Times New Roman" w:hAnsi="Times New Roman" w:eastAsia="宋体" w:cs="Times New Roman"/>
                <w:b w:val="0"/>
                <w:bCs/>
                <w:color w:val="auto"/>
                <w:sz w:val="21"/>
                <w:szCs w:val="21"/>
                <w:highlight w:val="none"/>
              </w:rPr>
              <w:t>公告列表</w:t>
            </w:r>
          </w:p>
          <w:p w14:paraId="12A9258E">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收到的公告</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提示</w:t>
            </w:r>
            <w:r>
              <w:rPr>
                <w:rFonts w:hint="default" w:ascii="Times New Roman" w:hAnsi="Times New Roman" w:eastAsia="宋体" w:cs="Times New Roman"/>
                <w:b w:val="0"/>
                <w:bCs/>
                <w:color w:val="auto"/>
                <w:sz w:val="21"/>
                <w:szCs w:val="21"/>
                <w:highlight w:val="none"/>
                <w:lang w:val="en-US" w:eastAsia="zh-CN"/>
              </w:rPr>
              <w:t>等功能。实现公告查看与风险提示的专项管理，既展示收到的公告标题、发布时间等核心信息并支持查看详情，也呈现商家证照、库存的过期数目且可查看具体过期内容。</w:t>
            </w:r>
          </w:p>
        </w:tc>
      </w:tr>
      <w:tr w14:paraId="7C63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3AE71F4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11CBFB9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14" w:name="_Toc215575640"/>
            <w:r>
              <w:rPr>
                <w:rFonts w:hint="default" w:ascii="Times New Roman" w:hAnsi="Times New Roman" w:eastAsia="宋体" w:cs="Times New Roman"/>
                <w:b w:val="0"/>
                <w:bCs/>
                <w:color w:val="auto"/>
                <w:kern w:val="2"/>
                <w:sz w:val="21"/>
                <w:szCs w:val="21"/>
                <w:highlight w:val="none"/>
                <w:vertAlign w:val="baseline"/>
                <w:lang w:val="en-US" w:eastAsia="zh-CN" w:bidi="ar-SA"/>
              </w:rPr>
              <w:t>证照已过期</w:t>
            </w:r>
            <w:bookmarkEnd w:id="514"/>
          </w:p>
        </w:tc>
        <w:tc>
          <w:tcPr>
            <w:tcW w:w="6725" w:type="dxa"/>
            <w:vAlign w:val="center"/>
          </w:tcPr>
          <w:p w14:paraId="7D26AD76">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
              </w:rPr>
              <w:t>8.</w:t>
            </w:r>
            <w:r>
              <w:rPr>
                <w:rFonts w:hint="default" w:ascii="Times New Roman" w:hAnsi="Times New Roman" w:eastAsia="宋体" w:cs="Times New Roman"/>
                <w:b w:val="0"/>
                <w:bCs/>
                <w:color w:val="auto"/>
                <w:sz w:val="21"/>
                <w:szCs w:val="21"/>
                <w:highlight w:val="none"/>
              </w:rPr>
              <w:t>支持管理全部已经过期的备案食品，可以通过名称条码搜索，可以备案进行修改和再次提交。</w:t>
            </w:r>
          </w:p>
        </w:tc>
      </w:tr>
      <w:tr w14:paraId="07A5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55B7E3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441613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15" w:name="_Toc215575641"/>
            <w:r>
              <w:rPr>
                <w:rFonts w:hint="default" w:ascii="Times New Roman" w:hAnsi="Times New Roman" w:eastAsia="宋体" w:cs="Times New Roman"/>
                <w:b w:val="0"/>
                <w:bCs/>
                <w:color w:val="auto"/>
                <w:kern w:val="2"/>
                <w:sz w:val="21"/>
                <w:szCs w:val="21"/>
                <w:highlight w:val="none"/>
                <w:vertAlign w:val="baseline"/>
                <w:lang w:val="en-US" w:eastAsia="zh-CN" w:bidi="ar-SA"/>
              </w:rPr>
              <w:t>食品备案</w:t>
            </w:r>
            <w:bookmarkEnd w:id="515"/>
          </w:p>
        </w:tc>
        <w:tc>
          <w:tcPr>
            <w:tcW w:w="6725" w:type="dxa"/>
            <w:vAlign w:val="center"/>
          </w:tcPr>
          <w:p w14:paraId="60261A0A">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9.1</w:t>
            </w:r>
            <w:r>
              <w:rPr>
                <w:rFonts w:hint="default" w:ascii="Times New Roman" w:hAnsi="Times New Roman" w:eastAsia="宋体" w:cs="Times New Roman"/>
                <w:b w:val="0"/>
                <w:bCs/>
                <w:color w:val="auto"/>
                <w:sz w:val="21"/>
                <w:szCs w:val="21"/>
                <w:highlight w:val="none"/>
              </w:rPr>
              <w:t>准入备案</w:t>
            </w:r>
          </w:p>
          <w:p w14:paraId="5E6C33F1">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国产普通食品</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进口普通食品</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国产无保质期</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进口无保质期</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国产保健品</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乳制品</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婴幼儿配方</w:t>
            </w:r>
            <w:r>
              <w:rPr>
                <w:rFonts w:hint="default" w:ascii="Times New Roman" w:hAnsi="Times New Roman" w:eastAsia="宋体" w:cs="Times New Roman"/>
                <w:b w:val="0"/>
                <w:bCs/>
                <w:color w:val="auto"/>
                <w:sz w:val="21"/>
                <w:szCs w:val="21"/>
                <w:highlight w:val="none"/>
                <w:lang w:val="en-US" w:eastAsia="zh-CN"/>
              </w:rPr>
              <w:t>等功能。</w:t>
            </w:r>
          </w:p>
          <w:p w14:paraId="1EC54343">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实现全品类食品的差异化准入备案管理，覆盖国产/进口普通食品、无保质期食品、国产保健品、乳制品、婴幼儿配方等品类，不同品类匹配对应资质、证明文件等备案条件，部分品类支持自动准入备案，进口无保质期食品还可补充相关合规说明。</w:t>
            </w:r>
          </w:p>
          <w:p w14:paraId="49DB4D69">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9.2</w:t>
            </w:r>
            <w:r>
              <w:rPr>
                <w:rFonts w:hint="default" w:ascii="Times New Roman" w:hAnsi="Times New Roman" w:eastAsia="宋体" w:cs="Times New Roman"/>
                <w:b w:val="0"/>
                <w:bCs/>
                <w:color w:val="auto"/>
                <w:sz w:val="21"/>
                <w:szCs w:val="21"/>
                <w:highlight w:val="none"/>
              </w:rPr>
              <w:t>备案查询</w:t>
            </w:r>
          </w:p>
          <w:p w14:paraId="2B7CD350">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尚未检查、通过检查、未通过检查等功能。实现食品备案检查全状态的精细化管理，尚未检查的备案支持经营户修改纠错，通过检查的备案锁定禁止修改，未通过检查的备案可由经营户删除或针对性修改后重新提交。</w:t>
            </w:r>
          </w:p>
          <w:p w14:paraId="60E45961">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9.3</w:t>
            </w:r>
            <w:r>
              <w:rPr>
                <w:rFonts w:hint="default" w:ascii="Times New Roman" w:hAnsi="Times New Roman" w:eastAsia="宋体" w:cs="Times New Roman"/>
                <w:b w:val="0"/>
                <w:bCs/>
                <w:color w:val="auto"/>
                <w:sz w:val="21"/>
                <w:szCs w:val="21"/>
                <w:highlight w:val="none"/>
              </w:rPr>
              <w:t>证照</w:t>
            </w:r>
            <w:r>
              <w:rPr>
                <w:rFonts w:hint="default" w:ascii="Times New Roman" w:hAnsi="Times New Roman" w:eastAsia="宋体" w:cs="Times New Roman"/>
                <w:b w:val="0"/>
                <w:bCs/>
                <w:color w:val="auto"/>
                <w:sz w:val="21"/>
                <w:szCs w:val="21"/>
                <w:highlight w:val="none"/>
                <w:lang w:eastAsia="zh-CN"/>
              </w:rPr>
              <w:t>变更</w:t>
            </w:r>
          </w:p>
          <w:p w14:paraId="66966157">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支持对指定商品的生产企业信息，证照信息进行变更。</w:t>
            </w:r>
          </w:p>
          <w:p w14:paraId="3C1CF8A5">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9.4</w:t>
            </w:r>
            <w:r>
              <w:rPr>
                <w:rFonts w:hint="default" w:ascii="Times New Roman" w:hAnsi="Times New Roman" w:eastAsia="宋体" w:cs="Times New Roman"/>
                <w:b w:val="0"/>
                <w:bCs/>
                <w:color w:val="auto"/>
                <w:sz w:val="21"/>
                <w:szCs w:val="21"/>
                <w:highlight w:val="none"/>
              </w:rPr>
              <w:t>证照变更管理</w:t>
            </w:r>
          </w:p>
          <w:p w14:paraId="672FABDD">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尚未检查、通过检查、未通过检查等功能。实现食品备案变更检查全状态的规范化管理，尚未检查的变更支持经营户修改、删除，通过检查的可继续提交其他相关变更，未通过的可进行修改、编辑、删除后重新报审。</w:t>
            </w:r>
          </w:p>
          <w:p w14:paraId="1D8842DF">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9.5</w:t>
            </w:r>
            <w:r>
              <w:rPr>
                <w:rFonts w:hint="default" w:ascii="Times New Roman" w:hAnsi="Times New Roman" w:eastAsia="宋体" w:cs="Times New Roman"/>
                <w:b w:val="0"/>
                <w:bCs/>
                <w:color w:val="auto"/>
                <w:sz w:val="21"/>
                <w:szCs w:val="21"/>
                <w:highlight w:val="none"/>
              </w:rPr>
              <w:t>证照过期提示</w:t>
            </w:r>
          </w:p>
          <w:p w14:paraId="26BE889C">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支持经营许可、生产许可、质检报告等功能。实现经营许可、生产许可、质检报告的证照时效精细化查询管理，均支持查询已过期、即将过期及7天至半年内即将过期的证照信息。</w:t>
            </w:r>
          </w:p>
        </w:tc>
      </w:tr>
      <w:tr w14:paraId="3645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0B439CE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51ED1C5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16" w:name="_Toc215575642"/>
            <w:r>
              <w:rPr>
                <w:rFonts w:hint="default" w:ascii="Times New Roman" w:hAnsi="Times New Roman" w:eastAsia="宋体" w:cs="Times New Roman"/>
                <w:b w:val="0"/>
                <w:bCs/>
                <w:color w:val="auto"/>
                <w:sz w:val="21"/>
                <w:szCs w:val="21"/>
                <w:highlight w:val="none"/>
              </w:rPr>
              <w:t>供销商备案</w:t>
            </w:r>
            <w:bookmarkEnd w:id="516"/>
          </w:p>
        </w:tc>
        <w:tc>
          <w:tcPr>
            <w:tcW w:w="6725" w:type="dxa"/>
            <w:vAlign w:val="center"/>
          </w:tcPr>
          <w:p w14:paraId="3756E0EE">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10.1供货商备案</w:t>
            </w:r>
          </w:p>
          <w:p w14:paraId="4227DC18">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支持编号备案、填写单位信息备案等功能。实现供货商备案的双模式便捷管理，支持符合要求的用户通过供货商编号免审核直接备案，也可手动填写单位名称、信用代码、执照许可等信息完成备案。</w:t>
            </w:r>
          </w:p>
          <w:p w14:paraId="6371DDEA">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10.2供货商查询</w:t>
            </w:r>
          </w:p>
          <w:p w14:paraId="047D532C">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尚未检查、通过检查、未通过检查等功能。实现供货商备案检查全状态的分类查询管理，覆盖尚未检查、通过检查、未通过检查三类状态，各状态均展示名称、负责人等核心备案信息，且匹配差异化操作权限。</w:t>
            </w:r>
          </w:p>
          <w:p w14:paraId="755C7259">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10.3销售商备案</w:t>
            </w:r>
          </w:p>
          <w:p w14:paraId="626B3984">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支持编号备案、客户信息备案等功能。实现销售商备案的双模式管理，支持系统内销售商通过编号免审核直接备案，也可由销售商填写客户类型、证照信息等相关内容完成客户信息备案。</w:t>
            </w:r>
          </w:p>
          <w:p w14:paraId="66E29795">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10.4销售商管理</w:t>
            </w:r>
          </w:p>
          <w:p w14:paraId="16AD9605">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支持管理备案的销售商状态，可通过搜索名称，电话，信用号码，接收电子单状态，可以编辑和删除。</w:t>
            </w:r>
          </w:p>
        </w:tc>
      </w:tr>
      <w:tr w14:paraId="2CA9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3DE7A57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5FD6E5E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质检报告</w:t>
            </w:r>
          </w:p>
        </w:tc>
        <w:tc>
          <w:tcPr>
            <w:tcW w:w="6725" w:type="dxa"/>
            <w:vAlign w:val="center"/>
          </w:tcPr>
          <w:p w14:paraId="26306A88">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11.1质检报告备案</w:t>
            </w:r>
          </w:p>
          <w:p w14:paraId="1832A213">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支持根据商品条码，验证后备案，支持更新的质检报告。</w:t>
            </w:r>
          </w:p>
          <w:p w14:paraId="48181D48">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11.2质检报告查询</w:t>
            </w:r>
          </w:p>
          <w:p w14:paraId="2A116A9F">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通过检查、未通过检查、尚未检查等功能。实现质检报告检查全状态的精细化查询与管理，覆盖通过、未通过、尚未检查三类状态，各状态均展示出具日期、乳制品批次、保质期等核心信息，并匹配差异化操作权限。</w:t>
            </w:r>
          </w:p>
        </w:tc>
      </w:tr>
      <w:tr w14:paraId="73D7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8" w:type="dxa"/>
            <w:vMerge w:val="continue"/>
            <w:vAlign w:val="center"/>
          </w:tcPr>
          <w:p w14:paraId="1B8602B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4CA42EF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进货和销售</w:t>
            </w:r>
          </w:p>
        </w:tc>
        <w:tc>
          <w:tcPr>
            <w:tcW w:w="6725" w:type="dxa"/>
            <w:vAlign w:val="center"/>
          </w:tcPr>
          <w:p w14:paraId="2CE52810">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12.1进货</w:t>
            </w:r>
          </w:p>
          <w:p w14:paraId="3BC679F0">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列表收货、编号进货、手动进货等功能。实现食品进货收货的多模式灵活管理，支持列表收货、编号进货、疆外手动进货三种方式，列表收货可按需分货、定数收货或退货，编号进货凭一单通号调取全量货物信息，手动进货可按条码、批次等信息手动录入收货。</w:t>
            </w:r>
          </w:p>
          <w:p w14:paraId="628D5CB5">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12.2销售</w:t>
            </w:r>
          </w:p>
          <w:p w14:paraId="3834722D">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支持通过选择销售商、列表选择、添加商品，通过搜索食品库存，制定批次和数量，支持销售、直接打印。</w:t>
            </w:r>
          </w:p>
          <w:p w14:paraId="6663E076">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12.3快速销售</w:t>
            </w:r>
          </w:p>
          <w:p w14:paraId="4A49992F">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支持商品自动搜索，自动销售商列表选择，快速销售无需进入二次界面。</w:t>
            </w:r>
          </w:p>
        </w:tc>
      </w:tr>
      <w:tr w14:paraId="0398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8" w:type="dxa"/>
            <w:vMerge w:val="continue"/>
            <w:vAlign w:val="center"/>
          </w:tcPr>
          <w:p w14:paraId="4948445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6D82CA6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17" w:name="_Toc215575645"/>
            <w:r>
              <w:rPr>
                <w:rFonts w:hint="default" w:ascii="Times New Roman" w:hAnsi="Times New Roman" w:eastAsia="宋体" w:cs="Times New Roman"/>
                <w:b w:val="0"/>
                <w:bCs/>
                <w:color w:val="auto"/>
                <w:sz w:val="21"/>
                <w:szCs w:val="21"/>
                <w:highlight w:val="none"/>
              </w:rPr>
              <w:t>我的台账</w:t>
            </w:r>
            <w:bookmarkEnd w:id="517"/>
          </w:p>
        </w:tc>
        <w:tc>
          <w:tcPr>
            <w:tcW w:w="6725" w:type="dxa"/>
            <w:vAlign w:val="center"/>
          </w:tcPr>
          <w:p w14:paraId="1AAD564D">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13.1购货台账</w:t>
            </w:r>
          </w:p>
          <w:p w14:paraId="1CC07795">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支持自动建立购货台账，包括建立名称，条码，批次，进货方式，供货商，数量，总量，剩余量等信息。</w:t>
            </w:r>
          </w:p>
          <w:p w14:paraId="21C88E94">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13.2销售台账</w:t>
            </w:r>
          </w:p>
          <w:p w14:paraId="1ECFB6BB">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支持自动建立销售台账，包括名称，条码，批次，购买人，销售时间，数量，编号等信息。</w:t>
            </w:r>
          </w:p>
          <w:p w14:paraId="09D43755">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13.3即将过期</w:t>
            </w:r>
          </w:p>
          <w:p w14:paraId="5395662F">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支持搜索库存中即将过期的商品，在2天到一年内，或已经过期的商品。</w:t>
            </w:r>
          </w:p>
          <w:p w14:paraId="7AA279CF">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13.4食品库存</w:t>
            </w:r>
          </w:p>
          <w:p w14:paraId="7CE1ADA3">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支持查看当前食品库存信息，包括名称，数量批次，剩余数量，规格，总量，供货商等信息。</w:t>
            </w:r>
          </w:p>
          <w:p w14:paraId="61EC68B9">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13.5已接收一单通</w:t>
            </w:r>
          </w:p>
          <w:p w14:paraId="0EF08525">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支持接收到别人的进货记录，包括编号，销售时间，名称，地址，联系方式，可打印。</w:t>
            </w:r>
          </w:p>
          <w:p w14:paraId="1B5A8BC5">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13.6已发送一单通</w:t>
            </w:r>
          </w:p>
          <w:p w14:paraId="4FF4550B">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支持发送给别人的销售记录，包括标号，时间，名称，地址，联系方式，可以操作打印和查看。</w:t>
            </w:r>
          </w:p>
        </w:tc>
      </w:tr>
      <w:tr w14:paraId="2648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8" w:type="dxa"/>
            <w:vMerge w:val="continue"/>
            <w:vAlign w:val="center"/>
          </w:tcPr>
          <w:p w14:paraId="7D3D039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107CD2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退市和退货</w:t>
            </w:r>
          </w:p>
        </w:tc>
        <w:tc>
          <w:tcPr>
            <w:tcW w:w="6725" w:type="dxa"/>
            <w:vAlign w:val="center"/>
          </w:tcPr>
          <w:p w14:paraId="6530328C">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14.1退货管理</w:t>
            </w:r>
          </w:p>
          <w:p w14:paraId="55D6039A">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支持通过输入编号可以进行一键退货，如果不知道编号，通过手动选择销售客户，选择销售单据进行退货处理。</w:t>
            </w:r>
          </w:p>
          <w:p w14:paraId="7B727FE5">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14.2退市管理</w:t>
            </w:r>
          </w:p>
          <w:p w14:paraId="3AF33DC7">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支持选择下架退市的库存商品，选择退市和下架理由，提供证明。</w:t>
            </w:r>
          </w:p>
        </w:tc>
      </w:tr>
      <w:tr w14:paraId="213B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8" w:type="dxa"/>
            <w:vMerge w:val="continue"/>
            <w:vAlign w:val="center"/>
          </w:tcPr>
          <w:p w14:paraId="507C38E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25" w:type="dxa"/>
            <w:vAlign w:val="center"/>
          </w:tcPr>
          <w:p w14:paraId="6F1E9BB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18" w:name="_Toc215575647"/>
            <w:r>
              <w:rPr>
                <w:rFonts w:hint="default" w:ascii="Times New Roman" w:hAnsi="Times New Roman" w:eastAsia="宋体" w:cs="Times New Roman"/>
                <w:b w:val="0"/>
                <w:bCs/>
                <w:color w:val="auto"/>
                <w:sz w:val="21"/>
                <w:szCs w:val="21"/>
                <w:highlight w:val="none"/>
              </w:rPr>
              <w:t>我的信息</w:t>
            </w:r>
            <w:bookmarkEnd w:id="518"/>
          </w:p>
        </w:tc>
        <w:tc>
          <w:tcPr>
            <w:tcW w:w="6725" w:type="dxa"/>
            <w:vAlign w:val="center"/>
          </w:tcPr>
          <w:p w14:paraId="40003801">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15.1信息变更</w:t>
            </w:r>
          </w:p>
          <w:p w14:paraId="723FB29F">
            <w:pPr>
              <w:ind w:firstLine="420" w:firstLineChars="200"/>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支持对企业基本信息进行变更，包括修改负责人手机号码等。</w:t>
            </w:r>
          </w:p>
          <w:p w14:paraId="2121F0A3">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15.2服务申请</w:t>
            </w:r>
          </w:p>
          <w:p w14:paraId="698CB93A">
            <w:pPr>
              <w:ind w:firstLine="420" w:firstLineChars="200"/>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支持显示该用户类型和服务状态，可以申请乳品经营。</w:t>
            </w:r>
          </w:p>
          <w:p w14:paraId="4491F947">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15.3商家查询</w:t>
            </w:r>
          </w:p>
          <w:p w14:paraId="2C2BAC04">
            <w:pPr>
              <w:ind w:firstLine="420" w:firstLineChars="200"/>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支持查询所有入网商家用户，包括用户名，编号，名称，类型负责人，地址。</w:t>
            </w:r>
          </w:p>
        </w:tc>
      </w:tr>
    </w:tbl>
    <w:p w14:paraId="4C807987">
      <w:pPr>
        <w:bidi w:val="0"/>
        <w:rPr>
          <w:rFonts w:hint="default" w:ascii="Times New Roman" w:hAnsi="Times New Roman" w:cs="Times New Roman"/>
          <w:color w:val="auto"/>
          <w:highlight w:val="none"/>
          <w:lang w:eastAsia="zh-CN"/>
        </w:rPr>
      </w:pPr>
    </w:p>
    <w:p w14:paraId="52DB5D3C">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11.食品安全智慧监管子系统</w:t>
      </w:r>
    </w:p>
    <w:tbl>
      <w:tblPr>
        <w:tblStyle w:val="40"/>
        <w:tblW w:w="4877" w:type="pct"/>
        <w:tblInd w:w="107" w:type="dxa"/>
        <w:tblLayout w:type="autofit"/>
        <w:tblCellMar>
          <w:top w:w="0" w:type="dxa"/>
          <w:left w:w="108" w:type="dxa"/>
          <w:bottom w:w="0" w:type="dxa"/>
          <w:right w:w="108" w:type="dxa"/>
        </w:tblCellMar>
      </w:tblPr>
      <w:tblGrid>
        <w:gridCol w:w="1073"/>
        <w:gridCol w:w="1029"/>
        <w:gridCol w:w="6210"/>
      </w:tblGrid>
      <w:tr w14:paraId="3469FECC">
        <w:tblPrEx>
          <w:tblCellMar>
            <w:top w:w="0" w:type="dxa"/>
            <w:left w:w="108" w:type="dxa"/>
            <w:bottom w:w="0" w:type="dxa"/>
            <w:right w:w="108" w:type="dxa"/>
          </w:tblCellMar>
        </w:tblPrEx>
        <w:trPr>
          <w:trHeight w:val="288"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577D">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系统名称</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68EA">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模块名称</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1E33">
            <w:pPr>
              <w:ind w:firstLine="422" w:firstLineChars="20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规格参数</w:t>
            </w:r>
          </w:p>
        </w:tc>
      </w:tr>
      <w:tr w14:paraId="6E9DC770">
        <w:tblPrEx>
          <w:tblCellMar>
            <w:top w:w="0" w:type="dxa"/>
            <w:left w:w="108" w:type="dxa"/>
            <w:bottom w:w="0" w:type="dxa"/>
            <w:right w:w="108" w:type="dxa"/>
          </w:tblCellMar>
        </w:tblPrEx>
        <w:trPr>
          <w:trHeight w:val="1152" w:hRule="atLeast"/>
        </w:trPr>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B9868">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食品监管和“</w:t>
            </w:r>
            <w:r>
              <w:rPr>
                <w:rFonts w:hint="default" w:ascii="Times New Roman" w:hAnsi="Times New Roman" w:eastAsia="宋体" w:cs="Times New Roman"/>
                <w:i w:val="0"/>
                <w:iCs w:val="0"/>
                <w:color w:val="000000"/>
                <w:kern w:val="0"/>
                <w:sz w:val="21"/>
                <w:szCs w:val="21"/>
                <w:highlight w:val="none"/>
                <w:u w:val="none"/>
                <w:lang w:val="en-US" w:eastAsia="zh-CN" w:bidi="ar"/>
              </w:rPr>
              <w:t>质量强企强链</w:t>
            </w:r>
            <w:r>
              <w:rPr>
                <w:rFonts w:hint="default" w:ascii="Times New Roman" w:hAnsi="Times New Roman" w:cs="Times New Roman"/>
                <w:color w:val="auto"/>
                <w:kern w:val="0"/>
                <w:sz w:val="21"/>
                <w:szCs w:val="21"/>
                <w:highlight w:val="none"/>
              </w:rPr>
              <w:t>”系统-食品安全智慧监管子系统</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4DAB">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食品生产经营风险分级管理</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6E33">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1.1食品生产企业风险分级</w:t>
            </w:r>
          </w:p>
          <w:p w14:paraId="3E6D8E6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结合食品生产企业风险特点，依据食品生产企业食品安全静态风险因素、动态风险因素与通用信用风险因素，确定食品生产企业初步风险等级，年度最终风险等级作为下一年度对企业日常监督检查的依据。包含但不限于风险等级建模、数据加工清洗转换、风险等级评定、通用信用风险分值实时转化、生成风险等级确定表、风险等级结果查询、风险等级结果应用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1.2食品经营单位风险分级</w:t>
            </w:r>
          </w:p>
          <w:p w14:paraId="0AE76557">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食品经营单位风险等级划分结合食品经营单位的经营类别、经营规模、消费对象、经营项目等静态风险因素和生产经营条件保持、生产经营过程控制、管理制度建立及运行等动态风险因素，以及区域位置等方面综合考虑，确定食品经营单位风险等级。包含但不限于风险等级建模、数据加工清洗转换、风险等级评定、生成风险等级确定表、风险等级结果查询、风险等级结果应用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1.3专业领域信用分类</w:t>
            </w:r>
          </w:p>
          <w:p w14:paraId="4A85880A">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依据《新疆维吾尔自治区食品生产企业食品安全与信用风险分级分类管理办法（试行）》的通知新市监规〔2024〕4号，以全区企业通用指标模型为基础，参照其三级指标模型体系与评分方式，协助食品流通处搭建食品流通领域专属指标模型体系。包含但不限于食品流通、餐饮服务单位等功能。</w:t>
            </w:r>
          </w:p>
        </w:tc>
      </w:tr>
      <w:tr w14:paraId="33A2376C">
        <w:tblPrEx>
          <w:tblCellMar>
            <w:top w:w="0" w:type="dxa"/>
            <w:left w:w="108" w:type="dxa"/>
            <w:bottom w:w="0" w:type="dxa"/>
            <w:right w:w="108" w:type="dxa"/>
          </w:tblCellMar>
        </w:tblPrEx>
        <w:trPr>
          <w:trHeight w:val="1266" w:hRule="atLeast"/>
        </w:trPr>
        <w:tc>
          <w:tcPr>
            <w:tcW w:w="645" w:type="pct"/>
            <w:vMerge w:val="continue"/>
            <w:tcBorders>
              <w:top w:val="single" w:color="000000" w:sz="4" w:space="0"/>
              <w:left w:val="single" w:color="000000" w:sz="4" w:space="0"/>
              <w:bottom w:val="single" w:color="000000" w:sz="4" w:space="0"/>
              <w:right w:val="single" w:color="000000" w:sz="4" w:space="0"/>
            </w:tcBorders>
            <w:vAlign w:val="center"/>
          </w:tcPr>
          <w:p w14:paraId="200C9F07">
            <w:pPr>
              <w:widowControl/>
              <w:jc w:val="left"/>
              <w:rPr>
                <w:rFonts w:hint="default" w:ascii="Times New Roman" w:hAnsi="Times New Roman" w:cs="Times New Roman"/>
                <w:color w:val="auto"/>
                <w:kern w:val="0"/>
                <w:sz w:val="21"/>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9900">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重点业态食品安全电子档案管理</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6722">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2.1学校食堂食品安全电子档案</w:t>
            </w:r>
          </w:p>
          <w:p w14:paraId="1A298360">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现信息变更与实时更新，并具备历史版本追溯功能，确保数据管理的准确性与完整性。包含但不限于基础信息管理、食品许可信息存档、信用信息评价、监督检查记录、食品抽检结果公示、投诉举报、日常监管人员信息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2.2游客团餐接待酒店食品安全电子档案</w:t>
            </w:r>
          </w:p>
          <w:p w14:paraId="568C92C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详细记录酒店名称、餐饮部门地址以及负责人信息等基础数据，保障数据的准确性与完整性，为后续管理提供可靠依据。包含但不限于基础信息管理、食品许可信息存档、信用信息评价、监督检查记录、食品抽检结果公示、投诉举报、日常监管人员信息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2.3养老助餐点食品安全电子档案</w:t>
            </w:r>
          </w:p>
          <w:p w14:paraId="2B87804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记录助餐点名称、地址、服务覆盖社区等服务范围信息及配送路线，支持地图定位，并提供导航功能。包含但不限于基础信息管理、食品许可信息存档、信用信息评价、监督检查记录、食品抽检结果公示、投诉举报、日常监管人员信息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2.4食用农产品集中交易市场食品安全电子档案(否与总局数据贯通)</w:t>
            </w:r>
          </w:p>
          <w:p w14:paraId="138E5A0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记录市场名称、地址、管理方联系方式等基础信息，确保数据准确、详实，为市场管理与沟通协调提供可靠支持。包含但不限于基础信息管理、食品许可信息存档、信用信息评价、监督检查记录、食品抽检结果公示、投诉举报、日常监管人员信息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2.5特殊食品生产企业食品安全电子档案(特殊食品包含但不限于保健食品、婴幼儿配方食品、特殊医学用途配方食品)</w:t>
            </w:r>
          </w:p>
          <w:p w14:paraId="330B2FB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实现信息变更与实时更新，并具备历史版本追溯功能，确保数据管理的准确性与完整性。包含但不限于系统支持关联特殊食品生产主体的行政许可、投诉举报、日常监管人员信息等功能。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2.6肉制品生产企业食品安全电子档案</w:t>
            </w:r>
          </w:p>
          <w:p w14:paraId="2AE2A24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关联肉制品生产主体的行政许可（除证面信息外，还需关联办证过程信息，如生产设备布局图和生产工艺流程图、现场核查表、与所生产食品相适应的生产质量管理体系文件）、监督检查、风险等级、自查情况、约谈情况、抽检结果、行政处罚、12315投诉举报等信息，可实现信息变更与实时更新，并具备历史版本追溯功能，确保数据管理的准确性与完整性。</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2.7乳制品生产企业食品安全电子档案</w:t>
            </w:r>
          </w:p>
          <w:p w14:paraId="4AC9FCE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关联乳制品生产主体的行政许可（除证面信息外，还需关联办证过程信息，如生产设备布局图和生产工艺流程图、现场核查表、与所生产食品相适应的生产质量管理体系文件）、监督检查、风险等级、自查情况、约谈情况、抽检结果、行政处罚、12315投诉举报、‘两检两公开’等信息，可实现信息变更与实时更新，并具备历史版本追溯功能，确保数据管理的准确性与完整性。</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2.8特色乳制品生产企业食品安全电子档案</w:t>
            </w:r>
          </w:p>
          <w:p w14:paraId="0F64A65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关联乳制品生产主体的行政许可（除证面信息外，还需关联办证过程信息，如生产设备布局图和生产工艺流程图、现场核查表、与所生产食品相适应的生产质量管理体系文件）、监督检查、风险等级、自查情况、约谈情况、抽检结果、行政处罚、12315投诉举报、‘两检两公开’等信息，可实现信息变更与实时更新，并具备历史版本追溯功能，确保数据管理的准确性与完整性。</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2.9散装液态食品生产企业食品安全电子档案</w:t>
            </w:r>
          </w:p>
          <w:p w14:paraId="3B206306">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关联乳制品生产主体的行政许可（除证面信息外，还需关联办证过程信息，如生产设备布局图和生产工艺流程图、现场核查表、与所生产食品相适应的生产质量管理体系文件）、监督检查、风险等级、自查情况、约谈情况、抽检结果、行政处罚、12315投诉举报、‘三专三管三登记’等信息，可实现信息变更与实时更新，并具备历史版本追溯功能，确保数据管理的准确性与完整性。</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2.10食品添加剂生产企业食品安全电子档案</w:t>
            </w:r>
          </w:p>
          <w:p w14:paraId="153F58F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关联食用添加剂生产主体的行政许可（除证面信息外，还需关联办证过程信息，如生产设备布局图和生产工艺流程图、现场核查表、与所生产食品相适应的生产质量管理体系文件）、监督检查、风险等级、自查情况、约谈情况、抽检结果、行政处罚、12315投诉举报等信息，可实现信息变更与实时更新，并具备历史版本追溯功能，确保数据管理的准确性与完整性。</w:t>
            </w:r>
          </w:p>
          <w:p w14:paraId="7FABEB95">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2.11网络餐饮</w:t>
            </w:r>
            <w:r>
              <w:rPr>
                <w:rFonts w:hint="default" w:ascii="Times New Roman" w:hAnsi="Times New Roman" w:cs="Times New Roman"/>
                <w:color w:val="auto"/>
                <w:sz w:val="21"/>
                <w:szCs w:val="21"/>
                <w:highlight w:val="none"/>
              </w:rPr>
              <w:t>食品安全电子档案</w:t>
            </w:r>
          </w:p>
          <w:p w14:paraId="44B128B5">
            <w:pPr>
              <w:keepNext w:val="0"/>
              <w:keepLines w:val="0"/>
              <w:widowControl/>
              <w:suppressLineNumbers w:val="0"/>
              <w:ind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系统支持疆内自有网络第三方平台备案，分网络食品销售第三方平台、网络餐饮服务第三方平台两个模块，登录模块后参照《网络网络食品销售第三方平台备案信息登记表》，实现申请人线上填报企业名称、经营场所、统一社会信用代码等信息，上传法人身份证等（《网络网络食品销售第三方平台备案信息登记表》中打钩相关信息）内容图片，待工作人员审核后，形成线上公示模板，并形成外卖平台电子档案。</w:t>
            </w:r>
          </w:p>
        </w:tc>
      </w:tr>
      <w:tr w14:paraId="33D46B43">
        <w:tblPrEx>
          <w:tblCellMar>
            <w:top w:w="0" w:type="dxa"/>
            <w:left w:w="108" w:type="dxa"/>
            <w:bottom w:w="0" w:type="dxa"/>
            <w:right w:w="108" w:type="dxa"/>
          </w:tblCellMar>
        </w:tblPrEx>
        <w:trPr>
          <w:trHeight w:val="2016" w:hRule="atLeast"/>
        </w:trPr>
        <w:tc>
          <w:tcPr>
            <w:tcW w:w="645" w:type="pct"/>
            <w:vMerge w:val="continue"/>
            <w:tcBorders>
              <w:top w:val="single" w:color="000000" w:sz="4" w:space="0"/>
              <w:left w:val="single" w:color="000000" w:sz="4" w:space="0"/>
              <w:bottom w:val="single" w:color="000000" w:sz="4" w:space="0"/>
              <w:right w:val="single" w:color="000000" w:sz="4" w:space="0"/>
            </w:tcBorders>
            <w:vAlign w:val="center"/>
          </w:tcPr>
          <w:p w14:paraId="42E7DAA1">
            <w:pPr>
              <w:widowControl/>
              <w:jc w:val="left"/>
              <w:rPr>
                <w:rFonts w:hint="default" w:ascii="Times New Roman" w:hAnsi="Times New Roman" w:cs="Times New Roman"/>
                <w:color w:val="auto"/>
                <w:kern w:val="0"/>
                <w:sz w:val="21"/>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C5F1">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企业主体责任落实</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F6B1">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3.1食品生产日管控报告</w:t>
            </w:r>
          </w:p>
          <w:p w14:paraId="4F17A822">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照市场监管总局“食品生产经营企业落实主体责任监测系统”（企业端和监管端）采集项目和模块进行调整，同时满足与市场监管总局监测系统对接贯通的需求。包含但不限于食品生产日管控待办功能、食品生产日管控检查项目、食品生产日管控检查结果录入、日管控信息管理、停产状态管理、预警信息提示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3.2食品生产周排查报告</w:t>
            </w:r>
          </w:p>
          <w:p w14:paraId="7A48841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照市场监管总局“食品生产经营企业落实主体责任监测系统”（企业端和监管端）采集项目和模块进行调整，同时满足与市场监管总局监测系统对接贯通的需求。包含但不限于食品生产周排查待办功能、食品生产周排查报告、填报停产状态管理、预警信息提示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3.3食品生产月调度纪要</w:t>
            </w:r>
          </w:p>
          <w:p w14:paraId="19D9254F">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照市场监管总局“食品生产经营企业落实主体责任监测系统”（企业端和监管端）采集项目和模块进行调整，同时满足与市场监管总局监测系统对接贯通的需求。包含但不限于月调度待办功能、月调度纪要填报、停产状态管理、预警信息提示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3.4食品经营日管控记录</w:t>
            </w:r>
          </w:p>
          <w:p w14:paraId="057DBBD6">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按日上传日管控检查结果，最终生成《每日食品安全检查记录》，便于企业落实日常管控。包含但不限于食品经营日管控待办功能、食品经营日管控检查项目、食品经营日管控检查结果录入等功能。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3.5食品经营周排查报告</w:t>
            </w:r>
          </w:p>
          <w:p w14:paraId="3A1DEDB0">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食品经营企业可查看本月各周排查反馈情况，方便企业随时掌握周排查动态，完成反馈与查看操作。包含但不限于食品经营周排查待办功能、食品经营周排查报告填报等功能。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3.6食品经营月调度纪要</w:t>
            </w:r>
          </w:p>
          <w:p w14:paraId="61F4241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企业可才反馈窗口内选择会议日期、汇报人员姓名、参会人员姓名等信息进行填报。通过点击页面内的新增按钮，添加本月内的会议事项。包含但不限于月调度待办功能、月调度纪要填报等功能。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3.7系统对接</w:t>
            </w:r>
          </w:p>
          <w:p w14:paraId="0349110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系统需与市场监管总局“食品生产经营企业落实主体责任监测系统”对接贯通，保障数据交互顺畅、信息同步一致。</w:t>
            </w:r>
          </w:p>
        </w:tc>
      </w:tr>
      <w:tr w14:paraId="76377FAB">
        <w:tblPrEx>
          <w:tblCellMar>
            <w:top w:w="0" w:type="dxa"/>
            <w:left w:w="108" w:type="dxa"/>
            <w:bottom w:w="0" w:type="dxa"/>
            <w:right w:w="108" w:type="dxa"/>
          </w:tblCellMar>
        </w:tblPrEx>
        <w:trPr>
          <w:trHeight w:val="864" w:hRule="atLeast"/>
        </w:trPr>
        <w:tc>
          <w:tcPr>
            <w:tcW w:w="645" w:type="pct"/>
            <w:vMerge w:val="continue"/>
            <w:tcBorders>
              <w:top w:val="single" w:color="000000" w:sz="4" w:space="0"/>
              <w:left w:val="single" w:color="000000" w:sz="4" w:space="0"/>
              <w:bottom w:val="single" w:color="000000" w:sz="4" w:space="0"/>
              <w:right w:val="single" w:color="000000" w:sz="4" w:space="0"/>
            </w:tcBorders>
            <w:vAlign w:val="center"/>
          </w:tcPr>
          <w:p w14:paraId="46BCD190">
            <w:pPr>
              <w:widowControl/>
              <w:jc w:val="left"/>
              <w:rPr>
                <w:rFonts w:hint="default" w:ascii="Times New Roman" w:hAnsi="Times New Roman" w:cs="Times New Roman"/>
                <w:color w:val="auto"/>
                <w:kern w:val="0"/>
                <w:sz w:val="21"/>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68BD">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食品生产企业自查</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C3F2">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4.1企业自查模块</w:t>
            </w:r>
          </w:p>
          <w:p w14:paraId="0A7C24F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新疆维吾尔自治区食品生产企业落实食品安全主体责任自查报告制度》文件要求，企业对企业资质、生产环境条件、进货查验、生产过程控制、委托生产、产品检验、贮存及交付控制等自查项开展企业自查。包含但不限于自查内容管理、自查计划与提醒、自查表填写与提交、自查报告存档与追溯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4.2风险问题报告模块</w:t>
            </w:r>
          </w:p>
          <w:p w14:paraId="67313666">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支持企业录入日常生产或定期自查中发现的风险隐患，包含但不限于风险隐患录入与报告单生成、紧急报告提醒与时限管理、风险处置跟踪等功能。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4.3监督检查模块</w:t>
            </w:r>
          </w:p>
          <w:p w14:paraId="4B2EC772">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接收企业风险问题报告后，自动提取核心信息，支持按 “风险等级”“区域”“企业类型” 分类统计，辅助快速研判。包含但不限于企业报告接收与审查、现场核查管理、重大风险上报、未提交自查报告监管提醒、自查报告查看及核查反馈自查情况统计分析等功能。</w:t>
            </w:r>
          </w:p>
        </w:tc>
      </w:tr>
      <w:tr w14:paraId="4A0F083A">
        <w:tblPrEx>
          <w:tblCellMar>
            <w:top w:w="0" w:type="dxa"/>
            <w:left w:w="108" w:type="dxa"/>
            <w:bottom w:w="0" w:type="dxa"/>
            <w:right w:w="108" w:type="dxa"/>
          </w:tblCellMar>
        </w:tblPrEx>
        <w:trPr>
          <w:trHeight w:val="576" w:hRule="atLeast"/>
        </w:trPr>
        <w:tc>
          <w:tcPr>
            <w:tcW w:w="645" w:type="pct"/>
            <w:vMerge w:val="continue"/>
            <w:tcBorders>
              <w:top w:val="single" w:color="000000" w:sz="4" w:space="0"/>
              <w:left w:val="single" w:color="000000" w:sz="4" w:space="0"/>
              <w:bottom w:val="single" w:color="000000" w:sz="4" w:space="0"/>
              <w:right w:val="single" w:color="000000" w:sz="4" w:space="0"/>
            </w:tcBorders>
            <w:vAlign w:val="center"/>
          </w:tcPr>
          <w:p w14:paraId="10424DD7">
            <w:pPr>
              <w:widowControl/>
              <w:jc w:val="left"/>
              <w:rPr>
                <w:rFonts w:hint="default" w:ascii="Times New Roman" w:hAnsi="Times New Roman" w:cs="Times New Roman"/>
                <w:color w:val="auto"/>
                <w:kern w:val="0"/>
                <w:sz w:val="21"/>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536F">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集中用餐单位食品信息备注</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2E8C">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 集中用餐单位食品</w:t>
            </w:r>
            <w:r>
              <w:rPr>
                <w:rFonts w:hint="default" w:ascii="Times New Roman" w:hAnsi="Times New Roman" w:eastAsia="宋体" w:cs="Times New Roman"/>
                <w:color w:val="auto"/>
                <w:sz w:val="21"/>
                <w:szCs w:val="21"/>
                <w:highlight w:val="none"/>
                <w:lang w:val="en-US" w:eastAsia="zh-CN"/>
              </w:rPr>
              <w:t>备注</w:t>
            </w:r>
            <w:r>
              <w:rPr>
                <w:rFonts w:hint="default" w:ascii="Times New Roman" w:hAnsi="Times New Roman" w:eastAsia="宋体" w:cs="Times New Roman"/>
                <w:color w:val="auto"/>
                <w:sz w:val="21"/>
                <w:szCs w:val="21"/>
                <w:highlight w:val="none"/>
              </w:rPr>
              <w:t>信息录入</w:t>
            </w:r>
          </w:p>
          <w:p w14:paraId="4F08BBDC">
            <w:pPr>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业态选择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支持用户在系统中选择学校食堂、养老机构食堂、医院食堂、机关事业单位食堂、建筑工地食堂等五类集中用餐单位业态。</w:t>
            </w:r>
          </w:p>
          <w:p w14:paraId="2FFD3332">
            <w:pPr>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信息录入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系统提供自营、承包、配餐三种选项。当用户选择“承包”时，页面将呈现“承包商”与“大宗食材供货商”字段。两个字段均支持企业名称模糊搜索功能，输入企业名称后，系统可自动匹配对应信用代码和许可证编号。“供货品类”可灵活编辑。</w:t>
            </w:r>
          </w:p>
          <w:p w14:paraId="18314938">
            <w:pPr>
              <w:ind w:firstLine="420" w:firstLineChars="200"/>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数据管理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系统支持数据录入后的增、删、改，修改后同步至监管端，保障监管及时高效。</w:t>
            </w:r>
          </w:p>
        </w:tc>
      </w:tr>
      <w:tr w14:paraId="5E336279">
        <w:tblPrEx>
          <w:tblCellMar>
            <w:top w:w="0" w:type="dxa"/>
            <w:left w:w="108" w:type="dxa"/>
            <w:bottom w:w="0" w:type="dxa"/>
            <w:right w:w="108" w:type="dxa"/>
          </w:tblCellMar>
        </w:tblPrEx>
        <w:trPr>
          <w:trHeight w:val="624" w:hRule="atLeast"/>
        </w:trPr>
        <w:tc>
          <w:tcPr>
            <w:tcW w:w="645" w:type="pct"/>
            <w:vMerge w:val="continue"/>
            <w:tcBorders>
              <w:top w:val="single" w:color="000000" w:sz="4" w:space="0"/>
              <w:left w:val="single" w:color="000000" w:sz="4" w:space="0"/>
              <w:bottom w:val="single" w:color="000000" w:sz="4" w:space="0"/>
              <w:right w:val="single" w:color="000000" w:sz="4" w:space="0"/>
            </w:tcBorders>
            <w:vAlign w:val="center"/>
          </w:tcPr>
          <w:p w14:paraId="2D8B1E92">
            <w:pPr>
              <w:widowControl/>
              <w:jc w:val="left"/>
              <w:rPr>
                <w:rFonts w:hint="default" w:ascii="Times New Roman" w:hAnsi="Times New Roman" w:cs="Times New Roman"/>
                <w:color w:val="auto"/>
                <w:kern w:val="0"/>
                <w:sz w:val="21"/>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1C71">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食品生产企业"两检两公开"</w:t>
            </w:r>
          </w:p>
        </w:tc>
        <w:tc>
          <w:tcPr>
            <w:tcW w:w="3734" w:type="pct"/>
            <w:tcBorders>
              <w:top w:val="nil"/>
              <w:left w:val="nil"/>
              <w:bottom w:val="nil"/>
              <w:right w:val="nil"/>
            </w:tcBorders>
            <w:shd w:val="clear" w:color="auto" w:fill="auto"/>
            <w:vAlign w:val="center"/>
          </w:tcPr>
          <w:p w14:paraId="05809D26">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6.1</w:t>
            </w:r>
            <w:r>
              <w:rPr>
                <w:rFonts w:hint="default" w:ascii="Times New Roman" w:hAnsi="Times New Roman" w:cs="Times New Roman"/>
                <w:color w:val="auto"/>
                <w:sz w:val="21"/>
                <w:szCs w:val="21"/>
                <w:highlight w:val="none"/>
              </w:rPr>
              <w:t>系统支持特色乳制品生产企业进行相关信息采集，整体支持增、删、改，并同步至监管端。采集内容为：</w:t>
            </w:r>
          </w:p>
          <w:p w14:paraId="0D787943">
            <w:pPr>
              <w:ind w:firstLine="48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（1）原料入厂信息包含：供应商信息、生鲜乳类型、收购日期、收购数量、塑化剂含量是否符合要求、其他质量指标是否符合要求、检测报告、入厂检测结果，设置检测报告上传端口</w:t>
            </w:r>
            <w:r>
              <w:rPr>
                <w:rFonts w:hint="default" w:ascii="Times New Roman" w:hAnsi="Times New Roman" w:cs="Times New Roman"/>
                <w:color w:val="auto"/>
                <w:sz w:val="21"/>
                <w:szCs w:val="21"/>
                <w:highlight w:val="none"/>
                <w:lang w:eastAsia="zh-CN"/>
              </w:rPr>
              <w:t>。</w:t>
            </w:r>
          </w:p>
          <w:p w14:paraId="5ADC0856">
            <w:pPr>
              <w:ind w:firstLine="48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（2）成品出厂信息包含：产品名称、类型、规格/型号、生产日期、产量、检验报告单号、产品出厂检测合格报告、出厂检验结果公示截图，设置检测报告上传端口。</w:t>
            </w:r>
          </w:p>
        </w:tc>
      </w:tr>
      <w:tr w14:paraId="19A1638B">
        <w:tblPrEx>
          <w:tblCellMar>
            <w:top w:w="0" w:type="dxa"/>
            <w:left w:w="108" w:type="dxa"/>
            <w:bottom w:w="0" w:type="dxa"/>
            <w:right w:w="108" w:type="dxa"/>
          </w:tblCellMar>
        </w:tblPrEx>
        <w:trPr>
          <w:trHeight w:val="864" w:hRule="atLeast"/>
        </w:trPr>
        <w:tc>
          <w:tcPr>
            <w:tcW w:w="645" w:type="pct"/>
            <w:vMerge w:val="continue"/>
            <w:tcBorders>
              <w:top w:val="single" w:color="000000" w:sz="4" w:space="0"/>
              <w:left w:val="single" w:color="000000" w:sz="4" w:space="0"/>
              <w:bottom w:val="single" w:color="000000" w:sz="4" w:space="0"/>
              <w:right w:val="single" w:color="000000" w:sz="4" w:space="0"/>
            </w:tcBorders>
            <w:vAlign w:val="center"/>
          </w:tcPr>
          <w:p w14:paraId="69F4373D">
            <w:pPr>
              <w:widowControl/>
              <w:jc w:val="left"/>
              <w:rPr>
                <w:rFonts w:hint="default" w:ascii="Times New Roman" w:hAnsi="Times New Roman" w:cs="Times New Roman"/>
                <w:color w:val="auto"/>
                <w:kern w:val="0"/>
                <w:sz w:val="21"/>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058F">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散装液态食品生产企业三专三管三登记</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5ADB">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7.1罐车信息填报管理功能</w:t>
            </w:r>
          </w:p>
          <w:p w14:paraId="2415F296">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置罐车信息填报端口，进行相关信息填报采集，内容包含：罐车所属企业准运许可证、运输容器证明、车牌号、司机姓名及联系方式、罐车清洗证明、拉运货物种类、检测合格证明文件、铅封状态等信息，入厂、出厂均要填报。</w:t>
            </w:r>
          </w:p>
          <w:p w14:paraId="13847FEC">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记忆填充功能：系统留存重复填报的固定信息，后续填报时自动带出，仅需补充更新变动信息，提升填报效率，减少重复录入错误。</w:t>
            </w:r>
          </w:p>
          <w:p w14:paraId="24C37829">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证明材料上传端口：设置电子化证明材料上传通道，实现填报信息与证明材料的关联归档，保障信息可追溯性。</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7.2专职验罐人员管理功能</w:t>
            </w:r>
          </w:p>
          <w:p w14:paraId="16A89909">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建立专职验罐人员注册端口，支持专职验罐人员核实罐车相关信息（人员基础信息、所属单位信息等），并完成签字确认操作。</w:t>
            </w:r>
          </w:p>
        </w:tc>
      </w:tr>
      <w:tr w14:paraId="6B5E7A5A">
        <w:tblPrEx>
          <w:tblCellMar>
            <w:top w:w="0" w:type="dxa"/>
            <w:left w:w="108" w:type="dxa"/>
            <w:bottom w:w="0" w:type="dxa"/>
            <w:right w:w="108" w:type="dxa"/>
          </w:tblCellMar>
        </w:tblPrEx>
        <w:trPr>
          <w:trHeight w:val="864" w:hRule="atLeast"/>
        </w:trPr>
        <w:tc>
          <w:tcPr>
            <w:tcW w:w="645" w:type="pct"/>
            <w:vMerge w:val="continue"/>
            <w:tcBorders>
              <w:top w:val="single" w:color="000000" w:sz="4" w:space="0"/>
              <w:left w:val="single" w:color="000000" w:sz="4" w:space="0"/>
              <w:bottom w:val="single" w:color="000000" w:sz="4" w:space="0"/>
              <w:right w:val="single" w:color="000000" w:sz="4" w:space="0"/>
            </w:tcBorders>
            <w:vAlign w:val="center"/>
          </w:tcPr>
          <w:p w14:paraId="5C7C6834">
            <w:pPr>
              <w:widowControl/>
              <w:jc w:val="left"/>
              <w:rPr>
                <w:rFonts w:hint="default" w:ascii="Times New Roman" w:hAnsi="Times New Roman" w:cs="Times New Roman"/>
                <w:color w:val="auto"/>
                <w:kern w:val="0"/>
                <w:sz w:val="21"/>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7A28">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食品生产"企业约谈"</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6687">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8.1</w:t>
            </w:r>
            <w:r>
              <w:rPr>
                <w:rFonts w:hint="default" w:ascii="Times New Roman" w:hAnsi="Times New Roman" w:cs="Times New Roman"/>
                <w:color w:val="auto"/>
                <w:sz w:val="21"/>
                <w:szCs w:val="21"/>
                <w:highlight w:val="none"/>
              </w:rPr>
              <w:t>在监管端发起对相关企业的约谈后，系统通过新服办平台及短信双重渠道同步通知企业，确保企业主要负责人、食品安全总监、食品安全员均可同步接收约谈通知，并查看平台通知后留痕反馈。</w:t>
            </w:r>
          </w:p>
        </w:tc>
      </w:tr>
      <w:tr w14:paraId="33BC44B2">
        <w:tblPrEx>
          <w:tblCellMar>
            <w:top w:w="0" w:type="dxa"/>
            <w:left w:w="108" w:type="dxa"/>
            <w:bottom w:w="0" w:type="dxa"/>
            <w:right w:w="108" w:type="dxa"/>
          </w:tblCellMar>
        </w:tblPrEx>
        <w:trPr>
          <w:trHeight w:val="1152" w:hRule="atLeast"/>
        </w:trPr>
        <w:tc>
          <w:tcPr>
            <w:tcW w:w="645" w:type="pct"/>
            <w:vMerge w:val="continue"/>
            <w:tcBorders>
              <w:top w:val="single" w:color="000000" w:sz="4" w:space="0"/>
              <w:left w:val="single" w:color="000000" w:sz="4" w:space="0"/>
              <w:bottom w:val="single" w:color="000000" w:sz="4" w:space="0"/>
              <w:right w:val="single" w:color="000000" w:sz="4" w:space="0"/>
            </w:tcBorders>
            <w:vAlign w:val="center"/>
          </w:tcPr>
          <w:p w14:paraId="41F4C2BA">
            <w:pPr>
              <w:widowControl/>
              <w:jc w:val="left"/>
              <w:rPr>
                <w:rFonts w:hint="default" w:ascii="Times New Roman" w:hAnsi="Times New Roman" w:cs="Times New Roman"/>
                <w:color w:val="auto"/>
                <w:kern w:val="0"/>
                <w:sz w:val="21"/>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D6A9">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企业食品安全管理人员抽考模块</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68FB">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9.1监管端考试发起与筛选功能</w:t>
            </w:r>
          </w:p>
          <w:p w14:paraId="626E28C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支持按自治区级、地州级、县市级发证机关层级筛选考试范围。支持跨层级批量选择（如自治区级可覆盖下属所有地州/县市）。自动关联企业证照信息，提取主要负责人、食品安全总监、安全员名单。包含但不限于多级发证机关筛选、考试计划配置、考试对象管理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9.2考试结果处理与数据导出</w:t>
            </w:r>
          </w:p>
          <w:p w14:paraId="475C6239">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客观题即时评分，主观题支持监管端人工批改。分类导出，自动生成公示文件。包含但不限于自动阅卷与评分、数据导出功能、公示模板生成等功能。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9.3统计分析与预警</w:t>
            </w:r>
          </w:p>
          <w:p w14:paraId="54D8A59A">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包含但不限于考核结果分析、监管预警机制等功能。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9.4系统管理与权限控制</w:t>
            </w:r>
          </w:p>
          <w:p w14:paraId="796AC04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包含但不限于权限分级管理、题库与考核大纲管理、数据安全与审计等功能。</w:t>
            </w:r>
          </w:p>
        </w:tc>
      </w:tr>
      <w:tr w14:paraId="62AE1D26">
        <w:tblPrEx>
          <w:tblCellMar>
            <w:top w:w="0" w:type="dxa"/>
            <w:left w:w="108" w:type="dxa"/>
            <w:bottom w:w="0" w:type="dxa"/>
            <w:right w:w="108" w:type="dxa"/>
          </w:tblCellMar>
        </w:tblPrEx>
        <w:trPr>
          <w:trHeight w:val="1152" w:hRule="atLeast"/>
        </w:trPr>
        <w:tc>
          <w:tcPr>
            <w:tcW w:w="645" w:type="pct"/>
            <w:vMerge w:val="continue"/>
            <w:tcBorders>
              <w:top w:val="single" w:color="000000" w:sz="4" w:space="0"/>
              <w:left w:val="single" w:color="000000" w:sz="4" w:space="0"/>
              <w:bottom w:val="single" w:color="000000" w:sz="4" w:space="0"/>
              <w:right w:val="single" w:color="000000" w:sz="4" w:space="0"/>
            </w:tcBorders>
            <w:vAlign w:val="center"/>
          </w:tcPr>
          <w:p w14:paraId="59FD281E">
            <w:pPr>
              <w:widowControl/>
              <w:jc w:val="left"/>
              <w:rPr>
                <w:rFonts w:hint="default" w:ascii="Times New Roman" w:hAnsi="Times New Roman" w:cs="Times New Roman"/>
                <w:color w:val="auto"/>
                <w:kern w:val="0"/>
                <w:sz w:val="21"/>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158D">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食品检查员抽考模块</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60AF">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10.1考试发起与筛选</w:t>
            </w:r>
          </w:p>
          <w:p w14:paraId="6D18207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（1）多级权限筛选</w:t>
            </w:r>
          </w:p>
          <w:p w14:paraId="0CF7DCD7">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按自治区、地州、县市层级筛选考试范围（如省级可覆盖全省监管人员）。  </w:t>
            </w:r>
          </w:p>
          <w:p w14:paraId="3927A94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按岗位分类（如基层执法人员、稽查人员、检验检测人员）。  </w:t>
            </w:r>
          </w:p>
          <w:p w14:paraId="449F924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按专业领域（如食品添加剂监管、生产许可审查、风险监测）。  </w:t>
            </w:r>
          </w:p>
          <w:p w14:paraId="571F903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（2）考试计划配置 </w:t>
            </w:r>
          </w:p>
          <w:p w14:paraId="2FE13BFD">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自定义考试时间、题型（单选/多选/案例分析）、难度分级。  </w:t>
            </w:r>
          </w:p>
          <w:p w14:paraId="0725B64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题库关联《食品生产监管人员考核大纲》（如《食品生产监督检查管理办法》《食品安全标准应用指南》）。  </w:t>
            </w:r>
          </w:p>
          <w:p w14:paraId="10D4960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支持随机组卷、防作弊规则（如禁止复制粘贴、摄像头监考）。</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10.2账号管理解决方案</w:t>
            </w:r>
          </w:p>
          <w:p w14:paraId="68BE9320">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包含但不限于账号自动生成（数据源对接、临时账号生成），统一身份认证（支持政务服务平台统一身份认证接口）等功能。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10.3考试执行与监控</w:t>
            </w:r>
          </w:p>
          <w:p w14:paraId="4B6D4B8A">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包含但不限于在线考试支持（断网续考、实时监控），补考与复核机制（不合格人员自动触发补考申请流程、支持人工复核主观题评分）等功能。</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10.4结果处理与公示</w:t>
            </w:r>
          </w:p>
          <w:p w14:paraId="227D9F77">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包含但不限于数据导出（导出字段、格式支持），公示与通报（自动生成公示模板、支持内部通报）等功能。</w:t>
            </w:r>
          </w:p>
        </w:tc>
      </w:tr>
      <w:tr w14:paraId="77C7F998">
        <w:tblPrEx>
          <w:tblCellMar>
            <w:top w:w="0" w:type="dxa"/>
            <w:left w:w="108" w:type="dxa"/>
            <w:bottom w:w="0" w:type="dxa"/>
            <w:right w:w="108" w:type="dxa"/>
          </w:tblCellMar>
        </w:tblPrEx>
        <w:trPr>
          <w:trHeight w:val="1152" w:hRule="atLeast"/>
        </w:trPr>
        <w:tc>
          <w:tcPr>
            <w:tcW w:w="645" w:type="pct"/>
            <w:tcBorders>
              <w:top w:val="single" w:color="000000" w:sz="4" w:space="0"/>
              <w:left w:val="single" w:color="000000" w:sz="4" w:space="0"/>
              <w:bottom w:val="single" w:color="000000" w:sz="4" w:space="0"/>
              <w:right w:val="single" w:color="000000" w:sz="4" w:space="0"/>
            </w:tcBorders>
            <w:vAlign w:val="center"/>
          </w:tcPr>
          <w:p w14:paraId="417D6231">
            <w:pPr>
              <w:widowControl/>
              <w:jc w:val="left"/>
              <w:rPr>
                <w:rFonts w:hint="default" w:ascii="Times New Roman" w:hAnsi="Times New Roman" w:cs="Times New Roman"/>
                <w:color w:val="auto"/>
                <w:kern w:val="0"/>
                <w:sz w:val="21"/>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DE44">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lang w:val="en-US" w:eastAsia="zh-CN"/>
              </w:rPr>
              <w:t>打通与互联网+AI系统协同闭环管理</w:t>
            </w:r>
          </w:p>
        </w:tc>
        <w:tc>
          <w:tcPr>
            <w:tcW w:w="3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3DD8">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11.1整改完成率：抓拍违规行为后先推送至食品经营主体，如5日内整改完成率不足80%，相关问题推送至所属市场监管所；7日内整改完成率不足85%，相关问题推送至所属县、市、区市场监管局；10日内整改完成率不足90%，相关问题推送至所属地、州、市市场监管局；15日内整改完成率不足95%，相关问题推送至所属自治区市场监管局。</w:t>
            </w:r>
          </w:p>
          <w:p w14:paraId="185B60B8">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11.2问题重复率：同一抓拍违规行为在一周内出现5-7次，相关问题推送至所属市场监管所；在一周内出现8-10次，相关问题推送至所属县、市、区市场监管局；在一周内出现11-13次，相关问题推送至所属地、州、市市场监管局；在一周内出现13次及以上，相关问题推送至所属自治区市场监管局。</w:t>
            </w:r>
          </w:p>
        </w:tc>
      </w:tr>
      <w:tr w14:paraId="00513A85">
        <w:tblPrEx>
          <w:tblCellMar>
            <w:top w:w="0" w:type="dxa"/>
            <w:left w:w="108" w:type="dxa"/>
            <w:bottom w:w="0" w:type="dxa"/>
            <w:right w:w="108" w:type="dxa"/>
          </w:tblCellMar>
        </w:tblPrEx>
        <w:trPr>
          <w:trHeight w:val="1152" w:hRule="atLeast"/>
        </w:trPr>
        <w:tc>
          <w:tcPr>
            <w:tcW w:w="1073" w:type="dxa"/>
            <w:tcBorders>
              <w:top w:val="single" w:color="000000" w:sz="4" w:space="0"/>
              <w:left w:val="single" w:color="000000" w:sz="4" w:space="0"/>
              <w:bottom w:val="single" w:color="000000" w:sz="4" w:space="0"/>
              <w:right w:val="single" w:color="000000" w:sz="4" w:space="0"/>
            </w:tcBorders>
            <w:vAlign w:val="center"/>
          </w:tcPr>
          <w:p w14:paraId="095D864D">
            <w:pPr>
              <w:widowControl/>
              <w:jc w:val="left"/>
              <w:rPr>
                <w:rFonts w:hint="default" w:ascii="Times New Roman" w:hAnsi="Times New Roman" w:cs="Times New Roman"/>
                <w:color w:val="auto"/>
                <w:kern w:val="0"/>
                <w:sz w:val="21"/>
                <w:szCs w:val="21"/>
                <w:highlight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7194">
            <w:pPr>
              <w:widowControl/>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0"/>
                <w:sz w:val="21"/>
                <w:szCs w:val="21"/>
                <w:highlight w:val="none"/>
                <w:lang w:eastAsia="zh-CN"/>
              </w:rPr>
              <w:t>“扫码入企”相关配合工作</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CB68">
            <w:pPr>
              <w:widowControl/>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kern w:val="0"/>
                <w:sz w:val="21"/>
                <w:szCs w:val="21"/>
                <w:highlight w:val="none"/>
                <w:lang w:val="en" w:eastAsia="zh-CN"/>
              </w:rPr>
              <w:t>12.1</w:t>
            </w:r>
            <w:r>
              <w:rPr>
                <w:rFonts w:hint="default" w:ascii="Times New Roman" w:hAnsi="Times New Roman" w:cs="Times New Roman"/>
                <w:color w:val="auto"/>
                <w:kern w:val="0"/>
                <w:sz w:val="21"/>
                <w:szCs w:val="21"/>
                <w:highlight w:val="none"/>
                <w:lang w:val="en-US" w:eastAsia="zh-CN"/>
              </w:rPr>
              <w:t>按数字化发展局明确的贯通业务系统和技术标准要求，</w:t>
            </w:r>
            <w:r>
              <w:rPr>
                <w:rFonts w:hint="default" w:ascii="Times New Roman" w:hAnsi="Times New Roman" w:cs="Times New Roman"/>
                <w:color w:val="auto"/>
                <w:kern w:val="0"/>
                <w:sz w:val="21"/>
                <w:szCs w:val="21"/>
                <w:highlight w:val="none"/>
              </w:rPr>
              <w:t>做好</w:t>
            </w:r>
            <w:r>
              <w:rPr>
                <w:rFonts w:hint="default" w:ascii="Times New Roman" w:hAnsi="Times New Roman" w:cs="Times New Roman"/>
                <w:color w:val="auto"/>
                <w:kern w:val="0"/>
                <w:sz w:val="21"/>
                <w:szCs w:val="21"/>
                <w:highlight w:val="none"/>
                <w:lang w:eastAsia="zh-CN"/>
              </w:rPr>
              <w:t>与自治区“扫码入企”平台、“新企办”“新服办”的接口开发工作，实现本系统数据共享。</w:t>
            </w:r>
          </w:p>
        </w:tc>
      </w:tr>
    </w:tbl>
    <w:p w14:paraId="617D6C49">
      <w:pPr>
        <w:numPr>
          <w:ilvl w:val="0"/>
          <w:numId w:val="0"/>
        </w:numPr>
        <w:bidi w:val="0"/>
        <w:rPr>
          <w:rFonts w:hint="default" w:ascii="Times New Roman" w:hAnsi="Times New Roman" w:cs="Times New Roman"/>
          <w:color w:val="auto"/>
          <w:highlight w:val="none"/>
          <w:lang w:val="en-US" w:eastAsia="zh-CN"/>
        </w:rPr>
      </w:pPr>
    </w:p>
    <w:p w14:paraId="0C6AADCF">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12.食品抽检“二级站”子系统</w:t>
      </w:r>
    </w:p>
    <w:tbl>
      <w:tblPr>
        <w:tblStyle w:val="40"/>
        <w:tblW w:w="4877" w:type="pct"/>
        <w:tblInd w:w="107" w:type="dxa"/>
        <w:tblLayout w:type="autofit"/>
        <w:tblCellMar>
          <w:top w:w="0" w:type="dxa"/>
          <w:left w:w="108" w:type="dxa"/>
          <w:bottom w:w="0" w:type="dxa"/>
          <w:right w:w="108" w:type="dxa"/>
        </w:tblCellMar>
      </w:tblPr>
      <w:tblGrid>
        <w:gridCol w:w="1071"/>
        <w:gridCol w:w="1041"/>
        <w:gridCol w:w="6200"/>
      </w:tblGrid>
      <w:tr w14:paraId="75A1A783">
        <w:trPr>
          <w:trHeight w:val="288" w:hRule="atLeast"/>
        </w:trPr>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07AA">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系统名称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E309">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模块名称</w:t>
            </w:r>
          </w:p>
        </w:tc>
        <w:tc>
          <w:tcPr>
            <w:tcW w:w="3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8421">
            <w:pPr>
              <w:ind w:firstLine="422" w:firstLineChars="20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规格参数</w:t>
            </w:r>
          </w:p>
        </w:tc>
      </w:tr>
      <w:tr w14:paraId="48D7596C">
        <w:tblPrEx>
          <w:tblCellMar>
            <w:top w:w="0" w:type="dxa"/>
            <w:left w:w="108" w:type="dxa"/>
            <w:bottom w:w="0" w:type="dxa"/>
            <w:right w:w="108" w:type="dxa"/>
          </w:tblCellMar>
        </w:tblPrEx>
        <w:trPr>
          <w:trHeight w:val="1047" w:hRule="atLeast"/>
        </w:trPr>
        <w:tc>
          <w:tcPr>
            <w:tcW w:w="644" w:type="pct"/>
            <w:vMerge w:val="restart"/>
            <w:tcBorders>
              <w:top w:val="single" w:color="000000" w:sz="4" w:space="0"/>
              <w:left w:val="single" w:color="000000" w:sz="4" w:space="0"/>
              <w:right w:val="single" w:color="000000" w:sz="4" w:space="0"/>
            </w:tcBorders>
            <w:shd w:val="clear" w:color="auto" w:fill="auto"/>
            <w:vAlign w:val="center"/>
          </w:tcPr>
          <w:p w14:paraId="134418BE">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食品监管和“</w:t>
            </w:r>
            <w:r>
              <w:rPr>
                <w:rFonts w:hint="default" w:ascii="Times New Roman" w:hAnsi="Times New Roman" w:eastAsia="宋体" w:cs="Times New Roman"/>
                <w:i w:val="0"/>
                <w:iCs w:val="0"/>
                <w:color w:val="000000"/>
                <w:kern w:val="0"/>
                <w:sz w:val="21"/>
                <w:szCs w:val="21"/>
                <w:highlight w:val="none"/>
                <w:u w:val="none"/>
                <w:lang w:val="en-US" w:eastAsia="zh-CN" w:bidi="ar"/>
              </w:rPr>
              <w:t>质量强企强链</w:t>
            </w:r>
            <w:r>
              <w:rPr>
                <w:rFonts w:hint="default" w:ascii="Times New Roman" w:hAnsi="Times New Roman" w:cs="Times New Roman"/>
                <w:color w:val="auto"/>
                <w:kern w:val="0"/>
                <w:sz w:val="21"/>
                <w:szCs w:val="21"/>
                <w:highlight w:val="none"/>
              </w:rPr>
              <w:t>”系统-食品抽检“二级站”子系统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3175">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检测质量风险工作台</w:t>
            </w:r>
          </w:p>
        </w:tc>
        <w:tc>
          <w:tcPr>
            <w:tcW w:w="3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0713">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1.</w:t>
            </w:r>
            <w:r>
              <w:rPr>
                <w:rFonts w:hint="default" w:ascii="Times New Roman" w:hAnsi="Times New Roman" w:cs="Times New Roman"/>
                <w:color w:val="auto"/>
                <w:sz w:val="21"/>
                <w:szCs w:val="21"/>
                <w:highlight w:val="none"/>
              </w:rPr>
              <w:t>展示当前最新一期的检测质量风险识别任务信息，包括任务基本信息、抽样批次数、机构数等。辅助监管部门快速了解当前的任务进展情况，为后续的监管决策提供依据。</w:t>
            </w:r>
          </w:p>
        </w:tc>
      </w:tr>
      <w:tr w14:paraId="0C244D03">
        <w:tblPrEx>
          <w:tblCellMar>
            <w:top w:w="0" w:type="dxa"/>
            <w:left w:w="108" w:type="dxa"/>
            <w:bottom w:w="0" w:type="dxa"/>
            <w:right w:w="108" w:type="dxa"/>
          </w:tblCellMar>
        </w:tblPrEx>
        <w:trPr>
          <w:trHeight w:val="1152" w:hRule="atLeast"/>
        </w:trPr>
        <w:tc>
          <w:tcPr>
            <w:tcW w:w="644" w:type="pct"/>
            <w:vMerge w:val="continue"/>
            <w:tcBorders>
              <w:left w:val="single" w:color="000000" w:sz="4" w:space="0"/>
              <w:right w:val="single" w:color="000000" w:sz="4" w:space="0"/>
            </w:tcBorders>
            <w:vAlign w:val="center"/>
          </w:tcPr>
          <w:p w14:paraId="0DF23B31">
            <w:pPr>
              <w:widowControl/>
              <w:jc w:val="left"/>
              <w:rPr>
                <w:rFonts w:hint="default" w:ascii="Times New Roman" w:hAnsi="Times New Roman" w:cs="Times New Roman"/>
                <w:color w:val="auto"/>
                <w:kern w:val="0"/>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8980">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检测过程风险</w:t>
            </w:r>
          </w:p>
        </w:tc>
        <w:tc>
          <w:tcPr>
            <w:tcW w:w="3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AC33">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2.1设备载样超标风险</w:t>
            </w:r>
          </w:p>
          <w:p w14:paraId="329442F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对机构设备的同周期内设备载样量进行分析，对比是否超过设备最大载样量，当某</w:t>
            </w:r>
            <w:r>
              <w:rPr>
                <w:rFonts w:hint="default" w:ascii="Times New Roman" w:hAnsi="Times New Roman" w:cs="Times New Roman"/>
                <w:color w:val="auto"/>
                <w:sz w:val="21"/>
                <w:szCs w:val="21"/>
                <w:highlight w:val="none"/>
                <w:lang w:eastAsia="zh-CN"/>
              </w:rPr>
              <w:t>承检单位</w:t>
            </w:r>
            <w:r>
              <w:rPr>
                <w:rFonts w:hint="default" w:ascii="Times New Roman" w:hAnsi="Times New Roman" w:cs="Times New Roman"/>
                <w:color w:val="auto"/>
                <w:sz w:val="21"/>
                <w:szCs w:val="21"/>
                <w:highlight w:val="none"/>
              </w:rPr>
              <w:t>的检测量超过设备的最大载样量时，触发风险预警，生成设备载样超标风险清单。通过设备载样超标风险，监管部门可以及时发现设备载样超标的情况，避免因设备超载而导致的检验质量问题。</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2.2项目混检风险</w:t>
            </w:r>
          </w:p>
          <w:p w14:paraId="09D12D34">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固定时间内，不同样品检验的同一检验项目，检验结果的检出值重复率应在合理的区间内。当检出值重复率超出这个合理区域时，即表明该</w:t>
            </w:r>
            <w:r>
              <w:rPr>
                <w:rFonts w:hint="default" w:ascii="Times New Roman" w:hAnsi="Times New Roman" w:cs="Times New Roman"/>
                <w:color w:val="auto"/>
                <w:sz w:val="21"/>
                <w:szCs w:val="21"/>
                <w:highlight w:val="none"/>
                <w:lang w:eastAsia="zh-CN"/>
              </w:rPr>
              <w:t>承检单位</w:t>
            </w:r>
            <w:r>
              <w:rPr>
                <w:rFonts w:hint="default" w:ascii="Times New Roman" w:hAnsi="Times New Roman" w:cs="Times New Roman"/>
                <w:color w:val="auto"/>
                <w:sz w:val="21"/>
                <w:szCs w:val="21"/>
                <w:highlight w:val="none"/>
              </w:rPr>
              <w:t>可能存在不同样品混检的情况，触发风险预警，生成项目混检风险清单。通过项目混检风险，监管部门可以及时发现项目混检的情况，避免因重复检验而导致的检验质量问题。</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2.3检测能力合规性风险</w:t>
            </w:r>
          </w:p>
          <w:p w14:paraId="4B03CAAA">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承检单位</w:t>
            </w:r>
            <w:r>
              <w:rPr>
                <w:rFonts w:hint="default" w:ascii="Times New Roman" w:hAnsi="Times New Roman" w:cs="Times New Roman"/>
                <w:color w:val="auto"/>
                <w:sz w:val="21"/>
                <w:szCs w:val="21"/>
                <w:highlight w:val="none"/>
              </w:rPr>
              <w:t>承接任务的检验项目和检验方法应该在其检测能力项目表范围之内，当监测到某机构使用的检验方法超出其检测能力项目表范围时触发风险预警，生成检测能力合规性风险清单。通过检测能力合规性风险，监管部门可以确保</w:t>
            </w:r>
            <w:r>
              <w:rPr>
                <w:rFonts w:hint="default" w:ascii="Times New Roman" w:hAnsi="Times New Roman" w:cs="Times New Roman"/>
                <w:color w:val="auto"/>
                <w:sz w:val="21"/>
                <w:szCs w:val="21"/>
                <w:highlight w:val="none"/>
                <w:lang w:eastAsia="zh-CN"/>
              </w:rPr>
              <w:t>承检单位</w:t>
            </w:r>
            <w:r>
              <w:rPr>
                <w:rFonts w:hint="default" w:ascii="Times New Roman" w:hAnsi="Times New Roman" w:cs="Times New Roman"/>
                <w:color w:val="auto"/>
                <w:sz w:val="21"/>
                <w:szCs w:val="21"/>
                <w:highlight w:val="none"/>
              </w:rPr>
              <w:t>的检测能力符合要求，避免因检测能力不足而导致的检验质量问题。</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2.4检验项目合规性风险</w:t>
            </w:r>
          </w:p>
          <w:p w14:paraId="71CB31B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承检单位</w:t>
            </w:r>
            <w:r>
              <w:rPr>
                <w:rFonts w:hint="default" w:ascii="Times New Roman" w:hAnsi="Times New Roman" w:cs="Times New Roman"/>
                <w:color w:val="auto"/>
                <w:sz w:val="21"/>
                <w:szCs w:val="21"/>
                <w:highlight w:val="none"/>
              </w:rPr>
              <w:t>进行监督抽检时检验项目应与抽检细则中对应要求的检验项目保持一致，当监测到某</w:t>
            </w:r>
            <w:r>
              <w:rPr>
                <w:rFonts w:hint="default" w:ascii="Times New Roman" w:hAnsi="Times New Roman" w:cs="Times New Roman"/>
                <w:color w:val="auto"/>
                <w:sz w:val="21"/>
                <w:szCs w:val="21"/>
                <w:highlight w:val="none"/>
                <w:lang w:eastAsia="zh-CN"/>
              </w:rPr>
              <w:t>承检单位</w:t>
            </w:r>
            <w:r>
              <w:rPr>
                <w:rFonts w:hint="default" w:ascii="Times New Roman" w:hAnsi="Times New Roman" w:cs="Times New Roman"/>
                <w:color w:val="auto"/>
                <w:sz w:val="21"/>
                <w:szCs w:val="21"/>
                <w:highlight w:val="none"/>
              </w:rPr>
              <w:t>对某一样品的检验项目与抽检细则要求中不一致时，触发风险预警，生成检验项目合规性风险清单。通过检验项目合规性风险，监管部门可以确保</w:t>
            </w:r>
            <w:r>
              <w:rPr>
                <w:rFonts w:hint="default" w:ascii="Times New Roman" w:hAnsi="Times New Roman" w:cs="Times New Roman"/>
                <w:color w:val="auto"/>
                <w:sz w:val="21"/>
                <w:szCs w:val="21"/>
                <w:highlight w:val="none"/>
                <w:lang w:eastAsia="zh-CN"/>
              </w:rPr>
              <w:t>承检单位</w:t>
            </w:r>
            <w:r>
              <w:rPr>
                <w:rFonts w:hint="default" w:ascii="Times New Roman" w:hAnsi="Times New Roman" w:cs="Times New Roman"/>
                <w:color w:val="auto"/>
                <w:sz w:val="21"/>
                <w:szCs w:val="21"/>
                <w:highlight w:val="none"/>
              </w:rPr>
              <w:t>的检验项目符合要求，避免因检验项目不符合要求而导致的检验质量问题。</w:t>
            </w:r>
          </w:p>
        </w:tc>
      </w:tr>
      <w:tr w14:paraId="20237174">
        <w:tblPrEx>
          <w:tblCellMar>
            <w:top w:w="0" w:type="dxa"/>
            <w:left w:w="108" w:type="dxa"/>
            <w:bottom w:w="0" w:type="dxa"/>
            <w:right w:w="108" w:type="dxa"/>
          </w:tblCellMar>
        </w:tblPrEx>
        <w:trPr>
          <w:trHeight w:val="316" w:hRule="atLeast"/>
        </w:trPr>
        <w:tc>
          <w:tcPr>
            <w:tcW w:w="644" w:type="pct"/>
            <w:vMerge w:val="continue"/>
            <w:tcBorders>
              <w:left w:val="single" w:color="000000" w:sz="4" w:space="0"/>
              <w:right w:val="single" w:color="000000" w:sz="4" w:space="0"/>
            </w:tcBorders>
            <w:vAlign w:val="center"/>
          </w:tcPr>
          <w:p w14:paraId="238484C7">
            <w:pPr>
              <w:widowControl/>
              <w:jc w:val="left"/>
              <w:rPr>
                <w:rFonts w:hint="default" w:ascii="Times New Roman" w:hAnsi="Times New Roman" w:cs="Times New Roman"/>
                <w:color w:val="auto"/>
                <w:kern w:val="0"/>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4C09">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检验结果异常风险</w:t>
            </w:r>
          </w:p>
        </w:tc>
        <w:tc>
          <w:tcPr>
            <w:tcW w:w="3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0CA7">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3.1相同批次检验结论相反风险</w:t>
            </w:r>
          </w:p>
          <w:p w14:paraId="1ACA6AF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与不合格产品基准库对比，出现同一产品不合格项目的合格项，触发风险预警，生成相同批次检验结论相反风险清单。</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3.2项目故意漏检风险</w:t>
            </w:r>
          </w:p>
          <w:p w14:paraId="7FC99107">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与不合格产品基准库对比，同一任务来源下，出现部分批次未检验该项目，触发风险预警，生成项目故意漏检风险清单。</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3.3检出值不在合理范围风险</w:t>
            </w:r>
          </w:p>
          <w:p w14:paraId="43A7E71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与合格产品基准库对比，同一产品的同一检验项目在同一检验方法及检验结果单位下的检出值应在均值的合理范围内波动。若超出合理范围，触发风险预警，生成检出值不在合理范围风险清单。</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3.4未检出率偏高风险</w:t>
            </w:r>
          </w:p>
          <w:p w14:paraId="7D9E832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当机构的未检出率超过一定阈值，且高于同品类历史数据的未检出率一定比例时，触发风险预警，生成未检出率偏高风险清单。</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3.5检出值高度集中风险</w:t>
            </w:r>
          </w:p>
          <w:p w14:paraId="41154D5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当机构检测数据在某个分布区间的集中度大于设定阈值，且该集中度高于同品类历史数据在该区间占比的设定比例时，触发风险预警，生成检出值高度集中风险清单。</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3.6检出值整体偏小偏大风险</w:t>
            </w:r>
          </w:p>
          <w:p w14:paraId="5B037C5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在存在分布差异的前提下，当机构检测均值与同品类历史检测均值的偏差比例（偏低或偏高）超过一定阈值时，触发风险预警，生成检出值整体偏小/偏大风险清单。</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3.7项目合格率异常风险</w:t>
            </w:r>
          </w:p>
          <w:p w14:paraId="02119D38">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对比同一食品次亚类下的相同检验项目，将机构的检验合格率与整体检验合格率进行比对，当机构的项目合格率高于或低于整体项目合格率一定值时，触发风险预警，生成项目合格率异常风险清单。</w:t>
            </w:r>
          </w:p>
        </w:tc>
      </w:tr>
      <w:tr w14:paraId="5D907B3E">
        <w:tblPrEx>
          <w:tblCellMar>
            <w:top w:w="0" w:type="dxa"/>
            <w:left w:w="108" w:type="dxa"/>
            <w:bottom w:w="0" w:type="dxa"/>
            <w:right w:w="108" w:type="dxa"/>
          </w:tblCellMar>
        </w:tblPrEx>
        <w:trPr>
          <w:trHeight w:val="864" w:hRule="atLeast"/>
        </w:trPr>
        <w:tc>
          <w:tcPr>
            <w:tcW w:w="644" w:type="pct"/>
            <w:vMerge w:val="continue"/>
            <w:tcBorders>
              <w:left w:val="single" w:color="000000" w:sz="4" w:space="0"/>
              <w:right w:val="single" w:color="000000" w:sz="4" w:space="0"/>
            </w:tcBorders>
            <w:vAlign w:val="center"/>
          </w:tcPr>
          <w:p w14:paraId="45D4AE42">
            <w:pPr>
              <w:widowControl/>
              <w:jc w:val="left"/>
              <w:rPr>
                <w:rFonts w:hint="default" w:ascii="Times New Roman" w:hAnsi="Times New Roman" w:cs="Times New Roman"/>
                <w:color w:val="auto"/>
                <w:kern w:val="0"/>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0E5A">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检验质量风险汇总</w:t>
            </w:r>
          </w:p>
        </w:tc>
        <w:tc>
          <w:tcPr>
            <w:tcW w:w="3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FAAC">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4.</w:t>
            </w:r>
            <w:r>
              <w:rPr>
                <w:rFonts w:hint="default" w:ascii="Times New Roman" w:hAnsi="Times New Roman" w:cs="Times New Roman"/>
                <w:color w:val="auto"/>
                <w:sz w:val="21"/>
                <w:szCs w:val="21"/>
                <w:highlight w:val="none"/>
              </w:rPr>
              <w:t>整合各</w:t>
            </w:r>
            <w:r>
              <w:rPr>
                <w:rFonts w:hint="default" w:ascii="Times New Roman" w:hAnsi="Times New Roman" w:cs="Times New Roman"/>
                <w:color w:val="auto"/>
                <w:sz w:val="21"/>
                <w:szCs w:val="21"/>
                <w:highlight w:val="none"/>
                <w:lang w:eastAsia="zh-CN"/>
              </w:rPr>
              <w:t>承检单位</w:t>
            </w:r>
            <w:r>
              <w:rPr>
                <w:rFonts w:hint="default" w:ascii="Times New Roman" w:hAnsi="Times New Roman" w:cs="Times New Roman"/>
                <w:color w:val="auto"/>
                <w:sz w:val="21"/>
                <w:szCs w:val="21"/>
                <w:highlight w:val="none"/>
              </w:rPr>
              <w:t>的检验结果异常风险和检验过程风险信息，生成综合性的检验质量风险清单，为监管部门提供统一、快捷的</w:t>
            </w:r>
            <w:r>
              <w:rPr>
                <w:rFonts w:hint="default" w:ascii="Times New Roman" w:hAnsi="Times New Roman" w:cs="Times New Roman"/>
                <w:color w:val="auto"/>
                <w:sz w:val="21"/>
                <w:szCs w:val="21"/>
                <w:highlight w:val="none"/>
                <w:lang w:eastAsia="zh-CN"/>
              </w:rPr>
              <w:t>承检单位</w:t>
            </w:r>
            <w:r>
              <w:rPr>
                <w:rFonts w:hint="default" w:ascii="Times New Roman" w:hAnsi="Times New Roman" w:cs="Times New Roman"/>
                <w:color w:val="auto"/>
                <w:sz w:val="21"/>
                <w:szCs w:val="21"/>
                <w:highlight w:val="none"/>
              </w:rPr>
              <w:t>检验质量风险查询入口。</w:t>
            </w:r>
          </w:p>
        </w:tc>
      </w:tr>
      <w:tr w14:paraId="4C433613">
        <w:tblPrEx>
          <w:tblCellMar>
            <w:top w:w="0" w:type="dxa"/>
            <w:left w:w="108" w:type="dxa"/>
            <w:bottom w:w="0" w:type="dxa"/>
            <w:right w:w="108" w:type="dxa"/>
          </w:tblCellMar>
        </w:tblPrEx>
        <w:trPr>
          <w:trHeight w:val="637" w:hRule="atLeast"/>
        </w:trPr>
        <w:tc>
          <w:tcPr>
            <w:tcW w:w="644" w:type="pct"/>
            <w:vMerge w:val="continue"/>
            <w:tcBorders>
              <w:left w:val="single" w:color="000000" w:sz="4" w:space="0"/>
              <w:right w:val="single" w:color="000000" w:sz="4" w:space="0"/>
            </w:tcBorders>
            <w:vAlign w:val="center"/>
          </w:tcPr>
          <w:p w14:paraId="74F559E5">
            <w:pPr>
              <w:widowControl/>
              <w:jc w:val="left"/>
              <w:rPr>
                <w:rFonts w:hint="default" w:ascii="Times New Roman" w:hAnsi="Times New Roman" w:cs="Times New Roman"/>
                <w:color w:val="auto"/>
                <w:kern w:val="0"/>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F0C6">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模型运行监测</w:t>
            </w:r>
          </w:p>
        </w:tc>
        <w:tc>
          <w:tcPr>
            <w:tcW w:w="3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3529">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5.1运算管理</w:t>
            </w:r>
          </w:p>
          <w:p w14:paraId="5161F43E">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由系统定时自动创建风险模型运算任务，支持以任务名称、任务状态为条件进行数据查询。</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5.2监测详情</w:t>
            </w:r>
          </w:p>
          <w:p w14:paraId="2E5B815B">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监测详情内容包括模型运算任务信息、数据信息、风险信息、机构风险排行、项目风险排行、分类风险排行、检测方法风险排行、风险类型统计、机构类别排行，排行图表支持数据下钻。</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5.3风险详情</w:t>
            </w:r>
          </w:p>
          <w:p w14:paraId="4633A680">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根据任务中不同数据维度展示对应的风险清单列表，支持通过机构、项目、检测方法、风险分类、食品次亚类维度展示风险清单列表。</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5.4检验项次详情</w:t>
            </w:r>
          </w:p>
          <w:p w14:paraId="40DD3AB1">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对命中指标的数据进行风险分析，包括风险基础信息、与同品类历史检测数据比对分析、同产品检出值差异对比、抽检数据分位数的对比、抽检样品独特性分析、风险链分析等。</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5.5参数配置</w:t>
            </w:r>
          </w:p>
          <w:p w14:paraId="6E77AD15">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对系统进行参数配置，包括最小样品量、精度等级、食品分类选择，以及检验结果异常风险和检验过程风险的启用和禁用等。</w:t>
            </w:r>
          </w:p>
        </w:tc>
      </w:tr>
      <w:tr w14:paraId="08A5BCA9">
        <w:tblPrEx>
          <w:tblCellMar>
            <w:top w:w="0" w:type="dxa"/>
            <w:left w:w="108" w:type="dxa"/>
            <w:bottom w:w="0" w:type="dxa"/>
            <w:right w:w="108" w:type="dxa"/>
          </w:tblCellMar>
        </w:tblPrEx>
        <w:trPr>
          <w:trHeight w:val="1440" w:hRule="atLeast"/>
        </w:trPr>
        <w:tc>
          <w:tcPr>
            <w:tcW w:w="644" w:type="pct"/>
            <w:vMerge w:val="continue"/>
            <w:tcBorders>
              <w:left w:val="single" w:color="000000" w:sz="4" w:space="0"/>
              <w:bottom w:val="single" w:color="000000" w:sz="4" w:space="0"/>
              <w:right w:val="single" w:color="000000" w:sz="4" w:space="0"/>
            </w:tcBorders>
            <w:vAlign w:val="center"/>
          </w:tcPr>
          <w:p w14:paraId="7385EDF2">
            <w:pPr>
              <w:widowControl/>
              <w:jc w:val="left"/>
              <w:rPr>
                <w:rFonts w:hint="default" w:ascii="Times New Roman" w:hAnsi="Times New Roman" w:cs="Times New Roman"/>
                <w:color w:val="auto"/>
                <w:kern w:val="0"/>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5CA5">
            <w:pPr>
              <w:bidi w:val="0"/>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对接其他系统需求</w:t>
            </w:r>
          </w:p>
          <w:p w14:paraId="7594018B">
            <w:pPr>
              <w:widowControl/>
              <w:jc w:val="left"/>
              <w:rPr>
                <w:rFonts w:hint="default" w:ascii="Times New Roman" w:hAnsi="Times New Roman" w:cs="Times New Roman"/>
                <w:color w:val="auto"/>
                <w:kern w:val="0"/>
                <w:sz w:val="21"/>
                <w:szCs w:val="21"/>
                <w:highlight w:val="none"/>
              </w:rPr>
            </w:pPr>
          </w:p>
        </w:tc>
        <w:tc>
          <w:tcPr>
            <w:tcW w:w="3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2A03">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6.1对接互联网+AI监管系统</w:t>
            </w:r>
          </w:p>
          <w:p w14:paraId="78E41F90">
            <w:pPr>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互联网+AI监管系统增加“承检单位”模块，要求自治区市场监管局本级食品安全抽检监测承检单位接入视频监控，将互联网环境食品监控数据通过“承检单位”模块导入至内网环境食品安全抽检二级站“检验质检”模块，达到远程视频监控承检单位全流程检验检测过程的监管需求。</w:t>
            </w:r>
          </w:p>
          <w:p w14:paraId="070CA15E">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6.2对接登记注册系统</w:t>
            </w:r>
          </w:p>
          <w:p w14:paraId="4C223EC6">
            <w:pPr>
              <w:ind w:firstLine="420" w:firstLineChars="200"/>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接入登记注册系统中的获证在产食品生产企业名单，有效衔接食品抽检二级站“日常统计”中“生产覆盖统计”模块，计算各地（州、市）食品生产企业抽检覆盖率。</w:t>
            </w:r>
          </w:p>
        </w:tc>
      </w:tr>
    </w:tbl>
    <w:p w14:paraId="4874627D">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13.“互联网+AI监管”子系统</w:t>
      </w:r>
    </w:p>
    <w:tbl>
      <w:tblPr>
        <w:tblStyle w:val="41"/>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069"/>
        <w:gridCol w:w="6247"/>
      </w:tblGrid>
      <w:tr w14:paraId="0EE4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42" w:type="dxa"/>
            <w:vAlign w:val="center"/>
          </w:tcPr>
          <w:p w14:paraId="318BAE0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系统名称</w:t>
            </w:r>
          </w:p>
        </w:tc>
        <w:tc>
          <w:tcPr>
            <w:tcW w:w="1121" w:type="dxa"/>
            <w:vAlign w:val="center"/>
          </w:tcPr>
          <w:p w14:paraId="18CB2FD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模块名称</w:t>
            </w:r>
          </w:p>
        </w:tc>
        <w:tc>
          <w:tcPr>
            <w:tcW w:w="6737" w:type="dxa"/>
            <w:vAlign w:val="center"/>
          </w:tcPr>
          <w:p w14:paraId="0AB590A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规格参数</w:t>
            </w:r>
          </w:p>
        </w:tc>
      </w:tr>
      <w:tr w14:paraId="28F8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Merge w:val="restart"/>
            <w:vAlign w:val="center"/>
          </w:tcPr>
          <w:p w14:paraId="2FB3A5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eastAsia="zh-CN"/>
              </w:rPr>
              <w:t>食品监管和“</w:t>
            </w:r>
            <w:r>
              <w:rPr>
                <w:rFonts w:hint="default" w:ascii="Times New Roman" w:hAnsi="Times New Roman" w:eastAsia="宋体" w:cs="Times New Roman"/>
                <w:i w:val="0"/>
                <w:iCs w:val="0"/>
                <w:color w:val="000000"/>
                <w:kern w:val="0"/>
                <w:sz w:val="21"/>
                <w:szCs w:val="21"/>
                <w:highlight w:val="none"/>
                <w:u w:val="none"/>
                <w:lang w:val="en-US" w:eastAsia="zh-CN" w:bidi="ar"/>
              </w:rPr>
              <w:t>质量强企强链</w:t>
            </w:r>
            <w:r>
              <w:rPr>
                <w:rFonts w:hint="default" w:ascii="Times New Roman" w:hAnsi="Times New Roman" w:eastAsia="宋体" w:cs="Times New Roman"/>
                <w:b w:val="0"/>
                <w:bCs/>
                <w:color w:val="auto"/>
                <w:sz w:val="21"/>
                <w:szCs w:val="21"/>
                <w:highlight w:val="none"/>
                <w:lang w:eastAsia="zh-CN"/>
              </w:rPr>
              <w:t>”系统-“</w:t>
            </w:r>
            <w:r>
              <w:rPr>
                <w:rFonts w:hint="default" w:ascii="Times New Roman" w:hAnsi="Times New Roman" w:eastAsia="宋体" w:cs="Times New Roman"/>
                <w:b w:val="0"/>
                <w:bCs w:val="0"/>
                <w:color w:val="auto"/>
                <w:sz w:val="21"/>
                <w:szCs w:val="21"/>
                <w:highlight w:val="none"/>
                <w:lang w:val="en-US" w:eastAsia="zh-CN"/>
              </w:rPr>
              <w:t>互联网+AI监管”子系统</w:t>
            </w:r>
          </w:p>
        </w:tc>
        <w:tc>
          <w:tcPr>
            <w:tcW w:w="1121" w:type="dxa"/>
            <w:vAlign w:val="center"/>
          </w:tcPr>
          <w:p w14:paraId="4C37291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bookmarkStart w:id="519" w:name="_Toc958315937"/>
            <w:r>
              <w:rPr>
                <w:rFonts w:hint="default" w:ascii="Times New Roman" w:hAnsi="Times New Roman" w:eastAsia="宋体" w:cs="Times New Roman"/>
                <w:b w:val="0"/>
                <w:bCs/>
                <w:color w:val="auto"/>
                <w:sz w:val="21"/>
                <w:szCs w:val="21"/>
                <w:highlight w:val="none"/>
                <w:lang w:val="en-US" w:eastAsia="zh-CN"/>
              </w:rPr>
              <w:t>“互联网+AI监管”平台基础管理</w:t>
            </w:r>
            <w:bookmarkEnd w:id="519"/>
          </w:p>
        </w:tc>
        <w:tc>
          <w:tcPr>
            <w:tcW w:w="6737" w:type="dxa"/>
            <w:vAlign w:val="center"/>
          </w:tcPr>
          <w:p w14:paraId="5856A6C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20" w:name="_Toc288600659"/>
            <w:r>
              <w:rPr>
                <w:rFonts w:hint="default" w:ascii="Times New Roman" w:hAnsi="Times New Roman" w:eastAsia="宋体" w:cs="Times New Roman"/>
                <w:b w:val="0"/>
                <w:bCs/>
                <w:color w:val="auto"/>
                <w:sz w:val="21"/>
                <w:szCs w:val="21"/>
                <w:highlight w:val="none"/>
                <w:lang w:val="en-US" w:eastAsia="zh-CN"/>
              </w:rPr>
              <w:t>1.1主体管理</w:t>
            </w:r>
            <w:bookmarkEnd w:id="520"/>
          </w:p>
          <w:p w14:paraId="053C5D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主体档案</w:t>
            </w:r>
          </w:p>
          <w:p w14:paraId="2ABEB76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按照食品经营、食品销售、食品生产进行全疆14个地州统计分析。</w:t>
            </w:r>
          </w:p>
          <w:p w14:paraId="309F797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主体列表</w:t>
            </w:r>
          </w:p>
          <w:p w14:paraId="3B01408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同步获取经营主体基本信息、其他组织机构基本信息、食品生产许可信息、食品经营许可信息、仅销售预包装食品备案信息以及相关数据的变动信息，形成企业列表。</w:t>
            </w:r>
          </w:p>
          <w:p w14:paraId="12014C5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点位配置管理</w:t>
            </w:r>
          </w:p>
          <w:p w14:paraId="454688A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根据企业的业态类型（食品生产、食品销售、餐饮）以及子业态类型规定不同的关键监控环节，支持通过接口进行更新或者在页面上进行关键点位编辑。</w:t>
            </w:r>
          </w:p>
          <w:p w14:paraId="7DD307F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摄像头与市场主体关联清洗匹配</w:t>
            </w:r>
          </w:p>
          <w:p w14:paraId="7DC427C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支持模板导入和运营商接口对接两种源数据导入方式，系统自动生成并执行清洗匹配任务，将源数据与现有主体数据进行关联匹配，匹配成功的数据写入主体档案表，同时完成源数据归档；</w:t>
            </w:r>
          </w:p>
          <w:p w14:paraId="67FE9FC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主体档案表与归档表均支持 Excel 导出。</w:t>
            </w:r>
          </w:p>
          <w:p w14:paraId="1469A7B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21" w:name="_Toc1493200887"/>
            <w:r>
              <w:rPr>
                <w:rFonts w:hint="default" w:ascii="Times New Roman" w:hAnsi="Times New Roman" w:eastAsia="宋体" w:cs="Times New Roman"/>
                <w:b w:val="0"/>
                <w:bCs/>
                <w:color w:val="auto"/>
                <w:sz w:val="21"/>
                <w:szCs w:val="21"/>
                <w:highlight w:val="none"/>
                <w:lang w:val="en-US" w:eastAsia="zh-CN"/>
              </w:rPr>
              <w:t>1.2非现场检查</w:t>
            </w:r>
            <w:bookmarkEnd w:id="521"/>
          </w:p>
          <w:p w14:paraId="42A22A6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视频查询</w:t>
            </w:r>
          </w:p>
          <w:p w14:paraId="0073FAB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支持按照所属地区（自治区、市、区县）、主体名称、主体类型查询、业态子项查询。</w:t>
            </w:r>
          </w:p>
          <w:p w14:paraId="214576B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视频展示</w:t>
            </w:r>
          </w:p>
          <w:p w14:paraId="3F3D298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支持在列表中选择单个或多个设备进行实时视频预览，支持多画面布局，支持视频画面切换（1*2/2*2/3*2/3*3）。</w:t>
            </w:r>
          </w:p>
          <w:p w14:paraId="00B499E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22" w:name="_Toc733408967"/>
            <w:r>
              <w:rPr>
                <w:rFonts w:hint="default" w:ascii="Times New Roman" w:hAnsi="Times New Roman" w:eastAsia="宋体" w:cs="Times New Roman"/>
                <w:b w:val="0"/>
                <w:bCs/>
                <w:color w:val="auto"/>
                <w:sz w:val="21"/>
                <w:szCs w:val="21"/>
                <w:highlight w:val="none"/>
                <w:lang w:val="en-US" w:eastAsia="zh-CN"/>
              </w:rPr>
              <w:t>1.3统计报表及数据分析</w:t>
            </w:r>
            <w:bookmarkEnd w:id="522"/>
          </w:p>
          <w:p w14:paraId="4FD0F2C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视频接入统计</w:t>
            </w:r>
          </w:p>
          <w:p w14:paraId="104CB23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按照主体类型、在线主体数量（路）进行各州视频接入情况统计。</w:t>
            </w:r>
          </w:p>
          <w:p w14:paraId="4CE897F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在线主体数量分布统计</w:t>
            </w:r>
          </w:p>
          <w:p w14:paraId="47D193E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以全辖地州为维度统计主体在线数量, 统计指标包括:食品生产主体数量、食品销售主体数量、餐饮服务主体数量和总体主体数量。</w:t>
            </w:r>
          </w:p>
          <w:p w14:paraId="42F3167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上传总局主体数量分布统计</w:t>
            </w:r>
          </w:p>
          <w:p w14:paraId="782E8C4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以全辖地州为维度统计上传总局主体数量, 统计指标包括:食品生产主体数量、食品销售主体数量、餐饮服务主体数量和总体主体数量。</w:t>
            </w:r>
          </w:p>
          <w:p w14:paraId="6FE86B5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主体类型统计</w:t>
            </w:r>
          </w:p>
          <w:p w14:paraId="2842562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市场主体视频未匹配统计表。</w:t>
            </w:r>
          </w:p>
          <w:p w14:paraId="62DDFD8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数据表统计</w:t>
            </w:r>
          </w:p>
          <w:p w14:paraId="7AB7331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提供按各级监管单位各项数据归集情况统计分析功能，包括表名、归集数量、归集比例、最新更新时间等信息，支持数据以报表形式导出。</w:t>
            </w:r>
          </w:p>
          <w:p w14:paraId="65F1BB7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业务数据分析</w:t>
            </w:r>
          </w:p>
          <w:p w14:paraId="7ECFF89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根据不同的企业业态类型统计当前类型下的企业以及食品接入情况。包括新增接入企业情况，按照时间维度统计接入变化情况。</w:t>
            </w:r>
          </w:p>
          <w:p w14:paraId="7849B48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业务健康度监控</w:t>
            </w:r>
          </w:p>
          <w:p w14:paraId="262CD09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视频接入健康度：统计并展示全疆摄像头设备在线率、离线率。</w:t>
            </w:r>
          </w:p>
          <w:p w14:paraId="77CB704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任务处理健康度：监控预警、督办、整改等任务的生成量、积压量、处理及时率。</w:t>
            </w:r>
          </w:p>
          <w:p w14:paraId="4153EB9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23" w:name="_Toc1995858236"/>
            <w:r>
              <w:rPr>
                <w:rFonts w:hint="default" w:ascii="Times New Roman" w:hAnsi="Times New Roman" w:eastAsia="宋体" w:cs="Times New Roman"/>
                <w:b w:val="0"/>
                <w:bCs/>
                <w:color w:val="auto"/>
                <w:sz w:val="21"/>
                <w:szCs w:val="21"/>
                <w:highlight w:val="none"/>
                <w:lang w:val="en-US" w:eastAsia="zh-CN"/>
              </w:rPr>
              <w:t>1.4“互联网+AI监管”驾驶舱</w:t>
            </w:r>
            <w:bookmarkEnd w:id="523"/>
          </w:p>
          <w:p w14:paraId="779621F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为监管人员提供一站式数据视图，核心指标包括：市场主体与视频接入情况、区域视频接入数据、平台资源使用情况、视频直播、截图抽帧、AI 抓拍分析、抓拍结果、闭环处置等。支持按自治区、市、区县三级行政区划进行层级钻取，点击相应区域即可筛选查看该区域下的明细数据。</w:t>
            </w:r>
          </w:p>
          <w:p w14:paraId="0B4AE15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24" w:name="_Toc694806312"/>
            <w:r>
              <w:rPr>
                <w:rFonts w:hint="default" w:ascii="Times New Roman" w:hAnsi="Times New Roman" w:eastAsia="宋体" w:cs="Times New Roman"/>
                <w:b w:val="0"/>
                <w:bCs/>
                <w:color w:val="auto"/>
                <w:sz w:val="21"/>
                <w:szCs w:val="21"/>
                <w:highlight w:val="none"/>
                <w:lang w:val="en-US" w:eastAsia="zh-CN"/>
              </w:rPr>
              <w:t>1.5日志管理</w:t>
            </w:r>
            <w:bookmarkEnd w:id="524"/>
          </w:p>
          <w:p w14:paraId="6EFDFF0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记录用户系统操作日志、访问日志，支持查询历史日志记录。</w:t>
            </w:r>
          </w:p>
          <w:p w14:paraId="7C54887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25" w:name="_Toc1741097045"/>
            <w:r>
              <w:rPr>
                <w:rFonts w:hint="default" w:ascii="Times New Roman" w:hAnsi="Times New Roman" w:eastAsia="宋体" w:cs="Times New Roman"/>
                <w:b w:val="0"/>
                <w:bCs/>
                <w:color w:val="auto"/>
                <w:sz w:val="21"/>
                <w:szCs w:val="21"/>
                <w:highlight w:val="none"/>
                <w:lang w:val="en-US" w:eastAsia="zh-CN"/>
              </w:rPr>
              <w:t>1.6权限管理</w:t>
            </w:r>
            <w:bookmarkEnd w:id="525"/>
          </w:p>
          <w:p w14:paraId="1C681C9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支持分权分域，支持为不同角色配置可访问的企业业态类型（如食品生产、食品销售、餐饮服务）。基于辖区的权限规则支持根据行政区域层级（省、市、县、所）配置数据管辖范围。</w:t>
            </w:r>
          </w:p>
          <w:p w14:paraId="01765D3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26" w:name="_Toc1005861293"/>
            <w:r>
              <w:rPr>
                <w:rFonts w:hint="default" w:ascii="Times New Roman" w:hAnsi="Times New Roman" w:eastAsia="宋体" w:cs="Times New Roman"/>
                <w:b w:val="0"/>
                <w:bCs/>
                <w:color w:val="auto"/>
                <w:sz w:val="21"/>
                <w:szCs w:val="21"/>
                <w:highlight w:val="none"/>
                <w:lang w:val="en-US" w:eastAsia="zh-CN"/>
              </w:rPr>
              <w:t>1.7角色管理</w:t>
            </w:r>
            <w:bookmarkEnd w:id="526"/>
          </w:p>
          <w:p w14:paraId="58BEA9C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基于单点登录，支持创建不同的角色并配置不同的页面权限。</w:t>
            </w:r>
          </w:p>
          <w:p w14:paraId="2563305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27" w:name="_Toc519482267"/>
            <w:r>
              <w:rPr>
                <w:rFonts w:hint="default" w:ascii="Times New Roman" w:hAnsi="Times New Roman" w:eastAsia="宋体" w:cs="Times New Roman"/>
                <w:b w:val="0"/>
                <w:bCs/>
                <w:color w:val="auto"/>
                <w:sz w:val="21"/>
                <w:szCs w:val="21"/>
                <w:highlight w:val="none"/>
                <w:lang w:val="en-US" w:eastAsia="zh-CN"/>
              </w:rPr>
              <w:t>1.8用户管理</w:t>
            </w:r>
            <w:bookmarkEnd w:id="527"/>
          </w:p>
          <w:p w14:paraId="0CE8483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支持对不同监管单位账号进行管理，可根据账号信息进行查询、重置密码等操作。</w:t>
            </w:r>
          </w:p>
        </w:tc>
      </w:tr>
      <w:tr w14:paraId="54CC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Merge w:val="continue"/>
            <w:vAlign w:val="center"/>
          </w:tcPr>
          <w:p w14:paraId="1128845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eastAsia="zh-CN"/>
              </w:rPr>
            </w:pPr>
          </w:p>
        </w:tc>
        <w:tc>
          <w:tcPr>
            <w:tcW w:w="1121" w:type="dxa"/>
            <w:vAlign w:val="center"/>
          </w:tcPr>
          <w:p w14:paraId="64ECD36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视频及AI管理</w:t>
            </w:r>
          </w:p>
          <w:p w14:paraId="3535A9F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6737" w:type="dxa"/>
            <w:vAlign w:val="center"/>
          </w:tcPr>
          <w:p w14:paraId="3FBA56B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28" w:name="_Toc817713927"/>
            <w:r>
              <w:rPr>
                <w:rFonts w:hint="default" w:ascii="Times New Roman" w:hAnsi="Times New Roman" w:eastAsia="宋体" w:cs="Times New Roman"/>
                <w:b w:val="0"/>
                <w:bCs/>
                <w:color w:val="auto"/>
                <w:sz w:val="21"/>
                <w:szCs w:val="21"/>
                <w:highlight w:val="none"/>
                <w:lang w:val="en-US" w:eastAsia="zh-CN"/>
              </w:rPr>
              <w:t>2.1视频监控管理</w:t>
            </w:r>
            <w:bookmarkEnd w:id="528"/>
          </w:p>
          <w:p w14:paraId="06F0329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视频接入</w:t>
            </w:r>
          </w:p>
          <w:p w14:paraId="6281147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维护所有监控设备的基础信息，包括设备编码、名称、型号、安装位置（精确到企业内的具体点位）、所属企业、行政辖区、接入协议（GB</w:t>
            </w:r>
            <w:r>
              <w:rPr>
                <w:rFonts w:hint="eastAsia" w:ascii="Times New Roman" w:cs="Times New Roman"/>
                <w:b w:val="0"/>
                <w:bCs/>
                <w:color w:val="auto"/>
                <w:sz w:val="21"/>
                <w:szCs w:val="21"/>
                <w:highlight w:val="none"/>
                <w:lang w:val="en-US" w:eastAsia="zh-CN"/>
              </w:rPr>
              <w:t>T</w:t>
            </w:r>
            <w:r>
              <w:rPr>
                <w:rFonts w:hint="default" w:ascii="Times New Roman" w:hAnsi="Times New Roman" w:eastAsia="宋体" w:cs="Times New Roman"/>
                <w:b w:val="0"/>
                <w:bCs/>
                <w:color w:val="auto"/>
                <w:sz w:val="21"/>
                <w:szCs w:val="21"/>
                <w:highlight w:val="none"/>
                <w:lang w:val="en-US" w:eastAsia="zh-CN"/>
              </w:rPr>
              <w:t>28181等）、在线状态等。支持全疆各地监管单位辖区内的食品企业视频接入情况查询。支持查看不同设备的实时视频。</w:t>
            </w:r>
          </w:p>
          <w:p w14:paraId="142F910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视频推送</w:t>
            </w:r>
          </w:p>
          <w:p w14:paraId="30AB2D1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支持手动操作推送数据，数据通过与总局建设好的接口更新原视频节点信息。</w:t>
            </w:r>
          </w:p>
          <w:p w14:paraId="62C6973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29" w:name="_Toc1570113936"/>
            <w:r>
              <w:rPr>
                <w:rFonts w:hint="default" w:ascii="Times New Roman" w:hAnsi="Times New Roman" w:eastAsia="宋体" w:cs="Times New Roman"/>
                <w:b w:val="0"/>
                <w:bCs/>
                <w:color w:val="auto"/>
                <w:sz w:val="21"/>
                <w:szCs w:val="21"/>
                <w:highlight w:val="none"/>
                <w:lang w:val="en-US" w:eastAsia="zh-CN"/>
              </w:rPr>
              <w:t>2.2国标平台</w:t>
            </w:r>
            <w:bookmarkEnd w:id="529"/>
          </w:p>
          <w:p w14:paraId="46D0164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国标平台管理</w:t>
            </w:r>
          </w:p>
          <w:p w14:paraId="62D3A99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国标平台用于管理系统已接入的下级国标平台、IPC的信息，支持新增、查看、数据同步、编辑、删除、导出设备信息、查看注册状态记录等内容。拉流代理实现将不支持国标协议的视频流，通过拉流代理的方式，接入国标平台中，支持新增、编辑拉流代理。</w:t>
            </w:r>
          </w:p>
          <w:p w14:paraId="67FDCF5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级联管理</w:t>
            </w:r>
          </w:p>
          <w:p w14:paraId="65CA7C9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在下级平台（如市级或县级食品安全监管平台）中配置上级平台（如省级食品安全监管平台）的相关信息，包括上级SIP域、SIP地址、本地SIP ID等，实现平台之间的级联。在下级平台中提供级联状态查看功能，实时显示与上级平台的连接状态。</w:t>
            </w:r>
          </w:p>
          <w:p w14:paraId="368E965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设备接入</w:t>
            </w:r>
          </w:p>
          <w:p w14:paraId="3161985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在国标平台上完成设备的注册，平台会获取设备的基本信息和状态信息。视频监控设备（如IPC、DVR、NVR等）支持GB28181协议，并能够通过该协议接入国标平台。</w:t>
            </w:r>
          </w:p>
          <w:p w14:paraId="6407ADF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设备信息</w:t>
            </w:r>
          </w:p>
          <w:p w14:paraId="27A0BEB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国标接入的设备信息查看，支持查看摄像头的实时画面，支持全屏切换。</w:t>
            </w:r>
          </w:p>
          <w:p w14:paraId="6967E1C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录像文件检索</w:t>
            </w:r>
          </w:p>
          <w:p w14:paraId="333A762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平台支持对国标接入设备的录像文件进行检索，包括国标录制、国标截图、AI截图任务、AI分析任务等，用户可以根据通道、状态、等条件查询历史录像文件。</w:t>
            </w:r>
          </w:p>
          <w:p w14:paraId="6C89E52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视频回放</w:t>
            </w:r>
          </w:p>
          <w:p w14:paraId="37E015F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台提供录像回放功能，用户可以选择检索到的录像文件进行回放。通过GB28181协议定义的“历史媒体文件检索”命令，平台向设备发送回放查询请求，具备回放条件的设备返回符合条件的录像文件列表，平台选择目标文件进行回放。</w:t>
            </w:r>
          </w:p>
          <w:p w14:paraId="515CA99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30" w:name="_Toc625868016"/>
            <w:r>
              <w:rPr>
                <w:rFonts w:hint="default" w:ascii="Times New Roman" w:hAnsi="Times New Roman" w:eastAsia="宋体" w:cs="Times New Roman"/>
                <w:b w:val="0"/>
                <w:bCs/>
                <w:color w:val="auto"/>
                <w:sz w:val="21"/>
                <w:szCs w:val="21"/>
                <w:highlight w:val="none"/>
                <w:lang w:val="en-US" w:eastAsia="zh-CN"/>
              </w:rPr>
              <w:t>2.3AI分析</w:t>
            </w:r>
            <w:bookmarkEnd w:id="530"/>
          </w:p>
          <w:p w14:paraId="22A3737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视频分析</w:t>
            </w:r>
          </w:p>
          <w:p w14:paraId="6AF890D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自动生成多维度统计分析报表，并以图表形式可视化展示：</w:t>
            </w:r>
          </w:p>
          <w:p w14:paraId="38AFC46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（1）设备在线率报表：统计全疆、各地市、各类型的设备日均在线率、月均在线率及趋势变化。</w:t>
            </w:r>
          </w:p>
          <w:p w14:paraId="454E981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（2）问题分类统计：统计各类异常设备（离线、遮挡等）的数量和占比，快速定位共性问题。</w:t>
            </w:r>
          </w:p>
          <w:p w14:paraId="4826966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抓拍任务配置</w:t>
            </w:r>
          </w:p>
          <w:p w14:paraId="3754997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根据用户规则情况创建新的定时任务，定义抓拍地州、执行时间、执行频率、抓拍类型等参数，支持启用或禁用定时任务，灵活控制任务的执行状态。</w:t>
            </w:r>
          </w:p>
          <w:p w14:paraId="396B7C8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抓拍分析</w:t>
            </w:r>
          </w:p>
          <w:p w14:paraId="34788BE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违规类型分布： 统计不同时段、不同区域（省/市/县）、不同业态（生产/销售/餐饮）下，各类违规行为（如未戴工帽、未穿工装、鼠患隐患等）的发生次数和占比。</w:t>
            </w:r>
          </w:p>
          <w:p w14:paraId="4F94A66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趋势分析： 分析特定违规行为在不同时间周期（日、周、月）内的变化趋势，发现规律性风险。</w:t>
            </w:r>
          </w:p>
          <w:p w14:paraId="044C023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通过饼图、柱状图、折线图、地图热力图等可视化形式，直观展示分析结果。</w:t>
            </w:r>
          </w:p>
          <w:p w14:paraId="6D8CA7F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支持数据下钻，如从省地图点击下钻到地市、区县的具体企业列表和违规详情。</w:t>
            </w:r>
          </w:p>
          <w:p w14:paraId="3D221E2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抓拍记录</w:t>
            </w:r>
          </w:p>
          <w:p w14:paraId="17B1DEC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支持全疆各地监管单位辖区内的食品企业抓拍情况查询。支持按照企业名称、统一社会信用代码、许可证编号登等查询搜索。</w:t>
            </w:r>
          </w:p>
        </w:tc>
      </w:tr>
      <w:tr w14:paraId="3FA4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Merge w:val="continue"/>
            <w:vAlign w:val="center"/>
          </w:tcPr>
          <w:p w14:paraId="6DF446B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eastAsia="zh-CN"/>
              </w:rPr>
            </w:pPr>
          </w:p>
        </w:tc>
        <w:tc>
          <w:tcPr>
            <w:tcW w:w="1121" w:type="dxa"/>
            <w:vAlign w:val="center"/>
          </w:tcPr>
          <w:p w14:paraId="2B03CB4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31" w:name="_Toc588841906"/>
            <w:r>
              <w:rPr>
                <w:rFonts w:hint="default" w:ascii="Times New Roman" w:hAnsi="Times New Roman" w:eastAsia="宋体" w:cs="Times New Roman"/>
                <w:b w:val="0"/>
                <w:bCs/>
                <w:color w:val="auto"/>
                <w:sz w:val="21"/>
                <w:szCs w:val="21"/>
                <w:highlight w:val="none"/>
                <w:lang w:val="en-US" w:eastAsia="zh-CN"/>
              </w:rPr>
              <w:t>AI抓拍场景管理</w:t>
            </w:r>
            <w:bookmarkEnd w:id="531"/>
          </w:p>
          <w:p w14:paraId="0431874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6737" w:type="dxa"/>
            <w:vAlign w:val="center"/>
          </w:tcPr>
          <w:p w14:paraId="03D9AF7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32" w:name="_Toc1061268766"/>
            <w:r>
              <w:rPr>
                <w:rFonts w:hint="default" w:ascii="Times New Roman" w:hAnsi="Times New Roman" w:eastAsia="宋体" w:cs="Times New Roman"/>
                <w:b w:val="0"/>
                <w:bCs/>
                <w:color w:val="auto"/>
                <w:sz w:val="21"/>
                <w:szCs w:val="21"/>
                <w:highlight w:val="none"/>
                <w:lang w:val="en-US" w:eastAsia="zh-CN"/>
              </w:rPr>
              <w:t>3.1未穿工作服</w:t>
            </w:r>
            <w:bookmarkEnd w:id="532"/>
          </w:p>
          <w:p w14:paraId="7388F1B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识别指定区域在岗人员是否穿着工作服，包括厨师服、围裙等。对未按要求着装的违规行为进行抓取、预警并输出报警信息。</w:t>
            </w:r>
          </w:p>
          <w:p w14:paraId="00E2498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33" w:name="_Toc1892461827"/>
            <w:r>
              <w:rPr>
                <w:rFonts w:hint="default" w:ascii="Times New Roman" w:hAnsi="Times New Roman" w:eastAsia="宋体" w:cs="Times New Roman"/>
                <w:b w:val="0"/>
                <w:bCs/>
                <w:color w:val="auto"/>
                <w:sz w:val="21"/>
                <w:szCs w:val="21"/>
                <w:highlight w:val="none"/>
                <w:lang w:val="en-US" w:eastAsia="zh-CN"/>
              </w:rPr>
              <w:t>3.2未戴工作帽</w:t>
            </w:r>
            <w:bookmarkEnd w:id="533"/>
          </w:p>
          <w:p w14:paraId="442D497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识别指定区域内在岗人员是否佩戴工作帽，包括白色厨师帽、一次性白/蓝色厨师帽、具备厨师帽功能的其他帽子。对未佩戴工作帽的违规行为进行抓取、预警并输出报警信息。</w:t>
            </w:r>
          </w:p>
          <w:p w14:paraId="1DAF4C7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34" w:name="_Toc225630672"/>
            <w:r>
              <w:rPr>
                <w:rFonts w:hint="default" w:ascii="Times New Roman" w:hAnsi="Times New Roman" w:eastAsia="宋体" w:cs="Times New Roman"/>
                <w:b w:val="0"/>
                <w:bCs/>
                <w:color w:val="auto"/>
                <w:sz w:val="21"/>
                <w:szCs w:val="21"/>
                <w:highlight w:val="none"/>
                <w:lang w:val="en-US" w:eastAsia="zh-CN"/>
              </w:rPr>
              <w:t>3.3未戴口罩</w:t>
            </w:r>
            <w:bookmarkEnd w:id="534"/>
          </w:p>
          <w:p w14:paraId="5FAA03E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识别指定区域内在岗人员是否佩戴口罩，支持一次性医用口罩、N95口罩、红色口罩、粉色口罩、黑色口罩等。对未佩戴口罩的违规行为进行抓取、预警并输出报警信息。</w:t>
            </w:r>
          </w:p>
          <w:p w14:paraId="2172C0D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35" w:name="_Toc1866067349"/>
            <w:r>
              <w:rPr>
                <w:rFonts w:hint="default" w:ascii="Times New Roman" w:hAnsi="Times New Roman" w:eastAsia="宋体" w:cs="Times New Roman"/>
                <w:b w:val="0"/>
                <w:bCs/>
                <w:color w:val="auto"/>
                <w:sz w:val="21"/>
                <w:szCs w:val="21"/>
                <w:highlight w:val="none"/>
                <w:lang w:val="en-US" w:eastAsia="zh-CN"/>
              </w:rPr>
              <w:t>3.4违规抽烟</w:t>
            </w:r>
            <w:bookmarkEnd w:id="535"/>
          </w:p>
          <w:p w14:paraId="558B301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识别指定区域内在岗人员是否存在抽烟的行为（烟距离嘴半个人头以内），对违规吸烟行为进行抓取、预警并输出报警信息。</w:t>
            </w:r>
          </w:p>
          <w:p w14:paraId="6B8325A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36" w:name="_Toc1142753855"/>
            <w:r>
              <w:rPr>
                <w:rFonts w:hint="default" w:ascii="Times New Roman" w:hAnsi="Times New Roman" w:eastAsia="宋体" w:cs="Times New Roman"/>
                <w:b w:val="0"/>
                <w:bCs/>
                <w:color w:val="auto"/>
                <w:sz w:val="21"/>
                <w:szCs w:val="21"/>
                <w:highlight w:val="none"/>
                <w:lang w:val="en-US" w:eastAsia="zh-CN"/>
              </w:rPr>
              <w:t>3.5鼠患抓拍</w:t>
            </w:r>
            <w:bookmarkEnd w:id="536"/>
          </w:p>
          <w:p w14:paraId="03C17E4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针对后厨、仓库等指定区域提供老鼠检测识别，消除食品卫生安全隐患，保障人身及财产安全。</w:t>
            </w:r>
          </w:p>
          <w:p w14:paraId="656A4FD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37" w:name="_Toc1317785864"/>
            <w:r>
              <w:rPr>
                <w:rFonts w:hint="default" w:ascii="Times New Roman" w:hAnsi="Times New Roman" w:eastAsia="宋体" w:cs="Times New Roman"/>
                <w:b w:val="0"/>
                <w:bCs/>
                <w:color w:val="auto"/>
                <w:sz w:val="21"/>
                <w:szCs w:val="21"/>
                <w:highlight w:val="none"/>
                <w:lang w:val="en-US" w:eastAsia="zh-CN"/>
              </w:rPr>
              <w:t>3.6接打电话</w:t>
            </w:r>
            <w:bookmarkEnd w:id="537"/>
          </w:p>
          <w:p w14:paraId="3D45870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识别指定区域内是否有人接打电话，包括指定区域内人员贴耳边打电话。若发现接打电话情况则进行抓取、预警并输出报警信息。</w:t>
            </w:r>
          </w:p>
          <w:p w14:paraId="3639057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38" w:name="_Toc1028164737"/>
            <w:r>
              <w:rPr>
                <w:rFonts w:hint="default" w:ascii="Times New Roman" w:hAnsi="Times New Roman" w:eastAsia="宋体" w:cs="Times New Roman"/>
                <w:b w:val="0"/>
                <w:bCs/>
                <w:color w:val="auto"/>
                <w:sz w:val="21"/>
                <w:szCs w:val="21"/>
                <w:highlight w:val="none"/>
                <w:lang w:val="en-US" w:eastAsia="zh-CN"/>
              </w:rPr>
              <w:t>3.7未盖垃圾桶</w:t>
            </w:r>
            <w:bookmarkEnd w:id="538"/>
          </w:p>
          <w:p w14:paraId="64AAC8D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识别指定区域内，是否存在未正常盖盖的垃圾桶，若垃圾桶长时间（可设置）未上盖则进行抓取、预警并输出报警信息。</w:t>
            </w:r>
          </w:p>
          <w:p w14:paraId="1BB8090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39" w:name="_Toc1711310997"/>
            <w:r>
              <w:rPr>
                <w:rFonts w:hint="default" w:ascii="Times New Roman" w:hAnsi="Times New Roman" w:eastAsia="宋体" w:cs="Times New Roman"/>
                <w:b w:val="0"/>
                <w:bCs/>
                <w:color w:val="auto"/>
                <w:sz w:val="21"/>
                <w:szCs w:val="21"/>
                <w:highlight w:val="none"/>
                <w:lang w:val="en-US" w:eastAsia="zh-CN"/>
              </w:rPr>
              <w:t>3.8未戴手套</w:t>
            </w:r>
            <w:bookmarkEnd w:id="539"/>
          </w:p>
          <w:p w14:paraId="1CF6987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识别指定区域内人员佩戴手套情况支持各种颜色的胶皮手套、医用手套。</w:t>
            </w:r>
          </w:p>
          <w:p w14:paraId="29C8266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40" w:name="_Toc755442308"/>
            <w:r>
              <w:rPr>
                <w:rFonts w:hint="default" w:ascii="Times New Roman" w:hAnsi="Times New Roman" w:eastAsia="宋体" w:cs="Times New Roman"/>
                <w:b w:val="0"/>
                <w:bCs/>
                <w:color w:val="auto"/>
                <w:sz w:val="21"/>
                <w:szCs w:val="21"/>
                <w:highlight w:val="none"/>
                <w:lang w:val="en-US" w:eastAsia="zh-CN"/>
              </w:rPr>
              <w:t>接口服务管理</w:t>
            </w:r>
            <w:bookmarkEnd w:id="540"/>
          </w:p>
          <w:p w14:paraId="0664011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41" w:name="_Toc795549492"/>
            <w:r>
              <w:rPr>
                <w:rFonts w:hint="default" w:ascii="Times New Roman" w:hAnsi="Times New Roman" w:eastAsia="宋体" w:cs="Times New Roman"/>
                <w:b w:val="0"/>
                <w:bCs/>
                <w:color w:val="auto"/>
                <w:sz w:val="21"/>
                <w:szCs w:val="21"/>
                <w:highlight w:val="none"/>
                <w:lang w:val="en-US" w:eastAsia="zh-CN"/>
              </w:rPr>
              <w:t>上行至国家局系统接口</w:t>
            </w:r>
            <w:bookmarkEnd w:id="541"/>
          </w:p>
          <w:p w14:paraId="002071B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经营主体基本信息接口对接</w:t>
            </w:r>
          </w:p>
          <w:p w14:paraId="148F78B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按照总局接口规范要求，开发经营主体基本信息接口，实现企业法人、个体工商户、农民专业合作社等经营主体基本信息的采集和报送。支持单条和批量数据报送，支持数据更新和删除。</w:t>
            </w:r>
          </w:p>
          <w:p w14:paraId="7558123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食品生产许可信息接口对接</w:t>
            </w:r>
          </w:p>
          <w:p w14:paraId="2A95CD5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开发食品生产许可信息接口，采集食品生产企业合法生产资质信息。支持单条和批量数据报送，支持数据更新和删除。</w:t>
            </w:r>
          </w:p>
          <w:p w14:paraId="3CB22C2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食品经营许可信息接口对接</w:t>
            </w:r>
          </w:p>
          <w:p w14:paraId="030B0D4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发食品经营许可信息接口，采集食品经营企业合法生产资质信息。支持单条和批量数据报送，支持数据更新和删除。</w:t>
            </w:r>
          </w:p>
          <w:p w14:paraId="066B492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仅销售预包装食品备案信息接口对接</w:t>
            </w:r>
          </w:p>
          <w:p w14:paraId="54EBF65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开发仅销售预包装食品备案信息接口，采集拟从事仅销售预包装食品活动的市场主体的备案信息。支持单条和批量数据报送，支持数据更新和删除。</w:t>
            </w:r>
          </w:p>
          <w:p w14:paraId="3FE599D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可视化视频监控设备基本信息接口对接</w:t>
            </w:r>
          </w:p>
          <w:p w14:paraId="1BD73CD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开发可视化视频监控设备基本信息接口，采集监控设备信息。支持单条和批量数据报送，支持数据更新和删除。</w:t>
            </w:r>
          </w:p>
          <w:p w14:paraId="750E01A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可视化视频监控实时调用信息表接口对接</w:t>
            </w:r>
          </w:p>
          <w:p w14:paraId="1A24D97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开发可视化视频监控实时调用信息表接口，实现对可视化视频监控实时调用信息的采集和报送。支持单条和批量数据报送，支持数据更新和删除。</w:t>
            </w:r>
          </w:p>
          <w:p w14:paraId="7EDBF02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可视化视频监控回放信息接口对接</w:t>
            </w:r>
          </w:p>
          <w:p w14:paraId="1E94F51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开发可视化视频监控回放信息接口，实现对可视化视频监控回放信息的采集和报送。支持单条和批量数据报送，支持数据更新和删除。</w:t>
            </w:r>
          </w:p>
          <w:p w14:paraId="2FA6AF2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违法违规行为识别信息接口对接</w:t>
            </w:r>
          </w:p>
          <w:p w14:paraId="431D982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开发违法违规行为识别信息接口，实现对违法违规情况抓拍识别后产生的结构化信息的采集和报送。支持单条和批量数据报送，支持数据更新和删除。</w:t>
            </w:r>
          </w:p>
          <w:p w14:paraId="0E87602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违法违规识别图片固证文件存储信息表接口对接</w:t>
            </w:r>
          </w:p>
          <w:p w14:paraId="522195A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开发违法违规识别图片固证文件存储信息表接口，实现对违法违规识别抓拍的图片文件信息的采集和报送。支持单条和批量数据报送，支持数据更新和删除。</w:t>
            </w:r>
          </w:p>
          <w:p w14:paraId="5E760A7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违法违规识别视频固证文件存储信息表接口对接</w:t>
            </w:r>
          </w:p>
          <w:p w14:paraId="2D4F6C0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开发违法违规识别视频固证文件存储信息表接口，实现对违法违规识别抓拍的视频文件信息的采集和报送。支持单条和批量数据报送，支持数据更新和删除。</w:t>
            </w:r>
          </w:p>
          <w:p w14:paraId="26D7272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违法违规处置证明文件存储信息表接口对接</w:t>
            </w:r>
          </w:p>
          <w:p w14:paraId="3EADA1E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开发违法违规处置证明文件存储信息表接口，实现对违法违规处置过程中提交的证明文件、过程文书材料等信息的采集和报送。支持单条和批量数据报送，支持数据更新和删除。</w:t>
            </w:r>
          </w:p>
          <w:p w14:paraId="00AFCC8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违法违规监管部门地方催办信息接口对接</w:t>
            </w:r>
          </w:p>
          <w:p w14:paraId="112DF72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开发违法违规监管部门地方催办信息接口，实现对地方违法违规催办情况的采集和报送。支持单条和批量数据报送，支持数据更新和删除。</w:t>
            </w:r>
          </w:p>
          <w:p w14:paraId="5575288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违法违规监管部门总局督办信息接口对接</w:t>
            </w:r>
          </w:p>
          <w:p w14:paraId="5367AC8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开发违法违规监管部门总局督办信息接口，实现对总局对违法违规督办信息的获取和更新。</w:t>
            </w:r>
          </w:p>
          <w:p w14:paraId="7E0D567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违法违规处置信息接口对接</w:t>
            </w:r>
          </w:p>
          <w:p w14:paraId="164CE09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开发违法违规处置信息接口，实现对企业处置违法违规过程信息的采集和报送。支持单条和批量数据报送，支持数据更新和删除。</w:t>
            </w:r>
          </w:p>
          <w:p w14:paraId="2E32B38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设备巡检记录信息接口对接</w:t>
            </w:r>
          </w:p>
          <w:p w14:paraId="069C0AE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开发设备巡检记录信息接口，实现对摄像头的设备状态的采集和报送。</w:t>
            </w:r>
          </w:p>
          <w:p w14:paraId="50D4061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获取调用凭证</w:t>
            </w:r>
          </w:p>
          <w:p w14:paraId="02506DA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开发获取调用凭证接口，确保调用者的合法性，省级平台提供获取认证凭证，总局携带约定的安全信息获取凭证。</w:t>
            </w:r>
          </w:p>
          <w:p w14:paraId="1B60362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42" w:name="_Toc567125822"/>
            <w:r>
              <w:rPr>
                <w:rFonts w:hint="default" w:ascii="Times New Roman" w:hAnsi="Times New Roman" w:eastAsia="宋体" w:cs="Times New Roman"/>
                <w:b w:val="0"/>
                <w:bCs/>
                <w:color w:val="auto"/>
                <w:sz w:val="21"/>
                <w:szCs w:val="21"/>
                <w:highlight w:val="none"/>
                <w:lang w:val="en-US" w:eastAsia="zh-CN"/>
              </w:rPr>
              <w:t>智慧监管平台一张网对接</w:t>
            </w:r>
            <w:bookmarkEnd w:id="542"/>
          </w:p>
          <w:p w14:paraId="36D9183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平台内企业可通过一张网的对接，在新服办内完成违规行为查询、整改反馈等全流程业务操作，企业可通过新服办对AI识别到的违规预警或督办任务进行整改反馈，包括提交整改说明、图片证据、文书材料等。</w:t>
            </w:r>
          </w:p>
          <w:p w14:paraId="1DAC550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43" w:name="_Toc1151264968"/>
            <w:r>
              <w:rPr>
                <w:rFonts w:hint="default" w:ascii="Times New Roman" w:hAnsi="Times New Roman" w:eastAsia="宋体" w:cs="Times New Roman"/>
                <w:b w:val="0"/>
                <w:bCs/>
                <w:color w:val="auto"/>
                <w:sz w:val="21"/>
                <w:szCs w:val="21"/>
                <w:highlight w:val="none"/>
                <w:lang w:val="en-US" w:eastAsia="zh-CN"/>
              </w:rPr>
              <w:t>三方业务系统接口</w:t>
            </w:r>
            <w:bookmarkEnd w:id="543"/>
          </w:p>
          <w:p w14:paraId="3BFC312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安全访问认证</w:t>
            </w:r>
          </w:p>
          <w:p w14:paraId="68F61DA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第三方业务系统在访问本系统时，要从系统提供的凭证接口获取本次调用凭证。</w:t>
            </w:r>
          </w:p>
          <w:p w14:paraId="11026E9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企业监控信息查询</w:t>
            </w:r>
          </w:p>
          <w:p w14:paraId="3F28E17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此接口允许第三方系统对其所上传的企业设备信息进行查询。</w:t>
            </w:r>
          </w:p>
          <w:p w14:paraId="1845DB6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企业监控信息编辑</w:t>
            </w:r>
          </w:p>
          <w:p w14:paraId="48BA94E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此接口允许第三方系统对其所上传的企业设备信息进行编辑、更新、删除。</w:t>
            </w:r>
          </w:p>
          <w:p w14:paraId="35CD28F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视频播放</w:t>
            </w:r>
          </w:p>
          <w:p w14:paraId="38B8DD2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此接口用于向三方业务系统下发视频实时播放请求信息并接收来自三方的视频流数据。</w:t>
            </w:r>
          </w:p>
          <w:p w14:paraId="2D9D2AF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巡检记录上传</w:t>
            </w:r>
          </w:p>
          <w:p w14:paraId="1F32096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此接口允许三方业务系统将每日巡检结果上传至系统。</w:t>
            </w:r>
          </w:p>
          <w:p w14:paraId="413583F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44" w:name="_Toc482657706"/>
            <w:r>
              <w:rPr>
                <w:rFonts w:hint="default" w:ascii="Times New Roman" w:hAnsi="Times New Roman" w:eastAsia="宋体" w:cs="Times New Roman"/>
                <w:b w:val="0"/>
                <w:bCs/>
                <w:color w:val="auto"/>
                <w:sz w:val="21"/>
                <w:szCs w:val="21"/>
                <w:highlight w:val="none"/>
                <w:lang w:val="en-US" w:eastAsia="zh-CN"/>
              </w:rPr>
              <w:t>移动端</w:t>
            </w:r>
            <w:bookmarkEnd w:id="544"/>
          </w:p>
          <w:p w14:paraId="18248E4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45" w:name="_Toc982330023"/>
            <w:r>
              <w:rPr>
                <w:rFonts w:hint="default" w:ascii="Times New Roman" w:hAnsi="Times New Roman" w:eastAsia="宋体" w:cs="Times New Roman"/>
                <w:b w:val="0"/>
                <w:bCs/>
                <w:color w:val="auto"/>
                <w:sz w:val="21"/>
                <w:szCs w:val="21"/>
                <w:highlight w:val="none"/>
                <w:lang w:val="en-US" w:eastAsia="zh-CN"/>
              </w:rPr>
              <w:t>监管移动端</w:t>
            </w:r>
            <w:bookmarkEnd w:id="545"/>
          </w:p>
          <w:p w14:paraId="1EE10CE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实现动态监管、数据分析和风险预警的一体化全流程管理。</w:t>
            </w:r>
          </w:p>
          <w:p w14:paraId="3FFDB19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bookmarkStart w:id="546" w:name="_Toc166418425"/>
            <w:r>
              <w:rPr>
                <w:rFonts w:hint="default" w:ascii="Times New Roman" w:hAnsi="Times New Roman" w:eastAsia="宋体" w:cs="Times New Roman"/>
                <w:b w:val="0"/>
                <w:bCs/>
                <w:color w:val="auto"/>
                <w:sz w:val="21"/>
                <w:szCs w:val="21"/>
                <w:highlight w:val="none"/>
                <w:lang w:val="en-US" w:eastAsia="zh-CN"/>
              </w:rPr>
              <w:t>企业移动端</w:t>
            </w:r>
            <w:bookmarkEnd w:id="546"/>
          </w:p>
          <w:p w14:paraId="1C9422F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建设企业自律管理、电子台账、自查机制、从业人员管理等功能，实现食品安全主体责任信息化落实、风险智能预警和政企协同监管，提升餐饮安全管理的规范性和透明度。</w:t>
            </w:r>
          </w:p>
          <w:p w14:paraId="29AEE2A3">
            <w:pPr>
              <w:ind w:firstLine="420" w:firstLineChars="200"/>
              <w:rPr>
                <w:rFonts w:hint="default" w:ascii="Times New Roman" w:hAnsi="Times New Roman" w:cs="Times New Roman"/>
                <w:b w:val="0"/>
                <w:bCs w:val="0"/>
                <w:color w:val="auto"/>
                <w:sz w:val="21"/>
                <w:szCs w:val="21"/>
                <w:highlight w:val="none"/>
              </w:rPr>
            </w:pPr>
          </w:p>
        </w:tc>
      </w:tr>
      <w:tr w14:paraId="6D5C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Merge w:val="continue"/>
            <w:vAlign w:val="center"/>
          </w:tcPr>
          <w:p w14:paraId="60B9CAE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121" w:type="dxa"/>
            <w:vAlign w:val="center"/>
          </w:tcPr>
          <w:p w14:paraId="282FD5A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bookmarkStart w:id="547" w:name="_Toc198045928"/>
            <w:bookmarkStart w:id="548" w:name="_Toc198114064"/>
            <w:bookmarkStart w:id="549" w:name="_Toc198038891"/>
            <w:bookmarkStart w:id="550" w:name="_Toc215575755"/>
            <w:r>
              <w:rPr>
                <w:rFonts w:hint="default" w:ascii="Times New Roman" w:hAnsi="Times New Roman" w:eastAsia="宋体" w:cs="Times New Roman"/>
                <w:b w:val="0"/>
                <w:bCs/>
                <w:color w:val="auto"/>
                <w:sz w:val="21"/>
                <w:szCs w:val="21"/>
                <w:highlight w:val="none"/>
                <w:lang w:val="en-US" w:eastAsia="zh-CN"/>
              </w:rPr>
              <w:t>阳光厨房监管</w:t>
            </w:r>
            <w:bookmarkEnd w:id="547"/>
            <w:bookmarkEnd w:id="548"/>
            <w:bookmarkEnd w:id="549"/>
            <w:r>
              <w:rPr>
                <w:rFonts w:hint="default" w:ascii="Times New Roman" w:hAnsi="Times New Roman" w:eastAsia="宋体" w:cs="Times New Roman"/>
                <w:b w:val="0"/>
                <w:bCs/>
                <w:color w:val="auto"/>
                <w:sz w:val="21"/>
                <w:szCs w:val="21"/>
                <w:highlight w:val="none"/>
                <w:lang w:val="en-US" w:eastAsia="zh-CN"/>
              </w:rPr>
              <w:t>模块</w:t>
            </w:r>
            <w:bookmarkEnd w:id="550"/>
          </w:p>
        </w:tc>
        <w:tc>
          <w:tcPr>
            <w:tcW w:w="6737" w:type="dxa"/>
            <w:vAlign w:val="center"/>
          </w:tcPr>
          <w:p w14:paraId="656BD253">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2.1经营主体管理</w:t>
            </w:r>
          </w:p>
          <w:p w14:paraId="74BE1C91">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主体档案管理、主体列表查询、主体详情查询、主体风险等级自动标注等功能。实现餐饮主体档案全维度管理，可自动统计主体总数并按业态分类统计，对主体增量按时间、区域分布分析且通过图表可视化展示，支持按多种条件查询主体列表及查看、编辑主体基础详情。</w:t>
            </w:r>
          </w:p>
          <w:p w14:paraId="57B0EC64">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2.2人员管理</w:t>
            </w:r>
          </w:p>
          <w:p w14:paraId="05E49BB5">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支持分析研判、从业人员管理、食安管理员管理、健康证到期自动提醒等功能。实现从整体角度对从业人员、食安管理员、家宴厨师的分析研判，并对各类人员进行单独分析。</w:t>
            </w:r>
          </w:p>
          <w:p w14:paraId="4006F187">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2.3智能阳光厨房</w:t>
            </w:r>
          </w:p>
          <w:p w14:paraId="6F67E7B6">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分析研判、阳光厨房查询分析、AI分析、联监管等功能。实现全面的数据分析研判与监管能力，可对主体数量、AI分析、物联预警等多维度数据开展分析研判，支持按多种条件查询阳光厨房及AI抓拍数据，并按评级、业态等维度筛选。</w:t>
            </w:r>
          </w:p>
        </w:tc>
      </w:tr>
      <w:tr w14:paraId="23F1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Merge w:val="continue"/>
            <w:vAlign w:val="center"/>
          </w:tcPr>
          <w:p w14:paraId="634E81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121" w:type="dxa"/>
            <w:vAlign w:val="center"/>
          </w:tcPr>
          <w:p w14:paraId="762667C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“互联网+明厨亮灶”视频汇聚</w:t>
            </w:r>
          </w:p>
        </w:tc>
        <w:tc>
          <w:tcPr>
            <w:tcW w:w="6737" w:type="dxa"/>
            <w:vAlign w:val="center"/>
          </w:tcPr>
          <w:p w14:paraId="4480C50F">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lang w:val="en-US" w:eastAsia="zh-CN"/>
              </w:rPr>
              <w:t>.1视频汇聚</w:t>
            </w:r>
          </w:p>
          <w:p w14:paraId="3E9E5180">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支持数据汇聚、数据处理、数据融合治理、数据集市、数据应用服务、数据运维等功能。实现食品安全市场监管数据全生命周期一体化管理，可安全汇聚多元异构数据并完成清洗加工、融合治理与质量提升，构建数据服务能力支撑多维度分析及监管、便民等场景应用，同时提供统一平台运维及数据安全管控。</w:t>
            </w:r>
          </w:p>
          <w:p w14:paraId="74A34924">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lang w:val="en-US" w:eastAsia="zh-CN"/>
              </w:rPr>
              <w:t>.2在线视频服务</w:t>
            </w:r>
          </w:p>
          <w:p w14:paraId="31D812C2">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支持视频改造及接入、视频转码服务、视频展示播放、互联网AI监管视频通道管理、视频关键片段标记等功能。餐饮单位视频监控的改造与接入，通过转码服务、视频通道管理实现音视频流的采集、压缩、转码及传输，支持监管部门、餐饮单位、消费者多端多方式观看后厨直播，同时实现系统内视频展示与外部数据对接。</w:t>
            </w:r>
          </w:p>
        </w:tc>
      </w:tr>
      <w:tr w14:paraId="0983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Merge w:val="continue"/>
            <w:vAlign w:val="center"/>
          </w:tcPr>
          <w:p w14:paraId="1B4F490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121" w:type="dxa"/>
            <w:vAlign w:val="center"/>
          </w:tcPr>
          <w:p w14:paraId="2FB4C91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bookmarkStart w:id="551" w:name="_Toc1417436414"/>
            <w:r>
              <w:rPr>
                <w:rFonts w:hint="default" w:ascii="Times New Roman" w:hAnsi="Times New Roman" w:cs="Times New Roman"/>
                <w:b w:val="0"/>
                <w:bCs w:val="0"/>
                <w:color w:val="auto"/>
                <w:sz w:val="21"/>
                <w:szCs w:val="21"/>
                <w:highlight w:val="none"/>
              </w:rPr>
              <w:t>视频及AI管理</w:t>
            </w:r>
            <w:bookmarkEnd w:id="551"/>
          </w:p>
        </w:tc>
        <w:tc>
          <w:tcPr>
            <w:tcW w:w="6737" w:type="dxa"/>
            <w:vAlign w:val="center"/>
          </w:tcPr>
          <w:p w14:paraId="4992C64E">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4.1</w:t>
            </w:r>
            <w:r>
              <w:rPr>
                <w:rFonts w:hint="default" w:ascii="Times New Roman" w:hAnsi="Times New Roman" w:eastAsia="宋体" w:cs="Times New Roman"/>
                <w:b w:val="0"/>
                <w:bCs w:val="0"/>
                <w:color w:val="auto"/>
                <w:sz w:val="21"/>
                <w:szCs w:val="21"/>
                <w:highlight w:val="none"/>
                <w:lang w:val="en-US" w:eastAsia="zh-CN"/>
              </w:rPr>
              <w:t>视频监控管理</w:t>
            </w:r>
          </w:p>
          <w:p w14:paraId="778608C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支持视频接入、视频推送等功能。</w:t>
            </w:r>
            <w:r>
              <w:rPr>
                <w:rFonts w:hint="default" w:ascii="Times New Roman" w:hAnsi="Times New Roman" w:eastAsia="宋体" w:cs="Times New Roman"/>
                <w:b w:val="0"/>
                <w:bCs w:val="0"/>
                <w:color w:val="auto"/>
                <w:sz w:val="21"/>
                <w:szCs w:val="21"/>
                <w:highlight w:val="none"/>
                <w:lang w:val="en-US" w:eastAsia="zh-CN"/>
              </w:rPr>
              <w:t>实现监控设备基础信息的全维度维护，涵盖设备编码、安装位置、所属企业、接入协议、在线状态等关键信息，支持全疆各地监管单位查询辖区食品企业视频接入情况，并可查看各设备实时视频。同时支持视频数据的手动推送，通过与总局对接的专用接口，完成原视频节点信息的同步更新。</w:t>
            </w:r>
          </w:p>
          <w:p w14:paraId="23EFB2CE">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4.2</w:t>
            </w:r>
            <w:r>
              <w:rPr>
                <w:rFonts w:hint="default" w:ascii="Times New Roman" w:hAnsi="Times New Roman" w:eastAsia="宋体" w:cs="Times New Roman"/>
                <w:b w:val="0"/>
                <w:bCs w:val="0"/>
                <w:color w:val="auto"/>
                <w:sz w:val="21"/>
                <w:szCs w:val="21"/>
                <w:highlight w:val="none"/>
                <w:lang w:val="en-US" w:eastAsia="zh-CN"/>
              </w:rPr>
              <w:t>国标平台</w:t>
            </w:r>
          </w:p>
          <w:p w14:paraId="2747B925">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国标平台管理</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级联管理</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设备接入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设备信息</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录像文件检索</w:t>
            </w:r>
            <w:r>
              <w:rPr>
                <w:rFonts w:hint="default" w:ascii="Times New Roman" w:hAnsi="Times New Roman" w:cs="Times New Roman"/>
                <w:b w:val="0"/>
                <w:bCs w:val="0"/>
                <w:color w:val="auto"/>
                <w:sz w:val="21"/>
                <w:szCs w:val="21"/>
                <w:highlight w:val="none"/>
                <w:lang w:val="en-US" w:eastAsia="zh-CN"/>
              </w:rPr>
              <w:t>等功能。实现</w:t>
            </w:r>
            <w:r>
              <w:rPr>
                <w:rFonts w:hint="default" w:ascii="Times New Roman" w:hAnsi="Times New Roman" w:eastAsia="宋体" w:cs="Times New Roman"/>
                <w:b w:val="0"/>
                <w:bCs w:val="0"/>
                <w:color w:val="auto"/>
                <w:sz w:val="21"/>
                <w:szCs w:val="21"/>
                <w:highlight w:val="none"/>
                <w:lang w:val="en-US" w:eastAsia="zh-CN"/>
              </w:rPr>
              <w:t>视频回放对下级国标平台、IPC 设备及拉流代理进行全生命周期管理，支持非国标协议视频流的国标化接入，同时实现省、市、县级食品安全监管平台的级联配置与实时连接状态查看。依托 GB28181 协议完成各类视频监控设备的标准化注册接入，支持设备信息、实时画面查看及多条件检索国标接入设备的各类录像文件，并按照国标协议实现历史录像文件的精准回放。</w:t>
            </w:r>
          </w:p>
          <w:p w14:paraId="40FFA275">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4.3</w:t>
            </w:r>
            <w:r>
              <w:rPr>
                <w:rFonts w:hint="default" w:ascii="Times New Roman" w:hAnsi="Times New Roman" w:eastAsia="宋体" w:cs="Times New Roman"/>
                <w:b w:val="0"/>
                <w:bCs w:val="0"/>
                <w:color w:val="auto"/>
                <w:sz w:val="21"/>
                <w:szCs w:val="21"/>
                <w:highlight w:val="none"/>
                <w:lang w:val="en-US" w:eastAsia="zh-CN"/>
              </w:rPr>
              <w:t>AI分析</w:t>
            </w:r>
          </w:p>
          <w:p w14:paraId="1B62C907">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视频分析</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抓拍任务配置</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抓拍分析</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抓拍记录</w:t>
            </w:r>
            <w:r>
              <w:rPr>
                <w:rFonts w:hint="default" w:ascii="Times New Roman" w:hAnsi="Times New Roman" w:cs="Times New Roman"/>
                <w:b w:val="0"/>
                <w:bCs w:val="0"/>
                <w:color w:val="auto"/>
                <w:sz w:val="21"/>
                <w:szCs w:val="21"/>
                <w:highlight w:val="none"/>
                <w:lang w:val="en-US" w:eastAsia="zh-CN"/>
              </w:rPr>
              <w:t>等功能。实现自动生成设备在线率、异常设备分类等多维度统计报表并以图表可视化展示，支持按自定义规则配置抓拍任务参数及灵活管控任务执行状态。同时能多维度统计违规行为分布与趋势，通过多种可视化形式呈现结果并支持数据下钻，还可满足全疆各地监管单位按多条件查询食品企业抓拍记录的需求。</w:t>
            </w:r>
          </w:p>
        </w:tc>
      </w:tr>
      <w:tr w14:paraId="2C32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Merge w:val="continue"/>
            <w:vAlign w:val="center"/>
          </w:tcPr>
          <w:p w14:paraId="097279B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1121" w:type="dxa"/>
            <w:vAlign w:val="center"/>
          </w:tcPr>
          <w:p w14:paraId="0AC7447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rPr>
              <w:t>AI视频抓拍处理中心模块</w:t>
            </w:r>
          </w:p>
        </w:tc>
        <w:tc>
          <w:tcPr>
            <w:tcW w:w="6737" w:type="dxa"/>
            <w:vAlign w:val="center"/>
          </w:tcPr>
          <w:p w14:paraId="4D9E724F">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5.1AI识别模式</w:t>
            </w:r>
          </w:p>
          <w:p w14:paraId="67705D22">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支持人体检测、轨迹分析、策略控制等功能。实现餐饮监管场景下的人体检测，可识别从业人员活动并分离人体与前后景、定位相关数据，交由AI服务器开展精细化分析。</w:t>
            </w:r>
          </w:p>
          <w:p w14:paraId="7ABF43C0">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5.2智能识别抓拍</w:t>
            </w:r>
          </w:p>
          <w:p w14:paraId="31619CD4">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流动态预处理、分区状态监控、AI识别、视频结构化、抓拍证据自动水印等功能。实现音视频流媒体的专业处理与智能分析，支持多路并发音视频流实时动态解析处理，依托自适应编解码和缓存机制保障复杂网络下的稳定接收解析，还能自定义监控区域并配置差异化监控策略，动态调整灵敏度与告警条件。</w:t>
            </w:r>
          </w:p>
          <w:p w14:paraId="25EE244F">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5.3智能识别抓拍策略管理</w:t>
            </w:r>
          </w:p>
          <w:p w14:paraId="21C1AECD">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点位个性化配置、并发压力处理策略等功能。实现视频监控点位的个性化配置管理，可针对每个点位单独设置抓拍时段、适配对应的监管场景。同时系统具备高并发压力处理能力，在并发压力较大时将采用轮询策略交替处理，保障系统稳定运行。</w:t>
            </w:r>
          </w:p>
          <w:p w14:paraId="5AD36216">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5.4AI抓拍场景预警</w:t>
            </w:r>
          </w:p>
          <w:p w14:paraId="4D1EC10C">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生产环节AI抓拍场景预警、销售环节AI抓拍场景预警、餐饮环节AI抓拍场景预警、分环节实时自动识别抓拍预警等功能。实现对生产、销售、餐饮三大环节，通过数据标注与模型迭代训练，精准识别各环节特定违规场景并自动触发抓拍预警、记录违规画面。</w:t>
            </w:r>
          </w:p>
          <w:p w14:paraId="4083785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5.5</w:t>
            </w:r>
            <w:r>
              <w:rPr>
                <w:rFonts w:hint="default" w:ascii="Times New Roman" w:hAnsi="Times New Roman" w:eastAsia="宋体" w:cs="Times New Roman"/>
                <w:b w:val="0"/>
                <w:bCs w:val="0"/>
                <w:color w:val="auto"/>
                <w:sz w:val="21"/>
                <w:szCs w:val="21"/>
                <w:highlight w:val="none"/>
                <w:lang w:val="en-US" w:eastAsia="zh-CN"/>
              </w:rPr>
              <w:t>未穿工作服</w:t>
            </w:r>
          </w:p>
          <w:p w14:paraId="2DB4CD05">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识别指定区域在岗人员是否穿着工作服，包括厨师服、围裙等。对未按要求着装的违规行为进行抓取、预警并输出报警信息。</w:t>
            </w:r>
          </w:p>
          <w:p w14:paraId="3F040AB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5.6</w:t>
            </w:r>
            <w:r>
              <w:rPr>
                <w:rFonts w:hint="default" w:ascii="Times New Roman" w:hAnsi="Times New Roman" w:eastAsia="宋体" w:cs="Times New Roman"/>
                <w:b w:val="0"/>
                <w:bCs w:val="0"/>
                <w:color w:val="auto"/>
                <w:sz w:val="21"/>
                <w:szCs w:val="21"/>
                <w:highlight w:val="none"/>
                <w:lang w:val="en-US" w:eastAsia="zh-CN"/>
              </w:rPr>
              <w:t>未戴工作帽</w:t>
            </w:r>
          </w:p>
          <w:p w14:paraId="00FB7F6B">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识别指定区域内在岗人员是否佩戴工作帽，包括白色厨师帽、一次性白/蓝色厨师帽、具备厨师帽功能的其他帽子。对未佩戴工作帽的违规行为进行抓取、预警并输出报警信息。</w:t>
            </w:r>
          </w:p>
          <w:p w14:paraId="5C4ECB8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5.7</w:t>
            </w:r>
            <w:r>
              <w:rPr>
                <w:rFonts w:hint="default" w:ascii="Times New Roman" w:hAnsi="Times New Roman" w:eastAsia="宋体" w:cs="Times New Roman"/>
                <w:b w:val="0"/>
                <w:bCs w:val="0"/>
                <w:color w:val="auto"/>
                <w:sz w:val="21"/>
                <w:szCs w:val="21"/>
                <w:highlight w:val="none"/>
                <w:lang w:val="en-US" w:eastAsia="zh-CN"/>
              </w:rPr>
              <w:t>未戴口罩</w:t>
            </w:r>
          </w:p>
          <w:p w14:paraId="5C1E2006">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识别指定区域内在岗人员是否佩戴口罩，支持一次性医用口罩、N95口罩、红色口罩、粉色口罩、黑色口罩等。对未佩戴口罩的违规行为进行抓取、预警并输出报警信息。</w:t>
            </w:r>
          </w:p>
          <w:p w14:paraId="6E63BBC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5.8</w:t>
            </w:r>
            <w:r>
              <w:rPr>
                <w:rFonts w:hint="default" w:ascii="Times New Roman" w:hAnsi="Times New Roman" w:eastAsia="宋体" w:cs="Times New Roman"/>
                <w:b w:val="0"/>
                <w:bCs w:val="0"/>
                <w:color w:val="auto"/>
                <w:sz w:val="21"/>
                <w:szCs w:val="21"/>
                <w:highlight w:val="none"/>
                <w:lang w:val="en-US" w:eastAsia="zh-CN"/>
              </w:rPr>
              <w:t>违规抽烟</w:t>
            </w:r>
          </w:p>
          <w:p w14:paraId="5D1ED9A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识别指定区域内在岗人员是否存在抽烟的行为（烟距离嘴半个人头以内），对违规吸烟行为进行抓取、预警并输出报警信息。</w:t>
            </w:r>
          </w:p>
          <w:p w14:paraId="1B9452D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5.9</w:t>
            </w:r>
            <w:r>
              <w:rPr>
                <w:rFonts w:hint="default" w:ascii="Times New Roman" w:hAnsi="Times New Roman" w:eastAsia="宋体" w:cs="Times New Roman"/>
                <w:b w:val="0"/>
                <w:bCs w:val="0"/>
                <w:color w:val="auto"/>
                <w:sz w:val="21"/>
                <w:szCs w:val="21"/>
                <w:highlight w:val="none"/>
                <w:lang w:val="en-US" w:eastAsia="zh-CN"/>
              </w:rPr>
              <w:t>鼠患抓拍</w:t>
            </w:r>
          </w:p>
          <w:p w14:paraId="445F0E66">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针对后厨、仓库等指定区域提供老鼠检测识别，消除食品卫生安全隐患，保障人身及财产安全。</w:t>
            </w:r>
          </w:p>
          <w:p w14:paraId="4405F3B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5.10</w:t>
            </w:r>
            <w:r>
              <w:rPr>
                <w:rFonts w:hint="default" w:ascii="Times New Roman" w:hAnsi="Times New Roman" w:eastAsia="宋体" w:cs="Times New Roman"/>
                <w:b w:val="0"/>
                <w:bCs w:val="0"/>
                <w:color w:val="auto"/>
                <w:sz w:val="21"/>
                <w:szCs w:val="21"/>
                <w:highlight w:val="none"/>
                <w:lang w:val="en-US" w:eastAsia="zh-CN"/>
              </w:rPr>
              <w:t>接打电话</w:t>
            </w:r>
          </w:p>
          <w:p w14:paraId="4FEF4B04">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识别指定区域内是否有人接打电话，包括指定区域内人员贴耳边打电话。若发现接打电话情况则进行抓取、预警并输出报警信息。</w:t>
            </w:r>
          </w:p>
          <w:p w14:paraId="6E1F514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5.11</w:t>
            </w:r>
            <w:r>
              <w:rPr>
                <w:rFonts w:hint="default" w:ascii="Times New Roman" w:hAnsi="Times New Roman" w:eastAsia="宋体" w:cs="Times New Roman"/>
                <w:b w:val="0"/>
                <w:bCs w:val="0"/>
                <w:color w:val="auto"/>
                <w:sz w:val="21"/>
                <w:szCs w:val="21"/>
                <w:highlight w:val="none"/>
                <w:lang w:val="en-US" w:eastAsia="zh-CN"/>
              </w:rPr>
              <w:t>未盖垃圾桶</w:t>
            </w:r>
          </w:p>
          <w:p w14:paraId="6C6EAE65">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识别指定区域内，是否存在未正常盖盖的垃圾桶，若垃圾桶长时间（可设置）未上盖则进行抓取、预警并输出报警信息。</w:t>
            </w:r>
          </w:p>
          <w:p w14:paraId="5DEE3F8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5.12</w:t>
            </w:r>
            <w:r>
              <w:rPr>
                <w:rFonts w:hint="default" w:ascii="Times New Roman" w:hAnsi="Times New Roman" w:eastAsia="宋体" w:cs="Times New Roman"/>
                <w:b w:val="0"/>
                <w:bCs w:val="0"/>
                <w:color w:val="auto"/>
                <w:sz w:val="21"/>
                <w:szCs w:val="21"/>
                <w:highlight w:val="none"/>
                <w:lang w:val="en-US" w:eastAsia="zh-CN"/>
              </w:rPr>
              <w:t>未戴手套</w:t>
            </w:r>
          </w:p>
          <w:p w14:paraId="7C44C96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识别指定区域内人员佩戴手套情况支持各种颜色的胶皮手套、医用手套。</w:t>
            </w:r>
          </w:p>
        </w:tc>
      </w:tr>
      <w:tr w14:paraId="4A5D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2" w:type="dxa"/>
            <w:vMerge w:val="continue"/>
            <w:vAlign w:val="center"/>
          </w:tcPr>
          <w:p w14:paraId="40D6F8D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1121" w:type="dxa"/>
            <w:vAlign w:val="center"/>
          </w:tcPr>
          <w:p w14:paraId="3DFB73A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rPr>
              <w:t>平台对接模块</w:t>
            </w:r>
          </w:p>
        </w:tc>
        <w:tc>
          <w:tcPr>
            <w:tcW w:w="6737" w:type="dxa"/>
            <w:vAlign w:val="center"/>
          </w:tcPr>
          <w:p w14:paraId="51E2D120">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6.1上传企业视频接口</w:t>
            </w:r>
          </w:p>
          <w:p w14:paraId="42271C75">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支持市级汇聚平台上传视频数据到自治区汇聚平台，并由自治区汇聚平台统一监控管理。</w:t>
            </w:r>
          </w:p>
          <w:p w14:paraId="103017CA">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6.2修改企业视频接口</w:t>
            </w:r>
          </w:p>
          <w:p w14:paraId="538135FE">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支持市级汇聚平台通过接口修改企业视频流地址以及节点名称。</w:t>
            </w:r>
          </w:p>
          <w:p w14:paraId="35B0D848">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6.3上传AI设备接口</w:t>
            </w:r>
          </w:p>
          <w:p w14:paraId="257BC97B">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支持市级汇聚平台上传AI监控设备信息到自治区级平台。</w:t>
            </w:r>
          </w:p>
          <w:p w14:paraId="435EFCC6">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6.4上传AI设备抓拍数据接口</w:t>
            </w:r>
          </w:p>
          <w:p w14:paraId="7E1B883E">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支持市级汇聚平台上传AI监控设备抓拍的各种违规不规范的数据到自治区级平台。</w:t>
            </w:r>
          </w:p>
          <w:p w14:paraId="4752243C">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6.5查询视频列表数据接口</w:t>
            </w:r>
          </w:p>
          <w:p w14:paraId="1B93B19C">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支持市级汇聚平台上传AI监设备抓拍的各种违规不规范的数据到自治区级平台。</w:t>
            </w:r>
          </w:p>
          <w:p w14:paraId="3A87153B">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6.6视频传输状态实时校验</w:t>
            </w:r>
          </w:p>
          <w:p w14:paraId="75A8C427">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支持在“上传企业视频接口”运行过程中，新增传输数据包校验机制，每5分钟自动核对市级平台上传量与自治区平台接收量，若出现丢包率超过5%则立即触发告警，同步推送至两端运维人员。</w:t>
            </w:r>
          </w:p>
          <w:p w14:paraId="08B12A5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6.7</w:t>
            </w:r>
            <w:r>
              <w:rPr>
                <w:rFonts w:hint="default" w:ascii="Times New Roman" w:hAnsi="Times New Roman" w:eastAsia="宋体" w:cs="Times New Roman"/>
                <w:b w:val="0"/>
                <w:bCs w:val="0"/>
                <w:color w:val="auto"/>
                <w:sz w:val="21"/>
                <w:szCs w:val="21"/>
                <w:highlight w:val="none"/>
                <w:lang w:val="en-US" w:eastAsia="zh-CN"/>
              </w:rPr>
              <w:t>上行至国家局系统接口</w:t>
            </w:r>
          </w:p>
          <w:p w14:paraId="49BC3DE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经营主体基本信息接口对接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食品生产许可信息接口对接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食品经营许可信息接口对接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仅销售预包装食品备案信息接口对接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可视化视频监控设备基本信息接口对接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可视化视频监控实时调用信息表接口对接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可视化视频监控回放信息接口对接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违法违规行为识别信息接口对接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违法违规识别图片固证文件存储信息表接口对接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违法违规识别视频固证文件存储信息表接口对接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违法违规处置证明文件存储信息表接口对接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违法违规监管部门地方催办信息接口对接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违法违规监管部门总局督办信息接口对接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违法违规处置信息接口对接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设备巡检记录信息接口对接</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获取调用凭证</w:t>
            </w:r>
            <w:r>
              <w:rPr>
                <w:rFonts w:hint="default" w:ascii="Times New Roman" w:hAnsi="Times New Roman" w:cs="Times New Roman"/>
                <w:b w:val="0"/>
                <w:bCs w:val="0"/>
                <w:color w:val="auto"/>
                <w:sz w:val="21"/>
                <w:szCs w:val="21"/>
                <w:highlight w:val="none"/>
                <w:lang w:val="en-US" w:eastAsia="zh-CN"/>
              </w:rPr>
              <w:t>等功能。</w:t>
            </w:r>
          </w:p>
          <w:p w14:paraId="4F327FE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严格按照总局接口规范开发全品类对接接口，覆盖经营主体信息、食品生产经营许可备案、视频监控设备及调用信息、违法违规识别处置全流程数据、设备巡检记录等核心维度，同时开发获取调用凭证接口保障调用合法性。各接口均支持单条和批量的数据报送、更新与删除操作，针对总局督办信息接口单独实现信息的获取和更新，完成省级与总局间全维度数据的规范化采集、报送与交互。</w:t>
            </w:r>
          </w:p>
          <w:p w14:paraId="64EE4F7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6.8</w:t>
            </w:r>
            <w:r>
              <w:rPr>
                <w:rFonts w:hint="default" w:ascii="Times New Roman" w:hAnsi="Times New Roman" w:eastAsia="宋体" w:cs="Times New Roman"/>
                <w:b w:val="0"/>
                <w:bCs w:val="0"/>
                <w:color w:val="auto"/>
                <w:sz w:val="21"/>
                <w:szCs w:val="21"/>
                <w:highlight w:val="none"/>
                <w:lang w:val="en-US" w:eastAsia="zh-CN"/>
              </w:rPr>
              <w:t>智慧监管平台一张网对接</w:t>
            </w:r>
          </w:p>
          <w:p w14:paraId="08059B66">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支持平台内</w:t>
            </w:r>
            <w:r>
              <w:rPr>
                <w:rFonts w:hint="default" w:ascii="Times New Roman" w:hAnsi="Times New Roman" w:cs="Times New Roman"/>
                <w:b w:val="0"/>
                <w:bCs w:val="0"/>
                <w:color w:val="auto"/>
                <w:sz w:val="21"/>
                <w:szCs w:val="21"/>
                <w:highlight w:val="none"/>
              </w:rPr>
              <w:t>企业可通过一张网的</w:t>
            </w:r>
            <w:r>
              <w:rPr>
                <w:rFonts w:hint="default" w:ascii="Times New Roman" w:hAnsi="Times New Roman" w:cs="Times New Roman"/>
                <w:b w:val="0"/>
                <w:bCs w:val="0"/>
                <w:color w:val="auto"/>
                <w:sz w:val="21"/>
                <w:szCs w:val="21"/>
                <w:highlight w:val="none"/>
                <w:lang w:val="en-US" w:eastAsia="zh-CN"/>
              </w:rPr>
              <w:t>对接</w:t>
            </w:r>
            <w:r>
              <w:rPr>
                <w:rFonts w:hint="default" w:ascii="Times New Roman" w:hAnsi="Times New Roman" w:cs="Times New Roman"/>
                <w:b w:val="0"/>
                <w:bCs w:val="0"/>
                <w:color w:val="auto"/>
                <w:sz w:val="21"/>
                <w:szCs w:val="21"/>
                <w:highlight w:val="none"/>
              </w:rPr>
              <w:t>，</w:t>
            </w:r>
            <w:r>
              <w:rPr>
                <w:rFonts w:hint="default" w:ascii="Times New Roman" w:hAnsi="Times New Roman" w:cs="Times New Roman"/>
                <w:b w:val="0"/>
                <w:bCs w:val="0"/>
                <w:color w:val="auto"/>
                <w:sz w:val="21"/>
                <w:szCs w:val="21"/>
                <w:highlight w:val="none"/>
                <w:lang w:val="en-US" w:eastAsia="zh-CN"/>
              </w:rPr>
              <w:t>在新服办内</w:t>
            </w:r>
            <w:r>
              <w:rPr>
                <w:rFonts w:hint="default" w:ascii="Times New Roman" w:hAnsi="Times New Roman" w:cs="Times New Roman"/>
                <w:b w:val="0"/>
                <w:bCs w:val="0"/>
                <w:color w:val="auto"/>
                <w:sz w:val="21"/>
                <w:szCs w:val="21"/>
                <w:highlight w:val="none"/>
              </w:rPr>
              <w:t>完成违规行为查询、整改反馈等全流程业务操作，</w:t>
            </w:r>
            <w:r>
              <w:rPr>
                <w:rFonts w:hint="default" w:ascii="Times New Roman" w:hAnsi="Times New Roman" w:cs="Times New Roman"/>
                <w:b w:val="0"/>
                <w:bCs w:val="0"/>
                <w:color w:val="auto"/>
                <w:sz w:val="21"/>
                <w:szCs w:val="21"/>
                <w:highlight w:val="none"/>
                <w:lang w:val="en-US" w:eastAsia="zh-CN"/>
              </w:rPr>
              <w:t>企业可通过新服办</w:t>
            </w:r>
            <w:r>
              <w:rPr>
                <w:rFonts w:hint="default" w:ascii="Times New Roman" w:hAnsi="Times New Roman" w:cs="Times New Roman"/>
                <w:b w:val="0"/>
                <w:bCs w:val="0"/>
                <w:color w:val="auto"/>
                <w:sz w:val="21"/>
                <w:szCs w:val="21"/>
                <w:highlight w:val="none"/>
              </w:rPr>
              <w:t>对AI识别到的违规预警或督办任务进行整改反馈，包括提交整改说明、图片证据、文书材料等。</w:t>
            </w:r>
          </w:p>
          <w:p w14:paraId="07D3E7F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6.9</w:t>
            </w:r>
            <w:r>
              <w:rPr>
                <w:rFonts w:hint="default" w:ascii="Times New Roman" w:hAnsi="Times New Roman" w:eastAsia="宋体" w:cs="Times New Roman"/>
                <w:b w:val="0"/>
                <w:bCs w:val="0"/>
                <w:color w:val="auto"/>
                <w:sz w:val="21"/>
                <w:szCs w:val="21"/>
                <w:highlight w:val="none"/>
                <w:lang w:val="en-US" w:eastAsia="zh-CN"/>
              </w:rPr>
              <w:t>三方业务系统接口</w:t>
            </w:r>
          </w:p>
          <w:p w14:paraId="61545BE5">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安全访问认证</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企业监控信息查询</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企业监控信息编辑</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视频播放</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巡检记录上传</w:t>
            </w:r>
            <w:r>
              <w:rPr>
                <w:rFonts w:hint="default" w:ascii="Times New Roman" w:hAnsi="Times New Roman" w:cs="Times New Roman"/>
                <w:b w:val="0"/>
                <w:bCs w:val="0"/>
                <w:color w:val="auto"/>
                <w:sz w:val="21"/>
                <w:szCs w:val="21"/>
                <w:highlight w:val="none"/>
                <w:lang w:val="en-US" w:eastAsia="zh-CN"/>
              </w:rPr>
              <w:t>等功能。实现为第三方业务系统对接提供规范化的安全访问与功能接口服务，要求第三方系统从本系统凭证接口获取调用凭证后，方可进行访问操作。同时提供企业监控信息查询、编辑，视频播放流数据交互及巡检记录上传等专属接口，实现与第三方业务系统的精准数据交互和功能协同。</w:t>
            </w:r>
          </w:p>
        </w:tc>
      </w:tr>
      <w:tr w14:paraId="3038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1142" w:type="dxa"/>
            <w:vMerge w:val="continue"/>
            <w:vAlign w:val="center"/>
          </w:tcPr>
          <w:p w14:paraId="060B2C3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1121" w:type="dxa"/>
            <w:vAlign w:val="center"/>
          </w:tcPr>
          <w:p w14:paraId="737760D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rPr>
              <w:t>食安综管模块</w:t>
            </w:r>
          </w:p>
        </w:tc>
        <w:tc>
          <w:tcPr>
            <w:tcW w:w="6737" w:type="dxa"/>
            <w:vAlign w:val="center"/>
          </w:tcPr>
          <w:p w14:paraId="737DF116">
            <w:pPr>
              <w:rPr>
                <w:rFonts w:hint="default" w:ascii="Times New Roman" w:hAnsi="Times New Roman" w:eastAsia="宋体" w:cs="Times New Roman"/>
                <w:b w:val="0"/>
                <w:bCs/>
                <w:i w:val="0"/>
                <w:iCs w:val="0"/>
                <w:color w:val="auto"/>
                <w:kern w:val="0"/>
                <w:sz w:val="21"/>
                <w:szCs w:val="21"/>
                <w:highlight w:val="none"/>
                <w:u w:val="none"/>
                <w:lang w:val="en-US" w:eastAsia="zh-CN" w:bidi="ar"/>
              </w:rPr>
            </w:pPr>
            <w:bookmarkStart w:id="552" w:name="_Toc198114079"/>
            <w:bookmarkStart w:id="553" w:name="_Toc198045943"/>
            <w:r>
              <w:rPr>
                <w:rFonts w:hint="default" w:ascii="Times New Roman" w:hAnsi="Times New Roman" w:eastAsia="宋体" w:cs="Times New Roman"/>
                <w:b w:val="0"/>
                <w:bCs/>
                <w:i w:val="0"/>
                <w:iCs w:val="0"/>
                <w:color w:val="auto"/>
                <w:kern w:val="0"/>
                <w:sz w:val="21"/>
                <w:szCs w:val="21"/>
                <w:highlight w:val="none"/>
                <w:u w:val="none"/>
                <w:lang w:val="en-US" w:eastAsia="zh-CN" w:bidi="ar"/>
              </w:rPr>
              <w:t>7.1监管台账</w:t>
            </w:r>
            <w:bookmarkEnd w:id="552"/>
            <w:bookmarkEnd w:id="553"/>
          </w:p>
          <w:p w14:paraId="5C100649">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分析研判、日常检查等功能。实现对平台监管台账及日常检查开展整体分析，涵盖检查家次、家数、区域与业态分布、出动人次时间分布等维度，支持按台账月份查询，并可按主体业态、标签、分管区域筛选。</w:t>
            </w:r>
          </w:p>
          <w:p w14:paraId="467FA16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7</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val="en-US" w:eastAsia="zh-CN"/>
              </w:rPr>
              <w:t>监管移动端</w:t>
            </w:r>
          </w:p>
          <w:p w14:paraId="42B3CE7C">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动态监管、数据分析和风险预警的一体化全流程管理。</w:t>
            </w:r>
          </w:p>
          <w:p w14:paraId="46D7261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7</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lang w:val="en-US" w:eastAsia="zh-CN"/>
              </w:rPr>
              <w:t>企业移动端</w:t>
            </w:r>
          </w:p>
          <w:p w14:paraId="3D8C3D05">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支持</w:t>
            </w:r>
            <w:r>
              <w:rPr>
                <w:rFonts w:hint="default" w:ascii="Times New Roman" w:hAnsi="Times New Roman" w:eastAsia="宋体" w:cs="Times New Roman"/>
                <w:b w:val="0"/>
                <w:bCs w:val="0"/>
                <w:color w:val="auto"/>
                <w:sz w:val="21"/>
                <w:szCs w:val="21"/>
                <w:highlight w:val="none"/>
                <w:lang w:val="en-US" w:eastAsia="zh-CN"/>
              </w:rPr>
              <w:t>建设企业自律管理、电子台账、自查机制、从业人员管理等功能，实现食品安全主体责任信息化落实、风险智能预警和政企协同监管，提升餐饮安全管理的规范性和透明度。</w:t>
            </w:r>
          </w:p>
        </w:tc>
      </w:tr>
    </w:tbl>
    <w:p w14:paraId="5098A97E">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14.特种设备智慧监管子系统</w:t>
      </w:r>
    </w:p>
    <w:tbl>
      <w:tblPr>
        <w:tblStyle w:val="41"/>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127"/>
        <w:gridCol w:w="6224"/>
      </w:tblGrid>
      <w:tr w14:paraId="286C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12" w:type="dxa"/>
            <w:vAlign w:val="center"/>
          </w:tcPr>
          <w:p w14:paraId="1977569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系统名称</w:t>
            </w:r>
          </w:p>
        </w:tc>
        <w:tc>
          <w:tcPr>
            <w:tcW w:w="1185" w:type="dxa"/>
            <w:vAlign w:val="center"/>
          </w:tcPr>
          <w:p w14:paraId="6FFBC66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模块名称</w:t>
            </w:r>
          </w:p>
        </w:tc>
        <w:tc>
          <w:tcPr>
            <w:tcW w:w="6716" w:type="dxa"/>
            <w:vAlign w:val="center"/>
          </w:tcPr>
          <w:p w14:paraId="3E575EB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规格参数</w:t>
            </w:r>
          </w:p>
        </w:tc>
      </w:tr>
      <w:tr w14:paraId="405C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79C6B8C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特种设备安全智慧监管系统-特种设备智慧监管子系统</w:t>
            </w:r>
          </w:p>
        </w:tc>
        <w:tc>
          <w:tcPr>
            <w:tcW w:w="1185" w:type="dxa"/>
            <w:vAlign w:val="center"/>
          </w:tcPr>
          <w:p w14:paraId="22BAB02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554" w:name="_Toc8311"/>
            <w:bookmarkStart w:id="555" w:name="_Toc218020341"/>
            <w:r>
              <w:rPr>
                <w:rFonts w:hint="default" w:ascii="Times New Roman" w:hAnsi="Times New Roman" w:eastAsia="宋体" w:cs="Times New Roman"/>
                <w:b w:val="0"/>
                <w:bCs/>
                <w:color w:val="auto"/>
                <w:sz w:val="21"/>
                <w:szCs w:val="21"/>
                <w:highlight w:val="none"/>
                <w:lang w:val="en-US" w:eastAsia="zh-CN"/>
              </w:rPr>
              <w:t>特种设备检验检测机构规范化管理</w:t>
            </w:r>
            <w:bookmarkEnd w:id="554"/>
            <w:bookmarkEnd w:id="555"/>
          </w:p>
        </w:tc>
        <w:tc>
          <w:tcPr>
            <w:tcW w:w="6716" w:type="dxa"/>
            <w:vAlign w:val="center"/>
          </w:tcPr>
          <w:p w14:paraId="372C64F7">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1.1检验检测单位自查管理</w:t>
            </w:r>
          </w:p>
          <w:p w14:paraId="51AC6694">
            <w:pPr>
              <w:ind w:firstLine="48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为检验检测单位提供系统化的自查工具，帮助其定期评估内部管理状况，及时发现并整改问题，降低安全风险。支持用户根据实际需求灵活制定自查计划，明确检查内容、时间安排和责任人，确保自查工作有序开展。提供便捷的在线填报功能，方便各单位记录自查结果，系统自动汇总数据，生成分析报告，助力科学决策。集中展示各地州局的自查情况，便于上级部门全面掌握区域内的安全管理现状，为监管工作提供数据支持。以图表形式直观呈现自查数据，涵盖问题类型、整改进度等关键信息，帮助管理者快速了解整体情况。</w:t>
            </w:r>
          </w:p>
          <w:p w14:paraId="220614A1">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1.2无损检测单位检测设备台账清单</w:t>
            </w:r>
          </w:p>
          <w:p w14:paraId="3F9DDB04">
            <w:pPr>
              <w:ind w:firstLine="48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建立无损检测单位检验台账，无损检测单位每年上传本单位的检验台账。</w:t>
            </w:r>
          </w:p>
        </w:tc>
      </w:tr>
      <w:tr w14:paraId="5F7A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F44EA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85" w:type="dxa"/>
            <w:vAlign w:val="center"/>
          </w:tcPr>
          <w:p w14:paraId="65E368A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56" w:name="_Toc22519"/>
            <w:bookmarkStart w:id="557" w:name="_Toc218020342"/>
            <w:r>
              <w:rPr>
                <w:rFonts w:hint="default" w:ascii="Times New Roman" w:hAnsi="Times New Roman" w:eastAsia="宋体" w:cs="Times New Roman"/>
                <w:b w:val="0"/>
                <w:bCs/>
                <w:color w:val="auto"/>
                <w:sz w:val="21"/>
                <w:szCs w:val="21"/>
                <w:highlight w:val="none"/>
                <w:lang w:val="en-US" w:eastAsia="zh-CN"/>
              </w:rPr>
              <w:t>设备全生命周期数据集中展示</w:t>
            </w:r>
            <w:bookmarkEnd w:id="556"/>
            <w:bookmarkEnd w:id="557"/>
          </w:p>
        </w:tc>
        <w:tc>
          <w:tcPr>
            <w:tcW w:w="6716" w:type="dxa"/>
            <w:vAlign w:val="center"/>
          </w:tcPr>
          <w:p w14:paraId="65035E72">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2.1锅炉</w:t>
            </w:r>
          </w:p>
          <w:p w14:paraId="024D3D04">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支持整合锅炉设备从生产到报废的全生命周期数据，包括设备信息、历史检验信息、监察信息、安全阀、其他信息等，实现一站式查询。</w:t>
            </w:r>
          </w:p>
          <w:p w14:paraId="44BAB31E">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2.2压力容器</w:t>
            </w:r>
          </w:p>
          <w:p w14:paraId="7D273953">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支持整合压力容器设备从生产到报废的全生命周期数据，包括设备信息、历史检验信息、监察信息、安全阀、其他信息等，实现一站式查询。</w:t>
            </w:r>
          </w:p>
          <w:p w14:paraId="68330C20">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2.3电梯</w:t>
            </w:r>
          </w:p>
          <w:p w14:paraId="18E9BA1E">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支持整合电梯设备从生产到报废的全生命周期数据，包括设备信息、维保信息、保险信息、救援信息、历史检验检测信息、监察信息、其他信息等，实现一站式查询。</w:t>
            </w:r>
          </w:p>
          <w:p w14:paraId="5A93AC44">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2.4起重机械</w:t>
            </w:r>
          </w:p>
          <w:p w14:paraId="39CFE953">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整合起重机械设备从生产到报废的全生命周期数据，包括设备信息、历史检验信息、监察信息、其他信息等，实现一站式查询。</w:t>
            </w:r>
          </w:p>
          <w:p w14:paraId="02D6EF25">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2.5厂内机动车辆</w:t>
            </w:r>
          </w:p>
          <w:p w14:paraId="6132BA44">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整合厂内机动车辆设备从生产到报废的全生命周期数据，包括设备信息、历史检验信息、监察信息、其他信息等，实现一站式查询。</w:t>
            </w:r>
          </w:p>
          <w:p w14:paraId="5646F614">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2.6大型游乐设施</w:t>
            </w:r>
          </w:p>
          <w:p w14:paraId="4CBF46A2">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整合大型游乐设施设备从生产到报废的全生命周期数据，包括设备信息、历史检验信息、监察信息、物联网、其他信息等，实现一站式查询。</w:t>
            </w:r>
          </w:p>
          <w:p w14:paraId="755A4DA2">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2.7压力管道</w:t>
            </w:r>
          </w:p>
          <w:p w14:paraId="30C6A76E">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整合压力管道设备从生产到报废的全生命周期数据，包括设备信息、历史检验信息、监察信息、安全阀、其他信息等，实现一站式查询。</w:t>
            </w:r>
          </w:p>
          <w:p w14:paraId="6BD2B5B6">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2.8客运索道</w:t>
            </w:r>
          </w:p>
          <w:p w14:paraId="2CECC167">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整合客运索道设备从生产到报废的全生命周期数据，包括设备信息、历史检验信息、监察信息、其他信息等，实现一站式查询。</w:t>
            </w:r>
          </w:p>
        </w:tc>
      </w:tr>
      <w:tr w14:paraId="09A0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191BC64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267C743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lang w:val="en-US" w:eastAsia="zh-CN"/>
              </w:rPr>
              <w:t>气瓶检验报告出具全流程</w:t>
            </w:r>
          </w:p>
        </w:tc>
        <w:tc>
          <w:tcPr>
            <w:tcW w:w="6716" w:type="dxa"/>
            <w:vAlign w:val="center"/>
          </w:tcPr>
          <w:p w14:paraId="459C273F">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3.1申报检验</w:t>
            </w:r>
          </w:p>
          <w:p w14:paraId="1A9F4EC7">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支持工业气瓶网上申报、液化石油气瓶网上申报、车用气瓶窗口申报等功能。实现气瓶检验从申报登记到报告归档的完整流程，确保每一步操作规范、数据可追溯，提升报告的权威性和公信力。</w:t>
            </w:r>
          </w:p>
          <w:p w14:paraId="6C21D660">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3.2报告录入</w:t>
            </w:r>
          </w:p>
          <w:p w14:paraId="35E79087">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检验报告、记录清单等功能。实现记录气瓶检验的各项关键指标结果，生成标准化的检验报告初稿，支持实时预览与修改。详细列出检验过程中涉及的所有记录项目，包括外观检查、压力测试等，便于核对与存档。</w:t>
            </w:r>
          </w:p>
          <w:p w14:paraId="3A492C56">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3.3报告审批</w:t>
            </w:r>
          </w:p>
          <w:p w14:paraId="15FD8E57">
            <w:pPr>
              <w:ind w:firstLine="480"/>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支持报告查看、扫码签字、检验记录生成等功能。实现</w:t>
            </w:r>
            <w:r>
              <w:rPr>
                <w:rFonts w:hint="default" w:ascii="Times New Roman" w:hAnsi="Times New Roman" w:eastAsia="宋体" w:cs="Times New Roman"/>
                <w:b w:val="0"/>
                <w:bCs/>
                <w:color w:val="auto"/>
                <w:sz w:val="21"/>
                <w:szCs w:val="21"/>
                <w:highlight w:val="none"/>
              </w:rPr>
              <w:t>审批人员专用的报告查看功能，支持逐项审查检验数据及结论，提升审批效率。引入电子签名技术，审批人员可通过扫码完成签字确认，保证审批流程安全可靠。根据审批通过的报告自动生成完整的检验记录，包含所有相关数据及结论，方便后续查询。</w:t>
            </w:r>
          </w:p>
          <w:p w14:paraId="4FCD7822">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3.4报告打印</w:t>
            </w:r>
          </w:p>
          <w:p w14:paraId="551670FE">
            <w:pPr>
              <w:ind w:firstLine="480"/>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支持打印报告、检验报告二维码等功能。实现</w:t>
            </w:r>
            <w:r>
              <w:rPr>
                <w:rFonts w:hint="default" w:ascii="Times New Roman" w:hAnsi="Times New Roman" w:eastAsia="宋体" w:cs="Times New Roman"/>
                <w:b w:val="0"/>
                <w:bCs/>
                <w:color w:val="auto"/>
                <w:sz w:val="21"/>
                <w:szCs w:val="21"/>
                <w:highlight w:val="none"/>
              </w:rPr>
              <w:t>标准格式的报告打印功能，支持批量打印或单份打印，确保报告清晰易读。为每份报告生成唯一二维码，用户可通过扫描查看检验内容，验证报告真伪，增强防伪能力。</w:t>
            </w:r>
          </w:p>
          <w:p w14:paraId="2E179E74">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3.5报告归档</w:t>
            </w:r>
          </w:p>
          <w:p w14:paraId="5A43BF03">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支持报告退出流程等功能。实现在报告完成归档后，系统自动关闭相关流程节点，避免重复操作或数据混乱。</w:t>
            </w:r>
          </w:p>
          <w:p w14:paraId="2C8EEE27">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3.6数据接口</w:t>
            </w:r>
          </w:p>
          <w:p w14:paraId="450712B2">
            <w:pPr>
              <w:ind w:firstLine="48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气瓶检验员资格校验接口、气瓶检验原始记录上传接口、气瓶检验原始记录附件上传接口、气瓶检验站基本信息校验接口、检验报告发放接口等功能。实现气瓶检验全流程接口支撑，可实时校验气瓶检验员资质与检验站基本信息，确保检验主体合规，同时支持检验原始记录及图片、视频等附件上传，实现记录统一管理与可信度提升。</w:t>
            </w:r>
          </w:p>
        </w:tc>
      </w:tr>
      <w:tr w14:paraId="02E9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2" w:type="dxa"/>
            <w:vMerge w:val="continue"/>
            <w:vAlign w:val="center"/>
          </w:tcPr>
          <w:p w14:paraId="1067B5D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085A2D8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58" w:name="_Toc23877"/>
            <w:bookmarkStart w:id="559" w:name="_Toc218020344"/>
            <w:r>
              <w:rPr>
                <w:rFonts w:hint="default" w:ascii="Times New Roman" w:hAnsi="Times New Roman" w:eastAsia="宋体" w:cs="Times New Roman"/>
                <w:b w:val="0"/>
                <w:bCs/>
                <w:color w:val="auto"/>
                <w:sz w:val="21"/>
                <w:szCs w:val="21"/>
                <w:highlight w:val="none"/>
                <w:lang w:val="en-US" w:eastAsia="zh-CN"/>
              </w:rPr>
              <w:t>特种设备使用证防伪验证功能</w:t>
            </w:r>
            <w:bookmarkEnd w:id="558"/>
            <w:bookmarkEnd w:id="559"/>
          </w:p>
        </w:tc>
        <w:tc>
          <w:tcPr>
            <w:tcW w:w="6716" w:type="dxa"/>
            <w:vAlign w:val="center"/>
          </w:tcPr>
          <w:p w14:paraId="2E2C18EF">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4.1使用证防伪验证</w:t>
            </w:r>
          </w:p>
          <w:p w14:paraId="374E9A1C">
            <w:pPr>
              <w:ind w:firstLine="315" w:firstLineChars="15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用户可通过微信公众号扫描使用证上的二维码或输入相关信息，核验使用证是否由自治区智慧监管系统发放，有效防范伪造证件。</w:t>
            </w:r>
          </w:p>
          <w:p w14:paraId="3EF921B1">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4.2使用证下载</w:t>
            </w:r>
          </w:p>
          <w:p w14:paraId="62BC2569">
            <w:pPr>
              <w:ind w:firstLine="315" w:firstLineChars="15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rPr>
              <w:t>支持用户通过微信公众号在线申请并下载电子版特种设备使用证，方便存档和随时查阅，同时确保下载的证书具备同等法律效力。</w:t>
            </w:r>
          </w:p>
        </w:tc>
      </w:tr>
      <w:tr w14:paraId="3EDA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1FE1554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54633CF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60" w:name="_Toc218020345"/>
            <w:bookmarkStart w:id="561" w:name="_Toc6051"/>
            <w:r>
              <w:rPr>
                <w:rFonts w:hint="default" w:ascii="Times New Roman" w:hAnsi="Times New Roman" w:eastAsia="宋体" w:cs="Times New Roman"/>
                <w:b w:val="0"/>
                <w:bCs/>
                <w:color w:val="auto"/>
                <w:sz w:val="21"/>
                <w:szCs w:val="21"/>
                <w:highlight w:val="none"/>
                <w:lang w:val="en-US" w:eastAsia="zh-CN"/>
              </w:rPr>
              <w:t>特种设备超期未检指令书流程</w:t>
            </w:r>
            <w:bookmarkEnd w:id="560"/>
            <w:bookmarkEnd w:id="561"/>
          </w:p>
        </w:tc>
        <w:tc>
          <w:tcPr>
            <w:tcW w:w="6716" w:type="dxa"/>
            <w:vAlign w:val="center"/>
          </w:tcPr>
          <w:p w14:paraId="1613D037">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5.1超期报检指令书</w:t>
            </w:r>
          </w:p>
          <w:p w14:paraId="7B86D859">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支持对</w:t>
            </w:r>
            <w:r>
              <w:rPr>
                <w:rFonts w:hint="default" w:ascii="Times New Roman" w:hAnsi="Times New Roman" w:eastAsia="宋体" w:cs="Times New Roman"/>
                <w:b w:val="0"/>
                <w:bCs/>
                <w:color w:val="auto"/>
                <w:sz w:val="21"/>
                <w:szCs w:val="21"/>
                <w:highlight w:val="none"/>
              </w:rPr>
              <w:t>超期未检的特种设备，通过系统化流程自动生成并发放指令书，督促相关单位及时完成检验，消除安全隐患。</w:t>
            </w:r>
          </w:p>
          <w:p w14:paraId="45F206DE">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5.2指令书确认</w:t>
            </w:r>
          </w:p>
          <w:p w14:paraId="3866A6CE">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监察机构的监察人员可通过系统在线确认下达指令书，两人通过后下达给相关责任单位。</w:t>
            </w:r>
          </w:p>
          <w:p w14:paraId="787BD3B4">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5.3指令书发放</w:t>
            </w:r>
          </w:p>
          <w:p w14:paraId="5CE3C615">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通过系统将生成的指令书以短信形式通知责任单位进入企业一站式服务平台下载，确保各方及时掌握情况。</w:t>
            </w:r>
          </w:p>
          <w:p w14:paraId="0136316F">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5.4指令书整改确认</w:t>
            </w:r>
          </w:p>
          <w:p w14:paraId="7F37C4DC">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责任单位完成整改后，可通过系统提交整改报告及相关证明材料</w:t>
            </w:r>
            <w:r>
              <w:rPr>
                <w:rFonts w:hint="default" w:ascii="Times New Roman" w:hAnsi="Times New Roman" w:eastAsia="宋体" w:cs="Times New Roman"/>
                <w:b w:val="0"/>
                <w:bCs/>
                <w:color w:val="auto"/>
                <w:sz w:val="21"/>
                <w:szCs w:val="21"/>
                <w:highlight w:val="none"/>
                <w:lang w:eastAsia="zh-CN"/>
              </w:rPr>
              <w:t>，经</w:t>
            </w:r>
            <w:r>
              <w:rPr>
                <w:rFonts w:hint="default" w:ascii="Times New Roman" w:hAnsi="Times New Roman" w:eastAsia="宋体" w:cs="Times New Roman"/>
                <w:b w:val="0"/>
                <w:bCs/>
                <w:color w:val="auto"/>
                <w:sz w:val="21"/>
                <w:szCs w:val="21"/>
                <w:highlight w:val="none"/>
              </w:rPr>
              <w:t>监管部门审核确认后关闭该指令书流程。</w:t>
            </w:r>
          </w:p>
          <w:p w14:paraId="21E74E82">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5.5指令书上报执法</w:t>
            </w:r>
          </w:p>
          <w:p w14:paraId="0CEB42FE">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当责任单位未能按期完成整改时，系统自动将相关数据推送给执法部门，包括设备信息、超期时间及整改要求等，协助开展后续执法行动。</w:t>
            </w:r>
          </w:p>
        </w:tc>
      </w:tr>
      <w:tr w14:paraId="37C5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51A7B9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50D8ADF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62" w:name="_Toc218020346"/>
            <w:bookmarkStart w:id="563" w:name="_Toc15133"/>
            <w:r>
              <w:rPr>
                <w:rFonts w:hint="default" w:ascii="Times New Roman" w:hAnsi="Times New Roman" w:eastAsia="宋体" w:cs="Times New Roman"/>
                <w:b w:val="0"/>
                <w:bCs/>
                <w:color w:val="auto"/>
                <w:sz w:val="21"/>
                <w:szCs w:val="21"/>
                <w:highlight w:val="none"/>
                <w:lang w:val="en-US" w:eastAsia="zh-CN"/>
              </w:rPr>
              <w:t>车用气瓶使用登记</w:t>
            </w:r>
            <w:bookmarkEnd w:id="562"/>
            <w:bookmarkEnd w:id="563"/>
          </w:p>
        </w:tc>
        <w:tc>
          <w:tcPr>
            <w:tcW w:w="6716" w:type="dxa"/>
            <w:vAlign w:val="center"/>
          </w:tcPr>
          <w:p w14:paraId="67F8973A">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6.1使用登记流程改造</w:t>
            </w:r>
          </w:p>
          <w:p w14:paraId="7162AA5A">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支持车用气瓶新增修改、白名单下载接口等功能。</w:t>
            </w:r>
            <w:r>
              <w:rPr>
                <w:rFonts w:hint="default" w:ascii="Times New Roman" w:hAnsi="Times New Roman" w:eastAsia="宋体" w:cs="Times New Roman"/>
                <w:b w:val="0"/>
                <w:bCs/>
                <w:color w:val="auto"/>
                <w:sz w:val="21"/>
                <w:szCs w:val="21"/>
                <w:highlight w:val="none"/>
              </w:rPr>
              <w:t>车用气瓶的新增、修改、删除统一到自治区特种设备安全智慧监管系统管理。提供白名单下载的接口，其他系统从特种设备安全智慧监管系统下载信息。</w:t>
            </w:r>
          </w:p>
        </w:tc>
      </w:tr>
      <w:tr w14:paraId="121B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687103B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34EB5E8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64" w:name="_Toc218020347"/>
            <w:bookmarkStart w:id="565" w:name="_Toc15842"/>
            <w:r>
              <w:rPr>
                <w:rFonts w:hint="default" w:ascii="Times New Roman" w:hAnsi="Times New Roman" w:eastAsia="宋体" w:cs="Times New Roman"/>
                <w:b w:val="0"/>
                <w:bCs/>
                <w:color w:val="auto"/>
                <w:sz w:val="21"/>
                <w:szCs w:val="21"/>
                <w:highlight w:val="none"/>
                <w:lang w:val="en-US" w:eastAsia="zh-CN"/>
              </w:rPr>
              <w:t>微信公众号功能扩展</w:t>
            </w:r>
            <w:bookmarkEnd w:id="564"/>
            <w:bookmarkEnd w:id="565"/>
          </w:p>
        </w:tc>
        <w:tc>
          <w:tcPr>
            <w:tcW w:w="6716" w:type="dxa"/>
            <w:vAlign w:val="center"/>
          </w:tcPr>
          <w:p w14:paraId="7AC874BF">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通过拓展微信公众号的功能模块，提升用户交互体验，增强特种设备管理的便捷性和信息化水平。</w:t>
            </w:r>
          </w:p>
        </w:tc>
      </w:tr>
      <w:tr w14:paraId="409D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B34F67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6285D88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66" w:name="_Toc32554"/>
            <w:bookmarkStart w:id="567" w:name="_Toc218020348"/>
            <w:r>
              <w:rPr>
                <w:rFonts w:hint="default" w:ascii="Times New Roman" w:hAnsi="Times New Roman" w:eastAsia="宋体" w:cs="Times New Roman"/>
                <w:b w:val="0"/>
                <w:bCs/>
                <w:color w:val="auto"/>
                <w:sz w:val="21"/>
                <w:szCs w:val="21"/>
                <w:highlight w:val="none"/>
                <w:lang w:val="en-US" w:eastAsia="zh-CN"/>
              </w:rPr>
              <w:t>特种设备安全监督检查</w:t>
            </w:r>
            <w:bookmarkEnd w:id="566"/>
            <w:bookmarkEnd w:id="567"/>
          </w:p>
        </w:tc>
        <w:tc>
          <w:tcPr>
            <w:tcW w:w="6716" w:type="dxa"/>
            <w:vAlign w:val="center"/>
          </w:tcPr>
          <w:p w14:paraId="0CAFBE40">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特种设备安全监督检查月报上报、分权限总览、地州局填报、区县局填报、市场监管所填报、监督检查记录表分类统计、重大隐患信息化管理等功能。实现特种设备安全监督检查全流程信息化管理，可督促各级市场监管部门上报检查月报、压实属地责任，通过分级权限适配提供专属数据总览，支持地州局、区县局、市场监管所三级在线填报，夯实基层监管数据支撑。</w:t>
            </w:r>
          </w:p>
        </w:tc>
      </w:tr>
      <w:tr w14:paraId="1EA3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73130D2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169CAFE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68" w:name="_Toc218020349"/>
            <w:bookmarkStart w:id="569" w:name="_Toc27385"/>
            <w:r>
              <w:rPr>
                <w:rFonts w:hint="default" w:ascii="Times New Roman" w:hAnsi="Times New Roman" w:eastAsia="宋体" w:cs="Times New Roman"/>
                <w:b w:val="0"/>
                <w:bCs/>
                <w:color w:val="auto"/>
                <w:sz w:val="21"/>
                <w:szCs w:val="21"/>
                <w:highlight w:val="none"/>
                <w:lang w:val="en-US" w:eastAsia="zh-CN"/>
              </w:rPr>
              <w:t>接口开发</w:t>
            </w:r>
            <w:bookmarkEnd w:id="568"/>
            <w:bookmarkEnd w:id="569"/>
          </w:p>
        </w:tc>
        <w:tc>
          <w:tcPr>
            <w:tcW w:w="6716" w:type="dxa"/>
            <w:vAlign w:val="center"/>
          </w:tcPr>
          <w:p w14:paraId="4BB01F19">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9.1总局移动式压力容器信息管理子系统对接</w:t>
            </w:r>
          </w:p>
          <w:p w14:paraId="40156D4B">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与总局“移动式压力容器信息管理子系统”互联互通，自动获取总局平台移动式压力容器的使用登记证二维码、检验信息以及充装信息等信息。自动、准确、实时地获取新疆范围内的移动式压力容器（包括长管拖车、管束式集装箱、罐车等）的数据，打通与总局平台的数据通道。</w:t>
            </w:r>
          </w:p>
          <w:p w14:paraId="02EB1E51">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9.2与自治区社保系统对接</w:t>
            </w:r>
          </w:p>
          <w:p w14:paraId="50BD2D71">
            <w:pPr>
              <w:ind w:firstLine="420" w:firstLineChars="20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与自治区社会保险信息系统实现安全、合规的数据对接。通过自动获取并比对作业人员和检验检测人员的社保缴纳信息，有效打击“挂证”行为，确保在岗作业人员和检验检测人员的真实性、稳定性和专业性，从源头压实企业安全主体责任和检验检测机构的检验检测行为。</w:t>
            </w:r>
          </w:p>
        </w:tc>
      </w:tr>
      <w:tr w14:paraId="5790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0B931F0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656E455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lang w:val="en-US" w:eastAsia="zh-CN"/>
              </w:rPr>
              <w:t>非现场安全监管视频归集</w:t>
            </w:r>
          </w:p>
        </w:tc>
        <w:tc>
          <w:tcPr>
            <w:tcW w:w="6716" w:type="dxa"/>
            <w:vAlign w:val="center"/>
          </w:tcPr>
          <w:p w14:paraId="43EFBE90">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color w:val="auto"/>
                <w:sz w:val="21"/>
                <w:szCs w:val="21"/>
                <w:highlight w:val="none"/>
                <w:lang w:val="en" w:eastAsia="zh-CN"/>
              </w:rPr>
              <w:t>10.</w:t>
            </w:r>
            <w:r>
              <w:rPr>
                <w:rFonts w:hint="default" w:ascii="Times New Roman" w:hAnsi="Times New Roman" w:eastAsia="宋体" w:cs="Times New Roman"/>
                <w:b w:val="0"/>
                <w:bCs/>
                <w:color w:val="auto"/>
                <w:sz w:val="21"/>
                <w:szCs w:val="21"/>
                <w:highlight w:val="none"/>
                <w:lang w:val="en-US" w:eastAsia="zh-CN"/>
              </w:rPr>
              <w:t>支持通过技术手段，能够自动对分散部署的多源异构特种设备视频监控资源（包括各监管机构统建及企业自建的平台）进行集中汇聚、统一管理与智能解析，最终形成一个统一的视频数据归集管理平台。授权人员可随时随地远程、实时调阅并巡查任一联网监控点的视频画面，实现从“现场检查”到“线上实时巡查与非现场精准监管”。</w:t>
            </w:r>
          </w:p>
        </w:tc>
      </w:tr>
      <w:tr w14:paraId="0BB7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0ED738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1849D07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lang w:val="en-US" w:eastAsia="zh-CN"/>
              </w:rPr>
              <w:t>安全阀网上报检</w:t>
            </w:r>
          </w:p>
        </w:tc>
        <w:tc>
          <w:tcPr>
            <w:tcW w:w="6716" w:type="dxa"/>
            <w:vAlign w:val="center"/>
          </w:tcPr>
          <w:p w14:paraId="355F25AF">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color w:val="auto"/>
                <w:sz w:val="21"/>
                <w:szCs w:val="21"/>
                <w:highlight w:val="none"/>
                <w:lang w:val="en" w:eastAsia="zh-CN"/>
              </w:rPr>
              <w:t>11.</w:t>
            </w:r>
            <w:r>
              <w:rPr>
                <w:rFonts w:hint="default" w:ascii="Times New Roman" w:hAnsi="Times New Roman" w:eastAsia="宋体" w:cs="Times New Roman"/>
                <w:b w:val="0"/>
                <w:bCs/>
                <w:color w:val="auto"/>
                <w:sz w:val="21"/>
                <w:szCs w:val="21"/>
                <w:highlight w:val="none"/>
                <w:lang w:val="en-US" w:eastAsia="zh-CN"/>
              </w:rPr>
              <w:t>支持依托特种设备安全智慧监管系统企业服务平台开发安全阀管理模块，允许使用单位自主新增或者批量导入安全阀，支持安全阀网上报检，开发校验信息查询及预警管理功能。</w:t>
            </w:r>
          </w:p>
        </w:tc>
      </w:tr>
      <w:tr w14:paraId="4868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2943EE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4882A3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应急专家管理</w:t>
            </w:r>
          </w:p>
        </w:tc>
        <w:tc>
          <w:tcPr>
            <w:tcW w:w="6716" w:type="dxa"/>
            <w:vAlign w:val="center"/>
          </w:tcPr>
          <w:p w14:paraId="6B42123D">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color w:val="auto"/>
                <w:sz w:val="21"/>
                <w:szCs w:val="21"/>
                <w:highlight w:val="none"/>
                <w:lang w:val="en" w:eastAsia="zh-CN"/>
              </w:rPr>
              <w:t>12.</w:t>
            </w:r>
            <w:r>
              <w:rPr>
                <w:rFonts w:hint="default" w:ascii="Times New Roman" w:hAnsi="Times New Roman" w:eastAsia="宋体" w:cs="Times New Roman"/>
                <w:b w:val="0"/>
                <w:bCs/>
                <w:color w:val="auto"/>
                <w:sz w:val="21"/>
                <w:szCs w:val="21"/>
                <w:highlight w:val="none"/>
                <w:lang w:val="en-US" w:eastAsia="zh-CN"/>
              </w:rPr>
              <w:t>支持建立特种设备应急专家管理功能，可以新增、批量导入以及删除应急专家，实现特种设备应急专家的动态管理。</w:t>
            </w:r>
          </w:p>
        </w:tc>
      </w:tr>
      <w:tr w14:paraId="0E7F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0634C47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85" w:type="dxa"/>
            <w:vAlign w:val="center"/>
          </w:tcPr>
          <w:p w14:paraId="1C68CCE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叉车使用登记升级改造</w:t>
            </w:r>
          </w:p>
        </w:tc>
        <w:tc>
          <w:tcPr>
            <w:tcW w:w="6716" w:type="dxa"/>
            <w:vAlign w:val="center"/>
          </w:tcPr>
          <w:p w14:paraId="326F6184">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13.1动态电子围栏划定</w:t>
            </w:r>
          </w:p>
          <w:p w14:paraId="7D525963">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支持企业通过服务平台，在集成电子地图上，以多边形勾画或圆形绘制的方式，灵活、直观地自定义叉车“电子使用区域”。区域划定支持不定期调整，以适应企业生产布局变化。</w:t>
            </w:r>
          </w:p>
          <w:p w14:paraId="55CE72F4">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13.2电子证照动态关联</w:t>
            </w:r>
          </w:p>
          <w:p w14:paraId="56BB7020">
            <w:pPr>
              <w:ind w:firstLine="48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支持更新后的电子使用登记证，将动态关联并直观展示企业最新划定的叉车使用区域范围，实现证照信息与用户划定的使用区域信息的实时同步。</w:t>
            </w:r>
          </w:p>
          <w:p w14:paraId="085857AC">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i w:val="0"/>
                <w:iCs w:val="0"/>
                <w:color w:val="auto"/>
                <w:kern w:val="0"/>
                <w:sz w:val="21"/>
                <w:szCs w:val="21"/>
                <w:highlight w:val="none"/>
                <w:u w:val="none"/>
                <w:lang w:val="en-US" w:eastAsia="zh-CN" w:bidi="ar"/>
              </w:rPr>
              <w:t>13.3区域信息一键导出</w:t>
            </w:r>
          </w:p>
          <w:p w14:paraId="0D231281">
            <w:pPr>
              <w:ind w:firstLine="480"/>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lang w:val="en-US" w:eastAsia="zh-CN"/>
              </w:rPr>
              <w:t>支持将用户划定的叉车使用区域信息（包括区域图形、地理坐标、划定时间等）一键导出，便于企业存档、分析或监管事故调查取证使用。</w:t>
            </w:r>
          </w:p>
        </w:tc>
      </w:tr>
      <w:tr w14:paraId="1E6B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B68A483">
            <w:pPr>
              <w:widowControl/>
              <w:jc w:val="left"/>
              <w:rPr>
                <w:rFonts w:hint="default" w:ascii="Times New Roman" w:hAnsi="Times New Roman" w:eastAsia="宋体" w:cs="Times New Roman"/>
                <w:b w:val="0"/>
                <w:bCs/>
                <w:color w:val="auto"/>
                <w:kern w:val="2"/>
                <w:sz w:val="21"/>
                <w:szCs w:val="21"/>
                <w:highlight w:val="none"/>
                <w:vertAlign w:val="baseline"/>
                <w:lang w:val="en" w:eastAsia="zh-CN" w:bidi="ar-SA"/>
              </w:rPr>
            </w:pPr>
          </w:p>
        </w:tc>
        <w:tc>
          <w:tcPr>
            <w:tcW w:w="1185" w:type="dxa"/>
            <w:vAlign w:val="center"/>
          </w:tcPr>
          <w:p w14:paraId="4B797241">
            <w:pPr>
              <w:widowControl/>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kern w:val="0"/>
                <w:sz w:val="21"/>
                <w:szCs w:val="21"/>
                <w:highlight w:val="none"/>
                <w:lang w:eastAsia="zh-CN"/>
              </w:rPr>
              <w:t>“扫码入企”相关配合工作</w:t>
            </w:r>
          </w:p>
        </w:tc>
        <w:tc>
          <w:tcPr>
            <w:tcW w:w="6716" w:type="dxa"/>
            <w:vAlign w:val="center"/>
          </w:tcPr>
          <w:p w14:paraId="437EE971">
            <w:pPr>
              <w:widowControl/>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kern w:val="0"/>
                <w:sz w:val="21"/>
                <w:szCs w:val="21"/>
                <w:highlight w:val="none"/>
                <w:lang w:val="en" w:eastAsia="zh-CN"/>
              </w:rPr>
              <w:t>14.</w:t>
            </w:r>
            <w:r>
              <w:rPr>
                <w:rFonts w:hint="default" w:ascii="Times New Roman" w:hAnsi="Times New Roman" w:cs="Times New Roman"/>
                <w:color w:val="auto"/>
                <w:kern w:val="0"/>
                <w:sz w:val="21"/>
                <w:szCs w:val="21"/>
                <w:highlight w:val="none"/>
                <w:lang w:val="en-US" w:eastAsia="zh-CN"/>
              </w:rPr>
              <w:t>按数字化发展局明确的贯通业务系统和技术标准要求，</w:t>
            </w:r>
            <w:r>
              <w:rPr>
                <w:rFonts w:hint="default" w:ascii="Times New Roman" w:hAnsi="Times New Roman" w:cs="Times New Roman"/>
                <w:color w:val="auto"/>
                <w:kern w:val="0"/>
                <w:sz w:val="21"/>
                <w:szCs w:val="21"/>
                <w:highlight w:val="none"/>
              </w:rPr>
              <w:t>做好</w:t>
            </w:r>
            <w:r>
              <w:rPr>
                <w:rFonts w:hint="default" w:ascii="Times New Roman" w:hAnsi="Times New Roman" w:cs="Times New Roman"/>
                <w:color w:val="auto"/>
                <w:kern w:val="0"/>
                <w:sz w:val="21"/>
                <w:szCs w:val="21"/>
                <w:highlight w:val="none"/>
                <w:lang w:eastAsia="zh-CN"/>
              </w:rPr>
              <w:t>与自治区“扫码入企”平台、“新企办”“新服办”的接口开发工作，实现本系统数据共享。</w:t>
            </w:r>
          </w:p>
        </w:tc>
      </w:tr>
    </w:tbl>
    <w:p w14:paraId="4F5C05A4">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bookmarkStart w:id="570" w:name="_Toc218020455"/>
      <w:r>
        <w:rPr>
          <w:rStyle w:val="211"/>
          <w:rFonts w:hint="default" w:ascii="Times New Roman" w:hAnsi="Times New Roman" w:eastAsia="宋体" w:cs="Times New Roman"/>
          <w:b/>
          <w:bCs w:val="0"/>
          <w:color w:val="auto"/>
          <w:sz w:val="24"/>
          <w:szCs w:val="24"/>
          <w:highlight w:val="none"/>
          <w:lang w:val="en-US" w:eastAsia="zh-CN"/>
        </w:rPr>
        <w:t>15.车用气瓶监管子系统</w:t>
      </w:r>
      <w:bookmarkEnd w:id="570"/>
    </w:p>
    <w:tbl>
      <w:tblPr>
        <w:tblStyle w:val="4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197"/>
        <w:gridCol w:w="6202"/>
      </w:tblGrid>
      <w:tr w14:paraId="56A2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79" w:type="dxa"/>
            <w:vAlign w:val="center"/>
          </w:tcPr>
          <w:p w14:paraId="33C8CBB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系统名称</w:t>
            </w:r>
          </w:p>
        </w:tc>
        <w:tc>
          <w:tcPr>
            <w:tcW w:w="1258" w:type="dxa"/>
            <w:vAlign w:val="center"/>
          </w:tcPr>
          <w:p w14:paraId="794B058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模块名称</w:t>
            </w:r>
          </w:p>
        </w:tc>
        <w:tc>
          <w:tcPr>
            <w:tcW w:w="6700" w:type="dxa"/>
            <w:vAlign w:val="center"/>
          </w:tcPr>
          <w:p w14:paraId="5851F81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规格参数</w:t>
            </w:r>
          </w:p>
        </w:tc>
      </w:tr>
      <w:tr w14:paraId="4BD2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restart"/>
            <w:vAlign w:val="center"/>
          </w:tcPr>
          <w:p w14:paraId="20E5265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特种设备安全智慧监管系统-车用气瓶监管子系统</w:t>
            </w:r>
          </w:p>
        </w:tc>
        <w:tc>
          <w:tcPr>
            <w:tcW w:w="1258" w:type="dxa"/>
            <w:vAlign w:val="center"/>
          </w:tcPr>
          <w:p w14:paraId="3B9084C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71" w:name="_Toc218020456"/>
            <w:r>
              <w:rPr>
                <w:rFonts w:hint="default" w:ascii="Times New Roman" w:hAnsi="Times New Roman" w:eastAsia="宋体" w:cs="Times New Roman"/>
                <w:b w:val="0"/>
                <w:bCs/>
                <w:color w:val="auto"/>
                <w:sz w:val="21"/>
                <w:szCs w:val="21"/>
                <w:highlight w:val="none"/>
                <w:lang w:val="en-US" w:eastAsia="zh-CN"/>
              </w:rPr>
              <w:t>新增白名单</w:t>
            </w:r>
            <w:bookmarkStart w:id="572" w:name="_Hlk193725186"/>
            <w:r>
              <w:rPr>
                <w:rFonts w:hint="default" w:ascii="Times New Roman" w:hAnsi="Times New Roman" w:eastAsia="宋体" w:cs="Times New Roman"/>
                <w:b w:val="0"/>
                <w:bCs/>
                <w:color w:val="auto"/>
                <w:sz w:val="21"/>
                <w:szCs w:val="21"/>
                <w:highlight w:val="none"/>
                <w:lang w:val="en-US" w:eastAsia="zh-CN"/>
              </w:rPr>
              <w:t>信息采集</w:t>
            </w:r>
            <w:bookmarkEnd w:id="572"/>
            <w:r>
              <w:rPr>
                <w:rFonts w:hint="default" w:ascii="Times New Roman" w:hAnsi="Times New Roman" w:eastAsia="宋体" w:cs="Times New Roman"/>
                <w:b w:val="0"/>
                <w:bCs/>
                <w:color w:val="auto"/>
                <w:sz w:val="21"/>
                <w:szCs w:val="21"/>
                <w:highlight w:val="none"/>
                <w:lang w:val="en-US" w:eastAsia="zh-CN"/>
              </w:rPr>
              <w:t>功能</w:t>
            </w:r>
            <w:bookmarkEnd w:id="571"/>
          </w:p>
        </w:tc>
        <w:tc>
          <w:tcPr>
            <w:tcW w:w="6700" w:type="dxa"/>
            <w:vAlign w:val="center"/>
          </w:tcPr>
          <w:p w14:paraId="538DFC83">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color w:val="auto"/>
                <w:sz w:val="21"/>
                <w:szCs w:val="21"/>
                <w:highlight w:val="none"/>
                <w:lang w:val="en" w:eastAsia="zh-CN"/>
              </w:rPr>
              <w:t>1.</w:t>
            </w: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从新疆维吾尔自治区特种设备安全智慧监管系统及兵团特种设备监管系统中提取使用登记信息完整的数据，自动生成白名单。确保新发证和更新信息可实时同步至气瓶系统。</w:t>
            </w:r>
          </w:p>
        </w:tc>
      </w:tr>
      <w:tr w14:paraId="700B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14:paraId="640DCDC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258" w:type="dxa"/>
            <w:vAlign w:val="center"/>
          </w:tcPr>
          <w:p w14:paraId="444B84F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73" w:name="_Toc218020457"/>
            <w:r>
              <w:rPr>
                <w:rFonts w:hint="default" w:ascii="Times New Roman" w:hAnsi="Times New Roman" w:eastAsia="宋体" w:cs="Times New Roman"/>
                <w:b w:val="0"/>
                <w:bCs/>
                <w:color w:val="auto"/>
                <w:sz w:val="21"/>
                <w:szCs w:val="21"/>
                <w:highlight w:val="none"/>
                <w:lang w:val="en-US" w:eastAsia="zh-CN"/>
              </w:rPr>
              <w:t>增加白名单验证功能</w:t>
            </w:r>
            <w:bookmarkEnd w:id="573"/>
          </w:p>
        </w:tc>
        <w:tc>
          <w:tcPr>
            <w:tcW w:w="6700" w:type="dxa"/>
            <w:vAlign w:val="center"/>
          </w:tcPr>
          <w:p w14:paraId="522B06FF">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 w:eastAsia="zh-CN"/>
              </w:rPr>
              <w:t>2.</w:t>
            </w: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加气车辆通过识别车牌号验证白名单，验证通过方可加气。</w:t>
            </w:r>
          </w:p>
        </w:tc>
      </w:tr>
      <w:tr w14:paraId="2E7D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14:paraId="323FAB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258" w:type="dxa"/>
            <w:vAlign w:val="center"/>
          </w:tcPr>
          <w:p w14:paraId="74822C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574" w:name="_Toc218020458"/>
            <w:r>
              <w:rPr>
                <w:rFonts w:hint="default" w:ascii="Times New Roman" w:hAnsi="Times New Roman" w:eastAsia="宋体" w:cs="Times New Roman"/>
                <w:b w:val="0"/>
                <w:bCs/>
                <w:color w:val="auto"/>
                <w:sz w:val="21"/>
                <w:szCs w:val="21"/>
                <w:highlight w:val="none"/>
                <w:lang w:val="en-US" w:eastAsia="zh-CN"/>
              </w:rPr>
              <w:t>增加白名单查询功能</w:t>
            </w:r>
            <w:bookmarkEnd w:id="574"/>
          </w:p>
        </w:tc>
        <w:tc>
          <w:tcPr>
            <w:tcW w:w="6700" w:type="dxa"/>
            <w:vAlign w:val="center"/>
          </w:tcPr>
          <w:p w14:paraId="3EB9DDFF">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color w:val="auto"/>
                <w:sz w:val="21"/>
                <w:szCs w:val="21"/>
                <w:highlight w:val="none"/>
                <w:lang w:val="en" w:eastAsia="zh-CN"/>
              </w:rPr>
              <w:t>3.</w:t>
            </w:r>
            <w:r>
              <w:rPr>
                <w:rFonts w:hint="default" w:ascii="Times New Roman" w:hAnsi="Times New Roman" w:eastAsia="宋体" w:cs="Times New Roman"/>
                <w:b w:val="0"/>
                <w:bCs/>
                <w:color w:val="auto"/>
                <w:sz w:val="21"/>
                <w:szCs w:val="21"/>
                <w:highlight w:val="none"/>
                <w:lang w:val="en-US" w:eastAsia="zh-CN"/>
              </w:rPr>
              <w:t>支持为监管单位提供白名单查询功能，快速处理违规充装车辆。</w:t>
            </w:r>
          </w:p>
        </w:tc>
      </w:tr>
      <w:tr w14:paraId="5566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9" w:type="dxa"/>
            <w:vMerge w:val="continue"/>
            <w:vAlign w:val="center"/>
          </w:tcPr>
          <w:p w14:paraId="05FC4DB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258" w:type="dxa"/>
            <w:vAlign w:val="center"/>
          </w:tcPr>
          <w:p w14:paraId="0966AC0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575" w:name="_Toc218020459"/>
            <w:r>
              <w:rPr>
                <w:rFonts w:hint="default" w:ascii="Times New Roman" w:hAnsi="Times New Roman" w:eastAsia="宋体" w:cs="Times New Roman"/>
                <w:b w:val="0"/>
                <w:bCs/>
                <w:color w:val="auto"/>
                <w:sz w:val="21"/>
                <w:szCs w:val="21"/>
                <w:highlight w:val="none"/>
                <w:lang w:val="en-US" w:eastAsia="zh-CN"/>
              </w:rPr>
              <w:t>增加充装前、后检查功能</w:t>
            </w:r>
            <w:bookmarkEnd w:id="575"/>
          </w:p>
        </w:tc>
        <w:tc>
          <w:tcPr>
            <w:tcW w:w="6700" w:type="dxa"/>
            <w:vAlign w:val="center"/>
          </w:tcPr>
          <w:p w14:paraId="5012D639">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color w:val="auto"/>
                <w:sz w:val="21"/>
                <w:szCs w:val="21"/>
                <w:highlight w:val="none"/>
                <w:lang w:val="en" w:eastAsia="zh-CN"/>
              </w:rPr>
              <w:t>4.</w:t>
            </w: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增加手持机功能模块，完成充装前、后检查电子记录功能，利用手持机记录充装前后检查内容后形成充装前后检查的电子记录，随同充装记录一起上传至站控系统和智慧监管系统，取代以往的纸制充装前后检查记录。</w:t>
            </w:r>
          </w:p>
        </w:tc>
      </w:tr>
      <w:tr w14:paraId="6F29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14:paraId="78EEBFB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258" w:type="dxa"/>
            <w:vAlign w:val="center"/>
          </w:tcPr>
          <w:p w14:paraId="463B98B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576" w:name="_Hlk193294748"/>
            <w:bookmarkStart w:id="577" w:name="_Toc218020460"/>
            <w:r>
              <w:rPr>
                <w:rFonts w:hint="default" w:ascii="Times New Roman" w:hAnsi="Times New Roman" w:eastAsia="宋体" w:cs="Times New Roman"/>
                <w:b w:val="0"/>
                <w:bCs/>
                <w:color w:val="auto"/>
                <w:sz w:val="21"/>
                <w:szCs w:val="21"/>
                <w:highlight w:val="none"/>
                <w:lang w:val="en-US" w:eastAsia="zh-CN"/>
              </w:rPr>
              <w:t>增加</w:t>
            </w:r>
            <w:bookmarkStart w:id="578" w:name="_Hlk193706700"/>
            <w:r>
              <w:rPr>
                <w:rFonts w:hint="default" w:ascii="Times New Roman" w:hAnsi="Times New Roman" w:eastAsia="宋体" w:cs="Times New Roman"/>
                <w:b w:val="0"/>
                <w:bCs/>
                <w:color w:val="auto"/>
                <w:sz w:val="21"/>
                <w:szCs w:val="21"/>
                <w:highlight w:val="none"/>
                <w:lang w:val="en-US" w:eastAsia="zh-CN"/>
              </w:rPr>
              <w:t>外省车辆采集合规数据功能</w:t>
            </w:r>
            <w:bookmarkEnd w:id="576"/>
            <w:bookmarkEnd w:id="577"/>
            <w:bookmarkEnd w:id="578"/>
          </w:p>
        </w:tc>
        <w:tc>
          <w:tcPr>
            <w:tcW w:w="6700" w:type="dxa"/>
            <w:vAlign w:val="center"/>
          </w:tcPr>
          <w:p w14:paraId="150EC688">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color w:val="auto"/>
                <w:sz w:val="21"/>
                <w:szCs w:val="21"/>
                <w:highlight w:val="none"/>
                <w:lang w:val="en" w:eastAsia="zh-CN"/>
              </w:rPr>
              <w:t>5.</w:t>
            </w: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扫描疆外车辆车牌号后，由充装作业人员在手持机上录入该车辆气瓶使用登记信息和检验信息，上传完成后，完成充装前检查后，方可加气。登记证号，以非国标方式录入：仅可输入汉字、大写字母、数字、半角括号，不可特殊字符。过渡期内，通过短信提醒外省车辆完善使用登记信息。截止时间待定。每次加气，由操作人员核对登记证，录入信息。</w:t>
            </w:r>
          </w:p>
        </w:tc>
      </w:tr>
      <w:tr w14:paraId="4B86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14:paraId="4020813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258" w:type="dxa"/>
            <w:vAlign w:val="center"/>
          </w:tcPr>
          <w:p w14:paraId="001A3D1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579" w:name="_Toc218020461"/>
            <w:r>
              <w:rPr>
                <w:rFonts w:hint="default" w:ascii="Times New Roman" w:hAnsi="Times New Roman" w:eastAsia="宋体" w:cs="Times New Roman"/>
                <w:b w:val="0"/>
                <w:bCs/>
                <w:color w:val="auto"/>
                <w:sz w:val="21"/>
                <w:szCs w:val="21"/>
                <w:highlight w:val="none"/>
                <w:lang w:val="en-US" w:eastAsia="zh-CN"/>
              </w:rPr>
              <w:t>增加充装单位操作人员实名账户维护功能</w:t>
            </w:r>
            <w:bookmarkEnd w:id="579"/>
          </w:p>
        </w:tc>
        <w:tc>
          <w:tcPr>
            <w:tcW w:w="6700" w:type="dxa"/>
            <w:vAlign w:val="center"/>
          </w:tcPr>
          <w:p w14:paraId="2BFC74F5">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color w:val="auto"/>
                <w:sz w:val="21"/>
                <w:szCs w:val="21"/>
                <w:highlight w:val="none"/>
                <w:lang w:val="en" w:eastAsia="zh-CN"/>
              </w:rPr>
              <w:t>6.</w:t>
            </w: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充装单位在系统中建立本充装单位实名制验证账户，完善充装单位信息、许可资质信息和安全管理人员、充装作业人员（含充装前、后检查人员等）关键岗位人员信息。从事车用气瓶充装作业、充装前、后检查的人员采用人脸识别或身份证比对等方式登录操作手持机进行充装作业。</w:t>
            </w:r>
          </w:p>
        </w:tc>
      </w:tr>
      <w:tr w14:paraId="4AEC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79" w:type="dxa"/>
            <w:vMerge w:val="continue"/>
            <w:vAlign w:val="center"/>
          </w:tcPr>
          <w:p w14:paraId="2FC3199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258" w:type="dxa"/>
            <w:vAlign w:val="center"/>
          </w:tcPr>
          <w:p w14:paraId="6A9F01B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580" w:name="_Toc218020462"/>
            <w:r>
              <w:rPr>
                <w:rFonts w:hint="default" w:ascii="Times New Roman" w:hAnsi="Times New Roman" w:eastAsia="宋体" w:cs="Times New Roman"/>
                <w:b w:val="0"/>
                <w:bCs/>
                <w:color w:val="auto"/>
                <w:sz w:val="21"/>
                <w:szCs w:val="21"/>
                <w:highlight w:val="none"/>
                <w:lang w:val="en-US" w:eastAsia="zh-CN"/>
              </w:rPr>
              <w:t>增加数据统计</w:t>
            </w:r>
            <w:bookmarkStart w:id="581" w:name="_Hlk193708865"/>
            <w:r>
              <w:rPr>
                <w:rFonts w:hint="default" w:ascii="Times New Roman" w:hAnsi="Times New Roman" w:eastAsia="宋体" w:cs="Times New Roman"/>
                <w:b w:val="0"/>
                <w:bCs/>
                <w:color w:val="auto"/>
                <w:sz w:val="21"/>
                <w:szCs w:val="21"/>
                <w:highlight w:val="none"/>
                <w:lang w:val="en-US" w:eastAsia="zh-CN"/>
              </w:rPr>
              <w:t>智能化分析功能</w:t>
            </w:r>
            <w:bookmarkEnd w:id="580"/>
            <w:bookmarkEnd w:id="581"/>
          </w:p>
        </w:tc>
        <w:tc>
          <w:tcPr>
            <w:tcW w:w="6700" w:type="dxa"/>
            <w:vAlign w:val="center"/>
          </w:tcPr>
          <w:p w14:paraId="347F72D8">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color w:val="auto"/>
                <w:sz w:val="21"/>
                <w:szCs w:val="21"/>
                <w:highlight w:val="none"/>
                <w:lang w:val="en" w:eastAsia="zh-CN"/>
              </w:rPr>
              <w:t>7.</w:t>
            </w: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增加充装情况明细的数据统计智能化分析功能，包括同比、环比分析充装类型、充装量、操作人员等关键信息。增加异常数据复核机制，推送上级监管单位人工核查，避免误报影响正常充装作业。</w:t>
            </w:r>
          </w:p>
        </w:tc>
      </w:tr>
      <w:tr w14:paraId="1693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14:paraId="60D9C45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258" w:type="dxa"/>
            <w:vAlign w:val="center"/>
          </w:tcPr>
          <w:p w14:paraId="4E57D03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bookmarkStart w:id="582" w:name="_Toc218020463"/>
            <w:r>
              <w:rPr>
                <w:rFonts w:hint="default" w:ascii="Times New Roman" w:hAnsi="Times New Roman" w:eastAsia="宋体" w:cs="Times New Roman"/>
                <w:b w:val="0"/>
                <w:bCs/>
                <w:color w:val="auto"/>
                <w:sz w:val="21"/>
                <w:szCs w:val="21"/>
                <w:highlight w:val="none"/>
                <w:lang w:val="en-US" w:eastAsia="zh-CN"/>
              </w:rPr>
              <w:t>调整功能模块</w:t>
            </w:r>
            <w:bookmarkEnd w:id="582"/>
          </w:p>
        </w:tc>
        <w:tc>
          <w:tcPr>
            <w:tcW w:w="6700" w:type="dxa"/>
            <w:vAlign w:val="center"/>
          </w:tcPr>
          <w:p w14:paraId="35D94887">
            <w:pP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cs="Times New Roman"/>
                <w:b w:val="0"/>
                <w:bCs/>
                <w:color w:val="auto"/>
                <w:sz w:val="21"/>
                <w:szCs w:val="21"/>
                <w:highlight w:val="none"/>
                <w:lang w:val="en" w:eastAsia="zh-CN"/>
              </w:rPr>
              <w:t>8.</w:t>
            </w:r>
            <w:r>
              <w:rPr>
                <w:rFonts w:hint="default" w:ascii="Times New Roman" w:hAnsi="Times New Roman" w:eastAsia="宋体"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rPr>
              <w:t>对三大核心模块进行调整优化，加气车辆采用车牌识别验证方式，同时保留电子标签模式；数据传输加密方式调整为AES+HTTPS，与自治区特种设备安全智慧监管系统保持一致，停用原有SSLVPN。信息录入及更新优先从智慧监管系统获取数据，过渡期由相关单位人工录入。</w:t>
            </w:r>
          </w:p>
        </w:tc>
      </w:tr>
      <w:tr w14:paraId="1EA1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Align w:val="center"/>
          </w:tcPr>
          <w:p w14:paraId="738A92A9">
            <w:pPr>
              <w:widowControl/>
              <w:jc w:val="left"/>
              <w:rPr>
                <w:rFonts w:hint="default" w:ascii="Times New Roman" w:hAnsi="Times New Roman" w:eastAsia="宋体" w:cs="Times New Roman"/>
                <w:b w:val="0"/>
                <w:bCs/>
                <w:color w:val="auto"/>
                <w:kern w:val="2"/>
                <w:sz w:val="21"/>
                <w:szCs w:val="21"/>
                <w:highlight w:val="none"/>
                <w:vertAlign w:val="baseline"/>
                <w:lang w:val="en" w:eastAsia="zh-CN" w:bidi="ar-SA"/>
              </w:rPr>
            </w:pPr>
          </w:p>
        </w:tc>
        <w:tc>
          <w:tcPr>
            <w:tcW w:w="1258" w:type="dxa"/>
            <w:vAlign w:val="center"/>
          </w:tcPr>
          <w:p w14:paraId="25F2E537">
            <w:pPr>
              <w:widowControl/>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kern w:val="0"/>
                <w:sz w:val="21"/>
                <w:szCs w:val="21"/>
                <w:highlight w:val="none"/>
                <w:lang w:eastAsia="zh-CN"/>
              </w:rPr>
              <w:t>“扫码入企”相关配合工作</w:t>
            </w:r>
          </w:p>
        </w:tc>
        <w:tc>
          <w:tcPr>
            <w:tcW w:w="6700" w:type="dxa"/>
            <w:vAlign w:val="center"/>
          </w:tcPr>
          <w:p w14:paraId="68D63BE2">
            <w:pPr>
              <w:widowControl/>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kern w:val="0"/>
                <w:sz w:val="21"/>
                <w:szCs w:val="21"/>
                <w:highlight w:val="none"/>
                <w:lang w:val="en" w:eastAsia="zh-CN"/>
              </w:rPr>
              <w:t>9.</w:t>
            </w:r>
            <w:r>
              <w:rPr>
                <w:rFonts w:hint="default" w:ascii="Times New Roman" w:hAnsi="Times New Roman" w:cs="Times New Roman"/>
                <w:color w:val="auto"/>
                <w:kern w:val="0"/>
                <w:sz w:val="21"/>
                <w:szCs w:val="21"/>
                <w:highlight w:val="none"/>
                <w:lang w:val="en-US" w:eastAsia="zh-CN"/>
              </w:rPr>
              <w:t>按数字化发展局明确的贯通业务系统和技术标准要求，</w:t>
            </w:r>
            <w:r>
              <w:rPr>
                <w:rFonts w:hint="default" w:ascii="Times New Roman" w:hAnsi="Times New Roman" w:cs="Times New Roman"/>
                <w:color w:val="auto"/>
                <w:kern w:val="0"/>
                <w:sz w:val="21"/>
                <w:szCs w:val="21"/>
                <w:highlight w:val="none"/>
              </w:rPr>
              <w:t>做好</w:t>
            </w:r>
            <w:r>
              <w:rPr>
                <w:rFonts w:hint="default" w:ascii="Times New Roman" w:hAnsi="Times New Roman" w:cs="Times New Roman"/>
                <w:color w:val="auto"/>
                <w:kern w:val="0"/>
                <w:sz w:val="21"/>
                <w:szCs w:val="21"/>
                <w:highlight w:val="none"/>
                <w:lang w:eastAsia="zh-CN"/>
              </w:rPr>
              <w:t>与自治区“扫码入企”平台、“新企办”“新服办”的接口开发工作，实现本系统数据共享。</w:t>
            </w:r>
          </w:p>
        </w:tc>
      </w:tr>
    </w:tbl>
    <w:p w14:paraId="71FE1028">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16.智慧监管指挥调度子系统</w:t>
      </w:r>
    </w:p>
    <w:tbl>
      <w:tblPr>
        <w:tblStyle w:val="41"/>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135"/>
        <w:gridCol w:w="6272"/>
      </w:tblGrid>
      <w:tr w14:paraId="1E27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88" w:type="dxa"/>
            <w:vAlign w:val="center"/>
          </w:tcPr>
          <w:p w14:paraId="6D8423C6">
            <w:pPr>
              <w:wordWrap w:val="0"/>
              <w:jc w:val="center"/>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系统名称</w:t>
            </w:r>
          </w:p>
        </w:tc>
        <w:tc>
          <w:tcPr>
            <w:tcW w:w="1200" w:type="dxa"/>
            <w:vAlign w:val="center"/>
          </w:tcPr>
          <w:p w14:paraId="0A4BD38B">
            <w:pPr>
              <w:wordWrap w:val="0"/>
              <w:jc w:val="center"/>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模块名称</w:t>
            </w:r>
          </w:p>
        </w:tc>
        <w:tc>
          <w:tcPr>
            <w:tcW w:w="6825" w:type="dxa"/>
            <w:vAlign w:val="center"/>
          </w:tcPr>
          <w:p w14:paraId="3012F321">
            <w:pPr>
              <w:wordWrap w:val="0"/>
              <w:jc w:val="center"/>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规格参数</w:t>
            </w:r>
          </w:p>
        </w:tc>
      </w:tr>
      <w:tr w14:paraId="746D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restart"/>
            <w:vAlign w:val="center"/>
          </w:tcPr>
          <w:p w14:paraId="34F5DF19">
            <w:pPr>
              <w:wordWrap w:val="0"/>
              <w:jc w:val="center"/>
              <w:rPr>
                <w:rFonts w:hint="default" w:ascii="Times New Roman" w:hAnsi="Times New Roman" w:cs="Times New Roman"/>
                <w:bCs/>
                <w:sz w:val="21"/>
                <w:szCs w:val="21"/>
                <w:highlight w:val="none"/>
              </w:rPr>
            </w:pPr>
            <w:r>
              <w:rPr>
                <w:rFonts w:hint="default" w:ascii="Times New Roman" w:hAnsi="Times New Roman" w:cs="Times New Roman"/>
                <w:bCs/>
                <w:kern w:val="0"/>
                <w:sz w:val="21"/>
                <w:szCs w:val="21"/>
                <w:highlight w:val="none"/>
              </w:rPr>
              <w:t>特种设备安全智慧监管系统-智慧监管指挥调度子系统</w:t>
            </w:r>
          </w:p>
        </w:tc>
        <w:tc>
          <w:tcPr>
            <w:tcW w:w="1200" w:type="dxa"/>
            <w:vAlign w:val="center"/>
          </w:tcPr>
          <w:p w14:paraId="354D34DD">
            <w:pPr>
              <w:wordWrap w:val="0"/>
              <w:jc w:val="center"/>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智慧监管指挥调度子系统</w:t>
            </w:r>
          </w:p>
        </w:tc>
        <w:tc>
          <w:tcPr>
            <w:tcW w:w="6825" w:type="dxa"/>
            <w:vAlign w:val="center"/>
          </w:tcPr>
          <w:p w14:paraId="652DD0A4">
            <w:pPr>
              <w:wordWrap w:val="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1.1监管可视分析</w:t>
            </w:r>
          </w:p>
          <w:p w14:paraId="4F2F3A48">
            <w:pPr>
              <w:wordWrap w:val="0"/>
              <w:ind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基于智慧监管大屏，连接市场监管大数据中心，运用大数据分析模型进行业务数据价值挖掘，及时掌握市场主体经营行为、规律与特征。基于不同业务数据指标与维度，按专题、成体系地综合汇集于大屏之上，依托大屏立体化、全局化、动态化展示。采用丰富多样的可视化呈现手段，从不同角度监测、分析数据，聚焦市场发展趋势与规律，全方位呈现动态感知、风险预警、综合研判能力。</w:t>
            </w:r>
          </w:p>
          <w:p w14:paraId="33EB94D1">
            <w:pPr>
              <w:wordWrap w:val="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1.2风险监测预警</w:t>
            </w:r>
          </w:p>
          <w:p w14:paraId="5C37307E">
            <w:pPr>
              <w:wordWrap w:val="0"/>
              <w:ind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利用各类涉企数据，汇集市场监管各方面的相关风险，分析存在的经营风险，信用风险、食品安全风险、产品质量风险、特种设备风险，辅助发现监管对象的多维度隐患，提升事前预警能力，支撑全区市场监管业务的动态监测，提高市场监督管理部门监管效率，形成社会治理的强大合力，为精准治理、科学决策和信用监管提供重要依据。</w:t>
            </w:r>
          </w:p>
          <w:p w14:paraId="7F66C982">
            <w:pPr>
              <w:wordWrap w:val="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1.3应急指挥调度</w:t>
            </w:r>
          </w:p>
          <w:p w14:paraId="07CCC7EB">
            <w:pPr>
              <w:wordWrap w:val="0"/>
              <w:ind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主要包含综合指挥调度管理、移动执法巡查巡检、应急指挥调度、视频会商协同、智能辅助决策、应急联动指挥，突出监管信息全面汇聚、快速展现、上传下达、协同会商、专题研判、指挥调度和辅助决策等支撑能力，通过多端融合、全程覆盖的应急指挥能力，实现区地县三级的应急实时指挥调度的纵向覆盖，提升基层人员应急指挥数字化水平。实现移动执法、巡查巡检以及应急响应等多场景、全流程管理，满足多维度、多层级、多场景的监管需求，有力辅助领导决策以及综合调度指挥，全面提升智慧监管效能。</w:t>
            </w:r>
          </w:p>
          <w:p w14:paraId="6CDE4A98">
            <w:pPr>
              <w:wordWrap w:val="0"/>
              <w:ind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根据会议需求和当前视频技术发展趋势，结合自治区市场监管局信息化现状，在现有区局机关至14个地州市视频会议专网的基础上，建设完善覆盖市场监管总局、自治区局、地州市局、县市区局四级市场监管视频会议系统，实现自治区局向下纵伸三级全覆盖，远程办会“零距离”，保障指挥调度、远程培训、应急巡查等终端视频互动协作，提升基层执行力。</w:t>
            </w:r>
          </w:p>
          <w:p w14:paraId="234862E3">
            <w:pPr>
              <w:wordWrap w:val="0"/>
              <w:ind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为全疆107个县（市、区）市场监管局部门，统一配置市场监管视频会议专线，通过专线网络将各参会方进行集中汇聚，实现音视频通信、数据交互、远程共享、业务培训等功能。配套相关云资源、云录像、云存储等软MCU设备，实现区局指挥调度中心与全疆各地市场监管部门的远程视频会议，提升全区远程培训、应急调度、协商决策的便捷性和效率性。</w:t>
            </w:r>
          </w:p>
          <w:p w14:paraId="1C9D2817">
            <w:pPr>
              <w:wordWrap w:val="0"/>
              <w:ind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在区局机关10楼建设智慧监管指挥调度子系统，配套进行地面、墙体、门窗、机房、家具桌椅等基础设施拆除、装饰装修和设备安装工作，为日常办公、会议、值班等活动提供场地。</w:t>
            </w:r>
          </w:p>
          <w:p w14:paraId="05B1F246">
            <w:pPr>
              <w:wordWrap w:val="0"/>
              <w:ind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装修本着实用的原则，使整体环境与原貌保持协调，搭配色调柔和、通透宽敞、庄重实用，达到现代化的装饰水平和视觉效果。</w:t>
            </w:r>
          </w:p>
          <w:p w14:paraId="23742533">
            <w:pPr>
              <w:wordWrap w:val="0"/>
              <w:ind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会议室多媒体音视频系统设计，按照“需求牵引、瞄准前沿、确保可行、利于发展”的思路，建设一套集日常会议、视频会议、多功能会议为一体的会议室，确保设计理念先进、系统稳定、功能完善、指挥高效。</w:t>
            </w:r>
          </w:p>
          <w:p w14:paraId="4C6E302A">
            <w:pPr>
              <w:wordWrap w:val="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1.4视频会议专线</w:t>
            </w:r>
          </w:p>
          <w:p w14:paraId="1361E0A6">
            <w:pPr>
              <w:wordWrap w:val="0"/>
              <w:ind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根据会议需求和当前视频技术发展趋势，结合自治区市场监管局信息化现状，在现有区局机关至14个地州市视频会议专网的基础上，建设完善覆盖市场监管总局、自治区局、地州市局、县市区局四级市场监管视频会议系统，实现自治区局向下纵伸三级全覆盖，远程办会“零距离”，保障指挥调度、远程培训、应急巡查等终端视频互动协作，提升基层执行力。</w:t>
            </w:r>
          </w:p>
          <w:p w14:paraId="0DE1108B">
            <w:pPr>
              <w:wordWrap w:val="0"/>
              <w:ind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为全疆107个县（市、区）市场监管局部门，统一配置市场监管视频会议专线，通过专线网络将各参会方进行集中汇聚，实现音视频通信、数据交互、远程共享、业务培训等功能。配套相关云资源、云录像、云存储等软MCU设备，实现区局指挥调度中心与全疆各地市场监管部门的远程视频会议，提升全区远程培训、应急调度、协商决策的便捷性和效率性。</w:t>
            </w:r>
          </w:p>
        </w:tc>
      </w:tr>
      <w:tr w14:paraId="55D1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88" w:type="dxa"/>
            <w:vMerge w:val="continue"/>
            <w:vAlign w:val="center"/>
          </w:tcPr>
          <w:p w14:paraId="27822F49">
            <w:pPr>
              <w:wordWrap w:val="0"/>
              <w:jc w:val="center"/>
              <w:rPr>
                <w:rFonts w:hint="default" w:ascii="Times New Roman" w:hAnsi="Times New Roman" w:cs="Times New Roman"/>
                <w:bCs/>
                <w:kern w:val="0"/>
                <w:sz w:val="22"/>
                <w:szCs w:val="22"/>
                <w:highlight w:val="none"/>
              </w:rPr>
            </w:pPr>
          </w:p>
        </w:tc>
        <w:tc>
          <w:tcPr>
            <w:tcW w:w="1200" w:type="dxa"/>
            <w:vAlign w:val="center"/>
          </w:tcPr>
          <w:p w14:paraId="09300EAC">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视频监控</w:t>
            </w:r>
          </w:p>
        </w:tc>
        <w:tc>
          <w:tcPr>
            <w:tcW w:w="6825" w:type="dxa"/>
            <w:vAlign w:val="center"/>
          </w:tcPr>
          <w:p w14:paraId="41351FDE">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 w:eastAsia="zh-CN"/>
              </w:rPr>
              <w:t>2.</w:t>
            </w:r>
            <w:r>
              <w:rPr>
                <w:rFonts w:hint="default" w:ascii="Times New Roman" w:hAnsi="Times New Roman" w:eastAsia="宋体" w:cs="Times New Roman"/>
                <w:b w:val="0"/>
                <w:bCs/>
                <w:color w:val="auto"/>
                <w:sz w:val="21"/>
                <w:szCs w:val="21"/>
                <w:highlight w:val="none"/>
                <w:lang w:val="en-US" w:eastAsia="zh-CN"/>
              </w:rPr>
              <w:t>支持接入监控设备的视频浏览、位置展示、云台控制、录像回放等功能。实现整合网络摄像头、执法仪监控等接入监控平台的终端监控画面，实现对视频监控的多网络、多制式的融合。可以通过融合通信平台调阅所有视频监控。支持实时查看各种终端设备的视频画面；在地图上实时定位展示设备所在的位置；</w:t>
            </w:r>
          </w:p>
        </w:tc>
      </w:tr>
      <w:tr w14:paraId="4F43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88" w:type="dxa"/>
            <w:vMerge w:val="continue"/>
            <w:vAlign w:val="center"/>
          </w:tcPr>
          <w:p w14:paraId="46C4766C">
            <w:pPr>
              <w:wordWrap w:val="0"/>
              <w:jc w:val="center"/>
              <w:rPr>
                <w:rFonts w:hint="default" w:ascii="Times New Roman" w:hAnsi="Times New Roman" w:cs="Times New Roman"/>
                <w:bCs/>
                <w:kern w:val="0"/>
                <w:sz w:val="22"/>
                <w:szCs w:val="22"/>
                <w:highlight w:val="none"/>
              </w:rPr>
            </w:pPr>
          </w:p>
        </w:tc>
        <w:tc>
          <w:tcPr>
            <w:tcW w:w="1200" w:type="dxa"/>
            <w:vAlign w:val="center"/>
          </w:tcPr>
          <w:p w14:paraId="33678300">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视频会议</w:t>
            </w:r>
          </w:p>
        </w:tc>
        <w:tc>
          <w:tcPr>
            <w:tcW w:w="6825" w:type="dxa"/>
            <w:vAlign w:val="center"/>
          </w:tcPr>
          <w:p w14:paraId="63EF163D">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3.</w:t>
            </w:r>
            <w:r>
              <w:rPr>
                <w:rFonts w:hint="eastAsia" w:ascii="Times New Roman" w:cs="Times New Roman"/>
                <w:b w:val="0"/>
                <w:bCs/>
                <w:color w:val="auto"/>
                <w:sz w:val="21"/>
                <w:szCs w:val="21"/>
                <w:highlight w:val="none"/>
                <w:lang w:val="en-US" w:eastAsia="zh-CN"/>
              </w:rPr>
              <w:t>.1</w:t>
            </w:r>
            <w:r>
              <w:rPr>
                <w:rFonts w:hint="default" w:ascii="Times New Roman" w:hAnsi="Times New Roman" w:eastAsia="宋体" w:cs="Times New Roman"/>
                <w:b w:val="0"/>
                <w:bCs/>
                <w:color w:val="auto"/>
                <w:sz w:val="21"/>
                <w:szCs w:val="21"/>
                <w:highlight w:val="none"/>
                <w:lang w:val="en" w:eastAsia="zh-CN"/>
              </w:rPr>
              <w:t>整体要求：</w:t>
            </w:r>
          </w:p>
          <w:p w14:paraId="40889566">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1</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.本项目不建设视频平台，由投标人提供视频平台服务，平台服务的容量与规格需求如下：</w:t>
            </w:r>
          </w:p>
          <w:p w14:paraId="1330005A">
            <w:pPr>
              <w:bidi w:val="0"/>
              <w:rPr>
                <w:rFonts w:hint="default" w:ascii="Times New Roman" w:hAnsi="Times New Roman" w:eastAsia="宋体" w:cs="Times New Roman"/>
                <w:b w:val="0"/>
                <w:bCs/>
                <w:color w:val="auto"/>
                <w:sz w:val="21"/>
                <w:szCs w:val="21"/>
                <w:highlight w:val="none"/>
                <w:lang w:val="en" w:eastAsia="zh-CN"/>
              </w:rPr>
            </w:pPr>
            <w:r>
              <w:rPr>
                <w:rFonts w:hint="eastAsia" w:ascii="Times New Roman" w:cs="Times New Roman"/>
                <w:b w:val="0"/>
                <w:bCs/>
                <w:color w:val="auto"/>
                <w:sz w:val="21"/>
                <w:szCs w:val="21"/>
                <w:highlight w:val="none"/>
                <w:lang w:val="en" w:eastAsia="zh-CN"/>
              </w:rPr>
              <w:t>（</w:t>
            </w:r>
            <w:r>
              <w:rPr>
                <w:rFonts w:hint="eastAsia" w:ascii="Times New Roman" w:cs="Times New Roman"/>
                <w:b w:val="0"/>
                <w:bCs/>
                <w:color w:val="auto"/>
                <w:sz w:val="21"/>
                <w:szCs w:val="21"/>
                <w:highlight w:val="none"/>
                <w:lang w:val="en-US" w:eastAsia="zh-CN"/>
              </w:rPr>
              <w:t>1</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配置≥10000个用户注册管理能力，需提供1个不少于400方的会接入能力，不少14个100方的会议接入能力。；</w:t>
            </w:r>
          </w:p>
          <w:p w14:paraId="75B62550">
            <w:pPr>
              <w:bidi w:val="0"/>
              <w:rPr>
                <w:rFonts w:hint="default" w:ascii="Times New Roman" w:hAnsi="Times New Roman" w:eastAsia="宋体" w:cs="Times New Roman"/>
                <w:b w:val="0"/>
                <w:bCs/>
                <w:color w:val="auto"/>
                <w:sz w:val="21"/>
                <w:szCs w:val="21"/>
                <w:highlight w:val="none"/>
                <w:lang w:val="en" w:eastAsia="zh-CN"/>
              </w:rPr>
            </w:pPr>
            <w:r>
              <w:rPr>
                <w:rFonts w:hint="eastAsia" w:ascii="Times New Roman" w:cs="Times New Roman"/>
                <w:b w:val="0"/>
                <w:bCs/>
                <w:color w:val="auto"/>
                <w:sz w:val="21"/>
                <w:szCs w:val="21"/>
                <w:highlight w:val="none"/>
                <w:lang w:val="en" w:eastAsia="zh-CN"/>
              </w:rPr>
              <w:t>（</w:t>
            </w:r>
            <w:r>
              <w:rPr>
                <w:rFonts w:hint="eastAsia" w:ascii="Times New Roman" w:cs="Times New Roman"/>
                <w:b w:val="0"/>
                <w:bCs/>
                <w:color w:val="auto"/>
                <w:sz w:val="21"/>
                <w:szCs w:val="21"/>
                <w:highlight w:val="none"/>
                <w:lang w:val="en-US" w:eastAsia="zh-CN"/>
              </w:rPr>
              <w:t>2</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配置≥10组高清1080P多分屏视频会议并发录制能力以及≥1000G的录制存储空间；</w:t>
            </w:r>
          </w:p>
          <w:p w14:paraId="4D68AD04">
            <w:pPr>
              <w:bidi w:val="0"/>
              <w:rPr>
                <w:rFonts w:hint="default" w:ascii="Times New Roman" w:hAnsi="Times New Roman" w:eastAsia="宋体" w:cs="Times New Roman"/>
                <w:b w:val="0"/>
                <w:bCs/>
                <w:color w:val="auto"/>
                <w:sz w:val="21"/>
                <w:szCs w:val="21"/>
                <w:highlight w:val="none"/>
                <w:lang w:val="en" w:eastAsia="zh-CN"/>
              </w:rPr>
            </w:pPr>
            <w:r>
              <w:rPr>
                <w:rFonts w:hint="eastAsia" w:ascii="Times New Roman" w:cs="Times New Roman"/>
                <w:b w:val="0"/>
                <w:bCs/>
                <w:color w:val="auto"/>
                <w:sz w:val="21"/>
                <w:szCs w:val="21"/>
                <w:highlight w:val="none"/>
                <w:lang w:val="en" w:eastAsia="zh-CN"/>
              </w:rPr>
              <w:t>（</w:t>
            </w:r>
            <w:r>
              <w:rPr>
                <w:rFonts w:hint="eastAsia" w:ascii="Times New Roman" w:cs="Times New Roman"/>
                <w:b w:val="0"/>
                <w:bCs/>
                <w:color w:val="auto"/>
                <w:sz w:val="21"/>
                <w:szCs w:val="21"/>
                <w:highlight w:val="none"/>
                <w:lang w:val="en-US" w:eastAsia="zh-CN"/>
              </w:rPr>
              <w:t>3</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服务期限≥3年。</w:t>
            </w:r>
          </w:p>
          <w:p w14:paraId="2D2F0A43">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投标人提供以上容量与规格需求的配置承诺函。</w:t>
            </w:r>
          </w:p>
          <w:p w14:paraId="3A78AAAF">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2</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.支持H.264SVC、H.265SVC等视频编解码协议，支持Opus、G.722.1C、G.722等音频编解码协议。</w:t>
            </w:r>
          </w:p>
          <w:p w14:paraId="750A4F37">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3</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在网络丢包率50%时，音视频清晰流畅无卡顿现象（帧率不低于30帧/秒）；在丢包率60%时，语音仍清晰流畅。提供国家认可的第三方检测机构出具的带有CMA或CNAS标识的检测报告扫描件且在报告中能清晰标注上述功能</w:t>
            </w:r>
          </w:p>
          <w:p w14:paraId="3D43A7C1">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4</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低带宽能力：在2Mbps会议速率下支持人物画面与内容画面同时传输4K30fps分辨率图像，声音图像应清晰流畅；在1Mbps会议速率下支持4K30fps音视频图像正常传输，声音图像应清晰流畅。提供国家认可的第三方检测机构出具的带有CMA或CNAS标识的检测报告扫描件且在报告中能清晰标注上述功能</w:t>
            </w:r>
          </w:p>
          <w:p w14:paraId="00BC6213">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5</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系统应允许多个会场终端在同一会议中同时发送辅流，至少支持≥40个会场同时发送辅流。会控管理员可根据实际需求灵活切换和查看不同的辅流内容，且辅流分辨率高达4K30fps，确保高质量的音视频体验。提供国家认可的第三方检测机构出具的带有CMA或CNAS标识的检测报告扫描件且在报告中能清晰标注上述功能</w:t>
            </w:r>
          </w:p>
          <w:p w14:paraId="3DEB8BB3">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6</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视频画面经过本地采集与编码并由网络传输至MCU平台，再分发至接收会场。接收会场进行实时解码与显示输出，全程时延应≤100ms。提供国家认可的第三方检测机构出具的带有CMA或CNAS标识的检测报告扫描件且在报告中能清晰标注上述功能</w:t>
            </w:r>
          </w:p>
          <w:p w14:paraId="02D2B674">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7</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.支持对通讯录进行统一管理，可以建立多级组织部门树，支持分级分权管理，可以设定下级管理员管理范围与管理权限。</w:t>
            </w:r>
          </w:p>
          <w:p w14:paraId="323C8AA5">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8</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.可以设置通讯录隐藏规则，即设置被隐藏的部门、用户或终端不在通讯录显示，可对隐藏规则设置白名单。</w:t>
            </w:r>
          </w:p>
          <w:p w14:paraId="3D9DB0FF">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9</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.可以设置限制查看规则，被限制查看的部门、用户或终端只能查看指定范围通讯录。</w:t>
            </w:r>
          </w:p>
          <w:p w14:paraId="38B830AC">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10</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.可以在管理平台设置对指定用户信息手机号码隐藏，被隐藏手机号码除了在管理平台通讯录可见，在各终端上的通讯录、呼叫记录将都不呈现。</w:t>
            </w:r>
          </w:p>
          <w:p w14:paraId="4C11EA6D">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11</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.参会人和终端设备可以按入会顺序列表显示，也可以按照通讯录架构列表显示。</w:t>
            </w:r>
          </w:p>
          <w:p w14:paraId="002EA3AE">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12</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.支持查看已入会终端的音频质量、视频质量和网络质量，可以显示终端带宽占用、丢包率、抖动，时延、接收和发送的图像分辨率和帧率等，并以趋势图的形式展示。</w:t>
            </w:r>
          </w:p>
          <w:p w14:paraId="3CD23AB3">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13</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管理员可对接入平台的参会终端进行在线巡检，通过巡检判断终端的麦克风、扬声器、网络、摄像头状态，每个参会终端自动巡检完成后应在其显示器上呈现检测结果，后台管理人员可以从会管界面统一导出各终端检测结果。提供国家认可的第三方检测机构出具的带有CMA或CNAS标识的检测报告扫描件关键页且在报告中能清晰标注上述功能</w:t>
            </w:r>
          </w:p>
          <w:p w14:paraId="771AEB4D">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14</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资源池内单台MCU出现宕机情况时，能够自动切换到池内其他正常的MCU，自动切换时间应≤3秒，会议可恢复正常。提供国家认可的第三方检测机构出具的带有CMA或CNAS标识的检测报告扫描件关键页且在报告中能清晰标注上述功能</w:t>
            </w:r>
          </w:p>
          <w:p w14:paraId="4C6470BA">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15</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.平台通过网络安全等级保护第三级测评。提供测评报告关键页，提供备案证明为无效佐证。</w:t>
            </w:r>
          </w:p>
          <w:p w14:paraId="6481FAEF">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16</w:t>
            </w:r>
            <w:r>
              <w:rPr>
                <w:rFonts w:hint="eastAsia" w:ascii="Times New Roman" w:cs="Times New Roman"/>
                <w:b w:val="0"/>
                <w:bCs/>
                <w:color w:val="auto"/>
                <w:sz w:val="21"/>
                <w:szCs w:val="21"/>
                <w:highlight w:val="none"/>
                <w:lang w:val="en" w:eastAsia="zh-CN"/>
              </w:rPr>
              <w:t>）</w:t>
            </w:r>
            <w:r>
              <w:rPr>
                <w:rFonts w:hint="default" w:ascii="Times New Roman" w:hAnsi="Times New Roman" w:eastAsia="宋体" w:cs="Times New Roman"/>
                <w:b w:val="0"/>
                <w:bCs/>
                <w:color w:val="auto"/>
                <w:sz w:val="21"/>
                <w:szCs w:val="21"/>
                <w:highlight w:val="none"/>
                <w:lang w:val="en" w:eastAsia="zh-CN"/>
              </w:rPr>
              <w:t>.可以为第三方应用提供完善的API，在第三方应用APP中集成系统所提供的音视频通话能力。</w:t>
            </w:r>
          </w:p>
          <w:p w14:paraId="485FA9D7">
            <w:pPr>
              <w:bidi w:val="0"/>
              <w:rPr>
                <w:rFonts w:hint="default" w:ascii="Times New Roman" w:hAnsi="Times New Roman" w:eastAsia="宋体" w:cs="Times New Roman"/>
                <w:b w:val="0"/>
                <w:bCs/>
                <w:color w:val="auto"/>
                <w:sz w:val="21"/>
                <w:szCs w:val="21"/>
                <w:highlight w:val="none"/>
                <w:lang w:val="en" w:eastAsia="zh-CN"/>
              </w:rPr>
            </w:pPr>
            <w:r>
              <w:rPr>
                <w:rFonts w:hint="eastAsia" w:ascii="Times New Roman" w:cs="Times New Roman"/>
                <w:b w:val="0"/>
                <w:bCs/>
                <w:color w:val="auto"/>
                <w:sz w:val="21"/>
                <w:szCs w:val="21"/>
                <w:highlight w:val="none"/>
                <w:lang w:val="en-US" w:eastAsia="zh-CN"/>
              </w:rPr>
              <w:t>3.2</w:t>
            </w:r>
            <w:r>
              <w:rPr>
                <w:rFonts w:hint="default" w:ascii="Times New Roman" w:hAnsi="Times New Roman" w:eastAsia="宋体" w:cs="Times New Roman"/>
                <w:b w:val="0"/>
                <w:bCs/>
                <w:color w:val="auto"/>
                <w:sz w:val="21"/>
                <w:szCs w:val="21"/>
                <w:highlight w:val="none"/>
                <w:lang w:val="en" w:eastAsia="zh-CN"/>
              </w:rPr>
              <w:t>、会议控制部分</w:t>
            </w:r>
          </w:p>
          <w:p w14:paraId="4856F0F0">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1</w:t>
            </w:r>
            <w:r>
              <w:rPr>
                <w:rFonts w:hint="eastAsia" w:asci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 w:eastAsia="zh-CN"/>
              </w:rPr>
              <w:t>.支持在会议中发起签到，可以自动统计签到结果。</w:t>
            </w:r>
          </w:p>
          <w:p w14:paraId="1A1F1ED1">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2</w:t>
            </w:r>
            <w:r>
              <w:rPr>
                <w:rFonts w:hint="eastAsia" w:asci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 w:eastAsia="zh-CN"/>
              </w:rPr>
              <w:t>.支持在会议中发起答题，平台可以统计并公布答题结果。提供国家认可的第三方检测机构出具的带有CMA或CNAS标识的检测报告扫描件关键页证明材料和功能应用截图</w:t>
            </w:r>
          </w:p>
          <w:p w14:paraId="5D5C7CE9">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3</w:t>
            </w:r>
            <w:r>
              <w:rPr>
                <w:rFonts w:hint="eastAsia" w:asci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 w:eastAsia="zh-CN"/>
              </w:rPr>
              <w:t>.支持在会议中发起投票，平台可以自动完成投票统计和结果导出。提供国家认可的第三方检测机构出具的带有CMA或CNAS标识的检测报告扫描件关键页证明材料和功能应用截图</w:t>
            </w:r>
          </w:p>
          <w:p w14:paraId="29BA4EB2">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4</w:t>
            </w:r>
            <w:r>
              <w:rPr>
                <w:rFonts w:hint="eastAsia" w:asci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 w:eastAsia="zh-CN"/>
              </w:rPr>
              <w:t>.支持在会议中发起问卷调查，入会硬件终端可以显示问卷调查二维码，参会人员可以通过手机视频会议软件客户端扫码参与问卷调查，软件终端可以接收问卷信息并填写问卷调查，可以自动统计问卷调查数据。提供国家认可的第三方检测机构出具的带有CMA或CNAS标识的检测报告扫描件关键页证明材料和功能应用截图</w:t>
            </w:r>
          </w:p>
          <w:p w14:paraId="0D05F702">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6</w:t>
            </w:r>
            <w:r>
              <w:rPr>
                <w:rFonts w:hint="eastAsia" w:asci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 w:eastAsia="zh-CN"/>
              </w:rPr>
              <w:t>.多视多流能力要求：系统启用此功能后，终端能够发送多视多流数据。终端可以同时将4路本地视频图像编码为四个独立的视频流，并实时传输至各个远端会场。远端会场的终端用户可根据需求，自由选择放大查看这4路视频中的任意一路，或者选择观看经过合成的4分屏画面，实现灵活多样的视频展示方式。提供国家认可的第三方检测机构出具的带有CMA或CNAS标识的检测报告扫描件关键页且在报告中能清晰标注上述功能</w:t>
            </w:r>
          </w:p>
          <w:p w14:paraId="6032E4A7">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7</w:t>
            </w:r>
            <w:r>
              <w:rPr>
                <w:rFonts w:hint="eastAsia" w:asci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 w:eastAsia="zh-CN"/>
              </w:rPr>
              <w:t>.定制化会控界面要求：可以在会控界面自定义设置常用功能按钮，例如录制、锁定会议、排序、点名、发送字幕等功能。便于实现便捷操作。提供国家认可的第三方检测机构出具的带有CMA或CNAS标识的检测报告扫描件关键页以及功能应用截图</w:t>
            </w:r>
          </w:p>
          <w:p w14:paraId="4566A14C">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8.</w:t>
            </w:r>
            <w:r>
              <w:rPr>
                <w:rFonts w:hint="eastAsia" w:asci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 w:eastAsia="zh-CN"/>
              </w:rPr>
              <w:t>多个会场终端同时发送辅流，系统可以配置启用允许一个会议中多个成员同时发送辅流。会控管理员可对所有正在共享的内容进行实时预览并进行广播，会控管理员可实时掌握共享的内容是否正确或状态是否正常。提供功能应用截图等证明材料。</w:t>
            </w:r>
          </w:p>
          <w:p w14:paraId="627692DD">
            <w:pPr>
              <w:bidi w:val="0"/>
              <w:rPr>
                <w:rFonts w:hint="default" w:ascii="Times New Roman" w:hAnsi="Times New Roman" w:eastAsia="宋体" w:cs="Times New Roman"/>
                <w:b w:val="0"/>
                <w:bCs/>
                <w:color w:val="auto"/>
                <w:sz w:val="21"/>
                <w:szCs w:val="21"/>
                <w:highlight w:val="none"/>
                <w:lang w:val="en" w:eastAsia="zh-CN"/>
              </w:rPr>
            </w:pPr>
            <w:r>
              <w:rPr>
                <w:rFonts w:hint="default" w:ascii="Times New Roman" w:hAnsi="Times New Roman" w:eastAsia="宋体" w:cs="Times New Roman"/>
                <w:b w:val="0"/>
                <w:bCs/>
                <w:color w:val="auto"/>
                <w:sz w:val="21"/>
                <w:szCs w:val="21"/>
                <w:highlight w:val="none"/>
                <w:lang w:val="en" w:eastAsia="zh-CN"/>
              </w:rPr>
              <w:t>9</w:t>
            </w:r>
            <w:r>
              <w:rPr>
                <w:rFonts w:hint="eastAsia" w:asci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 w:eastAsia="zh-CN"/>
              </w:rPr>
              <w:t>.轮询过程中，如果有成员摄像头未开启，轮询过程中可自动跳过，保持会议展现最佳显示效果。提供国家认可的第三方检测机构出具的带有CMA或CNAS标识的检测报告扫描件关键页且在报告中能清晰标注上述功能</w:t>
            </w:r>
          </w:p>
          <w:p w14:paraId="72501BF8">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 w:eastAsia="zh-CN"/>
              </w:rPr>
              <w:t>10</w:t>
            </w:r>
            <w:r>
              <w:rPr>
                <w:rFonts w:hint="eastAsia" w:asci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 w:eastAsia="zh-CN"/>
              </w:rPr>
              <w:t>.管理员赋予会议保障人员的会议预监权限后，会议保障人员可在会控界面以多分屏的方式查看各个参会会场的实时画面情况，满足会议保障需求。支持最高9分屏多画面显示，可通过翻页的方式查看更多会场画面，支持双击放大查看和全屏查看某一窗口画面</w:t>
            </w:r>
            <w:r>
              <w:rPr>
                <w:rFonts w:hint="eastAsia" w:ascii="Times New Roman" w:cs="Times New Roman"/>
                <w:b w:val="0"/>
                <w:bCs/>
                <w:color w:val="auto"/>
                <w:sz w:val="21"/>
                <w:szCs w:val="21"/>
                <w:highlight w:val="none"/>
                <w:lang w:val="en" w:eastAsia="zh-CN"/>
              </w:rPr>
              <w:t>。</w:t>
            </w:r>
          </w:p>
        </w:tc>
      </w:tr>
      <w:tr w14:paraId="3AA8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88" w:type="dxa"/>
            <w:vMerge w:val="continue"/>
            <w:vAlign w:val="center"/>
          </w:tcPr>
          <w:p w14:paraId="51956C8F">
            <w:pPr>
              <w:wordWrap w:val="0"/>
              <w:jc w:val="center"/>
              <w:rPr>
                <w:rFonts w:hint="default" w:ascii="Times New Roman" w:hAnsi="Times New Roman" w:cs="Times New Roman"/>
                <w:bCs/>
                <w:kern w:val="0"/>
                <w:sz w:val="22"/>
                <w:szCs w:val="22"/>
                <w:highlight w:val="none"/>
              </w:rPr>
            </w:pPr>
          </w:p>
        </w:tc>
        <w:tc>
          <w:tcPr>
            <w:tcW w:w="1200" w:type="dxa"/>
            <w:vAlign w:val="center"/>
          </w:tcPr>
          <w:p w14:paraId="30C5E878">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会议融合</w:t>
            </w:r>
          </w:p>
        </w:tc>
        <w:tc>
          <w:tcPr>
            <w:tcW w:w="6825" w:type="dxa"/>
            <w:vAlign w:val="center"/>
          </w:tcPr>
          <w:p w14:paraId="4991F23B">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 w:eastAsia="zh-CN"/>
              </w:rPr>
              <w:t>4.</w:t>
            </w:r>
            <w:r>
              <w:rPr>
                <w:rFonts w:hint="default" w:ascii="Times New Roman" w:hAnsi="Times New Roman" w:eastAsia="宋体" w:cs="Times New Roman"/>
                <w:b w:val="0"/>
                <w:bCs/>
                <w:color w:val="auto"/>
                <w:sz w:val="21"/>
                <w:szCs w:val="21"/>
                <w:highlight w:val="none"/>
                <w:lang w:val="en-US" w:eastAsia="zh-CN"/>
              </w:rPr>
              <w:t>融合指定同厂家及型号终端并将现场的4G\5G执法记录仪进行移动单兵实时视频回传，支持历史视频回放和音视频通话。</w:t>
            </w:r>
          </w:p>
          <w:p w14:paraId="791D7218">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视频会议支持4/5G执法仪调度，可通过4G/5G执法仪进行单兵实时视频回传。</w:t>
            </w:r>
          </w:p>
          <w:p w14:paraId="65869F99">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在召开视频会议时可任意选取4G/5G执法仪画面，将4G/5G执法仪呼到会议中，实现4G/5G执法仪融合指挥调度。</w:t>
            </w:r>
          </w:p>
        </w:tc>
      </w:tr>
      <w:tr w14:paraId="74C3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88" w:type="dxa"/>
            <w:vMerge w:val="continue"/>
            <w:vAlign w:val="center"/>
          </w:tcPr>
          <w:p w14:paraId="13EA59DE">
            <w:pPr>
              <w:wordWrap w:val="0"/>
              <w:jc w:val="center"/>
              <w:rPr>
                <w:rFonts w:hint="default" w:ascii="Times New Roman" w:hAnsi="Times New Roman" w:cs="Times New Roman"/>
                <w:bCs/>
                <w:kern w:val="0"/>
                <w:sz w:val="22"/>
                <w:szCs w:val="22"/>
                <w:highlight w:val="none"/>
              </w:rPr>
            </w:pPr>
          </w:p>
        </w:tc>
        <w:tc>
          <w:tcPr>
            <w:tcW w:w="1200" w:type="dxa"/>
            <w:vAlign w:val="center"/>
          </w:tcPr>
          <w:p w14:paraId="495EDEB5">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GIS融合</w:t>
            </w:r>
          </w:p>
        </w:tc>
        <w:tc>
          <w:tcPr>
            <w:tcW w:w="6825" w:type="dxa"/>
            <w:vAlign w:val="center"/>
          </w:tcPr>
          <w:p w14:paraId="2E2E9B1F">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 w:eastAsia="zh-CN"/>
              </w:rPr>
              <w:t>5.</w:t>
            </w:r>
            <w:r>
              <w:rPr>
                <w:rFonts w:hint="default" w:ascii="Times New Roman" w:hAnsi="Times New Roman" w:eastAsia="宋体" w:cs="Times New Roman"/>
                <w:b w:val="0"/>
                <w:bCs/>
                <w:color w:val="auto"/>
                <w:sz w:val="21"/>
                <w:szCs w:val="21"/>
                <w:highlight w:val="none"/>
                <w:lang w:val="en-US" w:eastAsia="zh-CN"/>
              </w:rPr>
              <w:t>支持一图展示、图上点调、图上组会、轨迹回放、实时轨迹等功能。实现实时定位移动执法设备调度、二维地图、三维地图，支持统一采集、存储各系统终端的定位数据，支持多种终端定位手段，供上层系统应用。一图展示：可以在地图上实时显示终端的当前位置和状态，进行位置跟踪。图上点调：通过地图上点击某个设备进行设备的点调，视频类的设备可以直接查看画面、视频通话，语音类的设备可以直接进行语音通话。图上组会：通过地图框选等操作，将执法记录仪终端设备在地图上直接进行多方组会操作。</w:t>
            </w:r>
          </w:p>
        </w:tc>
      </w:tr>
      <w:tr w14:paraId="1E4D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88" w:type="dxa"/>
            <w:vMerge w:val="continue"/>
            <w:vAlign w:val="center"/>
          </w:tcPr>
          <w:p w14:paraId="449530F2">
            <w:pPr>
              <w:wordWrap w:val="0"/>
              <w:jc w:val="center"/>
              <w:rPr>
                <w:rFonts w:hint="default" w:ascii="Times New Roman" w:hAnsi="Times New Roman" w:cs="Times New Roman"/>
                <w:bCs/>
                <w:kern w:val="0"/>
                <w:sz w:val="22"/>
                <w:szCs w:val="22"/>
                <w:highlight w:val="none"/>
              </w:rPr>
            </w:pPr>
          </w:p>
        </w:tc>
        <w:tc>
          <w:tcPr>
            <w:tcW w:w="1200" w:type="dxa"/>
            <w:vAlign w:val="center"/>
          </w:tcPr>
          <w:p w14:paraId="1655C450">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一键调阅</w:t>
            </w:r>
          </w:p>
        </w:tc>
        <w:tc>
          <w:tcPr>
            <w:tcW w:w="6825" w:type="dxa"/>
            <w:vAlign w:val="center"/>
          </w:tcPr>
          <w:p w14:paraId="2E65C04E">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 w:eastAsia="zh-CN"/>
              </w:rPr>
              <w:t>6.</w:t>
            </w:r>
            <w:r>
              <w:rPr>
                <w:rFonts w:hint="default" w:ascii="Times New Roman" w:hAnsi="Times New Roman" w:eastAsia="宋体" w:cs="Times New Roman"/>
                <w:b w:val="0"/>
                <w:bCs/>
                <w:color w:val="auto"/>
                <w:sz w:val="21"/>
                <w:szCs w:val="21"/>
                <w:highlight w:val="none"/>
                <w:lang w:val="en-US" w:eastAsia="zh-CN"/>
              </w:rPr>
              <w:t>支持接入在指挥调度过程中执法终端与调度系统，横向到边、纵向到底，实现会议一键调阅、监控一键调阅。</w:t>
            </w:r>
          </w:p>
        </w:tc>
      </w:tr>
      <w:tr w14:paraId="6452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88" w:type="dxa"/>
            <w:vMerge w:val="continue"/>
            <w:vAlign w:val="center"/>
          </w:tcPr>
          <w:p w14:paraId="64C77CB7">
            <w:pPr>
              <w:wordWrap w:val="0"/>
              <w:jc w:val="center"/>
              <w:rPr>
                <w:rFonts w:hint="default" w:ascii="Times New Roman" w:hAnsi="Times New Roman" w:cs="Times New Roman"/>
                <w:bCs/>
                <w:kern w:val="0"/>
                <w:sz w:val="22"/>
                <w:szCs w:val="22"/>
                <w:highlight w:val="none"/>
              </w:rPr>
            </w:pPr>
          </w:p>
        </w:tc>
        <w:tc>
          <w:tcPr>
            <w:tcW w:w="1200" w:type="dxa"/>
            <w:vAlign w:val="center"/>
          </w:tcPr>
          <w:p w14:paraId="7207098E">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一键指挥</w:t>
            </w:r>
          </w:p>
        </w:tc>
        <w:tc>
          <w:tcPr>
            <w:tcW w:w="6825" w:type="dxa"/>
            <w:vAlign w:val="center"/>
          </w:tcPr>
          <w:p w14:paraId="12CFC826">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 w:eastAsia="zh-CN"/>
              </w:rPr>
              <w:t>7.</w:t>
            </w:r>
            <w:r>
              <w:rPr>
                <w:rFonts w:hint="default" w:ascii="Times New Roman" w:hAnsi="Times New Roman" w:eastAsia="宋体" w:cs="Times New Roman"/>
                <w:b w:val="0"/>
                <w:bCs/>
                <w:color w:val="auto"/>
                <w:sz w:val="21"/>
                <w:szCs w:val="21"/>
                <w:highlight w:val="none"/>
                <w:lang w:val="en-US" w:eastAsia="zh-CN"/>
              </w:rPr>
              <w:t>支持一键语音呼叫、一键会议调度等功能。实现各类语音通信系统的互联互通，解决当前需要通过执法终端进行指挥调度的问题。对具备双向语音通信能力的移动前端等终端进行一键调度，快速高效下达应急事件处置指令，快速准确传送应急决策信息，建立集中统一高效的应急事件处置指挥体系。平台能够针对特定场景的会议会商需求，快速组建调度会议，实现应急指挥中心、协同联动单位、应急事件现场、后方指挥部等参会单元的多对多音视频会商。</w:t>
            </w:r>
          </w:p>
        </w:tc>
      </w:tr>
      <w:tr w14:paraId="6AFE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88" w:type="dxa"/>
            <w:vMerge w:val="continue"/>
            <w:vAlign w:val="center"/>
          </w:tcPr>
          <w:p w14:paraId="6FCD3A35">
            <w:pPr>
              <w:wordWrap w:val="0"/>
              <w:jc w:val="center"/>
              <w:rPr>
                <w:rFonts w:hint="default" w:ascii="Times New Roman" w:hAnsi="Times New Roman" w:cs="Times New Roman"/>
                <w:bCs/>
                <w:kern w:val="0"/>
                <w:sz w:val="22"/>
                <w:szCs w:val="22"/>
                <w:highlight w:val="none"/>
              </w:rPr>
            </w:pPr>
          </w:p>
        </w:tc>
        <w:tc>
          <w:tcPr>
            <w:tcW w:w="1200" w:type="dxa"/>
            <w:vAlign w:val="center"/>
          </w:tcPr>
          <w:p w14:paraId="27E674D9">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一图展示</w:t>
            </w:r>
          </w:p>
        </w:tc>
        <w:tc>
          <w:tcPr>
            <w:tcW w:w="6825" w:type="dxa"/>
            <w:vAlign w:val="center"/>
          </w:tcPr>
          <w:p w14:paraId="06A31AD9">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 w:eastAsia="zh-CN"/>
              </w:rPr>
              <w:t>8.</w:t>
            </w:r>
            <w:r>
              <w:rPr>
                <w:rFonts w:hint="default" w:ascii="Times New Roman" w:hAnsi="Times New Roman" w:eastAsia="宋体" w:cs="Times New Roman"/>
                <w:b w:val="0"/>
                <w:bCs/>
                <w:color w:val="auto"/>
                <w:sz w:val="21"/>
                <w:szCs w:val="21"/>
                <w:highlight w:val="none"/>
                <w:lang w:val="en-US" w:eastAsia="zh-CN"/>
              </w:rPr>
              <w:t>支持设备上图、实时定位等功能。实现资源一图展示、移动资源调度、实时轨迹记录、历史轨迹查看。平台提供基于GIS地图各类资源的融合调度功能，实现各类通信资源的一图展示、分类分层展示、全要素展示。通过GIS地图的接入，可将平台接入的所有移动终端资源在地图上进行实时定位显示，如执法记录仪等，通过地图可实时调度资源的实时位置，在执行大型安保、社会保障执勤、紧急交通事故处理等情况下，通过电子地图定位跟踪的方式，可以快速、便捷的进行事故的处置跟踪。</w:t>
            </w:r>
          </w:p>
        </w:tc>
      </w:tr>
    </w:tbl>
    <w:p w14:paraId="05AE808F">
      <w:pPr>
        <w:pStyle w:val="16"/>
        <w:numPr>
          <w:ilvl w:val="0"/>
          <w:numId w:val="0"/>
        </w:numPr>
        <w:rPr>
          <w:rFonts w:hint="default" w:ascii="Times New Roman" w:hAnsi="Times New Roman" w:cs="Times New Roman"/>
          <w:highlight w:val="none"/>
          <w:lang w:val="en-US" w:eastAsia="zh-CN"/>
        </w:rPr>
      </w:pPr>
    </w:p>
    <w:p w14:paraId="5F7C88C1">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bookmarkStart w:id="583" w:name="_Toc219129221"/>
      <w:r>
        <w:rPr>
          <w:rStyle w:val="211"/>
          <w:rFonts w:hint="default" w:ascii="Times New Roman" w:hAnsi="Times New Roman" w:eastAsia="宋体" w:cs="Times New Roman"/>
          <w:b/>
          <w:bCs w:val="0"/>
          <w:color w:val="auto"/>
          <w:sz w:val="24"/>
          <w:szCs w:val="24"/>
          <w:highlight w:val="none"/>
          <w:lang w:val="en-US" w:eastAsia="zh-CN"/>
        </w:rPr>
        <w:t>17.非公路用旅游观光车智慧监管</w:t>
      </w:r>
    </w:p>
    <w:tbl>
      <w:tblPr>
        <w:tblStyle w:val="41"/>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87"/>
        <w:gridCol w:w="6309"/>
      </w:tblGrid>
      <w:tr w14:paraId="4AF9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00" w:type="dxa"/>
            <w:vAlign w:val="center"/>
          </w:tcPr>
          <w:p w14:paraId="03647A0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系统名称</w:t>
            </w:r>
          </w:p>
        </w:tc>
        <w:tc>
          <w:tcPr>
            <w:tcW w:w="1150" w:type="dxa"/>
            <w:vAlign w:val="center"/>
          </w:tcPr>
          <w:p w14:paraId="3DEAEE0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模块名称</w:t>
            </w:r>
          </w:p>
        </w:tc>
        <w:tc>
          <w:tcPr>
            <w:tcW w:w="6868" w:type="dxa"/>
            <w:vAlign w:val="center"/>
          </w:tcPr>
          <w:p w14:paraId="483914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kern w:val="2"/>
                <w:sz w:val="21"/>
                <w:szCs w:val="21"/>
                <w:highlight w:val="none"/>
                <w:vertAlign w:val="baseline"/>
                <w:lang w:val="en-US" w:eastAsia="zh-CN" w:bidi="ar-SA"/>
              </w:rPr>
              <w:t>规格参数</w:t>
            </w:r>
          </w:p>
        </w:tc>
      </w:tr>
      <w:tr w14:paraId="1370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restart"/>
            <w:vAlign w:val="center"/>
          </w:tcPr>
          <w:p w14:paraId="62C37FE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特种设备安全智慧监管系统-非公路用旅游观光车智慧监管</w:t>
            </w:r>
          </w:p>
        </w:tc>
        <w:tc>
          <w:tcPr>
            <w:tcW w:w="1150" w:type="dxa"/>
            <w:vAlign w:val="center"/>
          </w:tcPr>
          <w:p w14:paraId="4C4FB07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使用单位端功能</w:t>
            </w:r>
          </w:p>
        </w:tc>
        <w:tc>
          <w:tcPr>
            <w:tcW w:w="6868" w:type="dxa"/>
            <w:vAlign w:val="center"/>
          </w:tcPr>
          <w:p w14:paraId="3F64B3B0">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1.1</w:t>
            </w:r>
            <w:r>
              <w:rPr>
                <w:rFonts w:hint="default" w:ascii="Times New Roman" w:hAnsi="Times New Roman" w:eastAsia="宋体" w:cs="Times New Roman"/>
                <w:b w:val="0"/>
                <w:bCs/>
                <w:color w:val="auto"/>
                <w:sz w:val="21"/>
                <w:szCs w:val="21"/>
                <w:highlight w:val="none"/>
                <w:lang w:val="en-US" w:eastAsia="zh-CN"/>
              </w:rPr>
              <w:t>车辆信息管理</w:t>
            </w:r>
          </w:p>
          <w:p w14:paraId="4C95535A">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支持使用单位管理和查询车辆基本信息，确保车辆档案完整。</w:t>
            </w:r>
            <w:r>
              <w:rPr>
                <w:rFonts w:hint="default" w:ascii="Times New Roman" w:hAnsi="Times New Roman" w:cs="Times New Roman"/>
                <w:b w:val="0"/>
                <w:bCs/>
                <w:color w:val="auto"/>
                <w:sz w:val="21"/>
                <w:szCs w:val="21"/>
                <w:highlight w:val="none"/>
                <w:lang w:val="en-US" w:eastAsia="zh-CN"/>
              </w:rPr>
              <w:t>实现</w:t>
            </w:r>
            <w:r>
              <w:rPr>
                <w:rFonts w:hint="default" w:ascii="Times New Roman" w:hAnsi="Times New Roman" w:eastAsia="宋体" w:cs="Times New Roman"/>
                <w:b w:val="0"/>
                <w:bCs/>
                <w:color w:val="auto"/>
                <w:sz w:val="21"/>
                <w:szCs w:val="21"/>
                <w:highlight w:val="none"/>
                <w:lang w:val="en-US" w:eastAsia="zh-CN"/>
              </w:rPr>
              <w:t>展示车辆型号、车牌号码、车辆类型、出厂日期、下检日期等基本信息，可对车辆与驾驶员的绑定信息进行增删改操作，提供按车牌号码、车辆类型等条件的车辆信息检索功能，还能查看车辆实时状态与视频，并支持历史视频回放。数据管理</w:t>
            </w:r>
            <w:r>
              <w:rPr>
                <w:rFonts w:hint="default" w:ascii="Times New Roman" w:hAnsi="Times New Roman" w:cs="Times New Roman"/>
                <w:b w:val="0"/>
                <w:bCs/>
                <w:color w:val="auto"/>
                <w:sz w:val="21"/>
                <w:szCs w:val="21"/>
                <w:highlight w:val="none"/>
                <w:lang w:val="en-US" w:eastAsia="zh-CN"/>
              </w:rPr>
              <w:t>上</w:t>
            </w:r>
            <w:r>
              <w:rPr>
                <w:rFonts w:hint="default" w:ascii="Times New Roman" w:hAnsi="Times New Roman" w:eastAsia="宋体" w:cs="Times New Roman"/>
                <w:b w:val="0"/>
                <w:bCs/>
                <w:color w:val="auto"/>
                <w:sz w:val="21"/>
                <w:szCs w:val="21"/>
                <w:highlight w:val="none"/>
                <w:lang w:val="en-US" w:eastAsia="zh-CN"/>
              </w:rPr>
              <w:t>车辆信息保存不少于车辆全生命周期。</w:t>
            </w:r>
          </w:p>
          <w:p w14:paraId="22E54BA6">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1.2</w:t>
            </w:r>
            <w:r>
              <w:rPr>
                <w:rFonts w:hint="default" w:ascii="Times New Roman" w:hAnsi="Times New Roman" w:eastAsia="宋体" w:cs="Times New Roman"/>
                <w:b w:val="0"/>
                <w:bCs/>
                <w:color w:val="auto"/>
                <w:sz w:val="21"/>
                <w:szCs w:val="21"/>
                <w:highlight w:val="none"/>
                <w:lang w:val="en-US" w:eastAsia="zh-CN"/>
              </w:rPr>
              <w:t>作业人员信息管理</w:t>
            </w:r>
          </w:p>
          <w:p w14:paraId="3F4D3F98">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支持使用单位录入和管理作业人员信息，确保持证上岗。</w:t>
            </w:r>
            <w:r>
              <w:rPr>
                <w:rFonts w:hint="default" w:ascii="Times New Roman" w:hAnsi="Times New Roman" w:cs="Times New Roman"/>
                <w:b w:val="0"/>
                <w:bCs/>
                <w:color w:val="auto"/>
                <w:sz w:val="21"/>
                <w:szCs w:val="21"/>
                <w:highlight w:val="none"/>
                <w:lang w:val="en-US" w:eastAsia="zh-CN"/>
              </w:rPr>
              <w:t>实现</w:t>
            </w:r>
            <w:r>
              <w:rPr>
                <w:rFonts w:hint="default" w:ascii="Times New Roman" w:hAnsi="Times New Roman" w:eastAsia="宋体" w:cs="Times New Roman"/>
                <w:b w:val="0"/>
                <w:bCs/>
                <w:color w:val="auto"/>
                <w:sz w:val="21"/>
                <w:szCs w:val="21"/>
                <w:highlight w:val="none"/>
                <w:lang w:val="en-US" w:eastAsia="zh-CN"/>
              </w:rPr>
              <w:t>展示作业人员姓名、N2证书信息、人脸信息等内容，支持驾驶人员与车辆绑定信息的增删改、驾驶人员人脸信息的上传设定，提供按姓名、证书编号的检索功能</w:t>
            </w:r>
            <w:r>
              <w:rPr>
                <w:rFonts w:hint="default" w:ascii="Times New Roman" w:hAnsi="Times New Roman" w:cs="Times New Roman"/>
                <w:b w:val="0"/>
                <w:bCs/>
                <w:color w:val="auto"/>
                <w:sz w:val="21"/>
                <w:szCs w:val="21"/>
                <w:highlight w:val="none"/>
                <w:lang w:val="en-US" w:eastAsia="zh-CN"/>
              </w:rPr>
              <w:t>；在</w:t>
            </w:r>
            <w:r>
              <w:rPr>
                <w:rFonts w:hint="default" w:ascii="Times New Roman" w:hAnsi="Times New Roman" w:eastAsia="宋体" w:cs="Times New Roman"/>
                <w:b w:val="0"/>
                <w:bCs/>
                <w:color w:val="auto"/>
                <w:sz w:val="21"/>
                <w:szCs w:val="21"/>
                <w:highlight w:val="none"/>
                <w:lang w:val="en-US" w:eastAsia="zh-CN"/>
              </w:rPr>
              <w:t>数据管理上，驾驶人员信息支持保存1年，且可导出、归档。</w:t>
            </w:r>
          </w:p>
          <w:p w14:paraId="55921486">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1.3</w:t>
            </w:r>
            <w:r>
              <w:rPr>
                <w:rFonts w:hint="default" w:ascii="Times New Roman" w:hAnsi="Times New Roman" w:eastAsia="宋体" w:cs="Times New Roman"/>
                <w:b w:val="0"/>
                <w:bCs/>
                <w:color w:val="auto"/>
                <w:sz w:val="21"/>
                <w:szCs w:val="21"/>
                <w:highlight w:val="none"/>
                <w:lang w:val="en-US" w:eastAsia="zh-CN"/>
              </w:rPr>
              <w:t>电子围栏管理</w:t>
            </w:r>
          </w:p>
          <w:p w14:paraId="69404A3A">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支持使用单位录入和管理车辆电子围栏，确保车辆按规定路线运行。</w:t>
            </w:r>
            <w:r>
              <w:rPr>
                <w:rFonts w:hint="default" w:ascii="Times New Roman" w:hAnsi="Times New Roman" w:cs="Times New Roman"/>
                <w:b w:val="0"/>
                <w:bCs/>
                <w:color w:val="auto"/>
                <w:sz w:val="21"/>
                <w:szCs w:val="21"/>
                <w:highlight w:val="none"/>
                <w:lang w:val="en-US" w:eastAsia="zh-CN"/>
              </w:rPr>
              <w:t>实现</w:t>
            </w:r>
            <w:r>
              <w:rPr>
                <w:rFonts w:hint="default" w:ascii="Times New Roman" w:hAnsi="Times New Roman" w:eastAsia="宋体" w:cs="Times New Roman"/>
                <w:b w:val="0"/>
                <w:bCs/>
                <w:color w:val="auto"/>
                <w:sz w:val="21"/>
                <w:szCs w:val="21"/>
                <w:highlight w:val="none"/>
                <w:lang w:val="en-US" w:eastAsia="zh-CN"/>
              </w:rPr>
              <w:t>可录入车辆行驶电子围栏并实现车线一一对应，监管单位可查看，支持围栏修改删除并记录操作日志，能将围栏下发至车辆物联网设备实现实时路线监控，还提供围栏绑定车辆的查询功能；电子围栏数据保存期限不少于车辆使用周期。</w:t>
            </w:r>
          </w:p>
          <w:p w14:paraId="299D314D">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1.4</w:t>
            </w:r>
            <w:r>
              <w:rPr>
                <w:rFonts w:hint="default" w:ascii="Times New Roman" w:hAnsi="Times New Roman" w:eastAsia="宋体" w:cs="Times New Roman"/>
                <w:b w:val="0"/>
                <w:bCs/>
                <w:color w:val="auto"/>
                <w:sz w:val="21"/>
                <w:szCs w:val="21"/>
                <w:highlight w:val="none"/>
                <w:lang w:val="en-US" w:eastAsia="zh-CN"/>
              </w:rPr>
              <w:t>实时状态监控</w:t>
            </w:r>
          </w:p>
          <w:p w14:paraId="75E6D307">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bidi="ar"/>
              </w:rPr>
              <w:t>支持</w:t>
            </w:r>
            <w:r>
              <w:rPr>
                <w:rFonts w:hint="default" w:ascii="Times New Roman" w:hAnsi="Times New Roman" w:cs="Times New Roman"/>
                <w:b w:val="0"/>
                <w:bCs/>
                <w:color w:val="auto"/>
                <w:sz w:val="21"/>
                <w:szCs w:val="21"/>
                <w:highlight w:val="none"/>
                <w:lang w:bidi="ar"/>
              </w:rPr>
              <w:t>通过物联网设备实时监控车辆运行状态，及时发现异常。</w:t>
            </w:r>
            <w:r>
              <w:rPr>
                <w:rFonts w:hint="default" w:ascii="Times New Roman" w:hAnsi="Times New Roman" w:cs="Times New Roman"/>
                <w:b w:val="0"/>
                <w:bCs/>
                <w:color w:val="auto"/>
                <w:sz w:val="21"/>
                <w:szCs w:val="21"/>
                <w:highlight w:val="none"/>
                <w:lang w:val="en-US" w:eastAsia="zh-CN" w:bidi="ar"/>
              </w:rPr>
              <w:t>实现</w:t>
            </w:r>
            <w:r>
              <w:rPr>
                <w:rFonts w:hint="default" w:ascii="Times New Roman" w:hAnsi="Times New Roman" w:cs="Times New Roman"/>
                <w:b w:val="0"/>
                <w:bCs/>
                <w:color w:val="auto"/>
                <w:sz w:val="21"/>
                <w:szCs w:val="21"/>
                <w:highlight w:val="none"/>
                <w:lang w:bidi="ar"/>
              </w:rPr>
              <w:t>实时查看车辆速度、位置、驾驶人员身份等运行数据，接收超速、路线偏离等物联网设备异常报警并展示详情，支持按时间段检索车辆运行轨迹和历史数据，还能查看实时视频流以监控驾乘行为及车辆运行环境；运行数据和视频均保存1年，且支持回放与导出操作</w:t>
            </w:r>
          </w:p>
          <w:p w14:paraId="35451F38">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1.5</w:t>
            </w:r>
            <w:r>
              <w:rPr>
                <w:rFonts w:hint="default" w:ascii="Times New Roman" w:hAnsi="Times New Roman" w:eastAsia="宋体" w:cs="Times New Roman"/>
                <w:b w:val="0"/>
                <w:bCs/>
                <w:color w:val="auto"/>
                <w:sz w:val="21"/>
                <w:szCs w:val="21"/>
                <w:highlight w:val="none"/>
                <w:lang w:val="en-US" w:eastAsia="zh-CN"/>
              </w:rPr>
              <w:t>告警记录管理</w:t>
            </w:r>
          </w:p>
          <w:p w14:paraId="7B380AD6">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bidi="ar"/>
              </w:rPr>
              <w:t>支持</w:t>
            </w:r>
            <w:r>
              <w:rPr>
                <w:rFonts w:hint="default" w:ascii="Times New Roman" w:hAnsi="Times New Roman" w:cs="Times New Roman"/>
                <w:b w:val="0"/>
                <w:bCs/>
                <w:color w:val="auto"/>
                <w:sz w:val="21"/>
                <w:szCs w:val="21"/>
                <w:highlight w:val="none"/>
                <w:lang w:bidi="ar"/>
              </w:rPr>
              <w:t>接收并处理车辆运行中的异常事件告警，保障运营安全。</w:t>
            </w:r>
            <w:r>
              <w:rPr>
                <w:rFonts w:hint="default" w:ascii="Times New Roman" w:hAnsi="Times New Roman" w:cs="Times New Roman"/>
                <w:b w:val="0"/>
                <w:bCs/>
                <w:color w:val="auto"/>
                <w:sz w:val="21"/>
                <w:szCs w:val="21"/>
                <w:highlight w:val="none"/>
                <w:lang w:val="en-US" w:eastAsia="zh-CN" w:bidi="ar"/>
              </w:rPr>
              <w:t>实现接收超速、路线偏离、异常驾驶行为等异常报警消息推送，查看告警发生时间、车辆编号等详情，支持记录并上传异常事件处理结果，还能按时间、车辆、驾驶人员等条件查询统计异常事件；异常事件记录保存1年，且支持导出操作。</w:t>
            </w:r>
          </w:p>
          <w:p w14:paraId="0ECB3D8C">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1.6</w:t>
            </w:r>
            <w:r>
              <w:rPr>
                <w:rFonts w:hint="default" w:ascii="Times New Roman" w:hAnsi="Times New Roman" w:eastAsia="宋体" w:cs="Times New Roman"/>
                <w:b w:val="0"/>
                <w:bCs/>
                <w:color w:val="auto"/>
                <w:sz w:val="21"/>
                <w:szCs w:val="21"/>
                <w:highlight w:val="none"/>
                <w:lang w:val="en-US" w:eastAsia="zh-CN"/>
              </w:rPr>
              <w:t>多用户权限管理</w:t>
            </w:r>
          </w:p>
          <w:p w14:paraId="31827253">
            <w:pPr>
              <w:ind w:firstLine="482"/>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bidi="ar"/>
              </w:rPr>
              <w:t>支持</w:t>
            </w:r>
            <w:r>
              <w:rPr>
                <w:rFonts w:hint="default" w:ascii="Times New Roman" w:hAnsi="Times New Roman" w:cs="Times New Roman"/>
                <w:b w:val="0"/>
                <w:bCs/>
                <w:color w:val="auto"/>
                <w:sz w:val="21"/>
                <w:szCs w:val="21"/>
                <w:highlight w:val="none"/>
                <w:lang w:bidi="ar"/>
              </w:rPr>
              <w:t>为使用单位提供多用户权限管理，确保数据安全和操作规范。</w:t>
            </w:r>
            <w:r>
              <w:rPr>
                <w:rFonts w:hint="default" w:ascii="Times New Roman" w:hAnsi="Times New Roman" w:cs="Times New Roman"/>
                <w:b w:val="0"/>
                <w:bCs/>
                <w:color w:val="auto"/>
                <w:sz w:val="21"/>
                <w:szCs w:val="21"/>
                <w:highlight w:val="none"/>
                <w:lang w:val="en-US" w:eastAsia="zh-CN" w:bidi="ar"/>
              </w:rPr>
              <w:t>实现</w:t>
            </w:r>
            <w:r>
              <w:rPr>
                <w:rFonts w:hint="default" w:ascii="Times New Roman" w:hAnsi="Times New Roman" w:cs="Times New Roman"/>
                <w:b w:val="0"/>
                <w:bCs/>
                <w:color w:val="auto"/>
                <w:sz w:val="21"/>
                <w:szCs w:val="21"/>
                <w:highlight w:val="none"/>
                <w:lang w:bidi="ar"/>
              </w:rPr>
              <w:t>创建多用户账号并分配管理员、操作员、安全管理人员等不同角色，按角色实现差异化模块权限管理，可动态调整权限以适配人员变动，同时记录包含登录时间、操作内容的用户操作日志；用户操作日志保存1年，支持导出与审计操作。</w:t>
            </w:r>
          </w:p>
          <w:p w14:paraId="6E279524">
            <w:pPr>
              <w:bidi w:val="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1.7</w:t>
            </w:r>
            <w:r>
              <w:rPr>
                <w:rFonts w:hint="default" w:ascii="Times New Roman" w:hAnsi="Times New Roman" w:eastAsia="宋体" w:cs="Times New Roman"/>
                <w:b w:val="0"/>
                <w:bCs/>
                <w:color w:val="auto"/>
                <w:sz w:val="21"/>
                <w:szCs w:val="21"/>
                <w:highlight w:val="none"/>
                <w:lang w:val="en-US" w:eastAsia="zh-CN"/>
              </w:rPr>
              <w:t>驾驶人员积分管理</w:t>
            </w:r>
          </w:p>
          <w:p w14:paraId="4A09F08B">
            <w:pPr>
              <w:bidi w:val="0"/>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支持</w:t>
            </w:r>
            <w:r>
              <w:rPr>
                <w:rFonts w:hint="default" w:ascii="Times New Roman" w:hAnsi="Times New Roman" w:eastAsia="宋体" w:cs="Times New Roman"/>
                <w:b w:val="0"/>
                <w:bCs/>
                <w:color w:val="auto"/>
                <w:sz w:val="21"/>
                <w:szCs w:val="21"/>
                <w:highlight w:val="none"/>
                <w:lang w:val="en-US" w:eastAsia="zh-CN"/>
              </w:rPr>
              <w:t>依据《</w:t>
            </w:r>
            <w:r>
              <w:rPr>
                <w:rFonts w:hint="default" w:ascii="Times New Roman" w:hAnsi="Times New Roman" w:cs="Times New Roman"/>
                <w:b w:val="0"/>
                <w:bCs/>
                <w:color w:val="auto"/>
                <w:sz w:val="21"/>
                <w:szCs w:val="21"/>
                <w:highlight w:val="none"/>
                <w:lang w:val="en-US" w:eastAsia="zh-CN"/>
              </w:rPr>
              <w:t>中华人民共和国特种设备安全法</w:t>
            </w:r>
            <w:r>
              <w:rPr>
                <w:rFonts w:hint="default" w:ascii="Times New Roman" w:hAnsi="Times New Roman" w:eastAsia="宋体" w:cs="Times New Roman"/>
                <w:b w:val="0"/>
                <w:bCs/>
                <w:color w:val="auto"/>
                <w:sz w:val="21"/>
                <w:szCs w:val="21"/>
                <w:highlight w:val="none"/>
                <w:lang w:val="en-US" w:eastAsia="zh-CN"/>
              </w:rPr>
              <w:t>》《特种设备安全监察条例》等法规要求，实施驾驶人员积分管理，规范驾驶行为。</w:t>
            </w:r>
            <w:r>
              <w:rPr>
                <w:rFonts w:hint="default" w:ascii="Times New Roman" w:hAnsi="Times New Roman" w:cs="Times New Roman"/>
                <w:b w:val="0"/>
                <w:bCs/>
                <w:color w:val="auto"/>
                <w:sz w:val="21"/>
                <w:szCs w:val="21"/>
                <w:highlight w:val="none"/>
                <w:lang w:val="en-US" w:eastAsia="zh-CN"/>
              </w:rPr>
              <w:t>实现</w:t>
            </w:r>
            <w:r>
              <w:rPr>
                <w:rFonts w:hint="default" w:ascii="Times New Roman" w:hAnsi="Times New Roman" w:eastAsia="宋体" w:cs="Times New Roman"/>
                <w:b w:val="0"/>
                <w:bCs/>
                <w:color w:val="auto"/>
                <w:sz w:val="21"/>
                <w:szCs w:val="21"/>
                <w:highlight w:val="none"/>
                <w:lang w:val="en-US" w:eastAsia="zh-CN"/>
              </w:rPr>
              <w:t>观光车和观光列车N2证书司机积分全流程管理，每年1月1日自动为证书赋分100分，初领证书亦赋100分、换证沿用原分数，可对超速、路线偏离行为按提醒与否分档自动扣分，也支持监管部门查看未系安全带等行为的手动扣分记录，证书分数低于60分时提示开展安全教育培训并支持上传培训相关记录，还能按时间、驾驶人员等条件查询积分及扣分记录；积分和培训记录保存1年，支持导出与归档。</w:t>
            </w:r>
          </w:p>
        </w:tc>
      </w:tr>
      <w:tr w14:paraId="60A8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14:paraId="5C57AB2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150" w:type="dxa"/>
            <w:vAlign w:val="center"/>
          </w:tcPr>
          <w:p w14:paraId="2EE4A7A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84" w:name="_Toc215575443"/>
            <w:r>
              <w:rPr>
                <w:rFonts w:hint="default" w:ascii="Times New Roman" w:hAnsi="Times New Roman" w:cs="Times New Roman"/>
                <w:b w:val="0"/>
                <w:bCs/>
                <w:color w:val="auto"/>
                <w:sz w:val="21"/>
                <w:szCs w:val="21"/>
                <w:highlight w:val="none"/>
                <w:lang w:val="en-US" w:eastAsia="zh-CN"/>
              </w:rPr>
              <w:t>监管端功能</w:t>
            </w:r>
            <w:bookmarkEnd w:id="584"/>
          </w:p>
        </w:tc>
        <w:tc>
          <w:tcPr>
            <w:tcW w:w="6868" w:type="dxa"/>
            <w:vAlign w:val="center"/>
          </w:tcPr>
          <w:p w14:paraId="3306B87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2.1车辆信息管理</w:t>
            </w:r>
          </w:p>
          <w:p w14:paraId="2CF52B2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rPr>
              <w:t>支持监管部门查看和管理本单位管理权限下非公路用旅游观光车辆信息，实现统一监管。</w:t>
            </w:r>
            <w:r>
              <w:rPr>
                <w:rFonts w:hint="default" w:ascii="Times New Roman" w:hAnsi="Times New Roman" w:cs="Times New Roman"/>
                <w:b w:val="0"/>
                <w:bCs/>
                <w:color w:val="auto"/>
                <w:sz w:val="21"/>
                <w:szCs w:val="21"/>
                <w:highlight w:val="none"/>
                <w:lang w:val="en-US" w:eastAsia="zh-CN"/>
              </w:rPr>
              <w:t>实现</w:t>
            </w:r>
            <w:r>
              <w:rPr>
                <w:rFonts w:hint="default" w:ascii="Times New Roman" w:hAnsi="Times New Roman" w:cs="Times New Roman"/>
                <w:b w:val="0"/>
                <w:bCs/>
                <w:color w:val="auto"/>
                <w:sz w:val="21"/>
                <w:szCs w:val="21"/>
                <w:highlight w:val="none"/>
              </w:rPr>
              <w:t>查看全疆车辆数量、分布、使用单位等信息汇总，支持按地区、使用单位、车辆类型等多条件查询车辆信息，还能生成车辆分布报表与趋势分析并支持信息导出，满足专项检查需求；车辆信息保存期限不少于车辆全生命周期。</w:t>
            </w:r>
          </w:p>
          <w:p w14:paraId="17A0AD5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2.2车辆运行数据统计分析</w:t>
            </w:r>
          </w:p>
          <w:p w14:paraId="0E63B50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支持对全疆车辆运行数据进行统计和分析，为监管决策提供支持。实现统计车辆运行时长、里程、超速次数等关键指标，分析驾驶人员抽烟、接打电话等异常行为的发生频率与分布，支持按地区、使用单位、时间段等多维度生成统计报表，并通过图表可视化展示运行趋势和异常分布；统计分析数据保存1年，支持导出操作。</w:t>
            </w:r>
          </w:p>
          <w:p w14:paraId="73C3572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2.3驾驶人员身份验证监管</w:t>
            </w:r>
          </w:p>
          <w:p w14:paraId="0610F396">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支持监管驾驶人员身份验证记录，确保持证上岗合规性。实现查看全疆驾驶人员身份验证时间、结果、人员信息等完整记录，能统计无证驾驶、验证失败事件并按地区、使用单位分析其分布情况，支持按时间、驾驶人员、使用单位等条件查询验证记录，还提供记录导出功能以支撑监管检查；验证记录保存1年，且支持导出与审计操作。</w:t>
            </w:r>
          </w:p>
          <w:p w14:paraId="1EFBD06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2.4车辆运行状态监管</w:t>
            </w:r>
          </w:p>
          <w:p w14:paraId="27447BB9">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支持实时监管全疆车辆运行状态，及时发现安全隐患。实现实时查看车辆速度、位置、驾驶人员身份等运行数据，支持按地区、使用单位筛选车辆并查看其运行状态与轨迹，能查看实时视频监控驾驶人员、乘客行为及车辆运行环境，还可自动生成运行状态报告展示车辆使用情况和异常事件；运行数据和视频保存1年，支持回放与导出操作。</w:t>
            </w:r>
          </w:p>
          <w:p w14:paraId="45966C5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2.5告警监管</w:t>
            </w:r>
          </w:p>
          <w:p w14:paraId="2CE6AC84">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支持监管全疆车辆运行中的异常事件，保障安全管理。实现查看超速、路线偏离、异常驾驶行为等告警汇总信息，按地区、使用单位、时间段统计分析告警分布情况，支持按时间、车辆、驾驶人员等条件查询告警详情，还提供告警处理跟踪功能以查看具体处置情况；异常事件记录保存1年，支持导出与审计操作。</w:t>
            </w:r>
          </w:p>
          <w:p w14:paraId="6010B3E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2.6数据查询与统计</w:t>
            </w:r>
          </w:p>
          <w:p w14:paraId="3292C4F9">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kern w:val="0"/>
                <w:sz w:val="21"/>
                <w:szCs w:val="21"/>
                <w:highlight w:val="none"/>
                <w:lang w:val="en-US" w:eastAsia="zh-CN"/>
              </w:rPr>
              <w:t>支持</w:t>
            </w:r>
            <w:r>
              <w:rPr>
                <w:rFonts w:hint="default" w:ascii="Times New Roman" w:hAnsi="Times New Roman" w:cs="Times New Roman"/>
                <w:b w:val="0"/>
                <w:bCs/>
                <w:color w:val="auto"/>
                <w:kern w:val="0"/>
                <w:sz w:val="21"/>
                <w:szCs w:val="21"/>
                <w:highlight w:val="none"/>
              </w:rPr>
              <w:t>提供多维度数据查询和统计功能，支持监管和审计需求。</w:t>
            </w:r>
            <w:r>
              <w:rPr>
                <w:rFonts w:hint="default" w:ascii="Times New Roman" w:hAnsi="Times New Roman" w:cs="Times New Roman"/>
                <w:b w:val="0"/>
                <w:bCs/>
                <w:color w:val="auto"/>
                <w:kern w:val="0"/>
                <w:sz w:val="21"/>
                <w:szCs w:val="21"/>
                <w:highlight w:val="none"/>
                <w:lang w:val="en-US" w:eastAsia="zh-CN"/>
              </w:rPr>
              <w:t>实现</w:t>
            </w:r>
            <w:r>
              <w:rPr>
                <w:rFonts w:hint="default" w:ascii="Times New Roman" w:hAnsi="Times New Roman" w:cs="Times New Roman"/>
                <w:b w:val="0"/>
                <w:bCs/>
                <w:color w:val="auto"/>
                <w:kern w:val="0"/>
                <w:sz w:val="21"/>
                <w:szCs w:val="21"/>
                <w:highlight w:val="none"/>
              </w:rPr>
              <w:t>车辆信息、驾驶人员信息、运行数据、异常记录等多维度多条件查询，可按地区、使用单位、时间段等生成统计报表并提供数据导出功能，同时配置权限管理机制，禁止非授权用户访问敏感数据；查询和统计数据保存1年，支持归档操作。</w:t>
            </w:r>
          </w:p>
          <w:p w14:paraId="533785B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2.7驾驶人员积分监管</w:t>
            </w:r>
          </w:p>
          <w:p w14:paraId="1716C12C">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支持依据《中华人民共和国特种设备安全法》《特种设备安全监察条例》等法规要求，监管驾驶人员积分管理情况，确保驾驶行为规范。实现驾驶人员积分全流程监管，支持查看每年1月1日证书自动赋分情况、核查初次领证及换证赋分记录；能查看超速、路线偏离的自动扣分详情，也可录入未系安全带、接打电话等违规行为的手动扣分；可查看分数低于60分的驾驶人员名单并核查安全教育培训记录，查看分数低于100分的人员名单并核查培训机构考试合格记录，还能按地区、使用单位、驾驶人员统计分析积分分布及扣分趋势，支持按时间、驾驶人员、使用单位等条件查询积分和扣分记录；积分和培训记录保存1年，支持导出与审计操作。</w:t>
            </w:r>
          </w:p>
        </w:tc>
      </w:tr>
      <w:tr w14:paraId="3F50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14:paraId="6F42731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50" w:type="dxa"/>
            <w:vAlign w:val="center"/>
          </w:tcPr>
          <w:p w14:paraId="1F8F15D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bookmarkStart w:id="585" w:name="_Toc215575444"/>
            <w:r>
              <w:rPr>
                <w:rFonts w:hint="default" w:ascii="Times New Roman" w:hAnsi="Times New Roman" w:cs="Times New Roman"/>
                <w:b w:val="0"/>
                <w:bCs/>
                <w:color w:val="auto"/>
                <w:sz w:val="21"/>
                <w:szCs w:val="21"/>
                <w:highlight w:val="none"/>
              </w:rPr>
              <w:t>数据对接</w:t>
            </w:r>
            <w:bookmarkEnd w:id="585"/>
          </w:p>
        </w:tc>
        <w:tc>
          <w:tcPr>
            <w:tcW w:w="6868" w:type="dxa"/>
            <w:vAlign w:val="center"/>
          </w:tcPr>
          <w:p w14:paraId="0C153300">
            <w:pP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lang w:val="en-US" w:eastAsia="zh-CN"/>
              </w:rPr>
              <w:t>3.1</w:t>
            </w:r>
            <w:r>
              <w:rPr>
                <w:rFonts w:hint="default" w:ascii="Times New Roman" w:hAnsi="Times New Roman" w:cs="Times New Roman"/>
                <w:b w:val="0"/>
                <w:bCs/>
                <w:color w:val="auto"/>
                <w:sz w:val="21"/>
                <w:szCs w:val="21"/>
                <w:highlight w:val="none"/>
              </w:rPr>
              <w:t>数据回传机制</w:t>
            </w:r>
          </w:p>
          <w:p w14:paraId="315BF76A">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支持</w:t>
            </w:r>
            <w:r>
              <w:rPr>
                <w:rFonts w:hint="default" w:ascii="Times New Roman" w:hAnsi="Times New Roman" w:cs="Times New Roman"/>
                <w:b w:val="0"/>
                <w:bCs/>
                <w:color w:val="auto"/>
                <w:sz w:val="21"/>
                <w:szCs w:val="21"/>
                <w:highlight w:val="none"/>
              </w:rPr>
              <w:t>设备端预处理</w:t>
            </w:r>
            <w:r>
              <w:rPr>
                <w:rFonts w:hint="default" w:ascii="Times New Roman" w:hAnsi="Times New Roman" w:cs="Times New Roman"/>
                <w:b w:val="0"/>
                <w:bCs/>
                <w:color w:val="auto"/>
                <w:sz w:val="21"/>
                <w:szCs w:val="21"/>
                <w:highlight w:val="none"/>
                <w:lang w:eastAsia="zh-CN"/>
              </w:rPr>
              <w:t>、</w:t>
            </w:r>
            <w:r>
              <w:rPr>
                <w:rFonts w:hint="default" w:ascii="Times New Roman" w:hAnsi="Times New Roman" w:cs="Times New Roman"/>
                <w:b w:val="0"/>
                <w:bCs/>
                <w:color w:val="auto"/>
                <w:sz w:val="21"/>
                <w:szCs w:val="21"/>
                <w:highlight w:val="none"/>
              </w:rPr>
              <w:t>规则引擎</w:t>
            </w:r>
            <w:r>
              <w:rPr>
                <w:rFonts w:hint="default" w:ascii="Times New Roman" w:hAnsi="Times New Roman" w:cs="Times New Roman"/>
                <w:b w:val="0"/>
                <w:bCs/>
                <w:color w:val="auto"/>
                <w:sz w:val="21"/>
                <w:szCs w:val="21"/>
                <w:highlight w:val="none"/>
                <w:lang w:eastAsia="zh-CN"/>
              </w:rPr>
              <w:t>、</w:t>
            </w:r>
            <w:r>
              <w:rPr>
                <w:rFonts w:hint="default" w:ascii="Times New Roman" w:hAnsi="Times New Roman" w:cs="Times New Roman"/>
                <w:b w:val="0"/>
                <w:bCs/>
                <w:color w:val="auto"/>
                <w:sz w:val="21"/>
                <w:szCs w:val="21"/>
                <w:highlight w:val="none"/>
              </w:rPr>
              <w:t>高优先级数据（报警事件）</w:t>
            </w:r>
            <w:r>
              <w:rPr>
                <w:rFonts w:hint="default" w:ascii="Times New Roman" w:hAnsi="Times New Roman" w:cs="Times New Roman"/>
                <w:b w:val="0"/>
                <w:bCs/>
                <w:color w:val="auto"/>
                <w:sz w:val="21"/>
                <w:szCs w:val="21"/>
                <w:highlight w:val="none"/>
                <w:lang w:eastAsia="zh-CN"/>
              </w:rPr>
              <w:t>、</w:t>
            </w:r>
            <w:r>
              <w:rPr>
                <w:rFonts w:hint="default" w:ascii="Times New Roman" w:hAnsi="Times New Roman" w:cs="Times New Roman"/>
                <w:b w:val="0"/>
                <w:bCs/>
                <w:color w:val="auto"/>
                <w:sz w:val="21"/>
                <w:szCs w:val="21"/>
                <w:highlight w:val="none"/>
              </w:rPr>
              <w:t>低优先级数据（视频录像）</w:t>
            </w:r>
            <w:r>
              <w:rPr>
                <w:rFonts w:hint="default" w:ascii="Times New Roman" w:hAnsi="Times New Roman" w:cs="Times New Roman"/>
                <w:b w:val="0"/>
                <w:bCs/>
                <w:color w:val="auto"/>
                <w:sz w:val="21"/>
                <w:szCs w:val="21"/>
                <w:highlight w:val="none"/>
                <w:lang w:eastAsia="zh-CN"/>
              </w:rPr>
              <w:t>、</w:t>
            </w:r>
            <w:r>
              <w:rPr>
                <w:rFonts w:hint="default" w:ascii="Times New Roman" w:hAnsi="Times New Roman" w:cs="Times New Roman"/>
                <w:b w:val="0"/>
                <w:bCs/>
                <w:color w:val="auto"/>
                <w:sz w:val="21"/>
                <w:szCs w:val="21"/>
                <w:highlight w:val="none"/>
              </w:rPr>
              <w:t>断网续传</w:t>
            </w:r>
            <w:r>
              <w:rPr>
                <w:rFonts w:hint="default" w:ascii="Times New Roman" w:hAnsi="Times New Roman" w:cs="Times New Roman"/>
                <w:b w:val="0"/>
                <w:bCs/>
                <w:color w:val="auto"/>
                <w:sz w:val="21"/>
                <w:szCs w:val="21"/>
                <w:highlight w:val="none"/>
                <w:lang w:eastAsia="zh-CN"/>
              </w:rPr>
              <w:t>、</w:t>
            </w:r>
            <w:r>
              <w:rPr>
                <w:rFonts w:hint="default" w:ascii="Times New Roman" w:hAnsi="Times New Roman" w:cs="Times New Roman"/>
                <w:b w:val="0"/>
                <w:bCs/>
                <w:color w:val="auto"/>
                <w:sz w:val="21"/>
                <w:szCs w:val="21"/>
                <w:highlight w:val="none"/>
              </w:rPr>
              <w:t>实时数据</w:t>
            </w:r>
            <w:r>
              <w:rPr>
                <w:rFonts w:hint="default" w:ascii="Times New Roman" w:hAnsi="Times New Roman" w:cs="Times New Roman"/>
                <w:b w:val="0"/>
                <w:bCs/>
                <w:color w:val="auto"/>
                <w:sz w:val="21"/>
                <w:szCs w:val="21"/>
                <w:highlight w:val="none"/>
                <w:lang w:eastAsia="zh-CN"/>
              </w:rPr>
              <w:t>、</w:t>
            </w:r>
            <w:r>
              <w:rPr>
                <w:rFonts w:hint="default" w:ascii="Times New Roman" w:hAnsi="Times New Roman" w:cs="Times New Roman"/>
                <w:b w:val="0"/>
                <w:bCs/>
                <w:color w:val="auto"/>
                <w:sz w:val="21"/>
                <w:szCs w:val="21"/>
                <w:highlight w:val="none"/>
              </w:rPr>
              <w:t>视频证据</w:t>
            </w:r>
            <w:r>
              <w:rPr>
                <w:rFonts w:hint="default" w:ascii="Times New Roman" w:hAnsi="Times New Roman" w:cs="Times New Roman"/>
                <w:b w:val="0"/>
                <w:bCs/>
                <w:color w:val="auto"/>
                <w:sz w:val="21"/>
                <w:szCs w:val="21"/>
                <w:highlight w:val="none"/>
                <w:lang w:val="en-US" w:eastAsia="zh-CN"/>
              </w:rPr>
              <w:t>等功能。实现将DSM报警图片压缩至50KB、GPS数据按10秒聚合后上传；搭载规则引擎实现超速报警等本地决策，无需云端响应。数据按优先级差异化传输，高优先级的报警事件通过4G/5G直连云端，采用MQTT协议（QoS=1）保障到达率，低优先级的视频录像经Wi-Fi/蓝牙聚合后在夜间闲时定时上传；具备断网续传能力，本地可缓存72小时数据，网络恢复后自动同步云端。存储层面，实时传感器状态数据存入时序数据库，视频证据存入对象存储且保留30天。</w:t>
            </w:r>
          </w:p>
          <w:p w14:paraId="1A2B8428">
            <w:pP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lang w:val="en-US" w:eastAsia="zh-CN"/>
              </w:rPr>
              <w:t>3.2</w:t>
            </w:r>
            <w:r>
              <w:rPr>
                <w:rFonts w:hint="default" w:ascii="Times New Roman" w:hAnsi="Times New Roman" w:cs="Times New Roman"/>
                <w:b w:val="0"/>
                <w:bCs/>
                <w:color w:val="auto"/>
                <w:sz w:val="21"/>
                <w:szCs w:val="21"/>
                <w:highlight w:val="none"/>
              </w:rPr>
              <w:t>与监管系统对接</w:t>
            </w:r>
          </w:p>
          <w:p w14:paraId="06453B48">
            <w:pPr>
              <w:ind w:firstLine="420" w:firstLineChars="200"/>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支持设备接入层、鉴权方式、业务系统层、智能分析等功能。实现设备接入层通过RESTfulAPI完成设备注册，以JSON格式提交设备ID、GPS坐标、固件版本等信息，鉴权采用OAuth2.0+设备证书双向认证方式；业务系统层对接市场监管总局特种设备平台，按《特种设备物联网平台数据交换规范》的数据格式，通过Webhook推送超速、无证驾驶等关键事件；在智能分析层面融合DSM报警频率、急转弯次数、超速时长等多指标，基于LSTM神经网络结合电机温度、刹车次数等数据开展设备故障预测。</w:t>
            </w:r>
          </w:p>
        </w:tc>
      </w:tr>
      <w:tr w14:paraId="78B5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14:paraId="0AB8A765">
            <w:pPr>
              <w:widowControl/>
              <w:jc w:val="left"/>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150" w:type="dxa"/>
            <w:vAlign w:val="center"/>
          </w:tcPr>
          <w:p w14:paraId="547DA9CD">
            <w:pPr>
              <w:widowControl/>
              <w:jc w:val="left"/>
              <w:rPr>
                <w:rFonts w:hint="default" w:ascii="Times New Roman" w:hAnsi="Times New Roman" w:cs="Times New Roman"/>
                <w:b w:val="0"/>
                <w:bCs/>
                <w:color w:val="auto"/>
                <w:sz w:val="21"/>
                <w:szCs w:val="21"/>
                <w:highlight w:val="none"/>
              </w:rPr>
            </w:pPr>
            <w:r>
              <w:rPr>
                <w:rFonts w:hint="default" w:ascii="Times New Roman" w:hAnsi="Times New Roman" w:cs="Times New Roman"/>
                <w:color w:val="auto"/>
                <w:kern w:val="0"/>
                <w:sz w:val="21"/>
                <w:szCs w:val="21"/>
                <w:highlight w:val="none"/>
                <w:lang w:eastAsia="zh-CN"/>
              </w:rPr>
              <w:t>“扫码入企”相关配合工作</w:t>
            </w:r>
          </w:p>
        </w:tc>
        <w:tc>
          <w:tcPr>
            <w:tcW w:w="6868" w:type="dxa"/>
            <w:vAlign w:val="center"/>
          </w:tcPr>
          <w:p w14:paraId="021C0AE3">
            <w:pPr>
              <w:widowControl/>
              <w:jc w:val="left"/>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color w:val="auto"/>
                <w:kern w:val="0"/>
                <w:sz w:val="21"/>
                <w:szCs w:val="21"/>
                <w:highlight w:val="none"/>
                <w:lang w:val="en" w:eastAsia="zh-CN"/>
              </w:rPr>
              <w:t>4.</w:t>
            </w:r>
            <w:r>
              <w:rPr>
                <w:rFonts w:hint="default" w:ascii="Times New Roman" w:hAnsi="Times New Roman" w:cs="Times New Roman"/>
                <w:color w:val="auto"/>
                <w:kern w:val="0"/>
                <w:sz w:val="21"/>
                <w:szCs w:val="21"/>
                <w:highlight w:val="none"/>
                <w:lang w:val="en-US" w:eastAsia="zh-CN"/>
              </w:rPr>
              <w:t>按数字化发展局明确的贯通业务系统和技术标准要求，</w:t>
            </w:r>
            <w:r>
              <w:rPr>
                <w:rFonts w:hint="default" w:ascii="Times New Roman" w:hAnsi="Times New Roman" w:cs="Times New Roman"/>
                <w:color w:val="auto"/>
                <w:kern w:val="0"/>
                <w:sz w:val="21"/>
                <w:szCs w:val="21"/>
                <w:highlight w:val="none"/>
              </w:rPr>
              <w:t>做好</w:t>
            </w:r>
            <w:r>
              <w:rPr>
                <w:rFonts w:hint="default" w:ascii="Times New Roman" w:hAnsi="Times New Roman" w:cs="Times New Roman"/>
                <w:color w:val="auto"/>
                <w:kern w:val="0"/>
                <w:sz w:val="21"/>
                <w:szCs w:val="21"/>
                <w:highlight w:val="none"/>
                <w:lang w:eastAsia="zh-CN"/>
              </w:rPr>
              <w:t>与自治区“扫码入企”平台、“新企办”“新服办”的接口开发工作，实现本系统数据共享。</w:t>
            </w:r>
          </w:p>
        </w:tc>
      </w:tr>
      <w:bookmarkEnd w:id="583"/>
    </w:tbl>
    <w:p w14:paraId="36A0C7F0">
      <w:pPr>
        <w:bidi w:val="0"/>
        <w:rPr>
          <w:rFonts w:hint="default" w:ascii="Times New Roman" w:hAnsi="Times New Roman" w:cs="Times New Roman"/>
          <w:color w:val="auto"/>
          <w:highlight w:val="none"/>
          <w:lang w:val="en-US" w:eastAsia="zh-CN"/>
        </w:rPr>
      </w:pPr>
    </w:p>
    <w:p w14:paraId="2CA40AE9">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001AEDED">
      <w:pPr>
        <w:pStyle w:val="5"/>
        <w:keepNext/>
        <w:keepLines/>
        <w:pageBreakBefore w:val="0"/>
        <w:widowControl w:val="0"/>
        <w:kinsoku/>
        <w:wordWrap/>
        <w:overflowPunct/>
        <w:topLinePunct w:val="0"/>
        <w:autoSpaceDE/>
        <w:autoSpaceDN/>
        <w:bidi w:val="0"/>
        <w:adjustRightInd/>
        <w:snapToGrid/>
        <w:spacing w:before="20" w:after="20"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（二）硬件设备配套采购</w:t>
      </w:r>
    </w:p>
    <w:p w14:paraId="28AB2971">
      <w:pPr>
        <w:pStyle w:val="6"/>
        <w:keepNext/>
        <w:keepLines/>
        <w:pageBreakBefore w:val="0"/>
        <w:widowControl w:val="0"/>
        <w:kinsoku/>
        <w:wordWrap/>
        <w:overflowPunct/>
        <w:topLinePunct w:val="0"/>
        <w:autoSpaceDE/>
        <w:autoSpaceDN/>
        <w:bidi w:val="0"/>
        <w:adjustRightInd/>
        <w:snapToGrid/>
        <w:spacing w:before="20" w:after="20" w:line="240" w:lineRule="auto"/>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1.智慧监管指挥调度子系统硬件设备</w:t>
      </w:r>
    </w:p>
    <w:tbl>
      <w:tblPr>
        <w:tblStyle w:val="40"/>
        <w:tblW w:w="84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725"/>
        <w:gridCol w:w="5766"/>
        <w:gridCol w:w="700"/>
        <w:gridCol w:w="663"/>
      </w:tblGrid>
      <w:tr w14:paraId="7338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FE63">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序号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6E3C">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名称</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293">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技术规格参数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E98A">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数量</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5B6A">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单位</w:t>
            </w:r>
          </w:p>
        </w:tc>
      </w:tr>
      <w:tr w14:paraId="6438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7BD">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958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执法仪</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F2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支持电信、移动、联通以及5G物联网卡或流量卡实现单北斗卫星定位并支持64G机身存储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6657">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260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1ABC">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台</w:t>
            </w:r>
          </w:p>
        </w:tc>
      </w:tr>
      <w:tr w14:paraId="47E0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35F54">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主屏体部分（显示屏净尺寸：1.8m*9m=16.2m²）</w:t>
            </w:r>
          </w:p>
        </w:tc>
      </w:tr>
      <w:tr w14:paraId="6EF5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8A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672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全彩LED屏</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B89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1.LED显示屏采用集成三合一COB全倒装共阳封装；</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2.LED显示屏采用≤1.25mm点间距，像素点密度≥640000点/m2；</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3.LED显示屏单箱尺寸600mm（宽）*337.5mm（高）；</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CA1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16.2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02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平方米</w:t>
            </w:r>
          </w:p>
        </w:tc>
      </w:tr>
      <w:tr w14:paraId="394A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84A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B45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发送盒</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30A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1.具备带载面积≥230万像素，宽度≥3840点，高度≥3840点；</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2.具备≥1路音频输入；</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3.具备≥1路光探头接口；</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4.具备逐点亮色度校正功能；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5.具备≥1路DVI输入接口，≥1路HDMI1.3输入接口，≥4路网口输出；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1B0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FA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7424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F36CD">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控制设备以及配套设备</w:t>
            </w:r>
          </w:p>
        </w:tc>
      </w:tr>
      <w:tr w14:paraId="2218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2FE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D1A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视频会议控制终端</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C9E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1.内存：16G</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2.硬盘：1TB SSD</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3.包含21.45英寸显示器（分辨率：1080P）</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CBA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4C3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70AB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449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2B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配电柜（20KW）</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467D">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1.额定功率：≥20kW，输出路数：≥6路</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2.输入电压：三相五线制AC380V±10%，频率50Hz±5%，具有高温断电、浪涌、短路、过流、过载保护功能；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3.输出电压：单相三线制AC220V±10%；</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4.内置避雷器，具有避雷防雷功能；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5.配电柜含多功能卡控制，具有远程控制功能、RS232串口或千兆网口通信；</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6.通过LED显示屏智慧控制系统软件搭配多功能卡实现电源监视、温度监控操作；</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317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BE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37BD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9A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8F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结构边框及技术服务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69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shd w:val="clear"/>
                <w:lang w:val="en-US" w:eastAsia="zh-CN" w:bidi="ar"/>
              </w:rPr>
              <w:t>1.用于安装支撑屏体的结构及安装费用；</w:t>
            </w:r>
            <w:r>
              <w:rPr>
                <w:rFonts w:hint="default" w:ascii="Times New Roman" w:hAnsi="Times New Roman" w:eastAsia="宋体" w:cs="Times New Roman"/>
                <w:i w:val="0"/>
                <w:color w:val="000000"/>
                <w:kern w:val="0"/>
                <w:sz w:val="20"/>
                <w:szCs w:val="20"/>
                <w:highlight w:val="none"/>
                <w:u w:val="none"/>
                <w:shd w:val="clear"/>
                <w:lang w:val="en-US" w:eastAsia="zh-CN" w:bidi="ar"/>
              </w:rPr>
              <w:br w:type="textWrapping"/>
            </w:r>
            <w:r>
              <w:rPr>
                <w:rFonts w:hint="default" w:ascii="Times New Roman" w:hAnsi="Times New Roman" w:eastAsia="宋体" w:cs="Times New Roman"/>
                <w:i w:val="0"/>
                <w:color w:val="000000"/>
                <w:kern w:val="0"/>
                <w:sz w:val="20"/>
                <w:szCs w:val="20"/>
                <w:highlight w:val="none"/>
                <w:u w:val="none"/>
                <w:shd w:val="clear"/>
                <w:lang w:val="en-US" w:eastAsia="zh-CN" w:bidi="ar"/>
              </w:rPr>
              <w:t>2.包边要求：采用铝塑板，不锈钢进行包边，颜色默认为黑色及灰色，或客户自选；</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BC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17</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62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平方米</w:t>
            </w:r>
          </w:p>
        </w:tc>
      </w:tr>
      <w:tr w14:paraId="1B65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6CB13">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扩声系统</w:t>
            </w:r>
          </w:p>
        </w:tc>
      </w:tr>
      <w:tr w14:paraId="0DC6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122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E67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专业音箱</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2C6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1.阻抗≤8Ω</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2.频响等同或优于60Hz~20KHz</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3.额定功率≥200W</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4.灵敏度≥96dB/W/M</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5.水平覆盖角≥80°，垂直覆盖角≥60°</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6.高音≥1.4"压缩高音单元×1</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7.低音≥8"低音×1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72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CCF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只</w:t>
            </w:r>
          </w:p>
        </w:tc>
      </w:tr>
      <w:tr w14:paraId="7337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796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AC2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壁挂G支架</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44A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音箱支架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FC9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C79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只</w:t>
            </w:r>
          </w:p>
        </w:tc>
      </w:tr>
      <w:tr w14:paraId="52D7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B27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1F5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专业功放</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DAF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1.标准≤1U机箱设计，采用D类数字功放设计方案。</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2.标准XLR输入接口，和LINK输出口。</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3.输出功率：立体声@8Ω：≥350W×2；立体声@4Ω：≥600W×2。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EB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506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4E58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EE5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37B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数字音频处理器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AA1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2.具有矩阵增益调节功能，每个输入通道参与混音的增益可调，增益调节范围等同或优于-72db到12db。</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AE1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692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0999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D7D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ED8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16路带编组调音台</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E00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1.具有≥14路平衡XLR输入接口、≥16路TRS输入接口、≥1路OPTICAL接口、≥1路S/PDIF接口、≥1路USB2.0输入声卡。</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2.具有≥100组场景预设功能，可导出、导入USB存储器，便于数据备份；≥32个PEQ模式存储。</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3.具有≥8个推子编组、≥3个快速静音组按键。</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4.具有≥2个内置效果器，设备自带有经典混响、大房间混响等效果模块。</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5.具有≥1个10.1英寸高清触摸屏，支持≥1280×800分辨率。</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6.具有≥13个100mm电动推子，电动推子可操控所有的通道和主输出:≥1个LR主声道推子、≥12个通道推子以及≥2个推子层。</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6.具有≥13个100mm电动推子，电动推子可操控所有的通道和主输出:≥1个LR主声道推子、≥12个通道推子以及≥2个推子层。</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53A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E61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76E6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4E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368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1拖2无线手持话筒</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42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2.具有≥1台接收主机、≥2只手持发射机；频率范围等同或优于470MHz-510MHz、540MHz-590MHz、640MHz-690MHz、807MHz-830MHz四个频段使用。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13E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BF9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r>
      <w:tr w14:paraId="5C53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530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7</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0AE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音频反馈抑制器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838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1.基于啸叫检测门限更新法，具有移频+陷波反馈抑制功能，可以使用≥48个可编程陷波点。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865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306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3437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FC920">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会议系统</w:t>
            </w:r>
          </w:p>
        </w:tc>
      </w:tr>
      <w:tr w14:paraId="533F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33E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254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全数字会议系统主机</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46E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1.支持≥4096台有线会议单元和≥300台无线会议单元同时接入管理使用；支持≥4396台会议单元同时参与会议议程（签到、表决、服务等）以及发言控制。</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2.主机兼容同时连接有线与无线会议单元，二者可并行使用；采用跨域音频同步技术，有线与无线会议单元音频的音频无缝混音输出。</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3.设备采用分段压缩混音处理技术和时钟同步传输技术，会议单元拾音到主机输出延时≤5ms。</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设备具有≥1个USB接口；后面板具有≥2路RS-232接口、≥1路RS-485接口、≥4路RJ45通讯接口；具有≥1路RCA输入、≥1路卡侬输入、≥2路凤凰端子输入接口；≥1路RCA输出、≥1路卡侬输出、≥16路凤凰端子输出接口；≥1个拨码开关、≥1个接地柱。</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6.具有≥16路音频G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1AA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799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1E68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A6E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F90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会议音频综合管理平台软件</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506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1.具有全数字会议系统软件模块，软件具有签到、表决、话筒管理、会议管理、语音激励、模拟排位、摄像跟踪、译员机语种及多语言版本等功能。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6.具有电子桌牌软件模块，软件支持铭牌设置及更新、中英俄多语言版本选择、集中控制、自定义投票表决、无线表决器人员设置、模拟排位、签到表决、IP设置、多服务器大屏投影、一键关机、息屏、清屏、亮屏功能。</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483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2D6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r>
      <w:tr w14:paraId="5A5F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DC1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83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会议话筒处理器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5BF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1.具有智能混音、语音检测功能，可以实现≥16个有线会议单元+≥8个无线会议单元同时开启并实时检测会议单元dB值；</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2.具有≥1个RS485、≥1个RS232接口，可对接摄像机实现摄像跟踪功能；内置≥64个话筒预置位，满足大型会议室摄像跟踪需求。</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7A7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B05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76B0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E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623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方柱形数字会议主席话筒</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24C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1.采用短咪杆拾音设计，远距离拾音。咪杆高度（或长度）≤240mm。</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2.单元采用非压缩音频传输技术，≥48K采样率，等同或优于80Hz-16KHz带宽音质。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8FD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94F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7893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615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545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方柱形数字会议代表话筒</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724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1.采用短咪杆拾音设计，远距离拾音。咪杆高度（或长度）≤240mm。</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2.单元采用非压缩音频传输技术，≥48K采样率，等同或优于80Hz-16KHz带宽音质。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EBB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724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22B4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1F6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99F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会议G连接线</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6FE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≥20米延长线（一公一母）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1FE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162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根</w:t>
            </w:r>
          </w:p>
        </w:tc>
      </w:tr>
      <w:tr w14:paraId="4E42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7D9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7</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9ED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会议C插座</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DC9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1.一进三出连接单元</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2.采用 ≥100M/10M 自适应网络传输，可以实现手拉手级联。</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3.每个六芯航空接口支持IEEE802.3、IEEE802.3u、 IEEE802.3x规范。</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8F0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B69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个</w:t>
            </w:r>
          </w:p>
        </w:tc>
      </w:tr>
      <w:tr w14:paraId="19C8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11E106">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分布式综合管理系统</w:t>
            </w:r>
          </w:p>
        </w:tc>
      </w:tr>
      <w:tr w14:paraId="1CEB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5D9D52">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1.平台支撑设备</w:t>
            </w:r>
          </w:p>
        </w:tc>
      </w:tr>
      <w:tr w14:paraId="2E06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AAC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882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分布式综合管理主机</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A3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1.采用机架式设计，运行嵌入式Linux系统，内嵌服务器软件及web管理系统，采用B/S架构，通过浏览器即可管理整个分布式系统。</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2.支持≥1路VGA和≥1路DVI视频接口输出，具备≥2个RJ45网口。</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3.支持硬件监测：故障/错误/过载和报警(包括磁盘/电力/风机/温度/IO性能)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为确保数据安全，要求具备国密算法的《计算机软件著作权登记证书》，软件名称含“分布式综合管理系统”/“国密加密算法”或相近描述。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ED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A32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0F0C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A26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ED8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分布式综合管理主机软件</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BB1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1.软件运行于Linux系统，支持银河麒麟、统信等国产操作系统，支持兆芯、龙芯、飞腾、鲲鹏等国产CPU，稳定可靠，可高效地对系统设备进行管理、控制、数据交互等。</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系统采用B/S和C/S管理控制架构，支持网页web访问系统后台管理，支持通过web浏览器对输入盒（采集盒）、输出盒（拼接盒）的管理及状态实时监测。可扩展支持使用ipad平板软件、安卓平板软件、Windows电脑客户端对分布式系统进行可视化管理、信号切换、画面叠加、画中画、画面拼接、画面漫游、画面放大/缩小、画面移动/关闭等操作，支持对显示控制区域实时监控；支持多用户多平台同步操作，支持不同平台操作界面实时同步。</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3.支持三种开窗模式，包括固化模式、自由模式、两点模式。</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支持中控功能，支持自定义添加受控设备，可实现可编辑中控，支持RS-232、RS-422、RS-485、IR、I/O、TCP、UDP、REALY、场景等控制方式；支持多种控件选择，可随意配置中控界面。可控制高清矩阵信号切换、电源设备开关、摄像头的转动方向放大缩小及预置位调用、音频音量、灯光/空调开关等中控功能。</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D58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DCB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r>
      <w:tr w14:paraId="4A1D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A2418C">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2.综合管理控制端</w:t>
            </w:r>
          </w:p>
        </w:tc>
      </w:tr>
      <w:tr w14:paraId="0F3A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D15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916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分布式综合管理系统控制软件</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87A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1.客户端软件支持安装在Windows、安卓、iPad、麒麟等操作系统；</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3.支持中控功能，切换拼墙后自动显示改拼墙的中控界面，可实现高清矩阵信号切换、电源设备开关、摄像头的转动方向放大缩小及预置位调用、音频音量、灯光/空调开关等中控功能；</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2C5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CA0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r>
      <w:tr w14:paraId="5E52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9B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12D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VMS可视化管理系统AI语音控制软件</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69A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1.软件结合语音识别引擎，可实现对普通话语音进行识别，支持语音转写文字反馈显示于操作界面。</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2.支持语音控制信号源的开窗，切换信号源，场景布局，声音的调试，窗口模式的切换，场景切换。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59D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FE6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r>
      <w:tr w14:paraId="539E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202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B0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视频会议控制终端</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0FFD">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1.内存：16G</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2.硬盘：1TB SSD</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3.包含21.45英寸显示器（分辨率：1080P）</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CFA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E2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0CFE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E72C4">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3.集中控制</w:t>
            </w:r>
          </w:p>
        </w:tc>
      </w:tr>
      <w:tr w14:paraId="0A06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02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9BA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分布式中控主机</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8AF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1.采用处理器配置等同于或优于64位四核A55、主频等同于或优于1.5GHz。</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2.具备两个千兆网口；支持B/S架构，支持IOS、安卓等移动平台以及PC可视化触摸控制；</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3.支持可编程控制平台，这个系统支持音频、视频和周边设备控制集中于一个平台软件上控制，拖拽式操作达到人机交互功能，支持多设备间一键联动控制功能；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4.支持会场的灯光、窗帘、音响音量、无纸化等系统控制管理；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A31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D9A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26DB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167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189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分布式中控系统定制编程软件</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14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1.软件内嵌于分布式中央控制系统主机设备，实现系统控制逻辑、处理等功能。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2.主要包括硬件逻辑模块、软件逻辑模块、红外代码管理、编译、监视等。</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3.编程软件支持添加与实际工程对应硬件的逻辑模块。</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4.实现串口代码数据、IR红外数据、继电器、I/O数据等的代码转发、逻辑算法处理等编程功能。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5.支持界面设计软件实现中控控制界面的制作及编辑。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FDA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914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r>
      <w:tr w14:paraId="087B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19E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A7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八位继电控制器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6FA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1.具有≥8路自动、手动电源控制器，内置≥8个20A继电器，负载能力≥4400W/单路；配合中控主机使用，用于控制灯光、电动投影幕、电动窗帘等会议室周边设备。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A9F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F7E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310C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3F179">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4.信号源接入及输出</w:t>
            </w:r>
          </w:p>
        </w:tc>
      </w:tr>
      <w:tr w14:paraId="0843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117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C38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输入/输出高清一体节点</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32E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1.输入输出一体化设计，根据需求可任意配置为输入终端、输出终端、KVM输入终端或KVM输出终端；终端并支持去中心化无服务器架构部署。</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2.作为输入节点时，支持同步采集2路1920x1080P@60fps高清视频信号并同步编码，支持YUV4:4:4 1920x1080P@60采集并编码；作为输出节点时，支持同时解码16路1080P@60fps高清视频信号，支持YUV4:4:4  1920x1080P@60解码并显示，支持画面平铺、缩放、叠加、分割等，支持同步输出2路不同的高清视频拼接合成画面。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F27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884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01C5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446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82C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输入/输出高清一体节点</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517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1.输入输出一体化设计，根据需求可任意配置为输入终端、输出终端、KVM输入终端或KVM输出终端；终端并支持去中心化无服务器架构部署。</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2.作为输入节点时，支持同步采集2路1920x1080P@60fps高清视频信号并同步编码，支持YUV4:4:4 1920x1080P@60采集并编码；作为输出节点时，支持同时解码16路1080P@60fps高清视频信号，支持YUV4:4:4  1920x1080P@60解码并显示，支持画面平铺、缩放、叠加、分割等，支持同步输出2路不同的高清视频拼接合成画面。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806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18</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1F1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19A4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A31DC">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视频会议系统</w:t>
            </w:r>
          </w:p>
        </w:tc>
      </w:tr>
      <w:tr w14:paraId="5C18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B10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986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cs="Times New Roman"/>
                <w:i w:val="0"/>
                <w:color w:val="000000"/>
                <w:kern w:val="0"/>
                <w:sz w:val="20"/>
                <w:szCs w:val="20"/>
                <w:highlight w:val="none"/>
                <w:u w:val="none"/>
                <w:lang w:val="en-US" w:eastAsia="zh-CN" w:bidi="ar"/>
              </w:rPr>
              <w:t>高清</w:t>
            </w:r>
            <w:r>
              <w:rPr>
                <w:rFonts w:hint="default" w:ascii="Times New Roman" w:hAnsi="Times New Roman" w:eastAsia="宋体" w:cs="Times New Roman"/>
                <w:i w:val="0"/>
                <w:color w:val="000000"/>
                <w:kern w:val="0"/>
                <w:sz w:val="20"/>
                <w:szCs w:val="20"/>
                <w:highlight w:val="none"/>
                <w:u w:val="none"/>
                <w:lang w:val="en-US" w:eastAsia="zh-CN" w:bidi="ar"/>
              </w:rPr>
              <w:t>视频</w:t>
            </w:r>
            <w:r>
              <w:rPr>
                <w:rFonts w:hint="eastAsia" w:ascii="Times New Roman" w:cs="Times New Roman"/>
                <w:i w:val="0"/>
                <w:color w:val="000000"/>
                <w:kern w:val="0"/>
                <w:sz w:val="20"/>
                <w:szCs w:val="20"/>
                <w:highlight w:val="none"/>
                <w:u w:val="none"/>
                <w:lang w:val="en-US" w:eastAsia="zh-CN" w:bidi="ar"/>
              </w:rPr>
              <w:t>会议终端</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A276">
            <w:pPr>
              <w:keepNext w:val="0"/>
              <w:keepLines w:val="0"/>
              <w:widowControl/>
              <w:numPr>
                <w:ilvl w:val="0"/>
                <w:numId w:val="0"/>
              </w:numPr>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cs="Times New Roman"/>
                <w:i w:val="0"/>
                <w:color w:val="000000"/>
                <w:kern w:val="0"/>
                <w:sz w:val="20"/>
                <w:szCs w:val="20"/>
                <w:highlight w:val="none"/>
                <w:u w:val="none"/>
                <w:lang w:val="en-US" w:eastAsia="zh-CN" w:bidi="ar"/>
              </w:rPr>
              <w:t>1.</w:t>
            </w:r>
            <w:r>
              <w:rPr>
                <w:rFonts w:hint="default" w:ascii="Times New Roman" w:hAnsi="Times New Roman" w:eastAsia="宋体" w:cs="Times New Roman"/>
                <w:i w:val="0"/>
                <w:color w:val="000000"/>
                <w:kern w:val="0"/>
                <w:sz w:val="20"/>
                <w:szCs w:val="20"/>
                <w:highlight w:val="none"/>
                <w:u w:val="none"/>
                <w:lang w:val="en-US" w:eastAsia="zh-CN" w:bidi="ar"/>
              </w:rPr>
              <w:t>支持通过协议方式接入视频</w:t>
            </w:r>
            <w:r>
              <w:rPr>
                <w:rFonts w:hint="eastAsia" w:ascii="Times New Roman" w:cs="Times New Roman"/>
                <w:i w:val="0"/>
                <w:color w:val="000000"/>
                <w:kern w:val="0"/>
                <w:sz w:val="20"/>
                <w:szCs w:val="20"/>
                <w:highlight w:val="none"/>
                <w:u w:val="none"/>
                <w:lang w:val="en-US" w:eastAsia="zh-CN" w:bidi="ar"/>
              </w:rPr>
              <w:t>会议系统</w:t>
            </w:r>
            <w:r>
              <w:rPr>
                <w:rFonts w:hint="default" w:ascii="Times New Roman" w:hAnsi="Times New Roman" w:eastAsia="宋体" w:cs="Times New Roman"/>
                <w:i w:val="0"/>
                <w:color w:val="000000"/>
                <w:kern w:val="0"/>
                <w:sz w:val="20"/>
                <w:szCs w:val="20"/>
                <w:highlight w:val="none"/>
                <w:u w:val="none"/>
                <w:lang w:val="en-US" w:eastAsia="zh-CN" w:bidi="ar"/>
              </w:rPr>
              <w:t>，采用分体式设计，具备并配置4K30fps超高清视频通话能力。投标人提供承诺函。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2.采用嵌入式操作系统，非PC架构，通过遥控器或触控屏幕进行会议控制包括控制声音、图像、会议管理等，非键盘鼠标操作，采用国产芯片。</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3.具备≥3个视频输入接口。提供产品彩页、清晰正面照片和清晰背板接口图。</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4.音频输入接口至少包含卡农、6.5mm、RCA等3种类型接口，音频输出接口至少包含RCA、HDMI等2种音频输出接口，方便与会议室音频系统集成。上述接口需终端集成，不接受转接方式实现。提供产品清晰背板接口图。</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cs="Times New Roman"/>
                <w:i w:val="0"/>
                <w:color w:val="000000"/>
                <w:kern w:val="0"/>
                <w:sz w:val="20"/>
                <w:szCs w:val="20"/>
                <w:highlight w:val="none"/>
                <w:u w:val="none"/>
                <w:lang w:val="en-US" w:eastAsia="zh-CN" w:bidi="ar"/>
              </w:rPr>
              <w:t>5</w:t>
            </w:r>
            <w:r>
              <w:rPr>
                <w:rFonts w:hint="default" w:ascii="Times New Roman" w:hAnsi="Times New Roman" w:eastAsia="宋体" w:cs="Times New Roman"/>
                <w:i w:val="0"/>
                <w:color w:val="000000"/>
                <w:kern w:val="0"/>
                <w:sz w:val="20"/>
                <w:szCs w:val="20"/>
                <w:highlight w:val="none"/>
                <w:u w:val="none"/>
                <w:lang w:val="en-US" w:eastAsia="zh-CN" w:bidi="ar"/>
              </w:rPr>
              <w:t>.支持有线、WiFi等网络接入方式。</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cs="Times New Roman"/>
                <w:i w:val="0"/>
                <w:color w:val="000000"/>
                <w:kern w:val="0"/>
                <w:sz w:val="20"/>
                <w:szCs w:val="20"/>
                <w:highlight w:val="none"/>
                <w:u w:val="none"/>
                <w:lang w:val="en-US" w:eastAsia="zh-CN" w:bidi="ar"/>
              </w:rPr>
              <w:t>6</w:t>
            </w:r>
            <w:r>
              <w:rPr>
                <w:rFonts w:hint="default" w:ascii="Times New Roman" w:hAnsi="Times New Roman" w:eastAsia="宋体" w:cs="Times New Roman"/>
                <w:i w:val="0"/>
                <w:color w:val="000000"/>
                <w:kern w:val="0"/>
                <w:sz w:val="20"/>
                <w:szCs w:val="20"/>
                <w:highlight w:val="none"/>
                <w:u w:val="none"/>
                <w:lang w:val="en-US" w:eastAsia="zh-CN" w:bidi="ar"/>
              </w:rPr>
              <w:t>.支持H.264、H.264HP、H.264SVC、H.265、H.265SVC等视频编解码协议，支持Opus、G.722.1C、G.722等音频编解码协议。</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cs="Times New Roman"/>
                <w:i w:val="0"/>
                <w:color w:val="000000"/>
                <w:kern w:val="0"/>
                <w:sz w:val="20"/>
                <w:szCs w:val="20"/>
                <w:highlight w:val="none"/>
                <w:u w:val="none"/>
                <w:lang w:val="en-US" w:eastAsia="zh-CN" w:bidi="ar"/>
              </w:rPr>
              <w:t>7</w:t>
            </w:r>
            <w:r>
              <w:rPr>
                <w:rFonts w:hint="default" w:ascii="Times New Roman" w:hAnsi="Times New Roman" w:eastAsia="宋体" w:cs="Times New Roman"/>
                <w:i w:val="0"/>
                <w:color w:val="000000"/>
                <w:kern w:val="0"/>
                <w:sz w:val="20"/>
                <w:szCs w:val="20"/>
                <w:highlight w:val="none"/>
                <w:u w:val="none"/>
                <w:lang w:val="en-US" w:eastAsia="zh-CN" w:bidi="ar"/>
              </w:rPr>
              <w:t>.具备通讯录功能，可查看到通讯录中个人用户或终端设备上线、离线等信息，可通过通讯录一键快速建立呼叫。</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cs="Times New Roman"/>
                <w:i w:val="0"/>
                <w:color w:val="000000"/>
                <w:kern w:val="0"/>
                <w:sz w:val="20"/>
                <w:szCs w:val="20"/>
                <w:highlight w:val="none"/>
                <w:u w:val="none"/>
                <w:lang w:val="en-US" w:eastAsia="zh-CN" w:bidi="ar"/>
              </w:rPr>
              <w:t>8</w:t>
            </w:r>
            <w:r>
              <w:rPr>
                <w:rFonts w:hint="default" w:ascii="Times New Roman" w:hAnsi="Times New Roman" w:eastAsia="宋体" w:cs="Times New Roman"/>
                <w:i w:val="0"/>
                <w:color w:val="000000"/>
                <w:kern w:val="0"/>
                <w:sz w:val="20"/>
                <w:szCs w:val="20"/>
                <w:highlight w:val="none"/>
                <w:u w:val="none"/>
                <w:lang w:val="en-US" w:eastAsia="zh-CN" w:bidi="ar"/>
              </w:rPr>
              <w:t>.支持回声消除、自动降噪、自动增益和增益调节、突出人声，支持唇音同步技术。</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cs="Times New Roman"/>
                <w:i w:val="0"/>
                <w:color w:val="000000"/>
                <w:kern w:val="0"/>
                <w:sz w:val="20"/>
                <w:szCs w:val="20"/>
                <w:highlight w:val="none"/>
                <w:u w:val="none"/>
                <w:lang w:val="en-US" w:eastAsia="zh-CN" w:bidi="ar"/>
              </w:rPr>
              <w:t>9</w:t>
            </w:r>
            <w:r>
              <w:rPr>
                <w:rFonts w:hint="default" w:ascii="Times New Roman" w:hAnsi="Times New Roman" w:eastAsia="宋体" w:cs="Times New Roman"/>
                <w:i w:val="0"/>
                <w:color w:val="000000"/>
                <w:kern w:val="0"/>
                <w:sz w:val="20"/>
                <w:szCs w:val="20"/>
                <w:highlight w:val="none"/>
                <w:u w:val="none"/>
                <w:lang w:val="en-US" w:eastAsia="zh-CN" w:bidi="ar"/>
              </w:rPr>
              <w:t>.具备网络抗丢包能力，在丢包率50%的情况下能保证视频流畅传输，在网络丢包率50%的情况下语音仍可进行交流。</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cs="Times New Roman"/>
                <w:i w:val="0"/>
                <w:color w:val="000000"/>
                <w:kern w:val="0"/>
                <w:sz w:val="20"/>
                <w:szCs w:val="20"/>
                <w:highlight w:val="none"/>
                <w:u w:val="none"/>
                <w:lang w:val="en-US" w:eastAsia="zh-CN" w:bidi="ar"/>
              </w:rPr>
              <w:t>10</w:t>
            </w:r>
            <w:r>
              <w:rPr>
                <w:rFonts w:hint="default" w:ascii="Times New Roman" w:hAnsi="Times New Roman" w:eastAsia="宋体" w:cs="Times New Roman"/>
                <w:i w:val="0"/>
                <w:color w:val="000000"/>
                <w:kern w:val="0"/>
                <w:sz w:val="20"/>
                <w:szCs w:val="20"/>
                <w:highlight w:val="none"/>
                <w:u w:val="none"/>
                <w:lang w:val="en-US" w:eastAsia="zh-CN" w:bidi="ar"/>
              </w:rPr>
              <w:t>.当终端的接入网络在有线网络和无线网络之间进行切换时，视频业务能够在≤2秒时间内快速恢复，提供国家认可的第三方检测机构出具的带有CMA或CNAS标识的检测报告扫描件且在报告中能清晰标注上述功能，并加盖所投产品制造商公章证明</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cs="Times New Roman"/>
                <w:i w:val="0"/>
                <w:color w:val="000000"/>
                <w:kern w:val="0"/>
                <w:sz w:val="20"/>
                <w:szCs w:val="20"/>
                <w:highlight w:val="none"/>
                <w:u w:val="none"/>
                <w:lang w:val="en-US" w:eastAsia="zh-CN" w:bidi="ar"/>
              </w:rPr>
              <w:t>11</w:t>
            </w:r>
            <w:r>
              <w:rPr>
                <w:rFonts w:hint="default" w:ascii="Times New Roman" w:hAnsi="Times New Roman" w:eastAsia="宋体" w:cs="Times New Roman"/>
                <w:i w:val="0"/>
                <w:color w:val="000000"/>
                <w:kern w:val="0"/>
                <w:sz w:val="20"/>
                <w:szCs w:val="20"/>
                <w:highlight w:val="none"/>
                <w:u w:val="none"/>
                <w:lang w:val="en-US" w:eastAsia="zh-CN" w:bidi="ar"/>
              </w:rPr>
              <w:t>.主流达到4K30fps的情况下，辅流也可达到4K30fps。提供第三方鉴定测试报告关键页。</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cs="Times New Roman"/>
                <w:i w:val="0"/>
                <w:color w:val="000000"/>
                <w:kern w:val="0"/>
                <w:sz w:val="20"/>
                <w:szCs w:val="20"/>
                <w:highlight w:val="none"/>
                <w:u w:val="none"/>
                <w:lang w:val="en-US" w:eastAsia="zh-CN" w:bidi="ar"/>
              </w:rPr>
              <w:t>12</w:t>
            </w:r>
            <w:r>
              <w:rPr>
                <w:rFonts w:hint="default" w:ascii="Times New Roman" w:hAnsi="Times New Roman" w:eastAsia="宋体" w:cs="Times New Roman"/>
                <w:i w:val="0"/>
                <w:color w:val="000000"/>
                <w:kern w:val="0"/>
                <w:sz w:val="20"/>
                <w:szCs w:val="20"/>
                <w:highlight w:val="none"/>
                <w:u w:val="none"/>
                <w:lang w:val="en-US" w:eastAsia="zh-CN" w:bidi="ar"/>
              </w:rPr>
              <w:t>.低带宽能力：在1Mbps带宽下支持4K30fps音视频图像正常传输，音视频清晰流畅无卡顿。</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cs="Times New Roman"/>
                <w:i w:val="0"/>
                <w:color w:val="000000"/>
                <w:kern w:val="0"/>
                <w:sz w:val="20"/>
                <w:szCs w:val="20"/>
                <w:highlight w:val="none"/>
                <w:u w:val="none"/>
                <w:lang w:val="en-US" w:eastAsia="zh-CN" w:bidi="ar"/>
              </w:rPr>
              <w:t>13</w:t>
            </w:r>
            <w:r>
              <w:rPr>
                <w:rFonts w:hint="default" w:ascii="Times New Roman" w:hAnsi="Times New Roman" w:eastAsia="宋体" w:cs="Times New Roman"/>
                <w:i w:val="0"/>
                <w:color w:val="000000"/>
                <w:kern w:val="0"/>
                <w:sz w:val="20"/>
                <w:szCs w:val="20"/>
                <w:highlight w:val="none"/>
                <w:u w:val="none"/>
                <w:lang w:val="en-US" w:eastAsia="zh-CN" w:bidi="ar"/>
              </w:rPr>
              <w:t>.终端开机后可以自动对本机的网络状态、摄像头采集状态、扬声器输出状态、麦克风输入状态进行自检，并输出检测结果。</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cs="Times New Roman"/>
                <w:i w:val="0"/>
                <w:color w:val="000000"/>
                <w:kern w:val="0"/>
                <w:sz w:val="20"/>
                <w:szCs w:val="20"/>
                <w:highlight w:val="none"/>
                <w:u w:val="none"/>
                <w:lang w:val="en-US" w:eastAsia="zh-CN" w:bidi="ar"/>
              </w:rPr>
              <w:t>14</w:t>
            </w:r>
            <w:r>
              <w:rPr>
                <w:rFonts w:hint="default" w:ascii="Times New Roman" w:hAnsi="Times New Roman" w:eastAsia="宋体" w:cs="Times New Roman"/>
                <w:i w:val="0"/>
                <w:color w:val="000000"/>
                <w:kern w:val="0"/>
                <w:sz w:val="20"/>
                <w:szCs w:val="20"/>
                <w:highlight w:val="none"/>
                <w:u w:val="none"/>
                <w:lang w:val="en-US" w:eastAsia="zh-CN" w:bidi="ar"/>
              </w:rPr>
              <w:t>.配置1只全向麦克风，麦克风支持360°全向拾音，至少6米有效拾音距离。</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1</w:t>
            </w:r>
            <w:r>
              <w:rPr>
                <w:rFonts w:hint="eastAsia" w:ascii="Times New Roman" w:cs="Times New Roman"/>
                <w:i w:val="0"/>
                <w:color w:val="000000"/>
                <w:kern w:val="0"/>
                <w:sz w:val="20"/>
                <w:szCs w:val="20"/>
                <w:highlight w:val="none"/>
                <w:u w:val="none"/>
                <w:lang w:val="en-US" w:eastAsia="zh-CN" w:bidi="ar"/>
              </w:rPr>
              <w:t>5</w:t>
            </w:r>
            <w:r>
              <w:rPr>
                <w:rFonts w:hint="default" w:ascii="Times New Roman" w:hAnsi="Times New Roman" w:eastAsia="宋体" w:cs="Times New Roman"/>
                <w:i w:val="0"/>
                <w:color w:val="000000"/>
                <w:kern w:val="0"/>
                <w:sz w:val="20"/>
                <w:szCs w:val="20"/>
                <w:highlight w:val="none"/>
                <w:u w:val="none"/>
                <w:lang w:val="en-US" w:eastAsia="zh-CN" w:bidi="ar"/>
              </w:rPr>
              <w:t>.配置1只高清摄像头，≥800万有效像素，具备≥12倍光学变焦，具备≥2个视频输出接口，其中包含SDI或3G-SDI接口，无需借助转接设备视频有效传输距离≥35米。提供产品彩页、清晰正面照片和清晰背板接口图。</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1</w:t>
            </w:r>
            <w:r>
              <w:rPr>
                <w:rFonts w:hint="eastAsia" w:ascii="Times New Roman" w:cs="Times New Roman"/>
                <w:i w:val="0"/>
                <w:color w:val="000000"/>
                <w:kern w:val="0"/>
                <w:sz w:val="20"/>
                <w:szCs w:val="20"/>
                <w:highlight w:val="none"/>
                <w:u w:val="none"/>
                <w:lang w:val="en-US" w:eastAsia="zh-CN" w:bidi="ar"/>
              </w:rPr>
              <w:t>6</w:t>
            </w:r>
            <w:r>
              <w:rPr>
                <w:rFonts w:hint="default" w:ascii="Times New Roman" w:hAnsi="Times New Roman" w:eastAsia="宋体" w:cs="Times New Roman"/>
                <w:i w:val="0"/>
                <w:color w:val="000000"/>
                <w:kern w:val="0"/>
                <w:sz w:val="20"/>
                <w:szCs w:val="20"/>
                <w:highlight w:val="none"/>
                <w:u w:val="none"/>
                <w:lang w:val="en-US" w:eastAsia="zh-CN" w:bidi="ar"/>
              </w:rPr>
              <w:t>.具备软件著作权，提供软件著作权复印件。</w:t>
            </w:r>
          </w:p>
          <w:p w14:paraId="206C8FCD">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cs="Times New Roman"/>
                <w:i w:val="0"/>
                <w:color w:val="000000"/>
                <w:kern w:val="0"/>
                <w:sz w:val="20"/>
                <w:szCs w:val="20"/>
                <w:highlight w:val="none"/>
                <w:u w:val="none"/>
                <w:lang w:val="en-US" w:eastAsia="zh-CN" w:bidi="ar"/>
              </w:rPr>
              <w:t>17.含10年终端端口服务费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5BE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CB4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r>
      <w:tr w14:paraId="066E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B007">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A1F7">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ascii="Times New Roman" w:cs="Times New Roman"/>
                <w:b w:val="0"/>
                <w:bCs/>
                <w:i w:val="0"/>
                <w:color w:val="000000"/>
                <w:kern w:val="0"/>
                <w:sz w:val="20"/>
                <w:szCs w:val="20"/>
                <w:highlight w:val="none"/>
                <w:u w:val="none"/>
                <w:lang w:val="en-US" w:eastAsia="zh-CN" w:bidi="ar"/>
              </w:rPr>
              <w:t>一体式</w:t>
            </w:r>
            <w:r>
              <w:rPr>
                <w:rFonts w:hint="default" w:ascii="Times New Roman" w:hAnsi="Times New Roman" w:eastAsia="宋体" w:cs="Times New Roman"/>
                <w:b w:val="0"/>
                <w:bCs/>
                <w:i w:val="0"/>
                <w:color w:val="000000"/>
                <w:kern w:val="0"/>
                <w:sz w:val="20"/>
                <w:szCs w:val="20"/>
                <w:highlight w:val="none"/>
                <w:u w:val="none"/>
                <w:lang w:val="en-US" w:eastAsia="zh-CN" w:bidi="ar"/>
              </w:rPr>
              <w:t>视频</w:t>
            </w:r>
            <w:r>
              <w:rPr>
                <w:rFonts w:hint="eastAsia" w:ascii="Times New Roman" w:cs="Times New Roman"/>
                <w:b w:val="0"/>
                <w:bCs/>
                <w:i w:val="0"/>
                <w:color w:val="000000"/>
                <w:kern w:val="0"/>
                <w:sz w:val="20"/>
                <w:szCs w:val="20"/>
                <w:highlight w:val="none"/>
                <w:u w:val="none"/>
                <w:lang w:val="en-US" w:eastAsia="zh-CN" w:bidi="ar"/>
              </w:rPr>
              <w:t>会议</w:t>
            </w:r>
            <w:r>
              <w:rPr>
                <w:rFonts w:hint="default" w:ascii="Times New Roman" w:hAnsi="Times New Roman" w:eastAsia="宋体" w:cs="Times New Roman"/>
                <w:b w:val="0"/>
                <w:bCs/>
                <w:i w:val="0"/>
                <w:color w:val="000000"/>
                <w:kern w:val="0"/>
                <w:sz w:val="20"/>
                <w:szCs w:val="20"/>
                <w:highlight w:val="none"/>
                <w:u w:val="none"/>
                <w:lang w:val="en-US" w:eastAsia="zh-CN" w:bidi="ar"/>
              </w:rPr>
              <w:t>终端</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67F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1.支持通过协议方式接入视频平台。投标人提供承诺函。</w:t>
            </w:r>
          </w:p>
          <w:p w14:paraId="3B22941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2.一体式设计，集成主机（编解码器）、麦克风、摄像头等于一体，支持并配置≥108030fps高清视频通话能力。提供产品彩页。</w:t>
            </w:r>
          </w:p>
          <w:p w14:paraId="7A2DADE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3.具备≥1路音频输入接口和≥1路音频输出接口。</w:t>
            </w:r>
          </w:p>
          <w:p w14:paraId="3A03CE3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4.</w:t>
            </w:r>
            <w:r>
              <w:rPr>
                <w:rFonts w:hint="default" w:ascii="Times New Roman" w:hAnsi="Times New Roman" w:eastAsia="宋体" w:cs="Times New Roman"/>
                <w:i w:val="0"/>
                <w:color w:val="000000"/>
                <w:kern w:val="0"/>
                <w:sz w:val="20"/>
                <w:szCs w:val="20"/>
                <w:highlight w:val="none"/>
                <w:u w:val="none"/>
                <w:lang w:val="en-US" w:eastAsia="zh-CN" w:bidi="ar"/>
              </w:rPr>
              <w:t>支持H.264、H.264HP、H.264SVC、H.265、H.265SVC等视频编解码协议</w:t>
            </w:r>
            <w:r>
              <w:rPr>
                <w:rFonts w:hint="default" w:ascii="Times New Roman" w:hAnsi="Times New Roman" w:eastAsia="宋体" w:cs="Times New Roman"/>
                <w:i w:val="0"/>
                <w:color w:val="000000"/>
                <w:sz w:val="20"/>
                <w:szCs w:val="20"/>
                <w:highlight w:val="none"/>
                <w:u w:val="none"/>
              </w:rPr>
              <w:t>，支持Opus、G.722.1C、G.722等音频编解码协议。</w:t>
            </w:r>
          </w:p>
          <w:p w14:paraId="1CA4E3F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5.支持有线、WiFi等多种网络接入方式。</w:t>
            </w:r>
          </w:p>
          <w:p w14:paraId="098F05B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6.具备通讯录功能，可查看到通讯录中个人用户或终端设备上线、离线等信息，可通过通讯录一键快速建立呼叫。</w:t>
            </w:r>
          </w:p>
          <w:p w14:paraId="0CCA74C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7.支持回声消除、自动降噪、自动增益和增益调节、突出人声，支持唇音同步技术。</w:t>
            </w:r>
          </w:p>
          <w:p w14:paraId="7DCEE53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cs="Times New Roman"/>
                <w:i w:val="0"/>
                <w:color w:val="000000"/>
                <w:sz w:val="20"/>
                <w:szCs w:val="20"/>
                <w:highlight w:val="none"/>
                <w:u w:val="none"/>
                <w:lang w:val="en-US" w:eastAsia="zh-CN"/>
              </w:rPr>
              <w:t>8</w:t>
            </w:r>
            <w:r>
              <w:rPr>
                <w:rFonts w:hint="default" w:ascii="Times New Roman" w:hAnsi="Times New Roman" w:eastAsia="宋体" w:cs="Times New Roman"/>
                <w:i w:val="0"/>
                <w:color w:val="000000"/>
                <w:sz w:val="20"/>
                <w:szCs w:val="20"/>
                <w:highlight w:val="none"/>
                <w:u w:val="none"/>
              </w:rPr>
              <w:t>.在网络丢包率</w:t>
            </w:r>
            <w:r>
              <w:rPr>
                <w:rFonts w:hint="eastAsia" w:ascii="Times New Roman" w:cs="Times New Roman"/>
                <w:i w:val="0"/>
                <w:color w:val="000000"/>
                <w:sz w:val="20"/>
                <w:szCs w:val="20"/>
                <w:highlight w:val="none"/>
                <w:u w:val="none"/>
                <w:lang w:val="en-US" w:eastAsia="zh-CN"/>
              </w:rPr>
              <w:t>5</w:t>
            </w:r>
            <w:r>
              <w:rPr>
                <w:rFonts w:hint="default" w:ascii="Times New Roman" w:hAnsi="Times New Roman" w:eastAsia="宋体" w:cs="Times New Roman"/>
                <w:i w:val="0"/>
                <w:color w:val="000000"/>
                <w:sz w:val="20"/>
                <w:szCs w:val="20"/>
                <w:highlight w:val="none"/>
                <w:u w:val="none"/>
              </w:rPr>
              <w:t>0%时，音视频清晰流畅无卡顿现象（帧率不低于30帧/秒）；在丢包率</w:t>
            </w:r>
            <w:r>
              <w:rPr>
                <w:rFonts w:hint="eastAsia" w:ascii="Times New Roman" w:cs="Times New Roman"/>
                <w:i w:val="0"/>
                <w:color w:val="000000"/>
                <w:sz w:val="20"/>
                <w:szCs w:val="20"/>
                <w:highlight w:val="none"/>
                <w:u w:val="none"/>
                <w:lang w:val="en-US" w:eastAsia="zh-CN"/>
              </w:rPr>
              <w:t>5</w:t>
            </w:r>
            <w:r>
              <w:rPr>
                <w:rFonts w:hint="default" w:ascii="Times New Roman" w:hAnsi="Times New Roman" w:eastAsia="宋体" w:cs="Times New Roman"/>
                <w:i w:val="0"/>
                <w:color w:val="000000"/>
                <w:sz w:val="20"/>
                <w:szCs w:val="20"/>
                <w:highlight w:val="none"/>
                <w:u w:val="none"/>
              </w:rPr>
              <w:t>0%时，语音仍清晰流畅。提供国家认可的第三方检测机构出具的带有CMA或CNAS标识的检测报告扫描件且在报告中能清晰标注上述功能</w:t>
            </w:r>
          </w:p>
          <w:p w14:paraId="2E670D4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cs="Times New Roman"/>
                <w:i w:val="0"/>
                <w:color w:val="000000"/>
                <w:sz w:val="20"/>
                <w:szCs w:val="20"/>
                <w:highlight w:val="none"/>
                <w:u w:val="none"/>
                <w:lang w:val="en-US" w:eastAsia="zh-CN"/>
              </w:rPr>
              <w:t>9</w:t>
            </w:r>
            <w:r>
              <w:rPr>
                <w:rFonts w:hint="default" w:ascii="Times New Roman" w:hAnsi="Times New Roman" w:eastAsia="宋体" w:cs="Times New Roman"/>
                <w:i w:val="0"/>
                <w:color w:val="000000"/>
                <w:sz w:val="20"/>
                <w:szCs w:val="20"/>
                <w:highlight w:val="none"/>
                <w:u w:val="none"/>
              </w:rPr>
              <w:t>.共享内容（双流）时支持叠加明水印，提高内容共享（双流）的安全性。提供国家认可的第三方检测机构出具的带有CMA或CNAS标识的检测报告扫描件且在报告中能清晰标注上述功能，并加盖所投产品制造商公章证明或提供功能应用截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327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3693">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110</w:t>
            </w:r>
          </w:p>
        </w:tc>
      </w:tr>
      <w:tr w14:paraId="0300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67C3A">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高清录播系统</w:t>
            </w:r>
          </w:p>
        </w:tc>
      </w:tr>
      <w:tr w14:paraId="779B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CFB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15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高清会议录播主机</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E03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1.采用一体化硬件设计，嵌入式Linux操作系统，高度集成图像识别跟踪、自动导播、直播、点播、采集、录制等系统模块。</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2.基于B/S架构，登陆web端即可实现直播管理、信号管理、分组管理、用户管理、文件管理、预约录制、中控管理以及系统管理等功能。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3.音频采用AAC高清编码方式，音视频精准同步录制。视频采用H.264编码方式，码率可调，支持视频编码256kbps～12Mbps，支持≥1920x1080分辨率（HDMI分辨率可支持≥3840x2160）。</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4.主机内置LCD屏，显示系统硬盘空间、版本号和录制状态、IP地址等设备信息。</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5.无需安装辅助跟踪分析摄像机，即可实现对低龄、身高差大班级的学生进行精准跟踪，自适应不同班级学生的高度。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FB5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309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4D74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8E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CC8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自动录制控制管理软件</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762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1.软件内嵌录播主机，运行在Linux操作系统环境，支持B/S管理。</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2.软件支持添加录制片头、添加字幕、添加logo以及预约录制等功能。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3.软件支持对课堂或培训课堂录制的控制和管理，具有录制资源模式、录制电影模式、录制暂停、选择录制格式等功能。</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395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116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r>
      <w:tr w14:paraId="5565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6E9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F3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高清会议摄像机</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2A8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1.高清摄像机具备≥30倍光学变倍镜头，并支持≥16倍数字变焦；采用1/2.8英寸、≥207万有效像素的HD CMOS传感器。</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2.镜头焦距 f4.42mm ~ 132.6mm, F1.8 ~ F2.8。</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3.支持1080P60，1080P59.94，1080P50，1080I60，1080I59.94，1080I50，1080P30，1080P29.97，1080P25，720P60，720P59.94，720P50分辨率，支持输出帧率≥60帧/秒。</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4.支持HDMI、SDI、USB、网络四路视频同时输出。</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5.支持RS232和RS485串口，可对摄像机进行控制；支持预置位数量≥255个，预置位精度：≤0.1°。</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6.水平视场角：60.7°~2.28°；支持水平转动范围：-170°～+170°，垂直转动范围：-30°～+90°，水平转动速度范围：水平：1.7° ~ 100°/s，俯仰：1.7° ~ 69.9°/s。</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7.支持2D、3D降噪技术。</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7CD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1A9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69C2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C15F">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cs="Times New Roman"/>
                <w:i w:val="0"/>
                <w:color w:val="000000"/>
                <w:kern w:val="0"/>
                <w:sz w:val="20"/>
                <w:szCs w:val="20"/>
                <w:highlight w:val="none"/>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C8FA">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便携式录播系统</w:t>
            </w:r>
          </w:p>
          <w:p w14:paraId="2677486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7EAC">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1.支持标准 SIP 互动协议，支持 1080p 高清视频互动</w:t>
            </w:r>
            <w:r>
              <w:rPr>
                <w:rFonts w:hint="eastAsia"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hAnsi="Times New Roman" w:eastAsia="宋体" w:cs="Times New Roman"/>
                <w:i w:val="0"/>
                <w:color w:val="000000"/>
                <w:kern w:val="0"/>
                <w:sz w:val="20"/>
                <w:szCs w:val="20"/>
                <w:highlight w:val="none"/>
                <w:u w:val="none"/>
                <w:lang w:val="en-US" w:eastAsia="zh-CN" w:bidi="ar"/>
              </w:rPr>
              <w:t>2.互动系统具备回声消除功能，在主讲端与听讲端同时发言的情况下，保证双方语音清晰，双方体验良好。</w:t>
            </w:r>
            <w:r>
              <w:rPr>
                <w:rFonts w:hint="eastAsia"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hAnsi="Times New Roman" w:eastAsia="宋体" w:cs="Times New Roman"/>
                <w:i w:val="0"/>
                <w:color w:val="000000"/>
                <w:kern w:val="0"/>
                <w:sz w:val="20"/>
                <w:szCs w:val="20"/>
                <w:highlight w:val="none"/>
                <w:u w:val="none"/>
                <w:lang w:val="en-US" w:eastAsia="zh-CN" w:bidi="ar"/>
              </w:rPr>
              <w:t>3.支持双流自动发送，设置自动发送后，建立呼叫，主讲教室自动发送双流（提供国家认可的权威第三方检测机构所出具的权威检测报告）</w:t>
            </w:r>
            <w:r>
              <w:rPr>
                <w:rFonts w:hint="eastAsia"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hAnsi="Times New Roman" w:eastAsia="宋体" w:cs="Times New Roman"/>
                <w:i w:val="0"/>
                <w:color w:val="000000"/>
                <w:kern w:val="0"/>
                <w:sz w:val="20"/>
                <w:szCs w:val="20"/>
                <w:highlight w:val="none"/>
                <w:u w:val="none"/>
                <w:lang w:val="en-US" w:eastAsia="zh-CN" w:bidi="ar"/>
              </w:rPr>
              <w:t>4.支持课程预约功能，互动录播电脑主机能接收平台下发的互动课表，并显示于互动电脑主机一体化触控屏上，用户点击课表即可立即加入课堂，进行实时互动（提供国家认可的权威第三方检测机构所出具的权威检测报告）</w:t>
            </w:r>
            <w:r>
              <w:rPr>
                <w:rFonts w:hint="eastAsia"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hAnsi="Times New Roman" w:eastAsia="宋体" w:cs="Times New Roman"/>
                <w:i w:val="0"/>
                <w:color w:val="000000"/>
                <w:kern w:val="0"/>
                <w:sz w:val="20"/>
                <w:szCs w:val="20"/>
                <w:highlight w:val="none"/>
                <w:u w:val="none"/>
                <w:lang w:val="en-US" w:eastAsia="zh-CN" w:bidi="ar"/>
              </w:rPr>
              <w:t>5.支持微信扫码登录，无需单独输入账号，使用微信扫描互动录播电脑主机一体化触控屏上显示的二维码即可登录互动系统，登陆后显示用户头像和用户名</w:t>
            </w:r>
            <w:r>
              <w:rPr>
                <w:rFonts w:hint="eastAsia"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hAnsi="Times New Roman" w:eastAsia="宋体" w:cs="Times New Roman"/>
                <w:i w:val="0"/>
                <w:color w:val="000000"/>
                <w:kern w:val="0"/>
                <w:sz w:val="20"/>
                <w:szCs w:val="20"/>
                <w:highlight w:val="none"/>
                <w:u w:val="none"/>
                <w:lang w:val="en-US" w:eastAsia="zh-CN" w:bidi="ar"/>
              </w:rPr>
              <w:t>6.支持手动切换发给远端的画面。支持通过互动录播电脑主机一体化触控屏实现音量大小调整、静音。支持互动过程中一键全屏，全屏放大主画面，隐藏所有图标。支持开启和关闭桌面共享功能</w:t>
            </w:r>
            <w:r>
              <w:rPr>
                <w:rFonts w:hint="eastAsia"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hAnsi="Times New Roman" w:eastAsia="宋体" w:cs="Times New Roman"/>
                <w:i w:val="0"/>
                <w:color w:val="000000"/>
                <w:kern w:val="0"/>
                <w:sz w:val="20"/>
                <w:szCs w:val="20"/>
                <w:highlight w:val="none"/>
                <w:u w:val="none"/>
                <w:lang w:val="en-US" w:eastAsia="zh-CN" w:bidi="ar"/>
              </w:rPr>
              <w:t>7.支持用户可通过互动录播电脑主机一体化触控屏上的拨号键盘实现拨号呼叫；支持互动通讯录功能，通讯录可显示最近呼叫的账号信息，可通过通讯录实现一键呼叫</w:t>
            </w:r>
            <w:r>
              <w:rPr>
                <w:rFonts w:hint="eastAsia" w:ascii="Times New Roman" w:hAnsi="Times New Roman" w:eastAsia="宋体" w:cs="Times New Roman"/>
                <w:i w:val="0"/>
                <w:color w:val="000000"/>
                <w:kern w:val="0"/>
                <w:sz w:val="20"/>
                <w:szCs w:val="20"/>
                <w:highlight w:val="none"/>
                <w:u w:val="none"/>
                <w:lang w:val="en-US" w:eastAsia="zh-CN" w:bidi="ar"/>
              </w:rPr>
              <w:br w:type="textWrapping"/>
            </w:r>
            <w:r>
              <w:rPr>
                <w:rFonts w:hint="eastAsia" w:ascii="Times New Roman" w:hAnsi="Times New Roman" w:eastAsia="宋体" w:cs="Times New Roman"/>
                <w:i w:val="0"/>
                <w:color w:val="000000"/>
                <w:kern w:val="0"/>
                <w:sz w:val="20"/>
                <w:szCs w:val="20"/>
                <w:highlight w:val="none"/>
                <w:u w:val="none"/>
                <w:lang w:val="en-US" w:eastAsia="zh-CN" w:bidi="ar"/>
              </w:rPr>
              <w:t>8.支持一键结束互动，用户通过互动录播电脑主机一体化触控屏一键结束互动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7041">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0A17">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cs="Times New Roman"/>
                <w:i w:val="0"/>
                <w:color w:val="000000"/>
                <w:kern w:val="0"/>
                <w:sz w:val="20"/>
                <w:szCs w:val="20"/>
                <w:highlight w:val="none"/>
                <w:u w:val="none"/>
                <w:lang w:val="en-US" w:eastAsia="zh-CN" w:bidi="ar"/>
              </w:rPr>
              <w:t>套</w:t>
            </w:r>
          </w:p>
        </w:tc>
      </w:tr>
      <w:tr w14:paraId="68E5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938E">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cs="Times New Roman"/>
                <w:i w:val="0"/>
                <w:color w:val="000000"/>
                <w:kern w:val="0"/>
                <w:sz w:val="20"/>
                <w:szCs w:val="20"/>
                <w:highlight w:val="none"/>
                <w:u w:val="none"/>
                <w:lang w:val="en-US" w:eastAsia="zh-CN" w:bidi="ar"/>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C4B7">
            <w:pPr>
              <w:keepNext w:val="0"/>
              <w:keepLines w:val="0"/>
              <w:widowControl/>
              <w:suppressLineNumbers w:val="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无线机械云台摄像机</w:t>
            </w:r>
            <w:r>
              <w:rPr>
                <w:rFonts w:hint="eastAsia" w:ascii="Times New Roman" w:cs="Times New Roman"/>
                <w:i w:val="0"/>
                <w:color w:val="000000"/>
                <w:kern w:val="0"/>
                <w:sz w:val="20"/>
                <w:szCs w:val="20"/>
                <w:highlight w:val="none"/>
                <w:u w:val="none"/>
                <w:lang w:val="en-US" w:eastAsia="zh-CN" w:bidi="ar"/>
              </w:rPr>
              <w:t>组件</w:t>
            </w:r>
            <w:r>
              <w:rPr>
                <w:rFonts w:hint="eastAsia" w:ascii="Times New Roman" w:hAnsi="Times New Roman" w:eastAsia="宋体" w:cs="Times New Roman"/>
                <w:i w:val="0"/>
                <w:color w:val="000000"/>
                <w:kern w:val="0"/>
                <w:sz w:val="20"/>
                <w:szCs w:val="20"/>
                <w:highlight w:val="none"/>
                <w:u w:val="none"/>
                <w:lang w:val="en-US" w:eastAsia="zh-CN" w:bidi="ar"/>
              </w:rPr>
              <w:t xml:space="preserve"> </w:t>
            </w:r>
          </w:p>
          <w:p w14:paraId="77A2F22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3DE9">
            <w:pPr>
              <w:keepNext w:val="0"/>
              <w:keepLines w:val="0"/>
              <w:widowControl/>
              <w:suppressLineNumbers w:val="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cs="Times New Roman"/>
                <w:i w:val="0"/>
                <w:color w:val="000000"/>
                <w:kern w:val="0"/>
                <w:sz w:val="20"/>
                <w:szCs w:val="20"/>
                <w:highlight w:val="none"/>
                <w:u w:val="none"/>
                <w:lang w:val="en-US" w:eastAsia="zh-CN" w:bidi="ar"/>
              </w:rPr>
              <w:t>1.含</w:t>
            </w:r>
            <w:r>
              <w:rPr>
                <w:rFonts w:hint="eastAsia" w:ascii="Times New Roman" w:hAnsi="Times New Roman" w:eastAsia="宋体" w:cs="Times New Roman"/>
                <w:i w:val="0"/>
                <w:color w:val="000000"/>
                <w:kern w:val="0"/>
                <w:sz w:val="20"/>
                <w:szCs w:val="20"/>
                <w:highlight w:val="none"/>
                <w:u w:val="none"/>
                <w:lang w:val="en-US" w:eastAsia="zh-CN" w:bidi="ar"/>
              </w:rPr>
              <w:t>3台无线机械云台摄像机</w:t>
            </w:r>
            <w:r>
              <w:rPr>
                <w:rFonts w:hint="eastAsia" w:ascii="Times New Roman" w:cs="Times New Roman"/>
                <w:i w:val="0"/>
                <w:color w:val="000000"/>
                <w:kern w:val="0"/>
                <w:sz w:val="20"/>
                <w:szCs w:val="20"/>
                <w:highlight w:val="none"/>
                <w:u w:val="none"/>
                <w:lang w:val="en-US" w:eastAsia="zh-CN" w:bidi="ar"/>
              </w:rPr>
              <w:t>：</w:t>
            </w:r>
            <w:r>
              <w:rPr>
                <w:rFonts w:hint="eastAsia" w:ascii="Times New Roman" w:hAnsi="Times New Roman" w:eastAsia="宋体" w:cs="Times New Roman"/>
                <w:i w:val="0"/>
                <w:color w:val="000000"/>
                <w:kern w:val="0"/>
                <w:sz w:val="20"/>
                <w:szCs w:val="20"/>
                <w:highlight w:val="none"/>
                <w:u w:val="none"/>
                <w:lang w:val="en-US" w:eastAsia="zh-CN" w:bidi="ar"/>
              </w:rPr>
              <w:t>传感器尺寸：≥CMOS 1/1.8英寸</w:t>
            </w:r>
            <w:r>
              <w:rPr>
                <w:rFonts w:hint="eastAsia" w:ascii="Times New Roman" w:cs="Times New Roman"/>
                <w:i w:val="0"/>
                <w:color w:val="000000"/>
                <w:kern w:val="0"/>
                <w:sz w:val="20"/>
                <w:szCs w:val="20"/>
                <w:highlight w:val="none"/>
                <w:u w:val="none"/>
                <w:lang w:val="en-US" w:eastAsia="zh-CN" w:bidi="ar"/>
              </w:rPr>
              <w:t>；</w:t>
            </w:r>
            <w:r>
              <w:rPr>
                <w:rFonts w:hint="eastAsia" w:ascii="Times New Roman" w:hAnsi="Times New Roman" w:eastAsia="宋体" w:cs="Times New Roman"/>
                <w:i w:val="0"/>
                <w:color w:val="000000"/>
                <w:kern w:val="0"/>
                <w:sz w:val="20"/>
                <w:szCs w:val="20"/>
                <w:highlight w:val="none"/>
                <w:u w:val="none"/>
                <w:lang w:val="en-US" w:eastAsia="zh-CN" w:bidi="ar"/>
              </w:rPr>
              <w:t>传感器有效像素≥800万</w:t>
            </w:r>
            <w:r>
              <w:rPr>
                <w:rFonts w:hint="eastAsia" w:ascii="Times New Roman" w:cs="Times New Roman"/>
                <w:i w:val="0"/>
                <w:color w:val="000000"/>
                <w:kern w:val="0"/>
                <w:sz w:val="20"/>
                <w:szCs w:val="20"/>
                <w:highlight w:val="none"/>
                <w:u w:val="none"/>
                <w:lang w:val="en-US" w:eastAsia="zh-CN" w:bidi="ar"/>
              </w:rPr>
              <w:t>；</w:t>
            </w:r>
            <w:r>
              <w:rPr>
                <w:rFonts w:hint="eastAsia" w:ascii="Times New Roman" w:hAnsi="Times New Roman" w:eastAsia="宋体" w:cs="Times New Roman"/>
                <w:i w:val="0"/>
                <w:color w:val="000000"/>
                <w:kern w:val="0"/>
                <w:sz w:val="20"/>
                <w:szCs w:val="20"/>
                <w:highlight w:val="none"/>
                <w:u w:val="none"/>
                <w:lang w:val="en-US" w:eastAsia="zh-CN" w:bidi="ar"/>
              </w:rPr>
              <w:t>支持不少于40倍变焦。扫描方式：逐行。支持畸变矫正功能</w:t>
            </w:r>
            <w:r>
              <w:rPr>
                <w:rFonts w:hint="eastAsia" w:ascii="Times New Roman" w:cs="Times New Roman"/>
                <w:i w:val="0"/>
                <w:color w:val="000000"/>
                <w:kern w:val="0"/>
                <w:sz w:val="20"/>
                <w:szCs w:val="20"/>
                <w:highlight w:val="none"/>
                <w:u w:val="none"/>
                <w:lang w:val="en-US" w:eastAsia="zh-CN" w:bidi="ar"/>
              </w:rPr>
              <w:t>；</w:t>
            </w:r>
            <w:r>
              <w:rPr>
                <w:rFonts w:hint="eastAsia" w:ascii="Times New Roman" w:hAnsi="Times New Roman" w:eastAsia="宋体" w:cs="Times New Roman"/>
                <w:i w:val="0"/>
                <w:color w:val="000000"/>
                <w:kern w:val="0"/>
                <w:sz w:val="20"/>
                <w:szCs w:val="20"/>
                <w:highlight w:val="none"/>
                <w:u w:val="none"/>
                <w:lang w:val="en-US" w:eastAsia="zh-CN" w:bidi="ar"/>
              </w:rPr>
              <w:t>内置电池，支持不少于5小时续航</w:t>
            </w:r>
            <w:r>
              <w:rPr>
                <w:rFonts w:hint="eastAsia" w:ascii="Times New Roman" w:cs="Times New Roman"/>
                <w:i w:val="0"/>
                <w:color w:val="000000"/>
                <w:kern w:val="0"/>
                <w:sz w:val="20"/>
                <w:szCs w:val="20"/>
                <w:highlight w:val="none"/>
                <w:u w:val="none"/>
                <w:lang w:val="en-US" w:eastAsia="zh-CN" w:bidi="ar"/>
              </w:rPr>
              <w:t>；</w:t>
            </w:r>
            <w:r>
              <w:rPr>
                <w:rFonts w:hint="eastAsia" w:ascii="Times New Roman" w:hAnsi="Times New Roman" w:eastAsia="宋体" w:cs="Times New Roman"/>
                <w:i w:val="0"/>
                <w:color w:val="000000"/>
                <w:kern w:val="0"/>
                <w:sz w:val="20"/>
                <w:szCs w:val="20"/>
                <w:highlight w:val="none"/>
                <w:u w:val="none"/>
                <w:lang w:val="en-US" w:eastAsia="zh-CN" w:bidi="ar"/>
              </w:rPr>
              <w:t>.空旷环境下无遮挡可靠传输实时4K超清视频距离≥100m。</w:t>
            </w:r>
          </w:p>
          <w:p w14:paraId="5F9FE7E1">
            <w:pP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cs="Times New Roman"/>
                <w:i w:val="0"/>
                <w:color w:val="000000"/>
                <w:kern w:val="0"/>
                <w:sz w:val="20"/>
                <w:szCs w:val="20"/>
                <w:highlight w:val="none"/>
                <w:u w:val="none"/>
                <w:lang w:val="en-US" w:eastAsia="zh-CN" w:bidi="ar"/>
              </w:rPr>
              <w:t>2</w:t>
            </w:r>
            <w:r>
              <w:rPr>
                <w:rFonts w:hint="eastAsia" w:ascii="Times New Roman" w:hAnsi="Times New Roman" w:eastAsia="宋体" w:cs="Times New Roman"/>
                <w:i w:val="0"/>
                <w:color w:val="000000"/>
                <w:kern w:val="0"/>
                <w:sz w:val="20"/>
                <w:szCs w:val="20"/>
                <w:highlight w:val="none"/>
                <w:u w:val="none"/>
                <w:lang w:val="en-US" w:eastAsia="zh-CN" w:bidi="ar"/>
              </w:rPr>
              <w:t>.标配</w:t>
            </w:r>
            <w:r>
              <w:rPr>
                <w:rFonts w:hint="eastAsia" w:ascii="Times New Roman" w:cs="Times New Roman"/>
                <w:i w:val="0"/>
                <w:color w:val="000000"/>
                <w:kern w:val="0"/>
                <w:sz w:val="20"/>
                <w:szCs w:val="20"/>
                <w:highlight w:val="none"/>
                <w:u w:val="none"/>
                <w:lang w:val="en-US" w:eastAsia="zh-CN" w:bidi="ar"/>
              </w:rPr>
              <w:t>2</w:t>
            </w:r>
            <w:r>
              <w:rPr>
                <w:rFonts w:hint="eastAsia" w:ascii="Times New Roman" w:hAnsi="Times New Roman" w:eastAsia="宋体" w:cs="Times New Roman"/>
                <w:i w:val="0"/>
                <w:color w:val="000000"/>
                <w:kern w:val="0"/>
                <w:sz w:val="20"/>
                <w:szCs w:val="20"/>
                <w:highlight w:val="none"/>
                <w:u w:val="none"/>
                <w:lang w:val="en-US" w:eastAsia="zh-CN" w:bidi="ar"/>
              </w:rPr>
              <w:t>个无线麦克风，且两个麦克风可同时工作</w:t>
            </w:r>
            <w:r>
              <w:rPr>
                <w:rFonts w:hint="eastAsia" w:ascii="Times New Roman" w:cs="Times New Roman"/>
                <w:i w:val="0"/>
                <w:color w:val="000000"/>
                <w:kern w:val="0"/>
                <w:sz w:val="20"/>
                <w:szCs w:val="20"/>
                <w:highlight w:val="none"/>
                <w:u w:val="none"/>
                <w:lang w:val="en-US" w:eastAsia="zh-CN" w:bidi="ar"/>
              </w:rPr>
              <w:t>；</w:t>
            </w:r>
            <w:r>
              <w:rPr>
                <w:rFonts w:hint="eastAsia" w:ascii="Times New Roman" w:hAnsi="Times New Roman" w:eastAsia="宋体" w:cs="Times New Roman"/>
                <w:i w:val="0"/>
                <w:color w:val="000000"/>
                <w:kern w:val="0"/>
                <w:sz w:val="20"/>
                <w:szCs w:val="20"/>
                <w:highlight w:val="none"/>
                <w:u w:val="none"/>
                <w:lang w:val="en-US" w:eastAsia="zh-CN" w:bidi="ar"/>
              </w:rPr>
              <w:t>麦克风&lt;25g超轻重量，领夹佩戴，无感知使用</w:t>
            </w:r>
            <w:r>
              <w:rPr>
                <w:rFonts w:hint="eastAsia" w:ascii="Times New Roman" w:cs="Times New Roman"/>
                <w:i w:val="0"/>
                <w:color w:val="000000"/>
                <w:kern w:val="0"/>
                <w:sz w:val="20"/>
                <w:szCs w:val="20"/>
                <w:highlight w:val="none"/>
                <w:u w:val="none"/>
                <w:lang w:val="en-US" w:eastAsia="zh-CN" w:bidi="ar"/>
              </w:rPr>
              <w:t>；</w:t>
            </w:r>
            <w:r>
              <w:rPr>
                <w:rFonts w:hint="eastAsia" w:ascii="Times New Roman" w:hAnsi="Times New Roman" w:eastAsia="宋体" w:cs="Times New Roman"/>
                <w:i w:val="0"/>
                <w:color w:val="000000"/>
                <w:kern w:val="0"/>
                <w:sz w:val="20"/>
                <w:szCs w:val="20"/>
                <w:highlight w:val="none"/>
                <w:u w:val="none"/>
                <w:lang w:val="en-US" w:eastAsia="zh-CN" w:bidi="ar"/>
              </w:rPr>
              <w:t>支持100m超远无线传输，适用于多种场景</w:t>
            </w:r>
            <w:r>
              <w:rPr>
                <w:rFonts w:hint="eastAsia" w:ascii="Times New Roman" w:cs="Times New Roman"/>
                <w:i w:val="0"/>
                <w:color w:val="000000"/>
                <w:kern w:val="0"/>
                <w:sz w:val="20"/>
                <w:szCs w:val="20"/>
                <w:highlight w:val="none"/>
                <w:u w:val="none"/>
                <w:lang w:val="en-US" w:eastAsia="zh-CN" w:bidi="ar"/>
              </w:rPr>
              <w:t>；</w:t>
            </w:r>
            <w:r>
              <w:rPr>
                <w:rFonts w:hint="eastAsia" w:ascii="Times New Roman" w:hAnsi="Times New Roman" w:eastAsia="宋体" w:cs="Times New Roman"/>
                <w:i w:val="0"/>
                <w:color w:val="000000"/>
                <w:kern w:val="0"/>
                <w:sz w:val="20"/>
                <w:szCs w:val="20"/>
                <w:highlight w:val="none"/>
                <w:u w:val="none"/>
                <w:lang w:val="en-US" w:eastAsia="zh-CN" w:bidi="ar"/>
              </w:rPr>
              <w:t>支持充电仓快速充电，1小时充满麦克风</w:t>
            </w:r>
            <w:r>
              <w:rPr>
                <w:rFonts w:hint="eastAsia" w:ascii="Times New Roman" w:cs="Times New Roman"/>
                <w:i w:val="0"/>
                <w:color w:val="000000"/>
                <w:kern w:val="0"/>
                <w:sz w:val="20"/>
                <w:szCs w:val="20"/>
                <w:highlight w:val="none"/>
                <w:u w:val="none"/>
                <w:lang w:val="en-US" w:eastAsia="zh-CN" w:bidi="ar"/>
              </w:rPr>
              <w:t>；</w:t>
            </w:r>
            <w:r>
              <w:rPr>
                <w:rFonts w:hint="eastAsia" w:ascii="Times New Roman" w:hAnsi="Times New Roman" w:eastAsia="宋体" w:cs="Times New Roman"/>
                <w:i w:val="0"/>
                <w:color w:val="000000"/>
                <w:kern w:val="0"/>
                <w:sz w:val="20"/>
                <w:szCs w:val="20"/>
                <w:highlight w:val="none"/>
                <w:u w:val="none"/>
                <w:lang w:val="en-US" w:eastAsia="zh-CN" w:bidi="ar"/>
              </w:rPr>
              <w:t>麦克风续航时间不低于6小时</w:t>
            </w:r>
            <w:r>
              <w:rPr>
                <w:rFonts w:hint="eastAsia" w:ascii="Times New Roman" w:cs="Times New Roman"/>
                <w:i w:val="0"/>
                <w:color w:val="000000"/>
                <w:kern w:val="0"/>
                <w:sz w:val="20"/>
                <w:szCs w:val="20"/>
                <w:highlight w:val="none"/>
                <w:u w:val="none"/>
                <w:lang w:val="en-US" w:eastAsia="zh-CN" w:bidi="ar"/>
              </w:rPr>
              <w:t>；</w:t>
            </w:r>
            <w:r>
              <w:rPr>
                <w:rFonts w:hint="eastAsia" w:ascii="Times New Roman" w:hAnsi="Times New Roman" w:eastAsia="宋体" w:cs="Times New Roman"/>
                <w:i w:val="0"/>
                <w:color w:val="000000"/>
                <w:kern w:val="0"/>
                <w:sz w:val="20"/>
                <w:szCs w:val="20"/>
                <w:highlight w:val="none"/>
                <w:u w:val="none"/>
                <w:lang w:val="en-US" w:eastAsia="zh-CN" w:bidi="ar"/>
              </w:rPr>
              <w:t>发射端支持3.5mm音频输入，可扩展外接麦克风。</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8AD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94C">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cs="Times New Roman"/>
                <w:i w:val="0"/>
                <w:color w:val="000000"/>
                <w:kern w:val="0"/>
                <w:sz w:val="20"/>
                <w:szCs w:val="20"/>
                <w:highlight w:val="none"/>
                <w:u w:val="none"/>
                <w:lang w:val="en-US" w:eastAsia="zh-CN" w:bidi="ar"/>
              </w:rPr>
              <w:t>套</w:t>
            </w:r>
          </w:p>
        </w:tc>
      </w:tr>
      <w:tr w14:paraId="7AA3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7B33F">
            <w:pPr>
              <w:keepNext w:val="0"/>
              <w:keepLines w:val="0"/>
              <w:widowControl/>
              <w:suppressLineNumbers w:val="0"/>
              <w:jc w:val="both"/>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周边配套设备</w:t>
            </w:r>
          </w:p>
        </w:tc>
      </w:tr>
      <w:tr w14:paraId="4671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018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7DF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机柜</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B4B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42U，600*800*2055mm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403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74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r>
      <w:tr w14:paraId="32E1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65D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CE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时序电源管理器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A6D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2.当远程控制有效时同时控制后板ALARM（报警）端口导通以起到级联控制ALARM（报警）功能。</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3.单个通道最大负载功率≥2200W，所有通道负载总功率≥6000W。输出连接器：多用途电源插座。</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4.具有一路及以上USB输出接口。</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839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05A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台</w:t>
            </w:r>
          </w:p>
        </w:tc>
      </w:tr>
      <w:tr w14:paraId="2DEE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65F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86F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桌插</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EA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1.插座采用全铝结构，信息模块接口采用标准模块。</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2.弹起式桌面插座，支持45°仰角。</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3.具有≥1个功能按键，支持自定义按键的功能，搭配中控矩阵使用可实现视频切换、搭配中控系统支持扩展场景调用功能、搭配中控会议系统实现会议系统电源开启关闭功能等。</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4.配置接口：≥1个多功能电源接口、≥2个RJ45网络、≥1个3.5音频、≥1个HDMI高清视频接口、≥1个功能按键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BE0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F2D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套</w:t>
            </w:r>
          </w:p>
        </w:tc>
      </w:tr>
      <w:tr w14:paraId="15FD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54001">
            <w:pPr>
              <w:keepNext w:val="0"/>
              <w:keepLines w:val="0"/>
              <w:widowControl/>
              <w:suppressLineNumbers w:val="0"/>
              <w:jc w:val="left"/>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辅助线材</w:t>
            </w:r>
          </w:p>
        </w:tc>
      </w:tr>
      <w:tr w14:paraId="616B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DCD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E6C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音频连接线</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4F9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1.8米音频连接线：卡侬头（母）-卡侬头（公）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E98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8</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BCD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根</w:t>
            </w:r>
          </w:p>
        </w:tc>
      </w:tr>
      <w:tr w14:paraId="2E2E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A2A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E2A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音频连接线</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5E0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5米音频连接线：卡侬头（母）-卡侬头（公）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A82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6E8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根</w:t>
            </w:r>
          </w:p>
        </w:tc>
      </w:tr>
      <w:tr w14:paraId="3783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A82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E57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音频连接线</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9EF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1.8米音频连接线：卡农头（母）*1，线径：0.3mm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700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445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根</w:t>
            </w:r>
          </w:p>
        </w:tc>
      </w:tr>
      <w:tr w14:paraId="033F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783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139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音频连接线</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421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1.8米音频连接线：卡农头（公）*1，线径：0.3mm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6F4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EBE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根</w:t>
            </w:r>
          </w:p>
        </w:tc>
      </w:tr>
      <w:tr w14:paraId="1904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DBE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CF9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音频连接线</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C6A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1.8米音频连接线：6.35话筒插头-卡侬头（公）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7EB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97D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根</w:t>
            </w:r>
          </w:p>
        </w:tc>
      </w:tr>
      <w:tr w14:paraId="32CF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56D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20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音频连接线</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5AA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5米音频连接线：3.5（耳机插头）-双莲花（RCA）</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123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87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根</w:t>
            </w:r>
          </w:p>
        </w:tc>
      </w:tr>
      <w:tr w14:paraId="6FDC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215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7</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503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变压器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B89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产品介绍：</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1．具备2路输入、2路输出，工业标准接线端子。</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2．隔离静噪抗干扰器，消除“嗡”音和“嗞”音“超大电流声”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3B6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F6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只</w:t>
            </w:r>
          </w:p>
        </w:tc>
      </w:tr>
      <w:tr w14:paraId="6D0B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7E4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125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HDMI视频线</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651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定制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A7B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D8D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批</w:t>
            </w:r>
          </w:p>
        </w:tc>
      </w:tr>
      <w:tr w14:paraId="51F3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67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9</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41B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线材</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632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25米天线延长线：BNC插头*2，线径：7.2mm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D19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884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根</w:t>
            </w:r>
          </w:p>
        </w:tc>
      </w:tr>
      <w:tr w14:paraId="29C7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7EE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BE4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音频线RVVP2*0.5</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ECD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音频线带屏蔽RVVP2*0.5，200米/卷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D2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049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卷</w:t>
            </w:r>
          </w:p>
        </w:tc>
      </w:tr>
      <w:tr w14:paraId="2060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479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6A6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音箱线2*2.5</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C1A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1.音响线</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2.线径：10.0mm</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3.芯数：2*307铜芯</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4.平方数：2*2.5</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 xml:space="preserve">5.绝缘层:PVC </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 xml:space="preserve">6.外被:耐磨 PVC </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7.导体: 精选铜</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8.颜色：黑色</w:t>
            </w:r>
            <w:r>
              <w:rPr>
                <w:rFonts w:hint="default" w:ascii="Times New Roman" w:hAnsi="Times New Roman" w:eastAsia="宋体" w:cs="Times New Roman"/>
                <w:i w:val="0"/>
                <w:color w:val="000000"/>
                <w:kern w:val="0"/>
                <w:sz w:val="20"/>
                <w:szCs w:val="20"/>
                <w:highlight w:val="none"/>
                <w:u w:val="none"/>
                <w:lang w:val="en-US" w:eastAsia="zh-CN" w:bidi="ar"/>
              </w:rPr>
              <w:br w:type="textWrapping"/>
            </w:r>
            <w:r>
              <w:rPr>
                <w:rFonts w:hint="default" w:ascii="Times New Roman" w:hAnsi="Times New Roman" w:eastAsia="宋体" w:cs="Times New Roman"/>
                <w:i w:val="0"/>
                <w:color w:val="000000"/>
                <w:kern w:val="0"/>
                <w:sz w:val="20"/>
                <w:szCs w:val="20"/>
                <w:highlight w:val="none"/>
                <w:u w:val="none"/>
                <w:lang w:val="en-US" w:eastAsia="zh-CN" w:bidi="ar"/>
              </w:rPr>
              <w:t>9.100米/卷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959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26B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卷</w:t>
            </w:r>
          </w:p>
        </w:tc>
      </w:tr>
      <w:tr w14:paraId="7D8A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F14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52B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RVV3*2.5</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5D6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铜芯护套线RVV3*2.5，200米/卷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066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9F4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卷</w:t>
            </w:r>
          </w:p>
        </w:tc>
      </w:tr>
      <w:tr w14:paraId="1B9D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83A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A8D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六类带屏蔽网线</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DF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六类屏蔽网线，300米/卷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ABB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208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卷</w:t>
            </w:r>
          </w:p>
        </w:tc>
      </w:tr>
      <w:tr w14:paraId="15841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0D7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86B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水晶头</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656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六类水晶头工程级50U镀金100个装 RJ45千兆网线接头 CAT6，100个一盒</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8EF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331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盒</w:t>
            </w:r>
          </w:p>
        </w:tc>
      </w:tr>
      <w:tr w14:paraId="7561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69C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15</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CA3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其他辅材、集成、税费及施工</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E50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AA6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962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项</w:t>
            </w:r>
          </w:p>
        </w:tc>
      </w:tr>
    </w:tbl>
    <w:p w14:paraId="4F83A6C0">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2.非公路用旅游观光车智慧监管配套设备</w:t>
      </w:r>
    </w:p>
    <w:tbl>
      <w:tblPr>
        <w:tblStyle w:val="40"/>
        <w:tblW w:w="5000" w:type="pct"/>
        <w:tblInd w:w="0" w:type="dxa"/>
        <w:tblLayout w:type="autofit"/>
        <w:tblCellMar>
          <w:top w:w="0" w:type="dxa"/>
          <w:left w:w="108" w:type="dxa"/>
          <w:bottom w:w="0" w:type="dxa"/>
          <w:right w:w="108" w:type="dxa"/>
        </w:tblCellMar>
      </w:tblPr>
      <w:tblGrid>
        <w:gridCol w:w="673"/>
        <w:gridCol w:w="798"/>
        <w:gridCol w:w="904"/>
        <w:gridCol w:w="4869"/>
        <w:gridCol w:w="624"/>
        <w:gridCol w:w="654"/>
      </w:tblGrid>
      <w:tr w14:paraId="4A96D256">
        <w:tblPrEx>
          <w:tblCellMar>
            <w:top w:w="0" w:type="dxa"/>
            <w:left w:w="108" w:type="dxa"/>
            <w:bottom w:w="0" w:type="dxa"/>
            <w:right w:w="108" w:type="dxa"/>
          </w:tblCellMar>
        </w:tblPrEx>
        <w:trPr>
          <w:trHeight w:val="27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63C0">
            <w:pPr>
              <w:widowControl/>
              <w:spacing w:line="240" w:lineRule="auto"/>
              <w:ind w:firstLine="0" w:firstLineChars="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序号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C7A6">
            <w:pPr>
              <w:widowControl/>
              <w:spacing w:line="240" w:lineRule="auto"/>
              <w:ind w:firstLine="0" w:firstLineChars="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类别</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A635">
            <w:pPr>
              <w:widowControl/>
              <w:spacing w:line="240" w:lineRule="auto"/>
              <w:ind w:firstLine="0" w:firstLineChars="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设备类型</w:t>
            </w:r>
          </w:p>
        </w:tc>
        <w:tc>
          <w:tcPr>
            <w:tcW w:w="2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127C">
            <w:pPr>
              <w:widowControl/>
              <w:spacing w:line="240" w:lineRule="auto"/>
              <w:ind w:firstLine="0" w:firstLineChars="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技术参数</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351A">
            <w:pPr>
              <w:widowControl/>
              <w:spacing w:line="240" w:lineRule="auto"/>
              <w:ind w:firstLine="0" w:firstLineChars="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数量</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7DFF">
            <w:pPr>
              <w:widowControl/>
              <w:spacing w:line="240" w:lineRule="auto"/>
              <w:ind w:firstLine="0" w:firstLineChars="0"/>
              <w:jc w:val="center"/>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cs="Times New Roman"/>
                <w:b/>
                <w:bCs/>
                <w:color w:val="auto"/>
                <w:kern w:val="0"/>
                <w:sz w:val="21"/>
                <w:szCs w:val="21"/>
                <w:highlight w:val="none"/>
                <w:lang w:eastAsia="zh-CN"/>
              </w:rPr>
              <w:t>单位</w:t>
            </w:r>
          </w:p>
        </w:tc>
      </w:tr>
      <w:tr w14:paraId="2F93F6CD">
        <w:tblPrEx>
          <w:tblCellMar>
            <w:top w:w="0" w:type="dxa"/>
            <w:left w:w="108" w:type="dxa"/>
            <w:bottom w:w="0" w:type="dxa"/>
            <w:right w:w="108" w:type="dxa"/>
          </w:tblCellMar>
        </w:tblPrEx>
        <w:trPr>
          <w:trHeight w:val="2888"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4781">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7711C">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车载物联网装置</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87F4">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DSM一体机（驾驶员状态监测一体机）</w:t>
            </w:r>
          </w:p>
        </w:tc>
        <w:tc>
          <w:tcPr>
            <w:tcW w:w="2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82BC">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摄像机</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传感器类型 1/4英寸 CMOS</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像素100万</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最大分辨率1280×720</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扫描方式全局曝光</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最大补光距离5～10 米</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补光灯1颗（红外灯（无红曝））</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镜头接口 M12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镜头焦距 4mm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镜头光圈 F2.0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903C">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49E3">
            <w:pPr>
              <w:widowControl/>
              <w:spacing w:line="240" w:lineRule="auto"/>
              <w:ind w:firstLine="0" w:firstLineChars="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套</w:t>
            </w:r>
          </w:p>
        </w:tc>
      </w:tr>
      <w:tr w14:paraId="3E007DA7">
        <w:tblPrEx>
          <w:tblCellMar>
            <w:top w:w="0" w:type="dxa"/>
            <w:left w:w="108" w:type="dxa"/>
            <w:bottom w:w="0" w:type="dxa"/>
            <w:right w:w="108" w:type="dxa"/>
          </w:tblCellMar>
        </w:tblPrEx>
        <w:trPr>
          <w:trHeight w:val="27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A075">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468" w:type="pct"/>
            <w:vMerge w:val="continue"/>
            <w:tcBorders>
              <w:top w:val="single" w:color="000000" w:sz="4" w:space="0"/>
              <w:left w:val="single" w:color="000000" w:sz="4" w:space="0"/>
              <w:bottom w:val="single" w:color="000000" w:sz="4" w:space="0"/>
              <w:right w:val="single" w:color="000000" w:sz="4" w:space="0"/>
            </w:tcBorders>
            <w:vAlign w:val="center"/>
          </w:tcPr>
          <w:p w14:paraId="36280D6D">
            <w:pPr>
              <w:widowControl/>
              <w:spacing w:line="240" w:lineRule="auto"/>
              <w:ind w:firstLine="0" w:firstLineChars="0"/>
              <w:jc w:val="left"/>
              <w:rPr>
                <w:rFonts w:hint="default" w:ascii="Times New Roman" w:hAnsi="Times New Roman" w:cs="Times New Roman"/>
                <w:color w:val="auto"/>
                <w:kern w:val="0"/>
                <w:sz w:val="21"/>
                <w:szCs w:val="21"/>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63AD">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车载电源线</w:t>
            </w:r>
          </w:p>
        </w:tc>
        <w:tc>
          <w:tcPr>
            <w:tcW w:w="2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89DE">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车载主机取电线，车载专用线</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4F1F">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A4E3">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套</w:t>
            </w:r>
          </w:p>
        </w:tc>
      </w:tr>
      <w:tr w14:paraId="2239BBFB">
        <w:tblPrEx>
          <w:tblCellMar>
            <w:top w:w="0" w:type="dxa"/>
            <w:left w:w="108" w:type="dxa"/>
            <w:bottom w:w="0" w:type="dxa"/>
            <w:right w:w="108" w:type="dxa"/>
          </w:tblCellMar>
        </w:tblPrEx>
        <w:trPr>
          <w:trHeight w:val="27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07FC">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w:t>
            </w:r>
          </w:p>
        </w:tc>
        <w:tc>
          <w:tcPr>
            <w:tcW w:w="468" w:type="pct"/>
            <w:vMerge w:val="continue"/>
            <w:tcBorders>
              <w:top w:val="single" w:color="000000" w:sz="4" w:space="0"/>
              <w:left w:val="single" w:color="000000" w:sz="4" w:space="0"/>
              <w:bottom w:val="single" w:color="000000" w:sz="4" w:space="0"/>
              <w:right w:val="single" w:color="000000" w:sz="4" w:space="0"/>
            </w:tcBorders>
            <w:vAlign w:val="center"/>
          </w:tcPr>
          <w:p w14:paraId="02806916">
            <w:pPr>
              <w:widowControl/>
              <w:spacing w:line="240" w:lineRule="auto"/>
              <w:ind w:firstLine="0" w:firstLineChars="0"/>
              <w:jc w:val="left"/>
              <w:rPr>
                <w:rFonts w:hint="default" w:ascii="Times New Roman" w:hAnsi="Times New Roman" w:cs="Times New Roman"/>
                <w:color w:val="auto"/>
                <w:kern w:val="0"/>
                <w:sz w:val="21"/>
                <w:szCs w:val="21"/>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0F65">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内存卡</w:t>
            </w:r>
          </w:p>
        </w:tc>
        <w:tc>
          <w:tcPr>
            <w:tcW w:w="2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1859">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TF卡256G</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A577">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3FB0">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套</w:t>
            </w:r>
          </w:p>
        </w:tc>
      </w:tr>
      <w:tr w14:paraId="52C32D2E">
        <w:tblPrEx>
          <w:tblCellMar>
            <w:top w:w="0" w:type="dxa"/>
            <w:left w:w="108" w:type="dxa"/>
            <w:bottom w:w="0" w:type="dxa"/>
            <w:right w:w="108" w:type="dxa"/>
          </w:tblCellMar>
        </w:tblPrEx>
        <w:trPr>
          <w:trHeight w:val="393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E8A9">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w:t>
            </w:r>
          </w:p>
        </w:tc>
        <w:tc>
          <w:tcPr>
            <w:tcW w:w="468" w:type="pct"/>
            <w:vMerge w:val="continue"/>
            <w:tcBorders>
              <w:top w:val="single" w:color="000000" w:sz="4" w:space="0"/>
              <w:left w:val="single" w:color="000000" w:sz="4" w:space="0"/>
              <w:bottom w:val="single" w:color="000000" w:sz="4" w:space="0"/>
              <w:right w:val="single" w:color="000000" w:sz="4" w:space="0"/>
            </w:tcBorders>
            <w:vAlign w:val="center"/>
          </w:tcPr>
          <w:p w14:paraId="4942BBA1">
            <w:pPr>
              <w:widowControl/>
              <w:spacing w:line="240" w:lineRule="auto"/>
              <w:ind w:firstLine="0" w:firstLineChars="0"/>
              <w:jc w:val="left"/>
              <w:rPr>
                <w:rFonts w:hint="default" w:ascii="Times New Roman" w:hAnsi="Times New Roman" w:cs="Times New Roman"/>
                <w:color w:val="auto"/>
                <w:kern w:val="0"/>
                <w:sz w:val="21"/>
                <w:szCs w:val="21"/>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6553">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ADAS相机（高级驾驶辅助系统相机）</w:t>
            </w:r>
          </w:p>
        </w:tc>
        <w:tc>
          <w:tcPr>
            <w:tcW w:w="2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FFC1">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摄像机</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像素 100万</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传感器类型 1/2.7英寸CMOS</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最大分辨率 1280(H)×720(V)</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最低照度 0.02Lux/F2.0 30IRE, 0Lux IR on</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信噪比 ＞65dB</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最大补光距离 20m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补光灯数量 1颗（红外灯）</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调整角度 水平：0°~360°；垂直：0°~78°；旋转：0°~360°</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镜头类型 定焦</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镜头接口 M12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镜头焦距 2.8mm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镜头光圈 F2.0</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视场角 水平：101°；垂直：54°；对角：119°</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D520">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9948">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套</w:t>
            </w:r>
          </w:p>
        </w:tc>
      </w:tr>
      <w:tr w14:paraId="1D067190">
        <w:tblPrEx>
          <w:tblCellMar>
            <w:top w:w="0" w:type="dxa"/>
            <w:left w:w="108" w:type="dxa"/>
            <w:bottom w:w="0" w:type="dxa"/>
            <w:right w:w="108" w:type="dxa"/>
          </w:tblCellMar>
        </w:tblPrEx>
        <w:trPr>
          <w:trHeight w:val="27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895A">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w:t>
            </w:r>
          </w:p>
        </w:tc>
        <w:tc>
          <w:tcPr>
            <w:tcW w:w="468" w:type="pct"/>
            <w:vMerge w:val="continue"/>
            <w:tcBorders>
              <w:top w:val="single" w:color="000000" w:sz="4" w:space="0"/>
              <w:left w:val="single" w:color="000000" w:sz="4" w:space="0"/>
              <w:bottom w:val="single" w:color="000000" w:sz="4" w:space="0"/>
              <w:right w:val="single" w:color="000000" w:sz="4" w:space="0"/>
            </w:tcBorders>
            <w:vAlign w:val="center"/>
          </w:tcPr>
          <w:p w14:paraId="59AF2810">
            <w:pPr>
              <w:widowControl/>
              <w:spacing w:line="240" w:lineRule="auto"/>
              <w:ind w:firstLine="0" w:firstLineChars="0"/>
              <w:jc w:val="left"/>
              <w:rPr>
                <w:rFonts w:hint="default" w:ascii="Times New Roman" w:hAnsi="Times New Roman" w:cs="Times New Roman"/>
                <w:color w:val="auto"/>
                <w:kern w:val="0"/>
                <w:sz w:val="21"/>
                <w:szCs w:val="21"/>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067A">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延长线</w:t>
            </w:r>
          </w:p>
        </w:tc>
        <w:tc>
          <w:tcPr>
            <w:tcW w:w="2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4288">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3米</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D9E2">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C6CF">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套</w:t>
            </w:r>
          </w:p>
        </w:tc>
      </w:tr>
      <w:tr w14:paraId="11A957CA">
        <w:tblPrEx>
          <w:tblCellMar>
            <w:top w:w="0" w:type="dxa"/>
            <w:left w:w="108" w:type="dxa"/>
            <w:bottom w:w="0" w:type="dxa"/>
            <w:right w:w="108" w:type="dxa"/>
          </w:tblCellMar>
        </w:tblPrEx>
        <w:trPr>
          <w:trHeight w:val="3675"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D036">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w:t>
            </w:r>
          </w:p>
        </w:tc>
        <w:tc>
          <w:tcPr>
            <w:tcW w:w="468" w:type="pct"/>
            <w:vMerge w:val="continue"/>
            <w:tcBorders>
              <w:top w:val="single" w:color="000000" w:sz="4" w:space="0"/>
              <w:left w:val="single" w:color="000000" w:sz="4" w:space="0"/>
              <w:bottom w:val="single" w:color="000000" w:sz="4" w:space="0"/>
              <w:right w:val="single" w:color="000000" w:sz="4" w:space="0"/>
            </w:tcBorders>
            <w:vAlign w:val="center"/>
          </w:tcPr>
          <w:p w14:paraId="0D0F477D">
            <w:pPr>
              <w:widowControl/>
              <w:spacing w:line="240" w:lineRule="auto"/>
              <w:ind w:firstLine="0" w:firstLineChars="0"/>
              <w:jc w:val="left"/>
              <w:rPr>
                <w:rFonts w:hint="default" w:ascii="Times New Roman" w:hAnsi="Times New Roman" w:cs="Times New Roman"/>
                <w:color w:val="auto"/>
                <w:kern w:val="0"/>
                <w:sz w:val="21"/>
                <w:szCs w:val="21"/>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6B7A">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监控相机</w:t>
            </w:r>
          </w:p>
        </w:tc>
        <w:tc>
          <w:tcPr>
            <w:tcW w:w="2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4E47">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摄像机</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外观 ADAS相机</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传感器类型 1/2.8" CMOS</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像素 1MP</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最大分辨率 1280(H)×720(V)</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最低照度 0.1lux</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信噪比 ＞45dB</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镜头类型 定焦</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镜头接口 M12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镜头焦距 6mm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镜头光圈 F2.0</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视场角 水平：36°；垂直：20°；</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光圈控制 固定光圈</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57FE">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6757">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套</w:t>
            </w:r>
          </w:p>
        </w:tc>
      </w:tr>
      <w:tr w14:paraId="4282995F">
        <w:tblPrEx>
          <w:tblCellMar>
            <w:top w:w="0" w:type="dxa"/>
            <w:left w:w="108" w:type="dxa"/>
            <w:bottom w:w="0" w:type="dxa"/>
            <w:right w:w="108" w:type="dxa"/>
          </w:tblCellMar>
        </w:tblPrEx>
        <w:trPr>
          <w:trHeight w:val="27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990D">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598A5">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物联硬件集成</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DC32">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安装费</w:t>
            </w:r>
          </w:p>
        </w:tc>
        <w:tc>
          <w:tcPr>
            <w:tcW w:w="2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0859">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辆/次</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8CA6">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E64A">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套</w:t>
            </w:r>
          </w:p>
        </w:tc>
      </w:tr>
      <w:tr w14:paraId="118F4500">
        <w:tblPrEx>
          <w:tblCellMar>
            <w:top w:w="0" w:type="dxa"/>
            <w:left w:w="108" w:type="dxa"/>
            <w:bottom w:w="0" w:type="dxa"/>
            <w:right w:w="108" w:type="dxa"/>
          </w:tblCellMar>
        </w:tblPrEx>
        <w:trPr>
          <w:trHeight w:val="27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7BFA">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w:t>
            </w:r>
          </w:p>
        </w:tc>
        <w:tc>
          <w:tcPr>
            <w:tcW w:w="468" w:type="pct"/>
            <w:vMerge w:val="continue"/>
            <w:tcBorders>
              <w:top w:val="single" w:color="000000" w:sz="4" w:space="0"/>
              <w:left w:val="single" w:color="000000" w:sz="4" w:space="0"/>
              <w:bottom w:val="single" w:color="000000" w:sz="4" w:space="0"/>
              <w:right w:val="single" w:color="000000" w:sz="4" w:space="0"/>
            </w:tcBorders>
            <w:vAlign w:val="center"/>
          </w:tcPr>
          <w:p w14:paraId="20761934">
            <w:pPr>
              <w:widowControl/>
              <w:spacing w:line="240" w:lineRule="auto"/>
              <w:ind w:firstLine="0" w:firstLineChars="0"/>
              <w:jc w:val="left"/>
              <w:rPr>
                <w:rFonts w:hint="default" w:ascii="Times New Roman" w:hAnsi="Times New Roman" w:cs="Times New Roman"/>
                <w:color w:val="auto"/>
                <w:kern w:val="0"/>
                <w:sz w:val="21"/>
                <w:szCs w:val="21"/>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8715">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数据流量卡</w:t>
            </w:r>
          </w:p>
        </w:tc>
        <w:tc>
          <w:tcPr>
            <w:tcW w:w="2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B7E6">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按2年测算</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278D">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30FA">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套</w:t>
            </w:r>
          </w:p>
        </w:tc>
      </w:tr>
    </w:tbl>
    <w:p w14:paraId="1CB72DC7">
      <w:pPr>
        <w:bidi w:val="0"/>
        <w:rPr>
          <w:rFonts w:hint="default" w:ascii="Times New Roman" w:hAnsi="Times New Roman" w:cs="Times New Roman"/>
          <w:color w:val="auto"/>
          <w:highlight w:val="none"/>
          <w:lang w:val="en-US" w:eastAsia="zh-CN"/>
        </w:rPr>
      </w:pPr>
    </w:p>
    <w:p w14:paraId="1CF3F967">
      <w:pPr>
        <w:pStyle w:val="4"/>
        <w:keepNext/>
        <w:keepLines/>
        <w:pageBreakBefore w:val="0"/>
        <w:widowControl w:val="0"/>
        <w:kinsoku/>
        <w:wordWrap/>
        <w:overflowPunct/>
        <w:topLinePunct w:val="0"/>
        <w:autoSpaceDE/>
        <w:autoSpaceDN/>
        <w:bidi w:val="0"/>
        <w:adjustRightInd/>
        <w:snapToGrid/>
        <w:spacing w:before="20" w:after="20" w:line="240" w:lineRule="auto"/>
        <w:ind w:firstLine="562"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三、技术要求</w:t>
      </w:r>
    </w:p>
    <w:p w14:paraId="0B2D5B9B">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（一）总体技术要求</w:t>
      </w:r>
    </w:p>
    <w:p w14:paraId="2B5F2664">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w:t>
      </w:r>
      <w:r>
        <w:rPr>
          <w:rFonts w:hint="default" w:ascii="Times New Roman" w:hAnsi="Times New Roman" w:eastAsia="宋体" w:cs="Times New Roman"/>
          <w:bCs/>
          <w:color w:val="auto"/>
          <w:kern w:val="2"/>
          <w:sz w:val="24"/>
          <w:szCs w:val="24"/>
          <w:highlight w:val="none"/>
          <w:lang w:val="en-US" w:eastAsia="zh-CN" w:bidi="ar-SA"/>
        </w:rPr>
        <w:t>投标方提供的软件必须是模块化设计，并且保证任何软件模块的维护和更新都不影响其它软件模块，软件具有容错能力。</w:t>
      </w:r>
    </w:p>
    <w:p w14:paraId="37E9CB17">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投标方提供的软件应具有自身故障监视和诊断能力，即软件能及时发现故障并发出告警。</w:t>
      </w:r>
    </w:p>
    <w:p w14:paraId="0E8896D4">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3</w:t>
      </w:r>
      <w:r>
        <w:rPr>
          <w:rFonts w:hint="default" w:ascii="Times New Roman" w:hAnsi="Times New Roman" w:eastAsia="宋体" w:cs="Times New Roman"/>
          <w:bCs/>
          <w:color w:val="auto"/>
          <w:kern w:val="2"/>
          <w:sz w:val="24"/>
          <w:szCs w:val="24"/>
          <w:highlight w:val="none"/>
          <w:lang w:val="en-US" w:eastAsia="zh-CN" w:bidi="ar-SA"/>
        </w:rPr>
        <w:t>投标方提供的软件在不同时期软件版本应能向下兼容，软件版本易于升级，且在升级的过程中不影响业务的性能与运行。</w:t>
      </w:r>
    </w:p>
    <w:p w14:paraId="6999417C">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4.</w:t>
      </w:r>
      <w:r>
        <w:rPr>
          <w:rFonts w:hint="default" w:ascii="Times New Roman" w:hAnsi="Times New Roman" w:eastAsia="宋体" w:cs="Times New Roman"/>
          <w:bCs/>
          <w:color w:val="auto"/>
          <w:kern w:val="2"/>
          <w:sz w:val="24"/>
          <w:szCs w:val="24"/>
          <w:highlight w:val="none"/>
          <w:lang w:val="en-US" w:eastAsia="zh-CN" w:bidi="ar-SA"/>
        </w:rPr>
        <w:t>投标方须确保提供最新版本的软件，但该软件必须是经过测试正式推出，其可靠性、稳定性经过严格验证。</w:t>
      </w:r>
    </w:p>
    <w:p w14:paraId="506D02BC">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5.</w:t>
      </w:r>
      <w:r>
        <w:rPr>
          <w:rFonts w:hint="default" w:ascii="Times New Roman" w:hAnsi="Times New Roman" w:eastAsia="宋体" w:cs="Times New Roman"/>
          <w:bCs/>
          <w:color w:val="auto"/>
          <w:kern w:val="2"/>
          <w:sz w:val="24"/>
          <w:szCs w:val="24"/>
          <w:highlight w:val="none"/>
          <w:lang w:val="en-US" w:eastAsia="zh-CN" w:bidi="ar-SA"/>
        </w:rPr>
        <w:t>本项目运维期内，软件版本升级时，投标方须免费更新软件版本，并提供相应的新版本软件功能说明书及修改说明书。</w:t>
      </w:r>
    </w:p>
    <w:p w14:paraId="2AC7F011">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6.</w:t>
      </w:r>
      <w:r>
        <w:rPr>
          <w:rFonts w:hint="default" w:ascii="Times New Roman" w:hAnsi="Times New Roman" w:eastAsia="宋体" w:cs="Times New Roman"/>
          <w:bCs/>
          <w:color w:val="auto"/>
          <w:kern w:val="2"/>
          <w:sz w:val="24"/>
          <w:szCs w:val="24"/>
          <w:highlight w:val="none"/>
          <w:lang w:val="en-US" w:eastAsia="zh-CN" w:bidi="ar-SA"/>
        </w:rPr>
        <w:t>投标方提供的应用软件要求具有较强的容错功能。</w:t>
      </w:r>
    </w:p>
    <w:p w14:paraId="24414B12">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（二）应用软件性能要求</w:t>
      </w:r>
    </w:p>
    <w:p w14:paraId="2C5378F4">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w:t>
      </w:r>
      <w:r>
        <w:rPr>
          <w:rFonts w:hint="default" w:ascii="Times New Roman" w:hAnsi="Times New Roman" w:eastAsia="宋体" w:cs="Times New Roman"/>
          <w:bCs/>
          <w:color w:val="auto"/>
          <w:kern w:val="2"/>
          <w:sz w:val="24"/>
          <w:szCs w:val="24"/>
          <w:highlight w:val="none"/>
          <w:lang w:val="en-US" w:eastAsia="zh-CN" w:bidi="ar-SA"/>
        </w:rPr>
        <w:t>应用软件系统的各个软件功能模块应满足本文相关功能要求。应用软件必须能够切实满足系统监控管理的需求，并且适应今后的业务增长和变化，随时可以按功能需要进行修改和维护。</w:t>
      </w:r>
    </w:p>
    <w:p w14:paraId="21D85E6E">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应用软件应采用通用软件开发平台进行开发，有很强的灵活性和扩展性，在今后开展新业务时可通过对参数等的简单更改迅速方便地实现，具有良好的适应能力。</w:t>
      </w:r>
    </w:p>
    <w:p w14:paraId="4BC67210">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3.</w:t>
      </w:r>
      <w:r>
        <w:rPr>
          <w:rFonts w:hint="default" w:ascii="Times New Roman" w:hAnsi="Times New Roman" w:eastAsia="宋体" w:cs="Times New Roman"/>
          <w:bCs/>
          <w:color w:val="auto"/>
          <w:kern w:val="2"/>
          <w:sz w:val="24"/>
          <w:szCs w:val="24"/>
          <w:highlight w:val="none"/>
          <w:lang w:val="en-US" w:eastAsia="zh-CN" w:bidi="ar-SA"/>
        </w:rPr>
        <w:t>应用软件应采用友好的图形化窗口的用户操作界面，可操作性强，而且操作界面应力求简洁、直观，具有全中文界面，有向导性功能，支持工作台化管理，有利于简化操作，并提高操作效率。在考虑简化用户的操作的同时，应允许操作人员必要时做一些人工干预。</w:t>
      </w:r>
    </w:p>
    <w:p w14:paraId="241E7D0E">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4.</w:t>
      </w:r>
      <w:r>
        <w:rPr>
          <w:rFonts w:hint="default" w:ascii="Times New Roman" w:hAnsi="Times New Roman" w:eastAsia="宋体" w:cs="Times New Roman"/>
          <w:bCs/>
          <w:color w:val="auto"/>
          <w:kern w:val="2"/>
          <w:sz w:val="24"/>
          <w:szCs w:val="24"/>
          <w:highlight w:val="none"/>
          <w:lang w:val="en-US" w:eastAsia="zh-CN" w:bidi="ar-SA"/>
        </w:rPr>
        <w:t>应用软件应具备一套完备的数据管理系统和进程调度系统，以保证系统的安全可靠和整个系统的正常运转</w:t>
      </w:r>
    </w:p>
    <w:p w14:paraId="2864C7F2">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5.</w:t>
      </w:r>
      <w:r>
        <w:rPr>
          <w:rFonts w:hint="default" w:ascii="Times New Roman" w:hAnsi="Times New Roman" w:eastAsia="宋体" w:cs="Times New Roman"/>
          <w:bCs/>
          <w:color w:val="auto"/>
          <w:kern w:val="2"/>
          <w:sz w:val="24"/>
          <w:szCs w:val="24"/>
          <w:highlight w:val="none"/>
          <w:lang w:val="en-US" w:eastAsia="zh-CN" w:bidi="ar-SA"/>
        </w:rPr>
        <w:t>应用软件还应采用参数驱动的设计思想，在应用软件中，凡是不能确定的因素，应做到参数化，以达到通过对参数的设置就可适应不同的情况及不同时期的应用要求，并具备多用户和多任务操作能力。</w:t>
      </w:r>
    </w:p>
    <w:p w14:paraId="493F9DD3">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6.</w:t>
      </w:r>
      <w:r>
        <w:rPr>
          <w:rFonts w:hint="default" w:ascii="Times New Roman" w:hAnsi="Times New Roman" w:eastAsia="宋体" w:cs="Times New Roman"/>
          <w:bCs/>
          <w:color w:val="auto"/>
          <w:kern w:val="2"/>
          <w:sz w:val="24"/>
          <w:szCs w:val="24"/>
          <w:highlight w:val="none"/>
          <w:lang w:val="en-US" w:eastAsia="zh-CN" w:bidi="ar-SA"/>
        </w:rPr>
        <w:t>每个应用的功能由一个应用模块完成，应用模块之间应减少耦合度；应用模块与系统之间采用开放的应用接口（API）进行通信；开发人员可灵活开发新的应用模块，并可在不需对原有系统进行重新编译的前提下，动态加载到系统使用。</w:t>
      </w:r>
    </w:p>
    <w:p w14:paraId="37410EA2">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7.</w:t>
      </w:r>
      <w:r>
        <w:rPr>
          <w:rFonts w:hint="default" w:ascii="Times New Roman" w:hAnsi="Times New Roman" w:eastAsia="宋体" w:cs="Times New Roman"/>
          <w:bCs/>
          <w:color w:val="auto"/>
          <w:kern w:val="2"/>
          <w:sz w:val="24"/>
          <w:szCs w:val="24"/>
          <w:highlight w:val="none"/>
          <w:lang w:val="en-US" w:eastAsia="zh-CN" w:bidi="ar-SA"/>
        </w:rPr>
        <w:t>应用软件必须可制作打包安装盘（包），具有自动安装功能以及网络远程安装功能。</w:t>
      </w:r>
    </w:p>
    <w:p w14:paraId="70EB877B">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8.</w:t>
      </w:r>
      <w:r>
        <w:rPr>
          <w:rFonts w:hint="default" w:ascii="Times New Roman" w:hAnsi="Times New Roman" w:eastAsia="宋体" w:cs="Times New Roman"/>
          <w:bCs/>
          <w:color w:val="auto"/>
          <w:kern w:val="2"/>
          <w:sz w:val="24"/>
          <w:szCs w:val="24"/>
          <w:highlight w:val="none"/>
          <w:lang w:val="en-US" w:eastAsia="zh-CN" w:bidi="ar-SA"/>
        </w:rPr>
        <w:t>应用软件要遵循易操作性、健壮性、实用性、高效性和安全性的原则。</w:t>
      </w:r>
    </w:p>
    <w:p w14:paraId="43A9D22F">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9.</w:t>
      </w:r>
      <w:r>
        <w:rPr>
          <w:rFonts w:hint="default" w:ascii="Times New Roman" w:hAnsi="Times New Roman" w:eastAsia="宋体" w:cs="Times New Roman"/>
          <w:bCs/>
          <w:color w:val="auto"/>
          <w:kern w:val="2"/>
          <w:sz w:val="24"/>
          <w:szCs w:val="24"/>
          <w:highlight w:val="none"/>
          <w:lang w:val="en-US" w:eastAsia="zh-CN" w:bidi="ar-SA"/>
        </w:rPr>
        <w:t>灵活设计和详细规划系统操作权限，支持功能级、数据级权限控制，可按原子级业务、业务组件、业务流程分配系统操作权限；支持角色管理，个性化角色工作台展示业务组件、业务图表。</w:t>
      </w:r>
    </w:p>
    <w:p w14:paraId="1B4A9B65">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10.</w:t>
      </w:r>
      <w:r>
        <w:rPr>
          <w:rFonts w:hint="default" w:ascii="Times New Roman" w:hAnsi="Times New Roman" w:eastAsia="宋体" w:cs="Times New Roman"/>
          <w:bCs/>
          <w:color w:val="auto"/>
          <w:kern w:val="2"/>
          <w:sz w:val="24"/>
          <w:szCs w:val="24"/>
          <w:highlight w:val="none"/>
          <w:lang w:val="en-US" w:eastAsia="zh-CN" w:bidi="ar-SA"/>
        </w:rPr>
        <w:t>应用软件应具有完整、严谨的操作权限管理机制和日志记录，确保系统的安全性和业务的可稽核性；系统采用业务回退机制，加强业务的可逆性。</w:t>
      </w:r>
    </w:p>
    <w:p w14:paraId="54ABCF9F">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11.</w:t>
      </w:r>
      <w:r>
        <w:rPr>
          <w:rFonts w:hint="default" w:ascii="Times New Roman" w:hAnsi="Times New Roman" w:eastAsia="宋体" w:cs="Times New Roman"/>
          <w:bCs/>
          <w:color w:val="auto"/>
          <w:kern w:val="2"/>
          <w:sz w:val="24"/>
          <w:szCs w:val="24"/>
          <w:highlight w:val="none"/>
          <w:lang w:val="en-US" w:eastAsia="zh-CN" w:bidi="ar-SA"/>
        </w:rPr>
        <w:t>应用软件说明要求：</w:t>
      </w:r>
    </w:p>
    <w:p w14:paraId="1A577D55">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w:t>
      </w:r>
      <w:r>
        <w:rPr>
          <w:rFonts w:hint="default" w:ascii="Times New Roman" w:hAnsi="Times New Roman" w:eastAsia="宋体" w:cs="Times New Roman"/>
          <w:bCs/>
          <w:color w:val="auto"/>
          <w:kern w:val="2"/>
          <w:sz w:val="24"/>
          <w:szCs w:val="24"/>
          <w:highlight w:val="none"/>
          <w:lang w:val="en-US" w:eastAsia="zh-CN" w:bidi="ar-SA"/>
        </w:rPr>
        <w:t>投标方产品应无条件支持和适配信创要求，支持虚拟化，支持容器（docker），支持招标方所提供的云平台等。</w:t>
      </w:r>
    </w:p>
    <w:p w14:paraId="1B44676D">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投标方产品应支持当前主流数据库、中间件及云数据库，并且支持国产数据库及中间件。</w:t>
      </w:r>
    </w:p>
    <w:p w14:paraId="5FAEB426">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（三）投标方第三方软件技术要求</w:t>
      </w:r>
    </w:p>
    <w:p w14:paraId="2A1071A9">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投标方原则上须使用招标方</w:t>
      </w:r>
      <w:r>
        <w:rPr>
          <w:rFonts w:hint="default" w:ascii="Times New Roman" w:hAnsi="Times New Roman" w:cs="Times New Roman"/>
          <w:bCs/>
          <w:color w:val="auto"/>
          <w:kern w:val="2"/>
          <w:sz w:val="24"/>
          <w:szCs w:val="24"/>
          <w:highlight w:val="none"/>
          <w:lang w:val="en-US" w:eastAsia="zh-CN" w:bidi="ar-SA"/>
        </w:rPr>
        <w:t>原有系统</w:t>
      </w:r>
      <w:r>
        <w:rPr>
          <w:rFonts w:hint="default" w:ascii="Times New Roman" w:hAnsi="Times New Roman" w:eastAsia="宋体" w:cs="Times New Roman"/>
          <w:bCs/>
          <w:color w:val="auto"/>
          <w:kern w:val="2"/>
          <w:sz w:val="24"/>
          <w:szCs w:val="24"/>
          <w:highlight w:val="none"/>
          <w:lang w:val="en-US" w:eastAsia="zh-CN" w:bidi="ar-SA"/>
        </w:rPr>
        <w:t>的第三方软件，如遇特殊情况，需使用其他第三方软件，在征得招标方同意后，由投标方自行</w:t>
      </w:r>
      <w:r>
        <w:rPr>
          <w:rFonts w:hint="default" w:ascii="Times New Roman" w:hAnsi="Times New Roman" w:cs="Times New Roman"/>
          <w:bCs/>
          <w:color w:val="auto"/>
          <w:kern w:val="2"/>
          <w:sz w:val="24"/>
          <w:szCs w:val="24"/>
          <w:highlight w:val="none"/>
          <w:lang w:val="en-US" w:eastAsia="zh-CN" w:bidi="ar-SA"/>
        </w:rPr>
        <w:t>确认</w:t>
      </w:r>
      <w:r>
        <w:rPr>
          <w:rFonts w:hint="default" w:ascii="Times New Roman" w:hAnsi="Times New Roman" w:eastAsia="宋体" w:cs="Times New Roman"/>
          <w:bCs/>
          <w:color w:val="auto"/>
          <w:kern w:val="2"/>
          <w:sz w:val="24"/>
          <w:szCs w:val="24"/>
          <w:highlight w:val="none"/>
          <w:lang w:val="en-US" w:eastAsia="zh-CN" w:bidi="ar-SA"/>
        </w:rPr>
        <w:t>。</w:t>
      </w:r>
    </w:p>
    <w:p w14:paraId="53951F9B">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（四）投标方算力服务支撑要求</w:t>
      </w:r>
    </w:p>
    <w:p w14:paraId="3E6BE5F0">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投标方须</w:t>
      </w:r>
      <w:r>
        <w:rPr>
          <w:rFonts w:hint="default" w:ascii="Times New Roman" w:hAnsi="Times New Roman" w:cs="Times New Roman"/>
          <w:bCs/>
          <w:color w:val="auto"/>
          <w:kern w:val="2"/>
          <w:sz w:val="24"/>
          <w:szCs w:val="24"/>
          <w:highlight w:val="none"/>
          <w:lang w:val="en-US" w:eastAsia="zh-CN" w:bidi="ar-SA"/>
        </w:rPr>
        <w:t>提供满足建设项目人工智能相关算力服务支撑要求，依据招标方人工智能场景需求，能随时提供相应的算力支撑服务</w:t>
      </w:r>
      <w:r>
        <w:rPr>
          <w:rFonts w:hint="default" w:ascii="Times New Roman" w:hAnsi="Times New Roman" w:eastAsia="宋体" w:cs="Times New Roman"/>
          <w:bCs/>
          <w:color w:val="auto"/>
          <w:kern w:val="2"/>
          <w:sz w:val="24"/>
          <w:szCs w:val="24"/>
          <w:highlight w:val="none"/>
          <w:lang w:val="en-US" w:eastAsia="zh-CN" w:bidi="ar-SA"/>
        </w:rPr>
        <w:t>。</w:t>
      </w:r>
    </w:p>
    <w:p w14:paraId="0A89D364">
      <w:pPr>
        <w:pStyle w:val="4"/>
        <w:keepNext/>
        <w:keepLines/>
        <w:pageBreakBefore w:val="0"/>
        <w:widowControl w:val="0"/>
        <w:kinsoku/>
        <w:wordWrap/>
        <w:overflowPunct/>
        <w:topLinePunct w:val="0"/>
        <w:autoSpaceDE/>
        <w:autoSpaceDN/>
        <w:bidi w:val="0"/>
        <w:adjustRightInd/>
        <w:snapToGrid/>
        <w:spacing w:before="20" w:after="20" w:line="240" w:lineRule="auto"/>
        <w:ind w:firstLine="562"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四、商务要求</w:t>
      </w:r>
    </w:p>
    <w:p w14:paraId="234A4867">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（一）交付期</w:t>
      </w:r>
    </w:p>
    <w:p w14:paraId="4A6E2E87">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自合同签订之日起</w:t>
      </w:r>
      <w:r>
        <w:rPr>
          <w:rFonts w:hint="default" w:ascii="Times New Roman" w:hAnsi="Times New Roman" w:cs="Times New Roman"/>
          <w:bCs/>
          <w:color w:val="auto"/>
          <w:kern w:val="2"/>
          <w:sz w:val="24"/>
          <w:szCs w:val="24"/>
          <w:highlight w:val="none"/>
          <w:lang w:val="en-US" w:eastAsia="zh-CN" w:bidi="ar-SA"/>
        </w:rPr>
        <w:t>6</w:t>
      </w:r>
      <w:r>
        <w:rPr>
          <w:rFonts w:hint="default" w:ascii="Times New Roman" w:hAnsi="Times New Roman" w:eastAsia="宋体" w:cs="Times New Roman"/>
          <w:bCs/>
          <w:color w:val="auto"/>
          <w:kern w:val="2"/>
          <w:sz w:val="24"/>
          <w:szCs w:val="24"/>
          <w:highlight w:val="none"/>
          <w:lang w:val="en-US" w:eastAsia="zh-CN" w:bidi="ar-SA"/>
        </w:rPr>
        <w:t>个月内完成软件开发及相应安装调试工作。（具体以签订合同为准）</w:t>
      </w:r>
    </w:p>
    <w:p w14:paraId="6B12BC3D">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（二）交付地点</w:t>
      </w:r>
    </w:p>
    <w:p w14:paraId="079C6C8B">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采购人指定地点。</w:t>
      </w:r>
    </w:p>
    <w:p w14:paraId="5C1DD3D0">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（三）服务要求</w:t>
      </w:r>
    </w:p>
    <w:p w14:paraId="58C92020">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 xml:space="preserve">自验收合格之日算起，提供免费运维服务 </w:t>
      </w:r>
      <w:r>
        <w:rPr>
          <w:rFonts w:hint="default"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 xml:space="preserve"> 年。</w:t>
      </w:r>
      <w:r>
        <w:rPr>
          <w:rFonts w:hint="default" w:ascii="Times New Roman" w:hAnsi="Times New Roman" w:cs="Times New Roman"/>
          <w:bCs/>
          <w:color w:val="auto"/>
          <w:kern w:val="2"/>
          <w:sz w:val="24"/>
          <w:szCs w:val="24"/>
          <w:highlight w:val="none"/>
          <w:lang w:val="en-US" w:eastAsia="zh-CN" w:bidi="ar-SA"/>
        </w:rPr>
        <w:t>各系统</w:t>
      </w:r>
      <w:r>
        <w:rPr>
          <w:rFonts w:hint="default" w:ascii="Times New Roman" w:hAnsi="Times New Roman" w:eastAsia="宋体" w:cs="Times New Roman"/>
          <w:bCs/>
          <w:color w:val="auto"/>
          <w:kern w:val="2"/>
          <w:sz w:val="24"/>
          <w:szCs w:val="24"/>
          <w:highlight w:val="none"/>
          <w:lang w:val="en-US" w:eastAsia="zh-CN" w:bidi="ar-SA"/>
        </w:rPr>
        <w:t>服务期内免费提供至少</w:t>
      </w:r>
      <w:r>
        <w:rPr>
          <w:rFonts w:hint="default" w:ascii="Times New Roman" w:hAnsi="Times New Roman" w:cs="Times New Roman"/>
          <w:bCs/>
          <w:color w:val="auto"/>
          <w:kern w:val="2"/>
          <w:sz w:val="24"/>
          <w:szCs w:val="24"/>
          <w:highlight w:val="none"/>
          <w:lang w:val="en-US" w:eastAsia="zh-CN" w:bidi="ar-SA"/>
        </w:rPr>
        <w:t>1</w:t>
      </w:r>
      <w:r>
        <w:rPr>
          <w:rFonts w:hint="default" w:ascii="Times New Roman" w:hAnsi="Times New Roman" w:eastAsia="宋体" w:cs="Times New Roman"/>
          <w:bCs/>
          <w:color w:val="auto"/>
          <w:kern w:val="2"/>
          <w:sz w:val="24"/>
          <w:szCs w:val="24"/>
          <w:highlight w:val="none"/>
          <w:lang w:val="en-US" w:eastAsia="zh-CN" w:bidi="ar-SA"/>
        </w:rPr>
        <w:t xml:space="preserve"> 名专业工程师，按甲方要求在指定场所内驻场提供现场技术运行维护服务。</w:t>
      </w:r>
    </w:p>
    <w:p w14:paraId="4115A48C">
      <w:pPr>
        <w:pStyle w:val="4"/>
        <w:keepNext/>
        <w:keepLines/>
        <w:pageBreakBefore w:val="0"/>
        <w:widowControl w:val="0"/>
        <w:kinsoku/>
        <w:wordWrap/>
        <w:overflowPunct/>
        <w:topLinePunct w:val="0"/>
        <w:autoSpaceDE/>
        <w:autoSpaceDN/>
        <w:bidi w:val="0"/>
        <w:adjustRightInd/>
        <w:snapToGrid/>
        <w:spacing w:before="20" w:after="20" w:line="240" w:lineRule="auto"/>
        <w:ind w:firstLine="562"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五、其它要求</w:t>
      </w:r>
    </w:p>
    <w:p w14:paraId="45EDC300">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（一）软件安全要求</w:t>
      </w:r>
    </w:p>
    <w:p w14:paraId="25A49065">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遵循网络安全同步规划、同步建设、同步使用的原则，必须按网络安全等级保护、密码测评相关要求做好安全防护，信息加密必须采用国密算法，在系统上线前开展第三方代码审计、信息系统网络安全等保测评、国密测评，代码审计报告、国密应用测评报告、网络安全等级保护测评报告将作为验收依据。在平台运行生命周期之内，投标人根据要求终身为采购人平台提供安全漏洞修复、安全隐患整改，确保平台运行安全。</w:t>
      </w:r>
    </w:p>
    <w:p w14:paraId="693B16D4">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（二）系统信创改造完全国产化适配要求</w:t>
      </w:r>
    </w:p>
    <w:p w14:paraId="1E8E5DB2">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本项目升级完成后，系统涉及到的所有软硬件须完全符合信创和国产化自主可控要求。</w:t>
      </w:r>
    </w:p>
    <w:p w14:paraId="0CA79469">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1、‌全栈技术适配‌：采用国产芯片架构，国产服务器及外设、国产操作系统、国产数据库和国产中间件。应用层：支持国产流版签软件，确保公文处理法律效力。‌合规性要求‌：通过信创工委会测评认证，符合GB/T 25000.51-2016国家标准集成国密算法（SM3/SM4）及PKI体系，满足等保三级要求</w:t>
      </w:r>
    </w:p>
    <w:p w14:paraId="5C10D0E9">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2、适配实施要求</w:t>
      </w:r>
    </w:p>
    <w:p w14:paraId="79765A90">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客户端完全与国产化终端环境兼容，界面自适应改造，支持国产浏览器访问。</w:t>
      </w:r>
    </w:p>
    <w:p w14:paraId="66ADB325">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服务端基于Java EE规范开发，摒弃Windows平台COM组件，支持国产操作系统环境部署。</w:t>
      </w:r>
    </w:p>
    <w:p w14:paraId="069DFD2B">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‌迁移流程‌：分阶段实施：环境搭建→数据迁移→功能适配→测试验证→批量部署</w:t>
      </w:r>
    </w:p>
    <w:p w14:paraId="176548B1">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数据迁移采用逐行、逐列、逐表对比验证法，确保完整率≥99.9%</w:t>
      </w:r>
    </w:p>
    <w:p w14:paraId="41787540">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3、质量与验收</w:t>
      </w:r>
    </w:p>
    <w:p w14:paraId="08E4B0C5">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‌性能指标‌：迁移后无业务逻辑删减，兼容性不影响其他软件运行。</w:t>
      </w:r>
    </w:p>
    <w:p w14:paraId="60DB8D59">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效率要求：网页响应时间≤2秒，图像处理支持高并发访问。</w:t>
      </w:r>
    </w:p>
    <w:p w14:paraId="68AEC5B8">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‌验收材料‌：提供第三方适配报告（操作系统/数据库兼容性认证），提交《国产化适配测试报告》，含性能基准测试数据</w:t>
      </w:r>
    </w:p>
    <w:p w14:paraId="430B5F0B">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4、知识产权与交付</w:t>
      </w:r>
    </w:p>
    <w:p w14:paraId="245BB1A5">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‌成果归属‌：适配形成的技术文档著作权归乙方，系统产权归甲方所有，核心组件需提供源代码交付清单。</w:t>
      </w:r>
    </w:p>
    <w:p w14:paraId="5F38FCAB">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‌交付物‌：适配方案文档（含技术路线图），国产化环境部署手册。</w:t>
      </w:r>
    </w:p>
    <w:p w14:paraId="37FE620B">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（三）项目管理要求</w:t>
      </w:r>
    </w:p>
    <w:p w14:paraId="1B160757">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1、配合</w:t>
      </w:r>
      <w:r>
        <w:rPr>
          <w:rFonts w:hint="default" w:ascii="Times New Roman" w:hAnsi="Times New Roman" w:eastAsia="宋体" w:cs="Times New Roman"/>
          <w:bCs/>
          <w:color w:val="auto"/>
          <w:kern w:val="2"/>
          <w:sz w:val="24"/>
          <w:szCs w:val="24"/>
          <w:highlight w:val="none"/>
          <w:lang w:val="en-US" w:eastAsia="zh-CN" w:bidi="ar-SA"/>
        </w:rPr>
        <w:t>要求</w:t>
      </w:r>
    </w:p>
    <w:p w14:paraId="18F76EFD">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投标人须无条件配合其它相关子系统承建商免费完成系统接口对接或数据共享等。</w:t>
      </w:r>
    </w:p>
    <w:p w14:paraId="280A3B1D">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数据梳理要求</w:t>
      </w:r>
    </w:p>
    <w:p w14:paraId="5450652F">
      <w:pPr>
        <w:widowControl w:val="0"/>
        <w:spacing w:line="360" w:lineRule="auto"/>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在本项目服务期内，为确保数据管理的高效性、准确性和安全性，投标人需每季度开展一次全面的自身业务数据梳理工作，包括但不限于数据完整性检查（确保无缺失、重复记录）、数据一致性验证（跨系统或模块间数据匹配）、数据分类与归档（按业务逻辑或数据属性进行整理）等工作。详细梳理过程中发现的问题、已采取的解决措施及建议的后续改进措施，确保数据管理效率。</w:t>
      </w:r>
    </w:p>
    <w:p w14:paraId="73321A07">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3、</w:t>
      </w:r>
      <w:r>
        <w:rPr>
          <w:rFonts w:hint="default" w:ascii="Times New Roman" w:hAnsi="Times New Roman" w:eastAsia="宋体" w:cs="Times New Roman"/>
          <w:bCs/>
          <w:color w:val="auto"/>
          <w:kern w:val="2"/>
          <w:sz w:val="24"/>
          <w:szCs w:val="24"/>
          <w:highlight w:val="none"/>
          <w:lang w:val="en-US" w:eastAsia="zh-CN" w:bidi="ar-SA"/>
        </w:rPr>
        <w:t>保密要求</w:t>
      </w:r>
    </w:p>
    <w:p w14:paraId="77C8F311">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投标方需在投标文件中明确，本项目中数据（包含原始数据和衍生数据）全部为招标方所有，全部列入保密范围，投标方不得未经用户许可的情况下导出、分析以及移作他用。</w:t>
      </w:r>
    </w:p>
    <w:p w14:paraId="13BD3E67">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4、</w:t>
      </w:r>
      <w:r>
        <w:rPr>
          <w:rFonts w:hint="default" w:ascii="Times New Roman" w:hAnsi="Times New Roman" w:eastAsia="宋体" w:cs="Times New Roman"/>
          <w:bCs/>
          <w:color w:val="auto"/>
          <w:kern w:val="2"/>
          <w:sz w:val="24"/>
          <w:szCs w:val="24"/>
          <w:highlight w:val="none"/>
          <w:lang w:val="en-US" w:eastAsia="zh-CN" w:bidi="ar-SA"/>
        </w:rPr>
        <w:t>源代码和产权要求</w:t>
      </w:r>
    </w:p>
    <w:p w14:paraId="4A8756E9">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投标方需在投标文件中明确，本项目中的全部源代码（不包含既有知识产权类和工具）和知识产权全部为招标方所有，严守源代码安全与合规底线，指定专人负责该项工作，确保提交的源代码完整准确和安全可靠。纳入监理单位日常考核事项，并对未按期完成源代码统一归集工作或代码核验不达标的单位进行严肃处理。</w:t>
      </w:r>
    </w:p>
    <w:p w14:paraId="38FC536F">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（四）项目履约要求</w:t>
      </w:r>
    </w:p>
    <w:p w14:paraId="5BFE58C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w:t>
      </w:r>
      <w:r>
        <w:rPr>
          <w:rFonts w:hint="default" w:ascii="Times New Roman" w:hAnsi="Times New Roman" w:eastAsia="宋体" w:cs="Times New Roman"/>
          <w:bCs/>
          <w:color w:val="auto"/>
          <w:kern w:val="2"/>
          <w:sz w:val="24"/>
          <w:szCs w:val="24"/>
          <w:highlight w:val="none"/>
          <w:lang w:val="en-US" w:eastAsia="zh-CN" w:bidi="ar-SA"/>
        </w:rPr>
        <w:t>投标方应答应真实、客观，如果发现应答与实际情况不符或系统初验后6个月仍达不到验收要求，则招标方有权取消合同、无条件收回已付合同款、并向投标方追加全部合同款额度的15%的违约金和全部合同款额度的银行同期商业贷款利息。</w:t>
      </w:r>
    </w:p>
    <w:p w14:paraId="185D48C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投标方应确保其技术建议的可行性以及所提供服务和产品的完整性，若出现由于投标方所提供的服务和产品不全面而导致系统功能无法实现或不能完全实现，由投标方及时无偿补足，并负全部责任。</w:t>
      </w:r>
    </w:p>
    <w:p w14:paraId="2D52D1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3、</w:t>
      </w:r>
      <w:r>
        <w:rPr>
          <w:rFonts w:hint="default" w:ascii="Times New Roman" w:hAnsi="Times New Roman" w:eastAsia="宋体" w:cs="Times New Roman"/>
          <w:bCs/>
          <w:color w:val="auto"/>
          <w:kern w:val="2"/>
          <w:sz w:val="24"/>
          <w:szCs w:val="24"/>
          <w:highlight w:val="none"/>
          <w:lang w:val="en-US" w:eastAsia="zh-CN" w:bidi="ar-SA"/>
        </w:rPr>
        <w:t>若项目未完成验收前，由于相关政策导致业务发生变化进行升级或调整，中标人应按照最新政策和最新技术标准方案完成本项目建设。</w:t>
      </w:r>
    </w:p>
    <w:p w14:paraId="4AD8C4F7">
      <w:pPr>
        <w:keepNext w:val="0"/>
        <w:keepLines w:val="0"/>
        <w:pageBreakBefore w:val="0"/>
        <w:widowControl w:val="0"/>
        <w:kinsoku/>
        <w:wordWrap w:val="0"/>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eastAsia="宋体" w:cs="Times New Roman"/>
          <w:b/>
          <w:bCs w:val="0"/>
          <w:i w:val="0"/>
          <w:iCs w:val="0"/>
          <w:color w:val="auto"/>
          <w:kern w:val="2"/>
          <w:sz w:val="24"/>
          <w:szCs w:val="24"/>
          <w:highlight w:val="none"/>
          <w:u w:val="single"/>
          <w:lang w:val="en-US" w:eastAsia="zh-CN" w:bidi="ar-SA"/>
        </w:rPr>
      </w:pPr>
      <w:r>
        <w:rPr>
          <w:rFonts w:hint="default" w:ascii="Times New Roman" w:hAnsi="Times New Roman" w:eastAsia="宋体" w:cs="Times New Roman"/>
          <w:b/>
          <w:bCs w:val="0"/>
          <w:i w:val="0"/>
          <w:iCs w:val="0"/>
          <w:color w:val="auto"/>
          <w:kern w:val="2"/>
          <w:sz w:val="24"/>
          <w:szCs w:val="24"/>
          <w:highlight w:val="none"/>
          <w:u w:val="single"/>
          <w:lang w:val="en-US" w:eastAsia="zh-CN" w:bidi="ar-SA"/>
        </w:rPr>
        <w:t>备注：投标方按以上项目履约要求提供完整的承诺函，并加盖投标人公章。</w:t>
      </w:r>
    </w:p>
    <w:p w14:paraId="5D537EB6">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（五）技术文件要求</w:t>
      </w:r>
    </w:p>
    <w:p w14:paraId="56B3E012">
      <w:pPr>
        <w:wordWrap w:val="0"/>
        <w:spacing w:line="460" w:lineRule="exact"/>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cs="Times New Roman"/>
          <w:bCs/>
          <w:color w:val="auto"/>
          <w:sz w:val="24"/>
          <w:szCs w:val="24"/>
          <w:highlight w:val="none"/>
          <w:lang w:val="en-US" w:eastAsia="zh-CN"/>
        </w:rPr>
        <w:t>投标方</w:t>
      </w:r>
      <w:r>
        <w:rPr>
          <w:rFonts w:hint="default" w:ascii="Times New Roman" w:hAnsi="Times New Roman" w:eastAsia="宋体" w:cs="Times New Roman"/>
          <w:bCs/>
          <w:color w:val="auto"/>
          <w:sz w:val="24"/>
          <w:szCs w:val="24"/>
          <w:highlight w:val="none"/>
        </w:rPr>
        <w:t>提供的书面技术资料必须能够满足确保系统正常运行所需的管理、运营、验收及维护的全套文件。</w:t>
      </w:r>
      <w:r>
        <w:rPr>
          <w:rFonts w:hint="default" w:ascii="Times New Roman" w:hAnsi="Times New Roman" w:cs="Times New Roman"/>
          <w:bCs/>
          <w:color w:val="auto"/>
          <w:sz w:val="24"/>
          <w:szCs w:val="24"/>
          <w:highlight w:val="none"/>
          <w:lang w:val="en-US" w:eastAsia="zh-CN"/>
        </w:rPr>
        <w:t>投标方</w:t>
      </w:r>
      <w:r>
        <w:rPr>
          <w:rFonts w:hint="default" w:ascii="Times New Roman" w:hAnsi="Times New Roman" w:eastAsia="宋体" w:cs="Times New Roman"/>
          <w:bCs/>
          <w:color w:val="auto"/>
          <w:sz w:val="24"/>
          <w:szCs w:val="24"/>
          <w:highlight w:val="none"/>
        </w:rPr>
        <w:t>提供的技术文件必须包括但不限于：</w:t>
      </w:r>
    </w:p>
    <w:p w14:paraId="4BF1390C">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1、</w:t>
      </w:r>
      <w:r>
        <w:rPr>
          <w:rFonts w:hint="default" w:ascii="Times New Roman" w:hAnsi="Times New Roman" w:eastAsia="宋体" w:cs="Times New Roman"/>
          <w:bCs/>
          <w:color w:val="auto"/>
          <w:sz w:val="24"/>
          <w:szCs w:val="24"/>
          <w:highlight w:val="none"/>
          <w:lang w:val="en-US" w:eastAsia="zh-CN"/>
        </w:rPr>
        <w:t>信息化系统建设项目需求规格说明书、信息化系统建设项目系统概要设计说明、信息化系统建设项目系统详细设计说明、信息化系统建设项目数据库设计说明。</w:t>
      </w:r>
    </w:p>
    <w:p w14:paraId="0103EF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sz w:val="24"/>
          <w:szCs w:val="24"/>
          <w:highlight w:val="none"/>
        </w:rPr>
      </w:pPr>
      <w:r>
        <w:rPr>
          <w:rFonts w:hint="default" w:ascii="Times New Roman" w:hAnsi="Times New Roman" w:cs="Times New Roman"/>
          <w:bCs/>
          <w:color w:val="auto"/>
          <w:sz w:val="24"/>
          <w:szCs w:val="24"/>
          <w:highlight w:val="none"/>
          <w:lang w:val="en-US" w:eastAsia="zh-CN"/>
        </w:rPr>
        <w:t>2、</w:t>
      </w:r>
      <w:r>
        <w:rPr>
          <w:rFonts w:hint="default" w:ascii="Times New Roman" w:hAnsi="Times New Roman" w:eastAsia="宋体" w:cs="Times New Roman"/>
          <w:bCs/>
          <w:color w:val="auto"/>
          <w:sz w:val="24"/>
          <w:szCs w:val="24"/>
          <w:highlight w:val="none"/>
        </w:rPr>
        <w:t>技术手册</w:t>
      </w:r>
    </w:p>
    <w:p w14:paraId="4B11901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sz w:val="24"/>
          <w:szCs w:val="24"/>
          <w:highlight w:val="none"/>
        </w:rPr>
      </w:pPr>
      <w:r>
        <w:rPr>
          <w:rFonts w:hint="default" w:ascii="Times New Roman" w:hAnsi="Times New Roman" w:cs="Times New Roman"/>
          <w:bCs/>
          <w:color w:val="auto"/>
          <w:sz w:val="24"/>
          <w:szCs w:val="24"/>
          <w:highlight w:val="none"/>
          <w:lang w:val="en-US" w:eastAsia="zh-CN"/>
        </w:rPr>
        <w:t>3、</w:t>
      </w:r>
      <w:r>
        <w:rPr>
          <w:rFonts w:hint="default" w:ascii="Times New Roman" w:hAnsi="Times New Roman" w:eastAsia="宋体" w:cs="Times New Roman"/>
          <w:bCs/>
          <w:color w:val="auto"/>
          <w:sz w:val="24"/>
          <w:szCs w:val="24"/>
          <w:highlight w:val="none"/>
        </w:rPr>
        <w:t>详细的工程日志</w:t>
      </w:r>
    </w:p>
    <w:p w14:paraId="22639CE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sz w:val="24"/>
          <w:szCs w:val="24"/>
          <w:highlight w:val="none"/>
        </w:rPr>
      </w:pPr>
      <w:r>
        <w:rPr>
          <w:rFonts w:hint="default" w:ascii="Times New Roman" w:hAnsi="Times New Roman" w:cs="Times New Roman"/>
          <w:bCs/>
          <w:color w:val="auto"/>
          <w:sz w:val="24"/>
          <w:szCs w:val="24"/>
          <w:highlight w:val="none"/>
          <w:lang w:val="en-US" w:eastAsia="zh-CN"/>
        </w:rPr>
        <w:t>4、</w:t>
      </w:r>
      <w:r>
        <w:rPr>
          <w:rFonts w:hint="default" w:ascii="Times New Roman" w:hAnsi="Times New Roman" w:eastAsia="宋体" w:cs="Times New Roman"/>
          <w:bCs/>
          <w:color w:val="auto"/>
          <w:sz w:val="24"/>
          <w:szCs w:val="24"/>
          <w:highlight w:val="none"/>
        </w:rPr>
        <w:t>系统完整文档</w:t>
      </w:r>
    </w:p>
    <w:p w14:paraId="3D6A4020">
      <w:pPr>
        <w:wordWrap w:val="0"/>
        <w:spacing w:line="460" w:lineRule="exact"/>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其中，</w:t>
      </w:r>
      <w:r>
        <w:rPr>
          <w:rFonts w:hint="default" w:ascii="Times New Roman" w:hAnsi="Times New Roman" w:cs="Times New Roman"/>
          <w:bCs/>
          <w:color w:val="auto"/>
          <w:sz w:val="24"/>
          <w:szCs w:val="24"/>
          <w:highlight w:val="none"/>
          <w:lang w:val="en-US" w:eastAsia="zh-CN"/>
        </w:rPr>
        <w:t>1</w:t>
      </w:r>
      <w:r>
        <w:rPr>
          <w:rFonts w:hint="default" w:ascii="Times New Roman" w:hAnsi="Times New Roman" w:eastAsia="宋体" w:cs="Times New Roman"/>
          <w:bCs/>
          <w:color w:val="auto"/>
          <w:sz w:val="24"/>
          <w:szCs w:val="24"/>
          <w:highlight w:val="none"/>
          <w:lang w:val="en-US" w:eastAsia="zh-CN"/>
        </w:rPr>
        <w:t>项必须在系统开发前提供，</w:t>
      </w:r>
      <w:r>
        <w:rPr>
          <w:rFonts w:hint="default" w:ascii="Times New Roman" w:hAnsi="Times New Roman" w:cs="Times New Roman"/>
          <w:bCs/>
          <w:color w:val="auto"/>
          <w:sz w:val="24"/>
          <w:szCs w:val="24"/>
          <w:highlight w:val="none"/>
          <w:lang w:val="en-US" w:eastAsia="zh-CN"/>
        </w:rPr>
        <w:t>2</w:t>
      </w:r>
      <w:r>
        <w:rPr>
          <w:rFonts w:hint="default" w:ascii="Times New Roman" w:hAnsi="Times New Roman" w:eastAsia="宋体" w:cs="Times New Roman"/>
          <w:bCs/>
          <w:color w:val="auto"/>
          <w:sz w:val="24"/>
          <w:szCs w:val="24"/>
          <w:highlight w:val="none"/>
        </w:rPr>
        <w:t>项必须在</w:t>
      </w:r>
      <w:r>
        <w:rPr>
          <w:rFonts w:hint="default" w:ascii="Times New Roman" w:hAnsi="Times New Roman" w:eastAsia="宋体" w:cs="Times New Roman"/>
          <w:bCs/>
          <w:color w:val="auto"/>
          <w:sz w:val="24"/>
          <w:szCs w:val="24"/>
          <w:highlight w:val="none"/>
          <w:lang w:val="en-US" w:eastAsia="zh-CN"/>
        </w:rPr>
        <w:t>系统部署</w:t>
      </w:r>
      <w:r>
        <w:rPr>
          <w:rFonts w:hint="default" w:ascii="Times New Roman" w:hAnsi="Times New Roman" w:eastAsia="宋体" w:cs="Times New Roman"/>
          <w:bCs/>
          <w:color w:val="auto"/>
          <w:sz w:val="24"/>
          <w:szCs w:val="24"/>
          <w:highlight w:val="none"/>
        </w:rPr>
        <w:t>前提供；</w:t>
      </w:r>
      <w:r>
        <w:rPr>
          <w:rFonts w:hint="default" w:ascii="Times New Roman" w:hAnsi="Times New Roman" w:cs="Times New Roman"/>
          <w:bCs/>
          <w:color w:val="auto"/>
          <w:sz w:val="24"/>
          <w:szCs w:val="24"/>
          <w:highlight w:val="none"/>
          <w:lang w:val="en-US" w:eastAsia="zh-CN"/>
        </w:rPr>
        <w:t>3</w:t>
      </w:r>
      <w:r>
        <w:rPr>
          <w:rFonts w:hint="default" w:ascii="Times New Roman" w:hAnsi="Times New Roman" w:eastAsia="宋体" w:cs="Times New Roman"/>
          <w:bCs/>
          <w:color w:val="auto"/>
          <w:sz w:val="24"/>
          <w:szCs w:val="24"/>
          <w:highlight w:val="none"/>
          <w:lang w:val="en-US" w:eastAsia="zh-CN"/>
        </w:rPr>
        <w:t>项</w:t>
      </w:r>
      <w:r>
        <w:rPr>
          <w:rFonts w:hint="default" w:ascii="Times New Roman" w:hAnsi="Times New Roman" w:eastAsia="宋体" w:cs="Times New Roman"/>
          <w:bCs/>
          <w:color w:val="auto"/>
          <w:sz w:val="24"/>
          <w:szCs w:val="24"/>
          <w:highlight w:val="none"/>
        </w:rPr>
        <w:t>必须在</w:t>
      </w:r>
      <w:r>
        <w:rPr>
          <w:rFonts w:hint="default" w:ascii="Times New Roman" w:hAnsi="Times New Roman" w:eastAsia="宋体" w:cs="Times New Roman"/>
          <w:bCs/>
          <w:color w:val="auto"/>
          <w:sz w:val="24"/>
          <w:szCs w:val="24"/>
          <w:highlight w:val="none"/>
          <w:lang w:val="en-US" w:eastAsia="zh-CN"/>
        </w:rPr>
        <w:t>系统开发</w:t>
      </w:r>
      <w:r>
        <w:rPr>
          <w:rFonts w:hint="default" w:ascii="Times New Roman" w:hAnsi="Times New Roman" w:eastAsia="宋体" w:cs="Times New Roman"/>
          <w:bCs/>
          <w:color w:val="auto"/>
          <w:sz w:val="24"/>
          <w:szCs w:val="24"/>
          <w:highlight w:val="none"/>
        </w:rPr>
        <w:t>过程中随时提供，并在工程实施后1个月内汇总移交。所有的文档必须包括书面和电子两种形式。</w:t>
      </w:r>
      <w:r>
        <w:rPr>
          <w:rFonts w:hint="default" w:ascii="Times New Roman" w:hAnsi="Times New Roman" w:cs="Times New Roman"/>
          <w:bCs/>
          <w:color w:val="auto"/>
          <w:sz w:val="24"/>
          <w:szCs w:val="24"/>
          <w:highlight w:val="none"/>
          <w:lang w:val="en-US" w:eastAsia="zh-CN"/>
        </w:rPr>
        <w:t>4</w:t>
      </w:r>
      <w:r>
        <w:rPr>
          <w:rFonts w:hint="default" w:ascii="Times New Roman" w:hAnsi="Times New Roman" w:eastAsia="宋体" w:cs="Times New Roman"/>
          <w:bCs/>
          <w:color w:val="auto"/>
          <w:sz w:val="24"/>
          <w:szCs w:val="24"/>
          <w:highlight w:val="none"/>
        </w:rPr>
        <w:t>在工程完成初验后，</w:t>
      </w:r>
      <w:r>
        <w:rPr>
          <w:rFonts w:hint="default" w:ascii="Times New Roman" w:hAnsi="Times New Roman" w:eastAsia="宋体" w:cs="Times New Roman"/>
          <w:bCs/>
          <w:color w:val="auto"/>
          <w:sz w:val="24"/>
          <w:szCs w:val="24"/>
          <w:highlight w:val="none"/>
          <w:lang w:val="en-US" w:eastAsia="zh-CN"/>
        </w:rPr>
        <w:t>服务单位</w:t>
      </w:r>
      <w:r>
        <w:rPr>
          <w:rFonts w:hint="default" w:ascii="Times New Roman" w:hAnsi="Times New Roman" w:eastAsia="宋体" w:cs="Times New Roman"/>
          <w:bCs/>
          <w:color w:val="auto"/>
          <w:sz w:val="24"/>
          <w:szCs w:val="24"/>
          <w:highlight w:val="none"/>
        </w:rPr>
        <w:t>提供完整的技术文档。</w:t>
      </w:r>
    </w:p>
    <w:p w14:paraId="7737CF47">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（六）维护及技术支持要求</w:t>
      </w:r>
    </w:p>
    <w:p w14:paraId="590C2D85">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w:t>
      </w:r>
      <w:r>
        <w:rPr>
          <w:rFonts w:hint="default" w:ascii="Times New Roman" w:hAnsi="Times New Roman" w:eastAsia="宋体" w:cs="Times New Roman"/>
          <w:bCs/>
          <w:color w:val="auto"/>
          <w:kern w:val="2"/>
          <w:sz w:val="24"/>
          <w:szCs w:val="24"/>
          <w:highlight w:val="none"/>
          <w:lang w:val="en-US" w:eastAsia="zh-CN" w:bidi="ar-SA"/>
        </w:rPr>
        <w:t>针对所有软件，投标方应提供项目终验后</w:t>
      </w:r>
      <w:r>
        <w:rPr>
          <w:rFonts w:hint="eastAsia" w:asci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年的免费原厂维保服务。</w:t>
      </w:r>
    </w:p>
    <w:p w14:paraId="17C76673">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在软件维保期内，投标方应提供灵活、多样的通信手段（包括但不限于场地、设备及人员、专用服务电话），提供7*24 小时的响应服务，保证在任何时候招标方人员都能及时找到投标方的服务人员。如遇驻场人员无法解决的问题或招标方认为需要，投标方的技术人员应在12 小时内赶到现场支持。</w:t>
      </w:r>
    </w:p>
    <w:p w14:paraId="66184415">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3、</w:t>
      </w:r>
      <w:r>
        <w:rPr>
          <w:rFonts w:hint="default" w:ascii="Times New Roman" w:hAnsi="Times New Roman" w:eastAsia="宋体" w:cs="Times New Roman"/>
          <w:bCs/>
          <w:color w:val="auto"/>
          <w:kern w:val="2"/>
          <w:sz w:val="24"/>
          <w:szCs w:val="24"/>
          <w:highlight w:val="none"/>
          <w:lang w:val="en-US" w:eastAsia="zh-CN" w:bidi="ar-SA"/>
        </w:rPr>
        <w:t>所供软件出现问题时，其响应时间不超过15 分钟，一般故障处理时间不大于2 小时；特殊情况下，故障修复时间不大于24 小时。</w:t>
      </w:r>
    </w:p>
    <w:p w14:paraId="265E8E70">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4、</w:t>
      </w:r>
      <w:r>
        <w:rPr>
          <w:rFonts w:hint="default" w:ascii="Times New Roman" w:hAnsi="Times New Roman" w:eastAsia="宋体" w:cs="Times New Roman"/>
          <w:bCs/>
          <w:color w:val="auto"/>
          <w:kern w:val="2"/>
          <w:sz w:val="24"/>
          <w:szCs w:val="24"/>
          <w:highlight w:val="none"/>
          <w:lang w:val="en-US" w:eastAsia="zh-CN" w:bidi="ar-SA"/>
        </w:rPr>
        <w:t>投标方应提供排除故障响应的具体流程。</w:t>
      </w:r>
    </w:p>
    <w:p w14:paraId="0D8AD27B">
      <w:pPr>
        <w:widowControl w:val="0"/>
        <w:wordWrap w:val="0"/>
        <w:bidi w:val="0"/>
        <w:spacing w:line="460" w:lineRule="exact"/>
        <w:ind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5、</w:t>
      </w:r>
      <w:r>
        <w:rPr>
          <w:rFonts w:hint="default" w:ascii="Times New Roman" w:hAnsi="Times New Roman" w:eastAsia="宋体" w:cs="Times New Roman"/>
          <w:bCs/>
          <w:color w:val="auto"/>
          <w:kern w:val="2"/>
          <w:sz w:val="24"/>
          <w:szCs w:val="24"/>
          <w:highlight w:val="none"/>
          <w:lang w:val="en-US" w:eastAsia="zh-CN" w:bidi="ar-SA"/>
        </w:rPr>
        <w:t>投标方应在项目方案中说明技术指导和技术支持的范围和程度，投标方应提供技术服务流程，技术服务内容和价格清单，若维保期内与期外不同，则应分别列出。</w:t>
      </w:r>
    </w:p>
    <w:p w14:paraId="4BC54FCA">
      <w:pPr>
        <w:pStyle w:val="6"/>
        <w:keepNext/>
        <w:keepLines/>
        <w:pageBreakBefore w:val="0"/>
        <w:widowControl w:val="0"/>
        <w:kinsoku/>
        <w:wordWrap/>
        <w:overflowPunct/>
        <w:topLinePunct w:val="0"/>
        <w:autoSpaceDE/>
        <w:autoSpaceDN/>
        <w:bidi w:val="0"/>
        <w:adjustRightInd/>
        <w:snapToGrid/>
        <w:spacing w:before="20" w:after="20" w:line="240" w:lineRule="auto"/>
        <w:ind w:firstLine="482" w:firstLineChars="200"/>
        <w:textAlignment w:val="auto"/>
        <w:rPr>
          <w:rStyle w:val="211"/>
          <w:rFonts w:hint="default" w:ascii="Times New Roman" w:hAnsi="Times New Roman" w:eastAsia="宋体" w:cs="Times New Roman"/>
          <w:b/>
          <w:bCs w:val="0"/>
          <w:color w:val="auto"/>
          <w:sz w:val="24"/>
          <w:szCs w:val="24"/>
          <w:highlight w:val="none"/>
          <w:lang w:val="en-US" w:eastAsia="zh-CN"/>
        </w:rPr>
      </w:pPr>
      <w:r>
        <w:rPr>
          <w:rStyle w:val="211"/>
          <w:rFonts w:hint="default" w:ascii="Times New Roman" w:hAnsi="Times New Roman" w:eastAsia="宋体" w:cs="Times New Roman"/>
          <w:b/>
          <w:bCs w:val="0"/>
          <w:color w:val="auto"/>
          <w:sz w:val="24"/>
          <w:szCs w:val="24"/>
          <w:highlight w:val="none"/>
          <w:lang w:val="en-US" w:eastAsia="zh-CN"/>
        </w:rPr>
        <w:t>（七）项目验收标准与要求</w:t>
      </w:r>
    </w:p>
    <w:p w14:paraId="123010F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w:t>
      </w:r>
      <w:r>
        <w:rPr>
          <w:rFonts w:hint="default" w:ascii="Times New Roman" w:hAnsi="Times New Roman" w:eastAsia="宋体" w:cs="Times New Roman"/>
          <w:bCs/>
          <w:color w:val="auto"/>
          <w:kern w:val="2"/>
          <w:sz w:val="24"/>
          <w:szCs w:val="24"/>
          <w:highlight w:val="none"/>
          <w:lang w:val="en-US" w:eastAsia="zh-CN" w:bidi="ar-SA"/>
        </w:rPr>
        <w:t>验收总体要求</w:t>
      </w:r>
    </w:p>
    <w:p w14:paraId="02A10E68">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本项目上线完成后，由</w:t>
      </w:r>
      <w:r>
        <w:rPr>
          <w:rFonts w:hint="default" w:ascii="Times New Roman" w:hAnsi="Times New Roman" w:cs="Times New Roman"/>
          <w:bCs/>
          <w:color w:val="auto"/>
          <w:kern w:val="2"/>
          <w:sz w:val="24"/>
          <w:szCs w:val="24"/>
          <w:highlight w:val="none"/>
          <w:lang w:val="en-US" w:eastAsia="zh-CN" w:bidi="ar-SA"/>
        </w:rPr>
        <w:t>自治区市场监督管理局</w:t>
      </w:r>
      <w:r>
        <w:rPr>
          <w:rFonts w:hint="default" w:ascii="Times New Roman" w:hAnsi="Times New Roman" w:eastAsia="宋体" w:cs="Times New Roman"/>
          <w:bCs/>
          <w:color w:val="auto"/>
          <w:kern w:val="2"/>
          <w:sz w:val="24"/>
          <w:szCs w:val="24"/>
          <w:highlight w:val="none"/>
          <w:lang w:val="en-US" w:eastAsia="zh-CN" w:bidi="ar-SA"/>
        </w:rPr>
        <w:t>统一组织，招标人与相关人员组成验收小组完成验收。双方根据最终验收情况，编写最终验收报告；中标人应完成项目验收资料的准备。</w:t>
      </w:r>
    </w:p>
    <w:p w14:paraId="543643D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在服务过程中出现性能指标或功能上不符合标书和合同要求时，由中标人负责解决，招标人有拒绝验收的权利并保留索赔权利。</w:t>
      </w:r>
    </w:p>
    <w:p w14:paraId="6FA0190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本项目的实施过程中将产生大量的技术及管理文档，中标人应协助招标人，负责建立、维护、交接项目实施过程中产生的各类文档，确保项目文档的内容体现本项目的实施过程，并确保项目文档的完整性和准确性。</w:t>
      </w:r>
    </w:p>
    <w:p w14:paraId="0EDF4F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投标人按照要求提交全部文档，通过验收，视为本项工作完成。</w:t>
      </w:r>
    </w:p>
    <w:p w14:paraId="5ECBC308">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验收组织</w:t>
      </w:r>
    </w:p>
    <w:p w14:paraId="439696D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项目验收分为初验和终验，都由招标方组织进行。</w:t>
      </w:r>
    </w:p>
    <w:p w14:paraId="6D943D9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3、</w:t>
      </w:r>
      <w:r>
        <w:rPr>
          <w:rFonts w:hint="default" w:ascii="Times New Roman" w:hAnsi="Times New Roman" w:eastAsia="宋体" w:cs="Times New Roman"/>
          <w:bCs/>
          <w:color w:val="auto"/>
          <w:kern w:val="2"/>
          <w:sz w:val="24"/>
          <w:szCs w:val="24"/>
          <w:highlight w:val="none"/>
          <w:lang w:val="en-US" w:eastAsia="zh-CN" w:bidi="ar-SA"/>
        </w:rPr>
        <w:t>初验流程</w:t>
      </w:r>
    </w:p>
    <w:p w14:paraId="1F8D19C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w:t>
      </w:r>
      <w:r>
        <w:rPr>
          <w:rFonts w:hint="default" w:ascii="Times New Roman" w:hAnsi="Times New Roman" w:eastAsia="宋体" w:cs="Times New Roman"/>
          <w:bCs/>
          <w:color w:val="auto"/>
          <w:kern w:val="2"/>
          <w:sz w:val="24"/>
          <w:szCs w:val="24"/>
          <w:highlight w:val="none"/>
          <w:lang w:val="en-US" w:eastAsia="zh-CN" w:bidi="ar-SA"/>
        </w:rPr>
        <w:t>招标方依据相关批复文件、招标采购文件、投标文件、合同，对项目的工程、技术、财务和档案等进行验收，形成验收报告。</w:t>
      </w:r>
    </w:p>
    <w:p w14:paraId="732139E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项目初验后进入试运行，试运行期至少</w:t>
      </w:r>
      <w:r>
        <w:rPr>
          <w:rFonts w:hint="eastAsia" w:ascii="Times New Roman" w:cs="Times New Roman"/>
          <w:bCs/>
          <w:color w:val="auto"/>
          <w:kern w:val="2"/>
          <w:sz w:val="24"/>
          <w:szCs w:val="24"/>
          <w:highlight w:val="none"/>
          <w:lang w:val="en-US" w:eastAsia="zh-CN" w:bidi="ar-SA"/>
        </w:rPr>
        <w:t>3</w:t>
      </w:r>
      <w:r>
        <w:rPr>
          <w:rFonts w:hint="default" w:ascii="Times New Roman" w:hAnsi="Times New Roman" w:cs="Times New Roman"/>
          <w:bCs/>
          <w:color w:val="auto"/>
          <w:kern w:val="2"/>
          <w:sz w:val="24"/>
          <w:szCs w:val="24"/>
          <w:highlight w:val="none"/>
          <w:lang w:val="en-US" w:eastAsia="zh-CN" w:bidi="ar-SA"/>
        </w:rPr>
        <w:t>个月</w:t>
      </w:r>
      <w:r>
        <w:rPr>
          <w:rFonts w:hint="default" w:ascii="Times New Roman" w:hAnsi="Times New Roman" w:eastAsia="宋体" w:cs="Times New Roman"/>
          <w:bCs/>
          <w:color w:val="auto"/>
          <w:kern w:val="2"/>
          <w:sz w:val="24"/>
          <w:szCs w:val="24"/>
          <w:highlight w:val="none"/>
          <w:lang w:val="en-US" w:eastAsia="zh-CN" w:bidi="ar-SA"/>
        </w:rPr>
        <w:t>。</w:t>
      </w:r>
    </w:p>
    <w:p w14:paraId="251A3B6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4、</w:t>
      </w:r>
      <w:r>
        <w:rPr>
          <w:rFonts w:hint="default" w:ascii="Times New Roman" w:hAnsi="Times New Roman" w:eastAsia="宋体" w:cs="Times New Roman"/>
          <w:bCs/>
          <w:color w:val="auto"/>
          <w:kern w:val="2"/>
          <w:sz w:val="24"/>
          <w:szCs w:val="24"/>
          <w:highlight w:val="none"/>
          <w:lang w:val="en-US" w:eastAsia="zh-CN" w:bidi="ar-SA"/>
        </w:rPr>
        <w:t>终验流程</w:t>
      </w:r>
    </w:p>
    <w:p w14:paraId="054BE57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招标方组织成立验收组，负责开展终验的先期基础性工作，重点检查项目监理、施工、招标采购、档案资料等，提出验收评价意见和建议。</w:t>
      </w:r>
    </w:p>
    <w:p w14:paraId="347E63F8">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5、</w:t>
      </w:r>
      <w:r>
        <w:rPr>
          <w:rFonts w:hint="default" w:ascii="Times New Roman" w:hAnsi="Times New Roman" w:eastAsia="宋体" w:cs="Times New Roman"/>
          <w:bCs/>
          <w:color w:val="auto"/>
          <w:kern w:val="2"/>
          <w:sz w:val="24"/>
          <w:szCs w:val="24"/>
          <w:highlight w:val="none"/>
          <w:lang w:val="en-US" w:eastAsia="zh-CN" w:bidi="ar-SA"/>
        </w:rPr>
        <w:t>验收内容</w:t>
      </w:r>
    </w:p>
    <w:p w14:paraId="237C20B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（1）</w:t>
      </w:r>
      <w:r>
        <w:rPr>
          <w:rFonts w:hint="default" w:ascii="Times New Roman" w:hAnsi="Times New Roman" w:eastAsia="宋体" w:cs="Times New Roman"/>
          <w:bCs/>
          <w:color w:val="auto"/>
          <w:kern w:val="2"/>
          <w:sz w:val="24"/>
          <w:szCs w:val="24"/>
          <w:highlight w:val="none"/>
          <w:lang w:val="en-US" w:eastAsia="zh-CN" w:bidi="ar-SA"/>
        </w:rPr>
        <w:t>审查项目的建设目标、规模、内容、质量及资金使用等情况。</w:t>
      </w:r>
    </w:p>
    <w:p w14:paraId="10ED30F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审核项目形成的资产情况。</w:t>
      </w:r>
    </w:p>
    <w:p w14:paraId="74C1A1B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（3）</w:t>
      </w:r>
      <w:r>
        <w:rPr>
          <w:rFonts w:hint="default" w:ascii="Times New Roman" w:hAnsi="Times New Roman" w:eastAsia="宋体" w:cs="Times New Roman"/>
          <w:bCs/>
          <w:color w:val="auto"/>
          <w:kern w:val="2"/>
          <w:sz w:val="24"/>
          <w:szCs w:val="24"/>
          <w:highlight w:val="none"/>
          <w:lang w:val="en-US" w:eastAsia="zh-CN" w:bidi="ar-SA"/>
        </w:rPr>
        <w:t>评价项目交付使用情况。</w:t>
      </w:r>
    </w:p>
    <w:p w14:paraId="34DE614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（4）</w:t>
      </w:r>
      <w:r>
        <w:rPr>
          <w:rFonts w:hint="default" w:ascii="Times New Roman" w:hAnsi="Times New Roman" w:eastAsia="宋体" w:cs="Times New Roman"/>
          <w:bCs/>
          <w:color w:val="auto"/>
          <w:kern w:val="2"/>
          <w:sz w:val="24"/>
          <w:szCs w:val="24"/>
          <w:highlight w:val="none"/>
          <w:lang w:val="en-US" w:eastAsia="zh-CN" w:bidi="ar-SA"/>
        </w:rPr>
        <w:t>检查项目建设单位执行国家法律、法规情况。</w:t>
      </w:r>
    </w:p>
    <w:p w14:paraId="64FC3B6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6、</w:t>
      </w:r>
      <w:r>
        <w:rPr>
          <w:rFonts w:hint="default" w:ascii="Times New Roman" w:hAnsi="Times New Roman" w:eastAsia="宋体" w:cs="Times New Roman"/>
          <w:bCs/>
          <w:color w:val="auto"/>
          <w:kern w:val="2"/>
          <w:sz w:val="24"/>
          <w:szCs w:val="24"/>
          <w:highlight w:val="none"/>
          <w:lang w:val="en-US" w:eastAsia="zh-CN" w:bidi="ar-SA"/>
        </w:rPr>
        <w:t>验收相关材料</w:t>
      </w:r>
    </w:p>
    <w:p w14:paraId="35E384F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投标方须负责整理并提供以下验收材料，包括但不限于：项目实施方案、项目合同、项目建设总结、项目招标相关文档、项目建设相关文档、初步验收报告、项目试运行报告等</w:t>
      </w:r>
      <w:r>
        <w:rPr>
          <w:rFonts w:hint="eastAsia" w:ascii="Times New Roman" w:hAnsi="Times New Roman" w:eastAsia="宋体" w:cs="Times New Roman"/>
          <w:bCs/>
          <w:color w:val="auto"/>
          <w:kern w:val="2"/>
          <w:sz w:val="24"/>
          <w:szCs w:val="24"/>
          <w:highlight w:val="none"/>
          <w:lang w:val="en-US" w:eastAsia="zh-CN" w:bidi="ar-SA"/>
        </w:rPr>
        <w:t>（具体以项目监理方</w:t>
      </w:r>
      <w:r>
        <w:rPr>
          <w:rFonts w:hint="eastAsia" w:cs="Times New Roman"/>
          <w:bCs/>
          <w:color w:val="auto"/>
          <w:kern w:val="2"/>
          <w:sz w:val="24"/>
          <w:szCs w:val="24"/>
          <w:highlight w:val="none"/>
          <w:lang w:val="en-US" w:eastAsia="zh-CN" w:bidi="ar-SA"/>
        </w:rPr>
        <w:t>依据</w:t>
      </w:r>
      <w:r>
        <w:rPr>
          <w:rFonts w:hint="eastAsia" w:ascii="Times New Roman" w:hAnsi="Times New Roman" w:eastAsia="宋体" w:cs="Times New Roman"/>
          <w:bCs/>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国家电子政务工程建设项目档案管理暂行办法</w:t>
      </w: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bCs/>
          <w:color w:val="auto"/>
          <w:kern w:val="2"/>
          <w:sz w:val="24"/>
          <w:szCs w:val="24"/>
          <w:highlight w:val="none"/>
          <w:lang w:val="en-US" w:eastAsia="zh-CN" w:bidi="ar-SA"/>
        </w:rPr>
        <w:t>要求的资料清单为准</w:t>
      </w:r>
      <w:r>
        <w:rPr>
          <w:rFonts w:hint="eastAsia" w:ascii="Times New Roman" w:hAnsi="Times New Roman" w:eastAsia="宋体" w:cs="Times New Roman"/>
          <w:bCs/>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w:t>
      </w:r>
    </w:p>
    <w:p w14:paraId="28A2C57D">
      <w:pPr>
        <w:bidi w:val="0"/>
        <w:rPr>
          <w:rFonts w:hint="default" w:ascii="Times New Roman" w:hAnsi="Times New Roman" w:cs="Times New Roman"/>
          <w:highlight w:val="none"/>
          <w:lang w:val="en-US" w:eastAsia="zh-CN"/>
        </w:rPr>
      </w:pPr>
    </w:p>
    <w:p w14:paraId="2DB2AA1F">
      <w:pPr>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br w:type="page"/>
      </w:r>
    </w:p>
    <w:p w14:paraId="3483DEF8">
      <w:pPr>
        <w:pStyle w:val="3"/>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第七章  评标办法</w:t>
      </w:r>
      <w:bookmarkEnd w:id="485"/>
      <w:bookmarkEnd w:id="486"/>
      <w:bookmarkEnd w:id="487"/>
      <w:bookmarkEnd w:id="488"/>
      <w:bookmarkEnd w:id="489"/>
      <w:bookmarkStart w:id="586" w:name="_Toc208849007"/>
      <w:bookmarkStart w:id="587" w:name="_Toc183582280"/>
      <w:bookmarkStart w:id="588" w:name="_Toc183682415"/>
      <w:bookmarkStart w:id="589" w:name="_Toc217446097"/>
    </w:p>
    <w:bookmarkEnd w:id="586"/>
    <w:bookmarkEnd w:id="587"/>
    <w:bookmarkEnd w:id="588"/>
    <w:bookmarkEnd w:id="589"/>
    <w:p w14:paraId="02EC40D8">
      <w:pPr>
        <w:pStyle w:val="4"/>
        <w:spacing w:before="0" w:after="0" w:line="440" w:lineRule="exact"/>
        <w:ind w:firstLine="482" w:firstLineChars="200"/>
        <w:rPr>
          <w:rFonts w:hint="default" w:ascii="Times New Roman" w:hAnsi="Times New Roman" w:cs="Times New Roman"/>
          <w:color w:val="auto"/>
          <w:sz w:val="24"/>
          <w:szCs w:val="24"/>
          <w:highlight w:val="none"/>
        </w:rPr>
      </w:pPr>
      <w:bookmarkStart w:id="590" w:name="_Toc466298100"/>
      <w:bookmarkStart w:id="591" w:name="_Toc465085408"/>
      <w:bookmarkStart w:id="592" w:name="_Toc472604652"/>
      <w:r>
        <w:rPr>
          <w:rFonts w:hint="default" w:ascii="Times New Roman" w:hAnsi="Times New Roman" w:cs="Times New Roman"/>
          <w:color w:val="auto"/>
          <w:sz w:val="24"/>
          <w:szCs w:val="24"/>
          <w:highlight w:val="none"/>
        </w:rPr>
        <w:t>1.总则</w:t>
      </w:r>
      <w:bookmarkEnd w:id="590"/>
      <w:bookmarkEnd w:id="591"/>
      <w:bookmarkEnd w:id="592"/>
    </w:p>
    <w:p w14:paraId="3FA5A525">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1.1根据《中华人民共和国政府采购法》、《中华人民共和国政府采购法实施条例》、《政府采购货物和服务招标投标管理办法》等法律制度，结合采购项目特点制定本评标办法。</w:t>
      </w:r>
    </w:p>
    <w:p w14:paraId="61A0D6AA">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1.2 </w:t>
      </w:r>
      <w:r>
        <w:rPr>
          <w:rFonts w:hint="default" w:ascii="Times New Roman" w:hAnsi="Times New Roman" w:cs="Times New Roman"/>
          <w:bCs/>
          <w:color w:val="auto"/>
          <w:sz w:val="24"/>
          <w:highlight w:val="none"/>
        </w:rPr>
        <w:t>评标工作由采购代理机构负责组织，具体评标事务由采购代理机构依法组建的评标委员会负责。评标委员会由采购人代表和有关技术、经济等方面的专家组成。</w:t>
      </w:r>
    </w:p>
    <w:p w14:paraId="5EA47494">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 评标工作应遵循公平、公正、科学及择优的原则，并以相同的评标程序和标准对待所有的投标人。</w:t>
      </w:r>
    </w:p>
    <w:p w14:paraId="2BCE352C">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 评标委员会按照招标文件规定的评标方法和标准进行评标，并独立履行下列职责：</w:t>
      </w:r>
      <w:bookmarkStart w:id="593" w:name="_Toc217446098"/>
    </w:p>
    <w:p w14:paraId="211B1583">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szCs w:val="32"/>
          <w:highlight w:val="none"/>
        </w:rPr>
        <w:t>（一）</w:t>
      </w:r>
      <w:r>
        <w:rPr>
          <w:rFonts w:hint="default" w:ascii="Times New Roman" w:hAnsi="Times New Roman" w:cs="Times New Roman"/>
          <w:color w:val="auto"/>
          <w:sz w:val="24"/>
          <w:highlight w:val="none"/>
        </w:rPr>
        <w:t>审查、评价投标文件是否符合招标文件的商务、技术等实质性要求；</w:t>
      </w:r>
    </w:p>
    <w:p w14:paraId="778856EB">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（二）要求投标人对投标文件有关事项作出澄清或者说明；</w:t>
      </w:r>
    </w:p>
    <w:p w14:paraId="0EE0BED8">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（三）对投标文件进行比较和评价；</w:t>
      </w:r>
    </w:p>
    <w:p w14:paraId="1E1E7642">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（四）确定中标候选人名单，以及根据采购人委托直接确定中标人；</w:t>
      </w:r>
    </w:p>
    <w:p w14:paraId="23701C47">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（五）向采购人、采购代理机构或者有关部门报告评标中发现的违法行为。</w:t>
      </w:r>
    </w:p>
    <w:p w14:paraId="1B08BFF3">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（六）法律、法规和规章规定的其他职责。</w:t>
      </w:r>
    </w:p>
    <w:p w14:paraId="5FB46CE5">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1.5评标过程独立、保密。投标人非法干预评标评标过程的行为将导致其投标文件作为无效处理。</w:t>
      </w:r>
    </w:p>
    <w:p w14:paraId="25D0931A">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1.6评标委员会评价投标文件的响应性，对于投标人而言，除评标委员会要求其澄清、说明或者更正而提供的资料外，仅依据投标文件本身的内容，不寻求其他外部证据。</w:t>
      </w:r>
    </w:p>
    <w:p w14:paraId="251CB246">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1.7采购人或者采购代理机构负责组织评标工作，并履行下列职责：</w:t>
      </w:r>
    </w:p>
    <w:p w14:paraId="62C92AD7">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（一）核对评审专家身份和采购人代表授权函，对评审专家在政府采购活动中的职责履行情况予以记录，并及时将有关违法违规行为向财政部门报告；</w:t>
      </w:r>
    </w:p>
    <w:p w14:paraId="4193DDF1">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（二）宣布评标纪律；</w:t>
      </w:r>
    </w:p>
    <w:p w14:paraId="3074A46D">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（三）公布投标人名单，告知评审专家应当回避的情形；</w:t>
      </w:r>
    </w:p>
    <w:p w14:paraId="72FC12C4">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（四）组织评标委员会推选评标组长，采购人代表不得担任组长；</w:t>
      </w:r>
    </w:p>
    <w:p w14:paraId="085C6BEF">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（五）在评标期间采取必要的通讯管理措施，保证评标活动不受外界干扰；</w:t>
      </w:r>
    </w:p>
    <w:p w14:paraId="67B28D9E">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（六）根据评标委员会的要求介绍政府采购相关政策法规、招标文件；</w:t>
      </w:r>
    </w:p>
    <w:p w14:paraId="2D5658CA">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（七）维护评标秩序，监督评标委员会依照招标文件规定的评标程序、方法和标准进行独立评审，及时制止和纠正采购人代表、评审专家的倾向性言论或者违法违规行为；</w:t>
      </w:r>
    </w:p>
    <w:p w14:paraId="1ED1D8D9">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（八）核对评标结果，有财政部87号令第六十四条规定情形的，要求评标委员会复核或者书面说明理由，评标委员会拒绝的，应予记录并向本级财政部门报告；</w:t>
      </w:r>
    </w:p>
    <w:p w14:paraId="3841A0BC">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（九）评审工作完成后，按照规定向评审专家支付劳务报酬和异地评审差旅费，不得向评审专家以外的其他人员支付评审劳务报酬；</w:t>
      </w:r>
    </w:p>
    <w:p w14:paraId="36B32D4B">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（十）处理与评标有关的其他事项。</w:t>
      </w:r>
    </w:p>
    <w:p w14:paraId="598A3D88">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采购人可以在评标前说明项目背景和采购需求，说明内容不得含有歧视性、倾向性意见，不得超出招标文件所述范围。说明应当提交书面材料，并随采购文件一并存档。</w:t>
      </w:r>
    </w:p>
    <w:p w14:paraId="0BDA2E5A">
      <w:pPr>
        <w:pStyle w:val="4"/>
        <w:spacing w:before="0" w:after="0" w:line="276" w:lineRule="auto"/>
        <w:ind w:firstLine="482" w:firstLineChars="200"/>
        <w:rPr>
          <w:rFonts w:hint="default" w:ascii="Times New Roman" w:hAnsi="Times New Roman" w:cs="Times New Roman"/>
          <w:color w:val="auto"/>
          <w:sz w:val="24"/>
          <w:szCs w:val="24"/>
          <w:highlight w:val="none"/>
        </w:rPr>
      </w:pPr>
      <w:bookmarkStart w:id="594" w:name="_Toc472604653"/>
      <w:bookmarkStart w:id="595" w:name="_Toc466298101"/>
      <w:bookmarkStart w:id="596" w:name="_Toc465085409"/>
      <w:r>
        <w:rPr>
          <w:rFonts w:hint="default" w:ascii="Times New Roman" w:hAnsi="Times New Roman" w:cs="Times New Roman"/>
          <w:color w:val="auto"/>
          <w:sz w:val="24"/>
          <w:szCs w:val="24"/>
          <w:highlight w:val="none"/>
        </w:rPr>
        <w:t>2.评标方法</w:t>
      </w:r>
      <w:bookmarkEnd w:id="594"/>
      <w:bookmarkEnd w:id="595"/>
      <w:bookmarkEnd w:id="596"/>
    </w:p>
    <w:p w14:paraId="5130CBB6">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本项目评标方法为：综合评分法。</w:t>
      </w:r>
    </w:p>
    <w:bookmarkEnd w:id="593"/>
    <w:p w14:paraId="5DB517F3">
      <w:pPr>
        <w:pStyle w:val="4"/>
        <w:spacing w:before="0" w:after="0" w:line="276" w:lineRule="auto"/>
        <w:ind w:firstLine="482" w:firstLineChars="200"/>
        <w:rPr>
          <w:rFonts w:hint="default" w:ascii="Times New Roman" w:hAnsi="Times New Roman" w:cs="Times New Roman"/>
          <w:color w:val="auto"/>
          <w:sz w:val="24"/>
          <w:szCs w:val="24"/>
          <w:highlight w:val="none"/>
        </w:rPr>
      </w:pPr>
      <w:bookmarkStart w:id="597" w:name="_Toc465085410"/>
      <w:bookmarkStart w:id="598" w:name="_Toc472604654"/>
      <w:bookmarkStart w:id="599" w:name="_Toc466298102"/>
      <w:r>
        <w:rPr>
          <w:rFonts w:hint="default" w:ascii="Times New Roman" w:hAnsi="Times New Roman" w:cs="Times New Roman"/>
          <w:color w:val="auto"/>
          <w:sz w:val="24"/>
          <w:szCs w:val="24"/>
          <w:highlight w:val="none"/>
        </w:rPr>
        <w:t>3.评标程序</w:t>
      </w:r>
      <w:bookmarkEnd w:id="597"/>
      <w:bookmarkEnd w:id="598"/>
      <w:bookmarkEnd w:id="599"/>
    </w:p>
    <w:p w14:paraId="627D9062">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3.1熟悉和理解招标文件和停止评标。</w:t>
      </w:r>
    </w:p>
    <w:p w14:paraId="36649536">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评标委员会正式评标前，应当对招标文件进行熟悉和理解，内容主要包括招标文件中采购项目技术、服务和商务要求、评标方法和标准以及可能涉及签订政府采购合同的内容等。</w:t>
      </w:r>
    </w:p>
    <w:p w14:paraId="6841B516">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32"/>
          <w:szCs w:val="32"/>
          <w:highlight w:val="none"/>
        </w:rPr>
        <w:t xml:space="preserve">   </w:t>
      </w:r>
      <w:r>
        <w:rPr>
          <w:rFonts w:hint="default" w:ascii="Times New Roman" w:hAnsi="Times New Roman" w:cs="Times New Roman"/>
          <w:color w:val="auto"/>
          <w:sz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5061114">
      <w:pPr>
        <w:spacing w:line="276"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3.2资格性检查。</w:t>
      </w:r>
    </w:p>
    <w:p w14:paraId="3EA283D3">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采购人或者采购代理机构应依据法律法规和本招标文件的规定，对投标文件是否按照规定要求提供资格性证明材料进行审查，以确定投标供应商是否具备投标资格。</w:t>
      </w:r>
    </w:p>
    <w:p w14:paraId="59E44B9B">
      <w:pPr>
        <w:spacing w:line="276"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3.3符合性检查。</w:t>
      </w:r>
    </w:p>
    <w:p w14:paraId="142DF37A">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79B781C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3.3.2除政府采购法律制度规定的情形外，本项目投标人或者其投标文件有下列情形之一的，作为无效投标处理：</w:t>
      </w:r>
    </w:p>
    <w:p w14:paraId="0E8E952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①投标文件未按招标文件规定格式完整提供的；</w:t>
      </w:r>
    </w:p>
    <w:p w14:paraId="2A3588B4">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②投标报价不符合招标文件规定的要求且超过预算价或最高限价的；</w:t>
      </w:r>
    </w:p>
    <w:p w14:paraId="3C9CE55C">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③投标文件载明的</w:t>
      </w:r>
      <w:r>
        <w:rPr>
          <w:rFonts w:hint="default"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期限（合同履行期限）</w:t>
      </w:r>
      <w:r>
        <w:rPr>
          <w:rFonts w:hint="default" w:ascii="Times New Roman" w:hAnsi="Times New Roman" w:cs="Times New Roman"/>
          <w:color w:val="auto"/>
          <w:sz w:val="24"/>
          <w:highlight w:val="none"/>
          <w:lang w:val="en-US" w:eastAsia="zh-CN"/>
        </w:rPr>
        <w:t>负偏离于</w:t>
      </w:r>
      <w:r>
        <w:rPr>
          <w:rFonts w:hint="default" w:ascii="Times New Roman" w:hAnsi="Times New Roman" w:cs="Times New Roman"/>
          <w:color w:val="auto"/>
          <w:sz w:val="24"/>
          <w:highlight w:val="none"/>
        </w:rPr>
        <w:t>招标文件规定的期限；</w:t>
      </w:r>
    </w:p>
    <w:p w14:paraId="67DCB697">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④商务、技术偏离表是否提供；</w:t>
      </w:r>
    </w:p>
    <w:p w14:paraId="78ED9A3C">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⑤未实质性响应招标文件要求或者投标文件有采购人不能接受的附加条件的；</w:t>
      </w:r>
    </w:p>
    <w:p w14:paraId="56F898ED">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⑥不满足招标文件实质性要求的其他情形；</w:t>
      </w:r>
    </w:p>
    <w:p w14:paraId="1D16517E">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⑦未按招标文件规定格式填写，内容不全或关键字迹模糊，无法辨认。</w:t>
      </w:r>
    </w:p>
    <w:p w14:paraId="0CD27C6E">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3.3.3投标人有下列情形之一的,评标委员会认定为投标人串通投标，其投标无效，书面报告财政部门：</w:t>
      </w:r>
    </w:p>
    <w:p w14:paraId="3B8AE6E1">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（1）不同投标人的投标文件由同一单位或者个人编制；</w:t>
      </w:r>
    </w:p>
    <w:p w14:paraId="02973953">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（2）不同投标人委托同一单位或者个人办理投标事宜；</w:t>
      </w:r>
    </w:p>
    <w:p w14:paraId="1AA657CF">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（3）不同投标人的投标文件载明的项目管理成员或者联系人员为同一人；</w:t>
      </w:r>
    </w:p>
    <w:p w14:paraId="32841D8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（4）不同投标人的投标文件异常一致或者投标报价呈规律性差异；</w:t>
      </w:r>
    </w:p>
    <w:p w14:paraId="1F597C75">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（5）不同投标人的投标文件相互混装；</w:t>
      </w:r>
    </w:p>
    <w:p w14:paraId="1B67DF15">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3.4比较与评价。按招标文件中规定的评标方法和标准，对未作无效投标处理的投标文件进行技术、服务、商务等方面评估，综合比较与评价。</w:t>
      </w:r>
    </w:p>
    <w:p w14:paraId="623CAEDC">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3.5复核。评分汇总结束后，评标委员会应当进行复核，特别要对拟推荐为中标候选供应商的、报价最低的、投标文件被认定为无效的进行重点复核。</w:t>
      </w:r>
    </w:p>
    <w:p w14:paraId="2EF8C52E">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推荐中标候选供应商。中标候选供应商应当排序。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14:paraId="068F8CE7">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14:paraId="7D8D3C61">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3.7出具评标报告。评标委员会推荐中标候选供应商后，应当向招标采购单位出具评标报告。评标报告应当包括下列内容：</w:t>
      </w:r>
    </w:p>
    <w:p w14:paraId="5DCD1DBA">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（一）招标公告刊登的媒体名称、开标日期和地点；</w:t>
      </w:r>
    </w:p>
    <w:p w14:paraId="4424296F">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（二）获取招标文件的投标人名单和评标委员会成员名单；</w:t>
      </w:r>
    </w:p>
    <w:p w14:paraId="7A174EDA">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（三）评标方法和标准；</w:t>
      </w:r>
    </w:p>
    <w:p w14:paraId="018169B9">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（四）开标记录和评标情况及说明，包括无效投标人名单及原因；</w:t>
      </w:r>
    </w:p>
    <w:p w14:paraId="7D7E0404">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（五）评标结果和中标候选供应商排序表；</w:t>
      </w:r>
    </w:p>
    <w:p w14:paraId="45920877">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（六）评标委员会授标建议；</w:t>
      </w:r>
    </w:p>
    <w:p w14:paraId="286658D7">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（七）报价最高的投标人为中标候选人的，评标委员会应当对其报价的合理性予以特别说明。</w:t>
      </w:r>
    </w:p>
    <w:p w14:paraId="024312C9">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26EF2BB">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133184E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3.9供应商应当书面澄清、说明或者更正。</w:t>
      </w:r>
    </w:p>
    <w:p w14:paraId="0D6F0202">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3.9.1</w:t>
      </w:r>
      <w:r>
        <w:rPr>
          <w:rFonts w:hint="default" w:ascii="Times New Roman" w:hAnsi="Times New Roman" w:cs="Times New Roman"/>
          <w:b/>
          <w:color w:val="auto"/>
          <w:sz w:val="24"/>
          <w:highlight w:val="none"/>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04695DD4">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3.9.2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7FBA1235">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3.9.3评标委员会要求供应商澄清、说明或者更正，不得超出招标文件的范围，不得以此让供应商实质改变投标文件的内容，不得影响供应商公平竞争。本项目下列内容不得澄清：</w:t>
      </w:r>
    </w:p>
    <w:p w14:paraId="64EF26B2">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（一）按财政部规定应当在评标时不予承认的投标文件内容事项；</w:t>
      </w:r>
    </w:p>
    <w:p w14:paraId="22DA8199">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（二）投标文件中已经明确的内容事项；</w:t>
      </w:r>
    </w:p>
    <w:p w14:paraId="3757D1DF">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（三）投标文件未提供的材料。</w:t>
      </w:r>
    </w:p>
    <w:p w14:paraId="623DC38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3.9.4投标文件报价出现前后不一致的，除招标文件另有规定外，按照下列规定修正：</w:t>
      </w:r>
    </w:p>
    <w:p w14:paraId="5D9FC5CF">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（一）投标文件中开标一览表（报价表）内容与投标文件中相应内容不一致的，以开标一览表（报价表）为准；</w:t>
      </w:r>
    </w:p>
    <w:p w14:paraId="30686A71">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（二）大写金额和小写金额不一致的，以大写金额为准；</w:t>
      </w:r>
    </w:p>
    <w:p w14:paraId="51BC3A5C">
      <w:pPr>
        <w:spacing w:line="276" w:lineRule="auto"/>
        <w:ind w:left="476" w:leftChars="14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（三）单价金额小数点或者百分比有明显错位的，以开标一览表的总价为准。（四）总价金额与按单价汇总金额不一致的，以单价金额计算结果为准。</w:t>
      </w:r>
    </w:p>
    <w:p w14:paraId="084CD4FD">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同时出现两种以上不一致的，按照前款规定的顺序修正。修正后的报价按照财政部第87号令第五十一条第二款的规定经投标人确认后产生约束力，投标人不确认的，其投标无效。</w:t>
      </w:r>
    </w:p>
    <w:p w14:paraId="5DF9424F">
      <w:pPr>
        <w:spacing w:line="276"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注：评标委员会当积极履行澄清、说明或者更正的职责，不得滥用权力。供应商的投标文件可以要求澄清、说明或者更正的，不得未经澄清、说明或者更正而直接作无效投标处理。</w:t>
      </w:r>
    </w:p>
    <w:p w14:paraId="3D626895">
      <w:pPr>
        <w:pStyle w:val="180"/>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3.10 低于成本价投标处理。在评标过程中，评审委员会认为投标人报价低成本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FF58334">
      <w:pPr>
        <w:pStyle w:val="180"/>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供应商书面说明应当签字确认或者加盖公章，否则无效。书面说明的签字确认，供应商为法人的，由其法定代表人</w:t>
      </w:r>
      <w:r>
        <w:rPr>
          <w:rFonts w:hint="default" w:ascii="Times New Roman" w:hAnsi="Times New Roman" w:cs="Times New Roman"/>
          <w:color w:val="auto"/>
          <w:sz w:val="24"/>
          <w:highlight w:val="none"/>
        </w:rPr>
        <w:t>/单位负责人</w:t>
      </w:r>
      <w:r>
        <w:rPr>
          <w:rFonts w:hint="default" w:ascii="Times New Roman" w:hAnsi="Times New Roman" w:cs="Times New Roman"/>
          <w:color w:val="auto"/>
          <w:highlight w:val="none"/>
        </w:rPr>
        <w:t>或者代理人签字确认；供应商为其他组织的，由其主要负责人或者代理人签字确认；供应商为自然人的，由其本人或者代理人签字确认。</w:t>
      </w:r>
    </w:p>
    <w:p w14:paraId="7ECB01D9">
      <w:pPr>
        <w:pStyle w:val="180"/>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14:paraId="493E1D5F">
      <w:pPr>
        <w:pStyle w:val="180"/>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3.11招标采购单位现场复核评标结果。</w:t>
      </w:r>
    </w:p>
    <w:p w14:paraId="404F9F89">
      <w:pPr>
        <w:pStyle w:val="180"/>
        <w:spacing w:line="276" w:lineRule="auto"/>
        <w:ind w:firstLine="482" w:firstLineChars="200"/>
        <w:jc w:val="both"/>
        <w:rPr>
          <w:rFonts w:hint="default" w:ascii="Times New Roman" w:hAnsi="Times New Roman" w:cs="Times New Roman"/>
          <w:b/>
          <w:color w:val="auto"/>
          <w:highlight w:val="none"/>
        </w:rPr>
      </w:pPr>
      <w:r>
        <w:rPr>
          <w:rFonts w:hint="default" w:ascii="Times New Roman" w:hAnsi="Times New Roman" w:cs="Times New Roman"/>
          <w:b/>
          <w:color w:val="auto"/>
          <w:highlight w:val="none"/>
        </w:rPr>
        <w:t>评标结果汇总完成后，评标委员会拟出具评标报告前，招标采购单位应当组织2名以上的本单位工作人员，在采购现场监督人员的监督之下，依据有关的法律制度和采购文件对评标结果进行复核，出具复核报告。</w:t>
      </w:r>
    </w:p>
    <w:p w14:paraId="29373348">
      <w:pPr>
        <w:widowControl/>
        <w:shd w:val="clear" w:color="auto" w:fill="FFFFFF"/>
        <w:autoSpaceDE w:val="0"/>
        <w:spacing w:line="276" w:lineRule="auto"/>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 xml:space="preserve">    除下列情形外，任何人不得修改评标结果：</w:t>
      </w:r>
      <w:r>
        <w:rPr>
          <w:rFonts w:hint="default" w:ascii="Times New Roman" w:hAnsi="Times New Roman" w:cs="Times New Roman"/>
          <w:b/>
          <w:color w:val="auto"/>
          <w:sz w:val="24"/>
          <w:highlight w:val="none"/>
        </w:rPr>
        <w:t xml:space="preserve"> </w:t>
      </w:r>
    </w:p>
    <w:p w14:paraId="68B6FE22">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（一）分值汇总计算错误的；</w:t>
      </w:r>
    </w:p>
    <w:p w14:paraId="44D25C55">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（二）分项评分超出评分标准范围的；</w:t>
      </w:r>
    </w:p>
    <w:p w14:paraId="0F73C360">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（三）评标委员会成员对客观评审因素评分不一致的；</w:t>
      </w:r>
    </w:p>
    <w:p w14:paraId="15AD744A">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（四）经评标委员会认定评分畸高、畸低的。</w:t>
      </w:r>
    </w:p>
    <w:p w14:paraId="4A8AB7F4">
      <w:pPr>
        <w:widowControl/>
        <w:shd w:val="clear" w:color="auto" w:fill="FFFFFF"/>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E01428E">
      <w:pPr>
        <w:pStyle w:val="180"/>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投标人对本条第一款情形提出质疑的，采购人或者采购代理机构可以组织原评标委员会进行重新评审，重新评审改变评标结果的，应当书面报告本级财政部门。</w:t>
      </w:r>
    </w:p>
    <w:p w14:paraId="3E7E2627">
      <w:pPr>
        <w:pStyle w:val="4"/>
        <w:spacing w:before="0" w:after="0" w:line="276" w:lineRule="auto"/>
        <w:ind w:firstLine="482" w:firstLineChars="200"/>
        <w:rPr>
          <w:rFonts w:hint="default" w:ascii="Times New Roman" w:hAnsi="Times New Roman" w:cs="Times New Roman"/>
          <w:color w:val="auto"/>
          <w:sz w:val="24"/>
          <w:szCs w:val="24"/>
          <w:highlight w:val="none"/>
        </w:rPr>
      </w:pPr>
      <w:bookmarkStart w:id="600" w:name="_Toc472604655"/>
      <w:bookmarkStart w:id="601" w:name="_Toc2648"/>
      <w:bookmarkStart w:id="602" w:name="_Toc466298103"/>
      <w:bookmarkStart w:id="603" w:name="_Toc28079"/>
      <w:bookmarkStart w:id="604" w:name="_Toc29450"/>
      <w:bookmarkStart w:id="605" w:name="_Toc17018"/>
      <w:bookmarkStart w:id="606" w:name="_Toc13863"/>
      <w:bookmarkStart w:id="607" w:name="_Toc4183"/>
      <w:bookmarkStart w:id="608" w:name="_Toc465085411"/>
      <w:bookmarkStart w:id="609" w:name="_Toc28539"/>
      <w:bookmarkStart w:id="610" w:name="_Toc26694"/>
      <w:bookmarkStart w:id="611" w:name="_Toc217446103"/>
      <w:r>
        <w:rPr>
          <w:rFonts w:hint="default" w:ascii="Times New Roman" w:hAnsi="Times New Roman" w:cs="Times New Roman"/>
          <w:color w:val="auto"/>
          <w:sz w:val="24"/>
          <w:szCs w:val="24"/>
          <w:highlight w:val="none"/>
        </w:rPr>
        <w:t>4.评标细则及标准</w:t>
      </w:r>
      <w:bookmarkEnd w:id="600"/>
      <w:bookmarkEnd w:id="601"/>
      <w:bookmarkEnd w:id="602"/>
      <w:bookmarkEnd w:id="603"/>
      <w:bookmarkEnd w:id="604"/>
      <w:bookmarkEnd w:id="605"/>
      <w:bookmarkEnd w:id="606"/>
      <w:bookmarkEnd w:id="607"/>
      <w:bookmarkEnd w:id="608"/>
      <w:bookmarkEnd w:id="609"/>
      <w:bookmarkEnd w:id="610"/>
      <w:bookmarkEnd w:id="611"/>
    </w:p>
    <w:p w14:paraId="128C56FA">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4.1本次综合评分的因素是：</w:t>
      </w:r>
      <w:r>
        <w:rPr>
          <w:rFonts w:hint="default" w:ascii="Times New Roman" w:hAnsi="Times New Roman" w:cs="Times New Roman"/>
          <w:color w:val="auto"/>
          <w:sz w:val="24"/>
          <w:szCs w:val="21"/>
          <w:highlight w:val="none"/>
        </w:rPr>
        <w:t>详见综合评分明细表。</w:t>
      </w:r>
    </w:p>
    <w:p w14:paraId="163E4A36">
      <w:pPr>
        <w:pStyle w:val="180"/>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4.2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w:t>
      </w:r>
    </w:p>
    <w:p w14:paraId="767805E8">
      <w:pPr>
        <w:pStyle w:val="20"/>
        <w:tabs>
          <w:tab w:val="left" w:pos="60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4.3综合评分明细表</w:t>
      </w:r>
    </w:p>
    <w:p w14:paraId="187689CA">
      <w:pPr>
        <w:pStyle w:val="20"/>
        <w:tabs>
          <w:tab w:val="left" w:pos="60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4.3.1综合评分明细表的制定以科学合理、降低评委会自由裁量权为原则。</w:t>
      </w:r>
    </w:p>
    <w:p w14:paraId="26DB6B33">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综合评分明细表：</w:t>
      </w:r>
    </w:p>
    <w:tbl>
      <w:tblPr>
        <w:tblStyle w:val="4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743"/>
        <w:gridCol w:w="700"/>
        <w:gridCol w:w="6326"/>
      </w:tblGrid>
      <w:tr w14:paraId="05D1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7F4B70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评分类别</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0B7420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评审项目</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E4BA4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标准分</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58CD66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评审标准</w:t>
            </w:r>
          </w:p>
        </w:tc>
      </w:tr>
      <w:tr w14:paraId="0403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488915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经济标（10分）</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14B638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AF928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1B2D91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低价优先法计算，即满足采购文件要求且投标价格最低的投标报价为评标基准价，其价格分为满分。其他投标人的价格分统一按照下列公式计算: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14:paraId="663D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0" w:type="pct"/>
            <w:vMerge w:val="restart"/>
            <w:tcBorders>
              <w:top w:val="single" w:color="000000" w:sz="4" w:space="0"/>
              <w:left w:val="single" w:color="000000" w:sz="4" w:space="0"/>
              <w:bottom w:val="single" w:color="000000" w:sz="4" w:space="0"/>
              <w:right w:val="single" w:color="000000" w:sz="4" w:space="0"/>
            </w:tcBorders>
            <w:noWrap w:val="0"/>
            <w:vAlign w:val="center"/>
          </w:tcPr>
          <w:p w14:paraId="052D7B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商务评分（40分）</w:t>
            </w:r>
          </w:p>
        </w:tc>
        <w:tc>
          <w:tcPr>
            <w:tcW w:w="436" w:type="pct"/>
            <w:tcBorders>
              <w:top w:val="single" w:color="000000" w:sz="4" w:space="0"/>
              <w:left w:val="single" w:color="000000" w:sz="4" w:space="0"/>
              <w:right w:val="single" w:color="000000" w:sz="4" w:space="0"/>
            </w:tcBorders>
            <w:noWrap/>
            <w:vAlign w:val="center"/>
          </w:tcPr>
          <w:p w14:paraId="5AFDE2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技术方案</w:t>
            </w:r>
          </w:p>
        </w:tc>
        <w:tc>
          <w:tcPr>
            <w:tcW w:w="410" w:type="pct"/>
            <w:tcBorders>
              <w:top w:val="single" w:color="000000" w:sz="4" w:space="0"/>
              <w:left w:val="single" w:color="000000" w:sz="4" w:space="0"/>
              <w:right w:val="single" w:color="000000" w:sz="4" w:space="0"/>
            </w:tcBorders>
            <w:noWrap/>
            <w:vAlign w:val="center"/>
          </w:tcPr>
          <w:p w14:paraId="62059F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7646FB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投标人针对本项目提供的技术方案，内容包含但不限于：</w:t>
            </w:r>
          </w:p>
          <w:p w14:paraId="1DA22C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①需求理解；</w:t>
            </w:r>
          </w:p>
          <w:p w14:paraId="3CB75C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②现状分析；</w:t>
            </w:r>
          </w:p>
          <w:p w14:paraId="24616F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③各系统架构设计；</w:t>
            </w:r>
          </w:p>
          <w:p w14:paraId="7EAD1C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④各系统业务流程设计；</w:t>
            </w:r>
          </w:p>
          <w:p w14:paraId="5B986E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⑤性能和安全保障措施等内容；</w:t>
            </w:r>
          </w:p>
          <w:p w14:paraId="28F33C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5项内容提供齐全无缺陷的得10分，有一项未提供的扣2分，每有一处存在缺陷（缺陷是指不适用于本项目、语句有歧义、仅有框架或标题、涉及的规范及标准错误、套用其他项目内容，任意一种情形）的扣1分，扣完为止，不提供不得分。</w:t>
            </w:r>
          </w:p>
        </w:tc>
      </w:tr>
      <w:tr w14:paraId="7329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jc w:val="center"/>
        </w:trPr>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DA2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799A14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资质</w:t>
            </w:r>
          </w:p>
          <w:p w14:paraId="4E43D0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和应</w:t>
            </w:r>
          </w:p>
          <w:p w14:paraId="23369B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157355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15分</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38233D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投标人需提供所投系统厂家的授权、软著等证明材料（均盖厂家公章）</w:t>
            </w:r>
          </w:p>
          <w:p w14:paraId="307273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（1）棉花质量智慧监管子系统</w:t>
            </w:r>
          </w:p>
          <w:p w14:paraId="0ED4C9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（2）“丝路有信”新疆企业信用码子系统</w:t>
            </w:r>
          </w:p>
          <w:p w14:paraId="7D68D5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（3）检验检测机构智慧监管子系统</w:t>
            </w:r>
          </w:p>
          <w:p w14:paraId="462DE9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（4）网络商品交易监测预警子系统</w:t>
            </w:r>
          </w:p>
          <w:p w14:paraId="192505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（5）人工智能辅助子系统</w:t>
            </w:r>
          </w:p>
          <w:p w14:paraId="57749A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（6）计量智慧监管子系统</w:t>
            </w:r>
          </w:p>
          <w:p w14:paraId="7C78FD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（7）智慧执法助手</w:t>
            </w:r>
          </w:p>
          <w:p w14:paraId="4C461B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（8）质量强企强链强县数字化子系统</w:t>
            </w:r>
          </w:p>
          <w:p w14:paraId="12753A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（9）数字化场景驾驶舱分析子系统</w:t>
            </w:r>
          </w:p>
          <w:p w14:paraId="280DDE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（10）新疆食品追溯子系统</w:t>
            </w:r>
          </w:p>
          <w:p w14:paraId="265712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（11）食品安全智慧监管子系统</w:t>
            </w:r>
          </w:p>
          <w:p w14:paraId="17747A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（12）食品抽检“二级站”子系统</w:t>
            </w:r>
          </w:p>
          <w:p w14:paraId="071AD9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（13）互联网+AI监管子系统</w:t>
            </w:r>
          </w:p>
          <w:p w14:paraId="50A461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（14）特种设备智慧监管子系统</w:t>
            </w:r>
          </w:p>
          <w:p w14:paraId="6B3FC6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（15）车用气瓶监管子系统</w:t>
            </w:r>
          </w:p>
          <w:p w14:paraId="68B64F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（16）智慧监管指挥调度子系统</w:t>
            </w:r>
          </w:p>
          <w:p w14:paraId="07AFBF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（17）非公路用旅游观光车智慧监管子系统</w:t>
            </w:r>
          </w:p>
          <w:p w14:paraId="7D4BC6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以上内容每提供1项得1分，最多得15分，超过15项以上的得满分。</w:t>
            </w:r>
          </w:p>
        </w:tc>
      </w:tr>
      <w:tr w14:paraId="34FB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jc w:val="center"/>
        </w:trPr>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1D98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p>
        </w:tc>
        <w:tc>
          <w:tcPr>
            <w:tcW w:w="436" w:type="pct"/>
            <w:tcBorders>
              <w:top w:val="single" w:color="000000" w:sz="4" w:space="0"/>
              <w:left w:val="single" w:color="000000" w:sz="4" w:space="0"/>
              <w:right w:val="single" w:color="000000" w:sz="4" w:space="0"/>
            </w:tcBorders>
            <w:noWrap w:val="0"/>
            <w:vAlign w:val="center"/>
          </w:tcPr>
          <w:p w14:paraId="2F84B2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软件</w:t>
            </w:r>
          </w:p>
          <w:p w14:paraId="12CDB2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能力</w:t>
            </w:r>
          </w:p>
        </w:tc>
        <w:tc>
          <w:tcPr>
            <w:tcW w:w="410" w:type="pct"/>
            <w:tcBorders>
              <w:top w:val="single" w:color="000000" w:sz="4" w:space="0"/>
              <w:left w:val="single" w:color="000000" w:sz="4" w:space="0"/>
              <w:right w:val="single" w:color="000000" w:sz="4" w:space="0"/>
            </w:tcBorders>
            <w:noWrap/>
            <w:vAlign w:val="center"/>
          </w:tcPr>
          <w:p w14:paraId="02A792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4887A0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为保障平台升级改造质量，投标人或所投产品原厂具有并提供相关产品的软件著作权登记证书，著作权证书包含：</w:t>
            </w:r>
          </w:p>
          <w:p w14:paraId="13923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1.自动化运营平台；</w:t>
            </w:r>
          </w:p>
          <w:p w14:paraId="083CD1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2.安全生产管理平台；</w:t>
            </w:r>
          </w:p>
          <w:p w14:paraId="43124D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3.商品(食品)安全监管；</w:t>
            </w:r>
          </w:p>
          <w:p w14:paraId="43963D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4.行业应用监控管理系统；</w:t>
            </w:r>
          </w:p>
          <w:p w14:paraId="22A67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5.风险管理；</w:t>
            </w:r>
          </w:p>
          <w:p w14:paraId="7340D7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6.综合业务支撑辅助系统；</w:t>
            </w:r>
          </w:p>
          <w:p w14:paraId="25357C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7.AI视频分析；</w:t>
            </w:r>
          </w:p>
          <w:p w14:paraId="4672F1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8.业务管理</w:t>
            </w:r>
          </w:p>
          <w:p w14:paraId="206A1C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9.指挥调度平台</w:t>
            </w:r>
          </w:p>
          <w:p w14:paraId="011EA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10.风险评估流程管理系统</w:t>
            </w:r>
          </w:p>
          <w:p w14:paraId="17D2C3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11.市场监管AI辅助</w:t>
            </w:r>
          </w:p>
          <w:p w14:paraId="582383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12.AI基础支撑平台</w:t>
            </w:r>
          </w:p>
          <w:p w14:paraId="1F0971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等关键字的软件著作权登记证书，每提供一个得1分，最高得10分。未提供的不得分。（投标文件中的软件著作权复印件需要加盖投标人公章；软件著作权取得的日期需早于本项目公告发布之日起30天，同类证书不重复得分。）</w:t>
            </w:r>
          </w:p>
        </w:tc>
      </w:tr>
      <w:tr w14:paraId="06ED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jc w:val="center"/>
        </w:trPr>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7459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5DC918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w:t>
            </w:r>
          </w:p>
          <w:p w14:paraId="7A4691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能力</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64C8A9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6CDF9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1.投标人提供近3年（2023年1月至今）类似业绩（软件平台新建或升级改造等信息化相关‌，每提供1个得1分，本项最高得3分。</w:t>
            </w:r>
          </w:p>
          <w:p w14:paraId="123607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注：业绩证明材料需提供加盖公章中标通知书或完整合同复印件（不含附件）等证明材料，未提供不得分。</w:t>
            </w:r>
          </w:p>
          <w:p w14:paraId="438822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2.投标人或所投产品原厂应具有CMMI软件能力成熟度认证三级及以上证书，每提供1份得1分，最高得2分，少一项不得分。  </w:t>
            </w:r>
          </w:p>
          <w:p w14:paraId="4613EE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（1项提供加盖公章的中标通知书或完整合同（不含附件）的复印件并加盖公章。2项提供相关证书复印件并加盖公章。）</w:t>
            </w:r>
          </w:p>
        </w:tc>
      </w:tr>
      <w:tr w14:paraId="5ED4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440" w:type="pct"/>
            <w:vMerge w:val="restart"/>
            <w:tcBorders>
              <w:top w:val="single" w:color="000000" w:sz="4" w:space="0"/>
              <w:left w:val="single" w:color="000000" w:sz="4" w:space="0"/>
              <w:bottom w:val="single" w:color="000000" w:sz="4" w:space="0"/>
              <w:right w:val="single" w:color="000000" w:sz="4" w:space="0"/>
            </w:tcBorders>
            <w:noWrap w:val="0"/>
            <w:vAlign w:val="center"/>
          </w:tcPr>
          <w:p w14:paraId="381745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技术部分（50分）</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25681C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w:t>
            </w:r>
          </w:p>
          <w:p w14:paraId="1210A2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配置</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278917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1684DD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1.项目经理具有PMP项目管理师、CDA中级数据分析师、CISP-DSG注册数据安全治理专业人员、CISSP注册信息系统安全专家和0CP数据库认证专家证书得5分，每缺一项扣1分，扣完为止。</w:t>
            </w:r>
          </w:p>
          <w:p w14:paraId="47FAAA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2.技术经理具有软考信息系统项目管理师、CISP、通信工程师中级得3分，每缺一项扣1分，扣完为止。</w:t>
            </w:r>
          </w:p>
          <w:p w14:paraId="279DDA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3.团队成员应具有信息系统类中级及以上证书，每提供1人得1分，最高得2分。</w:t>
            </w:r>
          </w:p>
          <w:p w14:paraId="4CC3B3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（1-3项以上人员提供身份证、资质（资格）证书、近半年内任意1个月社保缴纳证明等相关证明材料，不提供不得分，一人多证不重复计算）</w:t>
            </w:r>
          </w:p>
        </w:tc>
      </w:tr>
      <w:tr w14:paraId="1715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2B7E9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64F6F5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服务质量保障措施</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34A414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15分</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621F35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投标人提供服务质量保障措施，内容包含但不限于：</w:t>
            </w:r>
          </w:p>
          <w:p w14:paraId="67BBB5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①平台升级改造服务流程；</w:t>
            </w:r>
          </w:p>
          <w:p w14:paraId="09C588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②服务质量保证措施；</w:t>
            </w:r>
          </w:p>
          <w:p w14:paraId="0F6577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③服务程序方法；</w:t>
            </w:r>
          </w:p>
          <w:p w14:paraId="5320F3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④客户需求导向；</w:t>
            </w:r>
          </w:p>
          <w:p w14:paraId="48CD95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⑤技术资源保障等内容；</w:t>
            </w:r>
          </w:p>
          <w:p w14:paraId="522129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5项内容提供齐全无缺陷的得15分，有一项未提供的扣3分，每有一处存在缺陷（缺陷是指不适用于本项目、语句有歧义、仅有框架或标题、涉及的规范及标准错误、套用其他项目内容，任意一种情形）的扣1分，扣完为止，不提供不得分。</w:t>
            </w:r>
          </w:p>
        </w:tc>
      </w:tr>
      <w:tr w14:paraId="788A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6586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1C92D4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售后</w:t>
            </w:r>
          </w:p>
          <w:p w14:paraId="4AC024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w:t>
            </w:r>
          </w:p>
          <w:p w14:paraId="40413D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5E0F5C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15分</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02C9D1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投标人提供售后服务方案，内容包含但不限于：</w:t>
            </w:r>
          </w:p>
          <w:p w14:paraId="5D3913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①售后服务承诺函；</w:t>
            </w:r>
          </w:p>
          <w:p w14:paraId="3B465B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②售后服务体系；</w:t>
            </w:r>
          </w:p>
          <w:p w14:paraId="5365C8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③售后服务及技术服务支持；</w:t>
            </w:r>
          </w:p>
          <w:p w14:paraId="5D361B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④故障响应与恢复措施；</w:t>
            </w:r>
          </w:p>
          <w:p w14:paraId="174D2A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⑤服务质量管理等内容；</w:t>
            </w:r>
          </w:p>
          <w:p w14:paraId="15A9C4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5项内容提供齐全无缺陷的得15分，有一项未提供的扣3分，每有一处存在缺陷（缺陷是指不适用于本项目、语句有歧义、仅有框架或标题、涉及的规范及标准错误、套用其他项目内容，任意一种情形）的扣1分，扣完为止，不提供不得分。</w:t>
            </w:r>
          </w:p>
        </w:tc>
      </w:tr>
      <w:tr w14:paraId="0CEF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440" w:type="pct"/>
            <w:vMerge w:val="continue"/>
            <w:tcBorders>
              <w:left w:val="single" w:color="000000" w:sz="4" w:space="0"/>
              <w:right w:val="single" w:color="000000" w:sz="4" w:space="0"/>
            </w:tcBorders>
            <w:noWrap w:val="0"/>
            <w:vAlign w:val="center"/>
          </w:tcPr>
          <w:p w14:paraId="747507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p>
        </w:tc>
        <w:tc>
          <w:tcPr>
            <w:tcW w:w="436" w:type="pct"/>
            <w:tcBorders>
              <w:top w:val="single" w:color="000000" w:sz="4" w:space="0"/>
              <w:left w:val="single" w:color="000000" w:sz="4" w:space="0"/>
              <w:right w:val="single" w:color="000000" w:sz="4" w:space="0"/>
            </w:tcBorders>
            <w:shd w:val="clear" w:color="auto" w:fill="auto"/>
            <w:noWrap w:val="0"/>
            <w:vAlign w:val="center"/>
          </w:tcPr>
          <w:p w14:paraId="52D0D8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培训方案</w:t>
            </w:r>
          </w:p>
        </w:tc>
        <w:tc>
          <w:tcPr>
            <w:tcW w:w="410" w:type="pct"/>
            <w:tcBorders>
              <w:top w:val="single" w:color="000000" w:sz="4" w:space="0"/>
              <w:left w:val="single" w:color="000000" w:sz="4" w:space="0"/>
              <w:right w:val="single" w:color="000000" w:sz="4" w:space="0"/>
            </w:tcBorders>
            <w:shd w:val="clear" w:color="auto" w:fill="auto"/>
            <w:noWrap/>
            <w:vAlign w:val="center"/>
          </w:tcPr>
          <w:p w14:paraId="2E70C0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c>
          <w:tcPr>
            <w:tcW w:w="37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199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根据采购方需求提供相关技术培训，培训方案包括但不限于：</w:t>
            </w:r>
          </w:p>
          <w:p w14:paraId="668190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①培训目标、课程安排、培训方式；</w:t>
            </w:r>
          </w:p>
          <w:p w14:paraId="4728D8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②日常维护；</w:t>
            </w:r>
          </w:p>
          <w:p w14:paraId="53FA17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③网络安全；</w:t>
            </w:r>
          </w:p>
          <w:p w14:paraId="4AD261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④风险识别；</w:t>
            </w:r>
          </w:p>
          <w:p w14:paraId="708747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⑤风险管理防控等。</w:t>
            </w:r>
          </w:p>
          <w:p w14:paraId="65ED0D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以上5项内容提供齐全无缺陷的得5分，有一项未提供的扣1分，每有一处存在缺陷（缺陷是指不适用于本项目、语句有歧义、仅有框架或标题、涉及的规范及标准错误、套用其他项目内容，任意一种情形）的扣0.5分，扣完为止，不提供不得分。</w:t>
            </w:r>
          </w:p>
        </w:tc>
      </w:tr>
      <w:tr w14:paraId="3BF1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8D0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81C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本地化服务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05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5分</w:t>
            </w:r>
          </w:p>
        </w:tc>
        <w:tc>
          <w:tcPr>
            <w:tcW w:w="37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5FD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1、在项目本地设立‌常驻分支机构得2分‌（提供分支机构营业执照及办公场地证明）。</w:t>
            </w:r>
          </w:p>
          <w:p w14:paraId="7C7C93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2、在本地设有满足本项目算力服务支撑能力得3分‌（提供算力服务场地、机房和算力服务器等相关证明）</w:t>
            </w:r>
          </w:p>
        </w:tc>
      </w:tr>
    </w:tbl>
    <w:p w14:paraId="71F69A88">
      <w:pPr>
        <w:spacing w:line="276" w:lineRule="auto"/>
        <w:ind w:firstLine="480" w:firstLineChars="200"/>
        <w:rPr>
          <w:rFonts w:hint="default" w:ascii="Times New Roman" w:hAnsi="Times New Roman" w:cs="Times New Roman"/>
          <w:color w:val="auto"/>
          <w:sz w:val="24"/>
          <w:szCs w:val="24"/>
          <w:highlight w:val="none"/>
        </w:rPr>
      </w:pPr>
    </w:p>
    <w:p w14:paraId="0A48AD8F">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评标过程中，不得去掉报价中的最高报价和最低报价。</w:t>
      </w:r>
    </w:p>
    <w:p w14:paraId="1A87437B">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因落实政府采购政策进行价格调整的，以调整后的价格计算评标基准价和投标报价。</w:t>
      </w:r>
    </w:p>
    <w:p w14:paraId="62EB0E14">
      <w:pPr>
        <w:pStyle w:val="4"/>
        <w:spacing w:before="0" w:after="0" w:line="276" w:lineRule="auto"/>
        <w:ind w:firstLine="482" w:firstLineChars="200"/>
        <w:rPr>
          <w:rFonts w:hint="default" w:ascii="Times New Roman" w:hAnsi="Times New Roman" w:cs="Times New Roman"/>
          <w:color w:val="auto"/>
          <w:sz w:val="24"/>
          <w:szCs w:val="24"/>
          <w:highlight w:val="none"/>
        </w:rPr>
      </w:pPr>
      <w:bookmarkStart w:id="612" w:name="_Toc466298104"/>
      <w:bookmarkStart w:id="613" w:name="_Toc472604656"/>
      <w:r>
        <w:rPr>
          <w:rFonts w:hint="default" w:ascii="Times New Roman" w:hAnsi="Times New Roman" w:cs="Times New Roman"/>
          <w:color w:val="auto"/>
          <w:sz w:val="24"/>
          <w:szCs w:val="24"/>
          <w:highlight w:val="none"/>
        </w:rPr>
        <w:t>5.废标</w:t>
      </w:r>
      <w:bookmarkEnd w:id="612"/>
      <w:bookmarkEnd w:id="613"/>
    </w:p>
    <w:p w14:paraId="77A47696">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5.1本次政府采购活动中，出现下列情形之一的，予以废标：</w:t>
      </w:r>
    </w:p>
    <w:p w14:paraId="55FC508B">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w:t>
      </w:r>
      <w:r>
        <w:rPr>
          <w:rFonts w:hint="default" w:ascii="Times New Roman" w:hAnsi="Times New Roman" w:cs="Times New Roman"/>
          <w:color w:val="auto"/>
          <w:sz w:val="24"/>
          <w:highlight w:val="none"/>
          <w:lang w:eastAsia="zh-CN"/>
        </w:rPr>
        <w:t>投标人</w:t>
      </w:r>
      <w:r>
        <w:rPr>
          <w:rFonts w:hint="default" w:ascii="Times New Roman" w:hAnsi="Times New Roman" w:cs="Times New Roman"/>
          <w:color w:val="auto"/>
          <w:sz w:val="24"/>
          <w:highlight w:val="none"/>
        </w:rPr>
        <w:t>或者对招标文件作实质响应的供应商不足三家的；</w:t>
      </w:r>
    </w:p>
    <w:p w14:paraId="4F47777A">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6F9B986C">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（3）投标人的报价均超过了采购预算，采购人不能支付的；</w:t>
      </w:r>
    </w:p>
    <w:p w14:paraId="6DB364DC">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1EE65088">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废标后，采购代理机构应在新疆政府采购网上公告，并公告废标的详细理由。投标人需要知晓导致废标情形的具体原因和理由的，可以通过书面形式询问招标采购单位。</w:t>
      </w:r>
    </w:p>
    <w:p w14:paraId="25E9CCE4">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5.2对于评标过程中废标的采购项目，评标委员会应当对招标文件是否存在倾向性和歧视性、是否存在不合理条款进行论证，并出具书面论证意见。</w:t>
      </w:r>
    </w:p>
    <w:p w14:paraId="65270859">
      <w:pPr>
        <w:pStyle w:val="4"/>
        <w:spacing w:before="0" w:after="0" w:line="276" w:lineRule="auto"/>
        <w:ind w:firstLine="482" w:firstLineChars="200"/>
        <w:rPr>
          <w:rFonts w:hint="default" w:ascii="Times New Roman" w:hAnsi="Times New Roman" w:cs="Times New Roman"/>
          <w:color w:val="auto"/>
          <w:sz w:val="24"/>
          <w:szCs w:val="24"/>
          <w:highlight w:val="none"/>
        </w:rPr>
      </w:pPr>
      <w:bookmarkStart w:id="614" w:name="_Toc17373"/>
      <w:bookmarkStart w:id="615" w:name="_Toc29625"/>
      <w:bookmarkStart w:id="616" w:name="_Toc29555"/>
      <w:bookmarkStart w:id="617" w:name="_Toc5620"/>
      <w:bookmarkStart w:id="618" w:name="_Toc13968"/>
      <w:bookmarkStart w:id="619" w:name="_Toc472604657"/>
      <w:bookmarkStart w:id="620" w:name="_Toc466298105"/>
      <w:bookmarkStart w:id="621" w:name="_Toc465085412"/>
      <w:bookmarkStart w:id="622" w:name="_Toc24267"/>
      <w:bookmarkStart w:id="623" w:name="_Toc4345"/>
      <w:bookmarkStart w:id="624" w:name="_Toc5624"/>
      <w:r>
        <w:rPr>
          <w:rFonts w:hint="default" w:ascii="Times New Roman" w:hAnsi="Times New Roman" w:cs="Times New Roman"/>
          <w:color w:val="auto"/>
          <w:sz w:val="24"/>
          <w:szCs w:val="24"/>
          <w:highlight w:val="none"/>
        </w:rPr>
        <w:t>6.定标</w:t>
      </w:r>
      <w:bookmarkEnd w:id="614"/>
      <w:bookmarkEnd w:id="615"/>
      <w:bookmarkEnd w:id="616"/>
      <w:bookmarkEnd w:id="617"/>
      <w:bookmarkEnd w:id="618"/>
      <w:bookmarkEnd w:id="619"/>
      <w:bookmarkEnd w:id="620"/>
      <w:bookmarkEnd w:id="621"/>
      <w:bookmarkEnd w:id="622"/>
      <w:bookmarkEnd w:id="623"/>
      <w:bookmarkEnd w:id="624"/>
      <w:bookmarkStart w:id="625" w:name="_Toc217446061"/>
    </w:p>
    <w:p w14:paraId="68FB8784">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 定标原则</w:t>
      </w:r>
      <w:bookmarkEnd w:id="625"/>
      <w:r>
        <w:rPr>
          <w:rFonts w:hint="default" w:ascii="Times New Roman" w:hAnsi="Times New Roman" w:cs="Times New Roman"/>
          <w:color w:val="auto"/>
          <w:sz w:val="24"/>
          <w:highlight w:val="none"/>
        </w:rPr>
        <w:t>：本项目根据评委会推荐的中标候选人名单，按顺序确定中标人。</w:t>
      </w:r>
    </w:p>
    <w:p w14:paraId="6FCEAB11">
      <w:pPr>
        <w:spacing w:line="276" w:lineRule="auto"/>
        <w:ind w:firstLine="480" w:firstLineChars="200"/>
        <w:rPr>
          <w:rFonts w:hint="default" w:ascii="Times New Roman" w:hAnsi="Times New Roman" w:cs="Times New Roman"/>
          <w:color w:val="auto"/>
          <w:sz w:val="24"/>
          <w:highlight w:val="none"/>
        </w:rPr>
      </w:pPr>
      <w:bookmarkStart w:id="626" w:name="_Toc217446062"/>
      <w:r>
        <w:rPr>
          <w:rFonts w:hint="default" w:ascii="Times New Roman" w:hAnsi="Times New Roman" w:cs="Times New Roman"/>
          <w:color w:val="auto"/>
          <w:sz w:val="24"/>
          <w:highlight w:val="none"/>
        </w:rPr>
        <w:t>6.2. 定标程序</w:t>
      </w:r>
      <w:bookmarkEnd w:id="626"/>
    </w:p>
    <w:p w14:paraId="3E646C3F">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6.2.1 评标委员会将评标情况写出书面报告，推荐中标候选供应商。</w:t>
      </w:r>
    </w:p>
    <w:p w14:paraId="2488DA6B">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6.2.2 采购代理机构在评标结束后2个工作日内将评标报告送采购人。</w:t>
      </w:r>
    </w:p>
    <w:p w14:paraId="182A7F3F">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6.2.3 采购人在收到评标报告后5个工作日内，按照评标报告中推荐的中标候选供应商顺序确定中标供应商。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14:paraId="0ECC6882">
      <w:pPr>
        <w:spacing w:line="276"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注意，采购人按照推荐的中标候选供应商顺序确定中标供应商，不能认为采购人只能确定第一中标候选供应商为中标供应商，采购人有正当理由的，可以确定后一顺序中标候选供应商为中标供应商，依次类推。</w:t>
      </w:r>
    </w:p>
    <w:p w14:paraId="5EF5DCE1">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6.2.4 根据采购人确定的中标供应商，采购代理机构在新疆政府采购网上发布中标公告，并自采购人确定中标之日起2个工作日内向中标供应商发出中标通知书。</w:t>
      </w:r>
    </w:p>
    <w:p w14:paraId="06D600BA">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6.2.5 招标采购单位不退回投标人投标文件和其他投标资料。</w:t>
      </w:r>
    </w:p>
    <w:p w14:paraId="4C708F17">
      <w:pPr>
        <w:pStyle w:val="4"/>
        <w:spacing w:before="0" w:after="0" w:line="276" w:lineRule="auto"/>
        <w:ind w:firstLine="482" w:firstLineChars="200"/>
        <w:rPr>
          <w:rFonts w:hint="default" w:ascii="Times New Roman" w:hAnsi="Times New Roman" w:cs="Times New Roman"/>
          <w:bCs w:val="0"/>
          <w:color w:val="auto"/>
          <w:sz w:val="24"/>
          <w:szCs w:val="24"/>
          <w:highlight w:val="none"/>
        </w:rPr>
      </w:pPr>
      <w:bookmarkStart w:id="627" w:name="_Toc217446105"/>
      <w:bookmarkStart w:id="628" w:name="_Toc183582297"/>
      <w:bookmarkStart w:id="629" w:name="_Toc183682432"/>
      <w:bookmarkStart w:id="630" w:name="_Toc208849022"/>
      <w:bookmarkStart w:id="631" w:name="_Toc3997"/>
      <w:bookmarkStart w:id="632" w:name="_Toc2558"/>
      <w:bookmarkStart w:id="633" w:name="_Toc465085413"/>
      <w:bookmarkStart w:id="634" w:name="_Toc22443"/>
      <w:bookmarkStart w:id="635" w:name="_Toc11339"/>
      <w:bookmarkStart w:id="636" w:name="_Toc17167"/>
      <w:bookmarkStart w:id="637" w:name="_Toc472604658"/>
      <w:bookmarkStart w:id="638" w:name="_Toc18592"/>
      <w:bookmarkStart w:id="639" w:name="_Toc28677"/>
      <w:bookmarkStart w:id="640" w:name="_Toc6283"/>
      <w:bookmarkStart w:id="641" w:name="_Toc466298106"/>
      <w:r>
        <w:rPr>
          <w:rFonts w:hint="default" w:ascii="Times New Roman" w:hAnsi="Times New Roman" w:cs="Times New Roman"/>
          <w:bCs w:val="0"/>
          <w:color w:val="auto"/>
          <w:sz w:val="24"/>
          <w:szCs w:val="24"/>
          <w:highlight w:val="none"/>
        </w:rPr>
        <w:t>7.</w:t>
      </w:r>
      <w:bookmarkEnd w:id="627"/>
      <w:bookmarkEnd w:id="628"/>
      <w:bookmarkEnd w:id="629"/>
      <w:bookmarkEnd w:id="630"/>
      <w:r>
        <w:rPr>
          <w:rFonts w:hint="default" w:ascii="Times New Roman" w:hAnsi="Times New Roman" w:cs="Times New Roman"/>
          <w:color w:val="auto"/>
          <w:sz w:val="24"/>
          <w:szCs w:val="24"/>
          <w:highlight w:val="none"/>
        </w:rPr>
        <w:t>评标专家在政府采购活动中承担以下义务：</w:t>
      </w:r>
      <w:bookmarkEnd w:id="631"/>
      <w:bookmarkEnd w:id="632"/>
      <w:bookmarkEnd w:id="633"/>
      <w:bookmarkEnd w:id="634"/>
      <w:bookmarkEnd w:id="635"/>
      <w:bookmarkEnd w:id="636"/>
      <w:bookmarkEnd w:id="637"/>
      <w:bookmarkEnd w:id="638"/>
      <w:bookmarkEnd w:id="639"/>
      <w:bookmarkEnd w:id="640"/>
      <w:bookmarkEnd w:id="641"/>
    </w:p>
    <w:p w14:paraId="3E991401">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（一）遵守评审工作纪律； </w:t>
      </w:r>
    </w:p>
    <w:p w14:paraId="2729484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（二）按照客观、公正、审慎的原则，根据采购文件规定的评审程序、评审方法和评审标准进行独立评审；</w:t>
      </w:r>
    </w:p>
    <w:p w14:paraId="054343D3">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（三）不得泄露评审文件、评审情况和在评审过程中获悉的商业秘密；</w:t>
      </w:r>
    </w:p>
    <w:p w14:paraId="06D8E8D2">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（四）及时向监督部门报告评审过程中采购组织单位向评审专家做倾向性、误导性的解释或者说明，供应商行贿、提供虚假材料或者串通、受到的非法干预情况等违法违规行为；</w:t>
      </w:r>
    </w:p>
    <w:p w14:paraId="2270E7E0">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（五）发现采购文件内容违反国家有关强制性规定或者存在歧义、重大缺陷导致评审工作无法进行时，停止评审并向采购组织单位书面说明情况；</w:t>
      </w:r>
    </w:p>
    <w:p w14:paraId="69E80DB2">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（六）配合答复处理供应商的询问、质疑和投诉等事项；</w:t>
      </w:r>
    </w:p>
    <w:p w14:paraId="68A8597F">
      <w:pPr>
        <w:widowControl/>
        <w:autoSpaceDE w:val="0"/>
        <w:autoSpaceDN w:val="0"/>
        <w:spacing w:line="276" w:lineRule="auto"/>
        <w:ind w:right="53" w:firstLine="480" w:firstLineChars="200"/>
        <w:textAlignment w:val="bottom"/>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（七）法律、法规和规章规定的其他义务。</w:t>
      </w:r>
    </w:p>
    <w:p w14:paraId="7C6C56DF">
      <w:pPr>
        <w:pStyle w:val="4"/>
        <w:spacing w:before="0" w:after="0" w:line="276" w:lineRule="auto"/>
        <w:ind w:firstLine="482" w:firstLineChars="200"/>
        <w:rPr>
          <w:rFonts w:hint="default" w:ascii="Times New Roman" w:hAnsi="Times New Roman" w:cs="Times New Roman"/>
          <w:bCs w:val="0"/>
          <w:color w:val="auto"/>
          <w:sz w:val="24"/>
          <w:szCs w:val="24"/>
          <w:highlight w:val="none"/>
        </w:rPr>
      </w:pPr>
      <w:bookmarkStart w:id="642" w:name="_Toc465085414"/>
      <w:bookmarkStart w:id="643" w:name="_Toc466298107"/>
      <w:bookmarkStart w:id="644" w:name="_Toc472604659"/>
      <w:r>
        <w:rPr>
          <w:rFonts w:hint="default" w:ascii="Times New Roman" w:hAnsi="Times New Roman" w:cs="Times New Roman"/>
          <w:bCs w:val="0"/>
          <w:color w:val="auto"/>
          <w:sz w:val="24"/>
          <w:szCs w:val="24"/>
          <w:highlight w:val="none"/>
        </w:rPr>
        <w:t>8.</w:t>
      </w:r>
      <w:r>
        <w:rPr>
          <w:rFonts w:hint="default" w:ascii="Times New Roman" w:hAnsi="Times New Roman" w:cs="Times New Roman"/>
          <w:color w:val="auto"/>
          <w:sz w:val="24"/>
          <w:highlight w:val="none"/>
        </w:rPr>
        <w:t>评审专家在政府采购活动中应当遵守以下工作纪律</w:t>
      </w:r>
      <w:r>
        <w:rPr>
          <w:rFonts w:hint="default" w:ascii="Times New Roman" w:hAnsi="Times New Roman" w:cs="Times New Roman"/>
          <w:color w:val="auto"/>
          <w:sz w:val="24"/>
          <w:szCs w:val="24"/>
          <w:highlight w:val="none"/>
        </w:rPr>
        <w:t>：</w:t>
      </w:r>
      <w:bookmarkEnd w:id="642"/>
      <w:bookmarkEnd w:id="643"/>
      <w:bookmarkEnd w:id="644"/>
    </w:p>
    <w:p w14:paraId="19B5A757">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（一）遵行《政府采购法》第十二条和《政府采购法实施条例》第九条及财政部关于回避的规定。</w:t>
      </w:r>
    </w:p>
    <w:p w14:paraId="48CE6B26">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（二）评标前，应当将通讯工具或者相关电子设备交由招标采购单位统一保管。</w:t>
      </w:r>
    </w:p>
    <w:p w14:paraId="694AC148">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（三）评标过程中，不得与外界联系，因发生不可预见情况，确实需要与外界联系的，应当在监督人员监督之下办理。</w:t>
      </w:r>
    </w:p>
    <w:p w14:paraId="094DB69B">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303CAD24">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（五）在评标过程中和评标结束后，不得记录、复制或带走任何评标资料，除因规定的义务外，不得向外界透露评标内容。</w:t>
      </w:r>
    </w:p>
    <w:p w14:paraId="0CBED7A3">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（六）服从评标现场招标采购单位的现场秩序管理，接受评标现场监督人员的合法监督，在评标过程中不得擅离职守，影响评标程序正常进行。</w:t>
      </w:r>
    </w:p>
    <w:p w14:paraId="759CF183">
      <w:pP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（七）遵守有关廉洁自律规定，不得私下接触供应商，不得收受供应商及有关业务单位和个人的财物或好处，不得接受采购组织单位的请托。</w:t>
      </w:r>
    </w:p>
    <w:p w14:paraId="0C39B06F">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414875A9">
      <w:pPr>
        <w:pStyle w:val="2"/>
        <w:spacing w:before="0" w:after="0" w:line="440" w:lineRule="exact"/>
        <w:rPr>
          <w:rFonts w:hint="default" w:ascii="Times New Roman" w:hAnsi="Times New Roman" w:cs="Times New Roman"/>
          <w:color w:val="auto"/>
          <w:sz w:val="24"/>
          <w:szCs w:val="24"/>
          <w:highlight w:val="none"/>
        </w:rPr>
      </w:pPr>
      <w:bookmarkStart w:id="645" w:name="_Toc360804509"/>
      <w:bookmarkStart w:id="646" w:name="_Toc21203"/>
      <w:bookmarkStart w:id="647" w:name="_Toc7487"/>
      <w:bookmarkStart w:id="648" w:name="_Toc9337"/>
      <w:bookmarkStart w:id="649" w:name="_Toc5576"/>
      <w:bookmarkStart w:id="650" w:name="_Toc12919"/>
      <w:bookmarkStart w:id="651" w:name="_Toc10625"/>
      <w:bookmarkStart w:id="652" w:name="_Toc28483"/>
      <w:bookmarkStart w:id="653" w:name="_Toc8420"/>
      <w:bookmarkStart w:id="654" w:name="_Toc19492"/>
      <w:bookmarkStart w:id="655" w:name="_Toc465085415"/>
      <w:bookmarkStart w:id="656" w:name="_Toc466298108"/>
      <w:bookmarkStart w:id="657" w:name="_Toc19508"/>
      <w:bookmarkStart w:id="658" w:name="_Toc472604660"/>
      <w:bookmarkStart w:id="659" w:name="_Toc2798"/>
      <w:r>
        <w:rPr>
          <w:rFonts w:hint="default" w:ascii="Times New Roman" w:hAnsi="Times New Roman" w:cs="Times New Roman"/>
          <w:color w:val="auto"/>
          <w:sz w:val="30"/>
          <w:szCs w:val="30"/>
          <w:highlight w:val="none"/>
        </w:rPr>
        <w:t xml:space="preserve">第八章  </w:t>
      </w:r>
      <w:bookmarkEnd w:id="645"/>
      <w:bookmarkEnd w:id="646"/>
      <w:bookmarkEnd w:id="647"/>
      <w:bookmarkEnd w:id="648"/>
      <w:bookmarkEnd w:id="649"/>
      <w:bookmarkEnd w:id="650"/>
      <w:bookmarkEnd w:id="651"/>
      <w:bookmarkEnd w:id="652"/>
      <w:bookmarkEnd w:id="653"/>
      <w:r>
        <w:rPr>
          <w:rFonts w:hint="default" w:ascii="Times New Roman" w:hAnsi="Times New Roman" w:cs="Times New Roman"/>
          <w:color w:val="auto"/>
          <w:sz w:val="30"/>
          <w:szCs w:val="30"/>
          <w:highlight w:val="none"/>
        </w:rPr>
        <w:t>政府采购合同</w:t>
      </w:r>
      <w:r>
        <w:rPr>
          <w:rFonts w:hint="default" w:ascii="Times New Roman" w:hAnsi="Times New Roman" w:cs="Times New Roman"/>
          <w:color w:val="auto"/>
          <w:sz w:val="24"/>
          <w:szCs w:val="24"/>
          <w:highlight w:val="none"/>
        </w:rPr>
        <w:t>（样例）</w:t>
      </w:r>
      <w:bookmarkEnd w:id="654"/>
      <w:bookmarkEnd w:id="655"/>
      <w:bookmarkEnd w:id="656"/>
      <w:bookmarkEnd w:id="657"/>
      <w:bookmarkEnd w:id="658"/>
      <w:bookmarkEnd w:id="659"/>
    </w:p>
    <w:p w14:paraId="5818399C">
      <w:pPr>
        <w:jc w:val="center"/>
        <w:rPr>
          <w:rFonts w:hint="default" w:ascii="Times New Roman" w:hAnsi="Times New Roman" w:cs="Times New Roman"/>
          <w:b/>
          <w:bCs/>
          <w:color w:val="auto"/>
          <w:sz w:val="24"/>
          <w:szCs w:val="24"/>
          <w:highlight w:val="none"/>
        </w:rPr>
      </w:pPr>
    </w:p>
    <w:p w14:paraId="7E95F479">
      <w:pPr>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（具体以签订合同为准）</w:t>
      </w:r>
    </w:p>
    <w:p w14:paraId="7FD1E8D5">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合同编号：XXXX。</w:t>
      </w:r>
    </w:p>
    <w:p w14:paraId="7D250E44">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签订地点：XXXX。</w:t>
      </w:r>
    </w:p>
    <w:p w14:paraId="3C52C6B8">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签订时间：XXXX年XX月XX日。</w:t>
      </w:r>
    </w:p>
    <w:p w14:paraId="0F9B395A">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采购人（甲方）：</w:t>
      </w:r>
      <w:r>
        <w:rPr>
          <w:rFonts w:hint="default" w:ascii="Times New Roman" w:hAnsi="Times New Roman" w:cs="Times New Roman"/>
          <w:color w:val="auto"/>
          <w:sz w:val="24"/>
          <w:szCs w:val="24"/>
          <w:highlight w:val="none"/>
          <w:u w:val="single"/>
        </w:rPr>
        <w:t xml:space="preserve">                              </w:t>
      </w:r>
    </w:p>
    <w:p w14:paraId="091AAAC5">
      <w:pPr>
        <w:spacing w:line="276"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供应商（乙方）：</w:t>
      </w:r>
      <w:r>
        <w:rPr>
          <w:rFonts w:hint="default" w:ascii="Times New Roman" w:hAnsi="Times New Roman" w:cs="Times New Roman"/>
          <w:color w:val="auto"/>
          <w:sz w:val="24"/>
          <w:szCs w:val="24"/>
          <w:highlight w:val="none"/>
          <w:u w:val="single"/>
        </w:rPr>
        <w:t xml:space="preserve">                              </w:t>
      </w:r>
    </w:p>
    <w:p w14:paraId="4AAB7241">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依据</w:t>
      </w:r>
      <w:bookmarkStart w:id="660" w:name="_Hlk85640524"/>
      <w:r>
        <w:rPr>
          <w:rFonts w:hint="default" w:ascii="Times New Roman" w:hAnsi="Times New Roman" w:cs="Times New Roman"/>
          <w:color w:val="auto"/>
          <w:sz w:val="24"/>
          <w:szCs w:val="24"/>
          <w:highlight w:val="none"/>
        </w:rPr>
        <w:t>《中华人民共和国民法典》</w:t>
      </w:r>
      <w:bookmarkEnd w:id="660"/>
      <w:r>
        <w:rPr>
          <w:rFonts w:hint="default" w:ascii="Times New Roman" w:hAnsi="Times New Roman" w:cs="Times New Roman"/>
          <w:color w:val="auto"/>
          <w:sz w:val="24"/>
          <w:szCs w:val="24"/>
          <w:highlight w:val="none"/>
        </w:rPr>
        <w:t>、《中华人民共和国政府采购法》与项目行业有关的法律法规，以及XXXX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14:paraId="5B8E7276">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项目基本情况</w:t>
      </w:r>
    </w:p>
    <w:p w14:paraId="4AFEC83E">
      <w:pPr>
        <w:spacing w:line="276" w:lineRule="auto"/>
        <w:ind w:firstLine="630"/>
        <w:rPr>
          <w:rFonts w:hint="default" w:ascii="Times New Roman" w:hAnsi="Times New Roman" w:cs="Times New Roman"/>
          <w:b/>
          <w:color w:val="auto"/>
          <w:sz w:val="24"/>
          <w:szCs w:val="24"/>
          <w:highlight w:val="none"/>
        </w:rPr>
      </w:pPr>
    </w:p>
    <w:p w14:paraId="628538C4">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合同期限</w:t>
      </w:r>
    </w:p>
    <w:p w14:paraId="34A31A49">
      <w:pPr>
        <w:spacing w:line="276" w:lineRule="auto"/>
        <w:ind w:firstLine="480" w:firstLineChars="200"/>
        <w:rPr>
          <w:rFonts w:hint="default" w:ascii="Times New Roman" w:hAnsi="Times New Roman" w:cs="Times New Roman"/>
          <w:color w:val="auto"/>
          <w:sz w:val="24"/>
          <w:szCs w:val="24"/>
          <w:highlight w:val="none"/>
        </w:rPr>
      </w:pPr>
    </w:p>
    <w:p w14:paraId="70F2A99E">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服务内容与质量标准</w:t>
      </w:r>
    </w:p>
    <w:p w14:paraId="0DA573FE">
      <w:pPr>
        <w:spacing w:line="276" w:lineRule="auto"/>
        <w:ind w:left="56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1、XXXX；</w:t>
      </w:r>
    </w:p>
    <w:p w14:paraId="6B67CE62">
      <w:pPr>
        <w:spacing w:line="276" w:lineRule="auto"/>
        <w:ind w:left="56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2、XXXX；</w:t>
      </w:r>
    </w:p>
    <w:p w14:paraId="0EEB2408">
      <w:pPr>
        <w:spacing w:line="276" w:lineRule="auto"/>
        <w:ind w:left="56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3、XXXX．</w:t>
      </w:r>
    </w:p>
    <w:p w14:paraId="515C68CA">
      <w:pPr>
        <w:spacing w:line="276" w:lineRule="auto"/>
        <w:ind w:firstLine="63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0DF3ACB9">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服务费用及支付方式</w:t>
      </w:r>
    </w:p>
    <w:p w14:paraId="701E5413">
      <w:pPr>
        <w:numPr>
          <w:ilvl w:val="0"/>
          <w:numId w:val="5"/>
        </w:numPr>
        <w:spacing w:line="276" w:lineRule="auto"/>
        <w:ind w:left="0" w:firstLine="567"/>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本项目服务费用由以下组成：</w:t>
      </w:r>
    </w:p>
    <w:p w14:paraId="76AC2D94">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1、XX万元；</w:t>
      </w:r>
    </w:p>
    <w:p w14:paraId="3D259D70">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2、XX万元；</w:t>
      </w:r>
    </w:p>
    <w:p w14:paraId="018110BB">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3、XX万元。</w:t>
      </w:r>
    </w:p>
    <w:p w14:paraId="16208E6E">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0FCF5E8A">
      <w:pPr>
        <w:numPr>
          <w:ilvl w:val="0"/>
          <w:numId w:val="5"/>
        </w:numPr>
        <w:tabs>
          <w:tab w:val="left" w:pos="780"/>
        </w:tabs>
        <w:spacing w:line="276" w:lineRule="auto"/>
        <w:ind w:left="0" w:firstLine="567"/>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服务费支付方式： </w:t>
      </w:r>
    </w:p>
    <w:p w14:paraId="2AE5B579">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知识产权</w:t>
      </w:r>
    </w:p>
    <w:p w14:paraId="7FEA26B7">
      <w:pPr>
        <w:tabs>
          <w:tab w:val="left" w:pos="144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乙方应保证所提供的服务或其任何一部分均不会侵犯任何第三方的专利权、商标权或著作权。</w:t>
      </w:r>
    </w:p>
    <w:p w14:paraId="527C9856">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无产权瑕疵条款</w:t>
      </w:r>
    </w:p>
    <w:p w14:paraId="5DEF09D9">
      <w:pPr>
        <w:tabs>
          <w:tab w:val="left" w:pos="144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乙方保证所提供的服务的所有权完全属于乙方且无任何抵押、查封等产权瑕疵。如有产权瑕疵的，视为乙方违约。乙方应负担由此而产生的一切损失。</w:t>
      </w:r>
    </w:p>
    <w:p w14:paraId="3932E2AB">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履约保证金</w:t>
      </w:r>
    </w:p>
    <w:p w14:paraId="5F1E8369">
      <w:pPr>
        <w:tabs>
          <w:tab w:val="left" w:pos="1440"/>
        </w:tabs>
        <w:spacing w:line="276" w:lineRule="auto"/>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Cs/>
          <w:color w:val="auto"/>
          <w:sz w:val="24"/>
          <w:szCs w:val="24"/>
          <w:highlight w:val="none"/>
        </w:rPr>
        <w:t>本项目不</w:t>
      </w:r>
      <w:r>
        <w:rPr>
          <w:rFonts w:hint="default" w:ascii="Times New Roman" w:hAnsi="Times New Roman" w:cs="Times New Roman"/>
          <w:color w:val="auto"/>
          <w:sz w:val="24"/>
          <w:szCs w:val="24"/>
          <w:highlight w:val="none"/>
        </w:rPr>
        <w:t>收取</w:t>
      </w:r>
      <w:r>
        <w:rPr>
          <w:rFonts w:hint="default" w:ascii="Times New Roman" w:hAnsi="Times New Roman" w:cs="Times New Roman"/>
          <w:bCs/>
          <w:color w:val="auto"/>
          <w:sz w:val="24"/>
          <w:szCs w:val="24"/>
          <w:highlight w:val="none"/>
        </w:rPr>
        <w:t>履约保证金</w:t>
      </w:r>
    </w:p>
    <w:p w14:paraId="6299B306">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甲方的权利和义务</w:t>
      </w:r>
    </w:p>
    <w:p w14:paraId="3FED75B6">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44CFAA22">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2、甲方有权依据双方签订的考评办法对乙方提供的服务进行定期考评。</w:t>
      </w:r>
    </w:p>
    <w:p w14:paraId="3595D267">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3、负责检查监督乙方管理工作的实施及制度的执行情况。</w:t>
      </w:r>
    </w:p>
    <w:p w14:paraId="56574DB7">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4、根据本合同规定，按时向乙方支付应付服务费用。</w:t>
      </w:r>
    </w:p>
    <w:p w14:paraId="22CC7999">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5、国家法律、法规所规定由甲方承担的其它责任。</w:t>
      </w:r>
    </w:p>
    <w:p w14:paraId="6477AE47">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乙方的权利和义务</w:t>
      </w:r>
    </w:p>
    <w:p w14:paraId="3B5C3CCB">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1、对本合同规定的委托服务范围内的项目享有管理权及服务义务。</w:t>
      </w:r>
    </w:p>
    <w:p w14:paraId="1FC828C9">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2、根据本合同的规定向甲方收取相关服务费用，并有权在本项目管理范围内管理及合理使用。</w:t>
      </w:r>
    </w:p>
    <w:p w14:paraId="449B9562">
      <w:pPr>
        <w:adjustRightInd w:val="0"/>
        <w:spacing w:line="276" w:lineRule="auto"/>
        <w:ind w:firstLine="480"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3、及时向甲方通告本项目服务范围内有关服务的重大事项，及时配合处理投诉。</w:t>
      </w:r>
    </w:p>
    <w:p w14:paraId="4A485AA9">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4、</w:t>
      </w:r>
      <w:r>
        <w:rPr>
          <w:rFonts w:hint="default" w:ascii="Times New Roman" w:hAnsi="Times New Roman" w:cs="Times New Roman"/>
          <w:bCs/>
          <w:color w:val="auto"/>
          <w:sz w:val="24"/>
          <w:szCs w:val="24"/>
          <w:highlight w:val="none"/>
        </w:rPr>
        <w:t>接受项目行业管理部门及政府有关部门的指导，接受甲方的监督。</w:t>
      </w:r>
    </w:p>
    <w:p w14:paraId="487723FE">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5、国家法律、法规所规定由乙方承担的其它责任。</w:t>
      </w:r>
    </w:p>
    <w:p w14:paraId="2B88AB60">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违约责任</w:t>
      </w:r>
    </w:p>
    <w:p w14:paraId="3F47EF7A">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1、甲乙双方必须遵守本合同并执行合同中的各项规定，保证本合同的正常履行。</w:t>
      </w:r>
    </w:p>
    <w:p w14:paraId="5558882D">
      <w:pP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D5B8542">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不可抗力事件处理</w:t>
      </w:r>
    </w:p>
    <w:p w14:paraId="51AE9241">
      <w:pP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1、在合同有效期内，任何一方因不可抗力事件导致不能履行合同，则合同履行期可延长，其延长期与不可抗力影响期相同。</w:t>
      </w:r>
    </w:p>
    <w:p w14:paraId="2867EBE6">
      <w:pP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2、不可抗力事件发生后，应立即通知对方，并寄送有关权威机构出具的证明。</w:t>
      </w:r>
    </w:p>
    <w:p w14:paraId="2366E40B">
      <w:pP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3、不可抗力事件延续XX天以上，双方应通过友好协商，确定是否继续履行合同。</w:t>
      </w:r>
    </w:p>
    <w:p w14:paraId="67A30EBB">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解决合同纠纷的方式</w:t>
      </w:r>
    </w:p>
    <w:p w14:paraId="0CA6CFB6">
      <w:pP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1、在执行本合同中发生的或与本合同有关的争端，双方应通过友好协商解决，经协商在XX天内不能达成协议时，双方均可向项目所在地人民法院提起诉讼。</w:t>
      </w:r>
    </w:p>
    <w:p w14:paraId="5B57C137">
      <w:pP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2、仲裁裁决应为最终决定，并对双方具有约束力。</w:t>
      </w:r>
    </w:p>
    <w:p w14:paraId="291AA9AF">
      <w:pP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3、除另有裁决外，仲裁费应由败诉方负担。 </w:t>
      </w:r>
    </w:p>
    <w:p w14:paraId="7CEF06CB">
      <w:pP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4、在仲裁期间，除正在进行仲裁部分外，合同其他部分继续执行。  </w:t>
      </w:r>
    </w:p>
    <w:p w14:paraId="59BFD86A">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合同生效及其他</w:t>
      </w:r>
    </w:p>
    <w:p w14:paraId="09632734">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1、合同经双方法定代表人</w:t>
      </w:r>
      <w:r>
        <w:rPr>
          <w:rFonts w:hint="default" w:ascii="Times New Roman" w:hAnsi="Times New Roman" w:cs="Times New Roman"/>
          <w:color w:val="auto"/>
          <w:sz w:val="24"/>
          <w:highlight w:val="none"/>
        </w:rPr>
        <w:t>/单位负责人</w:t>
      </w:r>
      <w:r>
        <w:rPr>
          <w:rFonts w:hint="default" w:ascii="Times New Roman" w:hAnsi="Times New Roman" w:cs="Times New Roman"/>
          <w:color w:val="auto"/>
          <w:sz w:val="24"/>
          <w:szCs w:val="24"/>
          <w:highlight w:val="none"/>
        </w:rPr>
        <w:t>或授权委托代理人签字并加盖单位公章后生效。</w:t>
      </w:r>
    </w:p>
    <w:p w14:paraId="7208A97D">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09D75409">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3、本合同一式XX份，自双方签章之日起起效。甲方XX份，乙方XX份，政府采购代理机构1份，具有同等法律效力。</w:t>
      </w:r>
    </w:p>
    <w:p w14:paraId="2AF29AE9">
      <w:pPr>
        <w:numPr>
          <w:ilvl w:val="0"/>
          <w:numId w:val="4"/>
        </w:numP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附件</w:t>
      </w:r>
    </w:p>
    <w:p w14:paraId="278EDED3">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1、项目招标文件</w:t>
      </w:r>
    </w:p>
    <w:p w14:paraId="6656E6AF">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2、项目修改澄清文件</w:t>
      </w:r>
    </w:p>
    <w:p w14:paraId="13528119">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3、项目投标文件</w:t>
      </w:r>
    </w:p>
    <w:p w14:paraId="70C99D1B">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4、中标通知书</w:t>
      </w:r>
    </w:p>
    <w:p w14:paraId="65A1D37E">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5、其他</w:t>
      </w:r>
    </w:p>
    <w:p w14:paraId="1020FEC5">
      <w:pPr>
        <w:spacing w:line="276" w:lineRule="auto"/>
        <w:ind w:firstLine="480" w:firstLineChars="200"/>
        <w:rPr>
          <w:rFonts w:hint="default" w:ascii="Times New Roman" w:hAnsi="Times New Roman" w:cs="Times New Roman"/>
          <w:color w:val="auto"/>
          <w:sz w:val="24"/>
          <w:szCs w:val="24"/>
          <w:highlight w:val="none"/>
        </w:rPr>
      </w:pPr>
    </w:p>
    <w:p w14:paraId="38479458">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甲方：   （盖章）                   乙方：   （盖章）</w:t>
      </w:r>
    </w:p>
    <w:p w14:paraId="1BEEB3A3">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r>
        <w:rPr>
          <w:rFonts w:hint="default" w:ascii="Times New Roman" w:hAnsi="Times New Roman" w:cs="Times New Roman"/>
          <w:color w:val="auto"/>
          <w:sz w:val="24"/>
          <w:highlight w:val="none"/>
        </w:rPr>
        <w:t>/单位负责人</w:t>
      </w:r>
      <w:r>
        <w:rPr>
          <w:rFonts w:hint="default" w:ascii="Times New Roman" w:hAnsi="Times New Roman" w:cs="Times New Roman"/>
          <w:color w:val="auto"/>
          <w:sz w:val="24"/>
          <w:szCs w:val="24"/>
          <w:highlight w:val="none"/>
        </w:rPr>
        <w:t>（授权代表）： 法定代表人（授权代表）：</w:t>
      </w:r>
    </w:p>
    <w:p w14:paraId="10C6D41F">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    址：                          地    址：</w:t>
      </w:r>
    </w:p>
    <w:p w14:paraId="6A731E3A">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开户银行：                          开户银行：</w:t>
      </w:r>
    </w:p>
    <w:p w14:paraId="53C26EB3">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账   号：                           账   号：</w:t>
      </w:r>
    </w:p>
    <w:p w14:paraId="21B06EFA">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   话：                           电   话：</w:t>
      </w:r>
    </w:p>
    <w:p w14:paraId="536766B9">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   真：                           传   真：</w:t>
      </w:r>
    </w:p>
    <w:p w14:paraId="43953500">
      <w:pP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签约日期：                         签约日期： </w:t>
      </w:r>
    </w:p>
    <w:p w14:paraId="18D1ABC9">
      <w:pPr>
        <w:spacing w:line="276" w:lineRule="auto"/>
        <w:ind w:firstLine="482" w:firstLineChars="200"/>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t>注：合同条款可根据采购人及成交人签订合同时的实际情况进行修改调整。</w:t>
      </w:r>
    </w:p>
    <w:sectPr>
      <w:headerReference r:id="rId5" w:type="default"/>
      <w:footerReference r:id="rId6" w:type="default"/>
      <w:pgSz w:w="11906" w:h="16838"/>
      <w:pgMar w:top="1440" w:right="1800" w:bottom="1440" w:left="1800" w:header="794" w:footer="107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1" w:fontKey="{D15842BF-A5FA-4CA6-B555-271499B97DAB}"/>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12ED5577-501A-4539-A0AB-B82946192951}"/>
  </w:font>
  <w:font w:name=".......">
    <w:altName w:val="宋体"/>
    <w:panose1 w:val="00000000000000000000"/>
    <w:charset w:val="86"/>
    <w:family w:val="roma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A00002BF" w:usb1="78CF7CFB" w:usb2="00000016" w:usb3="00000000" w:csb0="6006009F" w:csb1="DFD70000"/>
    <w:embedRegular r:id="rId3" w:fontKey="{42EAFFB9-BBEB-46CD-8E5B-950E753241A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702E">
    <w:pPr>
      <w:pStyle w:val="28"/>
    </w:pPr>
    <w:r>
      <w:rPr>
        <w:rFonts w:hint="eastAsia" w:ascii="宋体" w:hAnsi="宋体" w:cs="宋体"/>
        <w:szCs w:val="21"/>
      </w:rPr>
      <w:t>HTXJ-ZCG(202</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67</w:t>
    </w:r>
    <w:r>
      <w:rPr>
        <w:rFonts w:hint="eastAsia" w:ascii="宋体" w:hAnsi="宋体" w:cs="宋体"/>
        <w:szCs w:val="21"/>
      </w:rPr>
      <w:t xml:space="preserve">号                      </w:t>
    </w: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ascii="宋体" w:hAnsi="宋体" w:cs="宋体"/>
        <w:lang w:val="zh-CN" w:eastAsia="zh-CN"/>
      </w:rPr>
      <w:t>85</w:t>
    </w:r>
    <w:r>
      <w:rPr>
        <w:rFonts w:hint="eastAsia" w:ascii="宋体" w:hAnsi="宋体" w:cs="宋体"/>
      </w:rPr>
      <w:fldChar w:fldCharType="end"/>
    </w:r>
    <w:r>
      <w:rPr>
        <w:rFonts w:hint="eastAsia" w:ascii="宋体" w:hAnsi="宋体" w:cs="宋体"/>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11C8">
    <w:pPr>
      <w:pStyle w:val="29"/>
      <w:jc w:val="left"/>
      <w:rPr>
        <w:rFonts w:ascii="华文楷体" w:hAnsi="华文楷体" w:eastAsia="华文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04BD">
    <w:pPr>
      <w:pStyle w:val="29"/>
      <w:jc w:val="left"/>
      <w:rPr>
        <w:rFonts w:ascii="华文楷体" w:hAnsi="华文楷体" w:eastAsia="华文楷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6D72">
    <w:pPr>
      <w:pStyle w:val="29"/>
      <w:pBdr>
        <w:top w:val="none" w:color="auto" w:sz="0" w:space="0"/>
        <w:left w:val="none" w:color="auto" w:sz="0" w:space="0"/>
        <w:bottom w:val="single" w:color="auto" w:sz="4" w:space="1"/>
        <w:right w:val="none" w:color="auto" w:sz="0" w:space="0"/>
      </w:pBdr>
      <w:jc w:val="left"/>
      <w:rPr>
        <w:rFonts w:ascii="华文楷体" w:hAnsi="华文楷体" w:eastAsia="华文楷体"/>
      </w:rPr>
    </w:pPr>
    <w:r>
      <w:rPr>
        <w:lang w:val="en-US" w:eastAsia="zh-CN"/>
      </w:rPr>
      <w:drawing>
        <wp:inline distT="0" distB="0" distL="0" distR="0">
          <wp:extent cx="358140" cy="358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bright="6000" contrast="12000"/>
                    <a:extLst>
                      <a:ext uri="{28A0092B-C50C-407E-A947-70E740481C1C}">
                        <a14:useLocalDpi xmlns:a14="http://schemas.microsoft.com/office/drawing/2010/main" val="0"/>
                      </a:ext>
                    </a:extLst>
                  </a:blip>
                  <a:srcRect/>
                  <a:stretch>
                    <a:fillRect/>
                  </a:stretch>
                </pic:blipFill>
                <pic:spPr>
                  <a:xfrm>
                    <a:off x="0" y="0"/>
                    <a:ext cx="358140" cy="358140"/>
                  </a:xfrm>
                  <a:prstGeom prst="rect">
                    <a:avLst/>
                  </a:prstGeom>
                  <a:noFill/>
                  <a:ln>
                    <a:noFill/>
                  </a:ln>
                  <a:effectLst/>
                </pic:spPr>
              </pic:pic>
            </a:graphicData>
          </a:graphic>
        </wp:inline>
      </w:drawing>
    </w:r>
    <w:r>
      <w:rPr>
        <w:lang w:val="en-US" w:eastAsia="zh-CN"/>
      </w:rPr>
      <w:t xml:space="preserve">                           </w:t>
    </w:r>
    <w:r>
      <w:rPr>
        <w:rFonts w:ascii="楷体" w:hAnsi="楷体" w:eastAsia="楷体"/>
        <w:sz w:val="21"/>
        <w:szCs w:val="21"/>
        <w:lang w:val="en-US" w:eastAsia="zh-CN"/>
      </w:rPr>
      <w:t xml:space="preserve"> </w:t>
    </w:r>
    <w:r>
      <w:rPr>
        <w:rFonts w:hint="eastAsia" w:ascii="楷体" w:hAnsi="楷体" w:eastAsia="楷体"/>
        <w:sz w:val="21"/>
        <w:szCs w:val="21"/>
      </w:rPr>
      <w:t xml:space="preserve">中正恒天国际招标有限公司   </w:t>
    </w:r>
    <w:r>
      <w:rPr>
        <w:rFonts w:hint="eastAsia" w:ascii="华文楷体" w:hAnsi="华文楷体" w:eastAsia="华文楷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5765D"/>
    <w:multiLevelType w:val="singleLevel"/>
    <w:tmpl w:val="B255765D"/>
    <w:lvl w:ilvl="0" w:tentative="0">
      <w:start w:val="1"/>
      <w:numFmt w:val="chineseCounting"/>
      <w:suff w:val="nothing"/>
      <w:lvlText w:val="%1、"/>
      <w:lvlJc w:val="left"/>
      <w:rPr>
        <w:rFonts w:hint="eastAsia"/>
      </w:rPr>
    </w:lvl>
  </w:abstractNum>
  <w:abstractNum w:abstractNumId="1">
    <w:nsid w:val="12A03D3D"/>
    <w:multiLevelType w:val="multilevel"/>
    <w:tmpl w:val="12A03D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6537C104"/>
    <w:multiLevelType w:val="singleLevel"/>
    <w:tmpl w:val="6537C104"/>
    <w:lvl w:ilvl="0" w:tentative="0">
      <w:start w:val="6"/>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kNjFhZTg0OTFkZjE2MTlhNjE3NGI2NjIwODIwYTcifQ=="/>
    <w:docVar w:name="KSO_WPS_MARK_KEY" w:val="a3d862fc-bdf2-44ce-9a0a-382a6b524257"/>
  </w:docVars>
  <w:rsids>
    <w:rsidRoot w:val="00EA1EEF"/>
    <w:rsid w:val="000056EC"/>
    <w:rsid w:val="000156D2"/>
    <w:rsid w:val="0001635A"/>
    <w:rsid w:val="0001789A"/>
    <w:rsid w:val="00020D09"/>
    <w:rsid w:val="000227C9"/>
    <w:rsid w:val="00024CFD"/>
    <w:rsid w:val="0002614D"/>
    <w:rsid w:val="00030082"/>
    <w:rsid w:val="00031695"/>
    <w:rsid w:val="0003467B"/>
    <w:rsid w:val="00036F1C"/>
    <w:rsid w:val="000378C5"/>
    <w:rsid w:val="00040115"/>
    <w:rsid w:val="00044781"/>
    <w:rsid w:val="0004794A"/>
    <w:rsid w:val="00050B35"/>
    <w:rsid w:val="0005600C"/>
    <w:rsid w:val="000578AC"/>
    <w:rsid w:val="00057F67"/>
    <w:rsid w:val="000616E3"/>
    <w:rsid w:val="00064BD0"/>
    <w:rsid w:val="0007113F"/>
    <w:rsid w:val="0007340D"/>
    <w:rsid w:val="000757E1"/>
    <w:rsid w:val="00076EB0"/>
    <w:rsid w:val="0007786B"/>
    <w:rsid w:val="00085415"/>
    <w:rsid w:val="00085E63"/>
    <w:rsid w:val="00092AEA"/>
    <w:rsid w:val="00093B93"/>
    <w:rsid w:val="00094412"/>
    <w:rsid w:val="000963BB"/>
    <w:rsid w:val="000964D6"/>
    <w:rsid w:val="00097376"/>
    <w:rsid w:val="000A449F"/>
    <w:rsid w:val="000A4570"/>
    <w:rsid w:val="000B73D6"/>
    <w:rsid w:val="000B7C0A"/>
    <w:rsid w:val="000C594C"/>
    <w:rsid w:val="000D01BB"/>
    <w:rsid w:val="000D1971"/>
    <w:rsid w:val="000D3306"/>
    <w:rsid w:val="000E11F3"/>
    <w:rsid w:val="000E3F46"/>
    <w:rsid w:val="000F0AFD"/>
    <w:rsid w:val="000F0B52"/>
    <w:rsid w:val="00105126"/>
    <w:rsid w:val="00105DF4"/>
    <w:rsid w:val="00107097"/>
    <w:rsid w:val="00116551"/>
    <w:rsid w:val="00132276"/>
    <w:rsid w:val="001344BF"/>
    <w:rsid w:val="00135435"/>
    <w:rsid w:val="0014537E"/>
    <w:rsid w:val="00147671"/>
    <w:rsid w:val="00152A95"/>
    <w:rsid w:val="001542C5"/>
    <w:rsid w:val="00157431"/>
    <w:rsid w:val="00160F20"/>
    <w:rsid w:val="001627A5"/>
    <w:rsid w:val="00165F2F"/>
    <w:rsid w:val="001672DC"/>
    <w:rsid w:val="001677AC"/>
    <w:rsid w:val="0017083A"/>
    <w:rsid w:val="0017271D"/>
    <w:rsid w:val="00177B4C"/>
    <w:rsid w:val="00182E94"/>
    <w:rsid w:val="00184BA6"/>
    <w:rsid w:val="00185818"/>
    <w:rsid w:val="001959D8"/>
    <w:rsid w:val="0019729E"/>
    <w:rsid w:val="001A0F33"/>
    <w:rsid w:val="001A17BD"/>
    <w:rsid w:val="001A204E"/>
    <w:rsid w:val="001B5AA6"/>
    <w:rsid w:val="001B7400"/>
    <w:rsid w:val="001C1C87"/>
    <w:rsid w:val="001C2F56"/>
    <w:rsid w:val="001C3825"/>
    <w:rsid w:val="001C4032"/>
    <w:rsid w:val="001D27B1"/>
    <w:rsid w:val="001D6175"/>
    <w:rsid w:val="001D6C3B"/>
    <w:rsid w:val="001D6C86"/>
    <w:rsid w:val="001D7021"/>
    <w:rsid w:val="001D724E"/>
    <w:rsid w:val="001F0999"/>
    <w:rsid w:val="001F1386"/>
    <w:rsid w:val="001F50D6"/>
    <w:rsid w:val="001F52BD"/>
    <w:rsid w:val="002066E4"/>
    <w:rsid w:val="0021087D"/>
    <w:rsid w:val="00212468"/>
    <w:rsid w:val="00217B1F"/>
    <w:rsid w:val="002221F5"/>
    <w:rsid w:val="00226403"/>
    <w:rsid w:val="0022729A"/>
    <w:rsid w:val="00230938"/>
    <w:rsid w:val="00230B7E"/>
    <w:rsid w:val="00231821"/>
    <w:rsid w:val="002327EB"/>
    <w:rsid w:val="00234347"/>
    <w:rsid w:val="00236B6D"/>
    <w:rsid w:val="0024675F"/>
    <w:rsid w:val="00251546"/>
    <w:rsid w:val="00251D8D"/>
    <w:rsid w:val="00256FBF"/>
    <w:rsid w:val="00260AD0"/>
    <w:rsid w:val="002707B4"/>
    <w:rsid w:val="00271303"/>
    <w:rsid w:val="00273F85"/>
    <w:rsid w:val="00277F10"/>
    <w:rsid w:val="002824C0"/>
    <w:rsid w:val="002845D8"/>
    <w:rsid w:val="00284F77"/>
    <w:rsid w:val="00291986"/>
    <w:rsid w:val="00292AB8"/>
    <w:rsid w:val="00292D49"/>
    <w:rsid w:val="002A03F2"/>
    <w:rsid w:val="002A193C"/>
    <w:rsid w:val="002A6641"/>
    <w:rsid w:val="002C5343"/>
    <w:rsid w:val="002C6F2B"/>
    <w:rsid w:val="002C7494"/>
    <w:rsid w:val="002C7740"/>
    <w:rsid w:val="002D4A22"/>
    <w:rsid w:val="002D784C"/>
    <w:rsid w:val="002E0757"/>
    <w:rsid w:val="002E6802"/>
    <w:rsid w:val="002F01AD"/>
    <w:rsid w:val="002F6D9D"/>
    <w:rsid w:val="002F7CFE"/>
    <w:rsid w:val="00312105"/>
    <w:rsid w:val="00315365"/>
    <w:rsid w:val="003175FB"/>
    <w:rsid w:val="0032145C"/>
    <w:rsid w:val="0033282F"/>
    <w:rsid w:val="003360D6"/>
    <w:rsid w:val="00345287"/>
    <w:rsid w:val="00350DC8"/>
    <w:rsid w:val="00351255"/>
    <w:rsid w:val="0035573A"/>
    <w:rsid w:val="003559FA"/>
    <w:rsid w:val="003625A9"/>
    <w:rsid w:val="00363BC3"/>
    <w:rsid w:val="00372567"/>
    <w:rsid w:val="00375080"/>
    <w:rsid w:val="003750F1"/>
    <w:rsid w:val="00376A70"/>
    <w:rsid w:val="00377548"/>
    <w:rsid w:val="0037772E"/>
    <w:rsid w:val="00385E2A"/>
    <w:rsid w:val="00386055"/>
    <w:rsid w:val="00386E1E"/>
    <w:rsid w:val="00387AAE"/>
    <w:rsid w:val="00392298"/>
    <w:rsid w:val="0039550F"/>
    <w:rsid w:val="003A0362"/>
    <w:rsid w:val="003B4763"/>
    <w:rsid w:val="003C5A82"/>
    <w:rsid w:val="003C7DFB"/>
    <w:rsid w:val="003D673E"/>
    <w:rsid w:val="003F0128"/>
    <w:rsid w:val="003F3A03"/>
    <w:rsid w:val="00401436"/>
    <w:rsid w:val="00412319"/>
    <w:rsid w:val="00416582"/>
    <w:rsid w:val="00417E9D"/>
    <w:rsid w:val="004216BB"/>
    <w:rsid w:val="00421DD1"/>
    <w:rsid w:val="004221D7"/>
    <w:rsid w:val="00422FD0"/>
    <w:rsid w:val="00431C96"/>
    <w:rsid w:val="00432B34"/>
    <w:rsid w:val="00435B03"/>
    <w:rsid w:val="00437D5F"/>
    <w:rsid w:val="004438AE"/>
    <w:rsid w:val="00446C6E"/>
    <w:rsid w:val="00447154"/>
    <w:rsid w:val="00454749"/>
    <w:rsid w:val="00455456"/>
    <w:rsid w:val="004638E1"/>
    <w:rsid w:val="00465090"/>
    <w:rsid w:val="00467D75"/>
    <w:rsid w:val="00475090"/>
    <w:rsid w:val="00477906"/>
    <w:rsid w:val="00483E51"/>
    <w:rsid w:val="00486AF1"/>
    <w:rsid w:val="00490BE0"/>
    <w:rsid w:val="0049137A"/>
    <w:rsid w:val="004919A3"/>
    <w:rsid w:val="004926BC"/>
    <w:rsid w:val="004931A1"/>
    <w:rsid w:val="004A5012"/>
    <w:rsid w:val="004A7B0E"/>
    <w:rsid w:val="004C0A99"/>
    <w:rsid w:val="004C27B2"/>
    <w:rsid w:val="004C2CDE"/>
    <w:rsid w:val="004D334E"/>
    <w:rsid w:val="004D3A13"/>
    <w:rsid w:val="004E3296"/>
    <w:rsid w:val="004F24DE"/>
    <w:rsid w:val="004F4892"/>
    <w:rsid w:val="005071FA"/>
    <w:rsid w:val="005144C4"/>
    <w:rsid w:val="00514D38"/>
    <w:rsid w:val="00523285"/>
    <w:rsid w:val="0052634D"/>
    <w:rsid w:val="00527368"/>
    <w:rsid w:val="00530709"/>
    <w:rsid w:val="00537AF0"/>
    <w:rsid w:val="0054690A"/>
    <w:rsid w:val="00553174"/>
    <w:rsid w:val="0056266C"/>
    <w:rsid w:val="0057028E"/>
    <w:rsid w:val="0057402F"/>
    <w:rsid w:val="00581976"/>
    <w:rsid w:val="005825EF"/>
    <w:rsid w:val="00590850"/>
    <w:rsid w:val="0059197E"/>
    <w:rsid w:val="00592DF0"/>
    <w:rsid w:val="00592E81"/>
    <w:rsid w:val="00592F00"/>
    <w:rsid w:val="005A267C"/>
    <w:rsid w:val="005A2E0B"/>
    <w:rsid w:val="005A439C"/>
    <w:rsid w:val="005A70AE"/>
    <w:rsid w:val="005B1192"/>
    <w:rsid w:val="005B78BF"/>
    <w:rsid w:val="005C5530"/>
    <w:rsid w:val="005D3819"/>
    <w:rsid w:val="005D3821"/>
    <w:rsid w:val="005D659B"/>
    <w:rsid w:val="005D6FA7"/>
    <w:rsid w:val="005D6FEC"/>
    <w:rsid w:val="005D7BDF"/>
    <w:rsid w:val="005E0209"/>
    <w:rsid w:val="005F1F79"/>
    <w:rsid w:val="005F239C"/>
    <w:rsid w:val="005F2919"/>
    <w:rsid w:val="005F5FD0"/>
    <w:rsid w:val="0060094F"/>
    <w:rsid w:val="00603B6E"/>
    <w:rsid w:val="00606290"/>
    <w:rsid w:val="00606697"/>
    <w:rsid w:val="0060704B"/>
    <w:rsid w:val="0060731B"/>
    <w:rsid w:val="0061573E"/>
    <w:rsid w:val="00623BB2"/>
    <w:rsid w:val="0062461C"/>
    <w:rsid w:val="00624C26"/>
    <w:rsid w:val="0063048A"/>
    <w:rsid w:val="0063276F"/>
    <w:rsid w:val="0063356E"/>
    <w:rsid w:val="00633FCA"/>
    <w:rsid w:val="006365C7"/>
    <w:rsid w:val="0063779E"/>
    <w:rsid w:val="00646AB0"/>
    <w:rsid w:val="006473E3"/>
    <w:rsid w:val="00647B5A"/>
    <w:rsid w:val="00653F90"/>
    <w:rsid w:val="006577B5"/>
    <w:rsid w:val="00664B03"/>
    <w:rsid w:val="006800B8"/>
    <w:rsid w:val="00683A9C"/>
    <w:rsid w:val="006918ED"/>
    <w:rsid w:val="006952ED"/>
    <w:rsid w:val="0069656E"/>
    <w:rsid w:val="00697C14"/>
    <w:rsid w:val="006A3C7D"/>
    <w:rsid w:val="006B3FFA"/>
    <w:rsid w:val="006B448A"/>
    <w:rsid w:val="006B46E2"/>
    <w:rsid w:val="006C17E0"/>
    <w:rsid w:val="006C1AEB"/>
    <w:rsid w:val="006C34A7"/>
    <w:rsid w:val="006C4FEA"/>
    <w:rsid w:val="006E1F82"/>
    <w:rsid w:val="006E331C"/>
    <w:rsid w:val="006F283E"/>
    <w:rsid w:val="007136E0"/>
    <w:rsid w:val="0071676E"/>
    <w:rsid w:val="00721355"/>
    <w:rsid w:val="00736032"/>
    <w:rsid w:val="007379DF"/>
    <w:rsid w:val="00742FB5"/>
    <w:rsid w:val="00746E2A"/>
    <w:rsid w:val="00747915"/>
    <w:rsid w:val="007562EE"/>
    <w:rsid w:val="00761545"/>
    <w:rsid w:val="0076234C"/>
    <w:rsid w:val="007650FD"/>
    <w:rsid w:val="0076574A"/>
    <w:rsid w:val="007742D5"/>
    <w:rsid w:val="007773F9"/>
    <w:rsid w:val="00784598"/>
    <w:rsid w:val="00785196"/>
    <w:rsid w:val="007875E2"/>
    <w:rsid w:val="00792091"/>
    <w:rsid w:val="00792FCF"/>
    <w:rsid w:val="0079589F"/>
    <w:rsid w:val="00795E97"/>
    <w:rsid w:val="007A2951"/>
    <w:rsid w:val="007A6612"/>
    <w:rsid w:val="007B062A"/>
    <w:rsid w:val="007B5970"/>
    <w:rsid w:val="007D5230"/>
    <w:rsid w:val="007D7A53"/>
    <w:rsid w:val="007D7D76"/>
    <w:rsid w:val="007E1530"/>
    <w:rsid w:val="007E189B"/>
    <w:rsid w:val="007E6358"/>
    <w:rsid w:val="007F5387"/>
    <w:rsid w:val="007F70FC"/>
    <w:rsid w:val="00800C0C"/>
    <w:rsid w:val="00802418"/>
    <w:rsid w:val="00805EE3"/>
    <w:rsid w:val="008110A5"/>
    <w:rsid w:val="00811241"/>
    <w:rsid w:val="00813947"/>
    <w:rsid w:val="00814823"/>
    <w:rsid w:val="00815E30"/>
    <w:rsid w:val="00825230"/>
    <w:rsid w:val="00825450"/>
    <w:rsid w:val="0082609A"/>
    <w:rsid w:val="00830284"/>
    <w:rsid w:val="008436AC"/>
    <w:rsid w:val="00845911"/>
    <w:rsid w:val="00846995"/>
    <w:rsid w:val="00852A66"/>
    <w:rsid w:val="00860D44"/>
    <w:rsid w:val="00866734"/>
    <w:rsid w:val="00871B55"/>
    <w:rsid w:val="008726C7"/>
    <w:rsid w:val="00874881"/>
    <w:rsid w:val="00883449"/>
    <w:rsid w:val="00883B15"/>
    <w:rsid w:val="008858BF"/>
    <w:rsid w:val="008A3736"/>
    <w:rsid w:val="008A407B"/>
    <w:rsid w:val="008A6BE2"/>
    <w:rsid w:val="008B475D"/>
    <w:rsid w:val="008B5815"/>
    <w:rsid w:val="008B70CB"/>
    <w:rsid w:val="008E3716"/>
    <w:rsid w:val="008F2180"/>
    <w:rsid w:val="008F5E65"/>
    <w:rsid w:val="00904B0D"/>
    <w:rsid w:val="00906561"/>
    <w:rsid w:val="00906685"/>
    <w:rsid w:val="00912199"/>
    <w:rsid w:val="00913CF1"/>
    <w:rsid w:val="0091582C"/>
    <w:rsid w:val="00925A0E"/>
    <w:rsid w:val="00926BAF"/>
    <w:rsid w:val="0092763D"/>
    <w:rsid w:val="00932454"/>
    <w:rsid w:val="00934484"/>
    <w:rsid w:val="0093729D"/>
    <w:rsid w:val="009461BA"/>
    <w:rsid w:val="0095651A"/>
    <w:rsid w:val="00961AD9"/>
    <w:rsid w:val="00971B82"/>
    <w:rsid w:val="0097465C"/>
    <w:rsid w:val="009806C8"/>
    <w:rsid w:val="00980AC2"/>
    <w:rsid w:val="00983AB3"/>
    <w:rsid w:val="009845E1"/>
    <w:rsid w:val="009936B5"/>
    <w:rsid w:val="00996868"/>
    <w:rsid w:val="009A0516"/>
    <w:rsid w:val="009A06DD"/>
    <w:rsid w:val="009B1835"/>
    <w:rsid w:val="009B2E2C"/>
    <w:rsid w:val="009B3CCE"/>
    <w:rsid w:val="009C2135"/>
    <w:rsid w:val="009D1B35"/>
    <w:rsid w:val="009D775C"/>
    <w:rsid w:val="009D78AC"/>
    <w:rsid w:val="009D7990"/>
    <w:rsid w:val="009E35CB"/>
    <w:rsid w:val="009E51C6"/>
    <w:rsid w:val="009E79BE"/>
    <w:rsid w:val="009F450E"/>
    <w:rsid w:val="009F7331"/>
    <w:rsid w:val="009F737E"/>
    <w:rsid w:val="00A15BC2"/>
    <w:rsid w:val="00A2077E"/>
    <w:rsid w:val="00A20F01"/>
    <w:rsid w:val="00A21A1F"/>
    <w:rsid w:val="00A35AF4"/>
    <w:rsid w:val="00A441CE"/>
    <w:rsid w:val="00A519D6"/>
    <w:rsid w:val="00A575F5"/>
    <w:rsid w:val="00A60A2E"/>
    <w:rsid w:val="00A62DB5"/>
    <w:rsid w:val="00A65F8B"/>
    <w:rsid w:val="00A664CB"/>
    <w:rsid w:val="00A668D2"/>
    <w:rsid w:val="00A73CE0"/>
    <w:rsid w:val="00A81A0A"/>
    <w:rsid w:val="00A855F1"/>
    <w:rsid w:val="00A9732B"/>
    <w:rsid w:val="00AA2F7F"/>
    <w:rsid w:val="00AA3A04"/>
    <w:rsid w:val="00AB0806"/>
    <w:rsid w:val="00AB0B3A"/>
    <w:rsid w:val="00AB218A"/>
    <w:rsid w:val="00AB2BE9"/>
    <w:rsid w:val="00AB2FD4"/>
    <w:rsid w:val="00AC0F75"/>
    <w:rsid w:val="00AC3AD4"/>
    <w:rsid w:val="00AD1995"/>
    <w:rsid w:val="00AD47B8"/>
    <w:rsid w:val="00AD6F71"/>
    <w:rsid w:val="00AE1465"/>
    <w:rsid w:val="00AE3268"/>
    <w:rsid w:val="00AF3D38"/>
    <w:rsid w:val="00AF563A"/>
    <w:rsid w:val="00AF5BA9"/>
    <w:rsid w:val="00B0770C"/>
    <w:rsid w:val="00B1093A"/>
    <w:rsid w:val="00B10A2A"/>
    <w:rsid w:val="00B1252F"/>
    <w:rsid w:val="00B22777"/>
    <w:rsid w:val="00B25B0F"/>
    <w:rsid w:val="00B276A6"/>
    <w:rsid w:val="00B31299"/>
    <w:rsid w:val="00B36E22"/>
    <w:rsid w:val="00B37ED0"/>
    <w:rsid w:val="00B4038A"/>
    <w:rsid w:val="00B452A6"/>
    <w:rsid w:val="00B47FCF"/>
    <w:rsid w:val="00B51951"/>
    <w:rsid w:val="00B66EAC"/>
    <w:rsid w:val="00B80184"/>
    <w:rsid w:val="00B813F1"/>
    <w:rsid w:val="00B816D0"/>
    <w:rsid w:val="00B8344A"/>
    <w:rsid w:val="00B83F9D"/>
    <w:rsid w:val="00B8473E"/>
    <w:rsid w:val="00B854A6"/>
    <w:rsid w:val="00B85C00"/>
    <w:rsid w:val="00B87C6F"/>
    <w:rsid w:val="00B9159C"/>
    <w:rsid w:val="00B91992"/>
    <w:rsid w:val="00B95315"/>
    <w:rsid w:val="00BA1029"/>
    <w:rsid w:val="00BA19FE"/>
    <w:rsid w:val="00BA1DF8"/>
    <w:rsid w:val="00BA409D"/>
    <w:rsid w:val="00BA4EC5"/>
    <w:rsid w:val="00BA7B7D"/>
    <w:rsid w:val="00BB60E9"/>
    <w:rsid w:val="00BB7B45"/>
    <w:rsid w:val="00BB7E75"/>
    <w:rsid w:val="00BB7EA6"/>
    <w:rsid w:val="00BC56E7"/>
    <w:rsid w:val="00BC734D"/>
    <w:rsid w:val="00BD198F"/>
    <w:rsid w:val="00BD2225"/>
    <w:rsid w:val="00BD34AB"/>
    <w:rsid w:val="00BD5E5E"/>
    <w:rsid w:val="00BE4DB4"/>
    <w:rsid w:val="00C017F3"/>
    <w:rsid w:val="00C05A44"/>
    <w:rsid w:val="00C068E1"/>
    <w:rsid w:val="00C10D50"/>
    <w:rsid w:val="00C144BB"/>
    <w:rsid w:val="00C149DB"/>
    <w:rsid w:val="00C30B8F"/>
    <w:rsid w:val="00C37013"/>
    <w:rsid w:val="00C44613"/>
    <w:rsid w:val="00C46573"/>
    <w:rsid w:val="00C5155F"/>
    <w:rsid w:val="00C54254"/>
    <w:rsid w:val="00C54DD8"/>
    <w:rsid w:val="00C572E8"/>
    <w:rsid w:val="00C64DA2"/>
    <w:rsid w:val="00C70A7E"/>
    <w:rsid w:val="00C72FC6"/>
    <w:rsid w:val="00C80B46"/>
    <w:rsid w:val="00C80F97"/>
    <w:rsid w:val="00C93A20"/>
    <w:rsid w:val="00CA0473"/>
    <w:rsid w:val="00CA2C75"/>
    <w:rsid w:val="00CA3108"/>
    <w:rsid w:val="00CB035C"/>
    <w:rsid w:val="00CB2938"/>
    <w:rsid w:val="00CB2E78"/>
    <w:rsid w:val="00CB6C3B"/>
    <w:rsid w:val="00CC7AC2"/>
    <w:rsid w:val="00CD2507"/>
    <w:rsid w:val="00CD27C4"/>
    <w:rsid w:val="00CD2F34"/>
    <w:rsid w:val="00CD449E"/>
    <w:rsid w:val="00CD6324"/>
    <w:rsid w:val="00CE5316"/>
    <w:rsid w:val="00CF4EF1"/>
    <w:rsid w:val="00D0065D"/>
    <w:rsid w:val="00D0067E"/>
    <w:rsid w:val="00D01320"/>
    <w:rsid w:val="00D018D1"/>
    <w:rsid w:val="00D01DBA"/>
    <w:rsid w:val="00D103E8"/>
    <w:rsid w:val="00D15D19"/>
    <w:rsid w:val="00D17C76"/>
    <w:rsid w:val="00D229B2"/>
    <w:rsid w:val="00D23306"/>
    <w:rsid w:val="00D2778A"/>
    <w:rsid w:val="00D30409"/>
    <w:rsid w:val="00D31FF4"/>
    <w:rsid w:val="00D34C1A"/>
    <w:rsid w:val="00D37876"/>
    <w:rsid w:val="00D37883"/>
    <w:rsid w:val="00D51E0C"/>
    <w:rsid w:val="00D52279"/>
    <w:rsid w:val="00D536C3"/>
    <w:rsid w:val="00D61014"/>
    <w:rsid w:val="00D61D90"/>
    <w:rsid w:val="00D62512"/>
    <w:rsid w:val="00D648EE"/>
    <w:rsid w:val="00D64981"/>
    <w:rsid w:val="00D702D6"/>
    <w:rsid w:val="00D7513F"/>
    <w:rsid w:val="00D75367"/>
    <w:rsid w:val="00D77640"/>
    <w:rsid w:val="00D812E4"/>
    <w:rsid w:val="00D821BF"/>
    <w:rsid w:val="00D82219"/>
    <w:rsid w:val="00D87B78"/>
    <w:rsid w:val="00D91738"/>
    <w:rsid w:val="00D93B62"/>
    <w:rsid w:val="00D9400C"/>
    <w:rsid w:val="00DA0136"/>
    <w:rsid w:val="00DA3CC2"/>
    <w:rsid w:val="00DA3EA7"/>
    <w:rsid w:val="00DA5181"/>
    <w:rsid w:val="00DA7406"/>
    <w:rsid w:val="00DA7F9B"/>
    <w:rsid w:val="00DC2292"/>
    <w:rsid w:val="00DC300E"/>
    <w:rsid w:val="00DC31BB"/>
    <w:rsid w:val="00DC514C"/>
    <w:rsid w:val="00DC5A2C"/>
    <w:rsid w:val="00DC782E"/>
    <w:rsid w:val="00DD0750"/>
    <w:rsid w:val="00DD0BA1"/>
    <w:rsid w:val="00DD42C9"/>
    <w:rsid w:val="00DE6852"/>
    <w:rsid w:val="00DF202E"/>
    <w:rsid w:val="00DF56E5"/>
    <w:rsid w:val="00DF5F88"/>
    <w:rsid w:val="00E00EF3"/>
    <w:rsid w:val="00E017E7"/>
    <w:rsid w:val="00E13CD2"/>
    <w:rsid w:val="00E15A59"/>
    <w:rsid w:val="00E15BDE"/>
    <w:rsid w:val="00E15CC8"/>
    <w:rsid w:val="00E16BD4"/>
    <w:rsid w:val="00E209AE"/>
    <w:rsid w:val="00E33CA5"/>
    <w:rsid w:val="00E4040F"/>
    <w:rsid w:val="00E41668"/>
    <w:rsid w:val="00E45A9E"/>
    <w:rsid w:val="00E50618"/>
    <w:rsid w:val="00E63EA6"/>
    <w:rsid w:val="00E6450A"/>
    <w:rsid w:val="00E64D2D"/>
    <w:rsid w:val="00E660FE"/>
    <w:rsid w:val="00E66CFF"/>
    <w:rsid w:val="00E87133"/>
    <w:rsid w:val="00E907C0"/>
    <w:rsid w:val="00E968F6"/>
    <w:rsid w:val="00EA0F5B"/>
    <w:rsid w:val="00EA1EEF"/>
    <w:rsid w:val="00EA3AC7"/>
    <w:rsid w:val="00EA7E36"/>
    <w:rsid w:val="00EB7088"/>
    <w:rsid w:val="00EC15C5"/>
    <w:rsid w:val="00EC2FEB"/>
    <w:rsid w:val="00EC3B1C"/>
    <w:rsid w:val="00ED3D03"/>
    <w:rsid w:val="00ED4F17"/>
    <w:rsid w:val="00ED6B23"/>
    <w:rsid w:val="00ED6BB5"/>
    <w:rsid w:val="00EE26F1"/>
    <w:rsid w:val="00EE32F5"/>
    <w:rsid w:val="00EE51B3"/>
    <w:rsid w:val="00EE52D9"/>
    <w:rsid w:val="00EE6DF3"/>
    <w:rsid w:val="00EF4104"/>
    <w:rsid w:val="00F1068B"/>
    <w:rsid w:val="00F11690"/>
    <w:rsid w:val="00F13DFB"/>
    <w:rsid w:val="00F152A6"/>
    <w:rsid w:val="00F20A63"/>
    <w:rsid w:val="00F24770"/>
    <w:rsid w:val="00F27CB1"/>
    <w:rsid w:val="00F31D29"/>
    <w:rsid w:val="00F320EA"/>
    <w:rsid w:val="00F40B2B"/>
    <w:rsid w:val="00F4666B"/>
    <w:rsid w:val="00F46A9B"/>
    <w:rsid w:val="00F55565"/>
    <w:rsid w:val="00F55A33"/>
    <w:rsid w:val="00F60F8F"/>
    <w:rsid w:val="00F61B88"/>
    <w:rsid w:val="00F65FDF"/>
    <w:rsid w:val="00F66A22"/>
    <w:rsid w:val="00F67E64"/>
    <w:rsid w:val="00F72276"/>
    <w:rsid w:val="00F75F0C"/>
    <w:rsid w:val="00F87300"/>
    <w:rsid w:val="00F90C1C"/>
    <w:rsid w:val="00F91B9C"/>
    <w:rsid w:val="00F94E4C"/>
    <w:rsid w:val="00FA1F4C"/>
    <w:rsid w:val="00FB0195"/>
    <w:rsid w:val="00FC0A64"/>
    <w:rsid w:val="00FC20BD"/>
    <w:rsid w:val="00FC2BFD"/>
    <w:rsid w:val="00FD21B0"/>
    <w:rsid w:val="00FD7AFE"/>
    <w:rsid w:val="00FF2458"/>
    <w:rsid w:val="01757E93"/>
    <w:rsid w:val="01BB7E59"/>
    <w:rsid w:val="01FE691D"/>
    <w:rsid w:val="026D60A8"/>
    <w:rsid w:val="037B54CB"/>
    <w:rsid w:val="05235EDA"/>
    <w:rsid w:val="0619534E"/>
    <w:rsid w:val="06E45A7E"/>
    <w:rsid w:val="075C1699"/>
    <w:rsid w:val="07986EC5"/>
    <w:rsid w:val="084C5EB4"/>
    <w:rsid w:val="087376AB"/>
    <w:rsid w:val="09D14102"/>
    <w:rsid w:val="09DA04F3"/>
    <w:rsid w:val="09EC729B"/>
    <w:rsid w:val="0A1A3B9F"/>
    <w:rsid w:val="0A2D14EA"/>
    <w:rsid w:val="0B431045"/>
    <w:rsid w:val="0DBB23CF"/>
    <w:rsid w:val="0E0B3159"/>
    <w:rsid w:val="0EBF4E92"/>
    <w:rsid w:val="0F163A59"/>
    <w:rsid w:val="117E2A25"/>
    <w:rsid w:val="11F95CE3"/>
    <w:rsid w:val="12414497"/>
    <w:rsid w:val="12B112A9"/>
    <w:rsid w:val="139506C9"/>
    <w:rsid w:val="13DE7DE3"/>
    <w:rsid w:val="146668EA"/>
    <w:rsid w:val="165332A5"/>
    <w:rsid w:val="19037516"/>
    <w:rsid w:val="19614D0C"/>
    <w:rsid w:val="1A620D3B"/>
    <w:rsid w:val="1C827843"/>
    <w:rsid w:val="1D761072"/>
    <w:rsid w:val="1EF8E2DD"/>
    <w:rsid w:val="1F415F56"/>
    <w:rsid w:val="1F44170E"/>
    <w:rsid w:val="1FC44972"/>
    <w:rsid w:val="20E52D51"/>
    <w:rsid w:val="21822195"/>
    <w:rsid w:val="220D648F"/>
    <w:rsid w:val="22B83BEE"/>
    <w:rsid w:val="23557DEB"/>
    <w:rsid w:val="285C150C"/>
    <w:rsid w:val="288775CB"/>
    <w:rsid w:val="28EA087A"/>
    <w:rsid w:val="2C5F2B44"/>
    <w:rsid w:val="2D923431"/>
    <w:rsid w:val="2E7FFB7D"/>
    <w:rsid w:val="3095556F"/>
    <w:rsid w:val="30D35B0F"/>
    <w:rsid w:val="32BF4B25"/>
    <w:rsid w:val="32C75F7E"/>
    <w:rsid w:val="334B1D84"/>
    <w:rsid w:val="336034EF"/>
    <w:rsid w:val="35BB78D2"/>
    <w:rsid w:val="35FF773C"/>
    <w:rsid w:val="36F9612C"/>
    <w:rsid w:val="37E62CFD"/>
    <w:rsid w:val="39652DEF"/>
    <w:rsid w:val="3BDB0B31"/>
    <w:rsid w:val="3C8E53D3"/>
    <w:rsid w:val="3D901369"/>
    <w:rsid w:val="3DFE1904"/>
    <w:rsid w:val="3E0759F3"/>
    <w:rsid w:val="3FEB4B1F"/>
    <w:rsid w:val="3FFE7E08"/>
    <w:rsid w:val="40667EEB"/>
    <w:rsid w:val="41DA218D"/>
    <w:rsid w:val="42CD3CA8"/>
    <w:rsid w:val="433B01F8"/>
    <w:rsid w:val="43FE4D82"/>
    <w:rsid w:val="44683BA8"/>
    <w:rsid w:val="44BD3BF6"/>
    <w:rsid w:val="46347A84"/>
    <w:rsid w:val="4953791E"/>
    <w:rsid w:val="4BD216C3"/>
    <w:rsid w:val="4EA64545"/>
    <w:rsid w:val="4F2E6E63"/>
    <w:rsid w:val="4FE43BD6"/>
    <w:rsid w:val="502D3FBD"/>
    <w:rsid w:val="515B3813"/>
    <w:rsid w:val="52F72607"/>
    <w:rsid w:val="531717D1"/>
    <w:rsid w:val="536F0DAA"/>
    <w:rsid w:val="54450B22"/>
    <w:rsid w:val="544A758B"/>
    <w:rsid w:val="54EC340C"/>
    <w:rsid w:val="568B7AFF"/>
    <w:rsid w:val="57A5777C"/>
    <w:rsid w:val="57B618FE"/>
    <w:rsid w:val="57E04A72"/>
    <w:rsid w:val="5A184CE0"/>
    <w:rsid w:val="5B427367"/>
    <w:rsid w:val="5BD62414"/>
    <w:rsid w:val="5C5D55F3"/>
    <w:rsid w:val="5D902062"/>
    <w:rsid w:val="5DEB74DE"/>
    <w:rsid w:val="5ED35FD5"/>
    <w:rsid w:val="61243C22"/>
    <w:rsid w:val="61423F7F"/>
    <w:rsid w:val="615362B5"/>
    <w:rsid w:val="618C7BAA"/>
    <w:rsid w:val="622A34BA"/>
    <w:rsid w:val="625E5CD9"/>
    <w:rsid w:val="62683FE2"/>
    <w:rsid w:val="63452778"/>
    <w:rsid w:val="651314AA"/>
    <w:rsid w:val="6513693E"/>
    <w:rsid w:val="654D0FCC"/>
    <w:rsid w:val="66115772"/>
    <w:rsid w:val="665A1E94"/>
    <w:rsid w:val="67FFE4EE"/>
    <w:rsid w:val="681A6D0C"/>
    <w:rsid w:val="6843447D"/>
    <w:rsid w:val="69134A68"/>
    <w:rsid w:val="6945431D"/>
    <w:rsid w:val="6AC8202B"/>
    <w:rsid w:val="6AD427A2"/>
    <w:rsid w:val="6BD76DBF"/>
    <w:rsid w:val="6C4B27FA"/>
    <w:rsid w:val="6C7B645E"/>
    <w:rsid w:val="6DF2B7D1"/>
    <w:rsid w:val="70E92792"/>
    <w:rsid w:val="71BB19D7"/>
    <w:rsid w:val="7259163B"/>
    <w:rsid w:val="77E34522"/>
    <w:rsid w:val="78226855"/>
    <w:rsid w:val="78FDFC16"/>
    <w:rsid w:val="79406D4F"/>
    <w:rsid w:val="79FFA613"/>
    <w:rsid w:val="7A7FB1C6"/>
    <w:rsid w:val="7A823302"/>
    <w:rsid w:val="7AF260AE"/>
    <w:rsid w:val="7B4016A9"/>
    <w:rsid w:val="7B579880"/>
    <w:rsid w:val="7B966C22"/>
    <w:rsid w:val="7BFF26D7"/>
    <w:rsid w:val="7C5E45DB"/>
    <w:rsid w:val="7C600E8D"/>
    <w:rsid w:val="7CFF5982"/>
    <w:rsid w:val="7DB22A8A"/>
    <w:rsid w:val="7DBF536F"/>
    <w:rsid w:val="7E950E27"/>
    <w:rsid w:val="7EF60031"/>
    <w:rsid w:val="7EF768D0"/>
    <w:rsid w:val="7F312297"/>
    <w:rsid w:val="7F3F49D9"/>
    <w:rsid w:val="7FF6466E"/>
    <w:rsid w:val="7FFFE770"/>
    <w:rsid w:val="953EFE4E"/>
    <w:rsid w:val="9FDD9959"/>
    <w:rsid w:val="BFBF7A82"/>
    <w:rsid w:val="BFDF7C96"/>
    <w:rsid w:val="CF7FB0A9"/>
    <w:rsid w:val="DBDF67F9"/>
    <w:rsid w:val="E5FDA720"/>
    <w:rsid w:val="EA474C1B"/>
    <w:rsid w:val="EB6FA44F"/>
    <w:rsid w:val="EDCBF30D"/>
    <w:rsid w:val="EFBFBEC4"/>
    <w:rsid w:val="EFFF854A"/>
    <w:rsid w:val="F7DFEE66"/>
    <w:rsid w:val="F93BC22D"/>
    <w:rsid w:val="FB5FA0DA"/>
    <w:rsid w:val="FE7B84D4"/>
    <w:rsid w:val="FEF7B305"/>
    <w:rsid w:val="FFE7E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nhideWhenUsed="0" w:uiPriority="98" w:semiHidden="0" w:name="heading 5"/>
    <w:lsdException w:qFormat="1" w:unhideWhenUsed="0" w:uiPriority="98" w:semiHidden="0" w:name="heading 6"/>
    <w:lsdException w:qFormat="1" w:unhideWhenUsed="0" w:uiPriority="98" w:semiHidden="0" w:name="heading 7"/>
    <w:lsdException w:qFormat="1" w:unhideWhenUsed="0" w:uiPriority="98" w:semiHidden="0" w:name="heading 8"/>
    <w:lsdException w:qFormat="1" w:unhideWhenUsed="0" w:uiPriority="98" w:semiHidden="0" w:name="heading 9"/>
    <w:lsdException w:unhideWhenUsed="0" w:uiPriority="98" w:semiHidden="0" w:name="index 1"/>
    <w:lsdException w:unhideWhenUsed="0" w:uiPriority="98" w:semiHidden="0" w:name="index 2"/>
    <w:lsdException w:unhideWhenUsed="0" w:uiPriority="98" w:semiHidden="0" w:name="index 3"/>
    <w:lsdException w:unhideWhenUsed="0" w:uiPriority="98" w:semiHidden="0" w:name="index 4"/>
    <w:lsdException w:unhideWhenUsed="0" w:uiPriority="98" w:semiHidden="0" w:name="index 5"/>
    <w:lsdException w:qFormat="1" w:unhideWhenUsed="0" w:uiPriority="99" w:semiHidden="0" w:name="index 6"/>
    <w:lsdException w:unhideWhenUsed="0" w:uiPriority="98" w:semiHidden="0" w:name="index 7"/>
    <w:lsdException w:unhideWhenUsed="0" w:uiPriority="98" w:semiHidden="0" w:name="index 8"/>
    <w:lsdException w:unhideWhenUsed="0" w:uiPriority="98"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98" w:semiHidden="0" w:name="annotation text"/>
    <w:lsdException w:qFormat="1" w:unhideWhenUsed="0" w:uiPriority="0" w:semiHidden="0" w:name="header"/>
    <w:lsdException w:qFormat="1" w:unhideWhenUsed="0" w:uiPriority="99" w:semiHidden="0" w:name="footer"/>
    <w:lsdException w:unhideWhenUsed="0" w:uiPriority="98" w:semiHidden="0" w:name="index heading"/>
    <w:lsdException w:qFormat="1" w:uiPriority="98" w:name="caption"/>
    <w:lsdException w:unhideWhenUsed="0" w:uiPriority="98" w:semiHidden="0" w:name="table of figures"/>
    <w:lsdException w:unhideWhenUsed="0" w:uiPriority="98" w:semiHidden="0" w:name="envelope address"/>
    <w:lsdException w:unhideWhenUsed="0" w:uiPriority="98" w:semiHidden="0" w:name="envelope return"/>
    <w:lsdException w:unhideWhenUsed="0" w:uiPriority="98" w:semiHidden="0" w:name="footnote reference"/>
    <w:lsdException w:qFormat="1" w:unhideWhenUsed="0" w:uiPriority="98" w:semiHidden="0" w:name="annotation reference"/>
    <w:lsdException w:unhideWhenUsed="0" w:uiPriority="98" w:semiHidden="0" w:name="line number"/>
    <w:lsdException w:qFormat="1" w:uiPriority="99" w:semiHidden="0" w:name="page number"/>
    <w:lsdException w:unhideWhenUsed="0" w:uiPriority="98" w:semiHidden="0" w:name="endnote reference"/>
    <w:lsdException w:unhideWhenUsed="0" w:uiPriority="98" w:semiHidden="0" w:name="endnote text"/>
    <w:lsdException w:unhideWhenUsed="0" w:uiPriority="98" w:semiHidden="0" w:name="table of authorities"/>
    <w:lsdException w:unhideWhenUsed="0" w:uiPriority="98" w:semiHidden="0" w:name="macro"/>
    <w:lsdException w:unhideWhenUsed="0" w:uiPriority="98" w:semiHidden="0" w:name="toa heading"/>
    <w:lsdException w:uiPriority="98" w:semiHidden="0" w:name="List"/>
    <w:lsdException w:unhideWhenUsed="0" w:uiPriority="98" w:semiHidden="0" w:name="List Bullet"/>
    <w:lsdException w:unhideWhenUsed="0" w:uiPriority="98" w:semiHidden="0" w:name="List Number"/>
    <w:lsdException w:unhideWhenUsed="0" w:uiPriority="98" w:semiHidden="0" w:name="List 2"/>
    <w:lsdException w:unhideWhenUsed="0" w:uiPriority="98" w:semiHidden="0" w:name="List 3"/>
    <w:lsdException w:unhideWhenUsed="0" w:uiPriority="98" w:semiHidden="0" w:name="List 4"/>
    <w:lsdException w:unhideWhenUsed="0" w:uiPriority="98" w:semiHidden="0" w:name="List 5"/>
    <w:lsdException w:unhideWhenUsed="0" w:uiPriority="98" w:semiHidden="0" w:name="List Bullet 2"/>
    <w:lsdException w:unhideWhenUsed="0" w:uiPriority="98" w:semiHidden="0" w:name="List Bullet 3"/>
    <w:lsdException w:unhideWhenUsed="0" w:uiPriority="98" w:semiHidden="0" w:name="List Bullet 4"/>
    <w:lsdException w:unhideWhenUsed="0" w:uiPriority="98" w:semiHidden="0" w:name="List Bullet 5"/>
    <w:lsdException w:unhideWhenUsed="0" w:uiPriority="98" w:semiHidden="0" w:name="List Number 2"/>
    <w:lsdException w:unhideWhenUsed="0" w:uiPriority="98" w:semiHidden="0" w:name="List Number 3"/>
    <w:lsdException w:unhideWhenUsed="0" w:uiPriority="98" w:semiHidden="0" w:name="List Number 4"/>
    <w:lsdException w:unhideWhenUsed="0" w:uiPriority="98" w:semiHidden="0" w:name="List Number 5"/>
    <w:lsdException w:qFormat="1" w:unhideWhenUsed="0" w:uiPriority="98" w:semiHidden="0" w:name="Title"/>
    <w:lsdException w:unhideWhenUsed="0" w:uiPriority="98" w:semiHidden="0" w:name="Closing"/>
    <w:lsdException w:unhideWhenUsed="0" w:uiPriority="98" w:semiHidden="0" w:name="Signature"/>
    <w:lsdException w:qFormat="1" w:uiPriority="1" w:semiHidden="0" w:name="Default Paragraph Font"/>
    <w:lsdException w:qFormat="1" w:unhideWhenUsed="0" w:uiPriority="99" w:semiHidden="0" w:name="Body Text"/>
    <w:lsdException w:qFormat="1" w:uiPriority="99" w:semiHidden="0" w:name="Body Text Indent"/>
    <w:lsdException w:uiPriority="98" w:semiHidden="0" w:name="List Continue"/>
    <w:lsdException w:unhideWhenUsed="0" w:uiPriority="98" w:semiHidden="0" w:name="List Continue 2"/>
    <w:lsdException w:unhideWhenUsed="0" w:uiPriority="98" w:semiHidden="0" w:name="List Continue 3"/>
    <w:lsdException w:unhideWhenUsed="0" w:uiPriority="98" w:semiHidden="0" w:name="List Continue 4"/>
    <w:lsdException w:unhideWhenUsed="0" w:uiPriority="98" w:semiHidden="0" w:name="List Continue 5"/>
    <w:lsdException w:unhideWhenUsed="0" w:uiPriority="98" w:semiHidden="0" w:name="Message Header"/>
    <w:lsdException w:qFormat="1" w:unhideWhenUsed="0" w:uiPriority="3" w:semiHidden="0" w:name="Subtitle"/>
    <w:lsdException w:unhideWhenUsed="0" w:uiPriority="98" w:semiHidden="0" w:name="Salutation"/>
    <w:lsdException w:qFormat="1" w:unhideWhenUsed="0" w:uiPriority="98" w:semiHidden="0" w:name="Date"/>
    <w:lsdException w:qFormat="1" w:unhideWhenUsed="0" w:uiPriority="99" w:semiHidden="0" w:name="Body Text First Indent"/>
    <w:lsdException w:qFormat="1" w:unhideWhenUsed="0" w:uiPriority="0" w:semiHidden="0" w:name="Body Text First Indent 2"/>
    <w:lsdException w:unhideWhenUsed="0" w:uiPriority="98" w:semiHidden="0" w:name="Note Heading"/>
    <w:lsdException w:unhideWhenUsed="0" w:uiPriority="98" w:semiHidden="0" w:name="Body Text 2"/>
    <w:lsdException w:qFormat="1" w:unhideWhenUsed="0" w:uiPriority="0" w:semiHidden="0" w:name="Body Text 3"/>
    <w:lsdException w:qFormat="1" w:uiPriority="98" w:semiHidden="0" w:name="Body Text Indent 2"/>
    <w:lsdException w:unhideWhenUsed="0" w:uiPriority="98" w:semiHidden="0" w:name="Body Text Indent 3"/>
    <w:lsdException w:unhideWhenUsed="0" w:uiPriority="98"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8" w:semiHidden="0" w:name="Emphasis"/>
    <w:lsdException w:qFormat="1" w:unhideWhenUsed="0" w:uiPriority="98" w:semiHidden="0" w:name="Document Map"/>
    <w:lsdException w:qFormat="1" w:uiPriority="0" w:semiHidden="0" w:name="Plain Text"/>
    <w:lsdException w:unhideWhenUsed="0" w:uiPriority="98" w:semiHidden="0" w:name="E-mail Signature"/>
    <w:lsdException w:qFormat="1" w:uiPriority="99" w:semiHidden="0" w:name="Normal (Web)"/>
    <w:lsdException w:unhideWhenUsed="0" w:uiPriority="98" w:semiHidden="0" w:name="HTML Acronym"/>
    <w:lsdException w:unhideWhenUsed="0" w:uiPriority="98" w:semiHidden="0" w:name="HTML Address"/>
    <w:lsdException w:unhideWhenUsed="0" w:uiPriority="98" w:semiHidden="0" w:name="HTML Cite"/>
    <w:lsdException w:unhideWhenUsed="0" w:uiPriority="98" w:semiHidden="0" w:name="HTML Code"/>
    <w:lsdException w:unhideWhenUsed="0" w:uiPriority="98" w:semiHidden="0" w:name="HTML Definition"/>
    <w:lsdException w:unhideWhenUsed="0" w:uiPriority="98" w:semiHidden="0" w:name="HTML Keyboard"/>
    <w:lsdException w:unhideWhenUsed="0" w:uiPriority="98" w:semiHidden="0" w:name="HTML Preformatted"/>
    <w:lsdException w:unhideWhenUsed="0" w:uiPriority="98" w:semiHidden="0" w:name="HTML Sample"/>
    <w:lsdException w:unhideWhenUsed="0" w:uiPriority="98" w:semiHidden="0" w:name="HTML Typewriter"/>
    <w:lsdException w:unhideWhenUsed="0" w:uiPriority="98" w:semiHidden="0" w:name="HTML Variable"/>
    <w:lsdException w:qFormat="1" w:uiPriority="99" w:semiHidden="0" w:name="Normal Table"/>
    <w:lsdException w:qFormat="1" w:unhideWhenUsed="0" w:uiPriority="98"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3"/>
    <w:next w:val="1"/>
    <w:link w:val="54"/>
    <w:qFormat/>
    <w:uiPriority w:val="98"/>
    <w:pPr>
      <w:keepNext/>
      <w:keepLines/>
      <w:spacing w:before="340" w:after="330" w:line="578" w:lineRule="auto"/>
    </w:pPr>
    <w:rPr>
      <w:rFonts w:ascii="Times New Roman" w:hAnsi="Times New Roman"/>
      <w:kern w:val="44"/>
      <w:sz w:val="44"/>
      <w:szCs w:val="44"/>
    </w:rPr>
  </w:style>
  <w:style w:type="paragraph" w:styleId="4">
    <w:name w:val="heading 2"/>
    <w:basedOn w:val="1"/>
    <w:next w:val="1"/>
    <w:link w:val="55"/>
    <w:qFormat/>
    <w:uiPriority w:val="98"/>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56"/>
    <w:qFormat/>
    <w:uiPriority w:val="99"/>
    <w:pPr>
      <w:keepNext/>
      <w:keepLines/>
      <w:spacing w:before="260" w:after="260" w:line="416" w:lineRule="auto"/>
      <w:outlineLvl w:val="2"/>
    </w:pPr>
    <w:rPr>
      <w:rFonts w:hAnsi="宋体"/>
      <w:b/>
      <w:bCs/>
      <w:sz w:val="32"/>
      <w:szCs w:val="32"/>
    </w:rPr>
  </w:style>
  <w:style w:type="paragraph" w:styleId="6">
    <w:name w:val="heading 4"/>
    <w:basedOn w:val="1"/>
    <w:next w:val="7"/>
    <w:link w:val="57"/>
    <w:qFormat/>
    <w:uiPriority w:val="98"/>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link w:val="59"/>
    <w:qFormat/>
    <w:uiPriority w:val="98"/>
    <w:pPr>
      <w:keepNext/>
      <w:keepLines/>
      <w:spacing w:before="280" w:after="290" w:line="372" w:lineRule="auto"/>
      <w:outlineLvl w:val="4"/>
    </w:pPr>
    <w:rPr>
      <w:rFonts w:ascii="Times New Roman"/>
      <w:b/>
      <w:sz w:val="28"/>
      <w:szCs w:val="24"/>
    </w:rPr>
  </w:style>
  <w:style w:type="paragraph" w:styleId="9">
    <w:name w:val="heading 6"/>
    <w:basedOn w:val="1"/>
    <w:next w:val="1"/>
    <w:link w:val="60"/>
    <w:qFormat/>
    <w:uiPriority w:val="98"/>
    <w:pPr>
      <w:keepNext/>
      <w:keepLines/>
      <w:spacing w:before="240" w:after="64" w:line="317" w:lineRule="auto"/>
      <w:outlineLvl w:val="5"/>
    </w:pPr>
    <w:rPr>
      <w:rFonts w:ascii="Arial" w:hAnsi="Arial" w:eastAsia="黑体"/>
      <w:b/>
      <w:sz w:val="24"/>
      <w:szCs w:val="24"/>
    </w:rPr>
  </w:style>
  <w:style w:type="paragraph" w:styleId="10">
    <w:name w:val="heading 7"/>
    <w:basedOn w:val="1"/>
    <w:next w:val="1"/>
    <w:link w:val="61"/>
    <w:qFormat/>
    <w:uiPriority w:val="98"/>
    <w:pPr>
      <w:keepNext/>
      <w:keepLines/>
      <w:spacing w:before="240" w:after="64" w:line="317" w:lineRule="auto"/>
      <w:outlineLvl w:val="6"/>
    </w:pPr>
    <w:rPr>
      <w:rFonts w:ascii="Times New Roman"/>
      <w:b/>
      <w:sz w:val="24"/>
      <w:szCs w:val="24"/>
    </w:rPr>
  </w:style>
  <w:style w:type="paragraph" w:styleId="11">
    <w:name w:val="heading 8"/>
    <w:basedOn w:val="1"/>
    <w:next w:val="1"/>
    <w:link w:val="62"/>
    <w:qFormat/>
    <w:uiPriority w:val="98"/>
    <w:pPr>
      <w:keepNext/>
      <w:keepLines/>
      <w:spacing w:before="240" w:after="64" w:line="317" w:lineRule="auto"/>
      <w:outlineLvl w:val="7"/>
    </w:pPr>
    <w:rPr>
      <w:rFonts w:ascii="Arial" w:hAnsi="Arial" w:eastAsia="黑体"/>
      <w:sz w:val="24"/>
      <w:szCs w:val="24"/>
    </w:rPr>
  </w:style>
  <w:style w:type="paragraph" w:styleId="12">
    <w:name w:val="heading 9"/>
    <w:basedOn w:val="1"/>
    <w:next w:val="1"/>
    <w:link w:val="63"/>
    <w:qFormat/>
    <w:uiPriority w:val="98"/>
    <w:pPr>
      <w:keepNext/>
      <w:keepLines/>
      <w:spacing w:before="240" w:after="64" w:line="317" w:lineRule="auto"/>
      <w:outlineLvl w:val="8"/>
    </w:pPr>
    <w:rPr>
      <w:rFonts w:ascii="Arial" w:hAnsi="Arial" w:eastAsia="黑体"/>
      <w:sz w:val="21"/>
      <w:szCs w:val="24"/>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3">
    <w:name w:val="Title"/>
    <w:basedOn w:val="1"/>
    <w:next w:val="1"/>
    <w:link w:val="53"/>
    <w:qFormat/>
    <w:uiPriority w:val="98"/>
    <w:pPr>
      <w:spacing w:before="240" w:after="60"/>
      <w:jc w:val="center"/>
      <w:outlineLvl w:val="0"/>
    </w:pPr>
    <w:rPr>
      <w:rFonts w:ascii="等线 Light" w:hAnsi="等线 Light"/>
      <w:b/>
      <w:bCs/>
      <w:sz w:val="32"/>
      <w:szCs w:val="32"/>
    </w:rPr>
  </w:style>
  <w:style w:type="paragraph" w:styleId="7">
    <w:name w:val="Normal Indent"/>
    <w:basedOn w:val="1"/>
    <w:link w:val="58"/>
    <w:unhideWhenUsed/>
    <w:qFormat/>
    <w:uiPriority w:val="0"/>
    <w:pPr>
      <w:ind w:firstLine="420"/>
    </w:pPr>
    <w:rPr>
      <w:rFonts w:ascii="Times New Roman"/>
      <w:kern w:val="2"/>
      <w:sz w:val="21"/>
      <w:szCs w:val="24"/>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Document Map"/>
    <w:basedOn w:val="1"/>
    <w:link w:val="64"/>
    <w:qFormat/>
    <w:uiPriority w:val="98"/>
    <w:rPr>
      <w:rFonts w:hAnsi="宋体"/>
      <w:color w:val="000000"/>
      <w:kern w:val="2"/>
      <w:sz w:val="18"/>
      <w:szCs w:val="18"/>
    </w:rPr>
  </w:style>
  <w:style w:type="paragraph" w:styleId="15">
    <w:name w:val="annotation text"/>
    <w:basedOn w:val="1"/>
    <w:link w:val="65"/>
    <w:qFormat/>
    <w:uiPriority w:val="98"/>
    <w:rPr>
      <w:rFonts w:hAnsi="宋体"/>
      <w:sz w:val="21"/>
    </w:rPr>
  </w:style>
  <w:style w:type="paragraph" w:styleId="16">
    <w:name w:val="index 6"/>
    <w:basedOn w:val="1"/>
    <w:next w:val="1"/>
    <w:qFormat/>
    <w:uiPriority w:val="99"/>
    <w:pPr>
      <w:ind w:left="2100"/>
    </w:pPr>
  </w:style>
  <w:style w:type="paragraph" w:styleId="17">
    <w:name w:val="Body Text 3"/>
    <w:basedOn w:val="1"/>
    <w:next w:val="1"/>
    <w:qFormat/>
    <w:uiPriority w:val="0"/>
    <w:pPr>
      <w:spacing w:line="500" w:lineRule="exact"/>
    </w:pPr>
    <w:rPr>
      <w:b/>
      <w:sz w:val="24"/>
    </w:rPr>
  </w:style>
  <w:style w:type="paragraph" w:styleId="18">
    <w:name w:val="Body Text"/>
    <w:basedOn w:val="1"/>
    <w:next w:val="19"/>
    <w:link w:val="203"/>
    <w:qFormat/>
    <w:uiPriority w:val="99"/>
    <w:pPr>
      <w:spacing w:after="120"/>
    </w:pPr>
  </w:style>
  <w:style w:type="paragraph" w:styleId="19">
    <w:name w:val="Body Text First Indent"/>
    <w:basedOn w:val="18"/>
    <w:link w:val="204"/>
    <w:qFormat/>
    <w:uiPriority w:val="99"/>
    <w:pPr>
      <w:ind w:firstLine="420" w:firstLineChars="100"/>
    </w:pPr>
    <w:rPr>
      <w:rFonts w:ascii="Times New Roman"/>
      <w:szCs w:val="24"/>
    </w:rPr>
  </w:style>
  <w:style w:type="paragraph" w:styleId="20">
    <w:name w:val="Body Text Indent"/>
    <w:basedOn w:val="1"/>
    <w:next w:val="1"/>
    <w:link w:val="66"/>
    <w:unhideWhenUsed/>
    <w:qFormat/>
    <w:uiPriority w:val="99"/>
    <w:pPr>
      <w:ind w:firstLine="630"/>
    </w:pPr>
    <w:rPr>
      <w:rFonts w:ascii="Times New Roman"/>
      <w:kern w:val="2"/>
      <w:sz w:val="32"/>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spacing w:line="300" w:lineRule="auto"/>
      <w:ind w:left="400" w:leftChars="400"/>
    </w:pPr>
    <w:rPr>
      <w:iCs/>
    </w:rPr>
  </w:style>
  <w:style w:type="paragraph" w:styleId="23">
    <w:name w:val="Plain Text"/>
    <w:basedOn w:val="1"/>
    <w:link w:val="67"/>
    <w:unhideWhenUsed/>
    <w:qFormat/>
    <w:uiPriority w:val="0"/>
    <w:rPr>
      <w:rFonts w:hAnsi="Courier New"/>
      <w:kern w:val="2"/>
      <w:sz w:val="21"/>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68"/>
    <w:qFormat/>
    <w:uiPriority w:val="98"/>
    <w:pPr>
      <w:autoSpaceDE w:val="0"/>
      <w:autoSpaceDN w:val="0"/>
      <w:adjustRightInd w:val="0"/>
    </w:pPr>
    <w:rPr>
      <w:rFonts w:ascii="Times New Roman"/>
      <w:sz w:val="36"/>
    </w:rPr>
  </w:style>
  <w:style w:type="paragraph" w:styleId="26">
    <w:name w:val="Body Text Indent 2"/>
    <w:basedOn w:val="1"/>
    <w:link w:val="69"/>
    <w:unhideWhenUsed/>
    <w:qFormat/>
    <w:uiPriority w:val="98"/>
    <w:pPr>
      <w:spacing w:after="120" w:line="480" w:lineRule="auto"/>
      <w:ind w:left="420" w:leftChars="200"/>
    </w:pPr>
    <w:rPr>
      <w:rFonts w:ascii="Times New Roman"/>
      <w:kern w:val="2"/>
      <w:sz w:val="21"/>
      <w:szCs w:val="24"/>
    </w:rPr>
  </w:style>
  <w:style w:type="paragraph" w:styleId="27">
    <w:name w:val="Balloon Text"/>
    <w:basedOn w:val="1"/>
    <w:link w:val="70"/>
    <w:unhideWhenUsed/>
    <w:qFormat/>
    <w:uiPriority w:val="99"/>
    <w:rPr>
      <w:rFonts w:ascii="Times New Roman"/>
      <w:kern w:val="2"/>
      <w:sz w:val="18"/>
      <w:szCs w:val="18"/>
    </w:rPr>
  </w:style>
  <w:style w:type="paragraph" w:styleId="28">
    <w:name w:val="footer"/>
    <w:basedOn w:val="1"/>
    <w:link w:val="71"/>
    <w:qFormat/>
    <w:uiPriority w:val="99"/>
    <w:pPr>
      <w:tabs>
        <w:tab w:val="center" w:pos="4153"/>
        <w:tab w:val="right" w:pos="8306"/>
      </w:tabs>
      <w:snapToGrid w:val="0"/>
    </w:pPr>
    <w:rPr>
      <w:rFonts w:ascii="Times New Roman"/>
      <w:kern w:val="2"/>
      <w:sz w:val="18"/>
      <w:szCs w:val="24"/>
    </w:rPr>
  </w:style>
  <w:style w:type="paragraph" w:styleId="29">
    <w:name w:val="header"/>
    <w:basedOn w:val="1"/>
    <w:link w:val="7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kern w:val="2"/>
      <w:sz w:val="18"/>
      <w:szCs w:val="24"/>
    </w:rPr>
  </w:style>
  <w:style w:type="paragraph" w:styleId="30">
    <w:name w:val="toc 1"/>
    <w:basedOn w:val="1"/>
    <w:next w:val="1"/>
    <w:unhideWhenUsed/>
    <w:qFormat/>
    <w:uiPriority w:val="39"/>
    <w:pPr>
      <w:tabs>
        <w:tab w:val="right" w:leader="dot" w:pos="8303"/>
      </w:tabs>
      <w:spacing w:line="300" w:lineRule="auto"/>
      <w:jc w:val="center"/>
    </w:pPr>
    <w:rPr>
      <w:b/>
    </w:rPr>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73"/>
    <w:qFormat/>
    <w:uiPriority w:val="3"/>
    <w:pPr>
      <w:jc w:val="center"/>
      <w:outlineLvl w:val="1"/>
    </w:pPr>
    <w:rPr>
      <w:rFonts w:ascii="黑体" w:hAnsi="黑体" w:eastAsia="黑体"/>
      <w:b/>
      <w:bCs/>
      <w:kern w:val="28"/>
      <w:sz w:val="30"/>
      <w:szCs w:val="22"/>
    </w:rPr>
  </w:style>
  <w:style w:type="paragraph" w:styleId="33">
    <w:name w:val="footnote text"/>
    <w:basedOn w:val="1"/>
    <w:qFormat/>
    <w:uiPriority w:val="0"/>
    <w:pPr>
      <w:snapToGrid w:val="0"/>
      <w:jc w:val="left"/>
    </w:pPr>
    <w:rPr>
      <w:rFonts w:ascii="Times New Roman"/>
      <w:sz w:val="18"/>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toc 2"/>
    <w:basedOn w:val="1"/>
    <w:next w:val="1"/>
    <w:unhideWhenUsed/>
    <w:qFormat/>
    <w:uiPriority w:val="39"/>
    <w:pPr>
      <w:spacing w:line="300" w:lineRule="auto"/>
      <w:ind w:left="200" w:leftChars="200"/>
    </w:pPr>
  </w:style>
  <w:style w:type="paragraph" w:styleId="36">
    <w:name w:val="toc 9"/>
    <w:basedOn w:val="1"/>
    <w:next w:val="1"/>
    <w:unhideWhenUsed/>
    <w:qFormat/>
    <w:uiPriority w:val="39"/>
    <w:pPr>
      <w:ind w:left="3360" w:leftChars="1600"/>
    </w:pPr>
    <w:rPr>
      <w:rFonts w:ascii="Calibri" w:hAnsi="Calibri"/>
      <w:szCs w:val="22"/>
    </w:rPr>
  </w:style>
  <w:style w:type="paragraph" w:styleId="37">
    <w:name w:val="Normal (Web)"/>
    <w:basedOn w:val="1"/>
    <w:unhideWhenUsed/>
    <w:qFormat/>
    <w:uiPriority w:val="99"/>
    <w:pPr>
      <w:widowControl/>
      <w:spacing w:before="100" w:beforeAutospacing="1" w:after="100" w:afterAutospacing="1"/>
    </w:pPr>
    <w:rPr>
      <w:rFonts w:cs="宋体"/>
      <w:sz w:val="24"/>
    </w:rPr>
  </w:style>
  <w:style w:type="paragraph" w:styleId="38">
    <w:name w:val="annotation subject"/>
    <w:basedOn w:val="15"/>
    <w:next w:val="15"/>
    <w:link w:val="74"/>
    <w:qFormat/>
    <w:uiPriority w:val="98"/>
    <w:rPr>
      <w:b/>
      <w:bCs/>
    </w:rPr>
  </w:style>
  <w:style w:type="paragraph" w:styleId="39">
    <w:name w:val="Body Text First Indent 2"/>
    <w:basedOn w:val="20"/>
    <w:qFormat/>
    <w:uiPriority w:val="0"/>
    <w:pPr>
      <w:spacing w:after="120"/>
      <w:ind w:left="420" w:leftChars="200" w:firstLine="420" w:firstLineChars="200"/>
    </w:pPr>
    <w:rPr>
      <w:sz w:val="21"/>
      <w:lang w:val="en-US" w:eastAsia="zh-CN"/>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99"/>
    <w:rPr>
      <w:b/>
      <w:bCs/>
      <w:kern w:val="0"/>
      <w:szCs w:val="21"/>
    </w:rPr>
  </w:style>
  <w:style w:type="character" w:styleId="44">
    <w:name w:val="page number"/>
    <w:unhideWhenUsed/>
    <w:qFormat/>
    <w:uiPriority w:val="99"/>
    <w:rPr>
      <w:kern w:val="0"/>
      <w:szCs w:val="21"/>
    </w:rPr>
  </w:style>
  <w:style w:type="character" w:styleId="45">
    <w:name w:val="FollowedHyperlink"/>
    <w:unhideWhenUsed/>
    <w:qFormat/>
    <w:uiPriority w:val="99"/>
    <w:rPr>
      <w:color w:val="954F72"/>
      <w:u w:val="single"/>
    </w:rPr>
  </w:style>
  <w:style w:type="character" w:styleId="46">
    <w:name w:val="Hyperlink"/>
    <w:unhideWhenUsed/>
    <w:qFormat/>
    <w:uiPriority w:val="99"/>
    <w:rPr>
      <w:color w:val="0563C1"/>
      <w:u w:val="single"/>
    </w:rPr>
  </w:style>
  <w:style w:type="character" w:styleId="47">
    <w:name w:val="annotation reference"/>
    <w:qFormat/>
    <w:uiPriority w:val="98"/>
    <w:rPr>
      <w:sz w:val="21"/>
      <w:szCs w:val="21"/>
    </w:rPr>
  </w:style>
  <w:style w:type="character" w:customStyle="1" w:styleId="48">
    <w:name w:val="标题 4 Char"/>
    <w:qFormat/>
    <w:uiPriority w:val="98"/>
    <w:rPr>
      <w:rFonts w:ascii="Arial" w:hAnsi="Arial" w:eastAsia="黑体"/>
      <w:b/>
      <w:bCs/>
      <w:kern w:val="2"/>
      <w:sz w:val="28"/>
      <w:szCs w:val="28"/>
    </w:rPr>
  </w:style>
  <w:style w:type="paragraph" w:customStyle="1" w:styleId="49">
    <w:name w:val="BodyText1I"/>
    <w:basedOn w:val="50"/>
    <w:qFormat/>
    <w:uiPriority w:val="0"/>
    <w:pPr>
      <w:spacing w:line="360" w:lineRule="auto"/>
    </w:pPr>
    <w:rPr>
      <w:rFonts w:ascii="仿宋_GB2312" w:hAnsi="Times New Roman" w:eastAsia="仿宋_GB2312"/>
      <w:sz w:val="30"/>
      <w:szCs w:val="30"/>
    </w:rPr>
  </w:style>
  <w:style w:type="paragraph" w:customStyle="1" w:styleId="50">
    <w:name w:val="BodyText"/>
    <w:basedOn w:val="1"/>
    <w:next w:val="51"/>
    <w:qFormat/>
    <w:uiPriority w:val="0"/>
    <w:pPr>
      <w:widowControl/>
      <w:spacing w:before="156"/>
      <w:ind w:firstLine="200" w:firstLineChars="200"/>
      <w:textAlignment w:val="baseline"/>
    </w:pPr>
    <w:rPr>
      <w:rFonts w:ascii="楷体_GB2312" w:hAnsi="Arial" w:eastAsia="楷体_GB2312"/>
      <w:kern w:val="2"/>
      <w:sz w:val="28"/>
      <w:szCs w:val="28"/>
    </w:rPr>
  </w:style>
  <w:style w:type="paragraph" w:customStyle="1" w:styleId="51">
    <w:name w:val="180"/>
    <w:basedOn w:val="1"/>
    <w:next w:val="1"/>
    <w:qFormat/>
    <w:uiPriority w:val="0"/>
    <w:pPr>
      <w:spacing w:after="160" w:line="259" w:lineRule="auto"/>
      <w:textAlignment w:val="baseline"/>
    </w:pPr>
    <w:rPr>
      <w:rFonts w:ascii="Calibri" w:hAnsi="Calibri"/>
      <w:i/>
      <w:iCs/>
      <w:color w:val="000000"/>
      <w:kern w:val="2"/>
      <w:sz w:val="21"/>
      <w:szCs w:val="24"/>
    </w:rPr>
  </w:style>
  <w:style w:type="paragraph" w:customStyle="1" w:styleId="52">
    <w:name w:val="Default"/>
    <w:basedOn w:val="3"/>
    <w:next w:val="2"/>
    <w:qFormat/>
    <w:uiPriority w:val="0"/>
    <w:pPr>
      <w:autoSpaceDE w:val="0"/>
      <w:autoSpaceDN w:val="0"/>
      <w:adjustRightInd w:val="0"/>
    </w:pPr>
    <w:rPr>
      <w:rFonts w:ascii="......." w:hAnsi="......." w:eastAsia="......." w:cs="......."/>
      <w:color w:val="000000"/>
      <w:sz w:val="24"/>
      <w:szCs w:val="24"/>
    </w:rPr>
  </w:style>
  <w:style w:type="character" w:customStyle="1" w:styleId="53">
    <w:name w:val="标题 字符"/>
    <w:link w:val="3"/>
    <w:qFormat/>
    <w:uiPriority w:val="98"/>
    <w:rPr>
      <w:rFonts w:ascii="等线 Light" w:hAnsi="等线 Light"/>
      <w:b/>
      <w:bCs/>
      <w:sz w:val="32"/>
      <w:szCs w:val="32"/>
    </w:rPr>
  </w:style>
  <w:style w:type="character" w:customStyle="1" w:styleId="54">
    <w:name w:val="标题 1 字符"/>
    <w:link w:val="2"/>
    <w:qFormat/>
    <w:uiPriority w:val="98"/>
    <w:rPr>
      <w:b/>
      <w:bCs/>
      <w:kern w:val="44"/>
      <w:sz w:val="44"/>
      <w:szCs w:val="44"/>
    </w:rPr>
  </w:style>
  <w:style w:type="character" w:customStyle="1" w:styleId="55">
    <w:name w:val="标题 2 字符"/>
    <w:link w:val="4"/>
    <w:qFormat/>
    <w:uiPriority w:val="98"/>
    <w:rPr>
      <w:rFonts w:ascii="Calibri Light" w:hAnsi="Calibri Light"/>
      <w:b/>
      <w:bCs/>
      <w:sz w:val="32"/>
      <w:szCs w:val="32"/>
    </w:rPr>
  </w:style>
  <w:style w:type="character" w:customStyle="1" w:styleId="56">
    <w:name w:val="标题 3 字符"/>
    <w:link w:val="5"/>
    <w:qFormat/>
    <w:uiPriority w:val="99"/>
    <w:rPr>
      <w:rFonts w:ascii="宋体" w:hAnsi="宋体"/>
      <w:b/>
      <w:bCs/>
      <w:sz w:val="32"/>
      <w:szCs w:val="32"/>
    </w:rPr>
  </w:style>
  <w:style w:type="character" w:customStyle="1" w:styleId="57">
    <w:name w:val="标题 4 字符"/>
    <w:link w:val="6"/>
    <w:qFormat/>
    <w:uiPriority w:val="98"/>
    <w:rPr>
      <w:rFonts w:ascii="Arial" w:hAnsi="Arial" w:eastAsia="黑体"/>
      <w:b/>
      <w:bCs/>
      <w:sz w:val="28"/>
      <w:szCs w:val="28"/>
    </w:rPr>
  </w:style>
  <w:style w:type="character" w:customStyle="1" w:styleId="58">
    <w:name w:val="正文缩进 字符2"/>
    <w:link w:val="7"/>
    <w:qFormat/>
    <w:uiPriority w:val="0"/>
    <w:rPr>
      <w:kern w:val="2"/>
      <w:sz w:val="21"/>
      <w:szCs w:val="24"/>
    </w:rPr>
  </w:style>
  <w:style w:type="character" w:customStyle="1" w:styleId="59">
    <w:name w:val="标题 5 字符"/>
    <w:link w:val="8"/>
    <w:qFormat/>
    <w:uiPriority w:val="98"/>
    <w:rPr>
      <w:b/>
      <w:sz w:val="28"/>
      <w:szCs w:val="24"/>
    </w:rPr>
  </w:style>
  <w:style w:type="character" w:customStyle="1" w:styleId="60">
    <w:name w:val="标题 6 字符"/>
    <w:link w:val="9"/>
    <w:qFormat/>
    <w:uiPriority w:val="98"/>
    <w:rPr>
      <w:rFonts w:ascii="Arial" w:hAnsi="Arial" w:eastAsia="黑体"/>
      <w:b/>
      <w:sz w:val="24"/>
      <w:szCs w:val="24"/>
    </w:rPr>
  </w:style>
  <w:style w:type="character" w:customStyle="1" w:styleId="61">
    <w:name w:val="标题 7 字符"/>
    <w:link w:val="10"/>
    <w:qFormat/>
    <w:uiPriority w:val="98"/>
    <w:rPr>
      <w:b/>
      <w:sz w:val="24"/>
      <w:szCs w:val="24"/>
    </w:rPr>
  </w:style>
  <w:style w:type="character" w:customStyle="1" w:styleId="62">
    <w:name w:val="标题 8 字符"/>
    <w:link w:val="11"/>
    <w:qFormat/>
    <w:uiPriority w:val="98"/>
    <w:rPr>
      <w:rFonts w:ascii="Arial" w:hAnsi="Arial" w:eastAsia="黑体"/>
      <w:sz w:val="24"/>
      <w:szCs w:val="24"/>
    </w:rPr>
  </w:style>
  <w:style w:type="character" w:customStyle="1" w:styleId="63">
    <w:name w:val="标题 9 字符"/>
    <w:link w:val="12"/>
    <w:qFormat/>
    <w:uiPriority w:val="98"/>
    <w:rPr>
      <w:rFonts w:ascii="Arial" w:hAnsi="Arial" w:eastAsia="黑体"/>
      <w:sz w:val="21"/>
      <w:szCs w:val="24"/>
    </w:rPr>
  </w:style>
  <w:style w:type="character" w:customStyle="1" w:styleId="64">
    <w:name w:val="文档结构图 字符3"/>
    <w:link w:val="14"/>
    <w:qFormat/>
    <w:uiPriority w:val="98"/>
    <w:rPr>
      <w:rFonts w:ascii="宋体" w:hAnsi="宋体"/>
      <w:color w:val="000000"/>
      <w:kern w:val="2"/>
      <w:sz w:val="18"/>
      <w:szCs w:val="18"/>
    </w:rPr>
  </w:style>
  <w:style w:type="character" w:customStyle="1" w:styleId="65">
    <w:name w:val="批注文字 字符1"/>
    <w:link w:val="15"/>
    <w:qFormat/>
    <w:uiPriority w:val="98"/>
    <w:rPr>
      <w:rFonts w:ascii="宋体" w:hAnsi="宋体"/>
      <w:sz w:val="21"/>
    </w:rPr>
  </w:style>
  <w:style w:type="character" w:customStyle="1" w:styleId="66">
    <w:name w:val="正文文本缩进 字符3"/>
    <w:link w:val="20"/>
    <w:qFormat/>
    <w:uiPriority w:val="99"/>
    <w:rPr>
      <w:kern w:val="2"/>
      <w:sz w:val="32"/>
    </w:rPr>
  </w:style>
  <w:style w:type="character" w:customStyle="1" w:styleId="67">
    <w:name w:val="纯文本 字符4"/>
    <w:link w:val="23"/>
    <w:qFormat/>
    <w:uiPriority w:val="0"/>
    <w:rPr>
      <w:rFonts w:ascii="宋体" w:hAnsi="Courier New"/>
      <w:kern w:val="2"/>
      <w:sz w:val="21"/>
      <w:szCs w:val="21"/>
    </w:rPr>
  </w:style>
  <w:style w:type="character" w:customStyle="1" w:styleId="68">
    <w:name w:val="日期 字符3"/>
    <w:link w:val="25"/>
    <w:qFormat/>
    <w:uiPriority w:val="98"/>
    <w:rPr>
      <w:sz w:val="36"/>
    </w:rPr>
  </w:style>
  <w:style w:type="character" w:customStyle="1" w:styleId="69">
    <w:name w:val="正文文本缩进 2 字符3"/>
    <w:link w:val="26"/>
    <w:qFormat/>
    <w:uiPriority w:val="98"/>
    <w:rPr>
      <w:kern w:val="2"/>
      <w:sz w:val="21"/>
      <w:szCs w:val="24"/>
    </w:rPr>
  </w:style>
  <w:style w:type="character" w:customStyle="1" w:styleId="70">
    <w:name w:val="批注框文本 字符3"/>
    <w:link w:val="27"/>
    <w:qFormat/>
    <w:uiPriority w:val="99"/>
    <w:rPr>
      <w:kern w:val="2"/>
      <w:sz w:val="18"/>
      <w:szCs w:val="18"/>
    </w:rPr>
  </w:style>
  <w:style w:type="character" w:customStyle="1" w:styleId="71">
    <w:name w:val="页脚 字符3"/>
    <w:link w:val="28"/>
    <w:qFormat/>
    <w:uiPriority w:val="99"/>
    <w:rPr>
      <w:kern w:val="2"/>
      <w:sz w:val="18"/>
      <w:szCs w:val="24"/>
    </w:rPr>
  </w:style>
  <w:style w:type="character" w:customStyle="1" w:styleId="72">
    <w:name w:val="页眉 字符4"/>
    <w:link w:val="29"/>
    <w:qFormat/>
    <w:uiPriority w:val="0"/>
    <w:rPr>
      <w:kern w:val="2"/>
      <w:sz w:val="18"/>
      <w:szCs w:val="24"/>
    </w:rPr>
  </w:style>
  <w:style w:type="character" w:customStyle="1" w:styleId="73">
    <w:name w:val="副标题 字符1"/>
    <w:link w:val="32"/>
    <w:qFormat/>
    <w:uiPriority w:val="3"/>
    <w:rPr>
      <w:rFonts w:ascii="黑体" w:hAnsi="黑体" w:eastAsia="黑体"/>
      <w:b/>
      <w:bCs/>
      <w:kern w:val="28"/>
      <w:sz w:val="30"/>
      <w:szCs w:val="22"/>
    </w:rPr>
  </w:style>
  <w:style w:type="character" w:customStyle="1" w:styleId="74">
    <w:name w:val="批注主题 字符"/>
    <w:link w:val="38"/>
    <w:qFormat/>
    <w:uiPriority w:val="98"/>
    <w:rPr>
      <w:rFonts w:ascii="宋体" w:hAnsi="宋体"/>
      <w:b/>
      <w:bCs/>
      <w:sz w:val="21"/>
    </w:rPr>
  </w:style>
  <w:style w:type="character" w:customStyle="1" w:styleId="75">
    <w:name w:val="纯文本 字符3"/>
    <w:qFormat/>
    <w:uiPriority w:val="99"/>
    <w:rPr>
      <w:rFonts w:ascii="宋体" w:hAnsi="Courier New"/>
      <w:kern w:val="2"/>
      <w:sz w:val="21"/>
      <w:szCs w:val="21"/>
    </w:rPr>
  </w:style>
  <w:style w:type="character" w:customStyle="1" w:styleId="76">
    <w:name w:val="副标题 Char1"/>
    <w:qFormat/>
    <w:uiPriority w:val="11"/>
    <w:rPr>
      <w:rFonts w:ascii="Calibri Light" w:hAnsi="Calibri Light" w:cs="Times New Roman"/>
      <w:b/>
      <w:bCs/>
      <w:color w:val="000000"/>
      <w:kern w:val="28"/>
      <w:sz w:val="32"/>
      <w:szCs w:val="32"/>
    </w:rPr>
  </w:style>
  <w:style w:type="character" w:customStyle="1" w:styleId="77">
    <w:name w:val="正文文本缩进 2 字符1"/>
    <w:qFormat/>
    <w:uiPriority w:val="99"/>
    <w:rPr>
      <w:rFonts w:ascii="Times New Roman" w:hAnsi="Times New Roman"/>
      <w:sz w:val="21"/>
      <w:szCs w:val="24"/>
    </w:rPr>
  </w:style>
  <w:style w:type="character" w:customStyle="1" w:styleId="78">
    <w:name w:val="标题 9 Char"/>
    <w:qFormat/>
    <w:uiPriority w:val="98"/>
    <w:rPr>
      <w:rFonts w:ascii="Arial" w:hAnsi="Arial" w:eastAsia="黑体"/>
      <w:kern w:val="2"/>
      <w:sz w:val="21"/>
      <w:szCs w:val="24"/>
    </w:rPr>
  </w:style>
  <w:style w:type="character" w:customStyle="1" w:styleId="79">
    <w:name w:val="表格 Char"/>
    <w:link w:val="80"/>
    <w:qFormat/>
    <w:uiPriority w:val="0"/>
    <w:rPr>
      <w:kern w:val="2"/>
      <w:sz w:val="24"/>
      <w:szCs w:val="24"/>
    </w:rPr>
  </w:style>
  <w:style w:type="paragraph" w:customStyle="1" w:styleId="80">
    <w:name w:val="表格"/>
    <w:basedOn w:val="1"/>
    <w:link w:val="79"/>
    <w:qFormat/>
    <w:uiPriority w:val="0"/>
    <w:pPr>
      <w:spacing w:line="400" w:lineRule="exact"/>
    </w:pPr>
    <w:rPr>
      <w:rFonts w:ascii="Times New Roman"/>
      <w:kern w:val="2"/>
      <w:sz w:val="24"/>
      <w:szCs w:val="24"/>
    </w:rPr>
  </w:style>
  <w:style w:type="character" w:customStyle="1" w:styleId="81">
    <w:name w:val="文档结构图 字符"/>
    <w:semiHidden/>
    <w:qFormat/>
    <w:uiPriority w:val="99"/>
    <w:rPr>
      <w:rFonts w:ascii="Microsoft YaHei UI" w:eastAsia="Microsoft YaHei UI"/>
      <w:sz w:val="18"/>
      <w:szCs w:val="18"/>
    </w:rPr>
  </w:style>
  <w:style w:type="character" w:customStyle="1" w:styleId="82">
    <w:name w:val="三级标题 Char"/>
    <w:link w:val="83"/>
    <w:qFormat/>
    <w:uiPriority w:val="4"/>
    <w:rPr>
      <w:rFonts w:ascii="黑体" w:hAnsi="黑体" w:eastAsia="黑体"/>
      <w:b/>
      <w:smallCaps/>
      <w:sz w:val="28"/>
      <w:szCs w:val="28"/>
    </w:rPr>
  </w:style>
  <w:style w:type="paragraph" w:customStyle="1" w:styleId="83">
    <w:name w:val="三级标题"/>
    <w:basedOn w:val="1"/>
    <w:next w:val="1"/>
    <w:link w:val="82"/>
    <w:qFormat/>
    <w:uiPriority w:val="4"/>
    <w:pPr>
      <w:jc w:val="center"/>
      <w:outlineLvl w:val="2"/>
    </w:pPr>
    <w:rPr>
      <w:rFonts w:ascii="黑体" w:hAnsi="黑体" w:eastAsia="黑体"/>
      <w:b/>
      <w:smallCaps/>
      <w:sz w:val="28"/>
      <w:szCs w:val="28"/>
    </w:rPr>
  </w:style>
  <w:style w:type="character" w:customStyle="1" w:styleId="84">
    <w:name w:val="副标题 Char2"/>
    <w:qFormat/>
    <w:uiPriority w:val="11"/>
    <w:rPr>
      <w:rFonts w:ascii="Calibri Light" w:hAnsi="Calibri Light" w:cs="Times New Roman"/>
      <w:b/>
      <w:bCs/>
      <w:kern w:val="28"/>
      <w:sz w:val="32"/>
      <w:szCs w:val="32"/>
    </w:rPr>
  </w:style>
  <w:style w:type="character" w:customStyle="1" w:styleId="85">
    <w:name w:val="页脚 Char1"/>
    <w:semiHidden/>
    <w:qFormat/>
    <w:uiPriority w:val="99"/>
    <w:rPr>
      <w:kern w:val="2"/>
      <w:sz w:val="18"/>
      <w:szCs w:val="18"/>
    </w:rPr>
  </w:style>
  <w:style w:type="character" w:customStyle="1" w:styleId="86">
    <w:name w:val="页脚 字符1"/>
    <w:qFormat/>
    <w:uiPriority w:val="99"/>
    <w:rPr>
      <w:rFonts w:ascii="Times New Roman" w:hAnsi="Times New Roman"/>
      <w:sz w:val="18"/>
      <w:szCs w:val="24"/>
    </w:rPr>
  </w:style>
  <w:style w:type="character" w:customStyle="1" w:styleId="87">
    <w:name w:val="apple-converted-space"/>
    <w:qFormat/>
    <w:uiPriority w:val="98"/>
  </w:style>
  <w:style w:type="character" w:customStyle="1" w:styleId="88">
    <w:name w:val="纯文本 字符1"/>
    <w:semiHidden/>
    <w:qFormat/>
    <w:uiPriority w:val="99"/>
    <w:rPr>
      <w:rFonts w:hAnsi="Courier New" w:cs="Courier New"/>
      <w:sz w:val="21"/>
      <w:szCs w:val="21"/>
    </w:rPr>
  </w:style>
  <w:style w:type="character" w:customStyle="1" w:styleId="89">
    <w:name w:val="页眉 字符"/>
    <w:qFormat/>
    <w:uiPriority w:val="98"/>
    <w:rPr>
      <w:sz w:val="18"/>
    </w:rPr>
  </w:style>
  <w:style w:type="character" w:customStyle="1" w:styleId="90">
    <w:name w:val="着重四号 字符"/>
    <w:qFormat/>
    <w:uiPriority w:val="99"/>
    <w:rPr>
      <w:rFonts w:ascii="宋体" w:hAnsi="宋体"/>
      <w:b/>
      <w:color w:val="000000"/>
      <w:sz w:val="24"/>
      <w:szCs w:val="24"/>
      <w:shd w:val="clear" w:color="auto" w:fill="FFFFFF"/>
    </w:rPr>
  </w:style>
  <w:style w:type="character" w:customStyle="1" w:styleId="91">
    <w:name w:val="文档结构图 Char1"/>
    <w:semiHidden/>
    <w:qFormat/>
    <w:uiPriority w:val="99"/>
    <w:rPr>
      <w:rFonts w:ascii="Microsoft YaHei UI" w:eastAsia="Microsoft YaHei UI"/>
      <w:kern w:val="2"/>
      <w:sz w:val="18"/>
      <w:szCs w:val="18"/>
    </w:rPr>
  </w:style>
  <w:style w:type="character" w:customStyle="1" w:styleId="92">
    <w:name w:val="正文文本缩进 2 字符2"/>
    <w:qFormat/>
    <w:uiPriority w:val="98"/>
    <w:rPr>
      <w:kern w:val="2"/>
      <w:sz w:val="21"/>
      <w:szCs w:val="24"/>
    </w:rPr>
  </w:style>
  <w:style w:type="character" w:customStyle="1" w:styleId="93">
    <w:name w:val="正文文本缩进 字符2"/>
    <w:qFormat/>
    <w:uiPriority w:val="99"/>
    <w:rPr>
      <w:kern w:val="2"/>
      <w:sz w:val="32"/>
    </w:rPr>
  </w:style>
  <w:style w:type="character" w:customStyle="1" w:styleId="94">
    <w:name w:val="正文文本缩进 2 字符"/>
    <w:semiHidden/>
    <w:qFormat/>
    <w:uiPriority w:val="99"/>
    <w:rPr>
      <w:sz w:val="21"/>
    </w:rPr>
  </w:style>
  <w:style w:type="character" w:customStyle="1" w:styleId="95">
    <w:name w:val="日期 字符"/>
    <w:semiHidden/>
    <w:qFormat/>
    <w:uiPriority w:val="99"/>
    <w:rPr>
      <w:sz w:val="21"/>
    </w:rPr>
  </w:style>
  <w:style w:type="character" w:customStyle="1" w:styleId="96">
    <w:name w:val="正文缩进 字符1"/>
    <w:qFormat/>
    <w:uiPriority w:val="99"/>
    <w:rPr>
      <w:kern w:val="2"/>
      <w:sz w:val="21"/>
      <w:szCs w:val="24"/>
    </w:rPr>
  </w:style>
  <w:style w:type="character" w:customStyle="1" w:styleId="97">
    <w:name w:val="批注框文本 Char1"/>
    <w:semiHidden/>
    <w:qFormat/>
    <w:uiPriority w:val="99"/>
    <w:rPr>
      <w:kern w:val="2"/>
      <w:sz w:val="18"/>
      <w:szCs w:val="18"/>
    </w:rPr>
  </w:style>
  <w:style w:type="character" w:customStyle="1" w:styleId="98">
    <w:name w:val="标题 Char2"/>
    <w:qFormat/>
    <w:uiPriority w:val="99"/>
    <w:rPr>
      <w:rFonts w:ascii="Calibri Light" w:hAnsi="Calibri Light" w:cs="Times New Roman"/>
      <w:b/>
      <w:bCs/>
      <w:sz w:val="32"/>
      <w:szCs w:val="32"/>
    </w:rPr>
  </w:style>
  <w:style w:type="character" w:customStyle="1" w:styleId="99">
    <w:name w:val="ariticlecontent"/>
    <w:qFormat/>
    <w:uiPriority w:val="98"/>
    <w:rPr>
      <w:kern w:val="0"/>
      <w:szCs w:val="21"/>
    </w:rPr>
  </w:style>
  <w:style w:type="character" w:customStyle="1" w:styleId="100">
    <w:name w:val="标题 Char"/>
    <w:qFormat/>
    <w:uiPriority w:val="98"/>
    <w:rPr>
      <w:rFonts w:ascii="黑体" w:hAnsi="黑体" w:eastAsia="黑体"/>
      <w:b/>
      <w:bCs/>
      <w:color w:val="000000"/>
      <w:kern w:val="2"/>
      <w:sz w:val="32"/>
      <w:szCs w:val="32"/>
    </w:rPr>
  </w:style>
  <w:style w:type="character" w:customStyle="1" w:styleId="101">
    <w:name w:val="标题 8 Char"/>
    <w:qFormat/>
    <w:uiPriority w:val="98"/>
    <w:rPr>
      <w:rFonts w:ascii="Arial" w:hAnsi="Arial" w:eastAsia="黑体"/>
      <w:kern w:val="2"/>
      <w:sz w:val="24"/>
      <w:szCs w:val="24"/>
    </w:rPr>
  </w:style>
  <w:style w:type="character" w:customStyle="1" w:styleId="102">
    <w:name w:val="日期 Char2"/>
    <w:semiHidden/>
    <w:qFormat/>
    <w:uiPriority w:val="99"/>
    <w:rPr>
      <w:kern w:val="2"/>
      <w:sz w:val="21"/>
      <w:szCs w:val="22"/>
    </w:rPr>
  </w:style>
  <w:style w:type="character" w:customStyle="1" w:styleId="103">
    <w:name w:val="副标题 Char"/>
    <w:qFormat/>
    <w:uiPriority w:val="99"/>
    <w:rPr>
      <w:rFonts w:ascii="黑体" w:hAnsi="黑体" w:eastAsia="黑体"/>
      <w:b/>
      <w:bCs/>
      <w:color w:val="000000"/>
      <w:kern w:val="28"/>
      <w:sz w:val="28"/>
      <w:szCs w:val="22"/>
    </w:rPr>
  </w:style>
  <w:style w:type="character" w:customStyle="1" w:styleId="104">
    <w:name w:val="文档结构图 字符2"/>
    <w:qFormat/>
    <w:uiPriority w:val="98"/>
    <w:rPr>
      <w:rFonts w:ascii="宋体" w:hAnsi="宋体"/>
      <w:color w:val="000000"/>
      <w:kern w:val="2"/>
      <w:sz w:val="18"/>
      <w:szCs w:val="18"/>
    </w:rPr>
  </w:style>
  <w:style w:type="character" w:customStyle="1" w:styleId="105">
    <w:name w:val="批注框文本 字符"/>
    <w:semiHidden/>
    <w:qFormat/>
    <w:uiPriority w:val="99"/>
    <w:rPr>
      <w:sz w:val="18"/>
      <w:szCs w:val="18"/>
    </w:rPr>
  </w:style>
  <w:style w:type="character" w:customStyle="1" w:styleId="106">
    <w:name w:val="页脚 字符2"/>
    <w:qFormat/>
    <w:uiPriority w:val="99"/>
    <w:rPr>
      <w:kern w:val="2"/>
      <w:sz w:val="18"/>
      <w:szCs w:val="24"/>
    </w:rPr>
  </w:style>
  <w:style w:type="character" w:customStyle="1" w:styleId="107">
    <w:name w:val="正文文本缩进 Char1"/>
    <w:semiHidden/>
    <w:qFormat/>
    <w:uiPriority w:val="99"/>
    <w:rPr>
      <w:kern w:val="2"/>
      <w:sz w:val="21"/>
      <w:szCs w:val="22"/>
    </w:rPr>
  </w:style>
  <w:style w:type="character" w:customStyle="1" w:styleId="108">
    <w:name w:val="正文文本缩进 字符"/>
    <w:semiHidden/>
    <w:qFormat/>
    <w:uiPriority w:val="99"/>
    <w:rPr>
      <w:sz w:val="21"/>
    </w:rPr>
  </w:style>
  <w:style w:type="character" w:customStyle="1" w:styleId="109">
    <w:name w:val="小四1.5 Char"/>
    <w:link w:val="110"/>
    <w:qFormat/>
    <w:uiPriority w:val="4"/>
    <w:rPr>
      <w:rFonts w:ascii="宋体" w:hAnsi="宋体"/>
      <w:sz w:val="24"/>
      <w:szCs w:val="24"/>
      <w:shd w:val="solid" w:color="FFFFFF" w:fill="auto"/>
    </w:rPr>
  </w:style>
  <w:style w:type="paragraph" w:customStyle="1" w:styleId="110">
    <w:name w:val="小四1.5"/>
    <w:basedOn w:val="1"/>
    <w:link w:val="109"/>
    <w:qFormat/>
    <w:uiPriority w:val="4"/>
    <w:pPr>
      <w:shd w:val="solid" w:color="FFFFFF" w:fill="auto"/>
      <w:autoSpaceDN w:val="0"/>
      <w:spacing w:line="360" w:lineRule="auto"/>
    </w:pPr>
    <w:rPr>
      <w:rFonts w:hAnsi="宋体"/>
      <w:sz w:val="24"/>
      <w:szCs w:val="24"/>
      <w:shd w:val="clear" w:color="auto" w:fill="FFFFFF"/>
    </w:rPr>
  </w:style>
  <w:style w:type="character" w:customStyle="1" w:styleId="111">
    <w:name w:val="批注框文本 字符2"/>
    <w:qFormat/>
    <w:uiPriority w:val="99"/>
    <w:rPr>
      <w:kern w:val="2"/>
      <w:sz w:val="18"/>
      <w:szCs w:val="18"/>
    </w:rPr>
  </w:style>
  <w:style w:type="character" w:customStyle="1" w:styleId="112">
    <w:name w:val="标题 1 Char"/>
    <w:qFormat/>
    <w:uiPriority w:val="98"/>
    <w:rPr>
      <w:b/>
      <w:bCs/>
      <w:kern w:val="44"/>
      <w:sz w:val="44"/>
      <w:szCs w:val="44"/>
    </w:rPr>
  </w:style>
  <w:style w:type="character" w:customStyle="1" w:styleId="113">
    <w:name w:val="日期 字符2"/>
    <w:qFormat/>
    <w:uiPriority w:val="98"/>
    <w:rPr>
      <w:sz w:val="36"/>
    </w:rPr>
  </w:style>
  <w:style w:type="character" w:customStyle="1" w:styleId="114">
    <w:name w:val="正文缩进 字符"/>
    <w:qFormat/>
    <w:uiPriority w:val="99"/>
    <w:rPr>
      <w:rFonts w:eastAsia="宋体"/>
      <w:kern w:val="2"/>
      <w:sz w:val="21"/>
      <w:szCs w:val="24"/>
      <w:lang w:val="en-US" w:eastAsia="zh-CN" w:bidi="ar-SA"/>
    </w:rPr>
  </w:style>
  <w:style w:type="character" w:customStyle="1" w:styleId="115">
    <w:name w:val="着重四号 Char"/>
    <w:link w:val="116"/>
    <w:qFormat/>
    <w:uiPriority w:val="10"/>
    <w:rPr>
      <w:rFonts w:ascii="宋体" w:hAnsi="宋体"/>
      <w:b/>
      <w:sz w:val="24"/>
      <w:szCs w:val="24"/>
      <w:u w:val="double"/>
    </w:rPr>
  </w:style>
  <w:style w:type="paragraph" w:customStyle="1" w:styleId="116">
    <w:name w:val="着重四号"/>
    <w:basedOn w:val="1"/>
    <w:link w:val="115"/>
    <w:qFormat/>
    <w:uiPriority w:val="10"/>
    <w:pPr>
      <w:spacing w:line="360" w:lineRule="auto"/>
    </w:pPr>
    <w:rPr>
      <w:rFonts w:hAnsi="宋体"/>
      <w:b/>
      <w:sz w:val="24"/>
      <w:szCs w:val="24"/>
      <w:u w:val="double"/>
      <w:shd w:val="pct10" w:color="auto" w:fill="FFFFFF"/>
    </w:rPr>
  </w:style>
  <w:style w:type="character" w:customStyle="1" w:styleId="117">
    <w:name w:val="纯文本 字符"/>
    <w:qFormat/>
    <w:uiPriority w:val="98"/>
    <w:rPr>
      <w:rFonts w:ascii="宋体" w:hAnsi="Courier New"/>
      <w:kern w:val="2"/>
      <w:sz w:val="21"/>
    </w:rPr>
  </w:style>
  <w:style w:type="character" w:customStyle="1" w:styleId="118">
    <w:name w:val="标题 2 Char"/>
    <w:qFormat/>
    <w:uiPriority w:val="98"/>
    <w:rPr>
      <w:rFonts w:ascii="Calibri Light" w:hAnsi="Calibri Light"/>
      <w:b/>
      <w:bCs/>
      <w:kern w:val="2"/>
      <w:sz w:val="32"/>
      <w:szCs w:val="32"/>
    </w:rPr>
  </w:style>
  <w:style w:type="character" w:customStyle="1" w:styleId="119">
    <w:name w:val="页眉 字符3"/>
    <w:qFormat/>
    <w:uiPriority w:val="98"/>
    <w:rPr>
      <w:kern w:val="2"/>
      <w:sz w:val="18"/>
      <w:szCs w:val="24"/>
    </w:rPr>
  </w:style>
  <w:style w:type="character" w:customStyle="1" w:styleId="120">
    <w:name w:val="图片 字符"/>
    <w:link w:val="121"/>
    <w:qFormat/>
    <w:uiPriority w:val="0"/>
    <w:rPr>
      <w:rFonts w:ascii="宋体" w:hAnsi="宋体"/>
      <w:sz w:val="21"/>
    </w:rPr>
  </w:style>
  <w:style w:type="paragraph" w:customStyle="1" w:styleId="121">
    <w:name w:val="图片"/>
    <w:basedOn w:val="1"/>
    <w:link w:val="120"/>
    <w:qFormat/>
    <w:uiPriority w:val="0"/>
    <w:pPr>
      <w:ind w:left="-200" w:leftChars="-200"/>
    </w:pPr>
    <w:rPr>
      <w:rFonts w:hAnsi="宋体"/>
      <w:sz w:val="21"/>
    </w:rPr>
  </w:style>
  <w:style w:type="character" w:customStyle="1" w:styleId="122">
    <w:name w:val="副标题 Char3"/>
    <w:qFormat/>
    <w:uiPriority w:val="3"/>
    <w:rPr>
      <w:rFonts w:ascii="黑体" w:hAnsi="黑体" w:eastAsia="黑体"/>
      <w:b/>
      <w:bCs/>
      <w:kern w:val="28"/>
      <w:sz w:val="30"/>
      <w:szCs w:val="22"/>
    </w:rPr>
  </w:style>
  <w:style w:type="character" w:customStyle="1" w:styleId="123">
    <w:name w:val="批注框文本 字符1"/>
    <w:qFormat/>
    <w:uiPriority w:val="99"/>
    <w:rPr>
      <w:rFonts w:ascii="Times New Roman" w:hAnsi="Times New Roman"/>
      <w:sz w:val="18"/>
      <w:szCs w:val="18"/>
    </w:rPr>
  </w:style>
  <w:style w:type="character" w:customStyle="1" w:styleId="124">
    <w:name w:val="页眉 字符1"/>
    <w:semiHidden/>
    <w:qFormat/>
    <w:uiPriority w:val="99"/>
    <w:rPr>
      <w:sz w:val="18"/>
      <w:szCs w:val="18"/>
    </w:rPr>
  </w:style>
  <w:style w:type="character" w:customStyle="1" w:styleId="125">
    <w:name w:val="正文文本缩进 字符1"/>
    <w:qFormat/>
    <w:uiPriority w:val="99"/>
    <w:rPr>
      <w:rFonts w:ascii="Times New Roman" w:hAnsi="Times New Roman"/>
      <w:sz w:val="32"/>
    </w:rPr>
  </w:style>
  <w:style w:type="character" w:customStyle="1" w:styleId="126">
    <w:name w:val="四号1.0 字符"/>
    <w:link w:val="127"/>
    <w:qFormat/>
    <w:uiPriority w:val="8"/>
    <w:rPr>
      <w:rFonts w:ascii="宋体" w:hAnsi="宋体"/>
      <w:b/>
      <w:sz w:val="28"/>
    </w:rPr>
  </w:style>
  <w:style w:type="paragraph" w:customStyle="1" w:styleId="127">
    <w:name w:val="四号1.0"/>
    <w:basedOn w:val="1"/>
    <w:link w:val="126"/>
    <w:qFormat/>
    <w:uiPriority w:val="8"/>
    <w:pPr>
      <w:jc w:val="center"/>
    </w:pPr>
    <w:rPr>
      <w:rFonts w:hAnsi="宋体"/>
      <w:b/>
      <w:sz w:val="28"/>
    </w:rPr>
  </w:style>
  <w:style w:type="character" w:customStyle="1" w:styleId="128">
    <w:name w:val="小四2.0 字符"/>
    <w:link w:val="129"/>
    <w:qFormat/>
    <w:uiPriority w:val="7"/>
    <w:rPr>
      <w:rFonts w:ascii="宋体" w:hAnsi="宋体"/>
      <w:sz w:val="24"/>
    </w:rPr>
  </w:style>
  <w:style w:type="paragraph" w:customStyle="1" w:styleId="129">
    <w:name w:val="小四2.0"/>
    <w:basedOn w:val="1"/>
    <w:link w:val="128"/>
    <w:qFormat/>
    <w:uiPriority w:val="7"/>
    <w:pPr>
      <w:spacing w:line="480" w:lineRule="auto"/>
    </w:pPr>
    <w:rPr>
      <w:rFonts w:hAnsi="宋体"/>
      <w:sz w:val="24"/>
    </w:rPr>
  </w:style>
  <w:style w:type="character" w:customStyle="1" w:styleId="130">
    <w:name w:val="纯文本 Char1"/>
    <w:semiHidden/>
    <w:qFormat/>
    <w:uiPriority w:val="99"/>
    <w:rPr>
      <w:rFonts w:ascii="宋体" w:hAnsi="Courier New" w:cs="Courier New"/>
      <w:kern w:val="2"/>
      <w:sz w:val="21"/>
      <w:szCs w:val="21"/>
    </w:rPr>
  </w:style>
  <w:style w:type="character" w:customStyle="1" w:styleId="131">
    <w:name w:val="font31"/>
    <w:qFormat/>
    <w:uiPriority w:val="98"/>
    <w:rPr>
      <w:rFonts w:hint="eastAsia" w:ascii="宋体" w:hAnsi="宋体" w:eastAsia="宋体" w:cs="宋体"/>
      <w:color w:val="000000"/>
      <w:sz w:val="20"/>
      <w:szCs w:val="20"/>
    </w:rPr>
  </w:style>
  <w:style w:type="character" w:customStyle="1" w:styleId="132">
    <w:name w:val="页眉 字符2"/>
    <w:qFormat/>
    <w:uiPriority w:val="99"/>
    <w:rPr>
      <w:rFonts w:ascii="Times New Roman" w:hAnsi="Times New Roman"/>
      <w:sz w:val="18"/>
      <w:szCs w:val="24"/>
    </w:rPr>
  </w:style>
  <w:style w:type="character" w:customStyle="1" w:styleId="133">
    <w:name w:val="标题 6 Char"/>
    <w:qFormat/>
    <w:uiPriority w:val="98"/>
    <w:rPr>
      <w:rFonts w:ascii="Arial" w:hAnsi="Arial" w:eastAsia="黑体"/>
      <w:b/>
      <w:kern w:val="2"/>
      <w:sz w:val="24"/>
      <w:szCs w:val="24"/>
    </w:rPr>
  </w:style>
  <w:style w:type="character" w:customStyle="1" w:styleId="134">
    <w:name w:val="文档结构图 字符1"/>
    <w:qFormat/>
    <w:uiPriority w:val="99"/>
    <w:rPr>
      <w:sz w:val="18"/>
      <w:szCs w:val="18"/>
    </w:rPr>
  </w:style>
  <w:style w:type="character" w:customStyle="1" w:styleId="135">
    <w:name w:val="正文首行缩进两字符 Char Char"/>
    <w:link w:val="136"/>
    <w:qFormat/>
    <w:uiPriority w:val="98"/>
    <w:rPr>
      <w:sz w:val="21"/>
    </w:rPr>
  </w:style>
  <w:style w:type="paragraph" w:customStyle="1" w:styleId="136">
    <w:name w:val="正文首行缩进两字符"/>
    <w:basedOn w:val="1"/>
    <w:link w:val="135"/>
    <w:qFormat/>
    <w:uiPriority w:val="98"/>
    <w:pPr>
      <w:autoSpaceDE w:val="0"/>
      <w:autoSpaceDN w:val="0"/>
      <w:adjustRightInd w:val="0"/>
      <w:spacing w:line="360" w:lineRule="atLeast"/>
      <w:ind w:firstLine="200"/>
    </w:pPr>
    <w:rPr>
      <w:rFonts w:ascii="Times New Roman"/>
      <w:sz w:val="21"/>
    </w:rPr>
  </w:style>
  <w:style w:type="character" w:customStyle="1" w:styleId="137">
    <w:name w:val="正文文本缩进 2 Char1"/>
    <w:semiHidden/>
    <w:qFormat/>
    <w:uiPriority w:val="99"/>
    <w:rPr>
      <w:kern w:val="2"/>
      <w:sz w:val="21"/>
      <w:szCs w:val="22"/>
    </w:rPr>
  </w:style>
  <w:style w:type="character" w:customStyle="1" w:styleId="138">
    <w:name w:val="引用 Char"/>
    <w:qFormat/>
    <w:uiPriority w:val="29"/>
    <w:rPr>
      <w:rFonts w:ascii="宋体" w:hAnsi="宋体"/>
      <w:i/>
      <w:iCs/>
      <w:color w:val="404040"/>
      <w:sz w:val="21"/>
    </w:rPr>
  </w:style>
  <w:style w:type="character" w:customStyle="1" w:styleId="139">
    <w:name w:val="日期 Char1"/>
    <w:qFormat/>
    <w:uiPriority w:val="98"/>
    <w:rPr>
      <w:rFonts w:ascii="宋体" w:hAnsi="宋体"/>
      <w:color w:val="000000"/>
      <w:kern w:val="2"/>
      <w:sz w:val="21"/>
    </w:rPr>
  </w:style>
  <w:style w:type="character" w:customStyle="1" w:styleId="140">
    <w:name w:val="日期 字符1"/>
    <w:qFormat/>
    <w:uiPriority w:val="99"/>
    <w:rPr>
      <w:rFonts w:ascii="Times New Roman" w:hAnsi="Times New Roman"/>
      <w:sz w:val="36"/>
    </w:rPr>
  </w:style>
  <w:style w:type="character" w:customStyle="1" w:styleId="141">
    <w:name w:val="标题 3 Char"/>
    <w:qFormat/>
    <w:uiPriority w:val="99"/>
    <w:rPr>
      <w:rFonts w:ascii="宋体" w:hAnsi="宋体"/>
      <w:b/>
      <w:bCs/>
      <w:kern w:val="2"/>
      <w:sz w:val="32"/>
      <w:szCs w:val="32"/>
    </w:rPr>
  </w:style>
  <w:style w:type="character" w:customStyle="1" w:styleId="142">
    <w:name w:val="一级标题 Char"/>
    <w:link w:val="143"/>
    <w:qFormat/>
    <w:uiPriority w:val="2"/>
    <w:rPr>
      <w:rFonts w:ascii="黑体" w:hAnsi="黑体" w:eastAsia="黑体"/>
      <w:b/>
      <w:bCs/>
      <w:sz w:val="32"/>
      <w:szCs w:val="36"/>
    </w:rPr>
  </w:style>
  <w:style w:type="paragraph" w:customStyle="1" w:styleId="143">
    <w:name w:val="一级标题"/>
    <w:basedOn w:val="1"/>
    <w:link w:val="142"/>
    <w:qFormat/>
    <w:uiPriority w:val="2"/>
    <w:pPr>
      <w:jc w:val="center"/>
      <w:outlineLvl w:val="0"/>
    </w:pPr>
    <w:rPr>
      <w:rFonts w:ascii="黑体" w:hAnsi="黑体" w:eastAsia="黑体"/>
      <w:b/>
      <w:bCs/>
      <w:sz w:val="32"/>
      <w:szCs w:val="36"/>
    </w:rPr>
  </w:style>
  <w:style w:type="character" w:customStyle="1" w:styleId="144">
    <w:name w:val="小四1.0 Char"/>
    <w:link w:val="145"/>
    <w:qFormat/>
    <w:uiPriority w:val="6"/>
    <w:rPr>
      <w:rFonts w:ascii="宋体" w:hAnsi="宋体"/>
      <w:sz w:val="24"/>
      <w:szCs w:val="24"/>
      <w:shd w:val="solid" w:color="FFFFFF" w:fill="auto"/>
    </w:rPr>
  </w:style>
  <w:style w:type="paragraph" w:customStyle="1" w:styleId="145">
    <w:name w:val="小四1.0"/>
    <w:basedOn w:val="110"/>
    <w:link w:val="144"/>
    <w:qFormat/>
    <w:uiPriority w:val="6"/>
    <w:pPr>
      <w:spacing w:line="240" w:lineRule="auto"/>
    </w:pPr>
  </w:style>
  <w:style w:type="character" w:customStyle="1" w:styleId="146">
    <w:name w:val="标题 7 Char"/>
    <w:qFormat/>
    <w:uiPriority w:val="98"/>
    <w:rPr>
      <w:b/>
      <w:kern w:val="2"/>
      <w:sz w:val="24"/>
      <w:szCs w:val="24"/>
    </w:rPr>
  </w:style>
  <w:style w:type="character" w:customStyle="1" w:styleId="147">
    <w:name w:val="页眉 Char1"/>
    <w:semiHidden/>
    <w:qFormat/>
    <w:uiPriority w:val="99"/>
    <w:rPr>
      <w:kern w:val="2"/>
      <w:sz w:val="18"/>
      <w:szCs w:val="18"/>
    </w:rPr>
  </w:style>
  <w:style w:type="character" w:customStyle="1" w:styleId="148">
    <w:name w:val="引用 字符"/>
    <w:link w:val="149"/>
    <w:qFormat/>
    <w:uiPriority w:val="29"/>
    <w:rPr>
      <w:rFonts w:ascii="宋体" w:hAnsi="宋体"/>
      <w:i/>
      <w:iCs/>
      <w:color w:val="404040"/>
      <w:sz w:val="21"/>
    </w:rPr>
  </w:style>
  <w:style w:type="paragraph" w:styleId="149">
    <w:name w:val="Quote"/>
    <w:basedOn w:val="1"/>
    <w:next w:val="1"/>
    <w:link w:val="148"/>
    <w:qFormat/>
    <w:uiPriority w:val="29"/>
    <w:pPr>
      <w:spacing w:before="200" w:after="160"/>
      <w:ind w:left="864" w:right="864"/>
      <w:jc w:val="center"/>
    </w:pPr>
    <w:rPr>
      <w:rFonts w:hAnsi="宋体"/>
      <w:i/>
      <w:iCs/>
      <w:color w:val="404040"/>
      <w:sz w:val="21"/>
    </w:rPr>
  </w:style>
  <w:style w:type="character" w:customStyle="1" w:styleId="150">
    <w:name w:val="副标题 字符"/>
    <w:qFormat/>
    <w:uiPriority w:val="99"/>
    <w:rPr>
      <w:rFonts w:ascii="黑体" w:hAnsi="黑体" w:eastAsia="黑体"/>
      <w:b/>
      <w:bCs/>
      <w:kern w:val="28"/>
      <w:sz w:val="30"/>
      <w:szCs w:val="22"/>
    </w:rPr>
  </w:style>
  <w:style w:type="character" w:customStyle="1" w:styleId="151">
    <w:name w:val="首行2字符 字符"/>
    <w:link w:val="152"/>
    <w:qFormat/>
    <w:uiPriority w:val="9"/>
    <w:rPr>
      <w:rFonts w:ascii="宋体" w:hAnsi="宋体"/>
      <w:sz w:val="24"/>
    </w:rPr>
  </w:style>
  <w:style w:type="paragraph" w:customStyle="1" w:styleId="152">
    <w:name w:val="首行2字符"/>
    <w:basedOn w:val="1"/>
    <w:link w:val="151"/>
    <w:qFormat/>
    <w:uiPriority w:val="9"/>
    <w:pPr>
      <w:spacing w:line="360" w:lineRule="auto"/>
      <w:ind w:firstLine="200" w:firstLineChars="200"/>
    </w:pPr>
    <w:rPr>
      <w:rFonts w:hAnsi="宋体"/>
      <w:sz w:val="24"/>
    </w:rPr>
  </w:style>
  <w:style w:type="character" w:customStyle="1" w:styleId="153">
    <w:name w:val="页脚 字符"/>
    <w:semiHidden/>
    <w:qFormat/>
    <w:uiPriority w:val="99"/>
    <w:rPr>
      <w:sz w:val="18"/>
      <w:szCs w:val="18"/>
    </w:rPr>
  </w:style>
  <w:style w:type="character" w:customStyle="1" w:styleId="154">
    <w:name w:val="param-name"/>
    <w:qFormat/>
    <w:uiPriority w:val="98"/>
  </w:style>
  <w:style w:type="character" w:customStyle="1" w:styleId="155">
    <w:name w:val="标题 Char1"/>
    <w:qFormat/>
    <w:uiPriority w:val="99"/>
    <w:rPr>
      <w:rFonts w:ascii="Calibri Light" w:hAnsi="Calibri Light" w:cs="Times New Roman"/>
      <w:b/>
      <w:bCs/>
      <w:color w:val="000000"/>
      <w:kern w:val="2"/>
      <w:sz w:val="32"/>
      <w:szCs w:val="32"/>
    </w:rPr>
  </w:style>
  <w:style w:type="character" w:customStyle="1" w:styleId="156">
    <w:name w:val="纯文本 字符2"/>
    <w:qFormat/>
    <w:uiPriority w:val="99"/>
    <w:rPr>
      <w:rFonts w:hAnsi="Courier New"/>
      <w:sz w:val="21"/>
      <w:szCs w:val="21"/>
    </w:rPr>
  </w:style>
  <w:style w:type="character" w:customStyle="1" w:styleId="157">
    <w:name w:val="标题 5 Char"/>
    <w:qFormat/>
    <w:uiPriority w:val="98"/>
    <w:rPr>
      <w:b/>
      <w:kern w:val="2"/>
      <w:sz w:val="28"/>
      <w:szCs w:val="24"/>
    </w:rPr>
  </w:style>
  <w:style w:type="paragraph" w:customStyle="1" w:styleId="15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159">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160">
    <w:name w:val="正文 New"/>
    <w:qFormat/>
    <w:uiPriority w:val="98"/>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xl79"/>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62">
    <w:name w:val="font7"/>
    <w:basedOn w:val="1"/>
    <w:qFormat/>
    <w:uiPriority w:val="0"/>
    <w:pPr>
      <w:widowControl/>
      <w:spacing w:before="100" w:beforeAutospacing="1" w:after="100" w:afterAutospacing="1"/>
    </w:pPr>
    <w:rPr>
      <w:rFonts w:cs="宋体"/>
      <w:color w:val="000000"/>
      <w:szCs w:val="28"/>
    </w:rPr>
  </w:style>
  <w:style w:type="paragraph" w:customStyle="1" w:styleId="163">
    <w:name w:val="标题 3 New"/>
    <w:basedOn w:val="1"/>
    <w:next w:val="1"/>
    <w:qFormat/>
    <w:uiPriority w:val="0"/>
    <w:pPr>
      <w:keepNext/>
      <w:keepLines/>
      <w:spacing w:before="260" w:after="260" w:line="413" w:lineRule="auto"/>
      <w:outlineLvl w:val="2"/>
    </w:pPr>
    <w:rPr>
      <w:b/>
      <w:bCs/>
      <w:sz w:val="32"/>
      <w:szCs w:val="32"/>
    </w:rPr>
  </w:style>
  <w:style w:type="paragraph" w:styleId="164">
    <w:name w:val="List Paragraph"/>
    <w:basedOn w:val="1"/>
    <w:qFormat/>
    <w:uiPriority w:val="34"/>
    <w:pPr>
      <w:ind w:firstLine="420" w:firstLineChars="200"/>
    </w:pPr>
  </w:style>
  <w:style w:type="paragraph" w:customStyle="1" w:styleId="165">
    <w:name w:val="_Style 2"/>
    <w:basedOn w:val="1"/>
    <w:qFormat/>
    <w:uiPriority w:val="34"/>
    <w:pPr>
      <w:autoSpaceDE w:val="0"/>
      <w:autoSpaceDN w:val="0"/>
      <w:adjustRightInd w:val="0"/>
      <w:spacing w:after="120"/>
      <w:ind w:firstLine="420" w:firstLineChars="200"/>
    </w:pPr>
    <w:rPr>
      <w:szCs w:val="21"/>
    </w:rPr>
  </w:style>
  <w:style w:type="paragraph" w:customStyle="1" w:styleId="16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FF0000"/>
      <w:szCs w:val="28"/>
    </w:rPr>
  </w:style>
  <w:style w:type="paragraph" w:customStyle="1" w:styleId="167">
    <w:name w:val="font8"/>
    <w:basedOn w:val="1"/>
    <w:qFormat/>
    <w:uiPriority w:val="0"/>
    <w:pPr>
      <w:widowControl/>
      <w:spacing w:before="100" w:beforeAutospacing="1" w:after="100" w:afterAutospacing="1"/>
    </w:pPr>
    <w:rPr>
      <w:rFonts w:cs="宋体"/>
      <w:color w:val="000000"/>
      <w:szCs w:val="28"/>
    </w:rPr>
  </w:style>
  <w:style w:type="paragraph" w:customStyle="1" w:styleId="16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9">
    <w:name w:val="font6"/>
    <w:basedOn w:val="1"/>
    <w:qFormat/>
    <w:uiPriority w:val="0"/>
    <w:pPr>
      <w:widowControl/>
      <w:spacing w:before="100" w:beforeAutospacing="1" w:after="100" w:afterAutospacing="1"/>
    </w:pPr>
    <w:rPr>
      <w:rFonts w:cs="宋体"/>
      <w:color w:val="000000"/>
      <w:szCs w:val="28"/>
    </w:rPr>
  </w:style>
  <w:style w:type="paragraph" w:customStyle="1" w:styleId="170">
    <w:name w:val="xl73"/>
    <w:basedOn w:val="1"/>
    <w:qFormat/>
    <w:uiPriority w:val="98"/>
    <w:pPr>
      <w:widowControl/>
      <w:spacing w:before="100" w:beforeAutospacing="1" w:after="100" w:afterAutospacing="1"/>
      <w:jc w:val="center"/>
    </w:pPr>
    <w:rPr>
      <w:rFonts w:cs="宋体"/>
      <w:szCs w:val="28"/>
    </w:rPr>
  </w:style>
  <w:style w:type="paragraph" w:customStyle="1" w:styleId="171">
    <w:name w:val="p0"/>
    <w:basedOn w:val="1"/>
    <w:qFormat/>
    <w:uiPriority w:val="98"/>
    <w:pPr>
      <w:widowControl/>
      <w:spacing w:before="100" w:beforeAutospacing="1" w:after="100" w:afterAutospacing="1"/>
    </w:pPr>
    <w:rPr>
      <w:rFonts w:cs="宋体"/>
      <w:sz w:val="24"/>
    </w:rPr>
  </w:style>
  <w:style w:type="paragraph" w:customStyle="1" w:styleId="1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4"/>
      <w:szCs w:val="24"/>
    </w:rPr>
  </w:style>
  <w:style w:type="paragraph" w:customStyle="1" w:styleId="173">
    <w:name w:val="xl78"/>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74">
    <w:name w:val="Body Text 21"/>
    <w:basedOn w:val="1"/>
    <w:qFormat/>
    <w:uiPriority w:val="98"/>
    <w:pPr>
      <w:adjustRightInd w:val="0"/>
      <w:spacing w:line="300" w:lineRule="auto"/>
      <w:jc w:val="center"/>
      <w:textAlignment w:val="baseline"/>
    </w:pPr>
    <w:rPr>
      <w:sz w:val="24"/>
    </w:rPr>
  </w:style>
  <w:style w:type="paragraph" w:customStyle="1" w:styleId="175">
    <w:name w:val="font5"/>
    <w:basedOn w:val="1"/>
    <w:qFormat/>
    <w:uiPriority w:val="0"/>
    <w:pPr>
      <w:widowControl/>
      <w:spacing w:before="100" w:beforeAutospacing="1" w:after="100" w:afterAutospacing="1"/>
    </w:pPr>
    <w:rPr>
      <w:rFonts w:cs="宋体"/>
      <w:sz w:val="18"/>
      <w:szCs w:val="18"/>
    </w:rPr>
  </w:style>
  <w:style w:type="paragraph" w:customStyle="1" w:styleId="176">
    <w:name w:val="Char1 Char Char Char2"/>
    <w:basedOn w:val="1"/>
    <w:next w:val="1"/>
    <w:qFormat/>
    <w:uiPriority w:val="98"/>
    <w:pPr>
      <w:spacing w:line="240" w:lineRule="atLeast"/>
      <w:ind w:left="420" w:firstLine="420"/>
    </w:pPr>
    <w:rPr>
      <w:szCs w:val="21"/>
    </w:rPr>
  </w:style>
  <w:style w:type="paragraph" w:customStyle="1" w:styleId="177">
    <w:name w:val="表格文字"/>
    <w:basedOn w:val="1"/>
    <w:next w:val="18"/>
    <w:qFormat/>
    <w:uiPriority w:val="0"/>
    <w:pPr>
      <w:spacing w:before="25" w:after="25"/>
      <w:jc w:val="left"/>
    </w:pPr>
    <w:rPr>
      <w:bCs/>
      <w:spacing w:val="10"/>
      <w:sz w:val="24"/>
    </w:rPr>
  </w:style>
  <w:style w:type="paragraph" w:customStyle="1" w:styleId="178">
    <w:name w:val="msonormal"/>
    <w:basedOn w:val="1"/>
    <w:qFormat/>
    <w:uiPriority w:val="0"/>
    <w:pPr>
      <w:widowControl/>
      <w:spacing w:before="100" w:beforeAutospacing="1" w:after="100" w:afterAutospacing="1"/>
    </w:pPr>
    <w:rPr>
      <w:rFonts w:cs="宋体"/>
      <w:sz w:val="24"/>
    </w:rPr>
  </w:style>
  <w:style w:type="paragraph" w:customStyle="1" w:styleId="179">
    <w:name w:val="报告正文"/>
    <w:basedOn w:val="1"/>
    <w:qFormat/>
    <w:uiPriority w:val="0"/>
    <w:pPr>
      <w:adjustRightInd w:val="0"/>
      <w:spacing w:line="360" w:lineRule="auto"/>
      <w:ind w:firstLine="200" w:firstLineChars="200"/>
    </w:pPr>
    <w:rPr>
      <w:sz w:val="24"/>
      <w:szCs w:val="28"/>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2">
    <w:name w:val="xl67"/>
    <w:basedOn w:val="1"/>
    <w:qFormat/>
    <w:uiPriority w:val="0"/>
    <w:pPr>
      <w:widowControl/>
      <w:spacing w:before="100" w:beforeAutospacing="1" w:after="100" w:afterAutospacing="1"/>
      <w:jc w:val="center"/>
    </w:pPr>
    <w:rPr>
      <w:rFonts w:cs="宋体"/>
      <w:sz w:val="24"/>
    </w:rPr>
  </w:style>
  <w:style w:type="paragraph" w:customStyle="1" w:styleId="183">
    <w:name w:val="font1"/>
    <w:basedOn w:val="1"/>
    <w:qFormat/>
    <w:uiPriority w:val="99"/>
    <w:pPr>
      <w:widowControl/>
      <w:spacing w:before="100" w:beforeAutospacing="1" w:after="100" w:afterAutospacing="1"/>
    </w:pPr>
    <w:rPr>
      <w:rFonts w:cs="宋体"/>
      <w:color w:val="000000"/>
      <w:sz w:val="20"/>
    </w:rPr>
  </w:style>
  <w:style w:type="paragraph" w:customStyle="1" w:styleId="184">
    <w:name w:val="xl66"/>
    <w:basedOn w:val="1"/>
    <w:qFormat/>
    <w:uiPriority w:val="0"/>
    <w:pPr>
      <w:widowControl/>
      <w:spacing w:before="100" w:beforeAutospacing="1" w:after="100" w:afterAutospacing="1"/>
      <w:jc w:val="center"/>
    </w:pPr>
    <w:rPr>
      <w:rFonts w:cs="宋体"/>
      <w:sz w:val="24"/>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7">
    <w:name w:val="Table Paragraph"/>
    <w:basedOn w:val="1"/>
    <w:qFormat/>
    <w:uiPriority w:val="1"/>
  </w:style>
  <w:style w:type="paragraph" w:customStyle="1" w:styleId="188">
    <w:name w:val="xl76"/>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89">
    <w:name w:val="_Style 48"/>
    <w:basedOn w:val="1"/>
    <w:qFormat/>
    <w:uiPriority w:val="99"/>
  </w:style>
  <w:style w:type="paragraph" w:customStyle="1" w:styleId="190">
    <w:name w:val="样式 首行缩进:  2 字符"/>
    <w:basedOn w:val="1"/>
    <w:qFormat/>
    <w:uiPriority w:val="0"/>
    <w:pPr>
      <w:spacing w:line="400" w:lineRule="exact"/>
      <w:ind w:firstLine="200" w:firstLineChars="200"/>
    </w:pPr>
    <w:rPr>
      <w:rFonts w:cs="宋体"/>
      <w:sz w:val="24"/>
    </w:rPr>
  </w:style>
  <w:style w:type="paragraph" w:customStyle="1" w:styleId="191">
    <w:name w:val="xl74"/>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2">
    <w:name w:val="Char1 Char Char Char1"/>
    <w:basedOn w:val="1"/>
    <w:next w:val="1"/>
    <w:qFormat/>
    <w:uiPriority w:val="99"/>
    <w:pPr>
      <w:spacing w:line="240" w:lineRule="atLeast"/>
      <w:ind w:left="420" w:firstLine="420"/>
    </w:pPr>
    <w:rPr>
      <w:sz w:val="20"/>
      <w:szCs w:val="21"/>
    </w:rPr>
  </w:style>
  <w:style w:type="paragraph" w:customStyle="1" w:styleId="193">
    <w:name w:val="Char1 Char Char Char"/>
    <w:basedOn w:val="1"/>
    <w:next w:val="1"/>
    <w:qFormat/>
    <w:uiPriority w:val="99"/>
    <w:pPr>
      <w:spacing w:line="240" w:lineRule="atLeast"/>
      <w:ind w:left="420" w:firstLine="420"/>
    </w:pPr>
    <w:rPr>
      <w:sz w:val="20"/>
      <w:szCs w:val="21"/>
    </w:rPr>
  </w:style>
  <w:style w:type="paragraph" w:customStyle="1" w:styleId="194">
    <w:name w:val="font9"/>
    <w:basedOn w:val="1"/>
    <w:qFormat/>
    <w:uiPriority w:val="0"/>
    <w:pPr>
      <w:widowControl/>
      <w:spacing w:before="100" w:beforeAutospacing="1" w:after="100" w:afterAutospacing="1"/>
    </w:pPr>
    <w:rPr>
      <w:rFonts w:cs="宋体"/>
      <w:color w:val="000000"/>
      <w:szCs w:val="28"/>
    </w:rPr>
  </w:style>
  <w:style w:type="paragraph" w:customStyle="1" w:styleId="195">
    <w:name w:val="TOC Heading"/>
    <w:basedOn w:val="2"/>
    <w:next w:val="1"/>
    <w:qFormat/>
    <w:uiPriority w:val="39"/>
    <w:pPr>
      <w:outlineLvl w:val="9"/>
    </w:pPr>
    <w:rPr>
      <w:rFonts w:ascii="宋体" w:hAnsi="宋体"/>
      <w:color w:val="000000"/>
    </w:rPr>
  </w:style>
  <w:style w:type="paragraph" w:customStyle="1" w:styleId="196">
    <w:name w:val="xl75"/>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7">
    <w:name w:val="xl77"/>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table" w:customStyle="1" w:styleId="198">
    <w:name w:val="Plain Table 5"/>
    <w:basedOn w:val="40"/>
    <w:qFormat/>
    <w:uiPriority w:val="45"/>
    <w:tblStylePr w:type="firstRow">
      <w:rPr>
        <w:rFonts w:eastAsia="宋体" w:cs="Times New Roman"/>
        <w:i/>
        <w:iCs/>
        <w:sz w:val="26"/>
      </w:rPr>
      <w:tcPr>
        <w:tcBorders>
          <w:top w:val="nil"/>
          <w:left w:val="nil"/>
          <w:bottom w:val="single" w:color="7F7F7F" w:sz="4" w:space="0"/>
          <w:right w:val="nil"/>
          <w:insideH w:val="nil"/>
          <w:insideV w:val="nil"/>
          <w:tl2br w:val="nil"/>
          <w:tr2bl w:val="nil"/>
        </w:tcBorders>
        <w:shd w:val="clear" w:color="auto" w:fill="FFFFFF"/>
      </w:tcPr>
    </w:tblStylePr>
    <w:tblStylePr w:type="lastRow">
      <w:rPr>
        <w:rFonts w:eastAsia="宋体" w:cs="Times New Roman"/>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eastAsia="宋体" w:cs="Times New Roman"/>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eastAsia="宋体" w:cs="Times New Roman"/>
        <w:i/>
        <w:iCs/>
        <w:sz w:val="26"/>
      </w:rPr>
      <w:tcPr>
        <w:tcBorders>
          <w:top w:val="nil"/>
          <w:left w:val="single" w:color="7F7F7F" w:sz="4" w:space="0"/>
          <w:bottom w:val="nil"/>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199">
    <w:name w:val="表格3（粗线边框）"/>
    <w:basedOn w:val="40"/>
    <w:qFormat/>
    <w:uiPriority w:val="99"/>
    <w:pPr>
      <w:jc w:val="center"/>
    </w:pPr>
    <w:rPr>
      <w:rFonts w:ascii="宋体" w:hAnsi="宋体"/>
      <w:sz w:val="24"/>
    </w:rPr>
    <w:tblP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
    <w:tcPr>
      <w:vAlign w:val="center"/>
    </w:tcPr>
    <w:tblStylePr w:type="firstRow">
      <w:rPr>
        <w:rFonts w:eastAsia="MS Mincho"/>
        <w:b/>
        <w:sz w:val="24"/>
      </w:rPr>
      <w:tcPr>
        <w:tcBorders>
          <w:top w:val="single" w:color="000000" w:sz="12" w:space="0"/>
          <w:left w:val="single" w:color="000000" w:sz="12" w:space="0"/>
          <w:bottom w:val="single" w:color="000000" w:sz="4" w:space="0"/>
          <w:right w:val="single" w:color="000000" w:sz="12" w:space="0"/>
          <w:insideH w:val="single" w:sz="4" w:space="0"/>
          <w:insideV w:val="single" w:sz="4" w:space="0"/>
          <w:tl2br w:val="nil"/>
          <w:tr2bl w:val="nil"/>
        </w:tcBorders>
      </w:tcPr>
    </w:tblStylePr>
  </w:style>
  <w:style w:type="table" w:customStyle="1" w:styleId="200">
    <w:name w:val="表格2（边框）"/>
    <w:basedOn w:val="40"/>
    <w:qFormat/>
    <w:uiPriority w:val="99"/>
    <w:pPr>
      <w:jc w:val="center"/>
    </w:pPr>
    <w:rPr>
      <w:rFonts w:ascii="宋体" w:hAnsi="宋体"/>
      <w:sz w:val="24"/>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rFonts w:ascii="MS Mincho" w:hAnsi="MS Mincho" w:eastAsia="MS Mincho"/>
        <w:b/>
        <w:i w:val="0"/>
        <w:sz w:val="24"/>
      </w:rPr>
      <w:tcPr>
        <w:shd w:val="clear" w:color="auto" w:fill="BFBFBF"/>
      </w:tcPr>
    </w:tblStylePr>
  </w:style>
  <w:style w:type="table" w:customStyle="1" w:styleId="201">
    <w:name w:val="Grid Table 3 Accent 4"/>
    <w:basedOn w:val="40"/>
    <w:qFormat/>
    <w:uiPriority w:val="48"/>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top w:val="nil"/>
          <w:left w:val="nil"/>
          <w:bottom w:val="single" w:color="FFD966" w:sz="4" w:space="0"/>
          <w:right w:val="nil"/>
          <w:insideH w:val="nil"/>
          <w:insideV w:val="nil"/>
          <w:tl2br w:val="nil"/>
          <w:tr2bl w:val="nil"/>
        </w:tcBorders>
      </w:tcPr>
    </w:tblStylePr>
    <w:tblStylePr w:type="nwCell">
      <w:tcPr>
        <w:tcBorders>
          <w:top w:val="nil"/>
          <w:left w:val="nil"/>
          <w:bottom w:val="single" w:color="FFD966" w:sz="4" w:space="0"/>
          <w:right w:val="nil"/>
          <w:insideH w:val="nil"/>
          <w:insideV w:val="nil"/>
          <w:tl2br w:val="nil"/>
          <w:tr2bl w:val="nil"/>
        </w:tcBorders>
      </w:tcPr>
    </w:tblStylePr>
    <w:tblStylePr w:type="seCell">
      <w:tcPr>
        <w:tcBorders>
          <w:top w:val="single" w:color="FFD966" w:sz="4" w:space="0"/>
          <w:left w:val="nil"/>
          <w:bottom w:val="nil"/>
          <w:right w:val="nil"/>
          <w:insideH w:val="nil"/>
          <w:insideV w:val="nil"/>
          <w:tl2br w:val="nil"/>
          <w:tr2bl w:val="nil"/>
        </w:tcBorders>
      </w:tcPr>
    </w:tblStylePr>
    <w:tblStylePr w:type="swCell">
      <w:tcPr>
        <w:tcBorders>
          <w:top w:val="single" w:color="FFD966" w:sz="4" w:space="0"/>
          <w:left w:val="nil"/>
          <w:bottom w:val="nil"/>
          <w:right w:val="nil"/>
          <w:insideH w:val="nil"/>
          <w:insideV w:val="nil"/>
          <w:tl2br w:val="nil"/>
          <w:tr2bl w:val="nil"/>
        </w:tcBorders>
      </w:tcPr>
    </w:tblStylePr>
  </w:style>
  <w:style w:type="character" w:customStyle="1" w:styleId="202">
    <w:name w:val="批注文字 字符"/>
    <w:qFormat/>
    <w:uiPriority w:val="98"/>
    <w:rPr>
      <w:rFonts w:ascii="宋体" w:hAnsi="宋体"/>
      <w:sz w:val="21"/>
    </w:rPr>
  </w:style>
  <w:style w:type="character" w:customStyle="1" w:styleId="203">
    <w:name w:val="正文文本 字符"/>
    <w:link w:val="18"/>
    <w:qFormat/>
    <w:uiPriority w:val="99"/>
    <w:rPr>
      <w:rFonts w:ascii="宋体"/>
      <w:sz w:val="34"/>
    </w:rPr>
  </w:style>
  <w:style w:type="character" w:customStyle="1" w:styleId="204">
    <w:name w:val="正文文本首行缩进 字符"/>
    <w:link w:val="19"/>
    <w:qFormat/>
    <w:uiPriority w:val="99"/>
    <w:rPr>
      <w:sz w:val="34"/>
      <w:szCs w:val="24"/>
    </w:rPr>
  </w:style>
  <w:style w:type="paragraph" w:customStyle="1" w:styleId="205">
    <w:name w:val="font10"/>
    <w:basedOn w:val="1"/>
    <w:qFormat/>
    <w:uiPriority w:val="0"/>
    <w:pPr>
      <w:widowControl/>
      <w:spacing w:before="100" w:beforeAutospacing="1" w:after="100" w:afterAutospacing="1"/>
      <w:jc w:val="left"/>
    </w:pPr>
    <w:rPr>
      <w:rFonts w:hAnsi="宋体" w:cs="宋体"/>
      <w:b/>
      <w:bCs/>
      <w:color w:val="000000"/>
      <w:sz w:val="20"/>
    </w:rPr>
  </w:style>
  <w:style w:type="paragraph" w:customStyle="1" w:styleId="206">
    <w:name w:val="font11"/>
    <w:basedOn w:val="1"/>
    <w:qFormat/>
    <w:uiPriority w:val="0"/>
    <w:pPr>
      <w:widowControl/>
      <w:spacing w:before="100" w:beforeAutospacing="1" w:after="100" w:afterAutospacing="1"/>
      <w:jc w:val="left"/>
    </w:pPr>
    <w:rPr>
      <w:rFonts w:hAnsi="宋体" w:cs="宋体"/>
      <w:color w:val="000000"/>
      <w:sz w:val="20"/>
    </w:rPr>
  </w:style>
  <w:style w:type="paragraph" w:customStyle="1" w:styleId="207">
    <w:name w:val="font12"/>
    <w:basedOn w:val="1"/>
    <w:qFormat/>
    <w:uiPriority w:val="0"/>
    <w:pPr>
      <w:widowControl/>
      <w:spacing w:before="100" w:beforeAutospacing="1" w:after="100" w:afterAutospacing="1"/>
      <w:jc w:val="left"/>
    </w:pPr>
    <w:rPr>
      <w:rFonts w:hAnsi="宋体" w:cs="宋体"/>
      <w:color w:val="FF0000"/>
      <w:sz w:val="20"/>
    </w:rPr>
  </w:style>
  <w:style w:type="paragraph" w:customStyle="1" w:styleId="208">
    <w:name w:val="font13"/>
    <w:basedOn w:val="1"/>
    <w:qFormat/>
    <w:uiPriority w:val="0"/>
    <w:pPr>
      <w:widowControl/>
      <w:spacing w:before="100" w:beforeAutospacing="1" w:after="100" w:afterAutospacing="1"/>
      <w:jc w:val="left"/>
    </w:pPr>
    <w:rPr>
      <w:rFonts w:hAnsi="宋体" w:cs="宋体"/>
      <w:color w:val="000000"/>
      <w:sz w:val="20"/>
    </w:rPr>
  </w:style>
  <w:style w:type="paragraph" w:customStyle="1" w:styleId="209">
    <w:name w:val="font14"/>
    <w:basedOn w:val="1"/>
    <w:qFormat/>
    <w:uiPriority w:val="0"/>
    <w:pPr>
      <w:widowControl/>
      <w:spacing w:before="100" w:beforeAutospacing="1" w:after="100" w:afterAutospacing="1"/>
      <w:jc w:val="left"/>
    </w:pPr>
    <w:rPr>
      <w:rFonts w:hAnsi="宋体" w:cs="宋体"/>
      <w:b/>
      <w:bCs/>
      <w:color w:val="000000"/>
      <w:sz w:val="20"/>
    </w:rPr>
  </w:style>
  <w:style w:type="paragraph" w:customStyle="1" w:styleId="2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微软雅黑" w:hAnsi="微软雅黑" w:eastAsia="微软雅黑" w:cs="宋体"/>
      <w:sz w:val="21"/>
      <w:szCs w:val="21"/>
    </w:rPr>
  </w:style>
  <w:style w:type="character" w:customStyle="1" w:styleId="211">
    <w:name w:val="font21"/>
    <w:qFormat/>
    <w:uiPriority w:val="0"/>
    <w:rPr>
      <w:rFonts w:ascii="宋体" w:hAnsi="宋体" w:eastAsia="宋体" w:cs="宋体"/>
      <w:bCs/>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恒天国际</Company>
  <Pages>147</Pages>
  <Words>13825</Words>
  <Characters>14675</Characters>
  <Lines>395</Lines>
  <Paragraphs>111</Paragraphs>
  <TotalTime>15</TotalTime>
  <ScaleCrop>false</ScaleCrop>
  <LinksUpToDate>false</LinksUpToDate>
  <CharactersWithSpaces>14978</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2023-04-07T08:01:00Z</dcterms:created>
  <dc:creator>四川恒天国际招标有限公司</dc:creator>
  <cp:lastModifiedBy>小鹿</cp:lastModifiedBy>
  <cp:lastPrinted>2017-02-09T08:42:00Z</cp:lastPrinted>
  <dcterms:modified xsi:type="dcterms:W3CDTF">2026-04-08T06:34:24Z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A8E09AFA0CC44864A98D042C8179F798_13</vt:lpwstr>
  </property>
  <property fmtid="{D5CDD505-2E9C-101B-9397-08002B2CF9AE}" pid="4" name="KSOTemplateDocerSaveRecord">
    <vt:lpwstr>eyJoZGlkIjoiMzEzNzkwNzNlZDI0MjIzOGRkM2Q4Nzg3NzRlYzYwOTUiLCJ1c2VySWQiOiIyNzMxNjI5MjAifQ==</vt:lpwstr>
  </property>
</Properties>
</file>