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39A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highlight w:val="none"/>
          <w:lang w:eastAsia="zh-CN"/>
        </w:rPr>
      </w:pPr>
    </w:p>
    <w:p w14:paraId="4B9D1E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塔里木河流域乌鲁瓦提水利枢纽管理中心2026年自有资金投资建设工程 （1号、4号调速器升级改造项目）</w:t>
      </w:r>
    </w:p>
    <w:p w14:paraId="21DDBA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12FF06D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510ED49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52"/>
          <w:szCs w:val="52"/>
        </w:rPr>
      </w:pPr>
      <w:r>
        <w:rPr>
          <w:rFonts w:hint="eastAsia" w:ascii="宋体" w:hAnsi="宋体" w:eastAsia="宋体" w:cs="宋体"/>
          <w:b/>
          <w:bCs/>
          <w:sz w:val="52"/>
          <w:szCs w:val="52"/>
        </w:rPr>
        <w:t>竞争性磋商文件</w:t>
      </w:r>
    </w:p>
    <w:p w14:paraId="5AF8E8F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1C15DE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09DEFE6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43CFA64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347CBF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6"/>
          <w:szCs w:val="36"/>
        </w:rPr>
      </w:pPr>
    </w:p>
    <w:p w14:paraId="7ADC0292">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采购人</w:t>
      </w:r>
      <w:r>
        <w:rPr>
          <w:rFonts w:hint="eastAsia" w:ascii="宋体" w:hAnsi="宋体" w:eastAsia="宋体" w:cs="宋体"/>
          <w:sz w:val="28"/>
          <w:szCs w:val="28"/>
          <w:highlight w:val="none"/>
          <w:lang w:eastAsia="zh-CN"/>
        </w:rPr>
        <w:t>：新疆维吾尔自治区塔里木河流域乌鲁瓦提水利枢纽管理中心</w:t>
      </w:r>
    </w:p>
    <w:p w14:paraId="6268D579">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吴国强</w:t>
      </w:r>
    </w:p>
    <w:p w14:paraId="7123C594">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w:t>
      </w:r>
      <w:r>
        <w:rPr>
          <w:rFonts w:hint="eastAsia" w:ascii="宋体" w:hAnsi="宋体" w:eastAsia="宋体" w:cs="宋体"/>
          <w:sz w:val="28"/>
          <w:szCs w:val="28"/>
          <w:highlight w:val="none"/>
        </w:rPr>
        <w:t>电话</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0903-2099619</w:t>
      </w:r>
    </w:p>
    <w:p w14:paraId="242B3FF8">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cs="宋体" w:eastAsiaTheme="minorEastAsia"/>
          <w:sz w:val="28"/>
          <w:szCs w:val="28"/>
          <w:highlight w:val="yellow"/>
          <w:lang w:val="en-US" w:eastAsia="zh-CN"/>
        </w:rPr>
      </w:pPr>
    </w:p>
    <w:p w14:paraId="7B7DCA21">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新疆新水建设工程造价咨询有限责任公司</w:t>
      </w:r>
    </w:p>
    <w:p w14:paraId="448B3075">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李莉</w:t>
      </w:r>
    </w:p>
    <w:p w14:paraId="0545B8DB">
      <w:pPr>
        <w:keepNext w:val="0"/>
        <w:keepLines w:val="0"/>
        <w:pageBreakBefore w:val="0"/>
        <w:widowControl w:val="0"/>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w:t>
      </w:r>
      <w:r>
        <w:rPr>
          <w:rFonts w:hint="eastAsia" w:ascii="宋体" w:hAnsi="宋体" w:eastAsia="宋体" w:cs="宋体"/>
          <w:sz w:val="28"/>
          <w:szCs w:val="28"/>
        </w:rPr>
        <w:t>电话</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17716922281</w:t>
      </w:r>
    </w:p>
    <w:p w14:paraId="023DDA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2026年4月</w:t>
      </w:r>
    </w:p>
    <w:p w14:paraId="2784AE2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09A039A9">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目录</w:t>
      </w:r>
    </w:p>
    <w:p w14:paraId="386AEFE4">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_Toc30886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_Toc30886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EA0D534">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第二章  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_Toc29804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466908">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_Toc28489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第三章  磋商内容及技术要求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_Toc28489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E3089EC">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_Toc31702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  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_Toc31702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A18CEF">
      <w:pPr>
        <w:pStyle w:val="12"/>
        <w:tabs>
          <w:tab w:val="right" w:leader="dot" w:pos="9746"/>
        </w:tabs>
        <w:spacing w:line="72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_Toc18352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_Toc18352 \h </w:instrText>
      </w:r>
      <w:r>
        <w:rPr>
          <w:rFonts w:hint="eastAsia" w:ascii="宋体" w:hAnsi="宋体" w:eastAsia="宋体" w:cs="宋体"/>
          <w:sz w:val="28"/>
          <w:szCs w:val="28"/>
        </w:rPr>
        <w:fldChar w:fldCharType="separate"/>
      </w:r>
      <w:r>
        <w:rPr>
          <w:rFonts w:hint="eastAsia" w:ascii="宋体" w:hAnsi="宋体" w:eastAsia="宋体" w:cs="宋体"/>
          <w:sz w:val="28"/>
          <w:szCs w:val="28"/>
        </w:rPr>
        <w:t>84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91AFD5F">
      <w:pPr>
        <w:spacing w:line="720" w:lineRule="auto"/>
      </w:pPr>
      <w:r>
        <w:rPr>
          <w:rFonts w:hint="eastAsia" w:ascii="宋体" w:hAnsi="宋体" w:eastAsia="宋体" w:cs="宋体"/>
          <w:sz w:val="28"/>
          <w:szCs w:val="28"/>
        </w:rPr>
        <w:fldChar w:fldCharType="end"/>
      </w:r>
    </w:p>
    <w:p w14:paraId="0FC1E0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sectPr>
          <w:pgSz w:w="11906" w:h="16838"/>
          <w:pgMar w:top="1440" w:right="1080" w:bottom="1440" w:left="1080" w:header="851" w:footer="992" w:gutter="0"/>
          <w:cols w:space="425" w:num="1"/>
          <w:docGrid w:type="lines" w:linePitch="312" w:charSpace="0"/>
        </w:sectPr>
      </w:pPr>
      <w:bookmarkStart w:id="0" w:name="_Toc30886"/>
    </w:p>
    <w:p w14:paraId="76D989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0" w:name="_GoBack"/>
      <w:bookmarkEnd w:id="10"/>
      <w:r>
        <w:rPr>
          <w:rFonts w:hint="eastAsia" w:ascii="宋体" w:hAnsi="宋体" w:eastAsia="宋体" w:cs="宋体"/>
          <w:sz w:val="28"/>
          <w:szCs w:val="28"/>
          <w:lang w:val="en-US" w:eastAsia="zh-CN"/>
        </w:rPr>
        <w:t>第一章  竞争性磋商公告</w:t>
      </w:r>
      <w:bookmarkEnd w:id="0"/>
    </w:p>
    <w:p w14:paraId="331F320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项目概况：</w:t>
      </w:r>
      <w:r>
        <w:rPr>
          <w:rFonts w:hint="eastAsia" w:ascii="宋体" w:hAnsi="宋体" w:eastAsia="宋体" w:cs="宋体"/>
          <w:sz w:val="24"/>
          <w:szCs w:val="24"/>
          <w:lang w:eastAsia="zh-CN"/>
        </w:rPr>
        <w:t>塔里木河流域乌鲁瓦提水利枢纽管理中心2026年自有资金投资建设工程 （1号、4号调速器升级改</w:t>
      </w:r>
      <w:r>
        <w:rPr>
          <w:rFonts w:hint="eastAsia" w:ascii="宋体" w:hAnsi="宋体" w:eastAsia="宋体" w:cs="宋体"/>
          <w:color w:val="auto"/>
          <w:sz w:val="24"/>
          <w:szCs w:val="24"/>
          <w:lang w:eastAsia="zh-CN"/>
        </w:rPr>
        <w:t>造项目）</w:t>
      </w:r>
      <w:r>
        <w:rPr>
          <w:rFonts w:hint="eastAsia" w:ascii="宋体" w:hAnsi="宋体" w:eastAsia="宋体" w:cs="宋体"/>
          <w:color w:val="auto"/>
          <w:sz w:val="24"/>
          <w:szCs w:val="24"/>
        </w:rPr>
        <w:t>的潜在投标人应在新疆政府采购网政采云平台（</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HYPERLINK "http://www.zcygov.cn"</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www.zcygov.cn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）获取招标文件，并于</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202</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27</w:t>
      </w:r>
      <w:r>
        <w:rPr>
          <w:rFonts w:hint="eastAsia" w:ascii="宋体" w:hAnsi="宋体" w:eastAsia="宋体" w:cs="宋体"/>
          <w:bCs/>
          <w:color w:val="auto"/>
          <w:sz w:val="24"/>
          <w:szCs w:val="24"/>
          <w:highlight w:val="none"/>
        </w:rPr>
        <w:t>日11点00分（北京时间）前提交响应文件</w:t>
      </w:r>
      <w:r>
        <w:rPr>
          <w:rFonts w:hint="eastAsia" w:ascii="宋体" w:hAnsi="宋体" w:eastAsia="宋体" w:cs="宋体"/>
          <w:color w:val="auto"/>
          <w:sz w:val="24"/>
          <w:szCs w:val="24"/>
          <w:highlight w:val="none"/>
        </w:rPr>
        <w:t>。</w:t>
      </w:r>
    </w:p>
    <w:p w14:paraId="29FDA8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一、项目基本情况</w:t>
      </w:r>
    </w:p>
    <w:p w14:paraId="00A37B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项目编号：TGJWLWTGLZX-2026QTGC001</w:t>
      </w:r>
    </w:p>
    <w:p w14:paraId="0C9B81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项目名称：塔里木河流域乌鲁瓦提水利枢纽管理中心2026年自有资金投资建设工程 （1号、4号调速器升级改造项目）</w:t>
      </w:r>
    </w:p>
    <w:p w14:paraId="7ACBF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采购方式：竞争性磋商</w:t>
      </w:r>
    </w:p>
    <w:p w14:paraId="7D4DF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预算金额（元）：1088000.00</w:t>
      </w:r>
    </w:p>
    <w:p w14:paraId="63A4F1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最高限价（元）：1077937.76</w:t>
      </w:r>
    </w:p>
    <w:p w14:paraId="150BB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采购需求：（1）原有调速器拆除（电气和机械部分）；（2）现场安装2套新式调速器，对压力管道的改变，电焊部位必须要进行检测合格；完成与（南瑞）机组现地LCU的通讯连接。（3）完成新调速器现场各项试验，并能满足本设计所列各项标准，出具正式报告。（4）提供主要控制器及电源模块备件。</w:t>
      </w:r>
    </w:p>
    <w:p w14:paraId="24411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合同履约期限：2026年8月31日前到现场；</w:t>
      </w:r>
      <w:r>
        <w:rPr>
          <w:rFonts w:hint="eastAsia" w:ascii="宋体" w:hAnsi="宋体" w:eastAsia="宋体" w:cs="宋体"/>
          <w:sz w:val="24"/>
          <w:szCs w:val="24"/>
          <w:highlight w:val="none"/>
          <w:lang w:val="en-US" w:eastAsia="zh-CN"/>
        </w:rPr>
        <w:t>现场安装计划日期：1号机组：2026年10月8日至10月20日13天；4号机组：2026年10月21日至11月3日14天；具体以调度实际批准停电日期为准。</w:t>
      </w:r>
    </w:p>
    <w:p w14:paraId="5679E41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二、申请人的资格要求：</w:t>
      </w:r>
    </w:p>
    <w:p w14:paraId="35FAD6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1.满足《中华人民共和国政府采购法</w:t>
      </w:r>
      <w:r>
        <w:rPr>
          <w:rFonts w:hint="eastAsia" w:ascii="宋体" w:hAnsi="宋体" w:eastAsia="宋体" w:cs="宋体"/>
          <w:sz w:val="24"/>
          <w:szCs w:val="24"/>
          <w:highlight w:val="none"/>
          <w:lang w:val="en-US" w:eastAsia="zh-CN"/>
        </w:rPr>
        <w:t>》第二十二条规定；</w:t>
      </w:r>
    </w:p>
    <w:p w14:paraId="427891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2.落实政府采购政策需满足的资格要求：标项1：本项目专门面向中小企业</w:t>
      </w:r>
    </w:p>
    <w:p w14:paraId="625C83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3B26CF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【标项1】</w:t>
      </w:r>
    </w:p>
    <w:p w14:paraId="083A8B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（1）供应商须具备设备采购、安装（包含土建）及售后服务和技术支持能力。</w:t>
      </w:r>
    </w:p>
    <w:p w14:paraId="048BC6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（2）项目负责人为本单位人员，需提供近6个月（2025年10月至2026年3月）社保证明。</w:t>
      </w:r>
    </w:p>
    <w:p w14:paraId="3C8A1B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（3）企业负责人为同一人或者存在直接控股、管理关系的不同投标人，不得参加同一合同项下的政府采购活动。否则，皆取消投标资格。</w:t>
      </w:r>
    </w:p>
    <w:p w14:paraId="639C3D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（4）本项目不接受联合体投标。</w:t>
      </w:r>
    </w:p>
    <w:p w14:paraId="0D0490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6E17F857">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日止</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14:00</w:t>
      </w:r>
      <w:r>
        <w:rPr>
          <w:rFonts w:hint="eastAsia" w:ascii="宋体" w:hAnsi="宋体" w:eastAsia="宋体" w:cs="宋体"/>
          <w:color w:val="auto"/>
          <w:sz w:val="24"/>
          <w:szCs w:val="24"/>
          <w:highlight w:val="none"/>
        </w:rPr>
        <w:t>，下午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23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59</w:t>
      </w:r>
      <w:r>
        <w:rPr>
          <w:rFonts w:hint="eastAsia" w:ascii="宋体" w:hAnsi="宋体" w:eastAsia="宋体" w:cs="宋体"/>
          <w:color w:val="auto"/>
          <w:sz w:val="24"/>
          <w:szCs w:val="24"/>
          <w:highlight w:val="none"/>
        </w:rPr>
        <w:t>（北京时间，法定节假日除外）。</w:t>
      </w:r>
    </w:p>
    <w:p w14:paraId="20D94B3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地点：政采云平台线上获取</w:t>
      </w:r>
    </w:p>
    <w:p w14:paraId="05EC6E6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方式：供应商登录政采云平台https://www.zcygov.cn/在线申请获取采购文件（进入“项目采购”应用，在获取采购文件菜单中选择项目，申请获取采购文件）</w:t>
      </w:r>
    </w:p>
    <w:p w14:paraId="3A8A30A7">
      <w:pPr>
        <w:spacing w:line="44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售价：0元</w:t>
      </w:r>
    </w:p>
    <w:p w14:paraId="527855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四、响应文件提交</w:t>
      </w:r>
    </w:p>
    <w:p w14:paraId="1A82A0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截</w:t>
      </w:r>
      <w:r>
        <w:rPr>
          <w:rFonts w:hint="eastAsia" w:ascii="宋体" w:hAnsi="宋体" w:eastAsia="宋体" w:cs="宋体"/>
          <w:color w:val="auto"/>
          <w:sz w:val="24"/>
          <w:szCs w:val="24"/>
          <w:highlight w:val="none"/>
          <w:lang w:val="en-US" w:eastAsia="zh-CN"/>
        </w:rPr>
        <w:t>止时间：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72F52A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地点：请登录政采云投标客户端投标</w:t>
      </w:r>
    </w:p>
    <w:p w14:paraId="5CFC4E6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响应文件开启</w:t>
      </w:r>
    </w:p>
    <w:p w14:paraId="44F2AF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开启时间：</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27</w:t>
      </w:r>
      <w:r>
        <w:rPr>
          <w:rFonts w:hint="eastAsia" w:ascii="宋体" w:hAnsi="宋体" w:eastAsia="宋体" w:cs="宋体"/>
          <w:bCs/>
          <w:color w:val="auto"/>
          <w:sz w:val="24"/>
          <w:szCs w:val="24"/>
          <w:highlight w:val="none"/>
          <w:u w:val="single"/>
        </w:rPr>
        <w:t>日11点00分</w:t>
      </w:r>
      <w:r>
        <w:rPr>
          <w:rFonts w:hint="eastAsia" w:ascii="宋体" w:hAnsi="宋体" w:eastAsia="宋体" w:cs="宋体"/>
          <w:color w:val="auto"/>
          <w:sz w:val="24"/>
          <w:szCs w:val="24"/>
          <w:highlight w:val="none"/>
          <w:lang w:val="en-US" w:eastAsia="zh-CN"/>
        </w:rPr>
        <w:t>（北京时间）</w:t>
      </w:r>
    </w:p>
    <w:p w14:paraId="3BB81C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地点：投标人登录政采云平台https://www.zcygov.cn/，进入“项目采购-开标评标-右边选择对应项目点击“进入项目”进入开标大厅。</w:t>
      </w:r>
    </w:p>
    <w:p w14:paraId="2752CBE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六、公告期限</w:t>
      </w:r>
    </w:p>
    <w:p w14:paraId="6A90C8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自本公告发布之日起3个工作日</w:t>
      </w:r>
    </w:p>
    <w:p w14:paraId="0137E76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七、其他补充事宜</w:t>
      </w:r>
    </w:p>
    <w:p w14:paraId="1B68C89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1、本项目实行网上投标，采用电子投标文件。</w:t>
      </w:r>
    </w:p>
    <w:p w14:paraId="01C3AA2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CEAF653">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3、供应商将政采云电子交易客户端下载、安装完成后，可通过账号密码或CA登录客户端进行投标文件的制作。在使用政采云投标客户端时，建议使用WIN7及以上操作系统。</w:t>
      </w:r>
    </w:p>
    <w:p w14:paraId="0ED53FB2">
      <w:pPr>
        <w:spacing w:line="4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4、其他事项：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落实《财政部发展改革委生态环境部市场监管总局关于调整优化节能产品环境标志产品政府采购执行机制的通知》（财库〔2019〕9号）；《关于促进残疾人就业政府采购政策的通知》(财库〔2017〕141号)；《关于政府</w:t>
      </w:r>
      <w:r>
        <w:rPr>
          <w:rFonts w:hint="eastAsia" w:ascii="宋体" w:hAnsi="宋体" w:eastAsia="宋体" w:cs="宋体"/>
          <w:color w:val="000000"/>
          <w:sz w:val="24"/>
          <w:szCs w:val="24"/>
          <w:highlight w:val="none"/>
        </w:rPr>
        <w:t>采购支持监狱企业发展有关问题的通知》(财库〔2014〕68号)》等政府采购政策。</w:t>
      </w:r>
    </w:p>
    <w:p w14:paraId="511372C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本项目实行全流程电子招投标。</w:t>
      </w:r>
    </w:p>
    <w:p w14:paraId="2339FB3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各投标供应商在开标前应确保成为新疆政府采购网正式注册入库供应商，并完成CA数字证书（符合国密标准）申领。因未注册入库、未办理CA数字证书等原因造成无法投标或投标失败等后果由投标供应商自行承担。有意向参与电子开评标的投标供应商，可访问新疆数字证书认证中心官方网站（https://www.xjca.com.cn/）或下载“新疆政务通”APP自行进行申领。如需咨询，请联系新疆CA服务热线0991-2819290。</w:t>
      </w:r>
    </w:p>
    <w:p w14:paraId="4122696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投标供应商自身原因导致在规定时间内无法正常解密的（如：浏览器故障、未安装相关驱动、网络故障、加密CA与解密CA不一致等），代理机构不予异常处理，视为投标供应商自动弃标。</w:t>
      </w:r>
    </w:p>
    <w:p w14:paraId="1BD4221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投标供应商在开标前应准备好电脑以及制作加密电子响应文件所使用的CA锁。电脑须提前配置好浏览器（建议使用360 浏览器或谷歌浏览器），开标时登录政采云平台，在“项目采购-开标评标”功能中，使用制作加密响应文件电子标书的CA锁进行解密及报价确认。本项目响应文件的解密时间定为30分钟内，若供应商在规定时间内因自身原因导致无法正常解密，后果由供应商自行承担。解密与加密响应文件须使用同一个 CA。  </w:t>
      </w:r>
    </w:p>
    <w:p w14:paraId="6C5CB2C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在投标截止时间前，投标供应商应将生成的“电子加密响应文件”上传递交至“政府采购云平台”，投标截止时间以后上传递交的响应文件将被“政府采购云平台”拒收。</w:t>
      </w:r>
    </w:p>
    <w:p w14:paraId="4BE8574E">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投标供应商应在投标截止时间后随时关注该项目开评标进度，保持通讯通畅，在规定时间内完成解密、答疑澄清回复、谈判函回复、报价签章等。</w:t>
      </w:r>
    </w:p>
    <w:p w14:paraId="2A148061">
      <w:pPr>
        <w:keepNext w:val="0"/>
        <w:keepLines w:val="0"/>
        <w:pageBreakBefore w:val="0"/>
        <w:widowControl w:val="0"/>
        <w:numPr>
          <w:ilvl w:val="0"/>
          <w:numId w:val="0"/>
        </w:numPr>
        <w:tabs>
          <w:tab w:val="left" w:pos="6720"/>
        </w:tabs>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ascii="宋体" w:hAnsi="宋体" w:eastAsia="宋体" w:cs="宋体"/>
          <w:color w:val="000000"/>
          <w:sz w:val="24"/>
          <w:szCs w:val="24"/>
        </w:rPr>
        <w:t>（8）异议渠道：新疆维吾尔自治区塔里木河流域乌鲁瓦提水利枢纽管理中心0903-2099619。</w:t>
      </w:r>
    </w:p>
    <w:p w14:paraId="3E1F0E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特别提示：</w:t>
      </w:r>
    </w:p>
    <w:p w14:paraId="7D009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1、采购限额标准以上，200万元以下的货物和服务采购项目、400万元以下的工程采购项目，适宜由中小企业提供的，采购人应当专门面向中小企业采购。</w:t>
      </w:r>
    </w:p>
    <w:p w14:paraId="01A32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2、超过200万元的货物和服务采购项目，预留该部分采购项目预算总额的30%以上专门面向中小企业采购，其中预留给小微企业的比例不低于60%。</w:t>
      </w:r>
    </w:p>
    <w:p w14:paraId="19643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3、超过400万元的工程采购项目中适宜由中小企业提供的，预留该部分采购项目预算总额的40%以上专门面向中小企业采购，其中预留给小微企业的比例不低于60%。</w:t>
      </w:r>
    </w:p>
    <w:p w14:paraId="1C75E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2E5E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62158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八、凡对本次招标提出询问，请按以下方式联系</w:t>
      </w:r>
    </w:p>
    <w:p w14:paraId="2F1A0D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1.采购人信息</w:t>
      </w:r>
    </w:p>
    <w:p w14:paraId="5B7062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名称：新疆维吾尔自治区塔里木河流域乌鲁瓦提水利枢纽管理中心</w:t>
      </w:r>
    </w:p>
    <w:p w14:paraId="0B2F3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地址：新疆和田市</w:t>
      </w:r>
    </w:p>
    <w:p w14:paraId="23FF5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联系人：吴国强</w:t>
      </w:r>
    </w:p>
    <w:p w14:paraId="666EBA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联系电话：0903-2099619</w:t>
      </w:r>
    </w:p>
    <w:p w14:paraId="5F5F3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2.采购代理机构信息</w:t>
      </w:r>
    </w:p>
    <w:p w14:paraId="2DB76F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名称：新疆新水建设工程造价咨询有限责任公司</w:t>
      </w:r>
    </w:p>
    <w:p w14:paraId="7851D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地址：新疆乌鲁木齐市沙依巴克区公园北街138号工人文化宫图书馆楼4楼</w:t>
      </w:r>
    </w:p>
    <w:p w14:paraId="0A2D9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联系人：李莉</w:t>
      </w:r>
    </w:p>
    <w:p w14:paraId="1993B7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电话：17716922281</w:t>
      </w:r>
    </w:p>
    <w:p w14:paraId="0B0FAA5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1D43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1" w:name="_Toc29804"/>
      <w:r>
        <w:rPr>
          <w:rFonts w:hint="eastAsia" w:ascii="宋体" w:hAnsi="宋体" w:eastAsia="宋体" w:cs="宋体"/>
          <w:sz w:val="28"/>
          <w:szCs w:val="28"/>
          <w:lang w:val="en-US" w:eastAsia="zh-CN"/>
        </w:rPr>
        <w:t>第二章  磋商须知</w:t>
      </w:r>
      <w:bookmarkEnd w:id="1"/>
    </w:p>
    <w:p w14:paraId="190AF6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磋商须知前附表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9445"/>
      </w:tblGrid>
      <w:tr w14:paraId="4748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7" w:type="dxa"/>
            <w:vAlign w:val="center"/>
          </w:tcPr>
          <w:p w14:paraId="58DA87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445" w:type="dxa"/>
            <w:vAlign w:val="center"/>
          </w:tcPr>
          <w:p w14:paraId="6CF76B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内容</w:t>
            </w:r>
          </w:p>
        </w:tc>
      </w:tr>
      <w:tr w14:paraId="6875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C03A4C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45" w:type="dxa"/>
            <w:vAlign w:val="center"/>
          </w:tcPr>
          <w:p w14:paraId="02856D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采购人</w:t>
            </w:r>
            <w:r>
              <w:rPr>
                <w:rFonts w:hint="eastAsia" w:ascii="宋体" w:hAnsi="宋体" w:eastAsia="宋体" w:cs="宋体"/>
                <w:sz w:val="24"/>
                <w:szCs w:val="24"/>
                <w:highlight w:val="none"/>
                <w:vertAlign w:val="baseline"/>
                <w:lang w:val="en-US" w:eastAsia="zh-CN"/>
              </w:rPr>
              <w:t>：新疆维吾尔自治区塔里木河流域乌鲁瓦提水利枢纽管理中心</w:t>
            </w:r>
          </w:p>
          <w:p w14:paraId="383A0C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地址：新疆和田市</w:t>
            </w:r>
          </w:p>
          <w:p w14:paraId="70BEDC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default" w:ascii="宋体" w:hAnsi="宋体" w:eastAsia="宋体" w:cs="宋体"/>
                <w:sz w:val="24"/>
                <w:szCs w:val="24"/>
                <w:highlight w:val="none"/>
                <w:vertAlign w:val="baseline"/>
                <w:lang w:val="en-US" w:eastAsia="zh-CN"/>
              </w:rPr>
              <w:t>联系方式：</w:t>
            </w:r>
            <w:r>
              <w:rPr>
                <w:rFonts w:hint="eastAsia" w:ascii="宋体" w:hAnsi="宋体" w:eastAsia="宋体" w:cs="宋体"/>
                <w:sz w:val="24"/>
                <w:szCs w:val="24"/>
                <w:highlight w:val="none"/>
                <w:vertAlign w:val="baseline"/>
                <w:lang w:val="en-US" w:eastAsia="zh-CN"/>
              </w:rPr>
              <w:t>0903-2099619</w:t>
            </w:r>
          </w:p>
        </w:tc>
      </w:tr>
      <w:tr w14:paraId="6D5D5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B255E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445" w:type="dxa"/>
            <w:vAlign w:val="center"/>
          </w:tcPr>
          <w:p w14:paraId="50583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采购代理机构</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vertAlign w:val="baseline"/>
                <w:lang w:val="en-US" w:eastAsia="zh-CN"/>
              </w:rPr>
              <w:t>新疆新水建设工程造价咨询有限责任公司</w:t>
            </w:r>
          </w:p>
          <w:p w14:paraId="12BA2B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地址：新疆乌鲁木齐市沙依巴克区公园北街138号工人文化宫图书馆楼4楼</w:t>
            </w:r>
          </w:p>
          <w:p w14:paraId="4D977D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联系人：李莉</w:t>
            </w:r>
          </w:p>
          <w:p w14:paraId="5C7E1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highlight w:val="none"/>
                <w:vertAlign w:val="baseline"/>
                <w:lang w:val="en-US" w:eastAsia="zh-CN"/>
              </w:rPr>
              <w:t>电话：17716922281</w:t>
            </w:r>
          </w:p>
        </w:tc>
      </w:tr>
      <w:tr w14:paraId="439B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5CA6E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45" w:type="dxa"/>
            <w:vAlign w:val="center"/>
          </w:tcPr>
          <w:p w14:paraId="6CF097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项目名称：</w:t>
            </w:r>
            <w:r>
              <w:rPr>
                <w:rFonts w:hint="eastAsia" w:ascii="宋体" w:hAnsi="宋体" w:eastAsia="宋体" w:cs="宋体"/>
                <w:sz w:val="24"/>
                <w:szCs w:val="24"/>
                <w:highlight w:val="none"/>
                <w:lang w:val="en-US" w:eastAsia="zh-CN"/>
              </w:rPr>
              <w:t>塔里木河流域乌鲁瓦提水利枢纽管理中心2026年自有资金投资建设工程 （1号、4号调速器升级改造项目）</w:t>
            </w:r>
          </w:p>
          <w:p w14:paraId="4F3633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项目（合同）编号</w:t>
            </w:r>
            <w:r>
              <w:rPr>
                <w:rFonts w:hint="eastAsia" w:ascii="宋体" w:hAnsi="宋体" w:eastAsia="宋体" w:cs="宋体"/>
                <w:sz w:val="24"/>
                <w:szCs w:val="24"/>
                <w:highlight w:val="none"/>
                <w:vertAlign w:val="baseline"/>
                <w:lang w:eastAsia="zh-CN"/>
              </w:rPr>
              <w:t>：</w:t>
            </w:r>
            <w:r>
              <w:rPr>
                <w:rFonts w:hint="eastAsia" w:ascii="宋体" w:hAnsi="宋体" w:eastAsia="宋体" w:cs="宋体"/>
                <w:sz w:val="24"/>
                <w:szCs w:val="24"/>
                <w:highlight w:val="none"/>
                <w:lang w:val="en-US" w:eastAsia="zh-CN"/>
              </w:rPr>
              <w:t>TGJWLWTGLZX-2026QTGC001</w:t>
            </w:r>
          </w:p>
        </w:tc>
      </w:tr>
      <w:tr w14:paraId="430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697C8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45" w:type="dxa"/>
            <w:vAlign w:val="center"/>
          </w:tcPr>
          <w:p w14:paraId="23FAEFC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采购需求：（1）原有调速器拆除（电气和机械部分）；（2）现场安装2套新式调速器，对压力管道的改变，电焊部位必须要进行检测合格；完成与（南瑞）机组现地LCU的通讯连接。（3）完成新调速器现场各项试验，并能满足本设计所列各项标准，出具正式报告。（4）提供主要控制器及电源模块备件。</w:t>
            </w:r>
          </w:p>
        </w:tc>
      </w:tr>
      <w:tr w14:paraId="17C1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E7EEC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45" w:type="dxa"/>
            <w:vAlign w:val="center"/>
          </w:tcPr>
          <w:p w14:paraId="49B0AE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项目实施地点：位于和田县朗如乡乌鲁瓦提枢纽区，距和田市71公里</w:t>
            </w:r>
          </w:p>
        </w:tc>
      </w:tr>
      <w:tr w14:paraId="473B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9B112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445" w:type="dxa"/>
            <w:vAlign w:val="center"/>
          </w:tcPr>
          <w:p w14:paraId="75BA16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合同履约期限：2026年8月31日前到现场；现场安装计划日期：1号机组：2026年10月8日至10月20日13天；4号机组：2026年10月21日至11月3日14天；具体以调度实际批准停电日期为准。</w:t>
            </w:r>
          </w:p>
        </w:tc>
      </w:tr>
      <w:tr w14:paraId="244D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7571E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445" w:type="dxa"/>
            <w:vAlign w:val="center"/>
          </w:tcPr>
          <w:p w14:paraId="31BB1C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踏勘现场：</w:t>
            </w:r>
            <w:r>
              <w:rPr>
                <w:rFonts w:hint="eastAsia" w:ascii="宋体" w:hAnsi="宋体" w:eastAsia="宋体" w:cs="宋体"/>
                <w:sz w:val="24"/>
                <w:szCs w:val="24"/>
                <w:vertAlign w:val="baseline"/>
                <w:lang w:val="en-US" w:eastAsia="zh-CN"/>
              </w:rPr>
              <w:t>不组织</w:t>
            </w:r>
          </w:p>
        </w:tc>
      </w:tr>
      <w:tr w14:paraId="296E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A586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445" w:type="dxa"/>
            <w:vAlign w:val="center"/>
          </w:tcPr>
          <w:p w14:paraId="7D9F9B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供应商的资格要求：</w:t>
            </w:r>
          </w:p>
          <w:p w14:paraId="7E5489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1.满足《中华人民共和国政府采购法》第二十二条规定；</w:t>
            </w:r>
          </w:p>
          <w:p w14:paraId="6FEC1B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vertAlign w:val="baseline"/>
                <w:lang w:eastAsia="zh-CN"/>
              </w:rPr>
              <w:t>2.落实政府采购政策需满足的资格要求：标项</w:t>
            </w:r>
            <w:r>
              <w:rPr>
                <w:rFonts w:hint="eastAsia" w:ascii="宋体" w:hAnsi="宋体" w:eastAsia="宋体" w:cs="宋体"/>
                <w:sz w:val="24"/>
                <w:szCs w:val="24"/>
                <w:highlight w:val="none"/>
                <w:vertAlign w:val="baseline"/>
                <w:lang w:eastAsia="zh-CN"/>
              </w:rPr>
              <w:t>1：本项目专门面向中小企业</w:t>
            </w:r>
          </w:p>
          <w:p w14:paraId="76C81C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3.本项目的特定资格要求：</w:t>
            </w:r>
          </w:p>
          <w:p w14:paraId="29C334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（1）供应商须具备设备采购、安装（包含土建）及售后服务和技术支持能力。</w:t>
            </w:r>
          </w:p>
          <w:p w14:paraId="02103A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（2）项目负责人为本单位人员，需提供近6个月（2025年</w:t>
            </w: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eastAsia="zh-CN"/>
              </w:rPr>
              <w:t>月至2026年</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月）社保证明。</w:t>
            </w:r>
          </w:p>
          <w:p w14:paraId="31DF05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（3）具有良好的商业信誉和健全的财务会计制度（提供202</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年度财务审计报告，包括资产负债表、现金流量表、损益表（利润表）和财务情况说明书，成立不足一年的提供成立至今的财务报表或银行资信证明）。</w:t>
            </w:r>
          </w:p>
          <w:p w14:paraId="5D0D0F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）具有履行合同所必需的设备和专业技术能力（根据项目需求提供履行合同所必需的设备和专业技术能力的证明材料或加盖单位公章的书面承诺函）；</w:t>
            </w:r>
          </w:p>
          <w:p w14:paraId="7BE5CB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p w14:paraId="04DE01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）参加政府采购活动前三年内，在经营活动中没有重大违法记录（提供参加本次政府采购活动前3年内在经营活动中没有重大违法记录承诺函）；</w:t>
            </w:r>
          </w:p>
          <w:p w14:paraId="7DC82A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7</w:t>
            </w:r>
            <w:r>
              <w:rPr>
                <w:rFonts w:hint="eastAsia" w:ascii="宋体" w:hAnsi="宋体" w:eastAsia="宋体" w:cs="宋体"/>
                <w:sz w:val="24"/>
                <w:szCs w:val="24"/>
                <w:vertAlign w:val="baseline"/>
                <w:lang w:eastAsia="zh-CN"/>
              </w:rPr>
              <w:t>）法律、行政法规规定的其他条件。</w:t>
            </w:r>
          </w:p>
          <w:p w14:paraId="6B2A50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8</w:t>
            </w:r>
            <w:r>
              <w:rPr>
                <w:rFonts w:hint="eastAsia" w:ascii="宋体" w:hAnsi="宋体" w:eastAsia="宋体" w:cs="宋体"/>
                <w:sz w:val="24"/>
                <w:szCs w:val="24"/>
                <w:vertAlign w:val="baseline"/>
                <w:lang w:eastAsia="zh-CN"/>
              </w:rPr>
              <w:t>）本项目不接受联合体投标。</w:t>
            </w:r>
          </w:p>
          <w:p w14:paraId="4F109D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9）与采购人存在利害关系可能影响招标公正性的法人、其他组织或者个人，不得参加投标；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2CA2F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10）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w:t>
            </w:r>
          </w:p>
        </w:tc>
      </w:tr>
      <w:tr w14:paraId="127F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BDCF6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9445" w:type="dxa"/>
            <w:vAlign w:val="center"/>
          </w:tcPr>
          <w:p w14:paraId="6FA049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是否允许联合体投标：</w:t>
            </w:r>
            <w:r>
              <w:rPr>
                <w:rFonts w:hint="eastAsia" w:ascii="宋体" w:hAnsi="宋体" w:eastAsia="宋体" w:cs="宋体"/>
                <w:sz w:val="24"/>
                <w:szCs w:val="24"/>
                <w:vertAlign w:val="baseline"/>
                <w:lang w:val="en-US" w:eastAsia="zh-CN"/>
              </w:rPr>
              <w:t>否</w:t>
            </w:r>
          </w:p>
        </w:tc>
      </w:tr>
      <w:tr w14:paraId="6473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E22B7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445" w:type="dxa"/>
            <w:vAlign w:val="center"/>
          </w:tcPr>
          <w:p w14:paraId="3C2AD4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最高限价：1077937.76</w:t>
            </w:r>
            <w:r>
              <w:rPr>
                <w:rFonts w:hint="eastAsia" w:ascii="宋体" w:hAnsi="宋体" w:eastAsia="宋体" w:cs="宋体"/>
                <w:sz w:val="24"/>
                <w:szCs w:val="24"/>
                <w:highlight w:val="none"/>
                <w:vertAlign w:val="baseline"/>
                <w:lang w:val="en-US" w:eastAsia="zh-CN"/>
              </w:rPr>
              <w:t>元（含预留金50000.00元），超过最高限价的报价为无效报价。</w:t>
            </w:r>
          </w:p>
        </w:tc>
      </w:tr>
      <w:tr w14:paraId="779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B8183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9445" w:type="dxa"/>
            <w:vAlign w:val="center"/>
          </w:tcPr>
          <w:p w14:paraId="73E36F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项目资金来源：</w:t>
            </w:r>
            <w:r>
              <w:rPr>
                <w:rFonts w:hint="eastAsia" w:ascii="宋体" w:hAnsi="宋体" w:eastAsia="宋体" w:cs="宋体"/>
                <w:sz w:val="24"/>
                <w:szCs w:val="24"/>
                <w:highlight w:val="none"/>
                <w:vertAlign w:val="baseline"/>
                <w:lang w:val="en-US" w:eastAsia="zh-CN"/>
              </w:rPr>
              <w:t>自有资金</w:t>
            </w:r>
          </w:p>
        </w:tc>
      </w:tr>
      <w:tr w14:paraId="6BD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3ECBD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9445" w:type="dxa"/>
            <w:vAlign w:val="center"/>
          </w:tcPr>
          <w:p w14:paraId="5A3A2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评审方法：综合评分法，响应文件满足磋商文件全部实质性要求且按评审因素的量化指标评审得分最高的供应商为</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候选供应商的评审方法。</w:t>
            </w:r>
          </w:p>
          <w:p w14:paraId="25E5F3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成交原则：依据提交最后报价的供应商，由磋商小组采用综合评分法对提交最后报价的供应商的磋商响应文件和最后报价进行综合评分。</w:t>
            </w:r>
          </w:p>
        </w:tc>
      </w:tr>
      <w:tr w14:paraId="0896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44BE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9445" w:type="dxa"/>
            <w:vAlign w:val="center"/>
          </w:tcPr>
          <w:p w14:paraId="21E346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推荐</w:t>
            </w:r>
            <w:r>
              <w:rPr>
                <w:rFonts w:hint="eastAsia" w:ascii="宋体" w:hAnsi="宋体" w:eastAsia="宋体" w:cs="宋体"/>
                <w:sz w:val="24"/>
                <w:szCs w:val="24"/>
                <w:vertAlign w:val="baseline"/>
                <w:lang w:val="en-US" w:eastAsia="zh-CN"/>
              </w:rPr>
              <w:t>成交</w:t>
            </w:r>
            <w:r>
              <w:rPr>
                <w:rFonts w:hint="eastAsia" w:ascii="宋体" w:hAnsi="宋体" w:eastAsia="宋体" w:cs="宋体"/>
                <w:sz w:val="24"/>
                <w:szCs w:val="24"/>
                <w:vertAlign w:val="baseline"/>
                <w:lang w:eastAsia="zh-CN"/>
              </w:rPr>
              <w:t>候选供应商的数量：3个</w:t>
            </w:r>
          </w:p>
        </w:tc>
      </w:tr>
      <w:tr w14:paraId="10CB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569A7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9445" w:type="dxa"/>
            <w:vAlign w:val="center"/>
          </w:tcPr>
          <w:p w14:paraId="1F14C7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保证金金额：</w:t>
            </w:r>
            <w:r>
              <w:rPr>
                <w:rFonts w:hint="eastAsia" w:ascii="宋体" w:hAnsi="宋体" w:eastAsia="宋体" w:cs="宋体"/>
                <w:sz w:val="24"/>
                <w:szCs w:val="24"/>
                <w:highlight w:val="none"/>
                <w:vertAlign w:val="baseline"/>
                <w:lang w:val="en-US" w:eastAsia="zh-CN"/>
              </w:rPr>
              <w:t>20000</w:t>
            </w:r>
            <w:r>
              <w:rPr>
                <w:rFonts w:hint="eastAsia" w:ascii="宋体" w:hAnsi="宋体" w:eastAsia="宋体" w:cs="宋体"/>
                <w:sz w:val="24"/>
                <w:szCs w:val="24"/>
                <w:highlight w:val="none"/>
                <w:vertAlign w:val="baseline"/>
                <w:lang w:eastAsia="zh-CN"/>
              </w:rPr>
              <w:t>元（大写：</w:t>
            </w:r>
            <w:r>
              <w:rPr>
                <w:rFonts w:hint="eastAsia" w:ascii="宋体" w:hAnsi="宋体" w:eastAsia="宋体" w:cs="宋体"/>
                <w:sz w:val="24"/>
                <w:szCs w:val="24"/>
                <w:highlight w:val="none"/>
                <w:vertAlign w:val="baseline"/>
                <w:lang w:val="en-US" w:eastAsia="zh-CN"/>
              </w:rPr>
              <w:t>贰万元整</w:t>
            </w:r>
            <w:r>
              <w:rPr>
                <w:rFonts w:hint="eastAsia" w:ascii="宋体" w:hAnsi="宋体" w:eastAsia="宋体" w:cs="宋体"/>
                <w:sz w:val="24"/>
                <w:szCs w:val="24"/>
                <w:highlight w:val="none"/>
                <w:vertAlign w:val="baseline"/>
                <w:lang w:eastAsia="zh-CN"/>
              </w:rPr>
              <w:t>）</w:t>
            </w:r>
          </w:p>
          <w:p w14:paraId="3C4CF1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w:t>
            </w:r>
            <w:r>
              <w:rPr>
                <w:rFonts w:hint="eastAsia" w:ascii="宋体" w:hAnsi="宋体" w:eastAsia="宋体" w:cs="宋体"/>
                <w:sz w:val="24"/>
                <w:szCs w:val="24"/>
                <w:highlight w:val="none"/>
                <w:vertAlign w:val="baseline"/>
                <w:lang w:val="en-US" w:eastAsia="zh-CN"/>
              </w:rPr>
              <w:t>缴纳方式</w:t>
            </w:r>
            <w:r>
              <w:rPr>
                <w:rFonts w:hint="eastAsia" w:ascii="宋体" w:hAnsi="宋体" w:eastAsia="宋体" w:cs="宋体"/>
                <w:sz w:val="24"/>
                <w:szCs w:val="24"/>
                <w:highlight w:val="none"/>
                <w:vertAlign w:val="baseline"/>
                <w:lang w:eastAsia="zh-CN"/>
              </w:rPr>
              <w:t>：电汇、网银转账、保函等非现金形式缴纳（法律法规规定的其他形式）</w:t>
            </w:r>
          </w:p>
          <w:p w14:paraId="293F5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开户名：新疆新水建设工程造价咨询有限责任公司</w:t>
            </w:r>
          </w:p>
          <w:p w14:paraId="3DC576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开户银行：交通银行新疆维吾尔自治区分行营业部</w:t>
            </w:r>
          </w:p>
          <w:p w14:paraId="33A3E7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账号：651651008013000084722</w:t>
            </w:r>
          </w:p>
          <w:p w14:paraId="413379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行号：301881000026</w:t>
            </w:r>
          </w:p>
          <w:p w14:paraId="6AA948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联系电话：杜心园18099116593</w:t>
            </w:r>
          </w:p>
          <w:p w14:paraId="5E3D57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递交时间：响应文件递交截止时间前</w:t>
            </w:r>
          </w:p>
          <w:p w14:paraId="08740C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val="en-US" w:eastAsia="zh-CN"/>
              </w:rPr>
              <w:t>递交</w:t>
            </w:r>
            <w:r>
              <w:rPr>
                <w:rFonts w:hint="eastAsia" w:ascii="宋体" w:hAnsi="宋体" w:eastAsia="宋体" w:cs="宋体"/>
                <w:sz w:val="24"/>
                <w:szCs w:val="24"/>
                <w:highlight w:val="none"/>
                <w:vertAlign w:val="baseline"/>
                <w:lang w:eastAsia="zh-CN"/>
              </w:rPr>
              <w:t>方式：转出账户必须与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名称一致，否则不予受理。须注明所投项目</w:t>
            </w:r>
            <w:r>
              <w:rPr>
                <w:rFonts w:hint="eastAsia" w:ascii="宋体" w:hAnsi="宋体" w:eastAsia="宋体" w:cs="宋体"/>
                <w:sz w:val="24"/>
                <w:szCs w:val="24"/>
                <w:highlight w:val="none"/>
                <w:vertAlign w:val="baseline"/>
                <w:lang w:val="en-US" w:eastAsia="zh-CN"/>
              </w:rPr>
              <w:t>名称</w:t>
            </w:r>
            <w:r>
              <w:rPr>
                <w:rFonts w:hint="eastAsia" w:ascii="宋体" w:hAnsi="宋体" w:eastAsia="宋体" w:cs="宋体"/>
                <w:sz w:val="24"/>
                <w:szCs w:val="24"/>
                <w:highlight w:val="none"/>
                <w:vertAlign w:val="baseline"/>
                <w:lang w:eastAsia="zh-CN"/>
              </w:rPr>
              <w:t>及项目编号，</w:t>
            </w:r>
            <w:r>
              <w:rPr>
                <w:rFonts w:hint="eastAsia" w:ascii="宋体" w:hAnsi="宋体" w:eastAsia="宋体" w:cs="宋体"/>
                <w:sz w:val="24"/>
                <w:szCs w:val="24"/>
                <w:highlight w:val="none"/>
                <w:vertAlign w:val="baseline"/>
                <w:lang w:val="en-US" w:eastAsia="zh-CN"/>
              </w:rPr>
              <w:t>递交磋商</w:t>
            </w:r>
            <w:r>
              <w:rPr>
                <w:rFonts w:hint="eastAsia" w:ascii="宋体" w:hAnsi="宋体" w:eastAsia="宋体" w:cs="宋体"/>
                <w:sz w:val="24"/>
                <w:szCs w:val="24"/>
                <w:highlight w:val="none"/>
                <w:vertAlign w:val="baseline"/>
                <w:lang w:eastAsia="zh-CN"/>
              </w:rPr>
              <w:t>保证金应充分考虑相关时间。</w:t>
            </w:r>
          </w:p>
          <w:p w14:paraId="62ACA7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保证金到账时间以</w:t>
            </w:r>
            <w:r>
              <w:rPr>
                <w:rFonts w:hint="eastAsia" w:ascii="宋体" w:hAnsi="宋体" w:eastAsia="宋体" w:cs="宋体"/>
                <w:sz w:val="24"/>
                <w:szCs w:val="24"/>
                <w:highlight w:val="none"/>
                <w:vertAlign w:val="baseline"/>
                <w:lang w:val="en-US" w:eastAsia="zh-CN"/>
              </w:rPr>
              <w:t>新疆新水建设工程造价咨询有限责任公司</w:t>
            </w:r>
            <w:r>
              <w:rPr>
                <w:rFonts w:hint="eastAsia" w:ascii="宋体" w:hAnsi="宋体" w:eastAsia="宋体" w:cs="宋体"/>
                <w:sz w:val="24"/>
                <w:szCs w:val="24"/>
                <w:highlight w:val="none"/>
                <w:vertAlign w:val="baseline"/>
                <w:lang w:eastAsia="zh-CN"/>
              </w:rPr>
              <w:t>账户实际到账时间为准，如未在磋商文件规定的时间内到账，视为响应文件递交无效，自行承担责任。</w:t>
            </w:r>
          </w:p>
          <w:p w14:paraId="3483D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若采用保函形式：采用保函形式应按以下要求办理：备注：1、保函须在</w:t>
            </w:r>
            <w:r>
              <w:rPr>
                <w:rFonts w:hint="eastAsia" w:ascii="宋体" w:hAnsi="宋体" w:eastAsia="宋体" w:cs="宋体"/>
                <w:sz w:val="24"/>
                <w:szCs w:val="24"/>
                <w:highlight w:val="none"/>
                <w:vertAlign w:val="baseline"/>
                <w:lang w:val="en-US" w:eastAsia="zh-CN"/>
              </w:rPr>
              <w:t>磋商</w:t>
            </w:r>
            <w:r>
              <w:rPr>
                <w:rFonts w:hint="eastAsia" w:ascii="宋体" w:hAnsi="宋体" w:eastAsia="宋体" w:cs="宋体"/>
                <w:sz w:val="24"/>
                <w:szCs w:val="24"/>
                <w:highlight w:val="none"/>
                <w:vertAlign w:val="baseline"/>
                <w:lang w:eastAsia="zh-CN"/>
              </w:rPr>
              <w:t>文件规定的截止时间前办理完成；2.保函金额不得少于保证金金额；3、保函的有效期不得少于本项目投标有效期；4、保函应是针对本项目开具的；5、保函是投标文件中的组成部分；6.保函按照“一项目一保函”的原则；7.投标单位提供的保函必须是政采云电子保函并且真实有效，否则后果自负。</w:t>
            </w:r>
          </w:p>
        </w:tc>
      </w:tr>
      <w:tr w14:paraId="656E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6AE07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9445" w:type="dxa"/>
            <w:vAlign w:val="center"/>
          </w:tcPr>
          <w:p w14:paraId="64B1BE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vertAlign w:val="baseline"/>
                <w:lang w:eastAsia="zh-CN"/>
              </w:rPr>
              <w:t>磋商小组</w:t>
            </w:r>
            <w:r>
              <w:rPr>
                <w:rFonts w:hint="eastAsia" w:ascii="宋体" w:hAnsi="宋体" w:eastAsia="宋体" w:cs="宋体"/>
                <w:sz w:val="24"/>
                <w:szCs w:val="24"/>
                <w:highlight w:val="none"/>
                <w:vertAlign w:val="baseline"/>
                <w:lang w:eastAsia="zh-CN"/>
              </w:rPr>
              <w:t>的组成：评审专家人数：</w:t>
            </w:r>
            <w:r>
              <w:rPr>
                <w:rFonts w:hint="eastAsia" w:ascii="宋体" w:hAnsi="宋体" w:eastAsia="宋体" w:cs="宋体"/>
                <w:sz w:val="24"/>
                <w:szCs w:val="24"/>
                <w:highlight w:val="none"/>
                <w:u w:val="single"/>
                <w:vertAlign w:val="baseline"/>
                <w:lang w:val="en-US" w:eastAsia="zh-CN"/>
              </w:rPr>
              <w:t>3</w:t>
            </w:r>
            <w:r>
              <w:rPr>
                <w:rFonts w:hint="eastAsia" w:ascii="宋体" w:hAnsi="宋体" w:eastAsia="宋体" w:cs="宋体"/>
                <w:sz w:val="24"/>
                <w:szCs w:val="24"/>
                <w:highlight w:val="none"/>
                <w:vertAlign w:val="baseline"/>
                <w:lang w:eastAsia="zh-CN"/>
              </w:rPr>
              <w:t>人，其中采购人代表</w:t>
            </w:r>
            <w:r>
              <w:rPr>
                <w:rFonts w:hint="eastAsia" w:ascii="宋体" w:hAnsi="宋体" w:eastAsia="宋体" w:cs="宋体"/>
                <w:sz w:val="24"/>
                <w:szCs w:val="24"/>
                <w:highlight w:val="none"/>
                <w:u w:val="single"/>
                <w:vertAlign w:val="baseline"/>
                <w:lang w:val="en-US" w:eastAsia="zh-CN"/>
              </w:rPr>
              <w:t>1</w:t>
            </w:r>
            <w:r>
              <w:rPr>
                <w:rFonts w:hint="eastAsia" w:ascii="宋体" w:hAnsi="宋体" w:eastAsia="宋体" w:cs="宋体"/>
                <w:sz w:val="24"/>
                <w:szCs w:val="24"/>
                <w:highlight w:val="none"/>
                <w:vertAlign w:val="baseline"/>
                <w:lang w:eastAsia="zh-CN"/>
              </w:rPr>
              <w:t>人，专家</w:t>
            </w:r>
            <w:r>
              <w:rPr>
                <w:rFonts w:hint="eastAsia" w:ascii="宋体" w:hAnsi="宋体" w:eastAsia="宋体" w:cs="宋体"/>
                <w:sz w:val="24"/>
                <w:szCs w:val="24"/>
                <w:highlight w:val="none"/>
                <w:u w:val="single"/>
                <w:vertAlign w:val="baseline"/>
                <w:lang w:val="en-US" w:eastAsia="zh-CN"/>
              </w:rPr>
              <w:t>2</w:t>
            </w:r>
            <w:r>
              <w:rPr>
                <w:rFonts w:hint="eastAsia" w:ascii="宋体" w:hAnsi="宋体" w:eastAsia="宋体" w:cs="宋体"/>
                <w:sz w:val="24"/>
                <w:szCs w:val="24"/>
                <w:highlight w:val="none"/>
                <w:vertAlign w:val="baseline"/>
                <w:lang w:eastAsia="zh-CN"/>
              </w:rPr>
              <w:t>人。</w:t>
            </w:r>
          </w:p>
          <w:p w14:paraId="559E28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评审专家确定方式：评标专家库中随机抽取确定。</w:t>
            </w:r>
          </w:p>
        </w:tc>
      </w:tr>
      <w:tr w14:paraId="78BA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3BA1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9445" w:type="dxa"/>
            <w:vAlign w:val="center"/>
          </w:tcPr>
          <w:p w14:paraId="1C2DAB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磋商</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有效期：供应商同意响应文件在磋商文件规定的</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截止日期届满后立即对供应商产生法律约束力，磋商有效期截至磋商日后90日历天。</w:t>
            </w:r>
          </w:p>
        </w:tc>
      </w:tr>
      <w:tr w14:paraId="414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Align w:val="center"/>
          </w:tcPr>
          <w:p w14:paraId="728B2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9445" w:type="dxa"/>
            <w:vAlign w:val="center"/>
          </w:tcPr>
          <w:p w14:paraId="074AC8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报价说明：</w:t>
            </w:r>
          </w:p>
          <w:p w14:paraId="1A3A36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本工程的响应报价采用总价方式进行报价。</w:t>
            </w:r>
            <w:r>
              <w:rPr>
                <w:rFonts w:hint="eastAsia" w:ascii="宋体" w:hAnsi="宋体" w:eastAsia="宋体" w:cs="宋体"/>
                <w:sz w:val="24"/>
                <w:szCs w:val="24"/>
                <w:vertAlign w:val="baseline"/>
                <w:lang w:val="en-US" w:eastAsia="zh-CN"/>
              </w:rPr>
              <w:br w:type="textWrapping"/>
            </w:r>
            <w:r>
              <w:rPr>
                <w:rFonts w:hint="eastAsia" w:ascii="宋体" w:hAnsi="宋体" w:eastAsia="宋体" w:cs="宋体"/>
                <w:sz w:val="24"/>
                <w:szCs w:val="24"/>
                <w:vertAlign w:val="baseline"/>
                <w:lang w:val="en-US" w:eastAsia="zh-CN"/>
              </w:rPr>
              <w:t>报价（含首次报价或最后报价）超出本项目采购预算金额的为无效报价，其响应文件将被认定为无效响应。供应商多轮报价须在前一次报价的基础上下浮，即供应商根据清单的每一个子项填写新的报价，合计后得出总价进行报价（四舍五入，保留两位小数）。</w:t>
            </w:r>
          </w:p>
        </w:tc>
      </w:tr>
      <w:tr w14:paraId="2C53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C59AE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9445" w:type="dxa"/>
            <w:vAlign w:val="center"/>
          </w:tcPr>
          <w:p w14:paraId="646E85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是否为专门面向中小企业采购：是（专门面向中小企业采购，供应商需出具《中小企业声明函》</w:t>
            </w:r>
          </w:p>
        </w:tc>
      </w:tr>
      <w:tr w14:paraId="4EFB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DDF7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w:t>
            </w:r>
          </w:p>
        </w:tc>
        <w:tc>
          <w:tcPr>
            <w:tcW w:w="9445" w:type="dxa"/>
            <w:vAlign w:val="center"/>
          </w:tcPr>
          <w:p w14:paraId="32C1C1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yellow"/>
                <w:vertAlign w:val="baseline"/>
                <w:lang w:val="en-US" w:eastAsia="zh-CN"/>
              </w:rPr>
            </w:pPr>
            <w:r>
              <w:rPr>
                <w:rFonts w:hint="default" w:ascii="宋体" w:hAnsi="宋体" w:eastAsia="宋体" w:cs="宋体"/>
                <w:sz w:val="24"/>
                <w:szCs w:val="24"/>
                <w:highlight w:val="none"/>
                <w:vertAlign w:val="baseline"/>
                <w:lang w:val="en-US" w:eastAsia="zh-CN"/>
              </w:rPr>
              <w:t>中标后，主要材料、设备须经招标人和监理人共同确认复核后方可进场。</w:t>
            </w:r>
          </w:p>
        </w:tc>
      </w:tr>
      <w:tr w14:paraId="34F0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61E1D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9445" w:type="dxa"/>
            <w:vAlign w:val="center"/>
          </w:tcPr>
          <w:p w14:paraId="080371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2.本项目实行网上投标，采用电子投标文件（供应商须使用CA加密设备通过政采云电子投标客户端制作投标文件）。若供应商参与投标，自行承担投标一切费用。3.各供应商应在开标前应确保成为新疆维吾尔自治区政府采购网正式注册入库供应商，并完成CA数字证书申领。因未注册入库、未办理CA数字证书等原因造成无法投标或投标失败等后果由供应商自行承担。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5.供应商在开标时须使用制作加密电子投标文件所使用的CA锁及电脑，电脑须提前配置好浏览器（建议使用360浏览器或谷歌浏览器），以便开标时解锁。6、投标供应商应当在投标截止时间前，将生成的“JMBS格式电子加密响应文件”上传递交至“政府采购云平台”，投标截止时间以后上传递交的响应文件将被“政府采购云平台”拒收。7、评标结束后，</w:t>
            </w:r>
            <w:r>
              <w:rPr>
                <w:rFonts w:hint="eastAsia" w:ascii="宋体" w:hAnsi="宋体" w:eastAsia="宋体" w:cs="宋体"/>
                <w:sz w:val="24"/>
                <w:szCs w:val="24"/>
                <w:vertAlign w:val="baseline"/>
                <w:lang w:val="en-US" w:eastAsia="zh-CN"/>
              </w:rPr>
              <w:t>成交供应商</w:t>
            </w:r>
            <w:r>
              <w:rPr>
                <w:rFonts w:hint="eastAsia" w:ascii="宋体" w:hAnsi="宋体" w:eastAsia="宋体" w:cs="宋体"/>
                <w:sz w:val="24"/>
                <w:szCs w:val="24"/>
                <w:vertAlign w:val="baseline"/>
                <w:lang w:eastAsia="zh-CN"/>
              </w:rPr>
              <w:t>须在一周内按要求将纸质版响应文件递交至</w:t>
            </w:r>
            <w:r>
              <w:rPr>
                <w:rFonts w:hint="eastAsia" w:ascii="宋体" w:hAnsi="宋体" w:eastAsia="宋体" w:cs="宋体"/>
                <w:sz w:val="24"/>
                <w:szCs w:val="24"/>
                <w:vertAlign w:val="baseline"/>
                <w:lang w:val="en-US" w:eastAsia="zh-CN"/>
              </w:rPr>
              <w:t>采购</w:t>
            </w:r>
            <w:r>
              <w:rPr>
                <w:rFonts w:hint="eastAsia" w:ascii="宋体" w:hAnsi="宋体" w:eastAsia="宋体" w:cs="宋体"/>
                <w:sz w:val="24"/>
                <w:szCs w:val="24"/>
                <w:vertAlign w:val="baseline"/>
                <w:lang w:eastAsia="zh-CN"/>
              </w:rPr>
              <w:t>代理</w:t>
            </w:r>
            <w:r>
              <w:rPr>
                <w:rFonts w:hint="eastAsia" w:ascii="宋体" w:hAnsi="宋体" w:eastAsia="宋体" w:cs="宋体"/>
                <w:sz w:val="24"/>
                <w:szCs w:val="24"/>
                <w:vertAlign w:val="baseline"/>
                <w:lang w:val="en-US" w:eastAsia="zh-CN"/>
              </w:rPr>
              <w:t>机构</w:t>
            </w:r>
            <w:r>
              <w:rPr>
                <w:rFonts w:hint="eastAsia" w:ascii="宋体" w:hAnsi="宋体" w:eastAsia="宋体" w:cs="宋体"/>
                <w:sz w:val="24"/>
                <w:szCs w:val="24"/>
                <w:vertAlign w:val="baseline"/>
                <w:lang w:eastAsia="zh-CN"/>
              </w:rPr>
              <w:t>处（所产生的费用</w:t>
            </w:r>
            <w:r>
              <w:rPr>
                <w:rFonts w:hint="eastAsia" w:ascii="宋体" w:hAnsi="宋体" w:eastAsia="宋体" w:cs="宋体"/>
                <w:sz w:val="24"/>
                <w:szCs w:val="24"/>
                <w:vertAlign w:val="baseline"/>
                <w:lang w:val="en-US" w:eastAsia="zh-CN"/>
              </w:rPr>
              <w:t>由成交供应商</w:t>
            </w:r>
            <w:r>
              <w:rPr>
                <w:rFonts w:hint="eastAsia" w:ascii="宋体" w:hAnsi="宋体" w:eastAsia="宋体" w:cs="宋体"/>
                <w:sz w:val="24"/>
                <w:szCs w:val="24"/>
                <w:vertAlign w:val="baseline"/>
                <w:lang w:eastAsia="zh-CN"/>
              </w:rPr>
              <w:t>自理）。纸质版响应文件可通过加密电子版响应文件打印生成，应当与电子版响应文件一致。【1、份数要求：正本壹份、副本贰份，电子标壹份（U盘）。2、装订要求：响应文件商务技术部分装订成一册，响应文件的装订必须采用死页胶粘本。】</w:t>
            </w:r>
          </w:p>
          <w:p w14:paraId="726D18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注：磋商小组开启第二轮报价环节后，各投标人应尽快在政采云系统提交各自的二轮报价，超过30分钟（自磋商小组开启第二轮报价环节起计算）未提交二轮报价的视为放弃投标。敬请注意！！！整个开标环节需要投标人在系统确认的报价等信息最长时限均为30分钟。敬请注意！！！</w:t>
            </w:r>
          </w:p>
        </w:tc>
      </w:tr>
      <w:tr w14:paraId="137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20C27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21</w:t>
            </w:r>
          </w:p>
        </w:tc>
        <w:tc>
          <w:tcPr>
            <w:tcW w:w="9445" w:type="dxa"/>
            <w:vAlign w:val="center"/>
          </w:tcPr>
          <w:p w14:paraId="1D3B694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eastAsia="zh-CN"/>
              </w:rPr>
              <w:t>响应文件递交截止时</w:t>
            </w:r>
            <w:r>
              <w:rPr>
                <w:rFonts w:hint="eastAsia" w:ascii="宋体" w:hAnsi="宋体" w:eastAsia="宋体" w:cs="宋体"/>
                <w:color w:val="auto"/>
                <w:sz w:val="24"/>
                <w:szCs w:val="24"/>
                <w:highlight w:val="none"/>
                <w:vertAlign w:val="baseline"/>
                <w:lang w:eastAsia="zh-CN"/>
              </w:rPr>
              <w:t>间</w:t>
            </w:r>
            <w:r>
              <w:rPr>
                <w:rFonts w:hint="eastAsia" w:ascii="宋体" w:hAnsi="宋体" w:eastAsia="宋体" w:cs="宋体"/>
                <w:color w:val="auto"/>
                <w:sz w:val="24"/>
                <w:szCs w:val="24"/>
                <w:highlight w:val="none"/>
                <w:vertAlign w:val="baseline"/>
                <w:lang w:val="en-US" w:eastAsia="zh-CN"/>
              </w:rPr>
              <w:t>及地点</w:t>
            </w:r>
            <w:r>
              <w:rPr>
                <w:rFonts w:hint="eastAsia" w:ascii="宋体" w:hAnsi="宋体" w:eastAsia="宋体" w:cs="宋体"/>
                <w:color w:val="auto"/>
                <w:sz w:val="24"/>
                <w:szCs w:val="24"/>
                <w:highlight w:val="none"/>
                <w:vertAlign w:val="baseline"/>
                <w:lang w:eastAsia="zh-CN"/>
              </w:rPr>
              <w:t>：202</w:t>
            </w:r>
            <w:r>
              <w:rPr>
                <w:rFonts w:hint="eastAsia" w:ascii="宋体" w:hAnsi="宋体" w:eastAsia="宋体" w:cs="宋体"/>
                <w:color w:val="auto"/>
                <w:sz w:val="24"/>
                <w:szCs w:val="24"/>
                <w:highlight w:val="none"/>
                <w:vertAlign w:val="baseline"/>
                <w:lang w:val="en-US" w:eastAsia="zh-CN"/>
              </w:rPr>
              <w:t>6</w:t>
            </w:r>
            <w:r>
              <w:rPr>
                <w:rFonts w:hint="eastAsia" w:ascii="宋体" w:hAnsi="宋体" w:eastAsia="宋体" w:cs="宋体"/>
                <w:color w:val="auto"/>
                <w:sz w:val="24"/>
                <w:szCs w:val="24"/>
                <w:highlight w:val="none"/>
                <w:vertAlign w:val="baseline"/>
                <w:lang w:eastAsia="zh-CN"/>
              </w:rPr>
              <w:t>年</w:t>
            </w:r>
            <w:r>
              <w:rPr>
                <w:rFonts w:hint="eastAsia" w:ascii="宋体" w:hAnsi="宋体" w:eastAsia="宋体" w:cs="宋体"/>
                <w:color w:val="auto"/>
                <w:sz w:val="24"/>
                <w:szCs w:val="24"/>
                <w:highlight w:val="none"/>
                <w:vertAlign w:val="baseline"/>
                <w:lang w:val="en-US" w:eastAsia="zh-CN"/>
              </w:rPr>
              <w:t>4</w:t>
            </w:r>
            <w:r>
              <w:rPr>
                <w:rFonts w:hint="eastAsia" w:ascii="宋体" w:hAnsi="宋体" w:eastAsia="宋体" w:cs="宋体"/>
                <w:color w:val="auto"/>
                <w:sz w:val="24"/>
                <w:szCs w:val="24"/>
                <w:highlight w:val="none"/>
                <w:vertAlign w:val="baseline"/>
                <w:lang w:eastAsia="zh-CN"/>
              </w:rPr>
              <w:t>月</w:t>
            </w:r>
            <w:r>
              <w:rPr>
                <w:rFonts w:hint="eastAsia" w:ascii="宋体" w:hAnsi="宋体" w:eastAsia="宋体" w:cs="宋体"/>
                <w:color w:val="auto"/>
                <w:sz w:val="24"/>
                <w:szCs w:val="24"/>
                <w:highlight w:val="none"/>
                <w:vertAlign w:val="baseline"/>
                <w:lang w:val="en-US" w:eastAsia="zh-CN"/>
              </w:rPr>
              <w:t>27</w:t>
            </w:r>
            <w:r>
              <w:rPr>
                <w:rFonts w:hint="eastAsia" w:ascii="宋体" w:hAnsi="宋体" w:eastAsia="宋体" w:cs="宋体"/>
                <w:color w:val="auto"/>
                <w:sz w:val="24"/>
                <w:szCs w:val="24"/>
                <w:highlight w:val="none"/>
                <w:vertAlign w:val="baseline"/>
                <w:lang w:eastAsia="zh-CN"/>
              </w:rPr>
              <w:t>日1</w:t>
            </w:r>
            <w:r>
              <w:rPr>
                <w:rFonts w:hint="eastAsia" w:ascii="宋体" w:hAnsi="宋体" w:eastAsia="宋体" w:cs="宋体"/>
                <w:color w:val="auto"/>
                <w:sz w:val="24"/>
                <w:szCs w:val="24"/>
                <w:highlight w:val="none"/>
                <w:vertAlign w:val="baseline"/>
                <w:lang w:val="en-US" w:eastAsia="zh-CN"/>
              </w:rPr>
              <w:t>1</w:t>
            </w:r>
            <w:r>
              <w:rPr>
                <w:rFonts w:hint="eastAsia" w:ascii="宋体" w:hAnsi="宋体" w:eastAsia="宋体" w:cs="宋体"/>
                <w:color w:val="auto"/>
                <w:sz w:val="24"/>
                <w:szCs w:val="24"/>
                <w:highlight w:val="none"/>
                <w:vertAlign w:val="baseline"/>
                <w:lang w:eastAsia="zh-CN"/>
              </w:rPr>
              <w:t>:00（北京时间），磋商地点</w:t>
            </w:r>
            <w:r>
              <w:rPr>
                <w:rFonts w:hint="eastAsia" w:ascii="宋体" w:hAnsi="宋体" w:eastAsia="宋体" w:cs="宋体"/>
                <w:sz w:val="24"/>
                <w:szCs w:val="24"/>
                <w:highlight w:val="none"/>
                <w:vertAlign w:val="baseline"/>
                <w:lang w:eastAsia="zh-CN"/>
              </w:rPr>
              <w:t>：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大厅操作提示：①开标前一小时在系统进行在线签到②30分钟内完成在线解密③开标结束后30分钟内完成“开标一览表”在线签章。注意：如未在规定时间进行以上操作，将导致响应无效。</w:t>
            </w:r>
          </w:p>
        </w:tc>
      </w:tr>
      <w:tr w14:paraId="3B5C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8C3F2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22</w:t>
            </w:r>
          </w:p>
        </w:tc>
        <w:tc>
          <w:tcPr>
            <w:tcW w:w="9445" w:type="dxa"/>
            <w:vAlign w:val="center"/>
          </w:tcPr>
          <w:p w14:paraId="659CCD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履约担保的金额：</w:t>
            </w:r>
            <w:r>
              <w:rPr>
                <w:rFonts w:hint="eastAsia" w:ascii="宋体" w:hAnsi="宋体" w:eastAsia="宋体" w:cs="宋体"/>
                <w:sz w:val="24"/>
                <w:szCs w:val="24"/>
                <w:highlight w:val="none"/>
                <w:vertAlign w:val="baseline"/>
                <w:lang w:val="en-US" w:eastAsia="zh-CN"/>
              </w:rPr>
              <w:t>合同价的10</w:t>
            </w:r>
            <w:r>
              <w:rPr>
                <w:rFonts w:hint="eastAsia" w:ascii="宋体" w:hAnsi="宋体" w:eastAsia="宋体" w:cs="宋体"/>
                <w:sz w:val="24"/>
                <w:szCs w:val="24"/>
                <w:highlight w:val="none"/>
                <w:vertAlign w:val="baseline"/>
                <w:lang w:eastAsia="zh-CN"/>
              </w:rPr>
              <w:t>%（具体以合同签订为准）。</w:t>
            </w:r>
          </w:p>
          <w:p w14:paraId="7A752A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履约担保形式：银行转账或银行保函</w:t>
            </w:r>
            <w:r>
              <w:rPr>
                <w:rFonts w:hint="eastAsia" w:ascii="宋体" w:hAnsi="宋体" w:eastAsia="宋体" w:cs="宋体"/>
                <w:sz w:val="24"/>
                <w:szCs w:val="24"/>
                <w:highlight w:val="none"/>
                <w:vertAlign w:val="baseline"/>
                <w:lang w:val="en-US" w:eastAsia="zh-CN"/>
              </w:rPr>
              <w:t>或专业担保公司保函</w:t>
            </w:r>
            <w:r>
              <w:rPr>
                <w:rFonts w:hint="eastAsia" w:ascii="宋体" w:hAnsi="宋体" w:eastAsia="宋体" w:cs="宋体"/>
                <w:sz w:val="24"/>
                <w:szCs w:val="24"/>
                <w:highlight w:val="none"/>
                <w:vertAlign w:val="baseline"/>
                <w:lang w:eastAsia="zh-CN"/>
              </w:rPr>
              <w:t>（银行转账应从</w:t>
            </w:r>
            <w:r>
              <w:rPr>
                <w:rFonts w:hint="eastAsia" w:ascii="宋体" w:hAnsi="宋体" w:eastAsia="宋体" w:cs="宋体"/>
                <w:sz w:val="24"/>
                <w:szCs w:val="24"/>
                <w:highlight w:val="none"/>
                <w:vertAlign w:val="baseline"/>
                <w:lang w:val="en-US" w:eastAsia="zh-CN"/>
              </w:rPr>
              <w:t>供应商</w:t>
            </w:r>
            <w:r>
              <w:rPr>
                <w:rFonts w:hint="eastAsia" w:ascii="宋体" w:hAnsi="宋体" w:eastAsia="宋体" w:cs="宋体"/>
                <w:sz w:val="24"/>
                <w:szCs w:val="24"/>
                <w:highlight w:val="none"/>
                <w:vertAlign w:val="baseline"/>
                <w:lang w:eastAsia="zh-CN"/>
              </w:rPr>
              <w:t>基本账户足额缴纳至</w:t>
            </w:r>
            <w:r>
              <w:rPr>
                <w:rFonts w:hint="eastAsia" w:ascii="宋体" w:hAnsi="宋体" w:eastAsia="宋体" w:cs="宋体"/>
                <w:sz w:val="24"/>
                <w:szCs w:val="24"/>
                <w:highlight w:val="none"/>
                <w:vertAlign w:val="baseline"/>
                <w:lang w:val="en-US" w:eastAsia="zh-CN"/>
              </w:rPr>
              <w:t>采购</w:t>
            </w:r>
            <w:r>
              <w:rPr>
                <w:rFonts w:hint="eastAsia" w:ascii="宋体" w:hAnsi="宋体" w:eastAsia="宋体" w:cs="宋体"/>
                <w:sz w:val="24"/>
                <w:szCs w:val="24"/>
                <w:highlight w:val="none"/>
                <w:vertAlign w:val="baseline"/>
                <w:lang w:eastAsia="zh-CN"/>
              </w:rPr>
              <w:t>人指定账户，银行保函应为企业基本户开具）。</w:t>
            </w:r>
          </w:p>
        </w:tc>
      </w:tr>
      <w:tr w14:paraId="68CC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F211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23</w:t>
            </w:r>
          </w:p>
        </w:tc>
        <w:tc>
          <w:tcPr>
            <w:tcW w:w="9445" w:type="dxa"/>
            <w:vAlign w:val="center"/>
          </w:tcPr>
          <w:p w14:paraId="7D45EB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签字或盖章要求：响应文件要求盖单位章和签字的地方，投标人均应使用CA数字证书加盖企业电子章和法定代表人的电子章。</w:t>
            </w:r>
          </w:p>
        </w:tc>
      </w:tr>
      <w:tr w14:paraId="5D8C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B7F9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24</w:t>
            </w:r>
          </w:p>
        </w:tc>
        <w:tc>
          <w:tcPr>
            <w:tcW w:w="9445" w:type="dxa"/>
            <w:vAlign w:val="center"/>
          </w:tcPr>
          <w:p w14:paraId="77863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所属行业：</w:t>
            </w:r>
            <w:r>
              <w:rPr>
                <w:rFonts w:hint="eastAsia" w:ascii="宋体" w:hAnsi="宋体" w:eastAsia="宋体" w:cs="宋体"/>
                <w:sz w:val="24"/>
                <w:szCs w:val="24"/>
                <w:highlight w:val="none"/>
                <w:vertAlign w:val="baseline"/>
                <w:lang w:val="en-US" w:eastAsia="zh-CN"/>
              </w:rPr>
              <w:t>工业</w:t>
            </w:r>
          </w:p>
        </w:tc>
      </w:tr>
      <w:tr w14:paraId="0C57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128BD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25</w:t>
            </w:r>
          </w:p>
        </w:tc>
        <w:tc>
          <w:tcPr>
            <w:tcW w:w="9445" w:type="dxa"/>
            <w:vAlign w:val="center"/>
          </w:tcPr>
          <w:p w14:paraId="226E41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14:paraId="05B5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9E80D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26</w:t>
            </w:r>
          </w:p>
        </w:tc>
        <w:tc>
          <w:tcPr>
            <w:tcW w:w="9445" w:type="dxa"/>
            <w:vAlign w:val="center"/>
          </w:tcPr>
          <w:p w14:paraId="499675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中小微型企业有关政策：根据财政部、工业和信息化部发布的关于印发《政府采购促进中小企业发展管理办法》的通知，财库[2020]46号）规定执行；</w:t>
            </w:r>
          </w:p>
        </w:tc>
      </w:tr>
      <w:tr w14:paraId="0D8E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F45A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27</w:t>
            </w:r>
          </w:p>
        </w:tc>
        <w:tc>
          <w:tcPr>
            <w:tcW w:w="9445" w:type="dxa"/>
            <w:vAlign w:val="center"/>
          </w:tcPr>
          <w:p w14:paraId="2F861E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其他政府采购政策：（一）满足《中华人民共和国政府采购法》第二十二条规定；（二）落实政府采购政策需满足的资格要求：（1）财政部、发展改革委、生态环境部、市场监管总局《关于调整优化节能产品、环境标志产品政府采购执行机制的通知》（财库〔2019〕9号）；（2）财政部、工业和信息化部《关于印发《政府采购促进中小企业发展管理办法》的通知》（财库[2020]46号）；（3）财政部、民政部、中国残疾人联合会《关于促进残疾人就业政府采购政策的通知》（财库[2017]141号）；（4）财政部、司法部《关于政府采购支持监狱企业发展有关问题的通知》（财库[2014]68号）。</w:t>
            </w:r>
          </w:p>
        </w:tc>
      </w:tr>
      <w:tr w14:paraId="18CE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AAA54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28</w:t>
            </w:r>
          </w:p>
        </w:tc>
        <w:tc>
          <w:tcPr>
            <w:tcW w:w="9445" w:type="dxa"/>
            <w:vAlign w:val="center"/>
          </w:tcPr>
          <w:p w14:paraId="2D27B9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解释权：</w:t>
            </w:r>
          </w:p>
          <w:p w14:paraId="12985E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构成磋商文件的各个组成文件应互为解释，互为说明；除磋商文件中有特别规定外，按磋商</w:t>
            </w:r>
            <w:r>
              <w:rPr>
                <w:rFonts w:hint="eastAsia" w:ascii="宋体" w:hAnsi="宋体" w:eastAsia="宋体" w:cs="宋体"/>
                <w:sz w:val="24"/>
                <w:szCs w:val="24"/>
                <w:vertAlign w:val="baseline"/>
                <w:lang w:val="en-US" w:eastAsia="zh-CN"/>
              </w:rPr>
              <w:t>文件</w:t>
            </w:r>
            <w:r>
              <w:rPr>
                <w:rFonts w:hint="eastAsia" w:ascii="宋体" w:hAnsi="宋体" w:eastAsia="宋体" w:cs="宋体"/>
                <w:sz w:val="24"/>
                <w:szCs w:val="24"/>
                <w:vertAlign w:val="baseline"/>
                <w:lang w:eastAsia="zh-CN"/>
              </w:rPr>
              <w:t>的先后顺序解释；同一组成文件中就同一事项的规定或约定不一致的，以编排顺序在后者为准；按本款前述规定仍不能形成结论的，由采购代理机构和采购人负责解释。</w:t>
            </w:r>
          </w:p>
        </w:tc>
      </w:tr>
      <w:tr w14:paraId="24AC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FD18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29</w:t>
            </w:r>
          </w:p>
        </w:tc>
        <w:tc>
          <w:tcPr>
            <w:tcW w:w="9445" w:type="dxa"/>
            <w:vAlign w:val="center"/>
          </w:tcPr>
          <w:p w14:paraId="350B12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1、供应商应依照磋商文件要求在响应文件中提供相关材料原件的扫描件</w:t>
            </w:r>
            <w:r>
              <w:rPr>
                <w:rFonts w:hint="eastAsia" w:ascii="宋体" w:hAnsi="宋体" w:eastAsia="宋体" w:cs="宋体"/>
                <w:sz w:val="24"/>
                <w:szCs w:val="24"/>
                <w:vertAlign w:val="baseline"/>
                <w:lang w:val="en-US" w:eastAsia="zh-CN"/>
              </w:rPr>
              <w:t>或网页截图并加盖单位电子章</w:t>
            </w:r>
            <w:r>
              <w:rPr>
                <w:rFonts w:hint="eastAsia" w:ascii="宋体" w:hAnsi="宋体" w:eastAsia="宋体" w:cs="宋体"/>
                <w:sz w:val="24"/>
                <w:szCs w:val="24"/>
                <w:vertAlign w:val="baseline"/>
                <w:lang w:eastAsia="zh-CN"/>
              </w:rPr>
              <w:t>。</w:t>
            </w:r>
          </w:p>
          <w:p w14:paraId="268A9A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2、各供应商在网上及时查询本项目的澄清、修改和补充等内容，如未及时查询相关内容，造成后果自行承担。</w:t>
            </w:r>
          </w:p>
          <w:p w14:paraId="7F34A3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3、在磋商过程直至签订合同前的任何时间，如经证实发现供应商提供虚假响应资料（包括技术支持资料）或信息骗取中标的，或者未按本磋商文件要求提交履约保证金的（如有要求），将取消其中标资格，没收其磋商保证金，并报主管部门备案。</w:t>
            </w:r>
          </w:p>
          <w:p w14:paraId="7EA27F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lang w:eastAsia="zh-CN"/>
              </w:rPr>
              <w:t>、无论何种原因，在磋商文件中未提供相应材料的，评审小组将视同其未提供，如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文件中规定需要提供说明或者承诺等证明材料，</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文件中未给予格式的其格式自拟，并做入</w:t>
            </w:r>
            <w:r>
              <w:rPr>
                <w:rFonts w:hint="eastAsia" w:ascii="宋体" w:hAnsi="宋体" w:eastAsia="宋体" w:cs="宋体"/>
                <w:sz w:val="24"/>
                <w:szCs w:val="24"/>
                <w:vertAlign w:val="baseline"/>
                <w:lang w:val="en-US" w:eastAsia="zh-CN"/>
              </w:rPr>
              <w:t>响应</w:t>
            </w:r>
            <w:r>
              <w:rPr>
                <w:rFonts w:hint="eastAsia" w:ascii="宋体" w:hAnsi="宋体" w:eastAsia="宋体" w:cs="宋体"/>
                <w:sz w:val="24"/>
                <w:szCs w:val="24"/>
                <w:vertAlign w:val="baseline"/>
                <w:lang w:eastAsia="zh-CN"/>
              </w:rPr>
              <w:t>文件中，未放入视为无效投标。</w:t>
            </w:r>
          </w:p>
          <w:p w14:paraId="539A34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5、</w:t>
            </w:r>
            <w:r>
              <w:rPr>
                <w:rFonts w:hint="eastAsia" w:ascii="宋体" w:hAnsi="宋体" w:eastAsia="宋体" w:cs="宋体"/>
                <w:sz w:val="24"/>
                <w:szCs w:val="24"/>
                <w:vertAlign w:val="baseline"/>
                <w:lang w:eastAsia="zh-CN"/>
              </w:rPr>
              <w:t>如</w:t>
            </w:r>
            <w:r>
              <w:rPr>
                <w:rFonts w:hint="eastAsia" w:ascii="宋体" w:hAnsi="宋体" w:eastAsia="宋体" w:cs="宋体"/>
                <w:sz w:val="24"/>
                <w:szCs w:val="24"/>
                <w:vertAlign w:val="baseline"/>
                <w:lang w:val="en-US" w:eastAsia="zh-CN"/>
              </w:rPr>
              <w:t>磋商</w:t>
            </w:r>
            <w:r>
              <w:rPr>
                <w:rFonts w:hint="eastAsia" w:ascii="宋体" w:hAnsi="宋体" w:eastAsia="宋体" w:cs="宋体"/>
                <w:sz w:val="24"/>
                <w:szCs w:val="24"/>
                <w:vertAlign w:val="baseline"/>
                <w:lang w:eastAsia="zh-CN"/>
              </w:rPr>
              <w:t>文件出现前后不一致时，以供应商须知</w:t>
            </w:r>
            <w:r>
              <w:rPr>
                <w:rFonts w:hint="eastAsia" w:ascii="宋体" w:hAnsi="宋体" w:eastAsia="宋体" w:cs="宋体"/>
                <w:sz w:val="24"/>
                <w:szCs w:val="24"/>
                <w:vertAlign w:val="baseline"/>
                <w:lang w:val="en-US" w:eastAsia="zh-CN"/>
              </w:rPr>
              <w:t>前附</w:t>
            </w:r>
            <w:r>
              <w:rPr>
                <w:rFonts w:hint="eastAsia" w:ascii="宋体" w:hAnsi="宋体" w:eastAsia="宋体" w:cs="宋体"/>
                <w:sz w:val="24"/>
                <w:szCs w:val="24"/>
                <w:vertAlign w:val="baseline"/>
                <w:lang w:eastAsia="zh-CN"/>
              </w:rPr>
              <w:t>表为准。</w:t>
            </w:r>
          </w:p>
          <w:p w14:paraId="5D6E14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6、</w:t>
            </w:r>
            <w:r>
              <w:rPr>
                <w:rFonts w:hint="eastAsia" w:ascii="宋体" w:hAnsi="宋体" w:eastAsia="宋体" w:cs="宋体"/>
                <w:sz w:val="24"/>
                <w:szCs w:val="24"/>
                <w:vertAlign w:val="baseline"/>
                <w:lang w:eastAsia="zh-CN"/>
              </w:rPr>
              <w:t>如果投标人电子投标文件无法制作或无法导入及导出等问题，可拨打政采云服务热线进行咨询联系。联系人：政采云客户服务热线 联系电话：400-881-7190</w:t>
            </w:r>
          </w:p>
          <w:p w14:paraId="2D3261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7、质保期为通过合同完工验收后2年。</w:t>
            </w:r>
          </w:p>
        </w:tc>
      </w:tr>
      <w:tr w14:paraId="58A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BD629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9445" w:type="dxa"/>
            <w:vAlign w:val="center"/>
          </w:tcPr>
          <w:p w14:paraId="1BEB94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标代理费参考《关于印发招标代理服务收费管理暂行办法的通知》（计价格[2002]1980号）及《关于招标代理服务收费有关问题的通知》（发改办价格[2003]857号）计算，招标控制价的编制费用按新计价房[2002]866号文件规定执行。按规定下浮5%后支付。中标服务费由中标人向招标代理机构支付。收取费用不足3000元按3000元计取。</w:t>
            </w:r>
          </w:p>
        </w:tc>
      </w:tr>
      <w:tr w14:paraId="5805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7395A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31</w:t>
            </w:r>
          </w:p>
        </w:tc>
        <w:tc>
          <w:tcPr>
            <w:tcW w:w="9445" w:type="dxa"/>
            <w:vAlign w:val="center"/>
          </w:tcPr>
          <w:p w14:paraId="4ECE52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合同形式：</w:t>
            </w:r>
            <w:r>
              <w:rPr>
                <w:rFonts w:hint="eastAsia" w:ascii="宋体" w:hAnsi="宋体" w:eastAsia="宋体" w:cs="宋体"/>
                <w:sz w:val="24"/>
                <w:szCs w:val="24"/>
                <w:highlight w:val="none"/>
                <w:lang w:val="en-US" w:eastAsia="zh-CN"/>
              </w:rPr>
              <w:t>单价承包合同</w:t>
            </w:r>
          </w:p>
        </w:tc>
      </w:tr>
    </w:tbl>
    <w:p w14:paraId="615545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D37DB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一、说明</w:t>
      </w:r>
    </w:p>
    <w:p w14:paraId="385BF4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1适用范围</w:t>
      </w:r>
    </w:p>
    <w:p w14:paraId="0C0E0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1.1本文件适用于本竞争性磋商的采购项目。</w:t>
      </w:r>
    </w:p>
    <w:p w14:paraId="4F2F5E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1.2本项目的采购人、供应商及各方当事人均适用本须知。</w:t>
      </w:r>
    </w:p>
    <w:p w14:paraId="106B30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2定义</w:t>
      </w:r>
    </w:p>
    <w:p w14:paraId="38481C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2.1监管部门：指同级或以上人民政府财政部门。</w:t>
      </w:r>
    </w:p>
    <w:p w14:paraId="0BE000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2.2资金来源：是指采购人已拥有一笔财政性资金或资金来源已落实。</w:t>
      </w:r>
    </w:p>
    <w:p w14:paraId="75945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2.3采购人：依法进行政府采购的国家机关、事业单位、团体组织。</w:t>
      </w:r>
    </w:p>
    <w:p w14:paraId="74038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2.4代理采购机构：新疆新水建设工程造价咨询有限责任公司。</w:t>
      </w:r>
    </w:p>
    <w:p w14:paraId="178D3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2.5磋商小组：磋商小组是依法组建的专门负责本次磋商及评审工作的人员。</w:t>
      </w:r>
    </w:p>
    <w:p w14:paraId="509AA0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2.6供应商：符合资格要求，响应采购、依法成立的企业法人、其他组织或自然人。</w:t>
      </w:r>
    </w:p>
    <w:p w14:paraId="6A0D8D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2.7成交供应商：经合法磋商程序评选出来并经采购人确认的获得本项目成交资格的供应商。</w:t>
      </w:r>
    </w:p>
    <w:p w14:paraId="3C268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2.8日期：指公历日。</w:t>
      </w:r>
    </w:p>
    <w:p w14:paraId="0E530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2.9时间：指北京时间。</w:t>
      </w:r>
    </w:p>
    <w:p w14:paraId="645FF2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3合格的供应商</w:t>
      </w:r>
    </w:p>
    <w:p w14:paraId="50A5A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3.1.供应商须符合第一部分“磋商公告”供应商资格要求的全部条款。</w:t>
      </w:r>
    </w:p>
    <w:p w14:paraId="32B202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4合格的货物、服务和工程</w:t>
      </w:r>
    </w:p>
    <w:p w14:paraId="1163E0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货物”是指供应商制造或符合磋商文件要求的货物等。供应商的货物必须是其合法生产、合法来源的符合国家有关标准要求的货物，并满足磋商文件规定的规格、参数、质量、价格、有效期、售后服务等要求。</w:t>
      </w:r>
    </w:p>
    <w:p w14:paraId="53869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4.2“服务”是指除货物和工程以外的其他政府采购对象，其中包括供应商须承担的运输、安装、技术支持、培训以及磋商文件规定的其它伴随服务。</w:t>
      </w:r>
    </w:p>
    <w:p w14:paraId="60B6C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4.3“工程”是指建设工程，包括建筑物和构筑物的新建、改建、扩建、装修、拆除、修缮等。</w:t>
      </w:r>
    </w:p>
    <w:p w14:paraId="7944F2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4.4政府采购应当采购本国产品，确需采购进口产品的，依据《政府采购进口产品管理办法》执行。</w:t>
      </w:r>
    </w:p>
    <w:p w14:paraId="233A3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4.5本文件所称进口产品是指通过中国海关报关验放进入中国境内且产自关境外的产品。</w:t>
      </w:r>
    </w:p>
    <w:p w14:paraId="3094D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4.6供应商应保证，采购人在中华人民共和国使用货物或服务的任何一部分时，采购人免受第三方提出侵犯其专利权、商标权或其它知识产权的起诉。</w:t>
      </w:r>
    </w:p>
    <w:p w14:paraId="3BCE6D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5磋商费用</w:t>
      </w:r>
    </w:p>
    <w:p w14:paraId="192E45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5.1.供应商应承担所有与准备和参加项目磋商有关的费用。不论磋商的结果如何，采购人及招标代理有限公司均无义务和责任承担这些费用。</w:t>
      </w:r>
    </w:p>
    <w:p w14:paraId="690F80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6其他</w:t>
      </w:r>
    </w:p>
    <w:p w14:paraId="336A4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6.1.所有时间均为24小时制北京时间，所有货币单位均为人民币元，所使用的计量单位均以《中华人民共和国法定计量单位》为准（特别注明除外）。</w:t>
      </w:r>
    </w:p>
    <w:p w14:paraId="0C652C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二、磋商文件</w:t>
      </w:r>
    </w:p>
    <w:p w14:paraId="6AE110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7磋商文件的编制依据与构成</w:t>
      </w:r>
    </w:p>
    <w:p w14:paraId="7B5B3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7.1本项目磋商文件的编制依据是《中华人民共和国政府采购法》及其实施条例、《政府采购竞争性磋商采购方式管理暂行办法》及其配套的法规、规章政策。</w:t>
      </w:r>
    </w:p>
    <w:p w14:paraId="0579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7.2要求提供的服务、货物、磋商过程和合同条件在磋商文件中均有说明。磋商文件以中文文字编写。由下列文件以及在磋商过程中发出的澄清、修改和补充文件组成，内容包括：</w:t>
      </w:r>
    </w:p>
    <w:p w14:paraId="094A8A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●磋商公告；</w:t>
      </w:r>
    </w:p>
    <w:p w14:paraId="18B6D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●磋商须知；</w:t>
      </w:r>
    </w:p>
    <w:p w14:paraId="4F28C1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●磋商内容及技术要求；</w:t>
      </w:r>
    </w:p>
    <w:p w14:paraId="43E8F6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●合同格式；</w:t>
      </w:r>
    </w:p>
    <w:p w14:paraId="160704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●响应文件格式；</w:t>
      </w:r>
    </w:p>
    <w:p w14:paraId="13BD3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w:t>
      </w:r>
    </w:p>
    <w:p w14:paraId="77CA3A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8磋商文件的澄清和修改</w:t>
      </w:r>
    </w:p>
    <w:p w14:paraId="6E1F94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提交首次响应文件截止之日前，采购人、采购代理机构工作人员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同时在磋商文件指定的政府采购信息发布媒体上发布变更公告。潜在供应商在收到上述通知后，应以书面形式向采购人或采购代理机构回复确认。</w:t>
      </w:r>
    </w:p>
    <w:p w14:paraId="59C561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8.2磋商文件的澄清或者修改内容作为磋商文件的组成部分，并对供应商具有约束力。当磋商文件、磋商文件的澄清或修改在同一内容的表述上不一致时，以最后发出的文件内容为准。</w:t>
      </w:r>
    </w:p>
    <w:p w14:paraId="20FC2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9答疑会或现场考察</w:t>
      </w:r>
    </w:p>
    <w:p w14:paraId="3F4D2A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9.1除磋商须知前附表中另有规定，本项目不举行磋商前答疑会及现场考察。</w:t>
      </w:r>
    </w:p>
    <w:p w14:paraId="18842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9.2如举行磋商前答疑会或现场考察的，则按以下规定：已获取磋商文件的潜在供应商对本项目提出疑问的，需在答疑会或现场考察召开日前至少一个工作日将问题以书面形式（加盖公章）提交至采购代理机构，采购人或者采购代理机构将以书面形式通知所有获取磋商文件的潜在供应商代表于磋商须知前附表规定的时间和地点出席答疑会或现场考察。</w:t>
      </w:r>
    </w:p>
    <w:p w14:paraId="13807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9.3已获取磋商文件的供应商如不出席答疑会或现场考察视为对磋商文件所有内容无任何异议。</w:t>
      </w:r>
    </w:p>
    <w:p w14:paraId="2DE378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三、响应文件的编制</w:t>
      </w:r>
    </w:p>
    <w:p w14:paraId="34C2E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10响应文件的构成</w:t>
      </w:r>
    </w:p>
    <w:p w14:paraId="25B1F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10.1.供应商编写的响应文件应包括价格部分、商务部分和技术部分。供应商可以参考磋商文件第五部分响应文件格式顺序编排响应文件。</w:t>
      </w:r>
    </w:p>
    <w:p w14:paraId="79FD4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11响应文件的语言及编写原则</w:t>
      </w:r>
    </w:p>
    <w:p w14:paraId="68DD49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响应文件的语言：响应文件、供应商与采购代理机构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w:t>
      </w:r>
    </w:p>
    <w:p w14:paraId="268EBA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11.2计量单位：除在磋商文件的技术规格中另有规定外，计量单位应使用中华人民共和国法定计量单位（国际单位制和国家选定的其他计量单位）。</w:t>
      </w:r>
    </w:p>
    <w:p w14:paraId="45D2F2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11.3供应商应完整、真实、准确地填写磋商文件中提供的磋商函、报价一览表（首次报价表）、报价明细表（如适用）以及磋商文件中规定的其它所有内容。</w:t>
      </w:r>
    </w:p>
    <w:p w14:paraId="69878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供应商对磋商文件中多个包组进行投标的，其响应文件的编制应当按每个包组的要求分别编制、装订和封装。供应商应对响应文件进行装订，对未经装订的响应文件可能发生的文件散落或缺损，由此造成的后果和责任由供应商承担。</w:t>
      </w:r>
    </w:p>
    <w:p w14:paraId="01C2F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11.5供应商必须对响应文件所提供的全部资料的真实性承担法律责任，并无条件接受采购人、采购代理机构及监管部门等对其中任何资料进行核实的要求。</w:t>
      </w:r>
    </w:p>
    <w:p w14:paraId="17673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11.6如果因为供应商的响应文件只填写和提供了本磋商文件要求的部分内容和附件，或没有提供磋商文件中所要求的全部资料及数据，由此造成的后果和责任由供应商承担。</w:t>
      </w:r>
    </w:p>
    <w:p w14:paraId="69215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12首次报价</w:t>
      </w:r>
    </w:p>
    <w:p w14:paraId="389BFC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12.1供应商对所提供的工程均以人民币报价。</w:t>
      </w:r>
    </w:p>
    <w:p w14:paraId="011A2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12.2首次报价超过本项目预算金额的按无效响应处理。</w:t>
      </w:r>
    </w:p>
    <w:p w14:paraId="05995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供应商应按照“磋商内容及技术要求”中采购项目技术或服务要求规定的内容、责任范围进行首次报价，并按《报价一览表（首次报价表）》的要求报出首次价格。首次报价总价中不得包含磋商文件要求以外的内容，否则，在评审时不予核减。首次报价总价中不得缺漏磋商文件所要求的内容，否则，被视为包含在首次报价总价中。《报价一览表（首次报价表）》中若出现免费项及赠送项则视同该部分价格包含在总报价中。</w:t>
      </w:r>
    </w:p>
    <w:p w14:paraId="2E5585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12.4《标价的工程量清单》内容应包含：具体内容及所需的表格，以磋商文件的“工程量清单”及响应总价单为准。</w:t>
      </w:r>
    </w:p>
    <w:p w14:paraId="32CF14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12.5除磋商须知前附表中另有规定，供应商所报的磋商价在合同执行过程中是固定不变的，不得以任何理由予以变更。任何包含价格调整要求的磋商被认为是非实质性响应而予以拒绝。</w:t>
      </w:r>
    </w:p>
    <w:p w14:paraId="0BF6CF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12.6除磋商须知前附表中允许有备选方案外，本次磋商不接受选择性报价，不接受具有附加条件的报价，否则将被视为无效响应。</w:t>
      </w:r>
    </w:p>
    <w:p w14:paraId="71B6C7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13联合体投标</w:t>
      </w:r>
    </w:p>
    <w:p w14:paraId="50BCF1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13.1磋商文件第一章中拒绝接受联合体投标的，则不接受联合体磋商。如果第一章中允许联合体投标的，则必须满足：</w:t>
      </w:r>
    </w:p>
    <w:p w14:paraId="3AC349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13.1.1以联合体形式参加磋商的，联合体各方均必须符合《中华人民共和国政府采购法》第二十二条规定，联合体中有同类资质的供应商按照联合体分工承担相同工作的，按照资质等级较低的供应商确定资质等级。</w:t>
      </w:r>
    </w:p>
    <w:p w14:paraId="5B503E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13.1.2联合体磋商的，必须提供各方签订的共同投标协议，明确约定各方承担的工作和相应的责任。联合体各方签订共同磋商协议后，不得再以自己的名义单独在同一项目（或包组）中磋商，也不得组成新的联合体参加同一项目（或包组）磋商。</w:t>
      </w:r>
    </w:p>
    <w:p w14:paraId="2D1BF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13.1.3联合体磋商的，可以由联合体中的一方或者共同提交磋商保证金，以一方名义提交投磋商保证金的，对联合体各方均具有约束力。</w:t>
      </w:r>
    </w:p>
    <w:p w14:paraId="0EF1F5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13.1.4联合体成交的，联合体各方应当共同与采购人签订合同。</w:t>
      </w:r>
    </w:p>
    <w:p w14:paraId="7FF393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13.1.5联合体在报名登记时，提交经联合体各方盖章的联合体磋商协议，以确认联合体的牵头人及成员。</w:t>
      </w:r>
    </w:p>
    <w:p w14:paraId="46DDF9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14证明供应商合格的资格文件</w:t>
      </w:r>
    </w:p>
    <w:p w14:paraId="23F9E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14.1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w:t>
      </w:r>
    </w:p>
    <w:p w14:paraId="52C480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14.2供应商提交的资格证明文件应满足第一章供应商资格要求的全部条款。</w:t>
      </w:r>
    </w:p>
    <w:p w14:paraId="799C4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15证明标的的合格性和符合磋商文件规定的文件</w:t>
      </w:r>
    </w:p>
    <w:p w14:paraId="271C01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15.1供应商应提交证明文件，证明其拟磋商的工程的合格性符合磋商文件规定。该证明文件作为响应文件的一部分。</w:t>
      </w:r>
    </w:p>
    <w:p w14:paraId="6BB3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15.2工程合格性的证明文件应包括标价的工程量清单中对货物和服务原产地的说明。</w:t>
      </w:r>
    </w:p>
    <w:p w14:paraId="4D1017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15.3证明工程与磋商文件的要求相一致的文件，可以是文字资料、图纸和数据，它包括：</w:t>
      </w:r>
    </w:p>
    <w:p w14:paraId="632D6F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15.3.1工程主要技术指标和性能的详细说明；</w:t>
      </w:r>
    </w:p>
    <w:p w14:paraId="2C419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15.3.2工程正常使用所必须的备件和专用工具清单，包括备件和专用工具的货源及现行价格；</w:t>
      </w:r>
    </w:p>
    <w:p w14:paraId="72446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15.3.3对照磋商文件技术规格，逐条说明所提供工程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w:t>
      </w:r>
    </w:p>
    <w:p w14:paraId="7835D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16不允许偏离的实质性条款</w:t>
      </w:r>
    </w:p>
    <w:p w14:paraId="78F77A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16.1响应文件必须对磋商文件中实质性条款的要求进行响应，不能出现负偏离，否则将导致响应无效。不允许负偏离的实质性条款如下：</w:t>
      </w:r>
    </w:p>
    <w:p w14:paraId="5CC731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16.1.1加注“★部分”条款；</w:t>
      </w:r>
    </w:p>
    <w:p w14:paraId="244B8D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16.1.2磋商文件规定的其他必须响应的内容。</w:t>
      </w:r>
    </w:p>
    <w:p w14:paraId="3F12E3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16.2响应文件中技术规格、参数或其他内容优于磋商文件的要求视作正偏离，不构成响应无效，供应商对这种优于采购项目需求要求的情况必须单独说明。</w:t>
      </w:r>
    </w:p>
    <w:p w14:paraId="7746C2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17磋商保证金</w:t>
      </w:r>
    </w:p>
    <w:p w14:paraId="3B0DB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17.1供应商应按磋商须知前附表中规定的金额、期限缴纳磋商保证金，并作为其响应文件的组成部分。</w:t>
      </w:r>
    </w:p>
    <w:p w14:paraId="5C24F1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17.2采购人或者采购代理机构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14:paraId="7A11F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17.3有下列情形之一的，磋商保证金不予退还：</w:t>
      </w:r>
    </w:p>
    <w:p w14:paraId="4F2209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17.3.1供应商在提交响应文件截止时间后撤回响应文件的；</w:t>
      </w:r>
    </w:p>
    <w:p w14:paraId="248981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17.3.2供应商在响应文件中提供虚假材料的；</w:t>
      </w:r>
    </w:p>
    <w:p w14:paraId="194AE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17.3.3除因不可抗力或磋商文件认可的情形以外，成交供应商不与采购人签订合同的；</w:t>
      </w:r>
    </w:p>
    <w:p w14:paraId="123F9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17.3.4供应商与采购人、其他供应商恶意串通的；</w:t>
      </w:r>
    </w:p>
    <w:p w14:paraId="1E41D9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17.3.5磋商文件规定的其他情形。</w:t>
      </w:r>
    </w:p>
    <w:p w14:paraId="113345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18磋商响应有效期</w:t>
      </w:r>
    </w:p>
    <w:p w14:paraId="134F6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18.1响应文件的有效期见磋商须知前附表的规定，响应文件应在此期限内保持有效。磋商响应有效期不足的响应文件将被视为非实质性响应，视为无效响应文件。</w:t>
      </w:r>
    </w:p>
    <w:p w14:paraId="18B7C0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18.2特殊情况下，在原磋商响应有效期截止之前，采购代理机构可要求供应商延长磋商响应有效期。这种要求与答复均应以书面形式提交。供应商可拒绝采购代理机构的这种要求，其磋商保证金将被无息退还，但其磋商在原磋商响应有效期期满后将不再有效。同意延长磋商响应有效期的供应商将不会被要求和允许修正其磋商，而只会被要求相应地延长其磋商保证金的有效期。在这种情况下，本须知有关磋商保证金的退还和没收的规定将在延长了的有效期内继续有效。</w:t>
      </w:r>
    </w:p>
    <w:p w14:paraId="081559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19响应文件的式样和签署</w:t>
      </w:r>
    </w:p>
    <w:p w14:paraId="0F3E9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19.1响应文件的式样：在政采云平台上传加密的电子响应文件。</w:t>
      </w:r>
    </w:p>
    <w:p w14:paraId="3CF01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19.2响应文件的签署及盖章：</w:t>
      </w:r>
    </w:p>
    <w:p w14:paraId="46BEFE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19.2.1响应文件要求签名或盖章的内容（磋商文件第五部分“响应文件格式”中要求法人代表或授权委托人签名或盖章）必须由法定代表人或经其正式授权的代表签字或盖章，由授权代表签字或盖章的，必须将书面形式出具的《法定代表人授权委托书》附在响应文件中。</w:t>
      </w:r>
    </w:p>
    <w:p w14:paraId="4B966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19.2.2响应文件要求盖公章的内容（磋商文件第五部分“响应文件格式”中要求盖供应商公章）必须加盖供应商公章。</w:t>
      </w:r>
    </w:p>
    <w:p w14:paraId="138BC8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四、响应文件的递交</w:t>
      </w:r>
    </w:p>
    <w:p w14:paraId="265D5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20加密电子响应文件</w:t>
      </w:r>
    </w:p>
    <w:p w14:paraId="6BDF8B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本项目采用不见面开标，供应商须在投标截止时间前通过CA在政采云平台上传加密的电子响应文件。供应商对不见面开评标系统的技术操作咨询，可通过（https://www.xjca.com.cn/）或下载“新疆政务通”APP自行进行申领。自助查询，也可在政采云帮助中心常见问题解答和操作流程讲解视频中自助查询，网址为：（https://www.xjca.com.cn/）“项目采购”—“操作流程-电子招投标”—“政府采购项目电子交易管理操作指南-供应商”版面获取操作指南，同时对所有无法解决的问题可通过钉钉群及政采云在线客服获取服务支持。</w:t>
      </w:r>
    </w:p>
    <w:p w14:paraId="39806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21磋商响应截止</w:t>
      </w:r>
    </w:p>
    <w:p w14:paraId="1CC8D0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21.1供应商应在磋商文件第一章中规定的截止日期和时间前将电子响应文件递交上传至新疆政府采购云平台。</w:t>
      </w:r>
    </w:p>
    <w:p w14:paraId="0160B3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为使供应商准备响应时有充分时间对磋商文件的修改部分进行研究，采购人或者采购代理机构可适当推迟响应截止期，但应发布公告并书面通知所有获取磋商文件的潜在供应商。在此情况下，采购人或者采购代理机构和供应商受响应截止期制约的所有权利和义务均应延长至新的截止期。</w:t>
      </w:r>
    </w:p>
    <w:p w14:paraId="45A402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21.3采购人和采购代理机构将拒收在磋商文件规定的响应截止时间之后送达的响应文件及未报名获取磋商文件的供应商递交的响应文件。</w:t>
      </w:r>
    </w:p>
    <w:p w14:paraId="16C40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22响应文件的修改和撤回</w:t>
      </w:r>
    </w:p>
    <w:p w14:paraId="32D85C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14:paraId="1920A0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五、磋商程序</w:t>
      </w:r>
    </w:p>
    <w:p w14:paraId="659781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23开启</w:t>
      </w:r>
    </w:p>
    <w:p w14:paraId="7032FD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23.1开启会议由采购人和采购代理机构主持并在第一章中规定的日期、时间和地点组织公开开启。允许供应商的法定代表人或其授权人参加开启会议。</w:t>
      </w:r>
    </w:p>
    <w:p w14:paraId="05B977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23.2电子响应文件解密，由采购代理机构工作人员开启解密。</w:t>
      </w:r>
    </w:p>
    <w:p w14:paraId="293899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供应商代表对开启过程和开启记录有疑问，以及认为采购人、采购代理机构相关工作人员有需要回避的情形的，应当场提出询问或者回避申请。采购人、采购代理机构工作人员对供应商代表提出的询问或者回避申请应当及时处理。</w:t>
      </w:r>
    </w:p>
    <w:p w14:paraId="2EE517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★24资格审查</w:t>
      </w:r>
    </w:p>
    <w:p w14:paraId="16AF4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24.1采购人依法对供应商资格进行审查。资格审查是审查供应商资格证明文件是否对磋商文件资格条件作出实质性的响应，审查细则详见磋商须知第七部分：《资格性审查表》。对资格证明文件提供不全或资格性审查不通过的磋商供应商，将由采购人现场告知其不得参与磋商。</w:t>
      </w:r>
    </w:p>
    <w:p w14:paraId="3BAA5C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25磋商小组</w:t>
      </w:r>
    </w:p>
    <w:p w14:paraId="36DCAD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磋商小组根据采购项目的特点进行组建，并负责磋商工作。磋商小组由采购人代表和评审专家共3人以上单数组成，其中评审专家人数不得少于磋商小组成员总数的三分之二。评标专家依法从政府采购评审专家库内相关的专家名单中随机抽取。采购人代表人数、专家人数构成将按照磋商须知前附表中确定。</w:t>
      </w:r>
    </w:p>
    <w:p w14:paraId="24EB92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25.2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w:t>
      </w:r>
    </w:p>
    <w:p w14:paraId="64FC3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25.3磋商小组名单在评审结果确定前严格保密。评审专家有下列情形之一的，受到邀请应主动提出回避，采购当事人也可以要求该评审专家回避；</w:t>
      </w:r>
    </w:p>
    <w:p w14:paraId="6DD96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25.3.1参加采购活动前3年内与参加该采购项目的供应商存在劳动关系或担任过供应商的董事、监事或是供应商的控股股东或者实际控制人；</w:t>
      </w:r>
    </w:p>
    <w:p w14:paraId="682E8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25.3.2与参加该采购项目的供应商的法定代表人或者负责人有夫妻、直系血亲、三代以内旁系血亲或者近姻亲关系；</w:t>
      </w:r>
    </w:p>
    <w:p w14:paraId="01D025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25.3.3与参加该采购项目的供应商有其他可能影响政府采购活动公平、公正进行的关系。</w:t>
      </w:r>
    </w:p>
    <w:p w14:paraId="77895D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25.4磋商小组负责具体评审事务，并独立履行下列职责：</w:t>
      </w:r>
    </w:p>
    <w:p w14:paraId="472A7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25.4.1审查、评审响应文件是否符合磋商文件的商务、技术等实质性要求；</w:t>
      </w:r>
    </w:p>
    <w:p w14:paraId="6B0744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25.4.2要求供应商对响应文件有关事项作出澄清或者说明；</w:t>
      </w:r>
    </w:p>
    <w:p w14:paraId="7D44C6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25.4.3对响应文件进行比较和评价；</w:t>
      </w:r>
    </w:p>
    <w:p w14:paraId="26FE43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25.4.4确定成交候选供应商名单，以及根据采购人委托直接确定成交供应商；</w:t>
      </w:r>
    </w:p>
    <w:p w14:paraId="21CCA0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25.4.5向采购人、财政局采购办和采购代理机构或者有关部门报告磋商中发现的违法行为。</w:t>
      </w:r>
    </w:p>
    <w:p w14:paraId="6C6E96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25.5磋商小组和有关工作人员不得透露对响应文件的评审和比较以及与磋商有关的其他情况。</w:t>
      </w:r>
    </w:p>
    <w:p w14:paraId="64B70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25.6磋商小组将按照磋商文件中确定的评标方法和评标标准进行磋商。</w:t>
      </w:r>
    </w:p>
    <w:p w14:paraId="3F607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25.7磋商小组对磋商文件中描述有歧义或前后不一致的地方，有权进行评判，但对同一条款的评判应适用于每个磋商供应商。</w:t>
      </w:r>
    </w:p>
    <w:p w14:paraId="503484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25.8磋商中因磋商小组成员缺席、回避或者健康等特殊原因导致磋商小组成员不符合相关法律法规规定的，采购人和采购代理机构工作人员应当依法补足后继续磋商。被更换的磋商小组成员所作出的评审意见无效。</w:t>
      </w:r>
    </w:p>
    <w:p w14:paraId="2E39AC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25.9无法及时补足磋商小组成员的，采购人或者采购人和采购代理机构工作人员应当停止评标活动，封存所有响应文件和开标、磋商资料，依法重新组建磋商小组进行磋商。</w:t>
      </w:r>
    </w:p>
    <w:p w14:paraId="28460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25.10采购人和采购代理机构工作人员应当将变更、重新组建评磋商小组的情况予以记录，并随采购文件一并存档。</w:t>
      </w:r>
    </w:p>
    <w:p w14:paraId="05FB12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26磋商过程</w:t>
      </w:r>
    </w:p>
    <w:p w14:paraId="23BDE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26.1符合性审查</w:t>
      </w:r>
    </w:p>
    <w:p w14:paraId="4B1AD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26.1.1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对符合性审查不通过的响应文件磋商小组将按无效响应处理，由磋商小组现场告知该磋商供应商，其响应文件作无效处理，不参与磋商。审查细则详见磋商须知第七部分：《符合性审查表》。</w:t>
      </w:r>
    </w:p>
    <w:p w14:paraId="388A7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26.2磋商</w:t>
      </w:r>
    </w:p>
    <w:p w14:paraId="78B22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26.2.1磋商小组所有成员集中与单一供应商分别进行线上磋商，并给予所有参加磋商的供应商平等的磋商机会。</w:t>
      </w:r>
    </w:p>
    <w:p w14:paraId="5D6216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26.2.3磋商小组对各供应商的最后报价进行审查，认为供应商的最后报价明显低于其他通过资格、符合性审查供应商的报价，有可能影响工程质量或者不能诚信履约的，应当要求其在政采云不见面开评标大厅提供书面说明，必要时提交相关证明材料；供应商不能证明其报价合理性的，磋商小组应当将其作为无效响应处理。</w:t>
      </w:r>
    </w:p>
    <w:p w14:paraId="75F68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26.2.4供应商的报价出现前后不一致的情况，磋商小组将要求供应商根据磋商文件要求修正报价。修正后的报价经供应商确认后具有约束力，供应商不确认的，其响应无效。</w:t>
      </w:r>
    </w:p>
    <w:p w14:paraId="2958D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26.2.5报价按照下列规定修正：</w:t>
      </w:r>
    </w:p>
    <w:p w14:paraId="7C1EC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26.2.5.1响应文件中报价一览表（首次报价表）内容与响应文件中相应内容不一致的，以报价一览表（首次报价表）为准；</w:t>
      </w:r>
    </w:p>
    <w:p w14:paraId="54D2F6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26.2.5.2大写金额和小写金额不一致的，以大写金额为准；</w:t>
      </w:r>
    </w:p>
    <w:p w14:paraId="1C0E9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26.2.5.3单价金额小数点或者百分比有明显错位的，以报价一览表的总价为准，并修改单价；</w:t>
      </w:r>
    </w:p>
    <w:p w14:paraId="2D145F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26.2.5.4总价金额与按单价汇总金额不一致的，以单价金额计算结果为准。</w:t>
      </w:r>
    </w:p>
    <w:p w14:paraId="24F8CD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26.2.5.5同时出现两种以上不一致的，按照前款规定的顺序修正。</w:t>
      </w:r>
    </w:p>
    <w:p w14:paraId="6E9FBC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26.2.6在磋商过程中，磋商小组可以根据磋商文件和磋商情况实质性变动采购需求中的技术、服务要求以及合同草案条款，但不得变动磋商文件中的其他内容。实质性变动的内容，须经采购人代表确认。</w:t>
      </w:r>
    </w:p>
    <w:p w14:paraId="79B174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26.2.7对磋商文件作出的实质性变动是磋商文件的有效组成部分，磋商小组应当以书面形式同时通知所有参加磋商的供应商，供应商应当按照磋商文件的变动情况和磋商小组的要求重新提交响应文件，并由其法定代表人或授权代表签字或者加盖公章。供应商为自然人的，应当由本人签字并附身份证明。</w:t>
      </w:r>
    </w:p>
    <w:p w14:paraId="331FFE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26.2.8磋商文件能够详细说明采购标的的技术、服务要求的，磋商结束后，磋商小组应当要求所有实质性响应的供应商在规定的时间内在政采云不见面开评标大厅提交最后报价，提交最后报价的供应商不得少于3家。供应商进入政采云平台“项目采购”-“开标评标”模块，在政采云不见面开评标大厅中，等待采购代理机构经办人开启二次报价，供应商根据系统提示填写二次报价，并签章确认提交。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14:paraId="11F74C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26.2.9在磋商过程中，供应商提交的澄清文件和最终响应文件，由供应商法定代表人或其授权代表签署后生效，供应商应受其约束。</w:t>
      </w:r>
    </w:p>
    <w:p w14:paraId="394533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26.3已提交响应文件的供应商，在提交最后报价之前，可以根据磋商情况退出磋商。未作最后报价供应商视为自动退出磋商。供应商下轮报价可与上轮报价一致。</w:t>
      </w:r>
    </w:p>
    <w:p w14:paraId="7D3A43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26.4招标代理工作人员对磋商过程和重要磋商内容进行记录。</w:t>
      </w:r>
    </w:p>
    <w:p w14:paraId="26EEA8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27最后报价</w:t>
      </w:r>
    </w:p>
    <w:p w14:paraId="70B5BF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26.1.磋商结束后，作出实质性响应的供应商应在规定的时间内提交最后报价（最后报价时间视磋商进程由磋商小组决定）。</w:t>
      </w:r>
    </w:p>
    <w:p w14:paraId="0FDCA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28评标方法</w:t>
      </w:r>
    </w:p>
    <w:p w14:paraId="6A99C0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28.1本项目采用综合评分法。磋商小组对资格、符合性审查合格的响应文件进行商务、技术和价格评审，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w:t>
      </w:r>
    </w:p>
    <w:p w14:paraId="682F35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综合得分＝商务得分+技术得分+磋商报价得分</w:t>
      </w:r>
    </w:p>
    <w:p w14:paraId="2085B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28.2商务、技术评分</w:t>
      </w:r>
    </w:p>
    <w:p w14:paraId="342EA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28.2.1磋商小组对供应商的商务、技术状况及响应程度进行评议和比较，并依据评分标准，评出其商务、技术评分。详细评分标准见磋商须知第七部分《评分标准》。</w:t>
      </w:r>
    </w:p>
    <w:p w14:paraId="089E77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28.3磋商报价评分</w:t>
      </w:r>
    </w:p>
    <w:p w14:paraId="29F1D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28.3.1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磋商须知第七部分《评分标准》。其他供应商的价格分统一按照下列公式计算：</w:t>
      </w:r>
    </w:p>
    <w:p w14:paraId="45455E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磋商报价得分=（磋商基准价/最后磋商报价）×价格权重×100</w:t>
      </w:r>
    </w:p>
    <w:p w14:paraId="2E16A5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28.4小微企业（监狱企业、残疾人福利性单位视同小微企业）价格扣除（仅非预留份额的采购项目或者采购包适用）</w:t>
      </w:r>
    </w:p>
    <w:p w14:paraId="73304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28.4.1对于经主管预算单位统筹后未预留份额专门面向中小企业采购的采购项目，以及预留份额项目中的非预留部分采购包，对符合《政府采购促进中小企业发展管理办法》（财库〔2020〕46号）规定的小微企业报价给予10%的扣除，用扣除后的价格参加评审。</w:t>
      </w:r>
    </w:p>
    <w:p w14:paraId="3119BC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28.4.2接受大中型企业与小微企业组成联合体的采购项目，对联合协议约定小微企业的合同份额占到合同总金额30%以上的，对联合体的报价给予1%的扣除，用扣除后的价格参加评审。</w:t>
      </w:r>
    </w:p>
    <w:p w14:paraId="200ED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28.4.3允许大中型企业向一家或者多家小微企业分包的采购项目，对于分包意向协议约定小微企业的合同份额占到合同总金额30%以上的，对大中型企业的报价给予1%的扣除，用扣除后的价格参加评审。</w:t>
      </w:r>
    </w:p>
    <w:p w14:paraId="65CF1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28.4.4参加政府采购活动的中小企业应当提供《中小企业声明函》原件。监狱企业应当提供监狱企业证明复印件。残疾人福利性单位应当提供《残疾人福利性单位声明函》原件。以上格式详见磋商文件第五部分响应文件格式，未提供的视为放弃享受小微企业价格扣除优惠政策。</w:t>
      </w:r>
    </w:p>
    <w:p w14:paraId="458BDF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28.4.5组成联合体或者接受分包的小微企业与联合体内其他企业、分包企业之间存在直接控股、管理关系的，不享受价格扣除优惠政策。</w:t>
      </w:r>
    </w:p>
    <w:p w14:paraId="420BC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28.4.6依据《政府采购促进中小企业发展管理办法》（财库〔2020〕46号）规定享受扶持政策的小微企业，不得将合同分包给大中型企业。</w:t>
      </w:r>
    </w:p>
    <w:p w14:paraId="1F0CBA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28.5节能产品、环境标志产品政府采购政策执行</w:t>
      </w:r>
    </w:p>
    <w:p w14:paraId="7F783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28.5.1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w:t>
      </w:r>
    </w:p>
    <w:p w14:paraId="4C8F6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28.5.2采购标的属于《节能产品政府采购品目清单》、《环境标志产品政府采购品目清单》中优先采购产品类别产品，须提供由《参与实施政府采购节能产品认证机构名录》、《参与实施政府采购环境标志产品认证机构名录》中确定的认证机构出具的、处于有效期之内的节能产品认证证书或环境标志产品认证证书（复印件加盖供应商公章），将按照“第七部分评审标准”给予加分。</w:t>
      </w:r>
    </w:p>
    <w:p w14:paraId="0CC70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价格项加分：</w:t>
      </w:r>
    </w:p>
    <w:p w14:paraId="440CF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1、（节能清单部分产品的价格/投标报价）×3%×价格项满分值</w:t>
      </w:r>
    </w:p>
    <w:p w14:paraId="613A73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2、（环境清单部分产品的价格/投标报价）×3%×价格项满分值</w:t>
      </w:r>
    </w:p>
    <w:p w14:paraId="48055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技术项加分：</w:t>
      </w:r>
    </w:p>
    <w:p w14:paraId="5D6CF7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1、（节能清单部分产品的价格/投标报价）×3%×技术项满分值</w:t>
      </w:r>
    </w:p>
    <w:p w14:paraId="3D1CE4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2、（环境清单部分产品的价格/投标报价）×3%×技术项满分值</w:t>
      </w:r>
    </w:p>
    <w:p w14:paraId="445E77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注：1、供应商须提供最新一期《节能产品政府采购清单》关于投标产品当前页的打印件；</w:t>
      </w:r>
    </w:p>
    <w:p w14:paraId="12964F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2、供应商提供最新一期《环境标志产品政府采购清单》关于投标产品当前页的打印件；</w:t>
      </w:r>
    </w:p>
    <w:p w14:paraId="019A6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29授标与定标原则</w:t>
      </w:r>
    </w:p>
    <w:p w14:paraId="110D0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29.1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w:t>
      </w:r>
    </w:p>
    <w:p w14:paraId="059C9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29.2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w:t>
      </w:r>
    </w:p>
    <w:p w14:paraId="0AC940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29.3推荐综合得分排名第一的供应商为第一成交候选供应商，排名第二的供应商为第二成交候选供应商，排名第三的供应商为第三成交候选供应商。</w:t>
      </w:r>
    </w:p>
    <w:p w14:paraId="6CA169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29.4根据磋商小组的磋商结果，采购人在评标报告推荐的成交候选供应商中按顺序依法确定1名成交供应商。</w:t>
      </w:r>
    </w:p>
    <w:p w14:paraId="7BB65F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29.5采购代理机构在评标结束后2个工作日内将评标报告送达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w:t>
      </w:r>
    </w:p>
    <w:p w14:paraId="003249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30成交通知书</w:t>
      </w:r>
    </w:p>
    <w:p w14:paraId="336318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30.1招标代理机构工作人员自成交供应商确定之日起2个工作日内，在磋商文件指定的媒体上发布成交公告，成交结果公告期限为3个工作日。同时向成交供应商发出《成交通知书》。</w:t>
      </w:r>
    </w:p>
    <w:p w14:paraId="33BCE8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30.2《成交通知书》是合同的一个组成部分，《成交通知书》对采购人和成交供应商均具有同等的法律效力；《成交通知书》发出后，采购人改变成交结果，或者成交供应商放弃成交资格，应当承担相应的法律责任。</w:t>
      </w:r>
    </w:p>
    <w:p w14:paraId="3CE3F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30.3《成交通知书》将作为授予合同资格的合法依据，是合同的一个组成部分。</w:t>
      </w:r>
    </w:p>
    <w:p w14:paraId="5839B5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30.4成交供应商为享受中小企业扶持政策的小微企业及视同小微企业的残疾人福利性单位的，采购代理机构工作人员随成交结果同时公告其《中小企业声明函》、《残疾人福利性单位声明函》，接受社会监督。</w:t>
      </w:r>
    </w:p>
    <w:p w14:paraId="05812C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31废标</w:t>
      </w:r>
    </w:p>
    <w:p w14:paraId="05610F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31.1在采购活动中，出现下列情形之一的，应予废标：</w:t>
      </w:r>
    </w:p>
    <w:p w14:paraId="2DAF53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31.1.1因情况变化，不再符合规定的竞争性磋商采购方式适用情形的；</w:t>
      </w:r>
    </w:p>
    <w:p w14:paraId="46C0AF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31.1.2出现影响采购公正的违法、违规行为的；</w:t>
      </w:r>
    </w:p>
    <w:p w14:paraId="766DC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31.1.3除本须知25.2.8规定的情形外，在采购过程中符合要求的供应商或者报价未超过采购预算的供应商不足3家的。</w:t>
      </w:r>
    </w:p>
    <w:p w14:paraId="4B7E6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32询问、质疑、投诉</w:t>
      </w:r>
    </w:p>
    <w:p w14:paraId="18245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32.1询问</w:t>
      </w:r>
    </w:p>
    <w:p w14:paraId="6F5E52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32.1.1供应商对政府采购活动事项（磋商文件、采购过程、成交或者成交结果）有疑问的，可以向采购人或者采购代理机构提出询问，询问可以口头方式提出，也可以书面方式提出。</w:t>
      </w:r>
    </w:p>
    <w:p w14:paraId="7688D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32.1.2采购人或者采购代理机构在三个工作日内对供应商依法提出的询问作出答复。</w:t>
      </w:r>
    </w:p>
    <w:p w14:paraId="0918C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32.2质疑</w:t>
      </w:r>
    </w:p>
    <w:p w14:paraId="2AFE86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32.2.1提出质疑的供应商应当是参与所质疑项目采购活动的供应商。潜在供应商依法获取其可质疑的采购文件的，可以对采购文件提出质疑。</w:t>
      </w:r>
    </w:p>
    <w:p w14:paraId="418BCB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供应商认为采购文件、采购过程和采购结果使自己的权益受到损害的，可以在知道或应知其权益受到损害之日起七个工作日内，以书面形式向采购代理机构及采购人提出质疑。上述应知其权益受到损害之日，是指：</w:t>
      </w:r>
    </w:p>
    <w:p w14:paraId="74B8C7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32.2.2.1对可以质疑的采购文件提出质疑的，为收到采购文件之日或者采购文件公告期限届满之日；</w:t>
      </w:r>
    </w:p>
    <w:p w14:paraId="29DDB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32.2.2.2对采购过程提出质疑的，为各采购程序环节结束之日；</w:t>
      </w:r>
    </w:p>
    <w:p w14:paraId="10C53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32.2.2.3对中标或者成交结果提出质疑的，为中标或者成交结果公告期限届满之日。</w:t>
      </w:r>
    </w:p>
    <w:p w14:paraId="22A4EF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供应商应当在法定质疑期内一次性提出针对同一采购程序环节的质疑。供应商如在法定期限内对同一采购程序环节提出多次质疑的，采购代理机构、采购人将只对供应商第一次质疑作出答复。</w:t>
      </w:r>
    </w:p>
    <w:p w14:paraId="4E4292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质疑函必须按照本招标文件中《质疑函范本》要求的格式和内容进行填写。供应商如组成联合体参加投标，则《质疑函范本》中要求签字、盖章、加盖公章之处，联合体各方均须按要求签字、盖章、加盖公章。</w:t>
      </w:r>
    </w:p>
    <w:p w14:paraId="47878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32.4采购人只接收以纸质原件形式送达的质疑。</w:t>
      </w:r>
    </w:p>
    <w:p w14:paraId="121F8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质疑接收人：</w:t>
      </w:r>
      <w:r>
        <w:rPr>
          <w:rFonts w:hint="eastAsia" w:ascii="宋体" w:hAnsi="宋体" w:eastAsia="宋体" w:cs="宋体"/>
          <w:b w:val="0"/>
          <w:bCs w:val="0"/>
          <w:sz w:val="24"/>
          <w:szCs w:val="24"/>
          <w:highlight w:val="none"/>
          <w:lang w:val="en-US" w:eastAsia="zh-CN"/>
        </w:rPr>
        <w:t>新疆维吾尔自治区塔里木河流域乌鲁瓦提水利枢纽管理中心</w:t>
      </w:r>
    </w:p>
    <w:p w14:paraId="79BFB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联系地址：新疆和田市</w:t>
      </w:r>
    </w:p>
    <w:p w14:paraId="5D0AC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联系人：吴国强</w:t>
      </w:r>
    </w:p>
    <w:p w14:paraId="210D3D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联系电话：0903-2099619</w:t>
      </w:r>
    </w:p>
    <w:p w14:paraId="3F0A59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32.5以下情形的质疑不予受理</w:t>
      </w:r>
    </w:p>
    <w:p w14:paraId="2CB28C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32.5.1内容不符合《政府采购质疑和投诉办法》第十二条规定的质疑。</w:t>
      </w:r>
    </w:p>
    <w:p w14:paraId="445B3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32.5.2超出政府采购法定期限的质疑。</w:t>
      </w:r>
    </w:p>
    <w:p w14:paraId="64E29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32.5.3以传真、电子邮件等方式递交的非原件形式的质疑。</w:t>
      </w:r>
    </w:p>
    <w:p w14:paraId="47E74B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32.5.4未参加投标活动的供应商或在投标活动中自身权益未受到损害的供应商所提出的质疑。</w:t>
      </w:r>
    </w:p>
    <w:p w14:paraId="11C258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32.5.5供应商组成联合体参加投标，联合体中任何一方或多方未按要求签字、盖章、加盖公章的质疑。</w:t>
      </w:r>
    </w:p>
    <w:p w14:paraId="1CABC8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32.5.6无具体质疑事项内容，或未提供有效线索，难以查证的。</w:t>
      </w:r>
    </w:p>
    <w:p w14:paraId="027CD9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32.5.7所质疑事项已进行处理，或正在行政复议、仲裁、诉讼、投诉等其他程序的。</w:t>
      </w:r>
    </w:p>
    <w:p w14:paraId="2B230E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32.5.8不属于本中心管辖范围的质疑。</w:t>
      </w:r>
    </w:p>
    <w:p w14:paraId="71BA03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32.6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66BB74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32.3投诉</w:t>
      </w:r>
    </w:p>
    <w:p w14:paraId="29D846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32.3.1质疑供应商对采购代理机构的答复不满意，或者采购代理机构未在规定时间内作出答复的，可以在答复期满后十五个工作日内向同级财政部门提起投诉。入不良行为记录名单，禁止其1至3年内参加政府采购活动：</w:t>
      </w:r>
    </w:p>
    <w:p w14:paraId="62ABA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32.3.3.1捏造事实；</w:t>
      </w:r>
    </w:p>
    <w:p w14:paraId="4CC8B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32.3.3.2提供虚假材料；</w:t>
      </w:r>
    </w:p>
    <w:p w14:paraId="718EB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32.3.3.3以非法手段取得证明材料。证据来源的合法性存在明显疑问，投诉人无法证明其取得方式合法的，视为以非法手段取得证明材料。</w:t>
      </w:r>
    </w:p>
    <w:p w14:paraId="15091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33特别说明</w:t>
      </w:r>
    </w:p>
    <w:p w14:paraId="42C8F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33.1有下列情形之一的，视为供应商串通投标，其响应无效：</w:t>
      </w:r>
    </w:p>
    <w:p w14:paraId="72EC5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33.1.1不同供应商的响应文件由同一单位或者个人编制；</w:t>
      </w:r>
    </w:p>
    <w:p w14:paraId="0CD7F2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33.1.2不同供应商委托同一单位或者个人办理投标事宜；</w:t>
      </w:r>
    </w:p>
    <w:p w14:paraId="4C819F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33.1.3不同供应商的响应文件载明的项目管理成员或者联系人员为同一人；</w:t>
      </w:r>
    </w:p>
    <w:p w14:paraId="2FB305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33.1.4不同供应商的响应文件异常一致或者磋商报价呈规律性差异；</w:t>
      </w:r>
    </w:p>
    <w:p w14:paraId="16FF1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33.1.5不同供应商的响应文件相互混装；</w:t>
      </w:r>
    </w:p>
    <w:p w14:paraId="7B716C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33.1.6不同供应商的磋商保证金从同一单位或者个人的账户转出。</w:t>
      </w:r>
    </w:p>
    <w:p w14:paraId="6A859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33.2供应商存在下列情况之一的，其响应无效：</w:t>
      </w:r>
    </w:p>
    <w:p w14:paraId="3CD7C7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33.2.1未按照磋商文件的规定提交磋商保证金的；</w:t>
      </w:r>
    </w:p>
    <w:p w14:paraId="3DB8E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33.2.2响应文件未按磋商文件要求签署、盖章及响应文件的份数、编制不符合磋商文件要求的；</w:t>
      </w:r>
    </w:p>
    <w:p w14:paraId="53B2F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33.2.3不具备磋商文件中规定的资格要求的；</w:t>
      </w:r>
    </w:p>
    <w:p w14:paraId="650EF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33.2.4报价超过磋商文件中规定的预算金额或者最高限价的；</w:t>
      </w:r>
    </w:p>
    <w:p w14:paraId="3F78EA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33.2.5响应文件含有采购人不能接受的附加条件的；</w:t>
      </w:r>
    </w:p>
    <w:p w14:paraId="70772D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33.2.6法律、法规和磋商文件规定的其他无效情形。</w:t>
      </w:r>
    </w:p>
    <w:p w14:paraId="42245E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六、授予合同</w:t>
      </w:r>
    </w:p>
    <w:p w14:paraId="5AF0F1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34合同的订立</w:t>
      </w:r>
    </w:p>
    <w:p w14:paraId="38C9E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34.1采购人应当自成交通知书发出之日起三十日内，按照磋商文件和成交供应商响应文件的约定，与成交供应商签订书面合同。所签订的合同不得对磋商文件和成交供应商响应文件作实质性修改。</w:t>
      </w:r>
    </w:p>
    <w:p w14:paraId="6FDF4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34.2采购人不得向成交供应商提出任何不合理的要求，作为签订合同的条件，不得与成交供应商私下订立背离合同实质性内容的协议。</w:t>
      </w:r>
    </w:p>
    <w:p w14:paraId="2B708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34.3自政府采购合同签订之日起两个工作日内，采购人应将政府采购合同在省级以上人民政府财政部门指定的媒体上公告，但政府采购合同中涉及国家秘密、商业秘密的内容除外。</w:t>
      </w:r>
    </w:p>
    <w:p w14:paraId="63E38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34.4政府采购合同签订之日起七个工作日内，采购人应将政府采购合同副本报同级监管部门备案和有关部门备案。</w:t>
      </w:r>
    </w:p>
    <w:p w14:paraId="0E4245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35合同的履行</w:t>
      </w:r>
    </w:p>
    <w:p w14:paraId="1AA36C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政府采购合同订立后，合同各方不得擅自变更、中止或者终止合同。政府采购合同需要变更的，采购人应将有关合同变更内容，以书面形式报同级监管部门备案；因特殊情况需要中止或终止合同的，采购人应将中止或终止合同的理由以及相应措施，以书面形式报同级监管部门备案。</w:t>
      </w:r>
    </w:p>
    <w:p w14:paraId="711098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w:t>
      </w:r>
    </w:p>
    <w:p w14:paraId="15372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35.3成交供应商如为依据《政府采购促进中小企业发展管理办法》规定享受扶持政策获得政府采购合同的，小微企业不得将合同分包给大中型企业，中型企业不得将合同分包给大型企业。</w:t>
      </w:r>
    </w:p>
    <w:p w14:paraId="69D0C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36验收</w:t>
      </w:r>
    </w:p>
    <w:p w14:paraId="7F0EE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36.1采购人应当及时对采购项目进行验收。采购人可以邀请参加本项目的其他供应商或者第三方机构参与验收。参与验收的供应商或者第三方机构的意见作为验收书的参考资料一并存档。</w:t>
      </w:r>
    </w:p>
    <w:p w14:paraId="2A97F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36.2在验收时，供应商应向采购人提供工程的相关资料，按采购人提出的方式验收。</w:t>
      </w:r>
    </w:p>
    <w:p w14:paraId="30859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36.3由采购人对工程的质量、规格和数量及其他进行检验。如发现质量、规格和数量等任何一项与磋商文件要求规定不符，采购人有权拒绝接受。</w:t>
      </w:r>
    </w:p>
    <w:p w14:paraId="0ACAF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36.4采购人应当加强对成交供应商的履约管理，并按照采购合同约定，及时向成交供应商支付采购资金。对于成交供应商违反采购合同约定的行为，采购人应当及时处理，依法追究其违约责任。</w:t>
      </w:r>
    </w:p>
    <w:p w14:paraId="36381C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七、评审标准</w:t>
      </w:r>
    </w:p>
    <w:p w14:paraId="37FCDE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37资格性审查表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9455"/>
      </w:tblGrid>
      <w:tr w14:paraId="4F97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B2D97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455" w:type="dxa"/>
            <w:vAlign w:val="center"/>
          </w:tcPr>
          <w:p w14:paraId="51C5BF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14C1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4ABF3F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455" w:type="dxa"/>
            <w:vAlign w:val="center"/>
          </w:tcPr>
          <w:p w14:paraId="01A0CD4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具有独立承担民事责任的能力（提供合法有效的法人营业执照）</w:t>
            </w:r>
          </w:p>
        </w:tc>
      </w:tr>
      <w:tr w14:paraId="436B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4D351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455" w:type="dxa"/>
            <w:vAlign w:val="center"/>
          </w:tcPr>
          <w:p w14:paraId="509574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具有良好的商业信誉和健全的财务会计制度（提供2024年度财务审计报告，包括资产负债表、现金流量表、损益表（利润表）和财务情况说明书，成立不足一年的提供成立至今的财务报表或银行资信证明）</w:t>
            </w:r>
          </w:p>
        </w:tc>
      </w:tr>
      <w:tr w14:paraId="710F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2113D7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455" w:type="dxa"/>
            <w:vAlign w:val="center"/>
          </w:tcPr>
          <w:p w14:paraId="7ADEED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具有履行合同所必需的设备和专业技术能力（根据项目需求提供履行合同所必需的设备和专业技术能力的证明材料或加盖单位电子章的书面承诺函）</w:t>
            </w:r>
          </w:p>
        </w:tc>
      </w:tr>
      <w:tr w14:paraId="6C36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EF7A1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455" w:type="dxa"/>
            <w:vAlign w:val="center"/>
          </w:tcPr>
          <w:p w14:paraId="0DFACB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依法缴纳税收和社会保障资金的良好记录（提供供应商近半年内任意一个月的依法缴纳税收和社会保障资金的相关材料；如小微企业按季度纳税的，提供近半年内任意一个季度的纳税证明）注：①若为零申报企业，需提供无欠税证明或国家税务总局电子税务局“申报结果查询截图”；②“税种”非社会保险。</w:t>
            </w:r>
          </w:p>
        </w:tc>
      </w:tr>
      <w:tr w14:paraId="52FD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12CA17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455" w:type="dxa"/>
            <w:vAlign w:val="center"/>
          </w:tcPr>
          <w:p w14:paraId="053EB2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参加政府采购活动前三年内，在经营活动中没有重大违法记录（提供参加本次政府采购活动前3年内在经营活动中没有重大违法记录承诺函）</w:t>
            </w:r>
          </w:p>
        </w:tc>
      </w:tr>
      <w:tr w14:paraId="4420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5A196E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455" w:type="dxa"/>
            <w:vAlign w:val="center"/>
          </w:tcPr>
          <w:p w14:paraId="0FB792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凡拟参加本次采购项目的供应商，未被“信用中国（www.creditchina.gov.cn）”网站列入“失信被执行人、重大税收违法失信主体”；未被“中国政府采购网（www.ccgp.gov.cn）”列入“政府采购严重违法失信行为信息记录名单”（尚在处罚期内的），将拒绝其参加本次采购活动（提供网页截图）</w:t>
            </w:r>
          </w:p>
        </w:tc>
      </w:tr>
      <w:tr w14:paraId="0077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7CC89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9455" w:type="dxa"/>
            <w:vAlign w:val="center"/>
          </w:tcPr>
          <w:p w14:paraId="6665D2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磋商保证金缴纳凭证或电子保函的缴纳凭证</w:t>
            </w:r>
          </w:p>
        </w:tc>
      </w:tr>
      <w:tr w14:paraId="7AE7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07" w:type="dxa"/>
            <w:vAlign w:val="center"/>
          </w:tcPr>
          <w:p w14:paraId="1EABC2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9455" w:type="dxa"/>
            <w:vAlign w:val="center"/>
          </w:tcPr>
          <w:p w14:paraId="2ACF48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法定代表人须提供法定代表人资格证明书及身份证或法定代表人授权委托书及被授权人身份证</w:t>
            </w:r>
          </w:p>
        </w:tc>
      </w:tr>
      <w:tr w14:paraId="07C3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F7675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9455" w:type="dxa"/>
            <w:vAlign w:val="center"/>
          </w:tcPr>
          <w:p w14:paraId="1470F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中小企业声明函（请根据要求单独上传《中小企业声明函》。格式以采购文件要求为准。）</w:t>
            </w:r>
          </w:p>
        </w:tc>
      </w:tr>
      <w:tr w14:paraId="697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 w:type="dxa"/>
            <w:vAlign w:val="center"/>
          </w:tcPr>
          <w:p w14:paraId="30111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9455" w:type="dxa"/>
            <w:vAlign w:val="center"/>
          </w:tcPr>
          <w:p w14:paraId="33FD55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项目负责人为本单位人员，需提供近6个月（2025年10月至2026年3月）社保证明。</w:t>
            </w:r>
          </w:p>
        </w:tc>
      </w:tr>
      <w:tr w14:paraId="0A0B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18B65C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备注：依据法律法规和磋商文件的规定，对响应文件中的资格证明等进行审查，以确定供应商是否具备投标资格，如供应商提供的响应文件中资格审查有一项未通过上述审查标准，将失去供应商资格。</w:t>
            </w:r>
          </w:p>
        </w:tc>
      </w:tr>
    </w:tbl>
    <w:p w14:paraId="7684A3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38符合性审查表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083"/>
      </w:tblGrid>
      <w:tr w14:paraId="750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B68C4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9083" w:type="dxa"/>
            <w:vAlign w:val="center"/>
          </w:tcPr>
          <w:p w14:paraId="08A25B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标准</w:t>
            </w:r>
          </w:p>
        </w:tc>
      </w:tr>
      <w:tr w14:paraId="23A2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2C7B6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083" w:type="dxa"/>
            <w:vAlign w:val="center"/>
          </w:tcPr>
          <w:p w14:paraId="337A97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响应文件的编制、签署及盖章是否符合磋商文件的要求</w:t>
            </w:r>
          </w:p>
        </w:tc>
      </w:tr>
      <w:tr w14:paraId="426D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48C9D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083" w:type="dxa"/>
            <w:vAlign w:val="center"/>
          </w:tcPr>
          <w:p w14:paraId="686C1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只有一个有效报价且未超过最高限价金额</w:t>
            </w:r>
          </w:p>
        </w:tc>
      </w:tr>
      <w:tr w14:paraId="322A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1A4C27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083" w:type="dxa"/>
            <w:vAlign w:val="center"/>
          </w:tcPr>
          <w:p w14:paraId="55890F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符合磋商文件提供的工程量清单</w:t>
            </w:r>
          </w:p>
        </w:tc>
      </w:tr>
      <w:tr w14:paraId="4217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53585C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083" w:type="dxa"/>
            <w:vAlign w:val="center"/>
          </w:tcPr>
          <w:p w14:paraId="70F412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响应文件符合磋商文件规定的磋商内容及技术要求以及商务条款要求的（特别注意标注★部分条款）</w:t>
            </w:r>
          </w:p>
        </w:tc>
      </w:tr>
      <w:tr w14:paraId="557D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7161C9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083" w:type="dxa"/>
            <w:vAlign w:val="center"/>
          </w:tcPr>
          <w:p w14:paraId="773815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响应文件符合磋商文件规定的磋商有效期</w:t>
            </w:r>
          </w:p>
        </w:tc>
      </w:tr>
      <w:tr w14:paraId="6B72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3E893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083" w:type="dxa"/>
            <w:vAlign w:val="center"/>
          </w:tcPr>
          <w:p w14:paraId="478077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响应文件未附有采购人不能接受或不符合磋商文件的要求</w:t>
            </w:r>
          </w:p>
        </w:tc>
      </w:tr>
      <w:tr w14:paraId="2EE3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2"/>
            <w:vAlign w:val="center"/>
          </w:tcPr>
          <w:p w14:paraId="71CB23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由磋商小组对符合资格的各供应商响应文件进行符合性审查，如果供应商有一项未通过上述审查标准，磋商小组将认定整个响应文件不响应磋商文件而予以否决，并且不允许供应商通过修改或撤销其不符合要求的差异或保留，使之成为具有响应性的响应。未通过符合性审查的供应商其响应文件将按照无效投标处理。</w:t>
            </w:r>
          </w:p>
        </w:tc>
      </w:tr>
    </w:tbl>
    <w:p w14:paraId="4DAB1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1315B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39评分标准</w:t>
      </w:r>
    </w:p>
    <w:p w14:paraId="7C5A54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满足招磋商文件要求且最后投标价格最低的投标报价为磋商基准价，磋商报价得分=（磋商基准价／最后磋商报价）×价格权值×100，计算分数时四舍五入取小数点后两位。</w:t>
      </w:r>
      <w:r>
        <w:rPr>
          <w:rFonts w:hint="eastAsia" w:ascii="宋体" w:hAnsi="宋体" w:eastAsia="宋体" w:cs="宋体"/>
          <w:sz w:val="24"/>
          <w:szCs w:val="24"/>
          <w:highlight w:val="none"/>
          <w:lang w:val="en-US" w:eastAsia="zh-CN"/>
        </w:rPr>
        <w:t>【说明：商务标部分满分17分，技术标部分满分53分，经济标部分满分30分。】</w:t>
      </w:r>
    </w:p>
    <w:tbl>
      <w:tblPr>
        <w:tblStyle w:val="1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150"/>
        <w:gridCol w:w="512"/>
        <w:gridCol w:w="6311"/>
      </w:tblGrid>
      <w:tr w14:paraId="1BA4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7D009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一、经济标（30分）</w:t>
            </w:r>
          </w:p>
        </w:tc>
      </w:tr>
      <w:tr w14:paraId="659C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6C3C40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磋商报价</w:t>
            </w:r>
          </w:p>
        </w:tc>
        <w:tc>
          <w:tcPr>
            <w:tcW w:w="2150" w:type="dxa"/>
            <w:vAlign w:val="center"/>
          </w:tcPr>
          <w:p w14:paraId="09B81B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价格部分（30分）</w:t>
            </w:r>
          </w:p>
        </w:tc>
        <w:tc>
          <w:tcPr>
            <w:tcW w:w="6823" w:type="dxa"/>
            <w:gridSpan w:val="2"/>
          </w:tcPr>
          <w:p w14:paraId="259392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磋商基准价=满足磋商文件要求（通过资格、符合性审查）且最后报价最低的供应商的价格（指价格核准后的价格，下同）磋商报价得分=（磋商基准价/最后磋商报价）×价格权重×100%</w:t>
            </w:r>
          </w:p>
        </w:tc>
      </w:tr>
      <w:tr w14:paraId="2F95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6512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二、商务标（17分）</w:t>
            </w:r>
          </w:p>
        </w:tc>
      </w:tr>
      <w:tr w14:paraId="11CF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211B8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638B6E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12" w:type="dxa"/>
            <w:vAlign w:val="center"/>
          </w:tcPr>
          <w:p w14:paraId="5D62C6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311" w:type="dxa"/>
            <w:vAlign w:val="center"/>
          </w:tcPr>
          <w:p w14:paraId="6DCB88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39DE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restart"/>
            <w:vAlign w:val="center"/>
          </w:tcPr>
          <w:p w14:paraId="5493C4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Merge w:val="restart"/>
            <w:vAlign w:val="center"/>
          </w:tcPr>
          <w:p w14:paraId="244EA0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w:t>
            </w:r>
          </w:p>
        </w:tc>
        <w:tc>
          <w:tcPr>
            <w:tcW w:w="512" w:type="dxa"/>
            <w:vAlign w:val="center"/>
          </w:tcPr>
          <w:p w14:paraId="30F962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6311" w:type="dxa"/>
            <w:vAlign w:val="center"/>
          </w:tcPr>
          <w:p w14:paraId="2314A3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企业业绩</w:t>
            </w:r>
          </w:p>
          <w:p w14:paraId="50F0EF4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提供近三年内类似本工程项目业绩（从截止时间往前推算，以合同签订日期为准）（提供有效的合同）；符合要求的每有一项得2分，最高得8分。</w:t>
            </w:r>
          </w:p>
        </w:tc>
      </w:tr>
      <w:tr w14:paraId="6919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Merge w:val="continue"/>
            <w:vAlign w:val="center"/>
          </w:tcPr>
          <w:p w14:paraId="24EAFE3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p>
        </w:tc>
        <w:tc>
          <w:tcPr>
            <w:tcW w:w="2150" w:type="dxa"/>
            <w:vMerge w:val="continue"/>
            <w:vAlign w:val="center"/>
          </w:tcPr>
          <w:p w14:paraId="56997C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512" w:type="dxa"/>
            <w:vAlign w:val="center"/>
          </w:tcPr>
          <w:p w14:paraId="5668C59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6311" w:type="dxa"/>
            <w:vAlign w:val="center"/>
          </w:tcPr>
          <w:p w14:paraId="15FA15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项目负责人资格</w:t>
            </w:r>
          </w:p>
          <w:p w14:paraId="2833D4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（1）提供类似本工程项目业绩（项目负责人业绩不做年限要求，提供有效的合同或中标（成交）通知书，须体现项目负责人信息）；符合要求的每有一项得2分，最高得6分。</w:t>
            </w:r>
          </w:p>
          <w:p w14:paraId="3BFEAF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（2）具有中级及以上技术职称的，得1分，没有不得分。</w:t>
            </w:r>
          </w:p>
        </w:tc>
      </w:tr>
      <w:tr w14:paraId="6896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13EA05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14:paraId="4CA832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人员配置</w:t>
            </w:r>
          </w:p>
        </w:tc>
        <w:tc>
          <w:tcPr>
            <w:tcW w:w="512" w:type="dxa"/>
            <w:vAlign w:val="center"/>
          </w:tcPr>
          <w:p w14:paraId="798EFD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6311" w:type="dxa"/>
            <w:vAlign w:val="center"/>
          </w:tcPr>
          <w:p w14:paraId="78846C84">
            <w:pPr>
              <w:pStyle w:val="7"/>
              <w:numPr>
                <w:ilvl w:val="0"/>
                <w:numId w:val="0"/>
              </w:numPr>
              <w:rPr>
                <w:rFonts w:hint="default"/>
                <w:highlight w:val="none"/>
                <w:lang w:val="en-US" w:eastAsia="zh-CN"/>
              </w:rPr>
            </w:pPr>
            <w:r>
              <w:rPr>
                <w:rFonts w:hint="eastAsia" w:ascii="宋体" w:hAnsi="宋体" w:eastAsia="宋体" w:cs="宋体"/>
                <w:kern w:val="2"/>
                <w:sz w:val="24"/>
                <w:szCs w:val="24"/>
                <w:highlight w:val="none"/>
                <w:vertAlign w:val="baseline"/>
                <w:lang w:val="en-US" w:eastAsia="zh-CN" w:bidi="ar-SA"/>
              </w:rPr>
              <w:t>除项目负责人外，每配备1名初级及以上技术职称的人员得1分，最高得2分，没有不得分。</w:t>
            </w:r>
          </w:p>
        </w:tc>
      </w:tr>
      <w:tr w14:paraId="26AB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4"/>
            <w:vAlign w:val="center"/>
          </w:tcPr>
          <w:p w14:paraId="4F46A9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三、技术标（53分）</w:t>
            </w:r>
          </w:p>
        </w:tc>
      </w:tr>
      <w:tr w14:paraId="0491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597" w:type="dxa"/>
            <w:vAlign w:val="center"/>
          </w:tcPr>
          <w:p w14:paraId="631341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150" w:type="dxa"/>
            <w:vAlign w:val="center"/>
          </w:tcPr>
          <w:p w14:paraId="2F9D14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评审项目</w:t>
            </w:r>
          </w:p>
        </w:tc>
        <w:tc>
          <w:tcPr>
            <w:tcW w:w="512" w:type="dxa"/>
            <w:vAlign w:val="center"/>
          </w:tcPr>
          <w:p w14:paraId="5E1E4D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分值</w:t>
            </w:r>
          </w:p>
        </w:tc>
        <w:tc>
          <w:tcPr>
            <w:tcW w:w="6311" w:type="dxa"/>
            <w:vAlign w:val="center"/>
          </w:tcPr>
          <w:p w14:paraId="6D339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评审内容</w:t>
            </w:r>
          </w:p>
        </w:tc>
      </w:tr>
      <w:tr w14:paraId="1922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7" w:type="dxa"/>
            <w:vAlign w:val="center"/>
          </w:tcPr>
          <w:p w14:paraId="48B5370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14:paraId="55623E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rPr>
              <w:t>技术方案</w:t>
            </w:r>
          </w:p>
        </w:tc>
        <w:tc>
          <w:tcPr>
            <w:tcW w:w="512" w:type="dxa"/>
            <w:vAlign w:val="center"/>
          </w:tcPr>
          <w:p w14:paraId="00FA54D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c>
          <w:tcPr>
            <w:tcW w:w="6311" w:type="dxa"/>
            <w:vAlign w:val="center"/>
          </w:tcPr>
          <w:p w14:paraId="43694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包括但不限于：（1）主要部件材质；（2）技术参数和尺寸；（3）结构形式；（4）组装和试</w:t>
            </w:r>
            <w:r>
              <w:rPr>
                <w:rFonts w:hint="eastAsia" w:ascii="宋体" w:hAnsi="宋体" w:eastAsia="宋体" w:cs="宋体"/>
                <w:sz w:val="24"/>
                <w:szCs w:val="24"/>
                <w:highlight w:val="none"/>
                <w:vertAlign w:val="baseline"/>
                <w:lang w:val="en-US" w:eastAsia="zh-CN"/>
              </w:rPr>
              <w:t xml:space="preserve">验。 </w:t>
            </w:r>
          </w:p>
          <w:p w14:paraId="7524779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①技术方案叙述准确，对项目有充分认识，逻辑准确，表述清晰、完整、具体，充分体现项目实际和特点，得20分； </w:t>
            </w:r>
          </w:p>
          <w:p w14:paraId="11D185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5分，每有一处缺陷扣2.5分，扣完为止。（缺陷是指：前后内容不一致、缺少针对性、存在凭空编造、前后逻辑错误、描述或涉及的规范及标准错误、项目名称或实施地点区域错误、内容简略不够详细或与本项目无关等任意一种情形等）</w:t>
            </w:r>
          </w:p>
        </w:tc>
      </w:tr>
      <w:tr w14:paraId="44F6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1EC18B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14:paraId="05CC5B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技术特性和性能保证</w:t>
            </w:r>
          </w:p>
        </w:tc>
        <w:tc>
          <w:tcPr>
            <w:tcW w:w="512" w:type="dxa"/>
            <w:vAlign w:val="center"/>
          </w:tcPr>
          <w:p w14:paraId="23626C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6311" w:type="dxa"/>
            <w:vAlign w:val="center"/>
          </w:tcPr>
          <w:p w14:paraId="6A9C8F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包括但不限于：（1）体现货物整体性能；（2）</w:t>
            </w:r>
            <w:r>
              <w:rPr>
                <w:rFonts w:hint="eastAsia" w:ascii="宋体" w:hAnsi="宋体" w:eastAsia="宋体" w:cs="宋体"/>
                <w:sz w:val="24"/>
                <w:szCs w:val="24"/>
                <w:highlight w:val="none"/>
              </w:rPr>
              <w:t>质量技术指标或者性能参数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性能保证</w:t>
            </w:r>
            <w:r>
              <w:rPr>
                <w:rFonts w:hint="eastAsia" w:ascii="宋体" w:hAnsi="宋体" w:eastAsia="宋体" w:cs="宋体"/>
                <w:sz w:val="24"/>
                <w:szCs w:val="24"/>
                <w:vertAlign w:val="baseline"/>
                <w:lang w:val="en-US" w:eastAsia="zh-CN"/>
              </w:rPr>
              <w:t>。</w:t>
            </w:r>
          </w:p>
          <w:p w14:paraId="1DB999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①对技术特性和性能保证有充分认识，逻辑准确，表述清晰、完整、具体，充分保证技术特性和性能保证，得15分； </w:t>
            </w:r>
          </w:p>
          <w:p w14:paraId="3200C6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5分，每有一处缺陷扣2.5分，扣完为止。（缺陷是指：前后内容不一致、缺少针对性、存在凭空编造、前后逻辑错误、描述或涉及的规范及标准错误、项目名称或实施地点区域错误、内容简略不够详细或与本项目无关等任意一种情形等）</w:t>
            </w:r>
          </w:p>
        </w:tc>
      </w:tr>
      <w:tr w14:paraId="2E16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1EAA15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14:paraId="6787FD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技术服务</w:t>
            </w:r>
          </w:p>
        </w:tc>
        <w:tc>
          <w:tcPr>
            <w:tcW w:w="512" w:type="dxa"/>
            <w:vAlign w:val="center"/>
          </w:tcPr>
          <w:p w14:paraId="6831D8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6311" w:type="dxa"/>
            <w:vAlign w:val="center"/>
          </w:tcPr>
          <w:p w14:paraId="505826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w:t>
            </w:r>
            <w:r>
              <w:rPr>
                <w:rFonts w:hint="eastAsia" w:ascii="宋体" w:hAnsi="宋体" w:eastAsia="宋体" w:cs="宋体"/>
                <w:sz w:val="24"/>
                <w:szCs w:val="24"/>
                <w:highlight w:val="none"/>
              </w:rPr>
              <w:t>技术培训计划的时间、内容安排</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highlight w:val="none"/>
                <w:lang w:eastAsia="zh-CN"/>
              </w:rPr>
              <w:t>安装调试及试运行措施或者安装调试及试运行、工程验收的技术指导安排</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highlight w:val="none"/>
                <w:lang w:eastAsia="zh-CN"/>
              </w:rPr>
              <w:t>技术图纸提供计划（包括图纸种类和供图时间）满足本工程建设和运行管理需要的</w:t>
            </w:r>
            <w:r>
              <w:rPr>
                <w:rFonts w:hint="eastAsia" w:ascii="宋体" w:hAnsi="宋体" w:eastAsia="宋体" w:cs="宋体"/>
                <w:sz w:val="24"/>
                <w:szCs w:val="24"/>
                <w:vertAlign w:val="baseline"/>
                <w:lang w:val="en-US" w:eastAsia="zh-CN"/>
              </w:rPr>
              <w:t xml:space="preserve">。 </w:t>
            </w:r>
          </w:p>
          <w:p w14:paraId="1013E1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①充分体现</w:t>
            </w:r>
            <w:r>
              <w:rPr>
                <w:rFonts w:hint="eastAsia" w:ascii="宋体" w:hAnsi="宋体" w:eastAsia="宋体" w:cs="宋体"/>
                <w:sz w:val="24"/>
                <w:szCs w:val="24"/>
                <w:highlight w:val="none"/>
              </w:rPr>
              <w:t>技术服务</w:t>
            </w:r>
            <w:r>
              <w:rPr>
                <w:rFonts w:hint="eastAsia" w:ascii="宋体" w:hAnsi="宋体" w:eastAsia="宋体" w:cs="宋体"/>
                <w:sz w:val="24"/>
                <w:szCs w:val="24"/>
                <w:vertAlign w:val="baseline"/>
                <w:lang w:val="en-US" w:eastAsia="zh-CN"/>
              </w:rPr>
              <w:t>实际情况，对项目有充分认识，逻辑准确，表述清晰、细化、完整，充分保证</w:t>
            </w:r>
            <w:r>
              <w:rPr>
                <w:rFonts w:hint="eastAsia" w:ascii="宋体" w:hAnsi="宋体" w:eastAsia="宋体" w:cs="宋体"/>
                <w:sz w:val="24"/>
                <w:szCs w:val="24"/>
                <w:highlight w:val="none"/>
              </w:rPr>
              <w:t>技术服务</w:t>
            </w:r>
            <w:r>
              <w:rPr>
                <w:rFonts w:hint="eastAsia" w:ascii="宋体" w:hAnsi="宋体" w:eastAsia="宋体" w:cs="宋体"/>
                <w:sz w:val="24"/>
                <w:szCs w:val="24"/>
                <w:vertAlign w:val="baseline"/>
                <w:lang w:val="en-US" w:eastAsia="zh-CN"/>
              </w:rPr>
              <w:t xml:space="preserve">需求，得8分； </w:t>
            </w:r>
          </w:p>
          <w:p w14:paraId="1258CA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4分，每有一处缺陷扣1.5分，扣完为止。（缺陷是指：前后内容不一致、缺少针对性、存在凭空编造、前后逻辑错误、描述或涉及的规范及标准错误、项目名称或实施地点区域错误、内容简略不够详细或与本项目无关等任意一种情形等）</w:t>
            </w:r>
          </w:p>
        </w:tc>
      </w:tr>
      <w:tr w14:paraId="217F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7" w:type="dxa"/>
            <w:vAlign w:val="center"/>
          </w:tcPr>
          <w:p w14:paraId="303C7C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14:paraId="340F4C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highlight w:val="none"/>
              </w:rPr>
              <w:t>质量管理与措施</w:t>
            </w:r>
          </w:p>
        </w:tc>
        <w:tc>
          <w:tcPr>
            <w:tcW w:w="512" w:type="dxa"/>
            <w:vAlign w:val="center"/>
          </w:tcPr>
          <w:p w14:paraId="2EDE1E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311" w:type="dxa"/>
            <w:vAlign w:val="center"/>
          </w:tcPr>
          <w:p w14:paraId="1263B6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包括但不限于：（1）</w:t>
            </w:r>
            <w:r>
              <w:rPr>
                <w:rFonts w:hint="eastAsia" w:ascii="宋体" w:hAnsi="宋体" w:eastAsia="宋体" w:cs="宋体"/>
                <w:sz w:val="24"/>
                <w:szCs w:val="24"/>
                <w:highlight w:val="none"/>
              </w:rPr>
              <w:t>质量管理体系和资源配置有利于保证货物质量的</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highlight w:val="none"/>
                <w:lang w:val="en-US" w:eastAsia="zh-CN"/>
              </w:rPr>
              <w:t>设计与制造能力及条件满足要求</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highlight w:val="none"/>
                <w:lang w:val="en-US" w:eastAsia="zh-CN"/>
              </w:rPr>
              <w:t>试验和质量检验方案及条件（包括试验、检验方法、仪器设备、完成时间等）满足要求</w:t>
            </w:r>
            <w:r>
              <w:rPr>
                <w:rFonts w:hint="eastAsia" w:ascii="宋体" w:hAnsi="宋体" w:eastAsia="宋体" w:cs="宋体"/>
                <w:sz w:val="24"/>
                <w:szCs w:val="24"/>
                <w:vertAlign w:val="baseline"/>
                <w:lang w:val="en-US" w:eastAsia="zh-CN"/>
              </w:rPr>
              <w:t xml:space="preserve">。 </w:t>
            </w:r>
          </w:p>
          <w:p w14:paraId="50D2D1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①对项目有充分认识，质量保证及措施充分体现工程实际情况，逻辑准确，表述清晰、细致具体、完整，完全符合并体现科学的施工规律、国家规定的强制性标准，充分保证工程实施质保措施和需求，得10分； </w:t>
            </w:r>
          </w:p>
          <w:p w14:paraId="172E4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②每有一项缺项或漏项扣5分，每有一处缺陷扣2分，扣完为止。（缺陷是指：前后内容不一致、缺少针对性、存在凭空编造、描述或前后逻辑错误、涉及的规范及标准错误、项目名称或实施地点区域错误、内容简略不够详细或与本项目无关等任意一种情形等）</w:t>
            </w:r>
          </w:p>
        </w:tc>
      </w:tr>
    </w:tbl>
    <w:p w14:paraId="1DE56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磋商小组以供应商总分由高到低排序，得分最高为第一成交候选人，如果出现供应商最终得分相同的情况，磋商报价低者排名顺序优先在前，以此类推，确定出前三名作为成交候选人推荐给采购人，采购人从三名成交候选人中确定出最终的成交人。</w:t>
      </w:r>
    </w:p>
    <w:p w14:paraId="315B87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确定中标人的原则：采购人应当确定排名第一的成交候选人为成交人。排名第一的成交候选人放弃中标、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p>
    <w:p w14:paraId="6808B3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63134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2" w:name="_Toc28489"/>
      <w:r>
        <w:rPr>
          <w:rFonts w:hint="eastAsia" w:ascii="宋体" w:hAnsi="宋体" w:eastAsia="宋体" w:cs="宋体"/>
          <w:sz w:val="28"/>
          <w:szCs w:val="28"/>
          <w:lang w:val="en-US" w:eastAsia="zh-CN"/>
        </w:rPr>
        <w:t>第三章  磋商内容及技术要求</w:t>
      </w:r>
      <w:bookmarkEnd w:id="2"/>
    </w:p>
    <w:p w14:paraId="66DAA9F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注：磋商内容及技术要求中标注“★部分”条款为实质性条款，供应商如有任何一条负偏离则导致响应无效。</w:t>
      </w:r>
    </w:p>
    <w:p w14:paraId="1D462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I商务要求</w:t>
      </w:r>
    </w:p>
    <w:tbl>
      <w:tblPr>
        <w:tblStyle w:val="1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744"/>
        <w:gridCol w:w="8312"/>
      </w:tblGrid>
      <w:tr w14:paraId="062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5DA9E1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744" w:type="dxa"/>
            <w:vAlign w:val="center"/>
          </w:tcPr>
          <w:p w14:paraId="477BAA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条款名称</w:t>
            </w:r>
          </w:p>
        </w:tc>
        <w:tc>
          <w:tcPr>
            <w:tcW w:w="8312" w:type="dxa"/>
            <w:vAlign w:val="center"/>
          </w:tcPr>
          <w:p w14:paraId="601876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说明</w:t>
            </w:r>
          </w:p>
        </w:tc>
      </w:tr>
      <w:tr w14:paraId="76DC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56171B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744" w:type="dxa"/>
            <w:vAlign w:val="center"/>
          </w:tcPr>
          <w:p w14:paraId="2F1367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工程概况</w:t>
            </w:r>
          </w:p>
        </w:tc>
        <w:tc>
          <w:tcPr>
            <w:tcW w:w="8312" w:type="dxa"/>
            <w:vAlign w:val="center"/>
          </w:tcPr>
          <w:p w14:paraId="774938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原有调速器拆除（电气和机械部分）；（2）现场安装2套新式调速器，对压力管道的改变，电焊部位必须要进行检测合格；完成与（南瑞）机组现地LCU的通讯连接。（3）完成新调速器现场各项试验，并能满足本设计所列各项标准，出具正式报告。（4）提供主要控制器及电源模块备件。</w:t>
            </w:r>
          </w:p>
        </w:tc>
      </w:tr>
      <w:tr w14:paraId="4501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1E3FF1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744" w:type="dxa"/>
            <w:vAlign w:val="center"/>
          </w:tcPr>
          <w:p w14:paraId="246F6EC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采购范围</w:t>
            </w:r>
          </w:p>
        </w:tc>
        <w:tc>
          <w:tcPr>
            <w:tcW w:w="8312" w:type="dxa"/>
            <w:vAlign w:val="center"/>
          </w:tcPr>
          <w:p w14:paraId="504B8D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施工图纸设计范围内及工程量清单的全部内容</w:t>
            </w:r>
          </w:p>
        </w:tc>
      </w:tr>
      <w:tr w14:paraId="6380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7FD216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744" w:type="dxa"/>
            <w:vAlign w:val="center"/>
          </w:tcPr>
          <w:p w14:paraId="2D5B42D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p>
        </w:tc>
        <w:tc>
          <w:tcPr>
            <w:tcW w:w="8312" w:type="dxa"/>
            <w:vAlign w:val="center"/>
          </w:tcPr>
          <w:p w14:paraId="154701A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vertAlign w:val="baseline"/>
                <w:lang w:val="en-US" w:eastAsia="zh-CN"/>
              </w:rPr>
              <w:t>合同履约期限：2026年8月31日前到现场；现场安装计划日期：1号机组：2026年10月8日至10月20日13天；4号机组：2026年10月21日至11月3日14天；具体以调度实际批准停电日期为准。</w:t>
            </w:r>
          </w:p>
        </w:tc>
      </w:tr>
      <w:tr w14:paraId="3208A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20AA887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744" w:type="dxa"/>
            <w:vAlign w:val="center"/>
          </w:tcPr>
          <w:p w14:paraId="57162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8312" w:type="dxa"/>
            <w:vAlign w:val="center"/>
          </w:tcPr>
          <w:p w14:paraId="69764D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vertAlign w:val="baseline"/>
                <w:lang w:val="en-US" w:eastAsia="zh-CN"/>
              </w:rPr>
              <w:t>质保期为通过合同完工验收后2年。</w:t>
            </w:r>
          </w:p>
        </w:tc>
      </w:tr>
      <w:tr w14:paraId="3C5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382C80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744" w:type="dxa"/>
            <w:vAlign w:val="center"/>
          </w:tcPr>
          <w:p w14:paraId="2F96E3A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报价要求</w:t>
            </w:r>
          </w:p>
        </w:tc>
        <w:tc>
          <w:tcPr>
            <w:tcW w:w="8312" w:type="dxa"/>
            <w:vAlign w:val="center"/>
          </w:tcPr>
          <w:p w14:paraId="1C25B8B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1、本项目的报价和结算支付均以人民币为货币单位。</w:t>
            </w:r>
          </w:p>
          <w:p w14:paraId="740CDD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2、供应商报价应包括采购、运输、安装、相关部门验收及保修期内的维护保养等所有含税费用，以及供应商认为必要的其他货物、材料、工程、服务。</w:t>
            </w:r>
          </w:p>
          <w:p w14:paraId="66F0B0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3、如出现任何遗漏内容需产生额外费用，均由成交供应商自行承担，采购人将不再另支付任何费用。</w:t>
            </w:r>
          </w:p>
          <w:p w14:paraId="77C4A2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4、供应商的报价文件应包括单价和总价，总价是对采购的所有内容所计算的总价，为合同总价；其填报的明细单价则应是供应商对本采购项目所包含的具体的服务进行详细列示的计算单价。</w:t>
            </w:r>
          </w:p>
          <w:p w14:paraId="111FB70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ascii="宋体" w:hAnsi="宋体" w:eastAsia="宋体" w:cs="宋体"/>
                <w:sz w:val="24"/>
                <w:szCs w:val="24"/>
                <w:lang w:val="en-US" w:eastAsia="zh-CN"/>
              </w:rPr>
              <w:t>5、供应商应被认为在填报报价之前，已经仔细阅读了本磋商文件的所有有关章节以及审查了所有相关资料，以确保本次磋商的所有磋商范围内的各种价格风险均已包含在磋商的报价内。</w:t>
            </w:r>
          </w:p>
        </w:tc>
      </w:tr>
      <w:tr w14:paraId="33EC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0D80CD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744" w:type="dxa"/>
            <w:vAlign w:val="center"/>
          </w:tcPr>
          <w:p w14:paraId="59A3E3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质量要求和质</w:t>
            </w:r>
          </w:p>
          <w:p w14:paraId="5C4D2E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量保修期</w:t>
            </w:r>
          </w:p>
        </w:tc>
        <w:tc>
          <w:tcPr>
            <w:tcW w:w="8312" w:type="dxa"/>
            <w:vAlign w:val="center"/>
          </w:tcPr>
          <w:p w14:paraId="0392CC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1、质量要求：符合国家行业相关标准。</w:t>
            </w:r>
          </w:p>
          <w:p w14:paraId="7E4FC4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保修响应时间：属于保修范围的项目，应在接到采购人通知后的24小时内派人保修。如未能在规定时间内派人保修的，采购人可自行或委托第三方保修，费用由成交供应商支付。发生紧急抢修事故的，成交供应商在接到通知后，应立即到达事故现场抢修。</w:t>
            </w:r>
          </w:p>
        </w:tc>
      </w:tr>
      <w:tr w14:paraId="4302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37DD0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744" w:type="dxa"/>
            <w:vAlign w:val="center"/>
          </w:tcPr>
          <w:p w14:paraId="5F9460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w:t>
            </w:r>
          </w:p>
        </w:tc>
        <w:tc>
          <w:tcPr>
            <w:tcW w:w="8312" w:type="dxa"/>
            <w:vAlign w:val="center"/>
          </w:tcPr>
          <w:p w14:paraId="72D2A84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1、采购人在收到成交供应商提交的竣工报告后组织验收，并在验收后14天内予以认可或提出修改意见。验收不合格，成交供应商应按要求修改后再次提请采购人验收，并承担因自身原因造成修改的费用。</w:t>
            </w:r>
          </w:p>
          <w:p w14:paraId="4F50FE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2、采购人在收到成交供应商提交的竣工报告后不组织验收，或验收后不提出修改意见，视为竣工报告已被认可。</w:t>
            </w:r>
          </w:p>
          <w:p w14:paraId="35FF09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验收时如发现所交付的设备有短装、次品、损坏或其它不符合磋商文件规定之情形者，采购人应做出详尽的现场记录，或由用户和成交供应商双方签署备忘录。此现场记录或备忘录可用作补充、缺失和更换损坏部件的有效证据。由此产生的有关费用由成交供应商承担。</w:t>
            </w:r>
          </w:p>
        </w:tc>
      </w:tr>
      <w:tr w14:paraId="0E60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dxa"/>
            <w:vAlign w:val="center"/>
          </w:tcPr>
          <w:p w14:paraId="41E0D8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744" w:type="dxa"/>
            <w:vAlign w:val="center"/>
          </w:tcPr>
          <w:p w14:paraId="4C82110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付款方式</w:t>
            </w:r>
          </w:p>
        </w:tc>
        <w:tc>
          <w:tcPr>
            <w:tcW w:w="8312" w:type="dxa"/>
            <w:vAlign w:val="center"/>
          </w:tcPr>
          <w:p w14:paraId="35063C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甲乙双方签订的合同为准</w:t>
            </w:r>
          </w:p>
        </w:tc>
      </w:tr>
      <w:tr w14:paraId="263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6" w:hRule="atLeast"/>
          <w:jc w:val="center"/>
        </w:trPr>
        <w:tc>
          <w:tcPr>
            <w:tcW w:w="514" w:type="dxa"/>
            <w:vAlign w:val="center"/>
          </w:tcPr>
          <w:p w14:paraId="4C01E66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744" w:type="dxa"/>
            <w:vAlign w:val="center"/>
          </w:tcPr>
          <w:p w14:paraId="5D3503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项目要求</w:t>
            </w:r>
          </w:p>
        </w:tc>
        <w:tc>
          <w:tcPr>
            <w:tcW w:w="8312" w:type="dxa"/>
            <w:vAlign w:val="center"/>
          </w:tcPr>
          <w:p w14:paraId="116C3F8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1、成交人必须遵照采购人的管理及安排，按采购人的内容、质量、时间要求制作，所有的服务必须达到采购人的要求。</w:t>
            </w:r>
          </w:p>
          <w:p w14:paraId="4AB7C9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2、项目建设工作完成后应按要求及时清理现场工作。</w:t>
            </w:r>
          </w:p>
          <w:p w14:paraId="314496D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3、成交供应商必须在施工过程中注意自身及周边安全，负责施工过程中的所有事故处理和费用。</w:t>
            </w:r>
          </w:p>
          <w:p w14:paraId="21FF84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w:t>
            </w:r>
          </w:p>
          <w:p w14:paraId="526C61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ascii="宋体" w:hAnsi="宋体" w:eastAsia="宋体" w:cs="宋体"/>
                <w:sz w:val="24"/>
                <w:szCs w:val="24"/>
                <w:lang w:val="en-US" w:eastAsia="zh-CN"/>
              </w:rPr>
              <w:t>5、供应商现场生活住宿等条件自行解决。</w:t>
            </w:r>
          </w:p>
        </w:tc>
      </w:tr>
    </w:tbl>
    <w:p w14:paraId="0EFA747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7E8F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II</w:t>
      </w:r>
      <w:r>
        <w:rPr>
          <w:rFonts w:hint="eastAsia" w:asciiTheme="minorEastAsia" w:hAnsiTheme="minorEastAsia" w:eastAsiaTheme="minorEastAsia" w:cstheme="minorEastAsia"/>
          <w:sz w:val="24"/>
          <w:szCs w:val="24"/>
          <w:lang w:val="en-US" w:eastAsia="zh-CN"/>
        </w:rPr>
        <w:t>工程概况</w:t>
      </w:r>
    </w:p>
    <w:p w14:paraId="6BCD1EB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1.工程概况</w:t>
      </w:r>
    </w:p>
    <w:p w14:paraId="2556A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乌鲁瓦提水利枢纽工程，位于昆仑山南麓的和田河西支流喀拉喀什河上游山口处中游河段、和田县朗如乡境内，距和田市71公里，属于山谷拦河水库，是一座具有灌溉、防洪、发电、改善生态等综合效益的大（2）型水利枢纽工程。</w:t>
      </w:r>
    </w:p>
    <w:p w14:paraId="124A20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default" w:ascii="宋体" w:hAnsi="宋体" w:eastAsia="宋体" w:cs="宋体"/>
          <w:b/>
          <w:bCs/>
          <w:sz w:val="24"/>
          <w:szCs w:val="24"/>
          <w:lang w:val="en-US" w:eastAsia="zh-CN"/>
        </w:rPr>
        <w:t>施工条件</w:t>
      </w:r>
    </w:p>
    <w:p w14:paraId="159A3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（1）交通条件</w:t>
      </w:r>
    </w:p>
    <w:p w14:paraId="390D85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乌鲁瓦提水利枢纽工程水库大坝所在地距和田市71km，距墨玉县56km，距乌鲁木齐市1671km。目前，和田市、墨玉县至水库坝址为柏油公路，总体交通条件良好。</w:t>
      </w:r>
    </w:p>
    <w:p w14:paraId="209BB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（2）施工用电、用水及通讯条件</w:t>
      </w:r>
    </w:p>
    <w:p w14:paraId="1A9503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①施工用电</w:t>
      </w:r>
    </w:p>
    <w:p w14:paraId="0396A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施工区域能线路设施齐备，市电接入方便。</w:t>
      </w:r>
    </w:p>
    <w:p w14:paraId="616F3B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②施工用水</w:t>
      </w:r>
    </w:p>
    <w:p w14:paraId="3F992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施工区域内供水设施齐备，能就近接入或找到使用水源，无需远距离取水。</w:t>
      </w:r>
    </w:p>
    <w:p w14:paraId="2C027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③施工通讯</w:t>
      </w:r>
    </w:p>
    <w:p w14:paraId="0317A8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施工区域以实现通讯信号全覆盖、网络信号全覆盖，能够满足施工对外通讯和办公需求。</w:t>
      </w:r>
    </w:p>
    <w:p w14:paraId="15E346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3.本项目基本情况</w:t>
      </w:r>
    </w:p>
    <w:p w14:paraId="52292AE9">
      <w:pPr>
        <w:keepNext w:val="0"/>
        <w:keepLines w:val="0"/>
        <w:pageBreakBefore w:val="0"/>
        <w:kinsoku/>
        <w:wordWrap/>
        <w:overflowPunct/>
        <w:topLinePunct w:val="0"/>
        <w:bidi w:val="0"/>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3.1工程现状及存在问题</w:t>
      </w:r>
    </w:p>
    <w:p w14:paraId="1529617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型号设备电气开关量输入输出、模拟量输入等模块厂家已停产，备品备件无法购买，软件系统维护落后，且调速器机械部分磨损严重（如主配等），自1999年建成安装后未进行设备更新，出现负荷调整时发卡现象，影响设备正常运行。为保障和田乌鲁瓦提发电有限责任公司发电工作正常开展，须对1号、4号调速器升级改造。</w:t>
      </w:r>
    </w:p>
    <w:p w14:paraId="48E4DBC0">
      <w:pPr>
        <w:pStyle w:val="2"/>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3.2调速器更换的技术参数（性能指标）及要求</w:t>
      </w:r>
    </w:p>
    <w:p w14:paraId="37972126">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水电站调速器核心参数与性能指标速览，覆盖规格、静态、动态、液压、电气、可靠性，便于选型与验收。重点核验死区、不动时间、甩负荷过渡过程、同步性、漂移等指标，操作油压及油罐名牌如下。</w:t>
      </w:r>
    </w:p>
    <w:p w14:paraId="73F54924">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（1）基础规格参数</w:t>
      </w:r>
    </w:p>
    <w:p w14:paraId="7898D840">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调节规律：PID/补偿PID；主流全数字电液调速器。</w:t>
      </w:r>
    </w:p>
    <w:p w14:paraId="22A5DCC7">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工作油压：6.3MPa、10MPa、16MPa常见；高油压可达31.5MPa</w:t>
      </w:r>
    </w:p>
    <w:p w14:paraId="5A326AB0">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主配流量：2500—6000L/min（随容量匹配)</w:t>
      </w:r>
    </w:p>
    <w:p w14:paraId="4CAC48AD">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接力器行程/容量：按导叶操作功设计</w:t>
      </w:r>
    </w:p>
    <w:p w14:paraId="1DB67A6A">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调节参数范围：永态转差系数bp：0—10%；暂态转差系数bt：5%—150%（可调至200%）；缓冲时间常数Td：1—20s；加速时间常数Tn：0-5s</w:t>
      </w:r>
    </w:p>
    <w:p w14:paraId="46B75CA2">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给定范围：频率45—55Hz；功率0—120%；开度0—100%。</w:t>
      </w:r>
    </w:p>
    <w:p w14:paraId="71DF6FAF">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人工失灵区：频率0-±0.5Hz；功率/开度0-±5%。</w:t>
      </w:r>
    </w:p>
    <w:p w14:paraId="145AFBCF">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（2）静态性能指标</w:t>
      </w:r>
    </w:p>
    <w:p w14:paraId="7D7C6826">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转速死区ⅸ：大型≤0.02%；中型≤0.06%；小型≤0.10%；特小型≤0.20%。</w:t>
      </w:r>
    </w:p>
    <w:p w14:paraId="01FF4D8E">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静态特性线性度：误差≤5%。</w:t>
      </w:r>
    </w:p>
    <w:p w14:paraId="0A453390">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随动系统不准确度：转桨式≤0.8%；协联偏差≤1%（桨叶行程）。</w:t>
      </w:r>
    </w:p>
    <w:p w14:paraId="70BAAE81">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多喷嘴喷针同步性：两喷针位置差≤1%；单针对均值偏差≤0.5%。</w:t>
      </w:r>
    </w:p>
    <w:p w14:paraId="12F404F2">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手动漂移：空载30min内位移≤±0.2%行程；并网≤±0.5%行程。</w:t>
      </w:r>
    </w:p>
    <w:p w14:paraId="61CD7FF8">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（3）动态性能指标</w:t>
      </w:r>
    </w:p>
    <w:p w14:paraId="61D83178">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接力器致动时间：≤0.2s。</w:t>
      </w:r>
    </w:p>
    <w:p w14:paraId="387C30C2">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空载转速摆动：大型≤±0.15%；中小型≤±0.3%。</w:t>
      </w:r>
    </w:p>
    <w:p w14:paraId="1C8DBDAC">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甩100%额定负荷：超3%额定转速波峰≤2次；过渡过程≤40s（转速摆幅≤±0.5%）。</w:t>
      </w:r>
    </w:p>
    <w:p w14:paraId="01FA1EA5">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切换性能：手/自动、备电切换，导叶开度变化≤±1%。</w:t>
      </w:r>
    </w:p>
    <w:p w14:paraId="5FC7B75C">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负荷稳定性：稳定负荷时导叶波动≤±1%。</w:t>
      </w:r>
    </w:p>
    <w:p w14:paraId="5EE9A5C3">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（4）液压与随动系统</w:t>
      </w:r>
    </w:p>
    <w:p w14:paraId="2F7888F1">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电液转换：灵敏度≥0.02mA；回油压力≤0.3MPa。</w:t>
      </w:r>
    </w:p>
    <w:p w14:paraId="66DBCFFC">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接力器时间：开启/关闭3—25s（可调）；全行程偏差≤±5%。</w:t>
      </w:r>
    </w:p>
    <w:p w14:paraId="6D04C8C2">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油压装置：额定压力6.3/10MPa；容积满足2—3次全行程操作；油泵升压至额定≤5min。</w:t>
      </w:r>
    </w:p>
    <w:p w14:paraId="318B244F">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（5）电气与监控</w:t>
      </w:r>
    </w:p>
    <w:p w14:paraId="6959D6BF">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供电：AC220V±10%；DC110V+10%～-20%。</w:t>
      </w:r>
    </w:p>
    <w:p w14:paraId="176CA169">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测频：残压测频；误差≤0.01Hz。</w:t>
      </w:r>
    </w:p>
    <w:p w14:paraId="7A552BE9">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PLC：运算速度≥1ms/步；具备AO/DI/DO。</w:t>
      </w:r>
    </w:p>
    <w:p w14:paraId="10573B0D">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人机界面：分辨率≥800×480；支持参数设置、曲线与报警。</w:t>
      </w:r>
    </w:p>
    <w:p w14:paraId="36F14253">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（6）可靠性与环境</w:t>
      </w:r>
    </w:p>
    <w:p w14:paraId="1B2663E5">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MTBF：≥12000h；大型/重要电站宜≥25000h。</w:t>
      </w:r>
    </w:p>
    <w:p w14:paraId="440EF62D">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年强迫停运率：中小型≤0.3%；大型/重要电站≤0.1%。</w:t>
      </w:r>
    </w:p>
    <w:p w14:paraId="0A70CA8C">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抗油污：滤油精度≤80μm。抗干扰：符合工业电磁兼容标准。</w:t>
      </w:r>
    </w:p>
    <w:p w14:paraId="1BD1A082">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（7）规范要求与工作主要项内容</w:t>
      </w:r>
    </w:p>
    <w:p w14:paraId="10FFDA20">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按机组容量、水头、水轮机类型（混流式）匹配油压与调节参数；重点核验：死区、不动时间、甩负荷过渡过程、同步性、漂移；</w:t>
      </w:r>
    </w:p>
    <w:p w14:paraId="07BF64DA">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遵循DL/T563、SL/T755等标准执行试验与验收。</w:t>
      </w:r>
    </w:p>
    <w:p w14:paraId="4D85A30D">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T9652.1—1997《水轮机调速器与油压装置技术条件》</w:t>
      </w:r>
    </w:p>
    <w:p w14:paraId="1016B35D">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T 9652.2—1997《水轮机调速器与油压装置试验验收规程》</w:t>
      </w:r>
    </w:p>
    <w:p w14:paraId="31E42814">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DL/T563—95《水轮机电液调节系统及装置技术规程》　</w:t>
      </w:r>
    </w:p>
    <w:p w14:paraId="01B8D405">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DL/T578—95《水电厂计算机监控系统基本技术条件》</w:t>
      </w:r>
    </w:p>
    <w:p w14:paraId="28E6039D">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GB/T2423.4—1993《电工电子产品基本环境试验规程  试验Db：交变湿热试验方法》</w:t>
      </w:r>
    </w:p>
    <w:p w14:paraId="26110153">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GB8564—1988《水轮发电机组安装技术规范》</w:t>
      </w:r>
    </w:p>
    <w:p w14:paraId="046262DE">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GB/T13384—1992《机电产品包装通用技术条件》</w:t>
      </w:r>
    </w:p>
    <w:p w14:paraId="3CC4A8BC">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JB3336—1983《电站设备自动化装置通用技术条件》</w:t>
      </w:r>
    </w:p>
    <w:p w14:paraId="665586E4">
      <w:pPr>
        <w:pStyle w:val="2"/>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（8）设备使用环境条件</w:t>
      </w:r>
    </w:p>
    <w:p w14:paraId="4E6F8D6D">
      <w:pPr>
        <w:widowControl/>
        <w:kinsoku w:val="0"/>
        <w:autoSpaceDE w:val="0"/>
        <w:autoSpaceDN w:val="0"/>
        <w:adjustRightInd w:val="0"/>
        <w:snapToGrid w:val="0"/>
        <w:spacing w:before="205" w:line="222" w:lineRule="auto"/>
        <w:ind w:left="3558"/>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2"/>
          <w:kern w:val="0"/>
          <w:sz w:val="18"/>
          <w:szCs w:val="18"/>
          <w:lang w:eastAsia="en-US"/>
        </w:rPr>
        <w:t>表</w:t>
      </w:r>
      <w:r>
        <w:rPr>
          <w:rFonts w:hint="eastAsia" w:ascii="宋体" w:hAnsi="宋体" w:eastAsia="宋体" w:cs="宋体"/>
          <w:snapToGrid w:val="0"/>
          <w:color w:val="000000"/>
          <w:spacing w:val="-49"/>
          <w:kern w:val="0"/>
          <w:sz w:val="18"/>
          <w:szCs w:val="18"/>
          <w:lang w:val="en-US" w:eastAsia="zh-CN"/>
        </w:rPr>
        <w:t>1</w:t>
      </w:r>
      <w:r>
        <w:rPr>
          <w:rFonts w:hint="eastAsia" w:ascii="宋体" w:hAnsi="宋体" w:eastAsia="宋体" w:cs="宋体"/>
          <w:snapToGrid w:val="0"/>
          <w:color w:val="000000"/>
          <w:spacing w:val="-2"/>
          <w:kern w:val="0"/>
          <w:sz w:val="18"/>
          <w:szCs w:val="18"/>
          <w:lang w:eastAsia="en-US"/>
        </w:rPr>
        <w:t xml:space="preserve"> </w:t>
      </w:r>
      <w:r>
        <w:rPr>
          <w:rFonts w:hint="eastAsia" w:ascii="宋体" w:hAnsi="宋体" w:eastAsia="宋体" w:cs="宋体"/>
          <w:snapToGrid w:val="0"/>
          <w:color w:val="000000"/>
          <w:spacing w:val="-2"/>
          <w:kern w:val="0"/>
          <w:sz w:val="18"/>
          <w:szCs w:val="18"/>
          <w:lang w:val="en-US" w:eastAsia="zh-CN"/>
        </w:rPr>
        <w:t xml:space="preserve">  </w:t>
      </w:r>
      <w:r>
        <w:rPr>
          <w:rFonts w:hint="eastAsia" w:ascii="宋体" w:hAnsi="宋体" w:eastAsia="宋体" w:cs="宋体"/>
          <w:snapToGrid w:val="0"/>
          <w:color w:val="000000"/>
          <w:spacing w:val="-2"/>
          <w:kern w:val="0"/>
          <w:sz w:val="18"/>
          <w:szCs w:val="18"/>
          <w:lang w:eastAsia="en-US"/>
        </w:rPr>
        <w:t>环境条件</w:t>
      </w:r>
    </w:p>
    <w:p w14:paraId="581E1041">
      <w:pPr>
        <w:widowControl/>
        <w:kinsoku w:val="0"/>
        <w:autoSpaceDE w:val="0"/>
        <w:autoSpaceDN w:val="0"/>
        <w:adjustRightInd w:val="0"/>
        <w:snapToGrid w:val="0"/>
        <w:spacing w:line="144" w:lineRule="exact"/>
        <w:jc w:val="left"/>
        <w:textAlignment w:val="baseline"/>
        <w:rPr>
          <w:rFonts w:hint="eastAsia" w:ascii="宋体" w:hAnsi="宋体" w:eastAsia="宋体" w:cs="宋体"/>
          <w:snapToGrid w:val="0"/>
          <w:color w:val="000000"/>
          <w:kern w:val="0"/>
          <w:sz w:val="18"/>
          <w:szCs w:val="18"/>
          <w:lang w:eastAsia="en-US"/>
        </w:rPr>
      </w:pPr>
    </w:p>
    <w:tbl>
      <w:tblPr>
        <w:tblStyle w:val="21"/>
        <w:tblW w:w="7653" w:type="dxa"/>
        <w:tblInd w:w="7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gridCol w:w="1410"/>
        <w:gridCol w:w="1740"/>
        <w:gridCol w:w="1364"/>
        <w:gridCol w:w="2119"/>
      </w:tblGrid>
      <w:tr w14:paraId="1B4E1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20" w:type="dxa"/>
            <w:tcBorders>
              <w:top w:val="single" w:color="000000" w:sz="6" w:space="0"/>
              <w:left w:val="single" w:color="000000" w:sz="6" w:space="0"/>
            </w:tcBorders>
            <w:vAlign w:val="top"/>
          </w:tcPr>
          <w:p w14:paraId="603D2291">
            <w:pPr>
              <w:kinsoku w:val="0"/>
              <w:autoSpaceDE w:val="0"/>
              <w:autoSpaceDN w:val="0"/>
              <w:adjustRightInd w:val="0"/>
              <w:snapToGrid w:val="0"/>
              <w:spacing w:before="102" w:line="229" w:lineRule="auto"/>
              <w:ind w:left="297"/>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5"/>
                <w:kern w:val="0"/>
                <w:sz w:val="18"/>
                <w:szCs w:val="18"/>
                <w:lang w:val="en-US" w:eastAsia="en-US" w:bidi="ar-SA"/>
              </w:rPr>
              <w:t>序号</w:t>
            </w:r>
          </w:p>
        </w:tc>
        <w:tc>
          <w:tcPr>
            <w:tcW w:w="3150" w:type="dxa"/>
            <w:gridSpan w:val="2"/>
            <w:tcBorders>
              <w:top w:val="single" w:color="000000" w:sz="6" w:space="0"/>
            </w:tcBorders>
            <w:vAlign w:val="top"/>
          </w:tcPr>
          <w:p w14:paraId="19648946">
            <w:pPr>
              <w:kinsoku w:val="0"/>
              <w:autoSpaceDE w:val="0"/>
              <w:autoSpaceDN w:val="0"/>
              <w:adjustRightInd w:val="0"/>
              <w:snapToGrid w:val="0"/>
              <w:spacing w:before="102" w:line="230" w:lineRule="auto"/>
              <w:ind w:left="1160"/>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en-US" w:bidi="ar-SA"/>
              </w:rPr>
              <w:t>名</w:t>
            </w:r>
            <w:r>
              <w:rPr>
                <w:rFonts w:hint="eastAsia" w:ascii="宋体" w:hAnsi="宋体" w:eastAsia="宋体" w:cs="宋体"/>
                <w:snapToGrid w:val="0"/>
                <w:color w:val="000000"/>
                <w:spacing w:val="6"/>
                <w:kern w:val="0"/>
                <w:sz w:val="18"/>
                <w:szCs w:val="18"/>
                <w:lang w:val="en-US" w:eastAsia="en-US" w:bidi="ar-SA"/>
              </w:rPr>
              <w:t xml:space="preserve">    </w:t>
            </w:r>
            <w:r>
              <w:rPr>
                <w:rFonts w:hint="eastAsia" w:ascii="宋体" w:hAnsi="宋体" w:eastAsia="宋体" w:cs="宋体"/>
                <w:snapToGrid w:val="0"/>
                <w:color w:val="000000"/>
                <w:kern w:val="0"/>
                <w:sz w:val="18"/>
                <w:szCs w:val="18"/>
                <w:lang w:val="en-US" w:eastAsia="en-US" w:bidi="ar-SA"/>
              </w:rPr>
              <w:t>称</w:t>
            </w:r>
          </w:p>
        </w:tc>
        <w:tc>
          <w:tcPr>
            <w:tcW w:w="1364" w:type="dxa"/>
            <w:tcBorders>
              <w:top w:val="single" w:color="000000" w:sz="6" w:space="0"/>
            </w:tcBorders>
            <w:vAlign w:val="top"/>
          </w:tcPr>
          <w:p w14:paraId="1FB12F4C">
            <w:pPr>
              <w:kinsoku w:val="0"/>
              <w:autoSpaceDE w:val="0"/>
              <w:autoSpaceDN w:val="0"/>
              <w:adjustRightInd w:val="0"/>
              <w:snapToGrid w:val="0"/>
              <w:spacing w:before="102" w:line="228" w:lineRule="auto"/>
              <w:ind w:left="479"/>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3"/>
                <w:kern w:val="0"/>
                <w:sz w:val="18"/>
                <w:szCs w:val="18"/>
                <w:lang w:val="en-US" w:eastAsia="en-US" w:bidi="ar-SA"/>
              </w:rPr>
              <w:t>单位</w:t>
            </w:r>
          </w:p>
        </w:tc>
        <w:tc>
          <w:tcPr>
            <w:tcW w:w="2119" w:type="dxa"/>
            <w:tcBorders>
              <w:top w:val="single" w:color="000000" w:sz="6" w:space="0"/>
              <w:right w:val="single" w:color="000000" w:sz="6" w:space="0"/>
            </w:tcBorders>
            <w:vAlign w:val="top"/>
          </w:tcPr>
          <w:p w14:paraId="28DB8AC2">
            <w:pPr>
              <w:kinsoku w:val="0"/>
              <w:autoSpaceDE w:val="0"/>
              <w:autoSpaceDN w:val="0"/>
              <w:adjustRightInd w:val="0"/>
              <w:snapToGrid w:val="0"/>
              <w:spacing w:before="102" w:line="228" w:lineRule="auto"/>
              <w:ind w:left="542"/>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标准参数值</w:t>
            </w:r>
          </w:p>
        </w:tc>
      </w:tr>
      <w:tr w14:paraId="177A4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20" w:type="dxa"/>
            <w:vMerge w:val="restart"/>
            <w:tcBorders>
              <w:left w:val="single" w:color="000000" w:sz="6" w:space="0"/>
              <w:bottom w:val="nil"/>
            </w:tcBorders>
            <w:vAlign w:val="top"/>
          </w:tcPr>
          <w:p w14:paraId="5C8EF0A3">
            <w:pPr>
              <w:widowControl/>
              <w:kinsoku w:val="0"/>
              <w:autoSpaceDE w:val="0"/>
              <w:autoSpaceDN w:val="0"/>
              <w:adjustRightInd w:val="0"/>
              <w:snapToGrid w:val="0"/>
              <w:spacing w:line="433" w:lineRule="auto"/>
              <w:jc w:val="left"/>
              <w:textAlignment w:val="baseline"/>
              <w:rPr>
                <w:rFonts w:hint="eastAsia" w:ascii="宋体" w:hAnsi="宋体" w:eastAsia="宋体" w:cs="宋体"/>
                <w:snapToGrid w:val="0"/>
                <w:color w:val="000000"/>
                <w:kern w:val="0"/>
                <w:sz w:val="18"/>
                <w:szCs w:val="18"/>
                <w:lang w:eastAsia="en-US"/>
              </w:rPr>
            </w:pPr>
          </w:p>
          <w:p w14:paraId="359598C8">
            <w:pPr>
              <w:widowControl/>
              <w:kinsoku w:val="0"/>
              <w:autoSpaceDE w:val="0"/>
              <w:autoSpaceDN w:val="0"/>
              <w:adjustRightInd w:val="0"/>
              <w:snapToGrid w:val="0"/>
              <w:spacing w:before="57" w:line="195" w:lineRule="auto"/>
              <w:ind w:left="682"/>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1</w:t>
            </w:r>
          </w:p>
        </w:tc>
        <w:tc>
          <w:tcPr>
            <w:tcW w:w="1410" w:type="dxa"/>
            <w:vMerge w:val="restart"/>
            <w:tcBorders>
              <w:bottom w:val="nil"/>
            </w:tcBorders>
            <w:vAlign w:val="top"/>
          </w:tcPr>
          <w:p w14:paraId="4523A1C3">
            <w:pPr>
              <w:widowControl/>
              <w:kinsoku w:val="0"/>
              <w:autoSpaceDE w:val="0"/>
              <w:autoSpaceDN w:val="0"/>
              <w:adjustRightInd w:val="0"/>
              <w:snapToGrid w:val="0"/>
              <w:spacing w:line="254" w:lineRule="auto"/>
              <w:jc w:val="left"/>
              <w:textAlignment w:val="baseline"/>
              <w:rPr>
                <w:rFonts w:hint="eastAsia" w:ascii="宋体" w:hAnsi="宋体" w:eastAsia="宋体" w:cs="宋体"/>
                <w:snapToGrid w:val="0"/>
                <w:color w:val="000000"/>
                <w:kern w:val="0"/>
                <w:sz w:val="18"/>
                <w:szCs w:val="18"/>
                <w:lang w:eastAsia="en-US"/>
              </w:rPr>
            </w:pPr>
          </w:p>
          <w:p w14:paraId="51A8AEB8">
            <w:pPr>
              <w:kinsoku w:val="0"/>
              <w:autoSpaceDE w:val="0"/>
              <w:autoSpaceDN w:val="0"/>
              <w:adjustRightInd w:val="0"/>
              <w:snapToGrid w:val="0"/>
              <w:spacing w:before="65" w:line="254" w:lineRule="auto"/>
              <w:ind w:left="600" w:right="182" w:hanging="418"/>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周围空气温</w:t>
            </w:r>
            <w:r>
              <w:rPr>
                <w:rFonts w:hint="eastAsia" w:ascii="宋体" w:hAnsi="宋体" w:eastAsia="宋体" w:cs="宋体"/>
                <w:snapToGrid w:val="0"/>
                <w:color w:val="000000"/>
                <w:spacing w:val="1"/>
                <w:kern w:val="0"/>
                <w:sz w:val="18"/>
                <w:szCs w:val="18"/>
                <w:lang w:val="en-US" w:eastAsia="en-US" w:bidi="ar-SA"/>
              </w:rPr>
              <w:t>度</w:t>
            </w:r>
          </w:p>
        </w:tc>
        <w:tc>
          <w:tcPr>
            <w:tcW w:w="1740" w:type="dxa"/>
            <w:vAlign w:val="top"/>
          </w:tcPr>
          <w:p w14:paraId="19020C51">
            <w:pPr>
              <w:kinsoku w:val="0"/>
              <w:autoSpaceDE w:val="0"/>
              <w:autoSpaceDN w:val="0"/>
              <w:adjustRightInd w:val="0"/>
              <w:snapToGrid w:val="0"/>
              <w:spacing w:before="35" w:line="213" w:lineRule="auto"/>
              <w:ind w:left="456"/>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6"/>
                <w:kern w:val="0"/>
                <w:sz w:val="18"/>
                <w:szCs w:val="18"/>
                <w:lang w:val="en-US" w:eastAsia="en-US" w:bidi="ar-SA"/>
              </w:rPr>
              <w:t>最高气温</w:t>
            </w:r>
          </w:p>
        </w:tc>
        <w:tc>
          <w:tcPr>
            <w:tcW w:w="1364" w:type="dxa"/>
            <w:vMerge w:val="restart"/>
            <w:tcBorders>
              <w:bottom w:val="nil"/>
            </w:tcBorders>
            <w:vAlign w:val="top"/>
          </w:tcPr>
          <w:p w14:paraId="517749CA">
            <w:pPr>
              <w:widowControl/>
              <w:kinsoku w:val="0"/>
              <w:autoSpaceDE w:val="0"/>
              <w:autoSpaceDN w:val="0"/>
              <w:adjustRightInd w:val="0"/>
              <w:snapToGrid w:val="0"/>
              <w:spacing w:before="212" w:line="195" w:lineRule="auto"/>
              <w:ind w:left="582"/>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w:t>
            </w:r>
          </w:p>
        </w:tc>
        <w:tc>
          <w:tcPr>
            <w:tcW w:w="2119" w:type="dxa"/>
            <w:tcBorders>
              <w:right w:val="single" w:color="000000" w:sz="6" w:space="0"/>
            </w:tcBorders>
            <w:vAlign w:val="top"/>
          </w:tcPr>
          <w:p w14:paraId="63FEC7D6">
            <w:pPr>
              <w:widowControl/>
              <w:kinsoku w:val="0"/>
              <w:autoSpaceDE w:val="0"/>
              <w:autoSpaceDN w:val="0"/>
              <w:adjustRightInd w:val="0"/>
              <w:snapToGrid w:val="0"/>
              <w:spacing w:before="70" w:line="195" w:lineRule="auto"/>
              <w:ind w:left="897"/>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3"/>
                <w:kern w:val="0"/>
                <w:sz w:val="18"/>
                <w:szCs w:val="18"/>
                <w:lang w:eastAsia="en-US"/>
              </w:rPr>
              <w:t>+40</w:t>
            </w:r>
          </w:p>
        </w:tc>
      </w:tr>
      <w:tr w14:paraId="3F160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20" w:type="dxa"/>
            <w:vMerge w:val="continue"/>
            <w:tcBorders>
              <w:top w:val="nil"/>
              <w:left w:val="single" w:color="000000" w:sz="6" w:space="0"/>
              <w:bottom w:val="nil"/>
            </w:tcBorders>
            <w:vAlign w:val="top"/>
          </w:tcPr>
          <w:p w14:paraId="3014969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c>
          <w:tcPr>
            <w:tcW w:w="1410" w:type="dxa"/>
            <w:vMerge w:val="continue"/>
            <w:tcBorders>
              <w:top w:val="nil"/>
              <w:bottom w:val="nil"/>
            </w:tcBorders>
            <w:vAlign w:val="top"/>
          </w:tcPr>
          <w:p w14:paraId="53F1782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c>
          <w:tcPr>
            <w:tcW w:w="1740" w:type="dxa"/>
            <w:vAlign w:val="top"/>
          </w:tcPr>
          <w:p w14:paraId="77209CDE">
            <w:pPr>
              <w:kinsoku w:val="0"/>
              <w:autoSpaceDE w:val="0"/>
              <w:autoSpaceDN w:val="0"/>
              <w:adjustRightInd w:val="0"/>
              <w:snapToGrid w:val="0"/>
              <w:spacing w:before="34" w:line="214" w:lineRule="auto"/>
              <w:ind w:left="456"/>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6"/>
                <w:kern w:val="0"/>
                <w:sz w:val="18"/>
                <w:szCs w:val="18"/>
                <w:lang w:val="en-US" w:eastAsia="en-US" w:bidi="ar-SA"/>
              </w:rPr>
              <w:t>最低气温</w:t>
            </w:r>
          </w:p>
        </w:tc>
        <w:tc>
          <w:tcPr>
            <w:tcW w:w="1364" w:type="dxa"/>
            <w:vMerge w:val="continue"/>
            <w:tcBorders>
              <w:top w:val="nil"/>
            </w:tcBorders>
            <w:vAlign w:val="top"/>
          </w:tcPr>
          <w:p w14:paraId="009A95C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c>
          <w:tcPr>
            <w:tcW w:w="2119" w:type="dxa"/>
            <w:tcBorders>
              <w:right w:val="single" w:color="000000" w:sz="6" w:space="0"/>
            </w:tcBorders>
            <w:vAlign w:val="top"/>
          </w:tcPr>
          <w:p w14:paraId="2B31668C">
            <w:pPr>
              <w:widowControl/>
              <w:kinsoku w:val="0"/>
              <w:autoSpaceDE w:val="0"/>
              <w:autoSpaceDN w:val="0"/>
              <w:adjustRightInd w:val="0"/>
              <w:snapToGrid w:val="0"/>
              <w:spacing w:before="70" w:line="195" w:lineRule="auto"/>
              <w:ind w:left="926"/>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1"/>
                <w:kern w:val="0"/>
                <w:sz w:val="18"/>
                <w:szCs w:val="18"/>
                <w:lang w:eastAsia="en-US"/>
              </w:rPr>
              <w:t>-25</w:t>
            </w:r>
          </w:p>
        </w:tc>
      </w:tr>
      <w:tr w14:paraId="05E89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20" w:type="dxa"/>
            <w:vMerge w:val="continue"/>
            <w:tcBorders>
              <w:top w:val="nil"/>
              <w:left w:val="single" w:color="000000" w:sz="6" w:space="0"/>
            </w:tcBorders>
            <w:vAlign w:val="top"/>
          </w:tcPr>
          <w:p w14:paraId="2D0A2F3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c>
          <w:tcPr>
            <w:tcW w:w="1410" w:type="dxa"/>
            <w:vMerge w:val="continue"/>
            <w:tcBorders>
              <w:top w:val="nil"/>
            </w:tcBorders>
            <w:vAlign w:val="top"/>
          </w:tcPr>
          <w:p w14:paraId="4CD15AC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c>
          <w:tcPr>
            <w:tcW w:w="1740" w:type="dxa"/>
            <w:vAlign w:val="top"/>
          </w:tcPr>
          <w:p w14:paraId="25D647B9">
            <w:pPr>
              <w:kinsoku w:val="0"/>
              <w:autoSpaceDE w:val="0"/>
              <w:autoSpaceDN w:val="0"/>
              <w:adjustRightInd w:val="0"/>
              <w:snapToGrid w:val="0"/>
              <w:spacing w:before="178" w:line="228" w:lineRule="auto"/>
              <w:ind w:left="350"/>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最大日温差</w:t>
            </w:r>
          </w:p>
        </w:tc>
        <w:tc>
          <w:tcPr>
            <w:tcW w:w="1364" w:type="dxa"/>
            <w:vAlign w:val="top"/>
          </w:tcPr>
          <w:p w14:paraId="1A1188AA">
            <w:pPr>
              <w:widowControl/>
              <w:kinsoku w:val="0"/>
              <w:autoSpaceDE w:val="0"/>
              <w:autoSpaceDN w:val="0"/>
              <w:adjustRightInd w:val="0"/>
              <w:snapToGrid w:val="0"/>
              <w:spacing w:before="217" w:line="192" w:lineRule="auto"/>
              <w:ind w:left="607"/>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4"/>
                <w:kern w:val="0"/>
                <w:sz w:val="18"/>
                <w:szCs w:val="18"/>
                <w:lang w:eastAsia="en-US"/>
              </w:rPr>
              <w:t>K</w:t>
            </w:r>
          </w:p>
        </w:tc>
        <w:tc>
          <w:tcPr>
            <w:tcW w:w="2119" w:type="dxa"/>
            <w:tcBorders>
              <w:right w:val="single" w:color="000000" w:sz="6" w:space="0"/>
            </w:tcBorders>
            <w:vAlign w:val="top"/>
          </w:tcPr>
          <w:p w14:paraId="0C3DFECA">
            <w:pPr>
              <w:widowControl/>
              <w:kinsoku w:val="0"/>
              <w:autoSpaceDE w:val="0"/>
              <w:autoSpaceDN w:val="0"/>
              <w:adjustRightInd w:val="0"/>
              <w:snapToGrid w:val="0"/>
              <w:spacing w:before="214" w:line="195" w:lineRule="auto"/>
              <w:ind w:left="957"/>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2"/>
                <w:kern w:val="0"/>
                <w:sz w:val="18"/>
                <w:szCs w:val="18"/>
                <w:lang w:eastAsia="en-US"/>
              </w:rPr>
              <w:t>25</w:t>
            </w:r>
          </w:p>
        </w:tc>
      </w:tr>
      <w:tr w14:paraId="10E74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20" w:type="dxa"/>
            <w:tcBorders>
              <w:left w:val="single" w:color="000000" w:sz="6" w:space="0"/>
            </w:tcBorders>
            <w:vAlign w:val="top"/>
          </w:tcPr>
          <w:p w14:paraId="037889FE">
            <w:pPr>
              <w:widowControl/>
              <w:kinsoku w:val="0"/>
              <w:autoSpaceDE w:val="0"/>
              <w:autoSpaceDN w:val="0"/>
              <w:adjustRightInd w:val="0"/>
              <w:snapToGrid w:val="0"/>
              <w:spacing w:before="76" w:line="195" w:lineRule="auto"/>
              <w:ind w:left="450"/>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2</w:t>
            </w:r>
          </w:p>
        </w:tc>
        <w:tc>
          <w:tcPr>
            <w:tcW w:w="3150" w:type="dxa"/>
            <w:gridSpan w:val="2"/>
            <w:vAlign w:val="top"/>
          </w:tcPr>
          <w:p w14:paraId="08D3CE54">
            <w:pPr>
              <w:kinsoku w:val="0"/>
              <w:autoSpaceDE w:val="0"/>
              <w:autoSpaceDN w:val="0"/>
              <w:adjustRightInd w:val="0"/>
              <w:snapToGrid w:val="0"/>
              <w:spacing w:before="40" w:line="208" w:lineRule="auto"/>
              <w:ind w:left="1577"/>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5"/>
                <w:kern w:val="0"/>
                <w:sz w:val="18"/>
                <w:szCs w:val="18"/>
                <w:lang w:val="en-US" w:eastAsia="en-US" w:bidi="ar-SA"/>
              </w:rPr>
              <w:t>海拔</w:t>
            </w:r>
          </w:p>
        </w:tc>
        <w:tc>
          <w:tcPr>
            <w:tcW w:w="1364" w:type="dxa"/>
            <w:vAlign w:val="top"/>
          </w:tcPr>
          <w:p w14:paraId="20410F69">
            <w:pPr>
              <w:widowControl/>
              <w:kinsoku w:val="0"/>
              <w:autoSpaceDE w:val="0"/>
              <w:autoSpaceDN w:val="0"/>
              <w:adjustRightInd w:val="0"/>
              <w:snapToGrid w:val="0"/>
              <w:spacing w:before="122" w:line="141" w:lineRule="exact"/>
              <w:ind w:left="600"/>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5"/>
                <w:kern w:val="0"/>
                <w:sz w:val="18"/>
                <w:szCs w:val="18"/>
                <w:lang w:eastAsia="en-US"/>
              </w:rPr>
              <w:t>m</w:t>
            </w:r>
          </w:p>
        </w:tc>
        <w:tc>
          <w:tcPr>
            <w:tcW w:w="2119" w:type="dxa"/>
            <w:tcBorders>
              <w:right w:val="single" w:color="000000" w:sz="6" w:space="0"/>
            </w:tcBorders>
            <w:vAlign w:val="top"/>
          </w:tcPr>
          <w:p w14:paraId="5716B9FC">
            <w:pPr>
              <w:widowControl/>
              <w:kinsoku w:val="0"/>
              <w:autoSpaceDE w:val="0"/>
              <w:autoSpaceDN w:val="0"/>
              <w:adjustRightInd w:val="0"/>
              <w:snapToGrid w:val="0"/>
              <w:spacing w:before="76" w:line="195" w:lineRule="auto"/>
              <w:ind w:left="852"/>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4"/>
                <w:kern w:val="0"/>
                <w:sz w:val="18"/>
                <w:szCs w:val="18"/>
                <w:lang w:eastAsia="en-US"/>
              </w:rPr>
              <w:t>2000</w:t>
            </w:r>
          </w:p>
        </w:tc>
      </w:tr>
      <w:tr w14:paraId="5CEC1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020" w:type="dxa"/>
            <w:tcBorders>
              <w:left w:val="single" w:color="000000" w:sz="6" w:space="0"/>
            </w:tcBorders>
            <w:vAlign w:val="top"/>
          </w:tcPr>
          <w:p w14:paraId="7E42AC99">
            <w:pPr>
              <w:widowControl/>
              <w:kinsoku w:val="0"/>
              <w:autoSpaceDE w:val="0"/>
              <w:autoSpaceDN w:val="0"/>
              <w:adjustRightInd w:val="0"/>
              <w:snapToGrid w:val="0"/>
              <w:spacing w:before="78" w:line="195" w:lineRule="auto"/>
              <w:ind w:left="455"/>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3</w:t>
            </w:r>
          </w:p>
        </w:tc>
        <w:tc>
          <w:tcPr>
            <w:tcW w:w="3150" w:type="dxa"/>
            <w:gridSpan w:val="2"/>
            <w:vAlign w:val="top"/>
          </w:tcPr>
          <w:p w14:paraId="1DCE2B0E">
            <w:pPr>
              <w:kinsoku w:val="0"/>
              <w:autoSpaceDE w:val="0"/>
              <w:autoSpaceDN w:val="0"/>
              <w:adjustRightInd w:val="0"/>
              <w:snapToGrid w:val="0"/>
              <w:spacing w:before="42" w:line="206" w:lineRule="auto"/>
              <w:ind w:left="1368"/>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6"/>
                <w:kern w:val="0"/>
                <w:sz w:val="18"/>
                <w:szCs w:val="18"/>
                <w:lang w:val="en-US" w:eastAsia="en-US" w:bidi="ar-SA"/>
              </w:rPr>
              <w:t>污秽等级</w:t>
            </w:r>
          </w:p>
        </w:tc>
        <w:tc>
          <w:tcPr>
            <w:tcW w:w="1364" w:type="dxa"/>
            <w:vAlign w:val="top"/>
          </w:tcPr>
          <w:p w14:paraId="232BC25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c>
          <w:tcPr>
            <w:tcW w:w="2119" w:type="dxa"/>
            <w:tcBorders>
              <w:right w:val="single" w:color="000000" w:sz="6" w:space="0"/>
            </w:tcBorders>
            <w:vAlign w:val="top"/>
          </w:tcPr>
          <w:p w14:paraId="061983A4">
            <w:pPr>
              <w:kinsoku w:val="0"/>
              <w:autoSpaceDE w:val="0"/>
              <w:autoSpaceDN w:val="0"/>
              <w:adjustRightInd w:val="0"/>
              <w:snapToGrid w:val="0"/>
              <w:spacing w:before="42" w:line="206" w:lineRule="auto"/>
              <w:ind w:left="664"/>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2"/>
                <w:kern w:val="0"/>
                <w:sz w:val="18"/>
                <w:szCs w:val="18"/>
                <w:lang w:val="en-US" w:eastAsia="en-US" w:bidi="ar-SA"/>
              </w:rPr>
              <w:t>中度污秽</w:t>
            </w:r>
          </w:p>
        </w:tc>
      </w:tr>
      <w:tr w14:paraId="044C2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20" w:type="dxa"/>
            <w:tcBorders>
              <w:left w:val="single" w:color="000000" w:sz="6" w:space="0"/>
            </w:tcBorders>
            <w:vAlign w:val="top"/>
          </w:tcPr>
          <w:p w14:paraId="3513CD36">
            <w:pPr>
              <w:widowControl/>
              <w:kinsoku w:val="0"/>
              <w:autoSpaceDE w:val="0"/>
              <w:autoSpaceDN w:val="0"/>
              <w:adjustRightInd w:val="0"/>
              <w:snapToGrid w:val="0"/>
              <w:spacing w:before="78" w:line="195" w:lineRule="auto"/>
              <w:ind w:left="449"/>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1"/>
                <w:kern w:val="0"/>
                <w:sz w:val="18"/>
                <w:szCs w:val="18"/>
                <w:lang w:eastAsia="en-US"/>
              </w:rPr>
              <w:t>4</w:t>
            </w:r>
          </w:p>
        </w:tc>
        <w:tc>
          <w:tcPr>
            <w:tcW w:w="3150" w:type="dxa"/>
            <w:gridSpan w:val="2"/>
            <w:vAlign w:val="top"/>
          </w:tcPr>
          <w:p w14:paraId="22491689">
            <w:pPr>
              <w:kinsoku w:val="0"/>
              <w:autoSpaceDE w:val="0"/>
              <w:autoSpaceDN w:val="0"/>
              <w:adjustRightInd w:val="0"/>
              <w:snapToGrid w:val="0"/>
              <w:spacing w:before="41" w:line="206" w:lineRule="auto"/>
              <w:ind w:left="1578"/>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4"/>
                <w:kern w:val="0"/>
                <w:sz w:val="18"/>
                <w:szCs w:val="18"/>
                <w:lang w:val="en-US" w:eastAsia="en-US" w:bidi="ar-SA"/>
              </w:rPr>
              <w:t>湿度</w:t>
            </w:r>
          </w:p>
        </w:tc>
        <w:tc>
          <w:tcPr>
            <w:tcW w:w="1364" w:type="dxa"/>
            <w:vAlign w:val="top"/>
          </w:tcPr>
          <w:p w14:paraId="474AF689">
            <w:pPr>
              <w:widowControl/>
              <w:kinsoku w:val="0"/>
              <w:autoSpaceDE w:val="0"/>
              <w:autoSpaceDN w:val="0"/>
              <w:adjustRightInd w:val="0"/>
              <w:snapToGrid w:val="0"/>
              <w:spacing w:before="78" w:line="195" w:lineRule="auto"/>
              <w:ind w:left="601"/>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w:t>
            </w:r>
          </w:p>
        </w:tc>
        <w:tc>
          <w:tcPr>
            <w:tcW w:w="2119" w:type="dxa"/>
            <w:tcBorders>
              <w:right w:val="single" w:color="000000" w:sz="6" w:space="0"/>
            </w:tcBorders>
            <w:vAlign w:val="top"/>
          </w:tcPr>
          <w:p w14:paraId="3C7E228A">
            <w:pPr>
              <w:widowControl/>
              <w:kinsoku w:val="0"/>
              <w:autoSpaceDE w:val="0"/>
              <w:autoSpaceDN w:val="0"/>
              <w:adjustRightInd w:val="0"/>
              <w:snapToGrid w:val="0"/>
              <w:spacing w:before="78" w:line="195" w:lineRule="auto"/>
              <w:ind w:left="896"/>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4"/>
                <w:kern w:val="0"/>
                <w:sz w:val="18"/>
                <w:szCs w:val="18"/>
                <w:lang w:eastAsia="en-US"/>
              </w:rPr>
              <w:t>≤15</w:t>
            </w:r>
          </w:p>
        </w:tc>
      </w:tr>
      <w:tr w14:paraId="07F78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020" w:type="dxa"/>
            <w:tcBorders>
              <w:left w:val="single" w:color="000000" w:sz="6" w:space="0"/>
              <w:bottom w:val="single" w:color="000000" w:sz="6" w:space="0"/>
            </w:tcBorders>
            <w:vAlign w:val="top"/>
          </w:tcPr>
          <w:p w14:paraId="14FA8F01">
            <w:pPr>
              <w:widowControl/>
              <w:kinsoku w:val="0"/>
              <w:autoSpaceDE w:val="0"/>
              <w:autoSpaceDN w:val="0"/>
              <w:adjustRightInd w:val="0"/>
              <w:snapToGrid w:val="0"/>
              <w:spacing w:before="84" w:line="192" w:lineRule="auto"/>
              <w:ind w:left="456"/>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5</w:t>
            </w:r>
          </w:p>
        </w:tc>
        <w:tc>
          <w:tcPr>
            <w:tcW w:w="3150" w:type="dxa"/>
            <w:gridSpan w:val="2"/>
            <w:tcBorders>
              <w:bottom w:val="single" w:color="000000" w:sz="6" w:space="0"/>
            </w:tcBorders>
            <w:vAlign w:val="top"/>
          </w:tcPr>
          <w:p w14:paraId="71E5AE86">
            <w:pPr>
              <w:kinsoku w:val="0"/>
              <w:autoSpaceDE w:val="0"/>
              <w:autoSpaceDN w:val="0"/>
              <w:adjustRightInd w:val="0"/>
              <w:snapToGrid w:val="0"/>
              <w:spacing w:before="45" w:line="217" w:lineRule="auto"/>
              <w:ind w:right="11"/>
              <w:jc w:val="righ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kern w:val="0"/>
                <w:sz w:val="18"/>
                <w:szCs w:val="18"/>
                <w:lang w:val="en-US" w:eastAsia="en-US" w:bidi="ar-SA"/>
              </w:rPr>
              <w:t>耐受地震能力（水平加速度）</w:t>
            </w:r>
          </w:p>
        </w:tc>
        <w:tc>
          <w:tcPr>
            <w:tcW w:w="1364" w:type="dxa"/>
            <w:tcBorders>
              <w:bottom w:val="single" w:color="000000" w:sz="6" w:space="0"/>
            </w:tcBorders>
            <w:vAlign w:val="top"/>
          </w:tcPr>
          <w:p w14:paraId="2A7577D0">
            <w:pPr>
              <w:widowControl/>
              <w:kinsoku w:val="0"/>
              <w:autoSpaceDE w:val="0"/>
              <w:autoSpaceDN w:val="0"/>
              <w:adjustRightInd w:val="0"/>
              <w:snapToGrid w:val="0"/>
              <w:spacing w:before="61" w:line="216" w:lineRule="auto"/>
              <w:ind w:left="497"/>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3"/>
                <w:kern w:val="0"/>
                <w:position w:val="-1"/>
                <w:sz w:val="18"/>
                <w:szCs w:val="18"/>
                <w:lang w:eastAsia="en-US"/>
              </w:rPr>
              <w:t>m/s</w:t>
            </w:r>
            <w:r>
              <w:rPr>
                <w:rFonts w:hint="eastAsia" w:ascii="宋体" w:hAnsi="宋体" w:eastAsia="宋体" w:cs="宋体"/>
                <w:snapToGrid w:val="0"/>
                <w:color w:val="000000"/>
                <w:spacing w:val="3"/>
                <w:kern w:val="0"/>
                <w:position w:val="5"/>
                <w:sz w:val="18"/>
                <w:szCs w:val="18"/>
                <w:lang w:eastAsia="en-US"/>
              </w:rPr>
              <w:t>2</w:t>
            </w:r>
          </w:p>
        </w:tc>
        <w:tc>
          <w:tcPr>
            <w:tcW w:w="2119" w:type="dxa"/>
            <w:tcBorders>
              <w:bottom w:val="single" w:color="000000" w:sz="6" w:space="0"/>
              <w:right w:val="single" w:color="000000" w:sz="6" w:space="0"/>
            </w:tcBorders>
            <w:vAlign w:val="top"/>
          </w:tcPr>
          <w:p w14:paraId="60210520">
            <w:pPr>
              <w:widowControl/>
              <w:kinsoku w:val="0"/>
              <w:autoSpaceDE w:val="0"/>
              <w:autoSpaceDN w:val="0"/>
              <w:adjustRightInd w:val="0"/>
              <w:snapToGrid w:val="0"/>
              <w:spacing w:before="81" w:line="197" w:lineRule="auto"/>
              <w:ind w:left="802"/>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2"/>
                <w:kern w:val="0"/>
                <w:sz w:val="18"/>
                <w:szCs w:val="18"/>
                <w:lang w:eastAsia="en-US"/>
              </w:rPr>
              <w:t>0.25</w:t>
            </w:r>
            <w:r>
              <w:rPr>
                <w:rFonts w:hint="eastAsia" w:ascii="宋体" w:hAnsi="宋体" w:eastAsia="宋体" w:cs="宋体"/>
                <w:snapToGrid w:val="0"/>
                <w:color w:val="000000"/>
                <w:spacing w:val="7"/>
                <w:kern w:val="0"/>
                <w:sz w:val="18"/>
                <w:szCs w:val="18"/>
                <w:lang w:eastAsia="en-US"/>
              </w:rPr>
              <w:t xml:space="preserve"> </w:t>
            </w:r>
            <w:r>
              <w:rPr>
                <w:rFonts w:hint="eastAsia" w:ascii="宋体" w:hAnsi="宋体" w:eastAsia="宋体" w:cs="宋体"/>
                <w:snapToGrid w:val="0"/>
                <w:color w:val="000000"/>
                <w:spacing w:val="2"/>
                <w:kern w:val="0"/>
                <w:sz w:val="18"/>
                <w:szCs w:val="18"/>
                <w:lang w:eastAsia="en-US"/>
              </w:rPr>
              <w:t>g</w:t>
            </w:r>
          </w:p>
        </w:tc>
      </w:tr>
    </w:tbl>
    <w:p w14:paraId="7F1C7CAA">
      <w:pPr>
        <w:kinsoku w:val="0"/>
        <w:autoSpaceDE w:val="0"/>
        <w:autoSpaceDN w:val="0"/>
        <w:adjustRightInd w:val="0"/>
        <w:snapToGrid w:val="0"/>
        <w:spacing w:line="466" w:lineRule="auto"/>
        <w:jc w:val="left"/>
        <w:textAlignment w:val="baseline"/>
        <w:rPr>
          <w:rFonts w:hint="eastAsia" w:ascii="宋体" w:hAnsi="宋体" w:eastAsia="宋体" w:cs="宋体"/>
          <w:snapToGrid w:val="0"/>
          <w:color w:val="000000"/>
          <w:kern w:val="0"/>
          <w:sz w:val="18"/>
          <w:szCs w:val="18"/>
          <w:lang w:val="en-US" w:eastAsia="en-US" w:bidi="ar-SA"/>
        </w:rPr>
      </w:pPr>
    </w:p>
    <w:p w14:paraId="29FFEDA6">
      <w:pPr>
        <w:widowControl/>
        <w:kinsoku w:val="0"/>
        <w:autoSpaceDE w:val="0"/>
        <w:autoSpaceDN w:val="0"/>
        <w:adjustRightInd w:val="0"/>
        <w:snapToGrid w:val="0"/>
        <w:spacing w:before="78" w:line="222" w:lineRule="auto"/>
        <w:ind w:left="3075"/>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2"/>
          <w:kern w:val="0"/>
          <w:sz w:val="18"/>
          <w:szCs w:val="18"/>
          <w:lang w:eastAsia="en-US"/>
        </w:rPr>
        <w:t>表</w:t>
      </w:r>
      <w:r>
        <w:rPr>
          <w:rFonts w:hint="eastAsia" w:ascii="宋体" w:hAnsi="宋体" w:eastAsia="宋体" w:cs="宋体"/>
          <w:snapToGrid w:val="0"/>
          <w:color w:val="000000"/>
          <w:spacing w:val="-41"/>
          <w:kern w:val="0"/>
          <w:sz w:val="18"/>
          <w:szCs w:val="18"/>
          <w:lang w:eastAsia="en-US"/>
        </w:rPr>
        <w:t xml:space="preserve"> </w:t>
      </w:r>
      <w:r>
        <w:rPr>
          <w:rFonts w:hint="eastAsia" w:ascii="宋体" w:hAnsi="宋体" w:eastAsia="宋体" w:cs="宋体"/>
          <w:snapToGrid w:val="0"/>
          <w:color w:val="000000"/>
          <w:spacing w:val="-2"/>
          <w:kern w:val="0"/>
          <w:sz w:val="18"/>
          <w:szCs w:val="18"/>
          <w:lang w:val="en-US" w:eastAsia="zh-CN"/>
        </w:rPr>
        <w:t xml:space="preserve">2  </w:t>
      </w:r>
      <w:r>
        <w:rPr>
          <w:rFonts w:hint="eastAsia" w:ascii="宋体" w:hAnsi="宋体" w:eastAsia="宋体" w:cs="宋体"/>
          <w:snapToGrid w:val="0"/>
          <w:color w:val="000000"/>
          <w:spacing w:val="-2"/>
          <w:kern w:val="0"/>
          <w:sz w:val="18"/>
          <w:szCs w:val="18"/>
          <w:lang w:eastAsia="en-US"/>
        </w:rPr>
        <w:t xml:space="preserve"> 现调速器辅助设备</w:t>
      </w:r>
    </w:p>
    <w:p w14:paraId="534E6828">
      <w:pPr>
        <w:widowControl/>
        <w:kinsoku w:val="0"/>
        <w:autoSpaceDE w:val="0"/>
        <w:autoSpaceDN w:val="0"/>
        <w:adjustRightInd w:val="0"/>
        <w:snapToGrid w:val="0"/>
        <w:spacing w:line="73" w:lineRule="exact"/>
        <w:jc w:val="left"/>
        <w:textAlignment w:val="baseline"/>
        <w:rPr>
          <w:rFonts w:hint="eastAsia" w:ascii="宋体" w:hAnsi="宋体" w:eastAsia="宋体" w:cs="宋体"/>
          <w:snapToGrid w:val="0"/>
          <w:color w:val="000000"/>
          <w:kern w:val="0"/>
          <w:sz w:val="18"/>
          <w:szCs w:val="18"/>
          <w:lang w:eastAsia="en-US"/>
        </w:rPr>
      </w:pPr>
    </w:p>
    <w:tbl>
      <w:tblPr>
        <w:tblStyle w:val="21"/>
        <w:tblW w:w="7709" w:type="dxa"/>
        <w:tblInd w:w="6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704"/>
        <w:gridCol w:w="3353"/>
        <w:gridCol w:w="900"/>
      </w:tblGrid>
      <w:tr w14:paraId="03F5C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52" w:type="dxa"/>
            <w:tcBorders>
              <w:left w:val="single" w:color="000000" w:sz="6" w:space="0"/>
            </w:tcBorders>
            <w:vAlign w:val="top"/>
          </w:tcPr>
          <w:p w14:paraId="5C48DC9F">
            <w:pPr>
              <w:kinsoku w:val="0"/>
              <w:autoSpaceDE w:val="0"/>
              <w:autoSpaceDN w:val="0"/>
              <w:adjustRightInd w:val="0"/>
              <w:snapToGrid w:val="0"/>
              <w:spacing w:before="37" w:line="229" w:lineRule="auto"/>
              <w:ind w:left="162"/>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5"/>
                <w:kern w:val="0"/>
                <w:sz w:val="18"/>
                <w:szCs w:val="18"/>
                <w:lang w:val="en-US" w:eastAsia="en-US" w:bidi="ar-SA"/>
              </w:rPr>
              <w:t>序号</w:t>
            </w:r>
          </w:p>
        </w:tc>
        <w:tc>
          <w:tcPr>
            <w:tcW w:w="6957" w:type="dxa"/>
            <w:gridSpan w:val="3"/>
            <w:tcBorders>
              <w:right w:val="single" w:color="000000" w:sz="6" w:space="0"/>
            </w:tcBorders>
            <w:vAlign w:val="top"/>
          </w:tcPr>
          <w:p w14:paraId="0CB362B0">
            <w:pPr>
              <w:kinsoku w:val="0"/>
              <w:autoSpaceDE w:val="0"/>
              <w:autoSpaceDN w:val="0"/>
              <w:adjustRightInd w:val="0"/>
              <w:snapToGrid w:val="0"/>
              <w:spacing w:before="37" w:line="228" w:lineRule="auto"/>
              <w:ind w:left="2641"/>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8"/>
                <w:kern w:val="0"/>
                <w:sz w:val="18"/>
                <w:szCs w:val="18"/>
                <w:lang w:val="en-US" w:eastAsia="en-US" w:bidi="ar-SA"/>
              </w:rPr>
              <w:t>现调速器辅助设备</w:t>
            </w:r>
          </w:p>
        </w:tc>
      </w:tr>
      <w:tr w14:paraId="1849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752" w:type="dxa"/>
            <w:tcBorders>
              <w:left w:val="single" w:color="000000" w:sz="6" w:space="0"/>
            </w:tcBorders>
            <w:vAlign w:val="top"/>
          </w:tcPr>
          <w:p w14:paraId="7A778A0F">
            <w:pPr>
              <w:widowControl/>
              <w:kinsoku w:val="0"/>
              <w:autoSpaceDE w:val="0"/>
              <w:autoSpaceDN w:val="0"/>
              <w:adjustRightInd w:val="0"/>
              <w:snapToGrid w:val="0"/>
              <w:spacing w:before="139" w:line="195" w:lineRule="auto"/>
              <w:ind w:left="338"/>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1</w:t>
            </w:r>
          </w:p>
        </w:tc>
        <w:tc>
          <w:tcPr>
            <w:tcW w:w="2704" w:type="dxa"/>
            <w:vAlign w:val="top"/>
          </w:tcPr>
          <w:p w14:paraId="0EC543C0">
            <w:pPr>
              <w:kinsoku w:val="0"/>
              <w:autoSpaceDE w:val="0"/>
              <w:autoSpaceDN w:val="0"/>
              <w:adjustRightInd w:val="0"/>
              <w:snapToGrid w:val="0"/>
              <w:spacing w:before="93" w:line="227" w:lineRule="auto"/>
              <w:ind w:left="932"/>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机柜尺寸</w:t>
            </w:r>
          </w:p>
        </w:tc>
        <w:tc>
          <w:tcPr>
            <w:tcW w:w="3353" w:type="dxa"/>
            <w:vAlign w:val="top"/>
          </w:tcPr>
          <w:p w14:paraId="34BF3247">
            <w:pPr>
              <w:widowControl/>
              <w:kinsoku w:val="0"/>
              <w:autoSpaceDE w:val="0"/>
              <w:autoSpaceDN w:val="0"/>
              <w:adjustRightInd w:val="0"/>
              <w:snapToGrid w:val="0"/>
              <w:spacing w:before="135" w:line="199" w:lineRule="auto"/>
              <w:ind w:left="648"/>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7"/>
                <w:kern w:val="0"/>
                <w:sz w:val="18"/>
                <w:szCs w:val="18"/>
                <w:lang w:eastAsia="en-US"/>
              </w:rPr>
              <w:t>87</w:t>
            </w:r>
            <w:r>
              <w:rPr>
                <w:rFonts w:hint="eastAsia" w:ascii="宋体" w:hAnsi="宋体" w:eastAsia="宋体" w:cs="宋体"/>
                <w:snapToGrid w:val="0"/>
                <w:color w:val="000000"/>
                <w:kern w:val="0"/>
                <w:sz w:val="18"/>
                <w:szCs w:val="18"/>
                <w:lang w:eastAsia="en-US"/>
              </w:rPr>
              <w:t>mm</w:t>
            </w:r>
            <w:r>
              <w:rPr>
                <w:rFonts w:hint="eastAsia" w:ascii="宋体" w:hAnsi="宋体" w:eastAsia="宋体" w:cs="宋体"/>
                <w:snapToGrid w:val="0"/>
                <w:color w:val="000000"/>
                <w:spacing w:val="7"/>
                <w:kern w:val="0"/>
                <w:sz w:val="18"/>
                <w:szCs w:val="18"/>
                <w:lang w:eastAsia="en-US"/>
              </w:rPr>
              <w:t>*83.5</w:t>
            </w:r>
            <w:r>
              <w:rPr>
                <w:rFonts w:hint="eastAsia" w:ascii="宋体" w:hAnsi="宋体" w:eastAsia="宋体" w:cs="宋体"/>
                <w:snapToGrid w:val="0"/>
                <w:color w:val="000000"/>
                <w:kern w:val="0"/>
                <w:sz w:val="18"/>
                <w:szCs w:val="18"/>
                <w:lang w:eastAsia="en-US"/>
              </w:rPr>
              <w:t>mm</w:t>
            </w:r>
            <w:r>
              <w:rPr>
                <w:rFonts w:hint="eastAsia" w:ascii="宋体" w:hAnsi="宋体" w:eastAsia="宋体" w:cs="宋体"/>
                <w:snapToGrid w:val="0"/>
                <w:color w:val="000000"/>
                <w:spacing w:val="7"/>
                <w:kern w:val="0"/>
                <w:sz w:val="18"/>
                <w:szCs w:val="18"/>
                <w:lang w:eastAsia="en-US"/>
              </w:rPr>
              <w:t>*193</w:t>
            </w:r>
            <w:r>
              <w:rPr>
                <w:rFonts w:hint="eastAsia" w:ascii="宋体" w:hAnsi="宋体" w:eastAsia="宋体" w:cs="宋体"/>
                <w:snapToGrid w:val="0"/>
                <w:color w:val="000000"/>
                <w:kern w:val="0"/>
                <w:sz w:val="18"/>
                <w:szCs w:val="18"/>
                <w:lang w:eastAsia="en-US"/>
              </w:rPr>
              <w:t>mm</w:t>
            </w:r>
          </w:p>
        </w:tc>
        <w:tc>
          <w:tcPr>
            <w:tcW w:w="900" w:type="dxa"/>
            <w:tcBorders>
              <w:right w:val="single" w:color="000000" w:sz="6" w:space="0"/>
            </w:tcBorders>
            <w:vAlign w:val="top"/>
          </w:tcPr>
          <w:p w14:paraId="3216504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r w14:paraId="1FE247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52" w:type="dxa"/>
            <w:tcBorders>
              <w:left w:val="single" w:color="000000" w:sz="6" w:space="0"/>
            </w:tcBorders>
            <w:vAlign w:val="top"/>
          </w:tcPr>
          <w:p w14:paraId="2E34A275">
            <w:pPr>
              <w:widowControl/>
              <w:kinsoku w:val="0"/>
              <w:autoSpaceDE w:val="0"/>
              <w:autoSpaceDN w:val="0"/>
              <w:adjustRightInd w:val="0"/>
              <w:snapToGrid w:val="0"/>
              <w:spacing w:before="68" w:line="195" w:lineRule="auto"/>
              <w:ind w:left="318"/>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2</w:t>
            </w:r>
          </w:p>
        </w:tc>
        <w:tc>
          <w:tcPr>
            <w:tcW w:w="2704" w:type="dxa"/>
            <w:vAlign w:val="top"/>
          </w:tcPr>
          <w:p w14:paraId="12311FA7">
            <w:pPr>
              <w:kinsoku w:val="0"/>
              <w:autoSpaceDE w:val="0"/>
              <w:autoSpaceDN w:val="0"/>
              <w:adjustRightInd w:val="0"/>
              <w:snapToGrid w:val="0"/>
              <w:spacing w:before="34" w:line="228" w:lineRule="auto"/>
              <w:ind w:left="727"/>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油压装置型号</w:t>
            </w:r>
          </w:p>
        </w:tc>
        <w:tc>
          <w:tcPr>
            <w:tcW w:w="3353" w:type="dxa"/>
            <w:vAlign w:val="top"/>
          </w:tcPr>
          <w:p w14:paraId="4FA3EDE2">
            <w:pPr>
              <w:widowControl/>
              <w:kinsoku w:val="0"/>
              <w:autoSpaceDE w:val="0"/>
              <w:autoSpaceDN w:val="0"/>
              <w:adjustRightInd w:val="0"/>
              <w:snapToGrid w:val="0"/>
              <w:spacing w:before="67" w:line="195" w:lineRule="auto"/>
              <w:ind w:left="1299"/>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HYZ</w:t>
            </w:r>
            <w:r>
              <w:rPr>
                <w:rFonts w:hint="eastAsia" w:ascii="宋体" w:hAnsi="宋体" w:eastAsia="宋体" w:cs="宋体"/>
                <w:snapToGrid w:val="0"/>
                <w:color w:val="000000"/>
                <w:spacing w:val="7"/>
                <w:kern w:val="0"/>
                <w:sz w:val="18"/>
                <w:szCs w:val="18"/>
                <w:lang w:eastAsia="en-US"/>
              </w:rPr>
              <w:t>-1.0</w:t>
            </w:r>
          </w:p>
        </w:tc>
        <w:tc>
          <w:tcPr>
            <w:tcW w:w="900" w:type="dxa"/>
            <w:tcBorders>
              <w:right w:val="single" w:color="000000" w:sz="6" w:space="0"/>
            </w:tcBorders>
            <w:vAlign w:val="top"/>
          </w:tcPr>
          <w:p w14:paraId="3E74C2C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r w14:paraId="78600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52" w:type="dxa"/>
            <w:tcBorders>
              <w:left w:val="single" w:color="000000" w:sz="6" w:space="0"/>
            </w:tcBorders>
            <w:vAlign w:val="top"/>
          </w:tcPr>
          <w:p w14:paraId="05B6C306">
            <w:pPr>
              <w:widowControl/>
              <w:kinsoku w:val="0"/>
              <w:autoSpaceDE w:val="0"/>
              <w:autoSpaceDN w:val="0"/>
              <w:adjustRightInd w:val="0"/>
              <w:snapToGrid w:val="0"/>
              <w:spacing w:before="71" w:line="195" w:lineRule="auto"/>
              <w:ind w:left="322"/>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3</w:t>
            </w:r>
          </w:p>
        </w:tc>
        <w:tc>
          <w:tcPr>
            <w:tcW w:w="2704" w:type="dxa"/>
            <w:vAlign w:val="top"/>
          </w:tcPr>
          <w:p w14:paraId="2308A00C">
            <w:pPr>
              <w:kinsoku w:val="0"/>
              <w:autoSpaceDE w:val="0"/>
              <w:autoSpaceDN w:val="0"/>
              <w:adjustRightInd w:val="0"/>
              <w:snapToGrid w:val="0"/>
              <w:spacing w:before="37" w:line="228" w:lineRule="auto"/>
              <w:ind w:left="828"/>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压力罐容积</w:t>
            </w:r>
          </w:p>
        </w:tc>
        <w:tc>
          <w:tcPr>
            <w:tcW w:w="3353" w:type="dxa"/>
            <w:vAlign w:val="top"/>
          </w:tcPr>
          <w:p w14:paraId="411B4185">
            <w:pPr>
              <w:kinsoku w:val="0"/>
              <w:autoSpaceDE w:val="0"/>
              <w:autoSpaceDN w:val="0"/>
              <w:adjustRightInd w:val="0"/>
              <w:snapToGrid w:val="0"/>
              <w:spacing w:before="37" w:line="229" w:lineRule="auto"/>
              <w:ind w:left="772"/>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
                <w:kern w:val="0"/>
                <w:sz w:val="18"/>
                <w:szCs w:val="18"/>
                <w:lang w:val="en-US" w:eastAsia="en-US" w:bidi="ar-SA"/>
              </w:rPr>
              <w:t>1m3</w:t>
            </w:r>
            <w:r>
              <w:rPr>
                <w:rFonts w:hint="eastAsia" w:ascii="宋体" w:hAnsi="宋体" w:eastAsia="宋体" w:cs="宋体"/>
                <w:snapToGrid w:val="0"/>
                <w:color w:val="000000"/>
                <w:spacing w:val="-19"/>
                <w:kern w:val="0"/>
                <w:sz w:val="18"/>
                <w:szCs w:val="18"/>
                <w:lang w:val="en-US" w:eastAsia="en-US" w:bidi="ar-SA"/>
              </w:rPr>
              <w:t xml:space="preserve"> </w:t>
            </w:r>
            <w:r>
              <w:rPr>
                <w:rFonts w:hint="eastAsia" w:ascii="宋体" w:hAnsi="宋体" w:eastAsia="宋体" w:cs="宋体"/>
                <w:snapToGrid w:val="0"/>
                <w:color w:val="000000"/>
                <w:spacing w:val="1"/>
                <w:kern w:val="0"/>
                <w:sz w:val="18"/>
                <w:szCs w:val="18"/>
                <w:lang w:val="en-US" w:eastAsia="en-US" w:bidi="ar-SA"/>
              </w:rPr>
              <w:t>，1/3</w:t>
            </w:r>
            <w:r>
              <w:rPr>
                <w:rFonts w:hint="eastAsia" w:ascii="宋体" w:hAnsi="宋体" w:eastAsia="宋体" w:cs="宋体"/>
                <w:snapToGrid w:val="0"/>
                <w:color w:val="000000"/>
                <w:spacing w:val="15"/>
                <w:w w:val="101"/>
                <w:kern w:val="0"/>
                <w:sz w:val="18"/>
                <w:szCs w:val="18"/>
                <w:lang w:val="en-US" w:eastAsia="en-US" w:bidi="ar-SA"/>
              </w:rPr>
              <w:t xml:space="preserve"> </w:t>
            </w:r>
            <w:r>
              <w:rPr>
                <w:rFonts w:hint="eastAsia" w:ascii="宋体" w:hAnsi="宋体" w:eastAsia="宋体" w:cs="宋体"/>
                <w:snapToGrid w:val="0"/>
                <w:color w:val="000000"/>
                <w:spacing w:val="1"/>
                <w:kern w:val="0"/>
                <w:sz w:val="18"/>
                <w:szCs w:val="18"/>
                <w:lang w:val="en-US" w:eastAsia="en-US" w:bidi="ar-SA"/>
              </w:rPr>
              <w:t>油，2/3 气</w:t>
            </w:r>
          </w:p>
        </w:tc>
        <w:tc>
          <w:tcPr>
            <w:tcW w:w="900" w:type="dxa"/>
            <w:tcBorders>
              <w:right w:val="single" w:color="000000" w:sz="6" w:space="0"/>
            </w:tcBorders>
            <w:vAlign w:val="top"/>
          </w:tcPr>
          <w:p w14:paraId="23864F5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r w14:paraId="44460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52" w:type="dxa"/>
            <w:tcBorders>
              <w:left w:val="single" w:color="000000" w:sz="6" w:space="0"/>
            </w:tcBorders>
            <w:vAlign w:val="top"/>
          </w:tcPr>
          <w:p w14:paraId="59CD60DC">
            <w:pPr>
              <w:widowControl/>
              <w:kinsoku w:val="0"/>
              <w:autoSpaceDE w:val="0"/>
              <w:autoSpaceDN w:val="0"/>
              <w:adjustRightInd w:val="0"/>
              <w:snapToGrid w:val="0"/>
              <w:spacing w:before="67" w:line="195" w:lineRule="auto"/>
              <w:ind w:left="317"/>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1"/>
                <w:kern w:val="0"/>
                <w:sz w:val="18"/>
                <w:szCs w:val="18"/>
                <w:lang w:eastAsia="en-US"/>
              </w:rPr>
              <w:t>4</w:t>
            </w:r>
          </w:p>
        </w:tc>
        <w:tc>
          <w:tcPr>
            <w:tcW w:w="2704" w:type="dxa"/>
            <w:vAlign w:val="top"/>
          </w:tcPr>
          <w:p w14:paraId="3F6F5576">
            <w:pPr>
              <w:kinsoku w:val="0"/>
              <w:autoSpaceDE w:val="0"/>
              <w:autoSpaceDN w:val="0"/>
              <w:adjustRightInd w:val="0"/>
              <w:snapToGrid w:val="0"/>
              <w:spacing w:before="38" w:line="228" w:lineRule="auto"/>
              <w:ind w:left="1145"/>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4"/>
                <w:kern w:val="0"/>
                <w:sz w:val="18"/>
                <w:szCs w:val="18"/>
                <w:lang w:val="en-US" w:eastAsia="en-US" w:bidi="ar-SA"/>
              </w:rPr>
              <w:t>压力</w:t>
            </w:r>
          </w:p>
        </w:tc>
        <w:tc>
          <w:tcPr>
            <w:tcW w:w="3353" w:type="dxa"/>
            <w:vAlign w:val="top"/>
          </w:tcPr>
          <w:p w14:paraId="59891234">
            <w:pPr>
              <w:widowControl/>
              <w:kinsoku w:val="0"/>
              <w:autoSpaceDE w:val="0"/>
              <w:autoSpaceDN w:val="0"/>
              <w:adjustRightInd w:val="0"/>
              <w:snapToGrid w:val="0"/>
              <w:spacing w:before="67" w:line="197" w:lineRule="auto"/>
              <w:ind w:left="1357"/>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8"/>
                <w:kern w:val="0"/>
                <w:sz w:val="18"/>
                <w:szCs w:val="18"/>
                <w:lang w:eastAsia="en-US"/>
              </w:rPr>
              <w:t>2.5</w:t>
            </w:r>
            <w:r>
              <w:rPr>
                <w:rFonts w:hint="eastAsia" w:ascii="宋体" w:hAnsi="宋体" w:eastAsia="宋体" w:cs="宋体"/>
                <w:snapToGrid w:val="0"/>
                <w:color w:val="000000"/>
                <w:kern w:val="0"/>
                <w:sz w:val="18"/>
                <w:szCs w:val="18"/>
                <w:lang w:eastAsia="en-US"/>
              </w:rPr>
              <w:t>Mpa</w:t>
            </w:r>
          </w:p>
        </w:tc>
        <w:tc>
          <w:tcPr>
            <w:tcW w:w="900" w:type="dxa"/>
            <w:tcBorders>
              <w:right w:val="single" w:color="000000" w:sz="6" w:space="0"/>
            </w:tcBorders>
            <w:vAlign w:val="top"/>
          </w:tcPr>
          <w:p w14:paraId="36D5E33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r w14:paraId="3190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752" w:type="dxa"/>
            <w:tcBorders>
              <w:left w:val="single" w:color="000000" w:sz="6" w:space="0"/>
            </w:tcBorders>
            <w:vAlign w:val="top"/>
          </w:tcPr>
          <w:p w14:paraId="07318C22">
            <w:pPr>
              <w:widowControl/>
              <w:kinsoku w:val="0"/>
              <w:autoSpaceDE w:val="0"/>
              <w:autoSpaceDN w:val="0"/>
              <w:adjustRightInd w:val="0"/>
              <w:snapToGrid w:val="0"/>
              <w:spacing w:before="77" w:line="192" w:lineRule="auto"/>
              <w:ind w:left="323"/>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5</w:t>
            </w:r>
          </w:p>
        </w:tc>
        <w:tc>
          <w:tcPr>
            <w:tcW w:w="2704" w:type="dxa"/>
            <w:vAlign w:val="top"/>
          </w:tcPr>
          <w:p w14:paraId="23ACB55E">
            <w:pPr>
              <w:kinsoku w:val="0"/>
              <w:autoSpaceDE w:val="0"/>
              <w:autoSpaceDN w:val="0"/>
              <w:adjustRightInd w:val="0"/>
              <w:snapToGrid w:val="0"/>
              <w:spacing w:before="40" w:line="227" w:lineRule="auto"/>
              <w:ind w:left="957"/>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1"/>
                <w:kern w:val="0"/>
                <w:sz w:val="18"/>
                <w:szCs w:val="18"/>
                <w:lang w:val="en-US" w:eastAsia="en-US" w:bidi="ar-SA"/>
              </w:rPr>
              <w:t>电机功率</w:t>
            </w:r>
          </w:p>
        </w:tc>
        <w:tc>
          <w:tcPr>
            <w:tcW w:w="3353" w:type="dxa"/>
            <w:vAlign w:val="top"/>
          </w:tcPr>
          <w:p w14:paraId="32FDD33F">
            <w:pPr>
              <w:widowControl/>
              <w:kinsoku w:val="0"/>
              <w:autoSpaceDE w:val="0"/>
              <w:autoSpaceDN w:val="0"/>
              <w:adjustRightInd w:val="0"/>
              <w:snapToGrid w:val="0"/>
              <w:spacing w:before="70" w:line="199" w:lineRule="auto"/>
              <w:ind w:left="1345"/>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5"/>
                <w:kern w:val="0"/>
                <w:sz w:val="18"/>
                <w:szCs w:val="18"/>
                <w:lang w:eastAsia="en-US"/>
              </w:rPr>
              <w:t>2*11</w:t>
            </w:r>
            <w:r>
              <w:rPr>
                <w:rFonts w:hint="eastAsia" w:ascii="宋体" w:hAnsi="宋体" w:eastAsia="宋体" w:cs="宋体"/>
                <w:snapToGrid w:val="0"/>
                <w:color w:val="000000"/>
                <w:kern w:val="0"/>
                <w:sz w:val="18"/>
                <w:szCs w:val="18"/>
                <w:lang w:eastAsia="en-US"/>
              </w:rPr>
              <w:t>kw</w:t>
            </w:r>
          </w:p>
        </w:tc>
        <w:tc>
          <w:tcPr>
            <w:tcW w:w="900" w:type="dxa"/>
            <w:tcBorders>
              <w:right w:val="single" w:color="000000" w:sz="6" w:space="0"/>
            </w:tcBorders>
            <w:vAlign w:val="top"/>
          </w:tcPr>
          <w:p w14:paraId="08B7263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r w14:paraId="637D4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752" w:type="dxa"/>
            <w:tcBorders>
              <w:left w:val="single" w:color="000000" w:sz="6" w:space="0"/>
            </w:tcBorders>
            <w:vAlign w:val="top"/>
          </w:tcPr>
          <w:p w14:paraId="42037FA9">
            <w:pPr>
              <w:widowControl/>
              <w:kinsoku w:val="0"/>
              <w:autoSpaceDE w:val="0"/>
              <w:autoSpaceDN w:val="0"/>
              <w:adjustRightInd w:val="0"/>
              <w:snapToGrid w:val="0"/>
              <w:spacing w:before="75" w:line="195" w:lineRule="auto"/>
              <w:ind w:left="322"/>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6</w:t>
            </w:r>
          </w:p>
        </w:tc>
        <w:tc>
          <w:tcPr>
            <w:tcW w:w="2704" w:type="dxa"/>
            <w:vAlign w:val="top"/>
          </w:tcPr>
          <w:p w14:paraId="2BCBFDFD">
            <w:pPr>
              <w:kinsoku w:val="0"/>
              <w:autoSpaceDE w:val="0"/>
              <w:autoSpaceDN w:val="0"/>
              <w:adjustRightInd w:val="0"/>
              <w:snapToGrid w:val="0"/>
              <w:spacing w:before="41" w:line="228" w:lineRule="auto"/>
              <w:ind w:left="726"/>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主进油管直径</w:t>
            </w:r>
          </w:p>
        </w:tc>
        <w:tc>
          <w:tcPr>
            <w:tcW w:w="3353" w:type="dxa"/>
            <w:vAlign w:val="top"/>
          </w:tcPr>
          <w:p w14:paraId="15217364">
            <w:pPr>
              <w:widowControl/>
              <w:kinsoku w:val="0"/>
              <w:autoSpaceDE w:val="0"/>
              <w:autoSpaceDN w:val="0"/>
              <w:adjustRightInd w:val="0"/>
              <w:snapToGrid w:val="0"/>
              <w:spacing w:before="75" w:line="195" w:lineRule="auto"/>
              <w:ind w:left="1423"/>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DN</w:t>
            </w:r>
            <w:r>
              <w:rPr>
                <w:rFonts w:hint="eastAsia" w:ascii="宋体" w:hAnsi="宋体" w:eastAsia="宋体" w:cs="宋体"/>
                <w:snapToGrid w:val="0"/>
                <w:color w:val="000000"/>
                <w:spacing w:val="10"/>
                <w:kern w:val="0"/>
                <w:sz w:val="18"/>
                <w:szCs w:val="18"/>
                <w:lang w:eastAsia="en-US"/>
              </w:rPr>
              <w:t>80</w:t>
            </w:r>
          </w:p>
        </w:tc>
        <w:tc>
          <w:tcPr>
            <w:tcW w:w="900" w:type="dxa"/>
            <w:tcBorders>
              <w:right w:val="single" w:color="000000" w:sz="6" w:space="0"/>
            </w:tcBorders>
            <w:vAlign w:val="top"/>
          </w:tcPr>
          <w:p w14:paraId="71AF9EC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r w14:paraId="3CF80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52" w:type="dxa"/>
            <w:tcBorders>
              <w:left w:val="single" w:color="000000" w:sz="6" w:space="0"/>
            </w:tcBorders>
            <w:vAlign w:val="top"/>
          </w:tcPr>
          <w:p w14:paraId="052B42D1">
            <w:pPr>
              <w:widowControl/>
              <w:kinsoku w:val="0"/>
              <w:autoSpaceDE w:val="0"/>
              <w:autoSpaceDN w:val="0"/>
              <w:adjustRightInd w:val="0"/>
              <w:snapToGrid w:val="0"/>
              <w:spacing w:before="66" w:line="192" w:lineRule="auto"/>
              <w:ind w:left="321"/>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7</w:t>
            </w:r>
          </w:p>
        </w:tc>
        <w:tc>
          <w:tcPr>
            <w:tcW w:w="2704" w:type="dxa"/>
            <w:vAlign w:val="top"/>
          </w:tcPr>
          <w:p w14:paraId="77EF70AB">
            <w:pPr>
              <w:kinsoku w:val="0"/>
              <w:autoSpaceDE w:val="0"/>
              <w:autoSpaceDN w:val="0"/>
              <w:adjustRightInd w:val="0"/>
              <w:snapToGrid w:val="0"/>
              <w:spacing w:before="43" w:line="228" w:lineRule="auto"/>
              <w:ind w:left="409"/>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8"/>
                <w:kern w:val="0"/>
                <w:sz w:val="18"/>
                <w:szCs w:val="18"/>
                <w:lang w:val="en-US" w:eastAsia="en-US" w:bidi="ar-SA"/>
              </w:rPr>
              <w:t>主接力器直径、行程</w:t>
            </w:r>
          </w:p>
        </w:tc>
        <w:tc>
          <w:tcPr>
            <w:tcW w:w="3353" w:type="dxa"/>
            <w:vAlign w:val="top"/>
          </w:tcPr>
          <w:p w14:paraId="7988B8FC">
            <w:pPr>
              <w:widowControl/>
              <w:kinsoku w:val="0"/>
              <w:autoSpaceDE w:val="0"/>
              <w:autoSpaceDN w:val="0"/>
              <w:adjustRightInd w:val="0"/>
              <w:snapToGrid w:val="0"/>
              <w:spacing w:before="61" w:line="197" w:lineRule="auto"/>
              <w:ind w:left="167"/>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spacing w:val="8"/>
                <w:kern w:val="0"/>
                <w:sz w:val="18"/>
                <w:szCs w:val="18"/>
                <w:lang w:eastAsia="en-US"/>
              </w:rPr>
              <w:t>Ø250</w:t>
            </w:r>
            <w:r>
              <w:rPr>
                <w:rFonts w:hint="eastAsia" w:ascii="宋体" w:hAnsi="宋体" w:eastAsia="宋体" w:cs="宋体"/>
                <w:snapToGrid w:val="0"/>
                <w:color w:val="000000"/>
                <w:kern w:val="0"/>
                <w:sz w:val="18"/>
                <w:szCs w:val="18"/>
                <w:lang w:eastAsia="en-US"/>
              </w:rPr>
              <w:t>mm</w:t>
            </w:r>
            <w:r>
              <w:rPr>
                <w:rFonts w:hint="eastAsia" w:ascii="宋体" w:hAnsi="宋体" w:eastAsia="宋体" w:cs="宋体"/>
                <w:snapToGrid w:val="0"/>
                <w:color w:val="000000"/>
                <w:spacing w:val="8"/>
                <w:kern w:val="0"/>
                <w:sz w:val="18"/>
                <w:szCs w:val="18"/>
                <w:lang w:eastAsia="en-US"/>
              </w:rPr>
              <w:t>180</w:t>
            </w:r>
            <w:r>
              <w:rPr>
                <w:rFonts w:hint="eastAsia" w:ascii="宋体" w:hAnsi="宋体" w:eastAsia="宋体" w:cs="宋体"/>
                <w:snapToGrid w:val="0"/>
                <w:color w:val="000000"/>
                <w:kern w:val="0"/>
                <w:sz w:val="18"/>
                <w:szCs w:val="18"/>
                <w:lang w:eastAsia="en-US"/>
              </w:rPr>
              <w:t>mm</w:t>
            </w:r>
            <w:r>
              <w:rPr>
                <w:rFonts w:hint="eastAsia" w:ascii="宋体" w:hAnsi="宋体" w:eastAsia="宋体" w:cs="宋体"/>
                <w:snapToGrid w:val="0"/>
                <w:color w:val="000000"/>
                <w:spacing w:val="8"/>
                <w:kern w:val="0"/>
                <w:sz w:val="18"/>
                <w:szCs w:val="18"/>
                <w:lang w:eastAsia="en-US"/>
              </w:rPr>
              <w:t>180180</w:t>
            </w:r>
            <w:r>
              <w:rPr>
                <w:rFonts w:hint="eastAsia" w:ascii="宋体" w:hAnsi="宋体" w:eastAsia="宋体" w:cs="宋体"/>
                <w:snapToGrid w:val="0"/>
                <w:color w:val="000000"/>
                <w:kern w:val="0"/>
                <w:sz w:val="18"/>
                <w:szCs w:val="18"/>
                <w:lang w:eastAsia="en-US"/>
              </w:rPr>
              <w:t>mm</w:t>
            </w:r>
            <w:r>
              <w:rPr>
                <w:rFonts w:hint="eastAsia" w:ascii="宋体" w:hAnsi="宋体" w:eastAsia="宋体" w:cs="宋体"/>
                <w:snapToGrid w:val="0"/>
                <w:color w:val="000000"/>
                <w:spacing w:val="8"/>
                <w:kern w:val="0"/>
                <w:sz w:val="18"/>
                <w:szCs w:val="18"/>
                <w:lang w:eastAsia="en-US"/>
              </w:rPr>
              <w:t>180</w:t>
            </w:r>
            <w:r>
              <w:rPr>
                <w:rFonts w:hint="eastAsia" w:ascii="宋体" w:hAnsi="宋体" w:eastAsia="宋体" w:cs="宋体"/>
                <w:snapToGrid w:val="0"/>
                <w:color w:val="000000"/>
                <w:kern w:val="0"/>
                <w:sz w:val="18"/>
                <w:szCs w:val="18"/>
                <w:lang w:eastAsia="en-US"/>
              </w:rPr>
              <w:t>mm</w:t>
            </w:r>
          </w:p>
        </w:tc>
        <w:tc>
          <w:tcPr>
            <w:tcW w:w="900" w:type="dxa"/>
            <w:tcBorders>
              <w:right w:val="single" w:color="000000" w:sz="6" w:space="0"/>
            </w:tcBorders>
            <w:vAlign w:val="top"/>
          </w:tcPr>
          <w:p w14:paraId="4F2DB5E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r w14:paraId="6CD60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52" w:type="dxa"/>
            <w:tcBorders>
              <w:left w:val="single" w:color="000000" w:sz="6" w:space="0"/>
              <w:bottom w:val="single" w:color="000000" w:sz="6" w:space="0"/>
            </w:tcBorders>
            <w:vAlign w:val="top"/>
          </w:tcPr>
          <w:p w14:paraId="455BEF50">
            <w:pPr>
              <w:widowControl/>
              <w:kinsoku w:val="0"/>
              <w:autoSpaceDE w:val="0"/>
              <w:autoSpaceDN w:val="0"/>
              <w:adjustRightInd w:val="0"/>
              <w:snapToGrid w:val="0"/>
              <w:spacing w:before="227" w:line="195" w:lineRule="auto"/>
              <w:ind w:left="355"/>
              <w:jc w:val="left"/>
              <w:textAlignment w:val="baseline"/>
              <w:rPr>
                <w:rFonts w:hint="eastAsia" w:ascii="宋体" w:hAnsi="宋体" w:eastAsia="宋体" w:cs="宋体"/>
                <w:snapToGrid w:val="0"/>
                <w:color w:val="000000"/>
                <w:kern w:val="0"/>
                <w:sz w:val="18"/>
                <w:szCs w:val="18"/>
                <w:lang w:eastAsia="en-US"/>
              </w:rPr>
            </w:pPr>
            <w:r>
              <w:rPr>
                <w:rFonts w:hint="eastAsia" w:ascii="宋体" w:hAnsi="宋体" w:eastAsia="宋体" w:cs="宋体"/>
                <w:snapToGrid w:val="0"/>
                <w:color w:val="000000"/>
                <w:kern w:val="0"/>
                <w:sz w:val="18"/>
                <w:szCs w:val="18"/>
                <w:lang w:eastAsia="en-US"/>
              </w:rPr>
              <w:t>8</w:t>
            </w:r>
          </w:p>
        </w:tc>
        <w:tc>
          <w:tcPr>
            <w:tcW w:w="2704" w:type="dxa"/>
            <w:tcBorders>
              <w:bottom w:val="single" w:color="000000" w:sz="6" w:space="0"/>
            </w:tcBorders>
            <w:vAlign w:val="top"/>
          </w:tcPr>
          <w:p w14:paraId="0FD95BB5">
            <w:pPr>
              <w:kinsoku w:val="0"/>
              <w:autoSpaceDE w:val="0"/>
              <w:autoSpaceDN w:val="0"/>
              <w:adjustRightInd w:val="0"/>
              <w:snapToGrid w:val="0"/>
              <w:spacing w:before="190" w:line="228" w:lineRule="auto"/>
              <w:ind w:left="123"/>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8"/>
                <w:kern w:val="0"/>
                <w:sz w:val="18"/>
                <w:szCs w:val="18"/>
                <w:lang w:val="en-US" w:eastAsia="en-US" w:bidi="ar-SA"/>
              </w:rPr>
              <w:t>主配压伐法兰盘及油管直径</w:t>
            </w:r>
          </w:p>
        </w:tc>
        <w:tc>
          <w:tcPr>
            <w:tcW w:w="3353" w:type="dxa"/>
            <w:tcBorders>
              <w:bottom w:val="single" w:color="000000" w:sz="6" w:space="0"/>
            </w:tcBorders>
            <w:vAlign w:val="top"/>
          </w:tcPr>
          <w:p w14:paraId="59264E8E">
            <w:pPr>
              <w:kinsoku w:val="0"/>
              <w:autoSpaceDE w:val="0"/>
              <w:autoSpaceDN w:val="0"/>
              <w:adjustRightInd w:val="0"/>
              <w:snapToGrid w:val="0"/>
              <w:spacing w:before="190" w:line="228" w:lineRule="auto"/>
              <w:ind w:left="1267"/>
              <w:jc w:val="left"/>
              <w:textAlignment w:val="baseline"/>
              <w:rPr>
                <w:rFonts w:hint="eastAsia" w:ascii="宋体" w:hAnsi="宋体" w:eastAsia="宋体" w:cs="宋体"/>
                <w:snapToGrid w:val="0"/>
                <w:color w:val="000000"/>
                <w:kern w:val="0"/>
                <w:sz w:val="18"/>
                <w:szCs w:val="18"/>
                <w:lang w:val="en-US" w:eastAsia="en-US" w:bidi="ar-SA"/>
              </w:rPr>
            </w:pPr>
            <w:r>
              <w:rPr>
                <w:rFonts w:hint="eastAsia" w:ascii="宋体" w:hAnsi="宋体" w:eastAsia="宋体" w:cs="宋体"/>
                <w:snapToGrid w:val="0"/>
                <w:color w:val="000000"/>
                <w:spacing w:val="7"/>
                <w:kern w:val="0"/>
                <w:sz w:val="18"/>
                <w:szCs w:val="18"/>
                <w:lang w:val="en-US" w:eastAsia="en-US" w:bidi="ar-SA"/>
              </w:rPr>
              <w:t>厂家现场查看</w:t>
            </w:r>
          </w:p>
        </w:tc>
        <w:tc>
          <w:tcPr>
            <w:tcW w:w="900" w:type="dxa"/>
            <w:tcBorders>
              <w:bottom w:val="single" w:color="000000" w:sz="6" w:space="0"/>
              <w:right w:val="single" w:color="000000" w:sz="6" w:space="0"/>
            </w:tcBorders>
            <w:vAlign w:val="top"/>
          </w:tcPr>
          <w:p w14:paraId="4ABBC0E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000000"/>
                <w:kern w:val="0"/>
                <w:sz w:val="18"/>
                <w:szCs w:val="18"/>
                <w:lang w:eastAsia="en-US"/>
              </w:rPr>
            </w:pPr>
          </w:p>
        </w:tc>
      </w:tr>
    </w:tbl>
    <w:p w14:paraId="460681CF">
      <w:pPr>
        <w:pStyle w:val="2"/>
        <w:rPr>
          <w:rFonts w:hint="eastAsia"/>
          <w:lang w:val="en-US" w:eastAsia="zh-CN"/>
        </w:rPr>
      </w:pPr>
    </w:p>
    <w:p w14:paraId="02E32317">
      <w:pPr>
        <w:pStyle w:val="2"/>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图 1   油压装置铭牌</w:t>
      </w:r>
      <w:r>
        <w:rPr>
          <w:rFonts w:hint="eastAsia" w:ascii="宋体" w:hAnsi="宋体" w:eastAsia="宋体" w:cs="宋体"/>
          <w:snapToGrid w:val="0"/>
          <w:color w:val="000000"/>
          <w:kern w:val="0"/>
          <w:position w:val="-107"/>
          <w:sz w:val="18"/>
          <w:szCs w:val="18"/>
          <w:lang w:eastAsia="en-US"/>
        </w:rPr>
        <w:drawing>
          <wp:anchor distT="0" distB="0" distL="0" distR="0" simplePos="0" relativeHeight="251659264" behindDoc="0" locked="0" layoutInCell="1" allowOverlap="1">
            <wp:simplePos x="0" y="0"/>
            <wp:positionH relativeFrom="column">
              <wp:posOffset>184150</wp:posOffset>
            </wp:positionH>
            <wp:positionV relativeFrom="paragraph">
              <wp:posOffset>90170</wp:posOffset>
            </wp:positionV>
            <wp:extent cx="4672330" cy="2900045"/>
            <wp:effectExtent l="0" t="0" r="13970" b="14605"/>
            <wp:wrapTopAndBottom/>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
                    <a:stretch>
                      <a:fillRect/>
                    </a:stretch>
                  </pic:blipFill>
                  <pic:spPr>
                    <a:xfrm>
                      <a:off x="1809115" y="6442710"/>
                      <a:ext cx="4672330" cy="2900045"/>
                    </a:xfrm>
                    <a:prstGeom prst="rect">
                      <a:avLst/>
                    </a:prstGeom>
                  </pic:spPr>
                </pic:pic>
              </a:graphicData>
            </a:graphic>
          </wp:anchor>
        </w:drawing>
      </w:r>
    </w:p>
    <w:p w14:paraId="208465E7">
      <w:pPr>
        <w:pStyle w:val="2"/>
        <w:rPr>
          <w:rFonts w:hint="eastAsia" w:ascii="宋体" w:hAnsi="宋体" w:eastAsia="宋体" w:cs="宋体"/>
          <w:sz w:val="18"/>
          <w:szCs w:val="18"/>
          <w:lang w:val="en-US" w:eastAsia="zh-CN"/>
        </w:rPr>
      </w:pPr>
      <w:r>
        <w:rPr>
          <w:position w:val="-111"/>
        </w:rPr>
        <w:drawing>
          <wp:anchor distT="0" distB="0" distL="0" distR="0" simplePos="0" relativeHeight="251661312" behindDoc="0" locked="0" layoutInCell="1" allowOverlap="1">
            <wp:simplePos x="0" y="0"/>
            <wp:positionH relativeFrom="column">
              <wp:posOffset>-108585</wp:posOffset>
            </wp:positionH>
            <wp:positionV relativeFrom="paragraph">
              <wp:posOffset>127635</wp:posOffset>
            </wp:positionV>
            <wp:extent cx="4857115" cy="3216275"/>
            <wp:effectExtent l="0" t="0" r="635" b="3175"/>
            <wp:wrapTopAndBottom/>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
                    <a:stretch>
                      <a:fillRect/>
                    </a:stretch>
                  </pic:blipFill>
                  <pic:spPr>
                    <a:xfrm>
                      <a:off x="1179830" y="4131310"/>
                      <a:ext cx="4857115" cy="3216275"/>
                    </a:xfrm>
                    <a:prstGeom prst="rect">
                      <a:avLst/>
                    </a:prstGeom>
                  </pic:spPr>
                </pic:pic>
              </a:graphicData>
            </a:graphic>
          </wp:anchor>
        </w:drawing>
      </w:r>
    </w:p>
    <w:p w14:paraId="21D5FCA0">
      <w:pPr>
        <w:pStyle w:val="2"/>
        <w:rPr>
          <w:rFonts w:hint="eastAsia"/>
          <w:lang w:val="en-US" w:eastAsia="zh-CN"/>
        </w:rPr>
      </w:pPr>
      <w:r>
        <w:rPr>
          <w:rFonts w:hint="eastAsia" w:ascii="宋体" w:hAnsi="宋体" w:eastAsia="宋体" w:cs="宋体"/>
          <w:sz w:val="18"/>
          <w:szCs w:val="18"/>
          <w:lang w:val="en-US" w:eastAsia="zh-CN"/>
        </w:rPr>
        <w:t>图 2  压力罐铭牌</w:t>
      </w:r>
    </w:p>
    <w:p w14:paraId="291A3D02">
      <w:pPr>
        <w:pStyle w:val="2"/>
        <w:keepNext w:val="0"/>
        <w:keepLines w:val="0"/>
        <w:pageBreakBefore w:val="0"/>
        <w:widowControl/>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3.3调速器购买实施步骤</w:t>
      </w:r>
    </w:p>
    <w:p w14:paraId="67284514">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（1）调速器选型与采购</w:t>
      </w:r>
    </w:p>
    <w:p w14:paraId="3170DDDF">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选型原则：根据升级改造方案的要求，选择技术先进、性能可靠、兼容性好、性价比高的最新式调速器。</w:t>
      </w:r>
    </w:p>
    <w:p w14:paraId="0F3A8E8C">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调速器选型：首先向各厂家咨询解各厂家调速器设备应具备的技术参数、性能要求等，结合自身需求确定型号需求。</w:t>
      </w:r>
    </w:p>
    <w:p w14:paraId="5E2494B2">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供应商选择：通过市场调研、招标采购等方式，选择具有良好信誉和丰富经验的供应商。对供应商的产品质量、售后服务、技术支持等方面进行综合评估，确保其能够提供优质的产品和服务。</w:t>
      </w:r>
    </w:p>
    <w:p w14:paraId="34F19888">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与选定的供应商签订详细的采购合同，明确调速器设备规格、数量、价格、交货期、售后服务等条款，保障双方权益。同时，要求供应商提供调速器设备的技术资料和操作手册，为后续的安装调试和运行维护提供支持。</w:t>
      </w:r>
    </w:p>
    <w:p w14:paraId="56ED1EE7">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（2）调速器安装</w:t>
      </w:r>
    </w:p>
    <w:p w14:paraId="7BA59428">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按照技术要求进行调速器设备的安装，依据供货商提供的产品说明书、操作手册、参考图纸等进行安装，确保其质量和兼容性。安装过程中要严格遵守操作规程，做好设备调试和校准，确保设备正常运行。</w:t>
      </w:r>
    </w:p>
    <w:p w14:paraId="47EB8043">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施工步骤：</w:t>
      </w:r>
    </w:p>
    <w:p w14:paraId="6FF41EFC">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按调度命令，办理工作票，办理动火工作票。</w:t>
      </w:r>
    </w:p>
    <w:p w14:paraId="4296DCD8">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做好保证安全的组织、技术措施，填写危险点预控卡。</w:t>
      </w:r>
    </w:p>
    <w:p w14:paraId="1CAC0905">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将现调速器柜端子引出线拆除包扎，并做好记录。</w:t>
      </w:r>
    </w:p>
    <w:p w14:paraId="1C255511">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将现有调速器柜分别拆除。</w:t>
      </w:r>
    </w:p>
    <w:p w14:paraId="4C1B0555">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拆除原主配压阀及其管路。</w:t>
      </w:r>
    </w:p>
    <w:p w14:paraId="47FD5AEF">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安装固定新主配压阀，要求绝对水平。</w:t>
      </w:r>
    </w:p>
    <w:p w14:paraId="3A5B1408">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调整供出油管理位置合理，焊接牢固后清洁管路、焊接监测。</w:t>
      </w:r>
    </w:p>
    <w:p w14:paraId="22B6D82D">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将屏柜轨道表面进行打磨。</w:t>
      </w:r>
    </w:p>
    <w:p w14:paraId="687DDA43">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将新屏柜移至轨道上就位调整并进行点焊固定。</w:t>
      </w:r>
    </w:p>
    <w:p w14:paraId="175C53A2">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将拆除的各电缆进行接线，核对无误。</w:t>
      </w:r>
    </w:p>
    <w:p w14:paraId="6F90638B">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核查无误后上电。</w:t>
      </w:r>
    </w:p>
    <w:p w14:paraId="409FA00B">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调速器建压，检查主配阀及其管路无渗油。</w:t>
      </w:r>
    </w:p>
    <w:p w14:paraId="2220F66E">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（3）调试</w:t>
      </w:r>
    </w:p>
    <w:p w14:paraId="403F1B28">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严格按照下表调速器试验项目开展相关试验，保证新安装的调速器准确性、完整性和实时性进行测试，及时解决发现的问题。</w:t>
      </w:r>
    </w:p>
    <w:p w14:paraId="69E6B5C0">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厂家技术人员对设备使用人员进行现场培训。</w:t>
      </w:r>
    </w:p>
    <w:p w14:paraId="7CC5D31A">
      <w:pPr>
        <w:widowControl/>
        <w:kinsoku w:val="0"/>
        <w:autoSpaceDE w:val="0"/>
        <w:autoSpaceDN w:val="0"/>
        <w:adjustRightInd w:val="0"/>
        <w:snapToGrid w:val="0"/>
        <w:spacing w:before="206" w:line="221" w:lineRule="auto"/>
        <w:ind w:left="3198"/>
        <w:jc w:val="left"/>
        <w:textAlignment w:val="baseline"/>
        <w:rPr>
          <w:rFonts w:hint="eastAsia" w:ascii="宋体" w:hAnsi="宋体" w:eastAsia="宋体" w:cs="宋体"/>
          <w:snapToGrid w:val="0"/>
          <w:color w:val="000000"/>
          <w:spacing w:val="-2"/>
          <w:kern w:val="0"/>
          <w:sz w:val="18"/>
          <w:szCs w:val="18"/>
          <w:lang w:eastAsia="en-US"/>
        </w:rPr>
      </w:pPr>
      <w:r>
        <w:rPr>
          <w:rFonts w:hint="eastAsia" w:ascii="宋体" w:hAnsi="宋体" w:eastAsia="宋体" w:cs="宋体"/>
          <w:snapToGrid w:val="0"/>
          <w:color w:val="000000"/>
          <w:spacing w:val="-2"/>
          <w:kern w:val="0"/>
          <w:sz w:val="18"/>
          <w:szCs w:val="18"/>
          <w:lang w:eastAsia="en-US"/>
        </w:rPr>
        <w:t>表</w:t>
      </w:r>
      <w:r>
        <w:rPr>
          <w:rFonts w:hint="eastAsia" w:ascii="宋体" w:hAnsi="宋体" w:eastAsia="宋体" w:cs="宋体"/>
          <w:snapToGrid w:val="0"/>
          <w:color w:val="000000"/>
          <w:spacing w:val="-43"/>
          <w:kern w:val="0"/>
          <w:sz w:val="18"/>
          <w:szCs w:val="18"/>
          <w:lang w:eastAsia="en-US"/>
        </w:rPr>
        <w:t xml:space="preserve"> </w:t>
      </w:r>
      <w:r>
        <w:rPr>
          <w:rFonts w:hint="eastAsia" w:ascii="宋体" w:hAnsi="宋体" w:eastAsia="宋体" w:cs="宋体"/>
          <w:snapToGrid w:val="0"/>
          <w:color w:val="000000"/>
          <w:spacing w:val="-2"/>
          <w:kern w:val="0"/>
          <w:sz w:val="18"/>
          <w:szCs w:val="18"/>
          <w:lang w:eastAsia="en-US"/>
        </w:rPr>
        <w:t>3 调速器试验项目</w:t>
      </w:r>
    </w:p>
    <w:tbl>
      <w:tblPr>
        <w:tblStyle w:val="14"/>
        <w:tblW w:w="83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534"/>
        <w:gridCol w:w="1339"/>
        <w:gridCol w:w="1544"/>
        <w:gridCol w:w="987"/>
      </w:tblGrid>
      <w:tr w14:paraId="3B807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tblHeader/>
          <w:jc w:val="center"/>
        </w:trPr>
        <w:tc>
          <w:tcPr>
            <w:tcW w:w="913" w:type="dxa"/>
            <w:tcBorders>
              <w:top w:val="single" w:color="auto" w:sz="8" w:space="0"/>
              <w:left w:val="single" w:color="auto" w:sz="8" w:space="0"/>
              <w:bottom w:val="single" w:color="auto" w:sz="4" w:space="0"/>
              <w:right w:val="single" w:color="auto" w:sz="4" w:space="0"/>
            </w:tcBorders>
            <w:vAlign w:val="center"/>
          </w:tcPr>
          <w:p w14:paraId="78B03002">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序号</w:t>
            </w:r>
          </w:p>
        </w:tc>
        <w:tc>
          <w:tcPr>
            <w:tcW w:w="3534" w:type="dxa"/>
            <w:tcBorders>
              <w:top w:val="single" w:color="auto" w:sz="8" w:space="0"/>
              <w:left w:val="single" w:color="auto" w:sz="4" w:space="0"/>
              <w:bottom w:val="single" w:color="auto" w:sz="4" w:space="0"/>
              <w:right w:val="single" w:color="auto" w:sz="4" w:space="0"/>
            </w:tcBorders>
            <w:vAlign w:val="center"/>
          </w:tcPr>
          <w:p w14:paraId="5F96E28A">
            <w:pPr>
              <w:keepNext w:val="0"/>
              <w:keepLines w:val="0"/>
              <w:widowControl w:val="0"/>
              <w:suppressLineNumbers w:val="0"/>
              <w:spacing w:before="0" w:beforeAutospacing="0" w:after="120" w:afterAutospacing="0" w:line="240" w:lineRule="exact"/>
              <w:ind w:left="0" w:right="0" w:firstLine="420" w:firstLineChars="20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试  验  项  目</w:t>
            </w:r>
          </w:p>
        </w:tc>
        <w:tc>
          <w:tcPr>
            <w:tcW w:w="1339" w:type="dxa"/>
            <w:tcBorders>
              <w:top w:val="single" w:color="auto" w:sz="8" w:space="0"/>
              <w:left w:val="single" w:color="auto" w:sz="4" w:space="0"/>
              <w:bottom w:val="single" w:color="auto" w:sz="4" w:space="0"/>
              <w:right w:val="single" w:color="auto" w:sz="4" w:space="0"/>
            </w:tcBorders>
            <w:vAlign w:val="center"/>
          </w:tcPr>
          <w:p w14:paraId="0505B6A6">
            <w:pPr>
              <w:keepNext w:val="0"/>
              <w:keepLines w:val="0"/>
              <w:widowControl w:val="0"/>
              <w:suppressLineNumbers w:val="0"/>
              <w:spacing w:before="0" w:beforeAutospacing="0" w:after="120" w:afterAutospacing="0" w:line="24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出厂试验</w:t>
            </w:r>
          </w:p>
        </w:tc>
        <w:tc>
          <w:tcPr>
            <w:tcW w:w="1544" w:type="dxa"/>
            <w:tcBorders>
              <w:top w:val="single" w:color="auto" w:sz="8" w:space="0"/>
              <w:left w:val="single" w:color="auto" w:sz="4" w:space="0"/>
              <w:bottom w:val="single" w:color="auto" w:sz="4" w:space="0"/>
              <w:right w:val="single" w:color="auto" w:sz="4" w:space="0"/>
            </w:tcBorders>
            <w:vAlign w:val="center"/>
          </w:tcPr>
          <w:p w14:paraId="15AEBEDD">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交接验收试验</w:t>
            </w:r>
          </w:p>
        </w:tc>
        <w:tc>
          <w:tcPr>
            <w:tcW w:w="987" w:type="dxa"/>
            <w:tcBorders>
              <w:top w:val="single" w:color="auto" w:sz="8" w:space="0"/>
              <w:left w:val="single" w:color="auto" w:sz="4" w:space="0"/>
              <w:bottom w:val="single" w:color="auto" w:sz="4" w:space="0"/>
              <w:right w:val="single" w:color="auto" w:sz="8" w:space="0"/>
            </w:tcBorders>
            <w:vAlign w:val="center"/>
          </w:tcPr>
          <w:p w14:paraId="6F38BB8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备注</w:t>
            </w:r>
          </w:p>
        </w:tc>
      </w:tr>
      <w:tr w14:paraId="08178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34387D21">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3534" w:type="dxa"/>
            <w:tcBorders>
              <w:top w:val="single" w:color="auto" w:sz="4" w:space="0"/>
              <w:left w:val="single" w:color="auto" w:sz="4" w:space="0"/>
              <w:bottom w:val="single" w:color="auto" w:sz="4" w:space="0"/>
              <w:right w:val="single" w:color="auto" w:sz="4" w:space="0"/>
            </w:tcBorders>
            <w:vAlign w:val="center"/>
          </w:tcPr>
          <w:p w14:paraId="7CDA456A">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测频环节试验</w:t>
            </w:r>
          </w:p>
        </w:tc>
        <w:tc>
          <w:tcPr>
            <w:tcW w:w="1339" w:type="dxa"/>
            <w:tcBorders>
              <w:top w:val="single" w:color="auto" w:sz="4" w:space="0"/>
              <w:left w:val="single" w:color="auto" w:sz="4" w:space="0"/>
              <w:bottom w:val="single" w:color="auto" w:sz="4" w:space="0"/>
              <w:right w:val="single" w:color="auto" w:sz="4" w:space="0"/>
            </w:tcBorders>
            <w:vAlign w:val="center"/>
          </w:tcPr>
          <w:p w14:paraId="0B075F5A">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5EA3CD1D">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c>
          <w:tcPr>
            <w:tcW w:w="987" w:type="dxa"/>
            <w:tcBorders>
              <w:top w:val="single" w:color="auto" w:sz="4" w:space="0"/>
              <w:left w:val="single" w:color="auto" w:sz="4" w:space="0"/>
              <w:bottom w:val="single" w:color="auto" w:sz="4" w:space="0"/>
              <w:right w:val="single" w:color="auto" w:sz="8" w:space="0"/>
            </w:tcBorders>
            <w:vAlign w:val="center"/>
          </w:tcPr>
          <w:p w14:paraId="369B0A60">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1D693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270C74F7">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w:t>
            </w:r>
          </w:p>
        </w:tc>
        <w:tc>
          <w:tcPr>
            <w:tcW w:w="3534" w:type="dxa"/>
            <w:tcBorders>
              <w:top w:val="single" w:color="auto" w:sz="4" w:space="0"/>
              <w:left w:val="single" w:color="auto" w:sz="4" w:space="0"/>
              <w:bottom w:val="single" w:color="auto" w:sz="4" w:space="0"/>
              <w:right w:val="single" w:color="auto" w:sz="4" w:space="0"/>
            </w:tcBorders>
            <w:vAlign w:val="center"/>
          </w:tcPr>
          <w:p w14:paraId="13F65F86">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综合放大器试验</w:t>
            </w:r>
          </w:p>
        </w:tc>
        <w:tc>
          <w:tcPr>
            <w:tcW w:w="1339" w:type="dxa"/>
            <w:tcBorders>
              <w:top w:val="single" w:color="auto" w:sz="4" w:space="0"/>
              <w:left w:val="single" w:color="auto" w:sz="4" w:space="0"/>
              <w:bottom w:val="single" w:color="auto" w:sz="4" w:space="0"/>
              <w:right w:val="single" w:color="auto" w:sz="4" w:space="0"/>
            </w:tcBorders>
            <w:vAlign w:val="center"/>
          </w:tcPr>
          <w:p w14:paraId="5581AF8D">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720496CE">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c>
          <w:tcPr>
            <w:tcW w:w="987" w:type="dxa"/>
            <w:tcBorders>
              <w:top w:val="single" w:color="auto" w:sz="4" w:space="0"/>
              <w:left w:val="single" w:color="auto" w:sz="4" w:space="0"/>
              <w:bottom w:val="single" w:color="auto" w:sz="4" w:space="0"/>
              <w:right w:val="single" w:color="auto" w:sz="8" w:space="0"/>
            </w:tcBorders>
            <w:vAlign w:val="center"/>
          </w:tcPr>
          <w:p w14:paraId="053D0DF1">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63F78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756D1C8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w:t>
            </w:r>
          </w:p>
        </w:tc>
        <w:tc>
          <w:tcPr>
            <w:tcW w:w="3534" w:type="dxa"/>
            <w:tcBorders>
              <w:top w:val="single" w:color="auto" w:sz="4" w:space="0"/>
              <w:left w:val="single" w:color="auto" w:sz="4" w:space="0"/>
              <w:bottom w:val="single" w:color="auto" w:sz="4" w:space="0"/>
              <w:right w:val="single" w:color="auto" w:sz="4" w:space="0"/>
            </w:tcBorders>
            <w:vAlign w:val="center"/>
          </w:tcPr>
          <w:p w14:paraId="6FA9DC5A">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导叶开度变送器试验</w:t>
            </w:r>
          </w:p>
        </w:tc>
        <w:tc>
          <w:tcPr>
            <w:tcW w:w="1339" w:type="dxa"/>
            <w:tcBorders>
              <w:top w:val="single" w:color="auto" w:sz="4" w:space="0"/>
              <w:left w:val="single" w:color="auto" w:sz="4" w:space="0"/>
              <w:bottom w:val="single" w:color="auto" w:sz="4" w:space="0"/>
              <w:right w:val="single" w:color="auto" w:sz="4" w:space="0"/>
            </w:tcBorders>
            <w:vAlign w:val="center"/>
          </w:tcPr>
          <w:p w14:paraId="65517191">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5025405">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6BBF1837">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107AC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5C695205">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3534" w:type="dxa"/>
            <w:tcBorders>
              <w:top w:val="single" w:color="auto" w:sz="4" w:space="0"/>
              <w:left w:val="single" w:color="auto" w:sz="4" w:space="0"/>
              <w:bottom w:val="single" w:color="auto" w:sz="4" w:space="0"/>
              <w:right w:val="single" w:color="auto" w:sz="4" w:space="0"/>
            </w:tcBorders>
            <w:vAlign w:val="center"/>
          </w:tcPr>
          <w:p w14:paraId="57EB06F2">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电液转换装置试验</w:t>
            </w:r>
          </w:p>
        </w:tc>
        <w:tc>
          <w:tcPr>
            <w:tcW w:w="1339" w:type="dxa"/>
            <w:tcBorders>
              <w:top w:val="single" w:color="auto" w:sz="4" w:space="0"/>
              <w:left w:val="single" w:color="auto" w:sz="4" w:space="0"/>
              <w:bottom w:val="single" w:color="auto" w:sz="4" w:space="0"/>
              <w:right w:val="single" w:color="auto" w:sz="4" w:space="0"/>
            </w:tcBorders>
            <w:vAlign w:val="center"/>
          </w:tcPr>
          <w:p w14:paraId="6BEE3C93">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20FA5C1">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1A231DEA">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2D683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15C7D38F">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6</w:t>
            </w:r>
          </w:p>
        </w:tc>
        <w:tc>
          <w:tcPr>
            <w:tcW w:w="3534" w:type="dxa"/>
            <w:tcBorders>
              <w:top w:val="single" w:color="auto" w:sz="4" w:space="0"/>
              <w:left w:val="single" w:color="auto" w:sz="4" w:space="0"/>
              <w:bottom w:val="single" w:color="auto" w:sz="4" w:space="0"/>
              <w:right w:val="single" w:color="auto" w:sz="4" w:space="0"/>
            </w:tcBorders>
            <w:vAlign w:val="center"/>
          </w:tcPr>
          <w:p w14:paraId="4918D67E">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电气装备动态特性试验</w:t>
            </w:r>
          </w:p>
        </w:tc>
        <w:tc>
          <w:tcPr>
            <w:tcW w:w="1339" w:type="dxa"/>
            <w:tcBorders>
              <w:top w:val="single" w:color="auto" w:sz="4" w:space="0"/>
              <w:left w:val="single" w:color="auto" w:sz="4" w:space="0"/>
              <w:bottom w:val="single" w:color="auto" w:sz="4" w:space="0"/>
              <w:right w:val="single" w:color="auto" w:sz="4" w:space="0"/>
            </w:tcBorders>
            <w:vAlign w:val="center"/>
          </w:tcPr>
          <w:p w14:paraId="6E7E51CF">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382CFDDC">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C357E66">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1676A3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7AD2B02F">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7</w:t>
            </w:r>
          </w:p>
        </w:tc>
        <w:tc>
          <w:tcPr>
            <w:tcW w:w="3534" w:type="dxa"/>
            <w:tcBorders>
              <w:top w:val="single" w:color="auto" w:sz="4" w:space="0"/>
              <w:left w:val="single" w:color="auto" w:sz="4" w:space="0"/>
              <w:bottom w:val="single" w:color="auto" w:sz="4" w:space="0"/>
              <w:right w:val="single" w:color="auto" w:sz="4" w:space="0"/>
            </w:tcBorders>
            <w:vAlign w:val="center"/>
          </w:tcPr>
          <w:p w14:paraId="71D30016">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调速器极限增益测定</w:t>
            </w:r>
          </w:p>
        </w:tc>
        <w:tc>
          <w:tcPr>
            <w:tcW w:w="1339" w:type="dxa"/>
            <w:tcBorders>
              <w:top w:val="single" w:color="auto" w:sz="4" w:space="0"/>
              <w:left w:val="single" w:color="auto" w:sz="4" w:space="0"/>
              <w:bottom w:val="single" w:color="auto" w:sz="4" w:space="0"/>
              <w:right w:val="single" w:color="auto" w:sz="4" w:space="0"/>
            </w:tcBorders>
            <w:vAlign w:val="center"/>
          </w:tcPr>
          <w:p w14:paraId="69BAB23F">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19BCC62E">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7273A10E">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28F20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783EEDF1">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8</w:t>
            </w:r>
          </w:p>
        </w:tc>
        <w:tc>
          <w:tcPr>
            <w:tcW w:w="3534" w:type="dxa"/>
            <w:tcBorders>
              <w:top w:val="single" w:color="auto" w:sz="4" w:space="0"/>
              <w:left w:val="single" w:color="auto" w:sz="4" w:space="0"/>
              <w:bottom w:val="single" w:color="auto" w:sz="4" w:space="0"/>
              <w:right w:val="single" w:color="auto" w:sz="4" w:space="0"/>
            </w:tcBorders>
            <w:vAlign w:val="center"/>
          </w:tcPr>
          <w:p w14:paraId="6249AF22">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静态特性及转速死区测定试验</w:t>
            </w:r>
          </w:p>
        </w:tc>
        <w:tc>
          <w:tcPr>
            <w:tcW w:w="1339" w:type="dxa"/>
            <w:tcBorders>
              <w:top w:val="single" w:color="auto" w:sz="4" w:space="0"/>
              <w:left w:val="single" w:color="auto" w:sz="4" w:space="0"/>
              <w:bottom w:val="single" w:color="auto" w:sz="4" w:space="0"/>
              <w:right w:val="single" w:color="auto" w:sz="4" w:space="0"/>
            </w:tcBorders>
            <w:vAlign w:val="center"/>
          </w:tcPr>
          <w:p w14:paraId="50755A59">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2F6AE09">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05B76B0A">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0B5177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1E12E548">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9</w:t>
            </w:r>
          </w:p>
        </w:tc>
        <w:tc>
          <w:tcPr>
            <w:tcW w:w="3534" w:type="dxa"/>
            <w:tcBorders>
              <w:top w:val="single" w:color="auto" w:sz="4" w:space="0"/>
              <w:left w:val="single" w:color="auto" w:sz="4" w:space="0"/>
              <w:bottom w:val="single" w:color="auto" w:sz="4" w:space="0"/>
              <w:right w:val="single" w:color="auto" w:sz="4" w:space="0"/>
            </w:tcBorders>
            <w:vAlign w:val="center"/>
          </w:tcPr>
          <w:p w14:paraId="0B75D6BE">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动态特性试验及调节参数校验</w:t>
            </w:r>
          </w:p>
        </w:tc>
        <w:tc>
          <w:tcPr>
            <w:tcW w:w="1339" w:type="dxa"/>
            <w:tcBorders>
              <w:top w:val="single" w:color="auto" w:sz="4" w:space="0"/>
              <w:left w:val="single" w:color="auto" w:sz="4" w:space="0"/>
              <w:bottom w:val="single" w:color="auto" w:sz="4" w:space="0"/>
              <w:right w:val="single" w:color="auto" w:sz="4" w:space="0"/>
            </w:tcBorders>
            <w:vAlign w:val="center"/>
          </w:tcPr>
          <w:p w14:paraId="4BC588FB">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3D89E2F1">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5F2610D0">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10F7F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54A68EC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10</w:t>
            </w:r>
          </w:p>
        </w:tc>
        <w:tc>
          <w:tcPr>
            <w:tcW w:w="3534" w:type="dxa"/>
            <w:tcBorders>
              <w:top w:val="single" w:color="auto" w:sz="4" w:space="0"/>
              <w:left w:val="single" w:color="auto" w:sz="4" w:space="0"/>
              <w:bottom w:val="single" w:color="auto" w:sz="4" w:space="0"/>
              <w:right w:val="single" w:color="auto" w:sz="4" w:space="0"/>
            </w:tcBorders>
            <w:vAlign w:val="center"/>
          </w:tcPr>
          <w:p w14:paraId="2B7893ED">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频率给定、功率给定整定范围及永态转差系数的校验</w:t>
            </w:r>
          </w:p>
        </w:tc>
        <w:tc>
          <w:tcPr>
            <w:tcW w:w="1339" w:type="dxa"/>
            <w:tcBorders>
              <w:top w:val="single" w:color="auto" w:sz="4" w:space="0"/>
              <w:left w:val="single" w:color="auto" w:sz="4" w:space="0"/>
              <w:bottom w:val="single" w:color="auto" w:sz="4" w:space="0"/>
              <w:right w:val="single" w:color="auto" w:sz="4" w:space="0"/>
            </w:tcBorders>
            <w:vAlign w:val="center"/>
          </w:tcPr>
          <w:p w14:paraId="1FFBE09E">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65B1A81">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6F5B302F">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6D8A26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642D2A52">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11</w:t>
            </w:r>
          </w:p>
        </w:tc>
        <w:tc>
          <w:tcPr>
            <w:tcW w:w="3534" w:type="dxa"/>
            <w:tcBorders>
              <w:top w:val="single" w:color="auto" w:sz="4" w:space="0"/>
              <w:left w:val="single" w:color="auto" w:sz="4" w:space="0"/>
              <w:bottom w:val="single" w:color="auto" w:sz="4" w:space="0"/>
              <w:right w:val="single" w:color="auto" w:sz="4" w:space="0"/>
            </w:tcBorders>
            <w:vAlign w:val="center"/>
          </w:tcPr>
          <w:p w14:paraId="6206ABA9">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容错功能试验</w:t>
            </w:r>
          </w:p>
        </w:tc>
        <w:tc>
          <w:tcPr>
            <w:tcW w:w="1339" w:type="dxa"/>
            <w:tcBorders>
              <w:top w:val="single" w:color="auto" w:sz="4" w:space="0"/>
              <w:left w:val="single" w:color="auto" w:sz="4" w:space="0"/>
              <w:bottom w:val="single" w:color="auto" w:sz="4" w:space="0"/>
              <w:right w:val="single" w:color="auto" w:sz="4" w:space="0"/>
            </w:tcBorders>
            <w:vAlign w:val="center"/>
          </w:tcPr>
          <w:p w14:paraId="7DEA290C">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1D40458">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11902E3">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66DE88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580FC6A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12</w:t>
            </w:r>
          </w:p>
        </w:tc>
        <w:tc>
          <w:tcPr>
            <w:tcW w:w="3534" w:type="dxa"/>
            <w:tcBorders>
              <w:top w:val="single" w:color="auto" w:sz="4" w:space="0"/>
              <w:left w:val="single" w:color="auto" w:sz="4" w:space="0"/>
              <w:bottom w:val="single" w:color="auto" w:sz="4" w:space="0"/>
              <w:right w:val="single" w:color="auto" w:sz="4" w:space="0"/>
            </w:tcBorders>
            <w:vAlign w:val="center"/>
          </w:tcPr>
          <w:p w14:paraId="457C08F6">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通道切换试验</w:t>
            </w:r>
          </w:p>
        </w:tc>
        <w:tc>
          <w:tcPr>
            <w:tcW w:w="1339" w:type="dxa"/>
            <w:tcBorders>
              <w:top w:val="single" w:color="auto" w:sz="4" w:space="0"/>
              <w:left w:val="single" w:color="auto" w:sz="4" w:space="0"/>
              <w:bottom w:val="single" w:color="auto" w:sz="4" w:space="0"/>
              <w:right w:val="single" w:color="auto" w:sz="4" w:space="0"/>
            </w:tcBorders>
            <w:vAlign w:val="center"/>
          </w:tcPr>
          <w:p w14:paraId="0DCFCAC5">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7C412346">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7C57963C">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5C806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58896E76">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13</w:t>
            </w:r>
          </w:p>
        </w:tc>
        <w:tc>
          <w:tcPr>
            <w:tcW w:w="3534" w:type="dxa"/>
            <w:tcBorders>
              <w:top w:val="single" w:color="auto" w:sz="4" w:space="0"/>
              <w:left w:val="single" w:color="auto" w:sz="4" w:space="0"/>
              <w:bottom w:val="single" w:color="auto" w:sz="4" w:space="0"/>
              <w:right w:val="single" w:color="auto" w:sz="4" w:space="0"/>
            </w:tcBorders>
            <w:vAlign w:val="center"/>
          </w:tcPr>
          <w:p w14:paraId="183C7863">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电源切换试验</w:t>
            </w:r>
          </w:p>
        </w:tc>
        <w:tc>
          <w:tcPr>
            <w:tcW w:w="1339" w:type="dxa"/>
            <w:tcBorders>
              <w:top w:val="single" w:color="auto" w:sz="4" w:space="0"/>
              <w:left w:val="single" w:color="auto" w:sz="4" w:space="0"/>
              <w:bottom w:val="single" w:color="auto" w:sz="4" w:space="0"/>
              <w:right w:val="single" w:color="auto" w:sz="4" w:space="0"/>
            </w:tcBorders>
            <w:vAlign w:val="center"/>
          </w:tcPr>
          <w:p w14:paraId="57150539">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1C845766">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6825578">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0773C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5A1E8BD3">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14</w:t>
            </w:r>
          </w:p>
        </w:tc>
        <w:tc>
          <w:tcPr>
            <w:tcW w:w="3534" w:type="dxa"/>
            <w:tcBorders>
              <w:top w:val="single" w:color="auto" w:sz="4" w:space="0"/>
              <w:left w:val="single" w:color="auto" w:sz="4" w:space="0"/>
              <w:bottom w:val="single" w:color="auto" w:sz="4" w:space="0"/>
              <w:right w:val="single" w:color="auto" w:sz="4" w:space="0"/>
            </w:tcBorders>
            <w:vAlign w:val="center"/>
          </w:tcPr>
          <w:p w14:paraId="40B18455">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电气装置的温度漂移、综合漂移试验</w:t>
            </w:r>
          </w:p>
        </w:tc>
        <w:tc>
          <w:tcPr>
            <w:tcW w:w="1339" w:type="dxa"/>
            <w:tcBorders>
              <w:top w:val="single" w:color="auto" w:sz="4" w:space="0"/>
              <w:left w:val="single" w:color="auto" w:sz="4" w:space="0"/>
              <w:bottom w:val="single" w:color="auto" w:sz="4" w:space="0"/>
              <w:right w:val="single" w:color="auto" w:sz="4" w:space="0"/>
            </w:tcBorders>
            <w:vAlign w:val="center"/>
          </w:tcPr>
          <w:p w14:paraId="7D5E0BA0">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0FA33FD2">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c>
          <w:tcPr>
            <w:tcW w:w="987" w:type="dxa"/>
            <w:tcBorders>
              <w:top w:val="single" w:color="auto" w:sz="4" w:space="0"/>
              <w:left w:val="single" w:color="auto" w:sz="4" w:space="0"/>
              <w:bottom w:val="single" w:color="auto" w:sz="4" w:space="0"/>
              <w:right w:val="single" w:color="auto" w:sz="8" w:space="0"/>
            </w:tcBorders>
            <w:vAlign w:val="center"/>
          </w:tcPr>
          <w:p w14:paraId="71D17ECE">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229F9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011D1E9F">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15</w:t>
            </w:r>
          </w:p>
        </w:tc>
        <w:tc>
          <w:tcPr>
            <w:tcW w:w="3534" w:type="dxa"/>
            <w:tcBorders>
              <w:top w:val="single" w:color="auto" w:sz="4" w:space="0"/>
              <w:left w:val="single" w:color="auto" w:sz="4" w:space="0"/>
              <w:bottom w:val="single" w:color="auto" w:sz="4" w:space="0"/>
              <w:right w:val="single" w:color="auto" w:sz="4" w:space="0"/>
            </w:tcBorders>
            <w:vAlign w:val="center"/>
          </w:tcPr>
          <w:p w14:paraId="107CDE6D">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操作回路检查及模拟动作试验</w:t>
            </w:r>
          </w:p>
        </w:tc>
        <w:tc>
          <w:tcPr>
            <w:tcW w:w="1339" w:type="dxa"/>
            <w:tcBorders>
              <w:top w:val="single" w:color="auto" w:sz="4" w:space="0"/>
              <w:left w:val="single" w:color="auto" w:sz="4" w:space="0"/>
              <w:bottom w:val="single" w:color="auto" w:sz="4" w:space="0"/>
              <w:right w:val="single" w:color="auto" w:sz="4" w:space="0"/>
            </w:tcBorders>
            <w:vAlign w:val="center"/>
          </w:tcPr>
          <w:p w14:paraId="3D9CBED3">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5E9AE65D">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363C83D1">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4D77D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6BB02CD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16</w:t>
            </w:r>
          </w:p>
        </w:tc>
        <w:tc>
          <w:tcPr>
            <w:tcW w:w="3534" w:type="dxa"/>
            <w:tcBorders>
              <w:top w:val="single" w:color="auto" w:sz="4" w:space="0"/>
              <w:left w:val="single" w:color="auto" w:sz="4" w:space="0"/>
              <w:bottom w:val="single" w:color="auto" w:sz="4" w:space="0"/>
              <w:right w:val="single" w:color="auto" w:sz="4" w:space="0"/>
            </w:tcBorders>
            <w:vAlign w:val="center"/>
          </w:tcPr>
          <w:p w14:paraId="5A4EEBCB">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手动、自动切换试验及纯手动试验</w:t>
            </w:r>
          </w:p>
        </w:tc>
        <w:tc>
          <w:tcPr>
            <w:tcW w:w="1339" w:type="dxa"/>
            <w:tcBorders>
              <w:top w:val="single" w:color="auto" w:sz="4" w:space="0"/>
              <w:left w:val="single" w:color="auto" w:sz="4" w:space="0"/>
              <w:bottom w:val="single" w:color="auto" w:sz="4" w:space="0"/>
              <w:right w:val="single" w:color="auto" w:sz="4" w:space="0"/>
            </w:tcBorders>
            <w:vAlign w:val="center"/>
          </w:tcPr>
          <w:p w14:paraId="4879B13A">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14BBD3D6">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49A0E9D6">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139F8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72D61080">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17</w:t>
            </w:r>
          </w:p>
        </w:tc>
        <w:tc>
          <w:tcPr>
            <w:tcW w:w="3534" w:type="dxa"/>
            <w:tcBorders>
              <w:top w:val="single" w:color="auto" w:sz="4" w:space="0"/>
              <w:left w:val="single" w:color="auto" w:sz="4" w:space="0"/>
              <w:bottom w:val="single" w:color="auto" w:sz="4" w:space="0"/>
              <w:right w:val="single" w:color="auto" w:sz="4" w:space="0"/>
            </w:tcBorders>
            <w:vAlign w:val="center"/>
          </w:tcPr>
          <w:p w14:paraId="33509941">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电气开度限制试验</w:t>
            </w:r>
          </w:p>
        </w:tc>
        <w:tc>
          <w:tcPr>
            <w:tcW w:w="1339" w:type="dxa"/>
            <w:tcBorders>
              <w:top w:val="single" w:color="auto" w:sz="4" w:space="0"/>
              <w:left w:val="single" w:color="auto" w:sz="4" w:space="0"/>
              <w:bottom w:val="single" w:color="auto" w:sz="4" w:space="0"/>
              <w:right w:val="single" w:color="auto" w:sz="4" w:space="0"/>
            </w:tcBorders>
            <w:vAlign w:val="center"/>
          </w:tcPr>
          <w:p w14:paraId="735D62FB">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76D92DB">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31A2139D">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0ACE9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0FA172B0">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18</w:t>
            </w:r>
          </w:p>
        </w:tc>
        <w:tc>
          <w:tcPr>
            <w:tcW w:w="3534" w:type="dxa"/>
            <w:tcBorders>
              <w:top w:val="single" w:color="auto" w:sz="4" w:space="0"/>
              <w:left w:val="single" w:color="auto" w:sz="4" w:space="0"/>
              <w:bottom w:val="single" w:color="auto" w:sz="4" w:space="0"/>
              <w:right w:val="single" w:color="auto" w:sz="4" w:space="0"/>
            </w:tcBorders>
            <w:vAlign w:val="center"/>
          </w:tcPr>
          <w:p w14:paraId="79C3E5AD">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空载电子开度限制I II试验</w:t>
            </w:r>
          </w:p>
        </w:tc>
        <w:tc>
          <w:tcPr>
            <w:tcW w:w="1339" w:type="dxa"/>
            <w:tcBorders>
              <w:top w:val="single" w:color="auto" w:sz="4" w:space="0"/>
              <w:left w:val="single" w:color="auto" w:sz="4" w:space="0"/>
              <w:bottom w:val="single" w:color="auto" w:sz="4" w:space="0"/>
              <w:right w:val="single" w:color="auto" w:sz="4" w:space="0"/>
            </w:tcBorders>
            <w:vAlign w:val="center"/>
          </w:tcPr>
          <w:p w14:paraId="71539F4A">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5A5A5DD2">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0444CFD4">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6B5F8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617A05B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19</w:t>
            </w:r>
          </w:p>
        </w:tc>
        <w:tc>
          <w:tcPr>
            <w:tcW w:w="3534" w:type="dxa"/>
            <w:tcBorders>
              <w:top w:val="single" w:color="auto" w:sz="4" w:space="0"/>
              <w:left w:val="single" w:color="auto" w:sz="4" w:space="0"/>
              <w:bottom w:val="single" w:color="auto" w:sz="4" w:space="0"/>
              <w:right w:val="single" w:color="auto" w:sz="4" w:space="0"/>
            </w:tcBorders>
            <w:vAlign w:val="center"/>
          </w:tcPr>
          <w:p w14:paraId="0E860EFF">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自动装置快关导叶试验</w:t>
            </w:r>
          </w:p>
        </w:tc>
        <w:tc>
          <w:tcPr>
            <w:tcW w:w="1339" w:type="dxa"/>
            <w:tcBorders>
              <w:top w:val="single" w:color="auto" w:sz="4" w:space="0"/>
              <w:left w:val="single" w:color="auto" w:sz="4" w:space="0"/>
              <w:bottom w:val="single" w:color="auto" w:sz="4" w:space="0"/>
              <w:right w:val="single" w:color="auto" w:sz="4" w:space="0"/>
            </w:tcBorders>
            <w:vAlign w:val="center"/>
          </w:tcPr>
          <w:p w14:paraId="07E5108F">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EADB17E">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0935C82A">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39CD99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712F862A">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20</w:t>
            </w:r>
          </w:p>
        </w:tc>
        <w:tc>
          <w:tcPr>
            <w:tcW w:w="3534" w:type="dxa"/>
            <w:tcBorders>
              <w:top w:val="single" w:color="auto" w:sz="4" w:space="0"/>
              <w:left w:val="single" w:color="auto" w:sz="4" w:space="0"/>
              <w:bottom w:val="single" w:color="auto" w:sz="4" w:space="0"/>
              <w:right w:val="single" w:color="auto" w:sz="4" w:space="0"/>
            </w:tcBorders>
            <w:vAlign w:val="center"/>
          </w:tcPr>
          <w:p w14:paraId="3C9F7D79">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全停电机械转速保护全关导叶试验</w:t>
            </w:r>
          </w:p>
        </w:tc>
        <w:tc>
          <w:tcPr>
            <w:tcW w:w="1339" w:type="dxa"/>
            <w:tcBorders>
              <w:top w:val="single" w:color="auto" w:sz="4" w:space="0"/>
              <w:left w:val="single" w:color="auto" w:sz="4" w:space="0"/>
              <w:bottom w:val="single" w:color="auto" w:sz="4" w:space="0"/>
              <w:right w:val="single" w:color="auto" w:sz="4" w:space="0"/>
            </w:tcBorders>
            <w:vAlign w:val="center"/>
          </w:tcPr>
          <w:p w14:paraId="5872C6D0">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377B262F">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79094761">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5A76FB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774BCA7F">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21</w:t>
            </w:r>
          </w:p>
        </w:tc>
        <w:tc>
          <w:tcPr>
            <w:tcW w:w="3534" w:type="dxa"/>
            <w:tcBorders>
              <w:top w:val="single" w:color="auto" w:sz="4" w:space="0"/>
              <w:left w:val="single" w:color="auto" w:sz="4" w:space="0"/>
              <w:bottom w:val="single" w:color="auto" w:sz="4" w:space="0"/>
              <w:right w:val="single" w:color="auto" w:sz="4" w:space="0"/>
            </w:tcBorders>
            <w:vAlign w:val="center"/>
          </w:tcPr>
          <w:p w14:paraId="03AB3C10">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紧急停机试验</w:t>
            </w:r>
          </w:p>
        </w:tc>
        <w:tc>
          <w:tcPr>
            <w:tcW w:w="1339" w:type="dxa"/>
            <w:tcBorders>
              <w:top w:val="single" w:color="auto" w:sz="4" w:space="0"/>
              <w:left w:val="single" w:color="auto" w:sz="4" w:space="0"/>
              <w:bottom w:val="single" w:color="auto" w:sz="4" w:space="0"/>
              <w:right w:val="single" w:color="auto" w:sz="4" w:space="0"/>
            </w:tcBorders>
            <w:vAlign w:val="center"/>
          </w:tcPr>
          <w:p w14:paraId="298BAED4">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085B3E68">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59F6F00">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65B12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29A74DC8">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22</w:t>
            </w:r>
          </w:p>
        </w:tc>
        <w:tc>
          <w:tcPr>
            <w:tcW w:w="3534" w:type="dxa"/>
            <w:tcBorders>
              <w:top w:val="single" w:color="auto" w:sz="4" w:space="0"/>
              <w:left w:val="single" w:color="auto" w:sz="4" w:space="0"/>
              <w:bottom w:val="single" w:color="auto" w:sz="4" w:space="0"/>
              <w:right w:val="single" w:color="auto" w:sz="4" w:space="0"/>
            </w:tcBorders>
            <w:vAlign w:val="center"/>
          </w:tcPr>
          <w:p w14:paraId="559A6172">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调速器漏油和耗油量测定</w:t>
            </w:r>
          </w:p>
        </w:tc>
        <w:tc>
          <w:tcPr>
            <w:tcW w:w="1339" w:type="dxa"/>
            <w:tcBorders>
              <w:top w:val="single" w:color="auto" w:sz="4" w:space="0"/>
              <w:left w:val="single" w:color="auto" w:sz="4" w:space="0"/>
              <w:bottom w:val="single" w:color="auto" w:sz="4" w:space="0"/>
              <w:right w:val="single" w:color="auto" w:sz="4" w:space="0"/>
            </w:tcBorders>
            <w:vAlign w:val="center"/>
          </w:tcPr>
          <w:p w14:paraId="2A6F8B2A">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177170F8">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033759C">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7EC1D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603DB442">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23</w:t>
            </w:r>
          </w:p>
        </w:tc>
        <w:tc>
          <w:tcPr>
            <w:tcW w:w="3534" w:type="dxa"/>
            <w:tcBorders>
              <w:top w:val="single" w:color="auto" w:sz="4" w:space="0"/>
              <w:left w:val="single" w:color="auto" w:sz="4" w:space="0"/>
              <w:bottom w:val="single" w:color="auto" w:sz="4" w:space="0"/>
              <w:right w:val="single" w:color="auto" w:sz="4" w:space="0"/>
            </w:tcBorders>
            <w:vAlign w:val="center"/>
          </w:tcPr>
          <w:p w14:paraId="5F6C7227">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辅助功能检查试验</w:t>
            </w:r>
          </w:p>
        </w:tc>
        <w:tc>
          <w:tcPr>
            <w:tcW w:w="1339" w:type="dxa"/>
            <w:tcBorders>
              <w:top w:val="single" w:color="auto" w:sz="4" w:space="0"/>
              <w:left w:val="single" w:color="auto" w:sz="4" w:space="0"/>
              <w:bottom w:val="single" w:color="auto" w:sz="4" w:space="0"/>
              <w:right w:val="single" w:color="auto" w:sz="4" w:space="0"/>
            </w:tcBorders>
            <w:vAlign w:val="center"/>
          </w:tcPr>
          <w:p w14:paraId="38F10156">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1B17635E">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620A4533">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7C194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6C7BDB2C">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24</w:t>
            </w:r>
          </w:p>
        </w:tc>
        <w:tc>
          <w:tcPr>
            <w:tcW w:w="3534" w:type="dxa"/>
            <w:tcBorders>
              <w:top w:val="single" w:color="auto" w:sz="4" w:space="0"/>
              <w:left w:val="single" w:color="auto" w:sz="4" w:space="0"/>
              <w:bottom w:val="single" w:color="auto" w:sz="4" w:space="0"/>
              <w:right w:val="single" w:color="auto" w:sz="4" w:space="0"/>
            </w:tcBorders>
            <w:vAlign w:val="center"/>
          </w:tcPr>
          <w:p w14:paraId="7E70EC30">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自动开停机试验</w:t>
            </w:r>
          </w:p>
        </w:tc>
        <w:tc>
          <w:tcPr>
            <w:tcW w:w="1339" w:type="dxa"/>
            <w:tcBorders>
              <w:top w:val="single" w:color="auto" w:sz="4" w:space="0"/>
              <w:left w:val="single" w:color="auto" w:sz="4" w:space="0"/>
              <w:bottom w:val="single" w:color="auto" w:sz="4" w:space="0"/>
              <w:right w:val="single" w:color="auto" w:sz="4" w:space="0"/>
            </w:tcBorders>
            <w:vAlign w:val="center"/>
          </w:tcPr>
          <w:p w14:paraId="3BEA16AC">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37239F66">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3793077F">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1A7DA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62A3A4BE">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25</w:t>
            </w:r>
          </w:p>
        </w:tc>
        <w:tc>
          <w:tcPr>
            <w:tcW w:w="3534" w:type="dxa"/>
            <w:tcBorders>
              <w:top w:val="single" w:color="auto" w:sz="4" w:space="0"/>
              <w:left w:val="single" w:color="auto" w:sz="4" w:space="0"/>
              <w:bottom w:val="single" w:color="auto" w:sz="4" w:space="0"/>
              <w:right w:val="single" w:color="auto" w:sz="4" w:space="0"/>
            </w:tcBorders>
            <w:vAlign w:val="center"/>
          </w:tcPr>
          <w:p w14:paraId="1189BAF9">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空载试验</w:t>
            </w:r>
          </w:p>
        </w:tc>
        <w:tc>
          <w:tcPr>
            <w:tcW w:w="1339" w:type="dxa"/>
            <w:tcBorders>
              <w:top w:val="single" w:color="auto" w:sz="4" w:space="0"/>
              <w:left w:val="single" w:color="auto" w:sz="4" w:space="0"/>
              <w:bottom w:val="single" w:color="auto" w:sz="4" w:space="0"/>
              <w:right w:val="single" w:color="auto" w:sz="4" w:space="0"/>
            </w:tcBorders>
            <w:vAlign w:val="center"/>
          </w:tcPr>
          <w:p w14:paraId="329D7382">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6C81F190">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06C40069">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6D427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3B04A8F3">
            <w:pPr>
              <w:keepNext w:val="0"/>
              <w:keepLines w:val="0"/>
              <w:widowControl w:val="0"/>
              <w:suppressLineNumbers w:val="0"/>
              <w:spacing w:before="0" w:beforeAutospacing="0" w:after="120" w:afterAutospacing="0" w:line="400" w:lineRule="exact"/>
              <w:ind w:right="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26</w:t>
            </w:r>
          </w:p>
        </w:tc>
        <w:tc>
          <w:tcPr>
            <w:tcW w:w="3534" w:type="dxa"/>
            <w:tcBorders>
              <w:top w:val="single" w:color="auto" w:sz="4" w:space="0"/>
              <w:left w:val="single" w:color="auto" w:sz="4" w:space="0"/>
              <w:bottom w:val="single" w:color="auto" w:sz="4" w:space="0"/>
              <w:right w:val="single" w:color="auto" w:sz="4" w:space="0"/>
            </w:tcBorders>
            <w:vAlign w:val="center"/>
          </w:tcPr>
          <w:p w14:paraId="7C98DBB6">
            <w:pPr>
              <w:keepNext w:val="0"/>
              <w:keepLines w:val="0"/>
              <w:widowControl w:val="0"/>
              <w:suppressLineNumbers w:val="0"/>
              <w:spacing w:before="0" w:beforeAutospacing="0" w:after="120" w:afterAutospacing="0" w:line="400" w:lineRule="exact"/>
              <w:ind w:right="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接力器不动时间Tq的测定</w:t>
            </w:r>
          </w:p>
        </w:tc>
        <w:tc>
          <w:tcPr>
            <w:tcW w:w="1339" w:type="dxa"/>
            <w:tcBorders>
              <w:top w:val="single" w:color="auto" w:sz="4" w:space="0"/>
              <w:left w:val="single" w:color="auto" w:sz="4" w:space="0"/>
              <w:bottom w:val="single" w:color="auto" w:sz="4" w:space="0"/>
              <w:right w:val="single" w:color="auto" w:sz="4" w:space="0"/>
            </w:tcBorders>
            <w:vAlign w:val="center"/>
          </w:tcPr>
          <w:p w14:paraId="1182E14E">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61F5A213">
            <w:pPr>
              <w:keepNext w:val="0"/>
              <w:keepLines w:val="0"/>
              <w:widowControl w:val="0"/>
              <w:suppressLineNumbers w:val="0"/>
              <w:spacing w:before="0" w:beforeAutospacing="0" w:after="120" w:afterAutospacing="0" w:line="40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E38102F">
            <w:pPr>
              <w:keepNext w:val="0"/>
              <w:keepLines w:val="0"/>
              <w:widowControl w:val="0"/>
              <w:suppressLineNumbers w:val="0"/>
              <w:spacing w:before="0" w:beforeAutospacing="0" w:after="120" w:afterAutospacing="0" w:line="400" w:lineRule="exact"/>
              <w:ind w:left="420" w:leftChars="200" w:right="0" w:firstLine="420" w:firstLineChars="200"/>
              <w:jc w:val="center"/>
              <w:rPr>
                <w:rFonts w:hint="eastAsia" w:ascii="宋体" w:hAnsi="宋体" w:eastAsia="宋体" w:cs="宋体"/>
                <w:color w:val="auto"/>
                <w:kern w:val="0"/>
                <w:sz w:val="21"/>
                <w:szCs w:val="21"/>
                <w:lang w:val="en-US" w:eastAsia="zh-CN" w:bidi="ar-SA"/>
              </w:rPr>
            </w:pPr>
          </w:p>
        </w:tc>
      </w:tr>
      <w:tr w14:paraId="3BF6A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510D49E7">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27</w:t>
            </w:r>
          </w:p>
        </w:tc>
        <w:tc>
          <w:tcPr>
            <w:tcW w:w="3534" w:type="dxa"/>
            <w:tcBorders>
              <w:top w:val="single" w:color="auto" w:sz="4" w:space="0"/>
              <w:left w:val="single" w:color="auto" w:sz="4" w:space="0"/>
              <w:bottom w:val="single" w:color="auto" w:sz="4" w:space="0"/>
              <w:right w:val="single" w:color="auto" w:sz="4" w:space="0"/>
            </w:tcBorders>
            <w:vAlign w:val="center"/>
          </w:tcPr>
          <w:p w14:paraId="5A27AD37">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甩负荷试验</w:t>
            </w:r>
          </w:p>
        </w:tc>
        <w:tc>
          <w:tcPr>
            <w:tcW w:w="1339" w:type="dxa"/>
            <w:tcBorders>
              <w:top w:val="single" w:color="auto" w:sz="4" w:space="0"/>
              <w:left w:val="single" w:color="auto" w:sz="4" w:space="0"/>
              <w:bottom w:val="single" w:color="auto" w:sz="4" w:space="0"/>
              <w:right w:val="single" w:color="auto" w:sz="4" w:space="0"/>
            </w:tcBorders>
            <w:vAlign w:val="center"/>
          </w:tcPr>
          <w:p w14:paraId="47AB7714">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48820940">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568417A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208C43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4A438242">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28</w:t>
            </w:r>
          </w:p>
        </w:tc>
        <w:tc>
          <w:tcPr>
            <w:tcW w:w="3534" w:type="dxa"/>
            <w:tcBorders>
              <w:top w:val="single" w:color="auto" w:sz="4" w:space="0"/>
              <w:left w:val="single" w:color="auto" w:sz="4" w:space="0"/>
              <w:bottom w:val="single" w:color="auto" w:sz="4" w:space="0"/>
              <w:right w:val="single" w:color="auto" w:sz="4" w:space="0"/>
            </w:tcBorders>
            <w:vAlign w:val="center"/>
          </w:tcPr>
          <w:p w14:paraId="239D4562">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突变负荷试验</w:t>
            </w:r>
          </w:p>
        </w:tc>
        <w:tc>
          <w:tcPr>
            <w:tcW w:w="1339" w:type="dxa"/>
            <w:tcBorders>
              <w:top w:val="single" w:color="auto" w:sz="4" w:space="0"/>
              <w:left w:val="single" w:color="auto" w:sz="4" w:space="0"/>
              <w:bottom w:val="single" w:color="auto" w:sz="4" w:space="0"/>
              <w:right w:val="single" w:color="auto" w:sz="4" w:space="0"/>
            </w:tcBorders>
            <w:vAlign w:val="center"/>
          </w:tcPr>
          <w:p w14:paraId="26C6B104">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58153576">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5E5DAFF">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6A4F1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29771437">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29</w:t>
            </w:r>
          </w:p>
        </w:tc>
        <w:tc>
          <w:tcPr>
            <w:tcW w:w="3534" w:type="dxa"/>
            <w:tcBorders>
              <w:top w:val="single" w:color="auto" w:sz="4" w:space="0"/>
              <w:left w:val="single" w:color="auto" w:sz="4" w:space="0"/>
              <w:bottom w:val="single" w:color="auto" w:sz="4" w:space="0"/>
              <w:right w:val="single" w:color="auto" w:sz="4" w:space="0"/>
            </w:tcBorders>
            <w:vAlign w:val="center"/>
          </w:tcPr>
          <w:p w14:paraId="0F053CE4">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带负荷72h连续试运行试验</w:t>
            </w:r>
          </w:p>
        </w:tc>
        <w:tc>
          <w:tcPr>
            <w:tcW w:w="1339" w:type="dxa"/>
            <w:tcBorders>
              <w:top w:val="single" w:color="auto" w:sz="4" w:space="0"/>
              <w:left w:val="single" w:color="auto" w:sz="4" w:space="0"/>
              <w:bottom w:val="single" w:color="auto" w:sz="4" w:space="0"/>
              <w:right w:val="single" w:color="auto" w:sz="4" w:space="0"/>
            </w:tcBorders>
            <w:vAlign w:val="center"/>
          </w:tcPr>
          <w:p w14:paraId="6E6CDD06">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07AB7D65">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53B0764E">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4FE6C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5BCA3A5B">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30</w:t>
            </w:r>
          </w:p>
        </w:tc>
        <w:tc>
          <w:tcPr>
            <w:tcW w:w="3534" w:type="dxa"/>
            <w:tcBorders>
              <w:top w:val="single" w:color="auto" w:sz="4" w:space="0"/>
              <w:left w:val="single" w:color="auto" w:sz="4" w:space="0"/>
              <w:bottom w:val="single" w:color="auto" w:sz="4" w:space="0"/>
              <w:right w:val="single" w:color="auto" w:sz="4" w:space="0"/>
            </w:tcBorders>
            <w:vAlign w:val="center"/>
          </w:tcPr>
          <w:p w14:paraId="5D5060A5">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速动时间测定</w:t>
            </w:r>
          </w:p>
        </w:tc>
        <w:tc>
          <w:tcPr>
            <w:tcW w:w="1339" w:type="dxa"/>
            <w:tcBorders>
              <w:top w:val="single" w:color="auto" w:sz="4" w:space="0"/>
              <w:left w:val="single" w:color="auto" w:sz="4" w:space="0"/>
              <w:bottom w:val="single" w:color="auto" w:sz="4" w:space="0"/>
              <w:right w:val="single" w:color="auto" w:sz="4" w:space="0"/>
            </w:tcBorders>
            <w:vAlign w:val="center"/>
          </w:tcPr>
          <w:p w14:paraId="1FFC7E54">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0413D1AA">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6C101480">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634B18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2E8B3E7F">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31</w:t>
            </w:r>
          </w:p>
        </w:tc>
        <w:tc>
          <w:tcPr>
            <w:tcW w:w="3534" w:type="dxa"/>
            <w:tcBorders>
              <w:top w:val="single" w:color="auto" w:sz="4" w:space="0"/>
              <w:left w:val="single" w:color="auto" w:sz="4" w:space="0"/>
              <w:bottom w:val="single" w:color="auto" w:sz="4" w:space="0"/>
              <w:right w:val="single" w:color="auto" w:sz="4" w:space="0"/>
            </w:tcBorders>
            <w:vAlign w:val="center"/>
          </w:tcPr>
          <w:p w14:paraId="7C2337C9">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接力器反应时间常数测定</w:t>
            </w:r>
          </w:p>
        </w:tc>
        <w:tc>
          <w:tcPr>
            <w:tcW w:w="1339" w:type="dxa"/>
            <w:tcBorders>
              <w:top w:val="single" w:color="auto" w:sz="4" w:space="0"/>
              <w:left w:val="single" w:color="auto" w:sz="4" w:space="0"/>
              <w:bottom w:val="single" w:color="auto" w:sz="4" w:space="0"/>
              <w:right w:val="single" w:color="auto" w:sz="4" w:space="0"/>
            </w:tcBorders>
            <w:vAlign w:val="center"/>
          </w:tcPr>
          <w:p w14:paraId="17C1518E">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4D1420D2">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625B33BD">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67326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7C13BAB8">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32</w:t>
            </w:r>
          </w:p>
        </w:tc>
        <w:tc>
          <w:tcPr>
            <w:tcW w:w="3534" w:type="dxa"/>
            <w:tcBorders>
              <w:top w:val="single" w:color="auto" w:sz="4" w:space="0"/>
              <w:left w:val="single" w:color="auto" w:sz="4" w:space="0"/>
              <w:bottom w:val="single" w:color="auto" w:sz="4" w:space="0"/>
              <w:right w:val="single" w:color="auto" w:sz="4" w:space="0"/>
            </w:tcBorders>
            <w:vAlign w:val="center"/>
          </w:tcPr>
          <w:p w14:paraId="529CDEA0">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接力器最短直线关闭和开启时间测定</w:t>
            </w:r>
          </w:p>
        </w:tc>
        <w:tc>
          <w:tcPr>
            <w:tcW w:w="1339" w:type="dxa"/>
            <w:tcBorders>
              <w:top w:val="single" w:color="auto" w:sz="4" w:space="0"/>
              <w:left w:val="single" w:color="auto" w:sz="4" w:space="0"/>
              <w:bottom w:val="single" w:color="auto" w:sz="4" w:space="0"/>
              <w:right w:val="single" w:color="auto" w:sz="4" w:space="0"/>
            </w:tcBorders>
            <w:vAlign w:val="center"/>
          </w:tcPr>
          <w:p w14:paraId="363C61CC">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192236B">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4E37F5F4">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69EAE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6930517C">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33</w:t>
            </w:r>
          </w:p>
        </w:tc>
        <w:tc>
          <w:tcPr>
            <w:tcW w:w="3534" w:type="dxa"/>
            <w:tcBorders>
              <w:top w:val="single" w:color="auto" w:sz="4" w:space="0"/>
              <w:left w:val="single" w:color="auto" w:sz="4" w:space="0"/>
              <w:bottom w:val="single" w:color="auto" w:sz="4" w:space="0"/>
              <w:right w:val="single" w:color="auto" w:sz="4" w:space="0"/>
            </w:tcBorders>
            <w:vAlign w:val="center"/>
          </w:tcPr>
          <w:p w14:paraId="77F6050C">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带负荷时转速死区测定</w:t>
            </w:r>
          </w:p>
        </w:tc>
        <w:tc>
          <w:tcPr>
            <w:tcW w:w="1339" w:type="dxa"/>
            <w:tcBorders>
              <w:top w:val="single" w:color="auto" w:sz="4" w:space="0"/>
              <w:left w:val="single" w:color="auto" w:sz="4" w:space="0"/>
              <w:bottom w:val="single" w:color="auto" w:sz="4" w:space="0"/>
              <w:right w:val="single" w:color="auto" w:sz="4" w:space="0"/>
            </w:tcBorders>
            <w:vAlign w:val="center"/>
          </w:tcPr>
          <w:p w14:paraId="3897A168">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21746973">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3B48AEFA">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4E4236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211A31CA">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34</w:t>
            </w:r>
          </w:p>
        </w:tc>
        <w:tc>
          <w:tcPr>
            <w:tcW w:w="3534" w:type="dxa"/>
            <w:tcBorders>
              <w:top w:val="single" w:color="auto" w:sz="4" w:space="0"/>
              <w:left w:val="single" w:color="auto" w:sz="4" w:space="0"/>
              <w:bottom w:val="single" w:color="auto" w:sz="4" w:space="0"/>
              <w:right w:val="single" w:color="auto" w:sz="4" w:space="0"/>
            </w:tcBorders>
            <w:vAlign w:val="center"/>
          </w:tcPr>
          <w:p w14:paraId="0B6B906E">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主配压阀流量特性试验</w:t>
            </w:r>
          </w:p>
        </w:tc>
        <w:tc>
          <w:tcPr>
            <w:tcW w:w="1339" w:type="dxa"/>
            <w:tcBorders>
              <w:top w:val="single" w:color="auto" w:sz="4" w:space="0"/>
              <w:left w:val="single" w:color="auto" w:sz="4" w:space="0"/>
              <w:bottom w:val="single" w:color="auto" w:sz="4" w:space="0"/>
              <w:right w:val="single" w:color="auto" w:sz="4" w:space="0"/>
            </w:tcBorders>
            <w:vAlign w:val="center"/>
          </w:tcPr>
          <w:p w14:paraId="7C662F6A">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3E16B63C">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7FEFD565">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6CF5C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281184A1">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35</w:t>
            </w:r>
          </w:p>
        </w:tc>
        <w:tc>
          <w:tcPr>
            <w:tcW w:w="3534" w:type="dxa"/>
            <w:tcBorders>
              <w:top w:val="single" w:color="auto" w:sz="4" w:space="0"/>
              <w:left w:val="single" w:color="auto" w:sz="4" w:space="0"/>
              <w:bottom w:val="single" w:color="auto" w:sz="4" w:space="0"/>
              <w:right w:val="single" w:color="auto" w:sz="4" w:space="0"/>
            </w:tcBorders>
            <w:vAlign w:val="center"/>
          </w:tcPr>
          <w:p w14:paraId="133E1A22">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调速器、油压装置总耗油量测定</w:t>
            </w:r>
          </w:p>
        </w:tc>
        <w:tc>
          <w:tcPr>
            <w:tcW w:w="1339" w:type="dxa"/>
            <w:tcBorders>
              <w:top w:val="single" w:color="auto" w:sz="4" w:space="0"/>
              <w:left w:val="single" w:color="auto" w:sz="4" w:space="0"/>
              <w:bottom w:val="single" w:color="auto" w:sz="4" w:space="0"/>
              <w:right w:val="single" w:color="auto" w:sz="4" w:space="0"/>
            </w:tcBorders>
            <w:vAlign w:val="center"/>
          </w:tcPr>
          <w:p w14:paraId="7B36D6A6">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0C88F5F8">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557C3BC">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5A1ED6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326D5FCE">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36</w:t>
            </w:r>
          </w:p>
        </w:tc>
        <w:tc>
          <w:tcPr>
            <w:tcW w:w="3534" w:type="dxa"/>
            <w:tcBorders>
              <w:top w:val="single" w:color="auto" w:sz="4" w:space="0"/>
              <w:left w:val="single" w:color="auto" w:sz="4" w:space="0"/>
              <w:bottom w:val="single" w:color="auto" w:sz="4" w:space="0"/>
              <w:right w:val="single" w:color="auto" w:sz="4" w:space="0"/>
            </w:tcBorders>
            <w:vAlign w:val="center"/>
          </w:tcPr>
          <w:p w14:paraId="249045DE">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30天考核运行试验</w:t>
            </w:r>
          </w:p>
        </w:tc>
        <w:tc>
          <w:tcPr>
            <w:tcW w:w="1339" w:type="dxa"/>
            <w:tcBorders>
              <w:top w:val="single" w:color="auto" w:sz="4" w:space="0"/>
              <w:left w:val="single" w:color="auto" w:sz="4" w:space="0"/>
              <w:bottom w:val="single" w:color="auto" w:sz="4" w:space="0"/>
              <w:right w:val="single" w:color="auto" w:sz="4" w:space="0"/>
            </w:tcBorders>
            <w:vAlign w:val="center"/>
          </w:tcPr>
          <w:p w14:paraId="3ACEA560">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p>
        </w:tc>
        <w:tc>
          <w:tcPr>
            <w:tcW w:w="1544" w:type="dxa"/>
            <w:tcBorders>
              <w:top w:val="single" w:color="auto" w:sz="4" w:space="0"/>
              <w:left w:val="single" w:color="auto" w:sz="4" w:space="0"/>
              <w:bottom w:val="single" w:color="auto" w:sz="4" w:space="0"/>
              <w:right w:val="single" w:color="auto" w:sz="4" w:space="0"/>
            </w:tcBorders>
            <w:vAlign w:val="center"/>
          </w:tcPr>
          <w:p w14:paraId="3DB5B27E">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2FC74D75">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6DC59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13" w:type="dxa"/>
            <w:tcBorders>
              <w:top w:val="single" w:color="auto" w:sz="4" w:space="0"/>
              <w:left w:val="single" w:color="auto" w:sz="8" w:space="0"/>
              <w:bottom w:val="single" w:color="auto" w:sz="4" w:space="0"/>
              <w:right w:val="single" w:color="auto" w:sz="4" w:space="0"/>
            </w:tcBorders>
            <w:vAlign w:val="center"/>
          </w:tcPr>
          <w:p w14:paraId="09924F73">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37</w:t>
            </w:r>
          </w:p>
        </w:tc>
        <w:tc>
          <w:tcPr>
            <w:tcW w:w="3534" w:type="dxa"/>
            <w:tcBorders>
              <w:top w:val="single" w:color="auto" w:sz="4" w:space="0"/>
              <w:left w:val="single" w:color="auto" w:sz="4" w:space="0"/>
              <w:bottom w:val="single" w:color="auto" w:sz="4" w:space="0"/>
              <w:right w:val="single" w:color="auto" w:sz="4" w:space="0"/>
            </w:tcBorders>
            <w:vAlign w:val="center"/>
          </w:tcPr>
          <w:p w14:paraId="1AE20778">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协联试验</w:t>
            </w:r>
          </w:p>
        </w:tc>
        <w:tc>
          <w:tcPr>
            <w:tcW w:w="1339" w:type="dxa"/>
            <w:tcBorders>
              <w:top w:val="single" w:color="auto" w:sz="4" w:space="0"/>
              <w:left w:val="single" w:color="auto" w:sz="4" w:space="0"/>
              <w:bottom w:val="single" w:color="auto" w:sz="4" w:space="0"/>
              <w:right w:val="single" w:color="auto" w:sz="4" w:space="0"/>
            </w:tcBorders>
            <w:vAlign w:val="center"/>
          </w:tcPr>
          <w:p w14:paraId="7662C7CF">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4" w:space="0"/>
              <w:right w:val="single" w:color="auto" w:sz="4" w:space="0"/>
            </w:tcBorders>
            <w:vAlign w:val="center"/>
          </w:tcPr>
          <w:p w14:paraId="3FD82D32">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4" w:space="0"/>
              <w:right w:val="single" w:color="auto" w:sz="8" w:space="0"/>
            </w:tcBorders>
            <w:vAlign w:val="center"/>
          </w:tcPr>
          <w:p w14:paraId="130FC497">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r w14:paraId="64B07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13" w:type="dxa"/>
            <w:tcBorders>
              <w:top w:val="single" w:color="auto" w:sz="4" w:space="0"/>
              <w:left w:val="single" w:color="auto" w:sz="8" w:space="0"/>
              <w:bottom w:val="single" w:color="auto" w:sz="8" w:space="0"/>
              <w:right w:val="single" w:color="auto" w:sz="4" w:space="0"/>
            </w:tcBorders>
            <w:vAlign w:val="center"/>
          </w:tcPr>
          <w:p w14:paraId="408618C5">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38</w:t>
            </w:r>
          </w:p>
        </w:tc>
        <w:tc>
          <w:tcPr>
            <w:tcW w:w="3534" w:type="dxa"/>
            <w:tcBorders>
              <w:top w:val="single" w:color="auto" w:sz="4" w:space="0"/>
              <w:left w:val="single" w:color="auto" w:sz="4" w:space="0"/>
              <w:bottom w:val="single" w:color="auto" w:sz="8" w:space="0"/>
              <w:right w:val="single" w:color="auto" w:sz="4" w:space="0"/>
            </w:tcBorders>
            <w:vAlign w:val="center"/>
          </w:tcPr>
          <w:p w14:paraId="01BE57C1">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调速系统抗电磁干扰试验</w:t>
            </w:r>
          </w:p>
        </w:tc>
        <w:tc>
          <w:tcPr>
            <w:tcW w:w="1339" w:type="dxa"/>
            <w:tcBorders>
              <w:top w:val="single" w:color="auto" w:sz="4" w:space="0"/>
              <w:left w:val="single" w:color="auto" w:sz="4" w:space="0"/>
              <w:bottom w:val="single" w:color="auto" w:sz="8" w:space="0"/>
              <w:right w:val="single" w:color="auto" w:sz="4" w:space="0"/>
            </w:tcBorders>
            <w:vAlign w:val="center"/>
          </w:tcPr>
          <w:p w14:paraId="69E227AE">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1544" w:type="dxa"/>
            <w:tcBorders>
              <w:top w:val="single" w:color="auto" w:sz="4" w:space="0"/>
              <w:left w:val="single" w:color="auto" w:sz="4" w:space="0"/>
              <w:bottom w:val="single" w:color="auto" w:sz="8" w:space="0"/>
              <w:right w:val="single" w:color="auto" w:sz="4" w:space="0"/>
            </w:tcBorders>
            <w:vAlign w:val="center"/>
          </w:tcPr>
          <w:p w14:paraId="13097CDF">
            <w:pPr>
              <w:keepNext w:val="0"/>
              <w:keepLines w:val="0"/>
              <w:widowControl w:val="0"/>
              <w:suppressLineNumbers w:val="0"/>
              <w:spacing w:before="0" w:beforeAutospacing="0" w:after="120" w:afterAutospacing="0" w:line="240" w:lineRule="exact"/>
              <w:ind w:left="0" w:right="0" w:firstLine="0" w:firstLineChars="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2"/>
                <w:sz w:val="21"/>
                <w:szCs w:val="21"/>
                <w:lang w:val="en-US" w:eastAsia="zh-CN" w:bidi="ar-SA"/>
              </w:rPr>
              <w:t>√</w:t>
            </w:r>
          </w:p>
        </w:tc>
        <w:tc>
          <w:tcPr>
            <w:tcW w:w="987" w:type="dxa"/>
            <w:tcBorders>
              <w:top w:val="single" w:color="auto" w:sz="4" w:space="0"/>
              <w:left w:val="single" w:color="auto" w:sz="4" w:space="0"/>
              <w:bottom w:val="single" w:color="auto" w:sz="8" w:space="0"/>
              <w:right w:val="single" w:color="auto" w:sz="8" w:space="0"/>
            </w:tcBorders>
            <w:vAlign w:val="center"/>
          </w:tcPr>
          <w:p w14:paraId="375E4306">
            <w:pPr>
              <w:keepNext w:val="0"/>
              <w:keepLines w:val="0"/>
              <w:widowControl w:val="0"/>
              <w:suppressLineNumbers w:val="0"/>
              <w:spacing w:before="0" w:beforeAutospacing="0" w:after="120" w:afterAutospacing="0" w:line="240" w:lineRule="exact"/>
              <w:ind w:left="0" w:right="0" w:firstLine="0" w:firstLineChars="0"/>
              <w:jc w:val="center"/>
              <w:rPr>
                <w:rFonts w:hint="eastAsia" w:ascii="宋体" w:hAnsi="宋体" w:eastAsia="宋体" w:cs="宋体"/>
                <w:color w:val="auto"/>
                <w:kern w:val="0"/>
                <w:sz w:val="21"/>
                <w:szCs w:val="21"/>
                <w:lang w:val="en-US" w:eastAsia="zh-CN" w:bidi="ar-SA"/>
              </w:rPr>
            </w:pPr>
          </w:p>
        </w:tc>
      </w:tr>
    </w:tbl>
    <w:p w14:paraId="063330FE">
      <w:pPr>
        <w:pStyle w:val="2"/>
        <w:rPr>
          <w:rFonts w:hint="eastAsia"/>
          <w:lang w:eastAsia="en-US"/>
        </w:rPr>
      </w:pPr>
    </w:p>
    <w:p w14:paraId="75818C8E">
      <w:pPr>
        <w:widowControl/>
        <w:kinsoku w:val="0"/>
        <w:autoSpaceDE w:val="0"/>
        <w:autoSpaceDN w:val="0"/>
        <w:adjustRightInd w:val="0"/>
        <w:snapToGrid w:val="0"/>
        <w:spacing w:line="143" w:lineRule="exact"/>
        <w:jc w:val="left"/>
        <w:textAlignment w:val="baseline"/>
        <w:rPr>
          <w:rFonts w:hint="eastAsia" w:ascii="宋体" w:hAnsi="宋体" w:eastAsia="宋体" w:cs="宋体"/>
          <w:snapToGrid w:val="0"/>
          <w:color w:val="000000"/>
          <w:kern w:val="0"/>
          <w:sz w:val="18"/>
          <w:szCs w:val="18"/>
          <w:lang w:eastAsia="en-US"/>
        </w:rPr>
      </w:pPr>
    </w:p>
    <w:p w14:paraId="03FDEA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（4）试运行</w:t>
      </w:r>
    </w:p>
    <w:p w14:paraId="193BE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正式运行前，进行一段时间的试运行，观察调速器的稳定性和可靠性。</w:t>
      </w:r>
    </w:p>
    <w:p w14:paraId="092F75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（5）验收与交付</w:t>
      </w:r>
    </w:p>
    <w:p w14:paraId="3FA9F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试运行结束后，组织相关部门和专家进行项目验收，检查调速器是否满足技术要求和合同规定。验收合格后，办理项目交付手续，向使用单位移交相关技术文档和资料，并提供操作培训和技术支持。</w:t>
      </w:r>
    </w:p>
    <w:p w14:paraId="4469F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（6）后期维护</w:t>
      </w:r>
    </w:p>
    <w:p w14:paraId="2A3FFE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使用单位加强设备巡检检查、维护保养，三年质保期内出现任何故障由供应商无偿处理，及时处理设备故障和数据异常。</w:t>
      </w:r>
    </w:p>
    <w:p w14:paraId="33029A98">
      <w:pPr>
        <w:pStyle w:val="2"/>
        <w:rPr>
          <w:rFonts w:hint="eastAsia" w:ascii="宋体" w:hAnsi="宋体" w:eastAsia="宋体" w:cs="宋体"/>
          <w:sz w:val="24"/>
          <w:szCs w:val="24"/>
          <w:lang w:val="en-US" w:eastAsia="zh-CN"/>
        </w:rPr>
      </w:pPr>
    </w:p>
    <w:p w14:paraId="59BCD02F">
      <w:pPr>
        <w:pStyle w:val="2"/>
        <w:rPr>
          <w:rFonts w:hint="eastAsia" w:ascii="宋体" w:hAnsi="宋体" w:eastAsia="宋体" w:cs="宋体"/>
          <w:sz w:val="24"/>
          <w:szCs w:val="24"/>
          <w:lang w:val="en-US" w:eastAsia="zh-CN"/>
        </w:rPr>
      </w:pPr>
    </w:p>
    <w:p w14:paraId="5B0EB1C7">
      <w:pPr>
        <w:pStyle w:val="2"/>
        <w:rPr>
          <w:rFonts w:hint="eastAsia" w:ascii="宋体" w:hAnsi="宋体" w:eastAsia="宋体" w:cs="宋体"/>
          <w:sz w:val="24"/>
          <w:szCs w:val="24"/>
          <w:lang w:val="en-US" w:eastAsia="zh-CN"/>
        </w:rPr>
      </w:pPr>
    </w:p>
    <w:p w14:paraId="012B5177">
      <w:pPr>
        <w:rPr>
          <w:rFonts w:hint="eastAsia" w:ascii="宋体" w:hAnsi="宋体" w:eastAsia="宋体" w:cs="宋体"/>
          <w:sz w:val="24"/>
          <w:szCs w:val="24"/>
          <w:lang w:val="en-US" w:eastAsia="zh-CN"/>
        </w:rPr>
      </w:pPr>
    </w:p>
    <w:p w14:paraId="6261BA23">
      <w:pPr>
        <w:rPr>
          <w:rFonts w:hint="eastAsia" w:ascii="宋体" w:hAnsi="宋体" w:eastAsia="宋体" w:cs="宋体"/>
          <w:sz w:val="24"/>
          <w:szCs w:val="24"/>
          <w:lang w:val="en-US" w:eastAsia="zh-CN"/>
        </w:rPr>
      </w:pPr>
    </w:p>
    <w:p w14:paraId="470084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III工程量清单</w:t>
      </w:r>
    </w:p>
    <w:p w14:paraId="3F2D2CB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bookmarkStart w:id="3" w:name="_Toc507952703"/>
      <w:bookmarkStart w:id="4" w:name="_Toc11353163"/>
      <w:r>
        <w:rPr>
          <w:rFonts w:hint="eastAsia" w:ascii="宋体" w:hAnsi="宋体" w:eastAsia="宋体" w:cs="宋体"/>
          <w:b/>
          <w:bCs/>
          <w:sz w:val="24"/>
          <w:szCs w:val="24"/>
          <w:lang w:val="en-US" w:eastAsia="zh-CN"/>
        </w:rPr>
        <w:t>1 分项报价表说明</w:t>
      </w:r>
      <w:bookmarkEnd w:id="3"/>
      <w:bookmarkEnd w:id="4"/>
    </w:p>
    <w:p w14:paraId="23FA4D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w:t>
      </w:r>
      <w:r>
        <w:rPr>
          <w:rFonts w:hint="eastAsia" w:asciiTheme="minorEastAsia" w:hAnsiTheme="minorEastAsia" w:eastAsiaTheme="minorEastAsia" w:cstheme="minorEastAsia"/>
          <w:bCs/>
          <w:kern w:val="44"/>
          <w:sz w:val="24"/>
          <w:szCs w:val="24"/>
        </w:rPr>
        <w:t>分项报价表应与招标文件中的投标人须知；合同条款；材料设备需求一览表；技术性能指标及其他要求等一起阅读和理解。</w:t>
      </w:r>
    </w:p>
    <w:p w14:paraId="377B29B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sz w:val="24"/>
          <w:szCs w:val="24"/>
        </w:rPr>
        <w:t>1.2</w:t>
      </w:r>
      <w:r>
        <w:rPr>
          <w:rFonts w:hint="eastAsia" w:asciiTheme="minorEastAsia" w:hAnsiTheme="minorEastAsia" w:eastAsiaTheme="minorEastAsia" w:cstheme="minorEastAsia"/>
          <w:bCs/>
          <w:kern w:val="44"/>
          <w:sz w:val="24"/>
          <w:szCs w:val="24"/>
        </w:rPr>
        <w:t>报价表中的报价，是指投标人按照本招标文件规定的条件，履行合同文件规定的全部义务所发生的全部费用，其中应包含下述费用：</w:t>
      </w:r>
    </w:p>
    <w:p w14:paraId="0DE8AC9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⑴合同材料设备的设计、制造、工厂试验、装配、出厂验收、包装、运输</w:t>
      </w:r>
      <w:r>
        <w:rPr>
          <w:rFonts w:hint="eastAsia" w:asciiTheme="minorEastAsia" w:hAnsiTheme="minorEastAsia" w:eastAsiaTheme="minorEastAsia" w:cstheme="minorEastAsia"/>
          <w:sz w:val="24"/>
          <w:szCs w:val="24"/>
        </w:rPr>
        <w:t>、装卸及保险</w:t>
      </w:r>
      <w:r>
        <w:rPr>
          <w:rFonts w:hint="eastAsia" w:asciiTheme="minorEastAsia" w:hAnsiTheme="minorEastAsia" w:eastAsiaTheme="minorEastAsia" w:cstheme="minorEastAsia"/>
          <w:bCs/>
          <w:kern w:val="44"/>
          <w:sz w:val="24"/>
          <w:szCs w:val="24"/>
        </w:rPr>
        <w:t>和现场交货的工作，以及指导安装、现场试运行、质量检查和验收等现场技术服务等；并提供设计计算书、设计说明、报告及图纸资料，提供材料设备安装调试的专用工具；提交安装、维护、运行使用说明书和其它资料；</w:t>
      </w:r>
    </w:p>
    <w:p w14:paraId="597C86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⑵价格表中单价已明确材料设备的制造、运输保险、安装及其他，其中未明确的项目费用由卖方列入其他项目中，但应在备注中明确其他项中包含的内容，并列明细；</w:t>
      </w:r>
    </w:p>
    <w:p w14:paraId="1E55C1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⑶为实施合同规定所需要的全部材料设备及材料，均由卖方自行负责订货、采购、试验检测、验收、运输和保管等，所有费用均计入报价内；</w:t>
      </w:r>
    </w:p>
    <w:p w14:paraId="5B021B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⑷报价应包含到指定地点材料设备落地交货前的产品设计、制造、试验检测、维护、出厂总装、涂装、验收、运输</w:t>
      </w:r>
      <w:r>
        <w:rPr>
          <w:rFonts w:hint="eastAsia" w:asciiTheme="minorEastAsia" w:hAnsiTheme="minorEastAsia" w:eastAsiaTheme="minorEastAsia" w:cstheme="minorEastAsia"/>
          <w:sz w:val="24"/>
          <w:szCs w:val="24"/>
        </w:rPr>
        <w:t>、装卸及保险</w:t>
      </w:r>
      <w:r>
        <w:rPr>
          <w:rFonts w:hint="eastAsia" w:asciiTheme="minorEastAsia" w:hAnsiTheme="minorEastAsia" w:eastAsiaTheme="minorEastAsia" w:cstheme="minorEastAsia"/>
          <w:bCs/>
          <w:kern w:val="44"/>
          <w:sz w:val="24"/>
          <w:szCs w:val="24"/>
        </w:rPr>
        <w:t>和交货等所产生的全部费用以及利润和税金；</w:t>
      </w:r>
    </w:p>
    <w:p w14:paraId="4545714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⑸报价应包含现场安装调试指导、人员培训、质量保证等技术服务费用，设计联络会、以及参加审查、验收工作的人员劳务、差旅等费用，还包括卖方完成本合同的风险和保险及合同所规定的全部责任和义务；</w:t>
      </w:r>
    </w:p>
    <w:p w14:paraId="2A8591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rPr>
        <w:t>⑹任何元件或装置在招标文件和投标文件中未专门提及，但对构成一个完整的、性能良好的材料设备是必不可少的；或者对于材料设备稳定运行、改善材料设备运行品质是必要的，投标人应提供这些元件或装置，其费用包括在合同总价中。</w:t>
      </w:r>
    </w:p>
    <w:p w14:paraId="51F7F9D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1.3</w:t>
      </w:r>
      <w:r>
        <w:rPr>
          <w:rFonts w:hint="eastAsia" w:asciiTheme="minorEastAsia" w:hAnsiTheme="minorEastAsia" w:eastAsiaTheme="minorEastAsia" w:cstheme="minorEastAsia"/>
          <w:bCs/>
          <w:kern w:val="44"/>
          <w:sz w:val="24"/>
          <w:szCs w:val="24"/>
        </w:rPr>
        <w:t>本招标项目采用固定不变</w:t>
      </w:r>
      <w:r>
        <w:rPr>
          <w:rFonts w:hint="eastAsia" w:asciiTheme="minorEastAsia" w:hAnsiTheme="minorEastAsia" w:cstheme="minorEastAsia"/>
          <w:bCs/>
          <w:kern w:val="44"/>
          <w:sz w:val="24"/>
          <w:szCs w:val="24"/>
          <w:lang w:val="en-US" w:eastAsia="zh-CN"/>
        </w:rPr>
        <w:t>单价</w:t>
      </w:r>
      <w:r>
        <w:rPr>
          <w:rFonts w:hint="eastAsia" w:asciiTheme="minorEastAsia" w:hAnsiTheme="minorEastAsia" w:eastAsiaTheme="minorEastAsia" w:cstheme="minorEastAsia"/>
          <w:bCs/>
          <w:kern w:val="44"/>
          <w:sz w:val="24"/>
          <w:szCs w:val="24"/>
        </w:rPr>
        <w:t>承包方式。</w:t>
      </w:r>
    </w:p>
    <w:p w14:paraId="0EDB532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1.4</w:t>
      </w:r>
      <w:r>
        <w:rPr>
          <w:rFonts w:hint="eastAsia" w:asciiTheme="minorEastAsia" w:hAnsiTheme="minorEastAsia" w:eastAsiaTheme="minorEastAsia" w:cstheme="minorEastAsia"/>
          <w:bCs/>
          <w:kern w:val="44"/>
          <w:sz w:val="24"/>
          <w:szCs w:val="24"/>
        </w:rPr>
        <w:t>报价表中列明的所有需要填写的单价和合价，投标人均应填写；未填写的单价和合价，视为已包括在报价表的其它单价和合价中。</w:t>
      </w:r>
    </w:p>
    <w:p w14:paraId="499CA20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1.5</w:t>
      </w:r>
      <w:r>
        <w:rPr>
          <w:rFonts w:hint="eastAsia" w:asciiTheme="minorEastAsia" w:hAnsiTheme="minorEastAsia" w:eastAsiaTheme="minorEastAsia" w:cstheme="minorEastAsia"/>
          <w:bCs/>
          <w:kern w:val="44"/>
          <w:sz w:val="24"/>
          <w:szCs w:val="24"/>
        </w:rPr>
        <w:t>投标人在编制报价表时，应对各项制作项目进行仔细研究，不得因某一项的报价偏低而人为地把另一项的报价抬高。招标人在评标时将重视每一项报价的合理性。</w:t>
      </w:r>
    </w:p>
    <w:p w14:paraId="2AC70B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1.6</w:t>
      </w:r>
      <w:r>
        <w:rPr>
          <w:rFonts w:hint="eastAsia" w:asciiTheme="minorEastAsia" w:hAnsiTheme="minorEastAsia" w:eastAsiaTheme="minorEastAsia" w:cstheme="minorEastAsia"/>
          <w:bCs/>
          <w:kern w:val="44"/>
          <w:sz w:val="24"/>
          <w:szCs w:val="24"/>
        </w:rPr>
        <w:t>投标人的报价应是使本标段材料设备正常运行所需的完整报价，对投标人因缺项或漏项而使本标段材料设备无法正常运行所造成的损失，由投标人承担。</w:t>
      </w:r>
    </w:p>
    <w:p w14:paraId="2EC4934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1.7</w:t>
      </w:r>
      <w:r>
        <w:rPr>
          <w:rFonts w:hint="eastAsia" w:asciiTheme="minorEastAsia" w:hAnsiTheme="minorEastAsia" w:eastAsiaTheme="minorEastAsia" w:cstheme="minorEastAsia"/>
          <w:bCs/>
          <w:kern w:val="44"/>
          <w:sz w:val="24"/>
          <w:szCs w:val="24"/>
        </w:rPr>
        <w:t>投标报价应包括投标人中标后为完成合同规定的全部工作需支付的一切费用和拟获得的合理利润，并考虑了应承担合同内容的全部风险。</w:t>
      </w:r>
    </w:p>
    <w:p w14:paraId="12DC63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1.8</w:t>
      </w:r>
      <w:r>
        <w:rPr>
          <w:rFonts w:hint="eastAsia" w:asciiTheme="minorEastAsia" w:hAnsiTheme="minorEastAsia" w:eastAsiaTheme="minorEastAsia" w:cstheme="minorEastAsia"/>
          <w:bCs/>
          <w:kern w:val="44"/>
          <w:sz w:val="24"/>
          <w:szCs w:val="24"/>
        </w:rPr>
        <w:t>材料设备分项报价表中“数量”一栏应按有关规定填写。</w:t>
      </w:r>
    </w:p>
    <w:p w14:paraId="05353F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1.9</w:t>
      </w:r>
      <w:r>
        <w:rPr>
          <w:rFonts w:hint="eastAsia" w:asciiTheme="minorEastAsia" w:hAnsiTheme="minorEastAsia" w:eastAsiaTheme="minorEastAsia" w:cstheme="minorEastAsia"/>
          <w:bCs/>
          <w:kern w:val="44"/>
          <w:sz w:val="24"/>
          <w:szCs w:val="24"/>
        </w:rPr>
        <w:t>投标人在投标截止时间前如修改投标总报价，应同时修改各项目的报价和说明对报价表中各项报价的修改办法，并附修正后的报价及辅助资料。</w:t>
      </w:r>
    </w:p>
    <w:p w14:paraId="72766F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1.10</w:t>
      </w:r>
      <w:r>
        <w:rPr>
          <w:rFonts w:hint="eastAsia" w:asciiTheme="minorEastAsia" w:hAnsiTheme="minorEastAsia" w:eastAsiaTheme="minorEastAsia" w:cstheme="minorEastAsia"/>
          <w:bCs/>
          <w:kern w:val="44"/>
          <w:sz w:val="24"/>
          <w:szCs w:val="24"/>
        </w:rPr>
        <w:t>投标人应按招标文件中规定的投标格式填写投标价格。报价中如果分项价格与总价有出入时，以总价为准。</w:t>
      </w:r>
    </w:p>
    <w:p w14:paraId="765C17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
          <w:bCs/>
          <w:kern w:val="44"/>
          <w:sz w:val="24"/>
          <w:szCs w:val="24"/>
        </w:rPr>
        <w:t>1.11</w:t>
      </w:r>
      <w:r>
        <w:rPr>
          <w:rFonts w:hint="eastAsia" w:asciiTheme="minorEastAsia" w:hAnsiTheme="minorEastAsia" w:eastAsiaTheme="minorEastAsia" w:cstheme="minorEastAsia"/>
          <w:bCs/>
          <w:kern w:val="44"/>
          <w:sz w:val="24"/>
          <w:szCs w:val="24"/>
        </w:rPr>
        <w:t>投标</w:t>
      </w:r>
      <w:r>
        <w:rPr>
          <w:rFonts w:hint="eastAsia" w:asciiTheme="minorEastAsia" w:hAnsiTheme="minorEastAsia" w:eastAsiaTheme="minorEastAsia" w:cstheme="minorEastAsia"/>
          <w:bCs/>
          <w:kern w:val="44"/>
          <w:sz w:val="24"/>
          <w:szCs w:val="24"/>
          <w:highlight w:val="none"/>
        </w:rPr>
        <w:t>人应按固定价格报价，按可</w:t>
      </w:r>
      <w:r>
        <w:rPr>
          <w:rFonts w:hint="eastAsia" w:asciiTheme="minorEastAsia" w:hAnsiTheme="minorEastAsia" w:eastAsiaTheme="minorEastAsia" w:cstheme="minorEastAsia"/>
          <w:bCs/>
          <w:kern w:val="44"/>
          <w:sz w:val="24"/>
          <w:szCs w:val="24"/>
        </w:rPr>
        <w:t>调整价格报价的投标文件将被拒绝。</w:t>
      </w:r>
    </w:p>
    <w:p w14:paraId="21C8F46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Theme="minorEastAsia" w:hAnsiTheme="minorEastAsia" w:eastAsiaTheme="minorEastAsia" w:cstheme="minorEastAsia"/>
          <w:bCs/>
          <w:kern w:val="44"/>
          <w:sz w:val="24"/>
          <w:szCs w:val="24"/>
          <w:lang w:val="en-US" w:eastAsia="zh-CN"/>
        </w:rPr>
      </w:pPr>
      <w:r>
        <w:rPr>
          <w:rFonts w:hint="eastAsia" w:asciiTheme="minorEastAsia" w:hAnsiTheme="minorEastAsia" w:eastAsiaTheme="minorEastAsia" w:cstheme="minorEastAsia"/>
          <w:b/>
          <w:bCs/>
          <w:kern w:val="44"/>
          <w:sz w:val="24"/>
          <w:szCs w:val="24"/>
        </w:rPr>
        <w:t>1.12</w:t>
      </w:r>
      <w:r>
        <w:rPr>
          <w:rFonts w:hint="eastAsia" w:asciiTheme="minorEastAsia" w:hAnsiTheme="minorEastAsia" w:eastAsiaTheme="minorEastAsia" w:cstheme="minorEastAsia"/>
          <w:bCs/>
          <w:kern w:val="44"/>
          <w:sz w:val="24"/>
          <w:szCs w:val="24"/>
        </w:rPr>
        <w:t>投标金额（价格）均应以人民币表示。</w:t>
      </w:r>
    </w:p>
    <w:p w14:paraId="3C6CD2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2.重要说明</w:t>
      </w:r>
    </w:p>
    <w:p w14:paraId="051D6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eastAsia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lang w:val="en-US" w:eastAsia="zh-CN"/>
        </w:rPr>
        <w:t>1</w:t>
      </w:r>
      <w:r>
        <w:rPr>
          <w:rFonts w:hint="eastAsia" w:asciiTheme="minorEastAsia" w:hAnsiTheme="minorEastAsia" w:eastAsia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rPr>
        <w:t>报价须包含所有人工、运输、保险、税费</w:t>
      </w:r>
      <w:r>
        <w:rPr>
          <w:rFonts w:hint="eastAsia" w:asciiTheme="minorEastAsia" w:hAnsiTheme="minorEastAsia" w:cstheme="minorEastAsia"/>
          <w:bCs/>
          <w:kern w:val="44"/>
          <w:sz w:val="24"/>
          <w:szCs w:val="24"/>
          <w:lang w:eastAsia="zh-CN"/>
        </w:rPr>
        <w:t>、</w:t>
      </w:r>
      <w:r>
        <w:rPr>
          <w:rFonts w:hint="eastAsia" w:asciiTheme="minorEastAsia" w:hAnsiTheme="minorEastAsia" w:cstheme="minorEastAsia"/>
          <w:bCs/>
          <w:kern w:val="44"/>
          <w:sz w:val="24"/>
          <w:szCs w:val="24"/>
          <w:lang w:val="en-US" w:eastAsia="zh-CN"/>
        </w:rPr>
        <w:t>运维、安装、备品备件</w:t>
      </w:r>
      <w:r>
        <w:rPr>
          <w:rFonts w:hint="eastAsia" w:asciiTheme="minorEastAsia" w:hAnsiTheme="minorEastAsia" w:eastAsiaTheme="minorEastAsia" w:cstheme="minorEastAsia"/>
          <w:bCs/>
          <w:kern w:val="44"/>
          <w:sz w:val="24"/>
          <w:szCs w:val="24"/>
        </w:rPr>
        <w:t>等及其他发生的与本项目相关需计入投标成本的费用。</w:t>
      </w:r>
    </w:p>
    <w:p w14:paraId="137A22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kern w:val="44"/>
          <w:sz w:val="24"/>
          <w:szCs w:val="24"/>
        </w:rPr>
      </w:pPr>
      <w:r>
        <w:rPr>
          <w:rFonts w:hint="eastAsia" w:asciiTheme="minorEastAsia" w:hAnsiTheme="minorEastAsia" w:cstheme="minorEastAsia"/>
          <w:bCs/>
          <w:kern w:val="44"/>
          <w:sz w:val="24"/>
          <w:szCs w:val="24"/>
          <w:lang w:eastAsia="zh-CN"/>
        </w:rPr>
        <w:t>（</w:t>
      </w:r>
      <w:r>
        <w:rPr>
          <w:rFonts w:hint="eastAsia" w:asciiTheme="minorEastAsia" w:hAnsiTheme="minorEastAsia" w:cstheme="minorEastAsia"/>
          <w:bCs/>
          <w:kern w:val="44"/>
          <w:sz w:val="24"/>
          <w:szCs w:val="24"/>
          <w:lang w:val="en-US" w:eastAsia="zh-CN"/>
        </w:rPr>
        <w:t>2</w:t>
      </w:r>
      <w:r>
        <w:rPr>
          <w:rFonts w:hint="eastAsia" w:asciiTheme="minorEastAsia" w:hAnsiTheme="minorEastAsia" w:cstheme="minorEastAsia"/>
          <w:bCs/>
          <w:kern w:val="44"/>
          <w:sz w:val="24"/>
          <w:szCs w:val="24"/>
          <w:lang w:eastAsia="zh-CN"/>
        </w:rPr>
        <w:t>）</w:t>
      </w:r>
      <w:r>
        <w:rPr>
          <w:rFonts w:hint="eastAsia" w:asciiTheme="minorEastAsia" w:hAnsiTheme="minorEastAsia" w:eastAsiaTheme="minorEastAsia" w:cstheme="minorEastAsia"/>
          <w:bCs/>
          <w:kern w:val="44"/>
          <w:sz w:val="24"/>
          <w:szCs w:val="24"/>
        </w:rPr>
        <w:t>为保证公平竞争，根据相关法律法规规定，</w:t>
      </w:r>
      <w:r>
        <w:rPr>
          <w:rFonts w:hint="eastAsia" w:asciiTheme="minorEastAsia" w:hAnsiTheme="minorEastAsia" w:cstheme="minorEastAsia"/>
          <w:bCs/>
          <w:kern w:val="44"/>
          <w:sz w:val="24"/>
          <w:szCs w:val="24"/>
          <w:lang w:val="en-US" w:eastAsia="zh-CN"/>
        </w:rPr>
        <w:t>供应商</w:t>
      </w:r>
      <w:r>
        <w:rPr>
          <w:rFonts w:hint="eastAsia" w:asciiTheme="minorEastAsia" w:hAnsiTheme="minorEastAsia" w:eastAsiaTheme="minorEastAsia" w:cstheme="minorEastAsia"/>
          <w:bCs/>
          <w:kern w:val="44"/>
          <w:sz w:val="24"/>
          <w:szCs w:val="24"/>
        </w:rPr>
        <w:t>应合理报价。评标委员会认为报价明显低于其他通过符合性审查</w:t>
      </w:r>
      <w:r>
        <w:rPr>
          <w:rFonts w:hint="eastAsia" w:asciiTheme="minorEastAsia" w:hAnsiTheme="minorEastAsia" w:cstheme="minorEastAsia"/>
          <w:bCs/>
          <w:kern w:val="44"/>
          <w:sz w:val="24"/>
          <w:szCs w:val="24"/>
          <w:lang w:val="en-US" w:eastAsia="zh-CN"/>
        </w:rPr>
        <w:t>供应商</w:t>
      </w:r>
      <w:r>
        <w:rPr>
          <w:rFonts w:hint="eastAsia" w:asciiTheme="minorEastAsia" w:hAnsiTheme="minorEastAsia" w:eastAsiaTheme="minorEastAsia" w:cstheme="minorEastAsia"/>
          <w:bCs/>
          <w:kern w:val="44"/>
          <w:sz w:val="24"/>
          <w:szCs w:val="24"/>
        </w:rPr>
        <w:t>的报价，有可能影响产品质量或者不能诚信履约的，应当要求其在评标现场合理的时间内提供书面说明，必要时提交相关证明材料。</w:t>
      </w:r>
    </w:p>
    <w:p w14:paraId="199002B0">
      <w:pPr>
        <w:pStyle w:val="2"/>
        <w:rPr>
          <w:rFonts w:hint="default" w:eastAsiaTheme="minorEastAsia"/>
          <w:lang w:val="en-US" w:eastAsia="zh-CN"/>
        </w:rPr>
      </w:pPr>
    </w:p>
    <w:p w14:paraId="189F21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E0D43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bookmarkStart w:id="5" w:name="_Toc31702"/>
      <w:r>
        <w:rPr>
          <w:rFonts w:hint="eastAsia" w:ascii="宋体" w:hAnsi="宋体" w:eastAsia="宋体" w:cs="宋体"/>
          <w:sz w:val="24"/>
          <w:szCs w:val="24"/>
          <w:lang w:val="en-US" w:eastAsia="zh-CN"/>
        </w:rPr>
        <w:t>清单</w:t>
      </w:r>
    </w:p>
    <w:p w14:paraId="76BB6C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bl>
      <w:tblPr>
        <w:tblStyle w:val="14"/>
        <w:tblW w:w="9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1469"/>
        <w:gridCol w:w="3185"/>
        <w:gridCol w:w="877"/>
        <w:gridCol w:w="618"/>
        <w:gridCol w:w="698"/>
        <w:gridCol w:w="698"/>
        <w:gridCol w:w="877"/>
        <w:gridCol w:w="868"/>
      </w:tblGrid>
      <w:tr w14:paraId="6E4D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8" w:hRule="atLeast"/>
          <w:jc w:val="center"/>
        </w:trPr>
        <w:tc>
          <w:tcPr>
            <w:tcW w:w="486"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3E31D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6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B78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w:t>
            </w:r>
          </w:p>
        </w:tc>
        <w:tc>
          <w:tcPr>
            <w:tcW w:w="31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A75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c>
          <w:tcPr>
            <w:tcW w:w="87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B63F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1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9620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9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5FB53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745"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14:paraId="1653D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r>
      <w:tr w14:paraId="057A0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486"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70C5DDF">
            <w:pPr>
              <w:jc w:val="center"/>
              <w:rPr>
                <w:rFonts w:hint="eastAsia" w:ascii="宋体" w:hAnsi="宋体" w:eastAsia="宋体" w:cs="宋体"/>
                <w:i w:val="0"/>
                <w:iCs w:val="0"/>
                <w:color w:val="000000"/>
                <w:sz w:val="21"/>
                <w:szCs w:val="21"/>
                <w:u w:val="none"/>
              </w:rPr>
            </w:pPr>
          </w:p>
        </w:tc>
        <w:tc>
          <w:tcPr>
            <w:tcW w:w="146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5B24EA2">
            <w:pPr>
              <w:jc w:val="center"/>
              <w:rPr>
                <w:rFonts w:hint="eastAsia" w:ascii="宋体" w:hAnsi="宋体" w:eastAsia="宋体" w:cs="宋体"/>
                <w:i w:val="0"/>
                <w:iCs w:val="0"/>
                <w:color w:val="000000"/>
                <w:sz w:val="21"/>
                <w:szCs w:val="21"/>
                <w:u w:val="none"/>
              </w:rPr>
            </w:pPr>
          </w:p>
        </w:tc>
        <w:tc>
          <w:tcPr>
            <w:tcW w:w="31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2593D9">
            <w:pPr>
              <w:jc w:val="center"/>
              <w:rPr>
                <w:rFonts w:hint="eastAsia" w:ascii="宋体" w:hAnsi="宋体" w:eastAsia="宋体" w:cs="宋体"/>
                <w:i w:val="0"/>
                <w:iCs w:val="0"/>
                <w:color w:val="000000"/>
                <w:sz w:val="21"/>
                <w:szCs w:val="21"/>
                <w:u w:val="none"/>
              </w:rPr>
            </w:pPr>
          </w:p>
        </w:tc>
        <w:tc>
          <w:tcPr>
            <w:tcW w:w="877"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A4D921">
            <w:pPr>
              <w:jc w:val="center"/>
              <w:rPr>
                <w:rFonts w:hint="eastAsia" w:ascii="宋体" w:hAnsi="宋体" w:eastAsia="宋体" w:cs="宋体"/>
                <w:i w:val="0"/>
                <w:iCs w:val="0"/>
                <w:color w:val="000000"/>
                <w:sz w:val="21"/>
                <w:szCs w:val="21"/>
                <w:u w:val="none"/>
              </w:rPr>
            </w:pPr>
          </w:p>
        </w:tc>
        <w:tc>
          <w:tcPr>
            <w:tcW w:w="61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F93282">
            <w:pPr>
              <w:jc w:val="center"/>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C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C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3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8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E9F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r>
      <w:tr w14:paraId="4FDB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7" w:hRule="atLeast"/>
          <w:jc w:val="center"/>
        </w:trPr>
        <w:tc>
          <w:tcPr>
            <w:tcW w:w="4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7B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EC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号、4 号调速器机械及电气部分</w:t>
            </w:r>
          </w:p>
        </w:tc>
        <w:tc>
          <w:tcPr>
            <w:tcW w:w="3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CE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调节规律：PID/补偿 PID；主流全数字电液调速器。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工作油压：2.5MPa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接力器行程/容量：按导叶操作功设计调节参数范围：永态转差系数 bp：0—10%；暂态转差系数 bt：5%~150%（可调至 200%）；缓冲时间常数 Td：1—20s；加速时间常数 Tn：0-5s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给定范围：频率 45—55Hz；功率 0—120%；开度 0—100%。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人工失灵区：频率 0-±0.5Hz；功率/开度 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含原有设备拆除、设备采购等</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DA2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1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DE8D">
            <w:pPr>
              <w:jc w:val="right"/>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A6DB">
            <w:pPr>
              <w:jc w:val="right"/>
              <w:rPr>
                <w:rFonts w:hint="eastAsia" w:ascii="宋体" w:hAnsi="宋体" w:eastAsia="宋体" w:cs="宋体"/>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D59B">
            <w:pPr>
              <w:jc w:val="right"/>
              <w:rPr>
                <w:rFonts w:hint="eastAsia" w:ascii="宋体" w:hAnsi="宋体" w:eastAsia="宋体" w:cs="宋体"/>
                <w:i w:val="0"/>
                <w:iCs w:val="0"/>
                <w:color w:val="000000"/>
                <w:sz w:val="21"/>
                <w:szCs w:val="21"/>
                <w:u w:val="none"/>
              </w:rPr>
            </w:pPr>
          </w:p>
        </w:tc>
        <w:tc>
          <w:tcPr>
            <w:tcW w:w="8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0A88C9">
            <w:pPr>
              <w:jc w:val="right"/>
              <w:rPr>
                <w:rFonts w:hint="eastAsia" w:ascii="宋体" w:hAnsi="宋体" w:eastAsia="宋体" w:cs="宋体"/>
                <w:i w:val="0"/>
                <w:iCs w:val="0"/>
                <w:color w:val="000000"/>
                <w:sz w:val="21"/>
                <w:szCs w:val="21"/>
                <w:u w:val="none"/>
              </w:rPr>
            </w:pPr>
          </w:p>
        </w:tc>
      </w:tr>
      <w:tr w14:paraId="34A4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48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319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85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调速器安装（含附件设备）</w:t>
            </w:r>
          </w:p>
        </w:tc>
        <w:tc>
          <w:tcPr>
            <w:tcW w:w="3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A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按照技术要求进行调速器设备的安装，依据供货商提供的产品说明书、操作手册、参考图纸等进行安装，确保其质量和兼容性。安装过程中要严格遵守操作规程，做好设备调试和校准，确保设备正常运行。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含附件设备</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AEF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C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F9AD">
            <w:pPr>
              <w:jc w:val="right"/>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83F1">
            <w:pPr>
              <w:jc w:val="right"/>
              <w:rPr>
                <w:rFonts w:hint="eastAsia" w:ascii="宋体" w:hAnsi="宋体" w:eastAsia="宋体" w:cs="宋体"/>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C2B8">
            <w:pPr>
              <w:jc w:val="right"/>
              <w:rPr>
                <w:rFonts w:hint="eastAsia" w:ascii="宋体" w:hAnsi="宋体" w:eastAsia="宋体" w:cs="宋体"/>
                <w:i w:val="0"/>
                <w:iCs w:val="0"/>
                <w:color w:val="000000"/>
                <w:sz w:val="21"/>
                <w:szCs w:val="21"/>
                <w:u w:val="none"/>
              </w:rPr>
            </w:pPr>
          </w:p>
        </w:tc>
        <w:tc>
          <w:tcPr>
            <w:tcW w:w="86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A06275">
            <w:pPr>
              <w:jc w:val="right"/>
              <w:rPr>
                <w:rFonts w:hint="eastAsia" w:ascii="宋体" w:hAnsi="宋体" w:eastAsia="宋体" w:cs="宋体"/>
                <w:i w:val="0"/>
                <w:iCs w:val="0"/>
                <w:color w:val="000000"/>
                <w:sz w:val="21"/>
                <w:szCs w:val="21"/>
                <w:u w:val="none"/>
              </w:rPr>
            </w:pPr>
          </w:p>
        </w:tc>
      </w:tr>
      <w:tr w14:paraId="409A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jc w:val="center"/>
        </w:trPr>
        <w:tc>
          <w:tcPr>
            <w:tcW w:w="486" w:type="dxa"/>
            <w:tcBorders>
              <w:top w:val="single" w:color="000000" w:sz="4" w:space="0"/>
              <w:left w:val="single" w:color="000000" w:sz="8" w:space="0"/>
              <w:bottom w:val="single" w:color="000000" w:sz="8" w:space="0"/>
              <w:right w:val="single" w:color="000000" w:sz="4" w:space="0"/>
            </w:tcBorders>
            <w:shd w:val="clear" w:color="auto" w:fill="auto"/>
            <w:vAlign w:val="center"/>
          </w:tcPr>
          <w:p w14:paraId="03081C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6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45B42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调速器相关试验</w:t>
            </w:r>
          </w:p>
        </w:tc>
        <w:tc>
          <w:tcPr>
            <w:tcW w:w="3185"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70139D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严格按照下表调速器试验项目开展相关试验，保证新安装的调速器准确性、完整性和实时性进行测试，及时解决发现的问题。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厂家技术人员对设备使用人员进行现场培训、调试、优化等</w:t>
            </w:r>
          </w:p>
        </w:tc>
        <w:tc>
          <w:tcPr>
            <w:tcW w:w="87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D4961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1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88DA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9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326A6FAC">
            <w:pPr>
              <w:jc w:val="right"/>
              <w:rPr>
                <w:rFonts w:hint="eastAsia" w:ascii="宋体" w:hAnsi="宋体" w:eastAsia="宋体" w:cs="宋体"/>
                <w:i w:val="0"/>
                <w:iCs w:val="0"/>
                <w:color w:val="000000"/>
                <w:sz w:val="21"/>
                <w:szCs w:val="21"/>
                <w:u w:val="none"/>
              </w:rPr>
            </w:pPr>
          </w:p>
        </w:tc>
        <w:tc>
          <w:tcPr>
            <w:tcW w:w="698"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5C17927">
            <w:pPr>
              <w:jc w:val="right"/>
              <w:rPr>
                <w:rFonts w:hint="eastAsia" w:ascii="宋体" w:hAnsi="宋体" w:eastAsia="宋体" w:cs="宋体"/>
                <w:i w:val="0"/>
                <w:iCs w:val="0"/>
                <w:color w:val="000000"/>
                <w:sz w:val="21"/>
                <w:szCs w:val="21"/>
                <w:u w:val="none"/>
              </w:rPr>
            </w:pPr>
          </w:p>
        </w:tc>
        <w:tc>
          <w:tcPr>
            <w:tcW w:w="87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CAEF17D">
            <w:pPr>
              <w:jc w:val="right"/>
              <w:rPr>
                <w:rFonts w:hint="eastAsia" w:ascii="宋体" w:hAnsi="宋体" w:eastAsia="宋体" w:cs="宋体"/>
                <w:i w:val="0"/>
                <w:iCs w:val="0"/>
                <w:color w:val="000000"/>
                <w:sz w:val="21"/>
                <w:szCs w:val="21"/>
                <w:u w:val="none"/>
              </w:rPr>
            </w:pPr>
          </w:p>
        </w:tc>
        <w:tc>
          <w:tcPr>
            <w:tcW w:w="868"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45CC1AF">
            <w:pPr>
              <w:jc w:val="right"/>
              <w:rPr>
                <w:rFonts w:hint="eastAsia" w:ascii="宋体" w:hAnsi="宋体" w:eastAsia="宋体" w:cs="宋体"/>
                <w:i w:val="0"/>
                <w:iCs w:val="0"/>
                <w:color w:val="000000"/>
                <w:sz w:val="21"/>
                <w:szCs w:val="21"/>
                <w:u w:val="none"/>
              </w:rPr>
            </w:pPr>
          </w:p>
        </w:tc>
      </w:tr>
    </w:tbl>
    <w:p w14:paraId="40DA97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B0C0E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E75ED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68A9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51151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08801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1EDB28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96ED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7D8C1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F7D8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36310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34884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84586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362B4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65B298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7C2F84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24FFB7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4A375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0EC6B2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556D0F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第四章</w:t>
      </w:r>
      <w:r>
        <w:rPr>
          <w:rFonts w:hint="default" w:ascii="宋体" w:hAnsi="宋体" w:eastAsia="宋体" w:cs="宋体"/>
          <w:sz w:val="28"/>
          <w:szCs w:val="28"/>
          <w:lang w:val="en-US" w:eastAsia="zh-CN"/>
        </w:rPr>
        <w:t xml:space="preserve">  </w:t>
      </w:r>
      <w:r>
        <w:rPr>
          <w:rFonts w:hint="eastAsia" w:ascii="宋体" w:hAnsi="宋体" w:eastAsia="宋体" w:cs="宋体"/>
          <w:sz w:val="28"/>
          <w:szCs w:val="28"/>
          <w:lang w:val="en-US" w:eastAsia="zh-CN"/>
        </w:rPr>
        <w:t>合同格式</w:t>
      </w:r>
      <w:bookmarkEnd w:id="5"/>
    </w:p>
    <w:p w14:paraId="700B318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实际以签订的合同为准。</w:t>
      </w:r>
    </w:p>
    <w:p w14:paraId="19E04751">
      <w:pPr>
        <w:widowControl w:val="0"/>
        <w:spacing w:after="0"/>
        <w:jc w:val="center"/>
        <w:rPr>
          <w:rFonts w:ascii="宋体" w:hAnsi="宋体" w:eastAsia="宋体" w:cs="宋体"/>
          <w:b/>
          <w:bCs/>
          <w:spacing w:val="-20"/>
          <w:kern w:val="44"/>
          <w:sz w:val="48"/>
          <w:szCs w:val="48"/>
          <w:lang w:val="en-US" w:eastAsia="zh-CN" w:bidi="ar-SA"/>
        </w:rPr>
      </w:pPr>
    </w:p>
    <w:p w14:paraId="670E6BF4">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政府采购货物买卖合同</w:t>
      </w:r>
    </w:p>
    <w:p w14:paraId="703A0833">
      <w:pPr>
        <w:widowControl w:val="0"/>
        <w:spacing w:after="0"/>
        <w:jc w:val="center"/>
        <w:rPr>
          <w:rFonts w:hint="eastAsia" w:ascii="宋体" w:hAnsi="宋体" w:eastAsia="宋体" w:cs="宋体"/>
          <w:b/>
          <w:bCs/>
          <w:spacing w:val="-20"/>
          <w:kern w:val="44"/>
          <w:sz w:val="48"/>
          <w:szCs w:val="48"/>
          <w:lang w:val="en-US" w:eastAsia="zh-CN" w:bidi="ar-SA"/>
        </w:rPr>
      </w:pPr>
      <w:r>
        <w:rPr>
          <w:rFonts w:hint="eastAsia" w:ascii="宋体" w:hAnsi="宋体" w:eastAsia="宋体" w:cs="宋体"/>
          <w:b/>
          <w:bCs/>
          <w:spacing w:val="-20"/>
          <w:kern w:val="44"/>
          <w:sz w:val="48"/>
          <w:szCs w:val="48"/>
          <w:lang w:val="en-US" w:eastAsia="zh-CN" w:bidi="ar-SA"/>
        </w:rPr>
        <w:t>（试行）</w:t>
      </w:r>
    </w:p>
    <w:p w14:paraId="4B24623E">
      <w:pPr>
        <w:rPr>
          <w:rFonts w:ascii="宋体" w:hAnsi="宋体" w:eastAsia="宋体" w:cs="宋体"/>
          <w:b/>
          <w:bCs/>
          <w:spacing w:val="-20"/>
          <w:kern w:val="44"/>
          <w:sz w:val="40"/>
          <w:szCs w:val="40"/>
        </w:rPr>
      </w:pPr>
    </w:p>
    <w:p w14:paraId="493A053D">
      <w:pPr>
        <w:rPr>
          <w:rFonts w:ascii="宋体" w:hAnsi="宋体" w:eastAsia="宋体" w:cs="宋体"/>
          <w:b/>
          <w:bCs/>
          <w:spacing w:val="-20"/>
          <w:kern w:val="44"/>
          <w:sz w:val="40"/>
          <w:szCs w:val="40"/>
        </w:rPr>
      </w:pPr>
    </w:p>
    <w:p w14:paraId="5C1CA9E2">
      <w:pPr>
        <w:pStyle w:val="2"/>
        <w:rPr>
          <w:rFonts w:ascii="宋体" w:hAnsi="宋体" w:eastAsia="宋体" w:cs="宋体"/>
          <w:b/>
          <w:bCs/>
          <w:spacing w:val="-20"/>
          <w:kern w:val="44"/>
          <w:sz w:val="40"/>
          <w:szCs w:val="40"/>
        </w:rPr>
      </w:pPr>
    </w:p>
    <w:p w14:paraId="35BA433E">
      <w:pPr>
        <w:pStyle w:val="2"/>
        <w:rPr>
          <w:rFonts w:ascii="宋体" w:hAnsi="宋体" w:eastAsia="宋体" w:cs="宋体"/>
          <w:b/>
          <w:bCs/>
          <w:spacing w:val="-20"/>
          <w:kern w:val="44"/>
          <w:sz w:val="40"/>
          <w:szCs w:val="40"/>
        </w:rPr>
      </w:pPr>
    </w:p>
    <w:p w14:paraId="6E8CC16E">
      <w:pPr>
        <w:rPr>
          <w:rFonts w:ascii="宋体" w:hAnsi="宋体" w:eastAsia="宋体" w:cs="宋体"/>
          <w:b/>
          <w:bCs/>
          <w:spacing w:val="-20"/>
          <w:kern w:val="44"/>
          <w:sz w:val="40"/>
          <w:szCs w:val="40"/>
        </w:rPr>
      </w:pPr>
    </w:p>
    <w:p w14:paraId="11AD3CCA">
      <w:pPr>
        <w:spacing w:line="360" w:lineRule="auto"/>
        <w:ind w:left="420" w:leftChars="200"/>
        <w:rPr>
          <w:rFonts w:ascii="Times New Roman" w:hAnsi="Times New Roman" w:eastAsia="宋体" w:cs="Times New Roman"/>
          <w:sz w:val="32"/>
          <w:szCs w:val="32"/>
        </w:rPr>
      </w:pPr>
      <w:r>
        <w:rPr>
          <w:rFonts w:hint="eastAsia" w:ascii="宋体" w:hAnsi="宋体" w:eastAsia="宋体" w:cs="宋体"/>
          <w:kern w:val="0"/>
          <w:sz w:val="32"/>
          <w:szCs w:val="32"/>
        </w:rPr>
        <w:t>项目名称：</w:t>
      </w:r>
      <w:r>
        <w:rPr>
          <w:rFonts w:hint="eastAsia" w:ascii="Times New Roman" w:hAnsi="Times New Roman" w:eastAsia="宋体" w:cs="Times New Roman"/>
          <w:sz w:val="32"/>
          <w:szCs w:val="32"/>
          <w:u w:val="single"/>
        </w:rPr>
        <w:t xml:space="preserve">                             </w:t>
      </w:r>
    </w:p>
    <w:p w14:paraId="4A6D1B17">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合同编号：</w:t>
      </w:r>
      <w:r>
        <w:rPr>
          <w:rFonts w:hint="eastAsia" w:ascii="Times New Roman" w:hAnsi="Times New Roman" w:eastAsia="宋体" w:cs="Times New Roman"/>
          <w:sz w:val="32"/>
          <w:szCs w:val="32"/>
          <w:u w:val="single"/>
        </w:rPr>
        <w:t xml:space="preserve">                             </w:t>
      </w:r>
    </w:p>
    <w:p w14:paraId="792F5E3B">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甲    方：</w:t>
      </w:r>
      <w:r>
        <w:rPr>
          <w:rFonts w:hint="eastAsia" w:ascii="Times New Roman" w:hAnsi="Times New Roman" w:eastAsia="宋体" w:cs="Times New Roman"/>
          <w:sz w:val="32"/>
          <w:szCs w:val="32"/>
          <w:u w:val="single"/>
        </w:rPr>
        <w:t xml:space="preserve">                             </w:t>
      </w:r>
    </w:p>
    <w:p w14:paraId="57CA0F58">
      <w:pPr>
        <w:spacing w:line="360" w:lineRule="auto"/>
        <w:ind w:left="420" w:leftChars="200"/>
        <w:rPr>
          <w:rFonts w:ascii="Times New Roman" w:hAnsi="Times New Roman" w:eastAsia="宋体" w:cs="Times New Roman"/>
          <w:sz w:val="32"/>
          <w:szCs w:val="32"/>
          <w:u w:val="single"/>
        </w:rPr>
      </w:pPr>
      <w:r>
        <w:rPr>
          <w:rFonts w:hint="eastAsia" w:ascii="Times New Roman" w:hAnsi="Times New Roman" w:eastAsia="宋体" w:cs="Times New Roman"/>
          <w:sz w:val="32"/>
          <w:szCs w:val="32"/>
        </w:rPr>
        <w:t>乙    方：</w:t>
      </w:r>
      <w:r>
        <w:rPr>
          <w:rFonts w:hint="eastAsia" w:ascii="Times New Roman" w:hAnsi="Times New Roman" w:eastAsia="宋体" w:cs="Times New Roman"/>
          <w:sz w:val="32"/>
          <w:szCs w:val="32"/>
          <w:u w:val="single"/>
        </w:rPr>
        <w:t xml:space="preserve">                             </w:t>
      </w:r>
    </w:p>
    <w:p w14:paraId="294E4DFC">
      <w:pPr>
        <w:spacing w:line="360" w:lineRule="auto"/>
        <w:ind w:left="420" w:leftChars="200"/>
        <w:rPr>
          <w:rFonts w:ascii="Times New Roman" w:hAnsi="Times New Roman" w:eastAsia="宋体" w:cs="Times New Roman"/>
          <w:sz w:val="32"/>
          <w:szCs w:val="32"/>
        </w:rPr>
      </w:pPr>
      <w:r>
        <w:rPr>
          <w:rFonts w:hint="eastAsia" w:ascii="Times New Roman" w:hAnsi="Times New Roman" w:eastAsia="宋体" w:cs="Times New Roman"/>
          <w:sz w:val="32"/>
          <w:szCs w:val="32"/>
        </w:rPr>
        <w:t>签订时间：</w:t>
      </w:r>
      <w:r>
        <w:rPr>
          <w:rFonts w:hint="eastAsia" w:ascii="Times New Roman" w:hAnsi="Times New Roman" w:eastAsia="宋体" w:cs="Times New Roman"/>
          <w:sz w:val="32"/>
          <w:szCs w:val="32"/>
          <w:u w:val="single"/>
        </w:rPr>
        <w:t xml:space="preserve">      </w:t>
      </w:r>
      <w:r>
        <w:rPr>
          <w:rFonts w:ascii="Times New Roman" w:hAnsi="Times New Roman" w:eastAsia="宋体" w:cs="Times New Roman"/>
          <w:sz w:val="32"/>
          <w:szCs w:val="32"/>
          <w:u w:val="single"/>
        </w:rPr>
        <w:t xml:space="preserve">           </w:t>
      </w:r>
      <w:r>
        <w:rPr>
          <w:rFonts w:hint="eastAsia" w:ascii="Times New Roman" w:hAnsi="Times New Roman" w:eastAsia="宋体" w:cs="Times New Roman"/>
          <w:sz w:val="32"/>
          <w:szCs w:val="32"/>
          <w:u w:val="single"/>
        </w:rPr>
        <w:t xml:space="preserve">            </w:t>
      </w:r>
    </w:p>
    <w:p w14:paraId="7CBA4D4B">
      <w:pPr>
        <w:rPr>
          <w:rFonts w:ascii="Times New Roman" w:hAnsi="Times New Roman" w:eastAsia="宋体" w:cs="Times New Roman"/>
        </w:rPr>
      </w:pPr>
    </w:p>
    <w:p w14:paraId="6D443956">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E7E940F">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06B6168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0815CDD9">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42D13EF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29E17BD4">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6A82E57B">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617867A1">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59B72EA">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5D4F2198">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BC37CFD">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p>
    <w:p w14:paraId="7CD687E7">
      <w:pPr>
        <w:keepNext w:val="0"/>
        <w:keepLines w:val="0"/>
        <w:pageBreakBefore w:val="0"/>
        <w:widowControl w:val="0"/>
        <w:kinsoku/>
        <w:wordWrap/>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w:t>
      </w:r>
    </w:p>
    <w:p w14:paraId="7819F712">
      <w:pPr>
        <w:jc w:val="center"/>
        <w:rPr>
          <w:rFonts w:hint="eastAsia" w:ascii="Times New Roman" w:hAnsi="Times New Roman" w:eastAsia="黑体" w:cs="Times New Roman"/>
          <w:sz w:val="44"/>
          <w:szCs w:val="44"/>
          <w:lang w:eastAsia="zh-CN"/>
        </w:rPr>
      </w:pPr>
      <w:r>
        <w:rPr>
          <w:rFonts w:hint="eastAsia" w:ascii="Times New Roman" w:hAnsi="Times New Roman" w:eastAsia="黑体" w:cs="Times New Roman"/>
          <w:sz w:val="44"/>
          <w:szCs w:val="44"/>
          <w:lang w:eastAsia="zh-CN"/>
        </w:rPr>
        <w:t>使</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用</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说</w:t>
      </w:r>
      <w:r>
        <w:rPr>
          <w:rFonts w:hint="eastAsia" w:ascii="Times New Roman" w:hAnsi="Times New Roman" w:eastAsia="黑体" w:cs="Times New Roman"/>
          <w:sz w:val="44"/>
          <w:szCs w:val="44"/>
          <w:lang w:val="en-US" w:eastAsia="zh-CN"/>
        </w:rPr>
        <w:t xml:space="preserve"> </w:t>
      </w:r>
      <w:r>
        <w:rPr>
          <w:rFonts w:hint="eastAsia" w:ascii="Times New Roman" w:hAnsi="Times New Roman" w:eastAsia="黑体" w:cs="Times New Roman"/>
          <w:sz w:val="44"/>
          <w:szCs w:val="44"/>
          <w:lang w:eastAsia="zh-CN"/>
        </w:rPr>
        <w:t>明</w:t>
      </w:r>
    </w:p>
    <w:p w14:paraId="5CB8F94E">
      <w:pPr>
        <w:ind w:firstLine="640" w:firstLineChars="200"/>
        <w:rPr>
          <w:rFonts w:hint="eastAsia" w:ascii="仿宋_GB2312" w:hAnsi="仿宋_GB2312" w:eastAsia="仿宋_GB2312" w:cs="仿宋_GB2312"/>
          <w:sz w:val="32"/>
          <w:szCs w:val="32"/>
          <w:lang w:val="en-US" w:eastAsia="zh-CN"/>
        </w:rPr>
      </w:pPr>
    </w:p>
    <w:p w14:paraId="1F4ED20C">
      <w:pPr>
        <w:keepNext w:val="0"/>
        <w:keepLines w:val="0"/>
        <w:pageBreakBefore w:val="0"/>
        <w:widowControl w:val="0"/>
        <w:kinsoku/>
        <w:wordWrap/>
        <w:topLinePunct w:val="0"/>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1.本合同标准文本适用于购买现成货物的采购项目，不包括需要供应商定制开发、创新研发的货物采购项目。</w:t>
      </w:r>
    </w:p>
    <w:p w14:paraId="05B9E3CF">
      <w:pPr>
        <w:keepNext w:val="0"/>
        <w:keepLines w:val="0"/>
        <w:pageBreakBefore w:val="0"/>
        <w:widowControl w:val="0"/>
        <w:kinsoku/>
        <w:wordWrap/>
        <w:topLinePunct w:val="0"/>
        <w:bidi w:val="0"/>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2.本合同标准文本为政府采购货物买卖合同编制提供参考，可以结合采购项目具体情况，对文本作必要的调整修订后使用。</w:t>
      </w:r>
    </w:p>
    <w:p w14:paraId="1FD3621A">
      <w:pPr>
        <w:keepNext w:val="0"/>
        <w:keepLines w:val="0"/>
        <w:pageBreakBefore w:val="0"/>
        <w:widowControl w:val="0"/>
        <w:kinsoku/>
        <w:wordWrap/>
        <w:topLinePunct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3.本合同标准文本各条款中，如涉及填写多家供应商、制造商，多种采购标的、分包主要内容等信息的，可根据采购项目具体情况添加信息项。</w:t>
      </w:r>
    </w:p>
    <w:p w14:paraId="2495AAD9">
      <w:pPr>
        <w:keepNext w:val="0"/>
        <w:keepLines w:val="0"/>
        <w:pageBreakBefore w:val="0"/>
        <w:widowControl w:val="0"/>
        <w:kinsoku/>
        <w:wordWrap/>
        <w:topLinePunct w:val="0"/>
        <w:autoSpaceDE w:val="0"/>
        <w:autoSpaceDN w:val="0"/>
        <w:bidi w:val="0"/>
        <w:adjustRightInd w:val="0"/>
        <w:spacing w:line="360" w:lineRule="auto"/>
        <w:ind w:firstLine="480" w:firstLineChars="200"/>
        <w:jc w:val="left"/>
        <w:rPr>
          <w:rFonts w:hint="eastAsia" w:asciiTheme="minorEastAsia" w:hAnsiTheme="minorEastAsia" w:eastAsiaTheme="minorEastAsia" w:cstheme="minorEastAsia"/>
          <w:sz w:val="24"/>
          <w:szCs w:val="24"/>
          <w:lang w:eastAsia="zh-CN"/>
        </w:rPr>
      </w:pPr>
    </w:p>
    <w:p w14:paraId="5F32DFE1">
      <w:pPr>
        <w:pStyle w:val="2"/>
        <w:rPr>
          <w:rFonts w:hint="eastAsia" w:asciiTheme="minorEastAsia" w:hAnsiTheme="minorEastAsia" w:eastAsiaTheme="minorEastAsia" w:cstheme="minorEastAsia"/>
          <w:sz w:val="24"/>
          <w:szCs w:val="24"/>
          <w:lang w:eastAsia="zh-CN"/>
        </w:rPr>
      </w:pPr>
    </w:p>
    <w:p w14:paraId="44A844C5">
      <w:pPr>
        <w:pStyle w:val="2"/>
        <w:rPr>
          <w:rFonts w:hint="eastAsia" w:asciiTheme="minorEastAsia" w:hAnsiTheme="minorEastAsia" w:eastAsiaTheme="minorEastAsia" w:cstheme="minorEastAsia"/>
          <w:sz w:val="24"/>
          <w:szCs w:val="24"/>
          <w:lang w:eastAsia="zh-CN"/>
        </w:rPr>
      </w:pPr>
    </w:p>
    <w:p w14:paraId="6958B2B4">
      <w:pPr>
        <w:pStyle w:val="2"/>
        <w:rPr>
          <w:rFonts w:hint="eastAsia" w:asciiTheme="minorEastAsia" w:hAnsiTheme="minorEastAsia" w:eastAsiaTheme="minorEastAsia" w:cstheme="minorEastAsia"/>
          <w:sz w:val="24"/>
          <w:szCs w:val="24"/>
          <w:lang w:eastAsia="zh-CN"/>
        </w:rPr>
      </w:pPr>
    </w:p>
    <w:p w14:paraId="18DCACB2">
      <w:pPr>
        <w:pStyle w:val="2"/>
        <w:rPr>
          <w:rFonts w:hint="eastAsia" w:asciiTheme="minorEastAsia" w:hAnsiTheme="minorEastAsia" w:eastAsiaTheme="minorEastAsia" w:cstheme="minorEastAsia"/>
          <w:sz w:val="24"/>
          <w:szCs w:val="24"/>
          <w:lang w:eastAsia="zh-CN"/>
        </w:rPr>
      </w:pPr>
    </w:p>
    <w:p w14:paraId="5D53FC59">
      <w:pPr>
        <w:pStyle w:val="2"/>
        <w:rPr>
          <w:rFonts w:hint="eastAsia" w:asciiTheme="minorEastAsia" w:hAnsiTheme="minorEastAsia" w:eastAsiaTheme="minorEastAsia" w:cstheme="minorEastAsia"/>
          <w:sz w:val="24"/>
          <w:szCs w:val="24"/>
          <w:lang w:eastAsia="zh-CN"/>
        </w:rPr>
      </w:pPr>
    </w:p>
    <w:p w14:paraId="671519D4">
      <w:pPr>
        <w:pStyle w:val="2"/>
        <w:rPr>
          <w:rFonts w:hint="eastAsia" w:asciiTheme="minorEastAsia" w:hAnsiTheme="minorEastAsia" w:eastAsiaTheme="minorEastAsia" w:cstheme="minorEastAsia"/>
          <w:sz w:val="24"/>
          <w:szCs w:val="24"/>
          <w:lang w:eastAsia="zh-CN"/>
        </w:rPr>
      </w:pPr>
    </w:p>
    <w:p w14:paraId="17A134A0">
      <w:pPr>
        <w:pStyle w:val="2"/>
        <w:rPr>
          <w:rFonts w:hint="eastAsia" w:asciiTheme="minorEastAsia" w:hAnsiTheme="minorEastAsia" w:eastAsiaTheme="minorEastAsia" w:cstheme="minorEastAsia"/>
          <w:sz w:val="24"/>
          <w:szCs w:val="24"/>
          <w:lang w:eastAsia="zh-CN"/>
        </w:rPr>
      </w:pPr>
    </w:p>
    <w:p w14:paraId="3949785E">
      <w:pPr>
        <w:pStyle w:val="2"/>
        <w:rPr>
          <w:rFonts w:hint="eastAsia" w:asciiTheme="minorEastAsia" w:hAnsiTheme="minorEastAsia" w:eastAsiaTheme="minorEastAsia" w:cstheme="minorEastAsia"/>
          <w:sz w:val="24"/>
          <w:szCs w:val="24"/>
          <w:lang w:eastAsia="zh-CN"/>
        </w:rPr>
      </w:pPr>
    </w:p>
    <w:p w14:paraId="7C802DD0">
      <w:pPr>
        <w:pStyle w:val="2"/>
        <w:rPr>
          <w:rFonts w:hint="eastAsia" w:asciiTheme="minorEastAsia" w:hAnsiTheme="minorEastAsia" w:eastAsiaTheme="minorEastAsia" w:cstheme="minorEastAsia"/>
          <w:sz w:val="24"/>
          <w:szCs w:val="24"/>
          <w:lang w:eastAsia="zh-CN"/>
        </w:rPr>
      </w:pPr>
    </w:p>
    <w:p w14:paraId="044A9236">
      <w:pPr>
        <w:pStyle w:val="2"/>
        <w:rPr>
          <w:rFonts w:hint="eastAsia" w:asciiTheme="minorEastAsia" w:hAnsiTheme="minorEastAsia" w:eastAsiaTheme="minorEastAsia" w:cstheme="minorEastAsia"/>
          <w:sz w:val="24"/>
          <w:szCs w:val="24"/>
          <w:lang w:eastAsia="zh-CN"/>
        </w:rPr>
      </w:pPr>
    </w:p>
    <w:p w14:paraId="283A066A">
      <w:pPr>
        <w:pStyle w:val="2"/>
        <w:rPr>
          <w:rFonts w:hint="eastAsia" w:asciiTheme="minorEastAsia" w:hAnsiTheme="minorEastAsia" w:eastAsiaTheme="minorEastAsia" w:cstheme="minorEastAsia"/>
          <w:sz w:val="24"/>
          <w:szCs w:val="24"/>
          <w:lang w:eastAsia="zh-CN"/>
        </w:rPr>
      </w:pPr>
    </w:p>
    <w:p w14:paraId="4C675A27">
      <w:pPr>
        <w:pStyle w:val="2"/>
        <w:rPr>
          <w:rFonts w:hint="eastAsia" w:asciiTheme="minorEastAsia" w:hAnsiTheme="minorEastAsia" w:eastAsiaTheme="minorEastAsia" w:cstheme="minorEastAsia"/>
          <w:sz w:val="24"/>
          <w:szCs w:val="24"/>
          <w:lang w:eastAsia="zh-CN"/>
        </w:rPr>
      </w:pPr>
    </w:p>
    <w:p w14:paraId="7EA0476D">
      <w:pPr>
        <w:pStyle w:val="2"/>
        <w:rPr>
          <w:rFonts w:hint="eastAsia" w:asciiTheme="minorEastAsia" w:hAnsiTheme="minorEastAsia" w:eastAsiaTheme="minorEastAsia" w:cstheme="minorEastAsia"/>
          <w:sz w:val="24"/>
          <w:szCs w:val="24"/>
          <w:lang w:eastAsia="zh-CN"/>
        </w:rPr>
      </w:pPr>
    </w:p>
    <w:p w14:paraId="57525CCD">
      <w:pPr>
        <w:pStyle w:val="2"/>
        <w:rPr>
          <w:rFonts w:hint="eastAsia" w:asciiTheme="minorEastAsia" w:hAnsiTheme="minorEastAsia" w:eastAsiaTheme="minorEastAsia" w:cstheme="minorEastAsia"/>
          <w:sz w:val="24"/>
          <w:szCs w:val="24"/>
          <w:lang w:eastAsia="zh-CN"/>
        </w:rPr>
      </w:pPr>
    </w:p>
    <w:p w14:paraId="3A345ECD">
      <w:pPr>
        <w:pStyle w:val="2"/>
        <w:rPr>
          <w:rFonts w:hint="eastAsia" w:asciiTheme="minorEastAsia" w:hAnsiTheme="minorEastAsia" w:eastAsiaTheme="minorEastAsia" w:cstheme="minorEastAsia"/>
          <w:sz w:val="24"/>
          <w:szCs w:val="24"/>
          <w:lang w:eastAsia="zh-CN"/>
        </w:rPr>
      </w:pPr>
    </w:p>
    <w:p w14:paraId="4FF5C409">
      <w:pPr>
        <w:pStyle w:val="2"/>
        <w:rPr>
          <w:rFonts w:hint="eastAsia" w:asciiTheme="minorEastAsia" w:hAnsiTheme="minorEastAsia" w:eastAsiaTheme="minorEastAsia" w:cstheme="minorEastAsia"/>
          <w:sz w:val="24"/>
          <w:szCs w:val="24"/>
          <w:lang w:eastAsia="zh-CN"/>
        </w:rPr>
      </w:pPr>
    </w:p>
    <w:p w14:paraId="424AADD9">
      <w:pPr>
        <w:pStyle w:val="2"/>
        <w:rPr>
          <w:rFonts w:hint="eastAsia" w:asciiTheme="minorEastAsia" w:hAnsiTheme="minorEastAsia" w:eastAsiaTheme="minorEastAsia" w:cstheme="minorEastAsia"/>
          <w:sz w:val="24"/>
          <w:szCs w:val="24"/>
          <w:lang w:eastAsia="zh-CN"/>
        </w:rPr>
      </w:pPr>
    </w:p>
    <w:p w14:paraId="30EA9D65">
      <w:pPr>
        <w:pStyle w:val="2"/>
        <w:rPr>
          <w:rFonts w:hint="eastAsia" w:asciiTheme="minorEastAsia" w:hAnsiTheme="minorEastAsia" w:eastAsiaTheme="minorEastAsia" w:cstheme="minorEastAsia"/>
          <w:sz w:val="24"/>
          <w:szCs w:val="24"/>
          <w:lang w:eastAsia="zh-CN"/>
        </w:rPr>
      </w:pPr>
    </w:p>
    <w:p w14:paraId="2CE4A726">
      <w:pPr>
        <w:pStyle w:val="2"/>
        <w:rPr>
          <w:rFonts w:hint="eastAsia" w:asciiTheme="minorEastAsia" w:hAnsiTheme="minorEastAsia" w:eastAsiaTheme="minorEastAsia" w:cstheme="minorEastAsia"/>
          <w:sz w:val="24"/>
          <w:szCs w:val="24"/>
          <w:lang w:eastAsia="zh-CN"/>
        </w:rPr>
      </w:pPr>
    </w:p>
    <w:p w14:paraId="3BBA92D5">
      <w:pPr>
        <w:pStyle w:val="2"/>
        <w:rPr>
          <w:rFonts w:hint="eastAsia" w:asciiTheme="minorEastAsia" w:hAnsiTheme="minorEastAsia" w:eastAsiaTheme="minorEastAsia" w:cstheme="minorEastAsia"/>
          <w:sz w:val="24"/>
          <w:szCs w:val="24"/>
          <w:lang w:eastAsia="zh-CN"/>
        </w:rPr>
      </w:pPr>
    </w:p>
    <w:p w14:paraId="5DE3F7F7">
      <w:pPr>
        <w:pStyle w:val="2"/>
        <w:rPr>
          <w:rFonts w:hint="eastAsia" w:asciiTheme="minorEastAsia" w:hAnsiTheme="minorEastAsia" w:eastAsiaTheme="minorEastAsia" w:cstheme="minorEastAsia"/>
          <w:sz w:val="24"/>
          <w:szCs w:val="24"/>
          <w:lang w:eastAsia="zh-CN"/>
        </w:rPr>
      </w:pPr>
    </w:p>
    <w:p w14:paraId="4F9C1F44">
      <w:pPr>
        <w:pStyle w:val="2"/>
        <w:rPr>
          <w:rFonts w:hint="eastAsia" w:asciiTheme="minorEastAsia" w:hAnsiTheme="minorEastAsia" w:eastAsiaTheme="minorEastAsia" w:cstheme="minorEastAsia"/>
          <w:sz w:val="24"/>
          <w:szCs w:val="24"/>
          <w:lang w:eastAsia="zh-CN"/>
        </w:rPr>
      </w:pPr>
    </w:p>
    <w:p w14:paraId="633360BC">
      <w:pPr>
        <w:pStyle w:val="2"/>
        <w:rPr>
          <w:rFonts w:hint="eastAsia" w:asciiTheme="minorEastAsia" w:hAnsiTheme="minorEastAsia" w:eastAsiaTheme="minorEastAsia" w:cstheme="minorEastAsia"/>
          <w:sz w:val="24"/>
          <w:szCs w:val="24"/>
          <w:lang w:eastAsia="zh-CN"/>
        </w:rPr>
      </w:pPr>
    </w:p>
    <w:p w14:paraId="47D11C1D">
      <w:pPr>
        <w:pStyle w:val="2"/>
        <w:rPr>
          <w:rFonts w:hint="eastAsia" w:asciiTheme="minorEastAsia" w:hAnsiTheme="minorEastAsia" w:eastAsiaTheme="minorEastAsia" w:cstheme="minorEastAsia"/>
          <w:sz w:val="24"/>
          <w:szCs w:val="24"/>
          <w:lang w:eastAsia="zh-CN"/>
        </w:rPr>
      </w:pPr>
    </w:p>
    <w:p w14:paraId="435C5B10">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p>
    <w:p w14:paraId="3D7B25CA">
      <w:pPr>
        <w:pStyle w:val="3"/>
        <w:adjustRightInd w:val="0"/>
        <w:snapToGrid w:val="0"/>
        <w:spacing w:beforeLines="0" w:line="400" w:lineRule="exact"/>
        <w:jc w:val="center"/>
        <w:rPr>
          <w:rFonts w:hint="eastAsia" w:ascii="黑体" w:hAnsi="华文中宋" w:eastAsia="黑体"/>
          <w:b w:val="0"/>
          <w:bCs w:val="0"/>
          <w:sz w:val="28"/>
          <w:szCs w:val="28"/>
        </w:rPr>
      </w:pPr>
    </w:p>
    <w:p w14:paraId="5B363948">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rPr>
        <w:t>甲方（全称）：</w:t>
      </w:r>
      <w:r>
        <w:rPr>
          <w:rFonts w:hint="eastAsia" w:ascii="宋体" w:hAnsi="宋体" w:eastAsia="宋体" w:cs="Times New Roman"/>
          <w:szCs w:val="21"/>
          <w:u w:val="single"/>
        </w:rPr>
        <w:t xml:space="preserve">                        </w:t>
      </w:r>
      <w:r>
        <w:rPr>
          <w:rFonts w:hint="eastAsia" w:ascii="宋体" w:hAnsi="宋体"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或采购</w:t>
      </w:r>
      <w:r>
        <w:rPr>
          <w:rFonts w:hint="eastAsia" w:ascii="宋体" w:hAnsi="宋体" w:eastAsia="宋体" w:cs="Times New Roman"/>
          <w:szCs w:val="21"/>
          <w:lang w:val="en-US" w:eastAsia="zh-CN"/>
        </w:rPr>
        <w:tab/>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文件约定的合同甲方）</w:t>
      </w:r>
    </w:p>
    <w:p w14:paraId="7399DF9B">
      <w:pPr>
        <w:adjustRightInd w:val="0"/>
        <w:snapToGrid w:val="0"/>
        <w:spacing w:before="0" w:beforeLines="0" w:line="400" w:lineRule="exact"/>
        <w:rPr>
          <w:rFonts w:ascii="宋体" w:hAnsi="宋体" w:eastAsia="宋体" w:cs="Times New Roman"/>
          <w:szCs w:val="21"/>
        </w:rPr>
      </w:pPr>
      <w:r>
        <w:rPr>
          <w:rFonts w:hint="eastAsia" w:ascii="宋体" w:hAnsi="宋体" w:eastAsia="宋体" w:cs="Times New Roman"/>
          <w:szCs w:val="21"/>
        </w:rPr>
        <w:t>乙方</w:t>
      </w:r>
      <w:r>
        <w:rPr>
          <w:rFonts w:hint="eastAsia" w:ascii="宋体" w:hAnsi="宋体" w:eastAsia="宋体" w:cs="Times New Roman"/>
          <w:szCs w:val="21"/>
          <w:lang w:val="en-US" w:eastAsia="zh-CN"/>
        </w:rPr>
        <w:t>1</w:t>
      </w:r>
      <w:r>
        <w:rPr>
          <w:rFonts w:hint="eastAsia" w:ascii="宋体" w:hAnsi="宋体" w:eastAsia="宋体" w:cs="Times New Roman"/>
          <w:szCs w:val="21"/>
        </w:rPr>
        <w:t>（全称）：</w:t>
      </w:r>
      <w:r>
        <w:rPr>
          <w:rFonts w:hint="eastAsia" w:ascii="宋体" w:hAnsi="宋体" w:eastAsia="宋体" w:cs="Times New Roman"/>
          <w:szCs w:val="21"/>
          <w:u w:val="single"/>
        </w:rPr>
        <w:t xml:space="preserve">                       </w:t>
      </w:r>
      <w:r>
        <w:rPr>
          <w:rFonts w:hint="eastAsia" w:ascii="宋体" w:hAnsi="宋体" w:eastAsia="宋体" w:cs="Times New Roman"/>
          <w:szCs w:val="21"/>
        </w:rPr>
        <w:t>（供应商）</w:t>
      </w:r>
    </w:p>
    <w:p w14:paraId="0A52D07B">
      <w:pPr>
        <w:adjustRightInd w:val="0"/>
        <w:snapToGrid w:val="0"/>
        <w:spacing w:before="0" w:beforeLines="0" w:line="400" w:lineRule="exact"/>
        <w:rPr>
          <w:rFonts w:hint="eastAsia" w:ascii="宋体" w:hAnsi="宋体" w:eastAsia="宋体" w:cs="Times New Roman"/>
          <w:szCs w:val="21"/>
        </w:rPr>
      </w:pPr>
      <w:r>
        <w:rPr>
          <w:rFonts w:hint="eastAsia" w:ascii="宋体" w:hAnsi="宋体" w:eastAsia="宋体" w:cs="Times New Roman"/>
          <w:szCs w:val="21"/>
        </w:rPr>
        <w:t>乙方2（全称）：</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170C936C">
      <w:pPr>
        <w:adjustRightInd w:val="0"/>
        <w:snapToGrid w:val="0"/>
        <w:spacing w:before="0" w:beforeLines="0" w:line="400" w:lineRule="exact"/>
        <w:rPr>
          <w:rFonts w:hint="eastAsia" w:ascii="宋体" w:hAnsi="宋体" w:eastAsia="宋体" w:cs="Times New Roman"/>
          <w:szCs w:val="21"/>
        </w:rPr>
      </w:pPr>
      <w:r>
        <w:rPr>
          <w:rFonts w:hint="eastAsia" w:ascii="Times New Roman" w:hAnsi="Times New Roman" w:eastAsia="宋体" w:cs="Times New Roman"/>
          <w:lang w:eastAsia="zh-CN"/>
        </w:rPr>
        <w:t>乙方</w:t>
      </w:r>
      <w:r>
        <w:rPr>
          <w:rFonts w:hint="eastAsia" w:ascii="宋体" w:hAnsi="宋体" w:eastAsia="宋体" w:cs="Times New Roman"/>
          <w:szCs w:val="21"/>
          <w:lang w:val="en-US" w:eastAsia="zh-CN"/>
        </w:rPr>
        <w:t>3</w:t>
      </w:r>
      <w:r>
        <w:rPr>
          <w:rFonts w:hint="eastAsia" w:ascii="Times New Roman" w:hAnsi="Times New Roman" w:eastAsia="宋体" w:cs="Times New Roman"/>
          <w:lang w:val="en-US" w:eastAsia="zh-CN"/>
        </w:rPr>
        <w:t>（全称）</w:t>
      </w:r>
      <w:r>
        <w:rPr>
          <w:rFonts w:hint="eastAsia" w:ascii="宋体" w:hAnsi="宋体" w:eastAsia="宋体" w:cs="Times New Roman"/>
          <w:szCs w:val="21"/>
          <w:u w:val="single"/>
        </w:rPr>
        <w:t xml:space="preserve">                          </w:t>
      </w:r>
      <w:r>
        <w:rPr>
          <w:rFonts w:hint="eastAsia" w:ascii="宋体" w:hAnsi="宋体" w:eastAsia="宋体" w:cs="Times New Roman"/>
          <w:szCs w:val="21"/>
        </w:rPr>
        <w:t>（联合体成员供应商或其他合同主体）（如有）</w:t>
      </w:r>
    </w:p>
    <w:p w14:paraId="26ADC493">
      <w:pPr>
        <w:spacing w:beforeLines="0" w:line="400" w:lineRule="exact"/>
        <w:rPr>
          <w:rFonts w:hint="default" w:ascii="Times New Roman" w:hAnsi="Times New Roman" w:eastAsia="宋体" w:cs="Times New Roman"/>
          <w:lang w:val="en-US" w:eastAsia="zh-CN"/>
        </w:rPr>
      </w:pPr>
    </w:p>
    <w:p w14:paraId="1F0FF6B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u w:val="none"/>
          <w:lang w:val="en-US" w:eastAsia="zh-CN" w:bidi="ar-SA"/>
        </w:rPr>
        <w:t>本采购项目</w:t>
      </w:r>
      <w:r>
        <w:rPr>
          <w:rFonts w:hint="eastAsia" w:ascii="宋体" w:hAnsi="宋体" w:eastAsia="宋体" w:cs="Times New Roman"/>
          <w:kern w:val="2"/>
          <w:sz w:val="21"/>
          <w:szCs w:val="21"/>
          <w:lang w:val="en-US" w:eastAsia="zh-CN" w:bidi="ar-SA"/>
        </w:rPr>
        <w:t xml:space="preserve">的招标/谈判文件等采购文件、乙方的《投标（响应）文件》及《中标（成交）通知书》，甲乙双方同意签订本合同。具体情况及要求如下：     </w:t>
      </w:r>
    </w:p>
    <w:p w14:paraId="31D2E8A2">
      <w:pPr>
        <w:numPr>
          <w:ilvl w:val="0"/>
          <w:numId w:val="2"/>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项目信息</w:t>
      </w:r>
    </w:p>
    <w:p w14:paraId="51CF5F80">
      <w:pPr>
        <w:widowControl w:val="0"/>
        <w:numPr>
          <w:ilvl w:val="0"/>
          <w:numId w:val="3"/>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u w:val="single"/>
          <w:lang w:val="en-US" w:eastAsia="zh-CN" w:bidi="ar-SA"/>
        </w:rPr>
      </w:pPr>
      <w:r>
        <w:rPr>
          <w:rFonts w:hint="eastAsia" w:ascii="宋体" w:hAnsi="宋体" w:eastAsia="宋体" w:cs="Times New Roman"/>
          <w:kern w:val="2"/>
          <w:sz w:val="21"/>
          <w:szCs w:val="21"/>
          <w:lang w:val="en-US" w:eastAsia="zh-CN" w:bidi="ar-SA"/>
        </w:rPr>
        <w:t>采购项目名称：</w:t>
      </w:r>
      <w:r>
        <w:rPr>
          <w:rFonts w:ascii="宋体" w:hAnsi="宋体" w:eastAsia="宋体" w:cs="Times New Roman"/>
          <w:kern w:val="2"/>
          <w:sz w:val="21"/>
          <w:szCs w:val="21"/>
          <w:u w:val="single"/>
          <w:lang w:val="en-US" w:eastAsia="zh-CN" w:bidi="ar-SA"/>
        </w:rPr>
        <w:t xml:space="preserve">                                          </w:t>
      </w:r>
    </w:p>
    <w:p w14:paraId="222C2F06">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u w:val="none"/>
          <w:lang w:val="en-US" w:eastAsia="zh-CN" w:bidi="ar-SA"/>
        </w:rPr>
      </w:pPr>
      <w:r>
        <w:rPr>
          <w:rFonts w:hint="eastAsia" w:ascii="宋体" w:hAnsi="宋体" w:eastAsia="宋体" w:cs="Times New Roman"/>
          <w:kern w:val="2"/>
          <w:sz w:val="21"/>
          <w:szCs w:val="21"/>
          <w:u w:val="none"/>
          <w:lang w:val="en-US" w:eastAsia="zh-CN" w:bidi="ar-SA"/>
        </w:rPr>
        <w:t xml:space="preserve">         采购项目编号：</w:t>
      </w:r>
      <w:r>
        <w:rPr>
          <w:rFonts w:ascii="宋体" w:hAnsi="宋体" w:eastAsia="宋体" w:cs="Times New Roman"/>
          <w:kern w:val="2"/>
          <w:sz w:val="21"/>
          <w:szCs w:val="21"/>
          <w:u w:val="single"/>
          <w:lang w:val="en-US" w:eastAsia="zh-CN" w:bidi="ar-SA"/>
        </w:rPr>
        <w:t xml:space="preserve">                                          </w:t>
      </w:r>
    </w:p>
    <w:p w14:paraId="04E4EA79">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（2）采购计划编号：</w:t>
      </w:r>
      <w:r>
        <w:rPr>
          <w:rFonts w:ascii="宋体" w:hAnsi="宋体" w:eastAsia="宋体" w:cs="Times New Roman"/>
          <w:kern w:val="2"/>
          <w:sz w:val="21"/>
          <w:szCs w:val="21"/>
          <w:u w:val="single"/>
          <w:lang w:val="en-US" w:eastAsia="zh-CN" w:bidi="ar-SA"/>
        </w:rPr>
        <w:t xml:space="preserve">                     </w:t>
      </w:r>
      <w:r>
        <w:rPr>
          <w:rFonts w:hint="eastAsia"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u w:val="single"/>
          <w:lang w:val="en-US" w:eastAsia="zh-CN" w:bidi="ar-SA"/>
        </w:rPr>
        <w:t xml:space="preserve">     </w:t>
      </w:r>
      <w:r>
        <w:rPr>
          <w:rFonts w:ascii="宋体" w:hAnsi="宋体" w:eastAsia="宋体" w:cs="Times New Roman"/>
          <w:kern w:val="2"/>
          <w:sz w:val="21"/>
          <w:szCs w:val="21"/>
          <w:lang w:val="en-US" w:eastAsia="zh-CN" w:bidi="ar-SA"/>
        </w:rPr>
        <w:t xml:space="preserve"> </w:t>
      </w:r>
    </w:p>
    <w:p w14:paraId="6F429FDA">
      <w:pPr>
        <w:adjustRightInd w:val="0"/>
        <w:snapToGrid w:val="0"/>
        <w:spacing w:before="0" w:beforeLines="0"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（3）项目内容：</w:t>
      </w:r>
    </w:p>
    <w:p w14:paraId="50E7D472">
      <w:pPr>
        <w:adjustRightInd w:val="0"/>
        <w:snapToGrid w:val="0"/>
        <w:spacing w:before="0" w:beforeLines="0"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采购标的及数量</w:t>
      </w:r>
      <w:r>
        <w:rPr>
          <w:rFonts w:hint="eastAsia" w:ascii="宋体" w:hAnsi="宋体" w:eastAsia="宋体" w:cs="Times New Roman"/>
          <w:szCs w:val="21"/>
          <w:lang w:val="en-US" w:eastAsia="zh-CN"/>
        </w:rPr>
        <w:t>（台/套</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个</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架</w:t>
      </w:r>
      <w:r>
        <w:rPr>
          <w:rFonts w:hint="default" w:ascii="宋体" w:hAnsi="宋体" w:eastAsia="宋体" w:cs="Times New Roman"/>
          <w:szCs w:val="21"/>
          <w:lang w:val="en" w:eastAsia="zh-CN"/>
        </w:rPr>
        <w:t>/</w:t>
      </w:r>
      <w:r>
        <w:rPr>
          <w:rFonts w:hint="eastAsia" w:ascii="宋体" w:hAnsi="宋体" w:eastAsia="宋体" w:cs="Times New Roman"/>
          <w:szCs w:val="21"/>
          <w:lang w:val="en" w:eastAsia="zh-CN"/>
        </w:rPr>
        <w:t>组等</w:t>
      </w:r>
      <w:r>
        <w:rPr>
          <w:rFonts w:hint="eastAsia" w:ascii="宋体" w:hAnsi="宋体" w:eastAsia="宋体" w:cs="Times New Roman"/>
          <w:szCs w:val="21"/>
          <w:lang w:val="en-US" w:eastAsia="zh-CN"/>
        </w:rPr>
        <w:t>）</w:t>
      </w:r>
      <w:r>
        <w:rPr>
          <w:rFonts w:hint="eastAsia" w:ascii="宋体" w:hAnsi="宋体" w:eastAsia="宋体" w:cs="Times New Roman"/>
          <w:szCs w:val="21"/>
          <w:lang w:eastAsia="zh-CN"/>
        </w:rPr>
        <w:t>：</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US" w:eastAsia="zh-CN"/>
        </w:rPr>
        <w:t xml:space="preserve"> </w:t>
      </w:r>
    </w:p>
    <w:p w14:paraId="5D672E62">
      <w:pPr>
        <w:numPr>
          <w:ilvl w:val="-1"/>
          <w:numId w:val="0"/>
        </w:numPr>
        <w:adjustRightInd w:val="0"/>
        <w:snapToGrid w:val="0"/>
        <w:spacing w:before="0" w:beforeLines="0" w:line="400" w:lineRule="exact"/>
        <w:ind w:firstLine="420" w:firstLineChars="200"/>
        <w:rPr>
          <w:rFonts w:hint="default" w:ascii="宋体" w:hAnsi="宋体" w:eastAsia="宋体" w:cs="宋体"/>
          <w:szCs w:val="21"/>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 w:eastAsia="zh-CN"/>
        </w:rPr>
        <w:t xml:space="preserve">   </w:t>
      </w:r>
    </w:p>
    <w:p w14:paraId="24E815E3">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3540531C">
      <w:pPr>
        <w:numPr>
          <w:ilvl w:val="-1"/>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eastAsia="宋体" w:cs="宋体"/>
          <w:szCs w:val="21"/>
          <w:lang w:val="en-US" w:eastAsia="zh-CN"/>
        </w:rPr>
        <w:t>涉及信息类产品，请填写该产品关键部件的品牌、型号：</w:t>
      </w:r>
    </w:p>
    <w:p w14:paraId="2877875C">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default"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0FE2AEED">
      <w:pPr>
        <w:numPr>
          <w:ilvl w:val="-1"/>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2C455CFB">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1D22C5E6">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12FC8DAB">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270D9EF">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6B32C0AE">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37C9B907">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7B635F28">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206755E8">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10802AE9">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B580DC2">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0ED7E981">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0D3AEFF9">
      <w:pPr>
        <w:numPr>
          <w:ilvl w:val="-1"/>
          <w:numId w:val="0"/>
        </w:numPr>
        <w:adjustRightInd w:val="0"/>
        <w:snapToGrid w:val="0"/>
        <w:spacing w:before="0" w:beforeLines="0" w:line="400" w:lineRule="exact"/>
        <w:ind w:left="0" w:leftChars="0" w:firstLine="0" w:firstLineChars="0"/>
        <w:rPr>
          <w:rFonts w:hint="eastAsia" w:ascii="宋体" w:hAnsi="宋体" w:eastAsia="宋体" w:cs="Times New Roman"/>
          <w:iCs/>
          <w:szCs w:val="21"/>
        </w:rPr>
      </w:pPr>
      <w:r>
        <w:rPr>
          <w:rFonts w:hint="eastAsia" w:ascii="宋体" w:hAnsi="宋体" w:eastAsia="宋体" w:cs="Times New Roman"/>
          <w:w w:val="100"/>
          <w:szCs w:val="21"/>
          <w:lang w:val="en-US" w:eastAsia="zh-CN"/>
        </w:rPr>
        <w:t xml:space="preserve">         本合同</w:t>
      </w:r>
      <w:r>
        <w:rPr>
          <w:rFonts w:hint="eastAsia" w:ascii="宋体" w:hAnsi="宋体" w:eastAsia="宋体" w:cs="Times New Roman"/>
          <w:w w:val="100"/>
          <w:szCs w:val="21"/>
        </w:rPr>
        <w:t>是否</w:t>
      </w:r>
      <w:r>
        <w:rPr>
          <w:rFonts w:hint="eastAsia" w:ascii="宋体" w:hAnsi="宋体" w:eastAsia="宋体" w:cs="Times New Roman"/>
          <w:w w:val="100"/>
          <w:szCs w:val="21"/>
          <w:lang w:eastAsia="zh-CN"/>
        </w:rPr>
        <w:t>为专门面向</w:t>
      </w:r>
      <w:r>
        <w:rPr>
          <w:rFonts w:hint="eastAsia" w:ascii="宋体" w:hAnsi="宋体" w:eastAsia="宋体" w:cs="Times New Roman"/>
          <w:w w:val="100"/>
          <w:szCs w:val="21"/>
        </w:rPr>
        <w:t>中小企业</w:t>
      </w:r>
      <w:r>
        <w:rPr>
          <w:rFonts w:hint="eastAsia" w:ascii="宋体" w:hAnsi="宋体" w:eastAsia="宋体" w:cs="Times New Roman"/>
          <w:w w:val="100"/>
          <w:szCs w:val="21"/>
          <w:lang w:eastAsia="zh-CN"/>
        </w:rPr>
        <w:t>的采</w:t>
      </w:r>
      <w:r>
        <w:rPr>
          <w:rFonts w:hint="eastAsia" w:ascii="宋体" w:hAnsi="宋体" w:eastAsia="宋体" w:cs="Times New Roman"/>
          <w:w w:val="100"/>
          <w:szCs w:val="21"/>
          <w:shd w:val="clear"/>
          <w:lang w:eastAsia="zh-CN"/>
        </w:rPr>
        <w:t>购</w:t>
      </w:r>
      <w:r>
        <w:rPr>
          <w:rFonts w:hint="eastAsia" w:ascii="宋体" w:hAnsi="宋体" w:eastAsia="宋体" w:cs="Times New Roman"/>
          <w:w w:val="100"/>
          <w:szCs w:val="21"/>
          <w:shd w:val="clear"/>
        </w:rPr>
        <w:t>合同</w:t>
      </w:r>
      <w:r>
        <w:rPr>
          <w:rFonts w:hint="eastAsia" w:ascii="宋体" w:hAnsi="宋体" w:eastAsia="宋体" w:cs="Times New Roman"/>
          <w:w w:val="100"/>
          <w:szCs w:val="21"/>
          <w:shd w:val="clear"/>
          <w:lang w:eastAsia="zh-CN"/>
        </w:rPr>
        <w:t>（中小企业预留合同）</w:t>
      </w:r>
      <w:r>
        <w:rPr>
          <w:rFonts w:hint="eastAsia" w:ascii="宋体" w:hAnsi="宋体" w:eastAsia="宋体" w:cs="Times New Roman"/>
          <w:szCs w:val="21"/>
          <w:shd w:val="clear"/>
        </w:rPr>
        <w:t>：</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268AFFB2">
      <w:pPr>
        <w:numPr>
          <w:ilvl w:val="-1"/>
          <w:numId w:val="0"/>
        </w:numPr>
        <w:adjustRightInd w:val="0"/>
        <w:snapToGrid w:val="0"/>
        <w:spacing w:before="0" w:beforeLines="0" w:line="400" w:lineRule="exact"/>
        <w:ind w:firstLine="0" w:firstLineChars="0"/>
        <w:rPr>
          <w:rFonts w:hint="eastAsia" w:ascii="宋体" w:hAnsi="宋体" w:eastAsia="宋体" w:cs="Times New Roman"/>
          <w:iCs/>
          <w:szCs w:val="21"/>
        </w:rPr>
      </w:pPr>
      <w:r>
        <w:rPr>
          <w:rFonts w:hint="eastAsia" w:ascii="Times New Roman" w:hAnsi="Times New Roman" w:eastAsia="宋体" w:cs="Times New Roman"/>
          <w:lang w:val="en-US" w:eastAsia="zh-CN"/>
        </w:rPr>
        <w:t xml:space="preserve">         若本项目不专门面向中小企业采购，是否给予小微企业评审优惠：</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592C1167">
      <w:pPr>
        <w:numPr>
          <w:ilvl w:val="-1"/>
          <w:numId w:val="0"/>
        </w:numPr>
        <w:adjustRightInd w:val="0"/>
        <w:snapToGrid w:val="0"/>
        <w:spacing w:before="0" w:beforeLines="0" w:line="400" w:lineRule="exact"/>
        <w:ind w:firstLine="0" w:firstLineChars="0"/>
        <w:rPr>
          <w:rFonts w:hint="eastAsia" w:ascii="宋体" w:hAnsi="宋体" w:eastAsia="宋体" w:cs="Times New Roman"/>
          <w:iCs/>
          <w:szCs w:val="21"/>
        </w:rPr>
      </w:pPr>
      <w:r>
        <w:rPr>
          <w:rFonts w:hint="eastAsia" w:ascii="Times New Roman" w:hAnsi="Times New Roman" w:eastAsia="宋体" w:cs="Times New Roman"/>
          <w:lang w:val="en-US" w:eastAsia="zh-CN"/>
        </w:rPr>
        <w:t xml:space="preserve">         中标（成交）采购标的制造商是否为残疾人福利性单位：</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5117E01B">
      <w:pPr>
        <w:numPr>
          <w:ilvl w:val="0"/>
          <w:numId w:val="0"/>
        </w:numPr>
        <w:snapToGrid w:val="0"/>
        <w:spacing w:beforeLines="0" w:line="400" w:lineRule="exact"/>
        <w:ind w:firstLine="0" w:firstLineChars="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         中标（成交）采购标的制造商是否为监狱企业：</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3A46C8B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default" w:ascii="宋体" w:hAnsi="宋体" w:eastAsia="宋体" w:cs="Times New Roman"/>
          <w:szCs w:val="21"/>
          <w:lang w:val="en" w:eastAsia="zh-CN"/>
        </w:rPr>
        <w:t>7</w:t>
      </w:r>
      <w:r>
        <w:rPr>
          <w:rFonts w:hint="eastAsia" w:ascii="宋体" w:hAnsi="宋体" w:eastAsia="宋体" w:cs="Times New Roman"/>
          <w:szCs w:val="21"/>
        </w:rPr>
        <w:t>）合同是否分包：</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是       </w:t>
      </w:r>
      <w:r>
        <w:rPr>
          <w:rFonts w:hint="eastAsia" w:ascii="宋体" w:hAnsi="宋体" w:eastAsia="宋体" w:cs="Times New Roman"/>
          <w:iCs/>
          <w:szCs w:val="21"/>
        </w:rPr>
        <w:sym w:font="Wingdings" w:char="00A8"/>
      </w:r>
      <w:r>
        <w:rPr>
          <w:rFonts w:hint="eastAsia" w:ascii="宋体" w:hAnsi="宋体" w:eastAsia="宋体" w:cs="Times New Roman"/>
          <w:iCs/>
          <w:szCs w:val="21"/>
        </w:rPr>
        <w:t>否</w:t>
      </w:r>
    </w:p>
    <w:p w14:paraId="30437704">
      <w:pPr>
        <w:adjustRightInd w:val="0"/>
        <w:snapToGrid w:val="0"/>
        <w:spacing w:before="0" w:beforeLines="0" w:line="400" w:lineRule="exact"/>
        <w:ind w:firstLine="840" w:firstLineChars="400"/>
        <w:rPr>
          <w:rFonts w:hint="eastAsia"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分包主要内容：</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7A0FC42F">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u w:val="none"/>
          <w:lang w:val="en-US" w:eastAsia="zh-CN"/>
        </w:rPr>
        <w:t xml:space="preserve"> </w:t>
      </w:r>
      <w:r>
        <w:rPr>
          <w:rFonts w:hint="eastAsia" w:ascii="宋体" w:hAnsi="宋体" w:eastAsia="宋体" w:cs="Times New Roman"/>
          <w:szCs w:val="21"/>
        </w:rPr>
        <w:t>分包</w:t>
      </w:r>
      <w:r>
        <w:rPr>
          <w:rFonts w:hint="eastAsia" w:ascii="宋体" w:hAnsi="宋体" w:eastAsia="宋体" w:cs="Times New Roman"/>
          <w:szCs w:val="21"/>
          <w:highlight w:val="none"/>
        </w:rPr>
        <w:t>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3E3DB6F4">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05F2C407">
      <w:pPr>
        <w:adjustRightInd w:val="0"/>
        <w:snapToGrid w:val="0"/>
        <w:spacing w:before="0" w:beforeLines="0" w:line="400" w:lineRule="exact"/>
        <w:ind w:firstLine="840" w:firstLineChars="400"/>
        <w:rPr>
          <w:rFonts w:hint="eastAsia" w:ascii="宋体" w:hAnsi="宋体" w:eastAsia="宋体" w:cs="Times New Roman"/>
          <w:szCs w:val="21"/>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rPr>
        <w:t>：</w:t>
      </w:r>
    </w:p>
    <w:p w14:paraId="7CB34C39">
      <w:pPr>
        <w:adjustRightInd w:val="0"/>
        <w:snapToGrid w:val="0"/>
        <w:spacing w:beforeLines="0" w:line="400" w:lineRule="exact"/>
        <w:ind w:firstLine="840" w:firstLineChars="40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大型企业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中型企业  </w:t>
      </w:r>
      <w:r>
        <w:rPr>
          <w:rFonts w:hint="eastAsia" w:ascii="宋体" w:hAnsi="宋体" w:eastAsia="宋体" w:cs="Times New Roman"/>
          <w:iCs/>
          <w:szCs w:val="21"/>
        </w:rPr>
        <w:sym w:font="Wingdings" w:char="00A8"/>
      </w:r>
      <w:r>
        <w:rPr>
          <w:rFonts w:hint="eastAsia" w:ascii="宋体" w:hAnsi="宋体" w:eastAsia="宋体" w:cs="Times New Roman"/>
          <w:iCs/>
          <w:szCs w:val="21"/>
        </w:rPr>
        <w:t>小微型企业</w:t>
      </w:r>
      <w:r>
        <w:rPr>
          <w:rFonts w:hint="eastAsia" w:ascii="宋体" w:hAnsi="宋体" w:eastAsia="宋体" w:cs="Times New Roman"/>
          <w:iCs/>
          <w:szCs w:val="21"/>
          <w:lang w:val="en-US" w:eastAsia="zh-CN"/>
        </w:rPr>
        <w:t xml:space="preserve">  </w:t>
      </w:r>
    </w:p>
    <w:p w14:paraId="236053BD">
      <w:pPr>
        <w:adjustRightInd w:val="0"/>
        <w:snapToGrid w:val="0"/>
        <w:spacing w:beforeLines="0" w:line="400" w:lineRule="exact"/>
        <w:ind w:firstLine="840" w:firstLineChars="400"/>
        <w:rPr>
          <w:rFonts w:hint="default" w:ascii="Times New Roman" w:hAnsi="Times New Roman" w:eastAsia="华文楷体" w:cs="Times New Roman"/>
          <w:u w:val="none"/>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残疾人福利性单位</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监狱</w:t>
      </w:r>
      <w:r>
        <w:rPr>
          <w:rFonts w:hint="eastAsia" w:ascii="宋体" w:hAnsi="宋体" w:eastAsia="宋体" w:cs="Times New Roman"/>
          <w:iCs/>
          <w:szCs w:val="21"/>
        </w:rPr>
        <w:t>企业</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其他</w:t>
      </w:r>
    </w:p>
    <w:p w14:paraId="0F9217FB">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4FF91EDB">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63BAF35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2E604BF7">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3AAE3EF0">
      <w:pPr>
        <w:numPr>
          <w:ilvl w:val="-1"/>
          <w:numId w:val="0"/>
        </w:numPr>
        <w:adjustRightInd w:val="0"/>
        <w:snapToGrid w:val="0"/>
        <w:spacing w:before="0" w:beforeLines="0" w:line="400" w:lineRule="exact"/>
        <w:ind w:firstLine="840" w:firstLineChars="400"/>
        <w:rPr>
          <w:rFonts w:hint="eastAsia" w:ascii="宋体" w:hAnsi="宋体" w:eastAsia="宋体" w:cs="Times New Roman"/>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cs="Times New Roman"/>
          <w:iCs w:val="0"/>
          <w:szCs w:val="21"/>
        </w:rPr>
        <w:t xml:space="preserve">      </w:t>
      </w:r>
    </w:p>
    <w:p w14:paraId="64EC0F57">
      <w:pPr>
        <w:adjustRightInd w:val="0"/>
        <w:snapToGrid w:val="0"/>
        <w:spacing w:before="0" w:beforeLines="0" w:line="400" w:lineRule="exact"/>
        <w:ind w:firstLine="840" w:firstLineChars="400"/>
        <w:rPr>
          <w:rFonts w:hint="eastAsia" w:ascii="宋体" w:hAnsi="宋体" w:eastAsia="宋体" w:cs="Times New Roman"/>
          <w:szCs w:val="21"/>
          <w:u w:val="none"/>
          <w:lang w:val="en-US" w:eastAsia="zh-CN"/>
        </w:rPr>
      </w:pPr>
      <w:r>
        <w:rPr>
          <w:rFonts w:hint="eastAsia" w:ascii="宋体" w:hAnsi="宋体" w:eastAsia="宋体" w:cs="Times New Roman"/>
          <w:iCs w:val="0"/>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lang w:eastAsia="zh-CN"/>
        </w:rPr>
        <w:t>否</w:t>
      </w:r>
    </w:p>
    <w:p w14:paraId="5EC0ECD6">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b w:val="0"/>
          <w:bCs w:val="0"/>
          <w:sz w:val="21"/>
          <w:szCs w:val="21"/>
          <w:u w:val="none"/>
          <w:lang w:val="en-US" w:eastAsia="zh-CN"/>
        </w:rPr>
        <w:t xml:space="preserve">    （1</w:t>
      </w:r>
      <w:r>
        <w:rPr>
          <w:rFonts w:hint="default" w:ascii="宋体" w:hAnsi="宋体" w:eastAsia="宋体" w:cs="Times New Roman"/>
          <w:b w:val="0"/>
          <w:bCs w:val="0"/>
          <w:sz w:val="21"/>
          <w:szCs w:val="21"/>
          <w:u w:val="none"/>
          <w:lang w:val="en" w:eastAsia="zh-CN"/>
        </w:rPr>
        <w:t>0</w:t>
      </w:r>
      <w:r>
        <w:rPr>
          <w:rFonts w:hint="eastAsia" w:ascii="宋体" w:hAnsi="宋体" w:eastAsia="宋体" w:cs="Times New Roman"/>
          <w:b w:val="0"/>
          <w:bCs w:val="0"/>
          <w:sz w:val="21"/>
          <w:szCs w:val="21"/>
          <w:u w:val="none"/>
          <w:lang w:val="en-US" w:eastAsia="zh-CN"/>
        </w:rPr>
        <w:t>）是否涉及节能产品：</w:t>
      </w:r>
    </w:p>
    <w:p w14:paraId="06A60F1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b w:val="0"/>
          <w:bCs w:val="0"/>
          <w:sz w:val="21"/>
          <w:szCs w:val="21"/>
          <w:u w:val="none"/>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是</w:t>
      </w:r>
      <w:r>
        <w:rPr>
          <w:rFonts w:hint="eastAsia" w:ascii="宋体" w:hAnsi="宋体" w:eastAsia="宋体" w:cs="Times New Roman"/>
          <w:iCs w:val="0"/>
          <w:szCs w:val="21"/>
          <w:lang w:eastAsia="zh-CN"/>
        </w:rPr>
        <w:t>，《节能产品政府采购品目清单》的底级品目名称：</w:t>
      </w:r>
      <w:r>
        <w:rPr>
          <w:rFonts w:hint="eastAsia" w:ascii="宋体" w:hAnsi="宋体" w:eastAsia="宋体" w:cs="Times New Roman"/>
          <w:szCs w:val="21"/>
          <w:u w:val="single"/>
          <w:lang w:val="en-US" w:eastAsia="zh-CN"/>
        </w:rPr>
        <w:t xml:space="preserve">         </w:t>
      </w:r>
      <w:r>
        <w:rPr>
          <w:rFonts w:hint="eastAsia" w:ascii="宋体" w:hAnsi="宋体" w:eastAsia="宋体" w:cs="Times New Roman"/>
          <w:iCs/>
          <w:szCs w:val="21"/>
          <w:lang w:val="en-US" w:eastAsia="zh-CN"/>
        </w:rPr>
        <w:t xml:space="preserve">     </w:t>
      </w:r>
    </w:p>
    <w:p w14:paraId="573ECFCB">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7B642F32">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rPr>
      </w:pPr>
      <w:r>
        <w:rPr>
          <w:rFonts w:hint="eastAsia" w:ascii="宋体" w:hAnsi="宋体" w:eastAsia="宋体" w:cs="Times New Roman"/>
          <w:iCs/>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p>
    <w:p w14:paraId="49470C63">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b w:val="0"/>
          <w:bCs w:val="0"/>
          <w:sz w:val="21"/>
          <w:szCs w:val="21"/>
          <w:u w:val="none"/>
          <w:lang w:val="en-US" w:eastAsia="zh-CN"/>
        </w:rPr>
        <w:t xml:space="preserve">          是否涉及环境标志产品：</w:t>
      </w:r>
    </w:p>
    <w:p w14:paraId="7E6C824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lang w:eastAsia="zh-CN"/>
        </w:rPr>
      </w:pPr>
      <w:r>
        <w:rPr>
          <w:rFonts w:hint="eastAsia" w:ascii="宋体" w:hAnsi="宋体" w:eastAsia="宋体" w:cs="Times New Roman"/>
          <w:b w:val="0"/>
          <w:bCs w:val="0"/>
          <w:sz w:val="21"/>
          <w:szCs w:val="21"/>
          <w:u w:val="none"/>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是</w:t>
      </w:r>
      <w:r>
        <w:rPr>
          <w:rFonts w:hint="eastAsia" w:ascii="宋体" w:hAnsi="宋体" w:eastAsia="宋体" w:cs="Times New Roman"/>
          <w:iCs w:val="0"/>
          <w:szCs w:val="21"/>
          <w:lang w:eastAsia="zh-CN"/>
        </w:rPr>
        <w:t>，《环境标志产品政府采购品目清单》的底级品目名称：</w:t>
      </w:r>
      <w:r>
        <w:rPr>
          <w:rFonts w:hint="eastAsia" w:ascii="宋体" w:hAnsi="宋体" w:eastAsia="宋体" w:cs="Times New Roman"/>
          <w:szCs w:val="21"/>
          <w:u w:val="single"/>
          <w:lang w:val="en-US" w:eastAsia="zh-CN"/>
        </w:rPr>
        <w:t xml:space="preserve">         </w:t>
      </w:r>
      <w:r>
        <w:rPr>
          <w:rFonts w:hint="eastAsia" w:ascii="宋体" w:hAnsi="宋体" w:eastAsia="宋体" w:cs="Times New Roman"/>
          <w:iCs/>
          <w:szCs w:val="21"/>
          <w:lang w:val="en-US" w:eastAsia="zh-CN"/>
        </w:rPr>
        <w:t xml:space="preserve"> </w:t>
      </w:r>
    </w:p>
    <w:p w14:paraId="54183D5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1BC5F4B1">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u w:val="none"/>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p>
    <w:p w14:paraId="43E594CA">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7DBC5F74">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6CC0353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lang w:val="en-US"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强制采购</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优先采购</w:t>
      </w:r>
      <w:r>
        <w:rPr>
          <w:rFonts w:hint="eastAsia" w:ascii="宋体" w:hAnsi="宋体" w:eastAsia="宋体" w:cs="Times New Roman"/>
          <w:iCs/>
          <w:szCs w:val="21"/>
          <w:lang w:val="en-US" w:eastAsia="zh-CN"/>
        </w:rPr>
        <w:t xml:space="preserve">    </w:t>
      </w:r>
    </w:p>
    <w:p w14:paraId="0F3788EF">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1D824AC">
      <w:pPr>
        <w:numPr>
          <w:ilvl w:val="-1"/>
          <w:numId w:val="0"/>
        </w:numPr>
        <w:adjustRightInd w:val="0"/>
        <w:snapToGrid w:val="0"/>
        <w:spacing w:before="0" w:beforeLines="0" w:line="400" w:lineRule="exact"/>
        <w:ind w:firstLine="0" w:firstLineChars="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（1</w:t>
      </w:r>
      <w:r>
        <w:rPr>
          <w:rFonts w:hint="default" w:ascii="宋体" w:hAnsi="宋体" w:eastAsia="宋体" w:cs="Times New Roman"/>
          <w:szCs w:val="21"/>
          <w:lang w:val="en" w:eastAsia="zh-CN"/>
        </w:rPr>
        <w:t>1</w:t>
      </w:r>
      <w:r>
        <w:rPr>
          <w:rFonts w:hint="eastAsia" w:ascii="宋体" w:hAnsi="宋体" w:eastAsia="宋体" w:cs="Times New Roman"/>
          <w:szCs w:val="21"/>
          <w:lang w:val="en-US" w:eastAsia="zh-CN"/>
        </w:rPr>
        <w:t>）涉及商品包装和快递包装的，是否参考</w:t>
      </w:r>
      <w:r>
        <w:rPr>
          <w:rFonts w:hint="eastAsia" w:ascii="宋体" w:hAnsi="宋体" w:eastAsia="宋体" w:cs="Times New Roman"/>
          <w:szCs w:val="21"/>
        </w:rPr>
        <w:t>《商品包装政府采购需求标准（试行）》、《快递包装政府采购需求标准（试行）》</w:t>
      </w:r>
      <w:r>
        <w:rPr>
          <w:rFonts w:hint="eastAsia" w:ascii="宋体" w:hAnsi="宋体" w:eastAsia="宋体" w:cs="Times New Roman"/>
          <w:szCs w:val="21"/>
          <w:lang w:eastAsia="zh-CN"/>
        </w:rPr>
        <w:t>明确产品及相关快递服务的具体包装要求：</w:t>
      </w:r>
    </w:p>
    <w:p w14:paraId="42AE6572">
      <w:pPr>
        <w:numPr>
          <w:ilvl w:val="-1"/>
          <w:numId w:val="0"/>
        </w:numPr>
        <w:adjustRightInd w:val="0"/>
        <w:snapToGrid w:val="0"/>
        <w:spacing w:before="0" w:beforeLines="0" w:line="400" w:lineRule="exact"/>
        <w:ind w:firstLine="840" w:firstLineChars="400"/>
        <w:rPr>
          <w:rFonts w:hint="eastAsia" w:ascii="宋体" w:hAnsi="宋体" w:eastAsia="宋体" w:cs="Times New Roman"/>
          <w:iCs w:val="0"/>
          <w:szCs w:val="21"/>
          <w:lang w:val="en-US" w:eastAsia="zh-CN"/>
        </w:rPr>
      </w:pPr>
      <w:r>
        <w:rPr>
          <w:rFonts w:hint="eastAsia" w:ascii="宋体" w:hAnsi="宋体" w:eastAsia="宋体" w:cs="Times New Roman"/>
          <w:iCs w:val="0"/>
          <w:szCs w:val="21"/>
        </w:rPr>
        <w:sym w:font="Wingdings" w:char="00A8"/>
      </w:r>
      <w:r>
        <w:rPr>
          <w:rFonts w:hint="eastAsia" w:ascii="宋体" w:hAnsi="宋体" w:eastAsia="宋体" w:cs="Times New Roman"/>
          <w:iCs w:val="0"/>
          <w:szCs w:val="21"/>
        </w:rPr>
        <w:t xml:space="preserve">是       </w:t>
      </w:r>
      <w:r>
        <w:rPr>
          <w:rFonts w:hint="eastAsia" w:ascii="宋体" w:hAnsi="宋体" w:eastAsia="宋体" w:cs="Times New Roman"/>
          <w:iCs w:val="0"/>
          <w:szCs w:val="21"/>
        </w:rPr>
        <w:sym w:font="Wingdings" w:char="00A8"/>
      </w:r>
      <w:r>
        <w:rPr>
          <w:rFonts w:hint="eastAsia" w:ascii="宋体" w:hAnsi="宋体" w:eastAsia="宋体" w:cs="Times New Roman"/>
          <w:iCs w:val="0"/>
          <w:szCs w:val="21"/>
        </w:rPr>
        <w:t>否</w:t>
      </w:r>
      <w:r>
        <w:rPr>
          <w:rFonts w:hint="eastAsia" w:ascii="宋体" w:hAnsi="宋体" w:eastAsia="宋体" w:cs="Times New Roman"/>
          <w:iCs w:val="0"/>
          <w:szCs w:val="21"/>
          <w:lang w:val="en-US" w:eastAsia="zh-CN"/>
        </w:rPr>
        <w:t xml:space="preserve">      </w:t>
      </w:r>
      <w:r>
        <w:rPr>
          <w:rFonts w:hint="eastAsia" w:ascii="宋体" w:hAnsi="宋体" w:eastAsia="宋体" w:cs="Times New Roman"/>
          <w:iCs w:val="0"/>
          <w:szCs w:val="21"/>
        </w:rPr>
        <w:sym w:font="Wingdings" w:char="00A8"/>
      </w:r>
      <w:r>
        <w:rPr>
          <w:rFonts w:hint="eastAsia" w:ascii="宋体" w:hAnsi="宋体" w:eastAsia="宋体" w:cs="Times New Roman"/>
          <w:iCs w:val="0"/>
          <w:szCs w:val="21"/>
          <w:lang w:eastAsia="zh-CN"/>
        </w:rPr>
        <w:t>不涉及</w:t>
      </w:r>
    </w:p>
    <w:p w14:paraId="6B730463">
      <w:pPr>
        <w:numPr>
          <w:ilvl w:val="0"/>
          <w:numId w:val="2"/>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2EBB28B7">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（1）合同金额小写：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1030BAC3">
      <w:pPr>
        <w:adjustRightInd w:val="0"/>
        <w:snapToGrid w:val="0"/>
        <w:spacing w:before="0" w:beforeLines="0" w:line="400" w:lineRule="exact"/>
        <w:ind w:left="0" w:firstLine="0" w:firstLineChars="0"/>
        <w:rPr>
          <w:rFonts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0B1A708D">
      <w:pPr>
        <w:adjustRightInd w:val="0"/>
        <w:snapToGrid w:val="0"/>
        <w:spacing w:before="0" w:beforeLines="0" w:line="400" w:lineRule="exact"/>
        <w:ind w:firstLine="0" w:firstLineChars="0"/>
        <w:rPr>
          <w:rFonts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分包金额</w:t>
      </w:r>
      <w:r>
        <w:rPr>
          <w:rFonts w:hint="eastAsia" w:ascii="宋体" w:hAnsi="宋体" w:eastAsia="宋体" w:cs="Times New Roman"/>
          <w:szCs w:val="21"/>
          <w:lang w:eastAsia="zh-CN"/>
        </w:rPr>
        <w:t>（如有）</w:t>
      </w:r>
      <w:r>
        <w:rPr>
          <w:rFonts w:hint="eastAsia" w:ascii="宋体" w:hAnsi="宋体" w:eastAsia="宋体" w:cs="Times New Roman"/>
          <w:szCs w:val="21"/>
        </w:rPr>
        <w:t>小写：</w:t>
      </w:r>
      <w:r>
        <w:rPr>
          <w:rFonts w:hint="eastAsia" w:ascii="宋体" w:hAnsi="宋体" w:eastAsia="宋体" w:cs="Times New Roman"/>
          <w:szCs w:val="21"/>
          <w:u w:val="single"/>
        </w:rPr>
        <w:t xml:space="preserve">                   </w:t>
      </w:r>
    </w:p>
    <w:p w14:paraId="4CE6EED8">
      <w:pPr>
        <w:adjustRightInd w:val="0"/>
        <w:snapToGrid w:val="0"/>
        <w:spacing w:before="0" w:beforeLines="0" w:line="400" w:lineRule="exact"/>
        <w:ind w:firstLine="0" w:firstLineChars="0"/>
        <w:rPr>
          <w:rFonts w:hint="eastAsia" w:ascii="宋体" w:hAnsi="宋体" w:eastAsia="宋体" w:cs="Times New Roman"/>
          <w:szCs w:val="21"/>
          <w:u w:val="single"/>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rPr>
        <w:t>大写：</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p>
    <w:p w14:paraId="5A2164BA">
      <w:pPr>
        <w:adjustRightInd w:val="0"/>
        <w:snapToGrid w:val="0"/>
        <w:spacing w:before="0" w:beforeLines="0" w:line="400" w:lineRule="exact"/>
        <w:ind w:firstLine="0" w:firstLineChars="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 xml:space="preserve">    （注：固定单价合同应填写单价和最高限价）</w:t>
      </w:r>
    </w:p>
    <w:p w14:paraId="48CB1384">
      <w:pPr>
        <w:numPr>
          <w:ilvl w:val="-1"/>
          <w:numId w:val="0"/>
        </w:numPr>
        <w:adjustRightInd w:val="0"/>
        <w:snapToGrid w:val="0"/>
        <w:spacing w:before="0" w:beforeLines="0" w:line="400" w:lineRule="exact"/>
        <w:ind w:firstLine="0" w:firstLineChars="0"/>
        <w:rPr>
          <w:rFonts w:hint="eastAsia" w:ascii="宋体" w:hAnsi="宋体" w:eastAsia="宋体" w:cs="Times New Roman"/>
          <w:szCs w:val="21"/>
        </w:rPr>
      </w:pPr>
      <w:r>
        <w:rPr>
          <w:rFonts w:hint="eastAsia" w:ascii="宋体" w:hAnsi="宋体" w:eastAsia="宋体" w:cs="Times New Roman"/>
          <w:szCs w:val="21"/>
          <w:lang w:val="en-US" w:eastAsia="zh-CN"/>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2</w:t>
      </w:r>
      <w:r>
        <w:rPr>
          <w:rFonts w:hint="eastAsia" w:ascii="宋体" w:hAnsi="宋体" w:eastAsia="宋体" w:cs="Times New Roman"/>
          <w:szCs w:val="21"/>
          <w:lang w:eastAsia="zh-CN"/>
        </w:rPr>
        <w:t>）</w:t>
      </w:r>
      <w:r>
        <w:rPr>
          <w:rFonts w:hint="eastAsia" w:ascii="宋体" w:hAnsi="宋体" w:eastAsia="宋体" w:cs="Times New Roman"/>
          <w:szCs w:val="21"/>
        </w:rPr>
        <w:t>合同定价方式</w:t>
      </w:r>
      <w:r>
        <w:rPr>
          <w:rFonts w:hint="eastAsia" w:ascii="宋体" w:hAnsi="宋体" w:eastAsia="宋体" w:cs="Times New Roman"/>
          <w:szCs w:val="21"/>
          <w:lang w:eastAsia="zh-CN"/>
        </w:rPr>
        <w:t>（采用组合定价方式的，可以勾选多项）</w:t>
      </w:r>
      <w:r>
        <w:rPr>
          <w:rFonts w:hint="eastAsia" w:ascii="宋体" w:hAnsi="宋体" w:eastAsia="宋体" w:cs="Times New Roman"/>
          <w:szCs w:val="21"/>
        </w:rPr>
        <w:t>：</w:t>
      </w:r>
    </w:p>
    <w:p w14:paraId="10DA01CC">
      <w:pPr>
        <w:adjustRightInd w:val="0"/>
        <w:snapToGrid w:val="0"/>
        <w:spacing w:before="0" w:beforeLines="0" w:line="400" w:lineRule="exact"/>
        <w:ind w:firstLine="420" w:firstLineChars="200"/>
        <w:rPr>
          <w:rFonts w:hint="eastAsia" w:ascii="宋体" w:hAnsi="宋体" w:eastAsia="宋体" w:cs="Times New Roman"/>
          <w:szCs w:val="21"/>
          <w:lang w:eastAsia="zh-CN"/>
        </w:rPr>
      </w:pP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固定总价 </w:t>
      </w:r>
      <w:r>
        <w:rPr>
          <w:rFonts w:hint="eastAsia" w:ascii="宋体" w:hAnsi="宋体" w:eastAsia="宋体" w:cs="Times New Roman"/>
          <w:iCs/>
          <w:szCs w:val="21"/>
        </w:rPr>
        <w:sym w:font="Wingdings" w:char="00A8"/>
      </w:r>
      <w:r>
        <w:rPr>
          <w:rFonts w:hint="eastAsia" w:ascii="宋体" w:hAnsi="宋体" w:eastAsia="宋体" w:cs="Times New Roman"/>
          <w:iCs/>
          <w:szCs w:val="21"/>
        </w:rPr>
        <w:t>固定单价</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固定费率</w:t>
      </w:r>
      <w:r>
        <w:rPr>
          <w:rFonts w:hint="eastAsia" w:ascii="宋体" w:hAnsi="宋体" w:eastAsia="宋体" w:cs="Times New Roman"/>
          <w:iCs/>
          <w:szCs w:val="21"/>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rPr>
        <w:t xml:space="preserve">成本补偿 </w:t>
      </w:r>
      <w:r>
        <w:rPr>
          <w:rFonts w:hint="eastAsia" w:ascii="宋体" w:hAnsi="宋体" w:eastAsia="宋体" w:cs="Times New Roman"/>
          <w:iCs/>
          <w:szCs w:val="21"/>
        </w:rPr>
        <w:sym w:font="Wingdings" w:char="00A8"/>
      </w:r>
      <w:r>
        <w:rPr>
          <w:rFonts w:hint="eastAsia" w:ascii="宋体" w:hAnsi="宋体" w:eastAsia="宋体" w:cs="Times New Roman"/>
          <w:iCs/>
          <w:szCs w:val="21"/>
        </w:rPr>
        <w:t>绩效激励</w:t>
      </w:r>
      <w:r>
        <w:rPr>
          <w:rFonts w:hint="eastAsia" w:ascii="宋体" w:hAnsi="宋体" w:eastAsia="宋体" w:cs="Times New Roman"/>
          <w:iCs/>
          <w:szCs w:val="21"/>
          <w:lang w:val="en-US" w:eastAsia="zh-CN"/>
        </w:rPr>
        <w:t xml:space="preserve"> </w:t>
      </w:r>
      <w:r>
        <w:rPr>
          <w:rFonts w:hint="eastAsia" w:ascii="宋体" w:hAnsi="宋体" w:eastAsia="宋体" w:cs="Times New Roman"/>
          <w:iCs/>
          <w:szCs w:val="21"/>
        </w:rPr>
        <w:sym w:font="Wingdings" w:char="00A8"/>
      </w:r>
      <w:r>
        <w:rPr>
          <w:rFonts w:hint="eastAsia" w:ascii="宋体" w:hAnsi="宋体" w:eastAsia="宋体" w:cs="Times New Roman"/>
          <w:iCs/>
          <w:szCs w:val="21"/>
          <w:lang w:eastAsia="zh-CN"/>
        </w:rPr>
        <w:t>其他</w:t>
      </w:r>
      <w:r>
        <w:rPr>
          <w:rFonts w:hint="eastAsia" w:ascii="宋体" w:hAnsi="宋体" w:eastAsia="宋体" w:cs="Times New Roman"/>
          <w:szCs w:val="21"/>
          <w:u w:val="single"/>
        </w:rPr>
        <w:t xml:space="preserve">       </w:t>
      </w:r>
    </w:p>
    <w:p w14:paraId="1A48F262">
      <w:pPr>
        <w:pStyle w:val="33"/>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60DA3C24">
      <w:pPr>
        <w:adjustRightInd w:val="0"/>
        <w:snapToGrid w:val="0"/>
        <w:spacing w:before="0" w:beforeLines="0" w:line="400" w:lineRule="exact"/>
        <w:ind w:firstLine="630" w:firstLineChars="300"/>
        <w:rPr>
          <w:rFonts w:ascii="宋体" w:hAnsi="宋体" w:eastAsia="宋体" w:cs="Times New Roman"/>
          <w:szCs w:val="21"/>
          <w:u w:val="single"/>
        </w:rPr>
      </w:pPr>
      <w:r>
        <w:rPr>
          <w:rFonts w:hint="eastAsia" w:ascii="宋体" w:hAnsi="宋体" w:eastAsia="宋体" w:cs="Times New Roman"/>
          <w:szCs w:val="21"/>
        </w:rPr>
        <w:sym w:font="Wingdings" w:char="00A8"/>
      </w:r>
      <w:r>
        <w:rPr>
          <w:rFonts w:hint="eastAsia" w:ascii="宋体" w:hAnsi="宋体" w:eastAsia="宋体" w:cs="Times New Roman"/>
          <w:szCs w:val="21"/>
        </w:rPr>
        <w:t>全额付款：</w:t>
      </w:r>
      <w:r>
        <w:rPr>
          <w:rFonts w:hint="eastAsia" w:ascii="宋体" w:hAnsi="宋体" w:eastAsia="宋体" w:cs="Times New Roman"/>
          <w:szCs w:val="21"/>
          <w:u w:val="single"/>
        </w:rPr>
        <w:t xml:space="preserve">     （应</w:t>
      </w:r>
      <w:r>
        <w:rPr>
          <w:rFonts w:hint="eastAsia" w:ascii="宋体" w:hAnsi="宋体" w:eastAsia="宋体" w:cs="Times New Roman"/>
          <w:szCs w:val="21"/>
          <w:u w:val="single"/>
          <w:lang w:eastAsia="zh-CN"/>
        </w:rPr>
        <w:t>明确</w:t>
      </w:r>
      <w:r>
        <w:rPr>
          <w:rFonts w:hint="eastAsia" w:ascii="宋体" w:hAnsi="宋体" w:eastAsia="宋体" w:cs="Times New Roman"/>
          <w:szCs w:val="21"/>
          <w:u w:val="single"/>
        </w:rPr>
        <w:t>一次性支付合同款项</w:t>
      </w:r>
      <w:r>
        <w:rPr>
          <w:rFonts w:hint="eastAsia" w:ascii="宋体" w:hAnsi="宋体" w:eastAsia="宋体" w:cs="Times New Roman"/>
          <w:szCs w:val="21"/>
          <w:u w:val="single"/>
          <w:lang w:eastAsia="zh-CN"/>
        </w:rPr>
        <w:t>的条件</w:t>
      </w:r>
      <w:r>
        <w:rPr>
          <w:rFonts w:hint="eastAsia" w:ascii="宋体" w:hAnsi="宋体" w:eastAsia="宋体" w:cs="Times New Roman"/>
          <w:szCs w:val="21"/>
          <w:u w:val="single"/>
        </w:rPr>
        <w:t xml:space="preserve">）                    </w:t>
      </w:r>
    </w:p>
    <w:p w14:paraId="0FB63A03">
      <w:pPr>
        <w:snapToGrid w:val="0"/>
        <w:spacing w:beforeLines="0" w:line="400" w:lineRule="exact"/>
        <w:ind w:firstLine="630" w:firstLineChars="300"/>
        <w:rPr>
          <w:rFonts w:ascii="Times New Roman" w:hAnsi="Times New Roman" w:eastAsia="宋体" w:cs="Times New Roman"/>
        </w:rPr>
      </w:pPr>
      <w:r>
        <w:rPr>
          <w:rFonts w:hint="eastAsia" w:ascii="宋体" w:hAnsi="宋体" w:eastAsia="宋体" w:cs="Times New Roman"/>
          <w:szCs w:val="21"/>
        </w:rPr>
        <w:sym w:font="Wingdings" w:char="00A8"/>
      </w:r>
      <w:r>
        <w:rPr>
          <w:rFonts w:hint="eastAsia" w:ascii="宋体" w:hAnsi="宋体" w:eastAsia="宋体" w:cs="Times New Roman"/>
          <w:szCs w:val="21"/>
        </w:rPr>
        <w:t>分期付款：</w:t>
      </w:r>
      <w:r>
        <w:rPr>
          <w:rFonts w:hint="eastAsia" w:ascii="宋体" w:hAnsi="宋体" w:eastAsia="宋体" w:cs="Times New Roman"/>
          <w:szCs w:val="21"/>
          <w:u w:val="single"/>
        </w:rPr>
        <w:t xml:space="preserve">  （应明确分期支付合同款项的各期比例和支付条件</w:t>
      </w:r>
      <w:r>
        <w:rPr>
          <w:rFonts w:hint="eastAsia" w:ascii="宋体" w:hAnsi="宋体" w:eastAsia="宋体" w:cs="Times New Roman"/>
          <w:szCs w:val="21"/>
          <w:u w:val="single"/>
          <w:lang w:eastAsia="zh-CN"/>
        </w:rPr>
        <w:t>，各期支付条件应与分期履约验收情况挂钩</w:t>
      </w:r>
      <w:r>
        <w:rPr>
          <w:rFonts w:hint="eastAsia" w:ascii="宋体" w:hAnsi="宋体" w:eastAsia="宋体" w:cs="Times New Roman"/>
          <w:szCs w:val="21"/>
          <w:u w:val="single"/>
        </w:rPr>
        <w:t xml:space="preserve">） </w:t>
      </w:r>
      <w:r>
        <w:rPr>
          <w:rFonts w:hint="eastAsia" w:ascii="宋体" w:hAnsi="宋体" w:eastAsia="宋体" w:cs="Times New Roman"/>
          <w:szCs w:val="21"/>
          <w:u w:val="none"/>
          <w:lang w:eastAsia="zh-CN"/>
        </w:rPr>
        <w:t>，</w:t>
      </w:r>
      <w:r>
        <w:rPr>
          <w:rFonts w:hint="eastAsia" w:ascii="宋体" w:hAnsi="宋体" w:eastAsia="宋体" w:cs="Times New Roman"/>
          <w:szCs w:val="21"/>
          <w:lang w:eastAsia="zh-CN"/>
        </w:rPr>
        <w:t>其中涉及预付款的</w:t>
      </w:r>
      <w:r>
        <w:rPr>
          <w:rFonts w:hint="eastAsia" w:ascii="宋体" w:hAnsi="宋体" w:eastAsia="宋体" w:cs="Times New Roman"/>
          <w:szCs w:val="21"/>
        </w:rPr>
        <w:t>：</w:t>
      </w:r>
      <w:r>
        <w:rPr>
          <w:rFonts w:hint="eastAsia" w:ascii="宋体" w:hAnsi="宋体" w:eastAsia="宋体" w:cs="Times New Roman"/>
          <w:szCs w:val="21"/>
          <w:u w:val="single"/>
        </w:rPr>
        <w:t xml:space="preserve"> （应明确预付款的支付比例和支付条件） </w:t>
      </w:r>
    </w:p>
    <w:p w14:paraId="37A3DB25">
      <w:pPr>
        <w:adjustRightInd w:val="0"/>
        <w:snapToGrid w:val="0"/>
        <w:spacing w:before="0" w:beforeLines="0" w:line="400" w:lineRule="exact"/>
        <w:ind w:firstLine="630" w:firstLineChars="300"/>
        <w:rPr>
          <w:rFonts w:ascii="宋体" w:hAnsi="宋体" w:eastAsia="宋体" w:cs="Times New Roman"/>
          <w:szCs w:val="21"/>
          <w:u w:val="single"/>
        </w:rPr>
      </w:pPr>
      <w:r>
        <w:rPr>
          <w:rFonts w:hint="eastAsia" w:ascii="宋体" w:hAnsi="宋体" w:eastAsia="宋体" w:cs="Times New Roman"/>
          <w:szCs w:val="21"/>
        </w:rPr>
        <w:sym w:font="Wingdings" w:char="00A8"/>
      </w:r>
      <w:r>
        <w:rPr>
          <w:rFonts w:hint="eastAsia" w:ascii="宋体" w:hAnsi="宋体" w:eastAsia="宋体" w:cs="Times New Roman"/>
          <w:szCs w:val="21"/>
        </w:rPr>
        <w:t>成本补偿：</w:t>
      </w:r>
      <w:r>
        <w:rPr>
          <w:rFonts w:hint="eastAsia" w:ascii="宋体" w:hAnsi="宋体" w:eastAsia="宋体" w:cs="Times New Roman"/>
          <w:szCs w:val="21"/>
          <w:u w:val="single"/>
        </w:rPr>
        <w:t xml:space="preserve">      （应明确按照成本补偿方式的支付方式和支付条件）   </w:t>
      </w:r>
    </w:p>
    <w:p w14:paraId="269B98D6">
      <w:pPr>
        <w:adjustRightInd w:val="0"/>
        <w:snapToGrid w:val="0"/>
        <w:spacing w:before="0" w:beforeLines="0" w:line="400" w:lineRule="exact"/>
        <w:ind w:firstLine="630" w:firstLineChars="300"/>
        <w:rPr>
          <w:rFonts w:ascii="宋体" w:hAnsi="宋体" w:eastAsia="宋体" w:cs="Times New Roman"/>
          <w:szCs w:val="21"/>
        </w:rPr>
      </w:pPr>
      <w:r>
        <w:rPr>
          <w:rFonts w:hint="eastAsia" w:ascii="宋体" w:hAnsi="宋体" w:eastAsia="宋体" w:cs="Times New Roman"/>
          <w:szCs w:val="21"/>
        </w:rPr>
        <w:sym w:font="Wingdings" w:char="00A8"/>
      </w:r>
      <w:r>
        <w:rPr>
          <w:rFonts w:hint="eastAsia" w:ascii="宋体" w:hAnsi="宋体" w:eastAsia="宋体" w:cs="Times New Roman"/>
          <w:szCs w:val="21"/>
        </w:rPr>
        <w:t>绩效激励：</w:t>
      </w:r>
      <w:r>
        <w:rPr>
          <w:rFonts w:hint="eastAsia" w:ascii="宋体" w:hAnsi="宋体" w:eastAsia="宋体" w:cs="Times New Roman"/>
          <w:szCs w:val="21"/>
          <w:u w:val="single"/>
        </w:rPr>
        <w:t xml:space="preserve">      （应明确按照绩效激励方式的支付方式和支付条件）   </w:t>
      </w:r>
    </w:p>
    <w:p w14:paraId="044AE7A6">
      <w:pPr>
        <w:numPr>
          <w:ilvl w:val="0"/>
          <w:numId w:val="2"/>
        </w:numPr>
        <w:adjustRightInd w:val="0"/>
        <w:snapToGrid w:val="0"/>
        <w:spacing w:before="0" w:beforeLines="0" w:line="400" w:lineRule="exact"/>
        <w:ind w:firstLine="422" w:firstLineChars="200"/>
        <w:rPr>
          <w:rFonts w:ascii="宋体" w:hAnsi="宋体" w:eastAsia="宋体" w:cs="Times New Roman"/>
          <w:b/>
          <w:bCs w:val="0"/>
          <w:szCs w:val="21"/>
          <w:u w:val="single"/>
        </w:rPr>
      </w:pPr>
      <w:r>
        <w:rPr>
          <w:rFonts w:hint="eastAsia" w:ascii="宋体" w:hAnsi="宋体" w:eastAsia="宋体" w:cs="Times New Roman"/>
          <w:b/>
          <w:bCs w:val="0"/>
          <w:szCs w:val="21"/>
        </w:rPr>
        <w:t>合同履行</w:t>
      </w:r>
    </w:p>
    <w:p w14:paraId="1CAC9B49">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0F8585BA">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4896168C">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6E58164F">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512A7897">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02B2A44C">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B1E0DD0">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5D6C79E7">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szCs w:val="21"/>
          <w:u w:val="single"/>
        </w:rPr>
        <w:t xml:space="preserve">                                                </w:t>
      </w:r>
    </w:p>
    <w:p w14:paraId="4146B8D0">
      <w:pPr>
        <w:numPr>
          <w:ilvl w:val="0"/>
          <w:numId w:val="2"/>
        </w:numPr>
        <w:adjustRightInd w:val="0"/>
        <w:snapToGrid w:val="0"/>
        <w:spacing w:before="0" w:beforeLines="0" w:line="400" w:lineRule="exact"/>
        <w:ind w:firstLine="422" w:firstLineChars="200"/>
        <w:rPr>
          <w:rFonts w:ascii="宋体" w:hAnsi="宋体" w:eastAsia="宋体" w:cs="Times New Roman"/>
          <w:b/>
          <w:szCs w:val="21"/>
        </w:rPr>
      </w:pPr>
      <w:r>
        <w:rPr>
          <w:rFonts w:hint="eastAsia" w:ascii="宋体" w:hAnsi="宋体" w:eastAsia="宋体" w:cs="Times New Roman"/>
          <w:b/>
          <w:szCs w:val="21"/>
        </w:rPr>
        <w:t>合同验收</w:t>
      </w:r>
    </w:p>
    <w:p w14:paraId="486FDACF">
      <w:pPr>
        <w:numPr>
          <w:ilvl w:val="0"/>
          <w:numId w:val="4"/>
        </w:num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验收组织方式：</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Times New Roman"/>
          <w:bCs/>
          <w:szCs w:val="21"/>
        </w:rPr>
        <w:t>委托第三方组织</w:t>
      </w:r>
    </w:p>
    <w:p w14:paraId="059B29A8">
      <w:pPr>
        <w:numPr>
          <w:ilvl w:val="0"/>
          <w:numId w:val="0"/>
        </w:numPr>
        <w:adjustRightInd w:val="0"/>
        <w:snapToGrid w:val="0"/>
        <w:spacing w:before="0" w:beforeLines="0" w:line="400" w:lineRule="exact"/>
        <w:rPr>
          <w:rFonts w:ascii="宋体" w:hAnsi="宋体" w:eastAsia="宋体" w:cs="Times New Roman"/>
          <w:bCs/>
          <w:szCs w:val="21"/>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验收主体：</w:t>
      </w:r>
      <w:r>
        <w:rPr>
          <w:rFonts w:hint="eastAsia" w:ascii="宋体" w:hAnsi="宋体" w:eastAsia="宋体" w:cs="Times New Roman"/>
          <w:bCs/>
          <w:szCs w:val="21"/>
          <w:u w:val="single"/>
        </w:rPr>
        <w:t xml:space="preserve">                  </w:t>
      </w:r>
    </w:p>
    <w:p w14:paraId="182223AF">
      <w:pPr>
        <w:adjustRightInd w:val="0"/>
        <w:snapToGrid w:val="0"/>
        <w:spacing w:before="0" w:beforeLines="0" w:line="400" w:lineRule="exact"/>
        <w:ind w:firstLine="0" w:firstLineChars="0"/>
        <w:rPr>
          <w:rFonts w:ascii="宋体" w:hAnsi="宋体" w:eastAsia="宋体" w:cs="Times New Roman"/>
          <w:bCs/>
          <w:szCs w:val="21"/>
        </w:rPr>
      </w:pPr>
      <w:r>
        <w:rPr>
          <w:rFonts w:hint="eastAsia" w:ascii="宋体" w:hAnsi="宋体" w:eastAsia="宋体" w:cs="Times New Roman"/>
          <w:bCs/>
          <w:szCs w:val="21"/>
          <w:lang w:val="en-US" w:eastAsia="zh-CN"/>
        </w:rPr>
        <w:t xml:space="preserve">        </w:t>
      </w:r>
      <w:r>
        <w:rPr>
          <w:rFonts w:hint="eastAsia" w:ascii="宋体" w:hAnsi="宋体" w:eastAsia="宋体" w:cs="Times New Roman"/>
          <w:bCs/>
          <w:szCs w:val="21"/>
        </w:rPr>
        <w:t>是否邀请本项目的其他供应商</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74AC6B60">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是否邀请专家</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F0058A7">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是否邀请服务对象</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D403FFC">
      <w:pPr>
        <w:adjustRightInd w:val="0"/>
        <w:snapToGrid w:val="0"/>
        <w:spacing w:before="0" w:beforeLines="0" w:line="400" w:lineRule="exact"/>
        <w:ind w:firstLine="840" w:firstLineChars="400"/>
        <w:rPr>
          <w:rFonts w:ascii="宋体" w:hAnsi="宋体" w:eastAsia="宋体" w:cs="Times New Roman"/>
          <w:bCs/>
          <w:szCs w:val="21"/>
        </w:rPr>
      </w:pPr>
      <w:r>
        <w:rPr>
          <w:rFonts w:hint="eastAsia" w:ascii="宋体" w:hAnsi="宋体" w:eastAsia="宋体" w:cs="Times New Roman"/>
          <w:bCs/>
          <w:szCs w:val="21"/>
        </w:rPr>
        <w:t>是否邀请第三方检测机构</w:t>
      </w:r>
      <w:r>
        <w:rPr>
          <w:rFonts w:hint="eastAsia" w:ascii="宋体" w:hAnsi="宋体" w:eastAsia="宋体" w:cs="Times New Roman"/>
          <w:bCs/>
          <w:szCs w:val="21"/>
          <w:lang w:eastAsia="zh-CN"/>
        </w:rPr>
        <w:t>参加验收</w:t>
      </w:r>
      <w:r>
        <w:rPr>
          <w:rFonts w:hint="eastAsia" w:ascii="宋体" w:hAnsi="宋体" w:eastAsia="宋体" w:cs="Times New Roman"/>
          <w:bCs/>
          <w:szCs w:val="21"/>
        </w:rPr>
        <w:t>：</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是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532BB43E">
      <w:pPr>
        <w:adjustRightInd w:val="0"/>
        <w:snapToGrid w:val="0"/>
        <w:spacing w:before="0" w:beforeLines="0" w:line="400" w:lineRule="exact"/>
        <w:ind w:firstLine="840" w:firstLineChars="400"/>
        <w:rPr>
          <w:rFonts w:hint="eastAsia" w:ascii="宋体" w:hAnsi="宋体" w:eastAsia="宋体" w:cs="Times New Roman"/>
          <w:bCs/>
          <w:szCs w:val="21"/>
        </w:rPr>
      </w:pPr>
      <w:r>
        <w:rPr>
          <w:rFonts w:hint="eastAsia" w:ascii="宋体" w:hAnsi="宋体" w:eastAsia="宋体" w:cs="Times New Roman"/>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Times New Roman"/>
          <w:bCs/>
          <w:szCs w:val="21"/>
        </w:rPr>
        <w:t>是</w:t>
      </w:r>
      <w:r>
        <w:rPr>
          <w:rFonts w:hint="eastAsia" w:ascii="宋体" w:hAnsi="宋体" w:eastAsia="宋体" w:cs="Times New Roman"/>
          <w:bCs/>
          <w:szCs w:val="21"/>
          <w:lang w:eastAsia="zh-CN"/>
        </w:rPr>
        <w:t>，抽查比例：</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r>
        <w:rPr>
          <w:rFonts w:hint="eastAsia" w:ascii="宋体" w:hAnsi="宋体" w:eastAsia="宋体" w:cs="Times New Roman"/>
          <w:bCs/>
          <w:szCs w:val="21"/>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6D674DF9">
      <w:pPr>
        <w:adjustRightInd w:val="0"/>
        <w:snapToGrid w:val="0"/>
        <w:spacing w:before="0" w:beforeLines="0" w:line="400" w:lineRule="exact"/>
        <w:ind w:firstLine="840" w:firstLineChars="400"/>
        <w:rPr>
          <w:rFonts w:hint="eastAsia" w:ascii="宋体" w:hAnsi="宋体" w:eastAsia="宋体" w:cs="Times New Roman"/>
          <w:bCs/>
          <w:szCs w:val="21"/>
          <w:u w:val="single"/>
          <w:lang w:eastAsia="zh-CN"/>
        </w:rPr>
      </w:pPr>
      <w:r>
        <w:rPr>
          <w:rFonts w:hint="eastAsia" w:ascii="宋体" w:hAnsi="宋体" w:eastAsia="宋体" w:cs="Times New Roman"/>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Times New Roman"/>
          <w:bCs/>
          <w:szCs w:val="21"/>
        </w:rPr>
        <w:t>是</w:t>
      </w:r>
      <w:r>
        <w:rPr>
          <w:rFonts w:hint="eastAsia" w:ascii="宋体" w:hAnsi="宋体" w:eastAsia="宋体" w:cs="Times New Roman"/>
          <w:bCs/>
          <w:szCs w:val="21"/>
          <w:lang w:eastAsia="zh-CN"/>
        </w:rPr>
        <w:t>，</w:t>
      </w:r>
      <w:r>
        <w:rPr>
          <w:rFonts w:hint="eastAsia" w:ascii="宋体" w:hAnsi="宋体" w:eastAsia="宋体" w:cs="Times New Roman"/>
          <w:bCs/>
          <w:szCs w:val="21"/>
          <w:u w:val="single"/>
          <w:lang w:eastAsia="zh-CN"/>
        </w:rPr>
        <w:t>（应明确对被破坏的检测产品的处理方式）</w:t>
      </w:r>
    </w:p>
    <w:p w14:paraId="4A8CC770">
      <w:pPr>
        <w:adjustRightInd w:val="0"/>
        <w:snapToGrid w:val="0"/>
        <w:spacing w:before="0" w:beforeLines="0" w:line="400" w:lineRule="exact"/>
        <w:ind w:firstLine="840" w:firstLineChars="400"/>
        <w:rPr>
          <w:rFonts w:hint="eastAsia" w:ascii="宋体" w:hAnsi="宋体" w:eastAsia="宋体" w:cs="Times New Roman"/>
          <w:bCs/>
          <w:szCs w:val="21"/>
          <w:lang w:eastAsia="zh-CN"/>
        </w:rPr>
      </w:pPr>
      <w:r>
        <w:rPr>
          <w:rFonts w:hint="eastAsia" w:ascii="宋体" w:hAnsi="宋体" w:eastAsia="宋体" w:cs="Times New Roman"/>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否</w:t>
      </w:r>
    </w:p>
    <w:p w14:paraId="1F56961D">
      <w:pPr>
        <w:adjustRightInd w:val="0"/>
        <w:snapToGrid w:val="0"/>
        <w:spacing w:before="0" w:beforeLines="0" w:line="400" w:lineRule="exact"/>
        <w:ind w:firstLine="840" w:firstLineChars="400"/>
        <w:rPr>
          <w:rFonts w:hint="eastAsia" w:ascii="宋体" w:hAnsi="宋体" w:eastAsia="宋体" w:cs="Times New Roman"/>
          <w:bCs/>
          <w:szCs w:val="21"/>
          <w:u w:val="single"/>
        </w:rPr>
      </w:pPr>
      <w:r>
        <w:rPr>
          <w:rFonts w:hint="eastAsia" w:ascii="宋体" w:hAnsi="宋体" w:eastAsia="宋体" w:cs="Times New Roman"/>
          <w:bCs/>
          <w:szCs w:val="21"/>
        </w:rPr>
        <w:t>验收组织的其他事项：</w:t>
      </w:r>
      <w:r>
        <w:rPr>
          <w:rFonts w:hint="eastAsia" w:ascii="宋体" w:hAnsi="宋体" w:eastAsia="宋体" w:cs="Times New Roman"/>
          <w:bCs/>
          <w:szCs w:val="21"/>
          <w:u w:val="single"/>
        </w:rPr>
        <w:t xml:space="preserve">                </w:t>
      </w:r>
    </w:p>
    <w:p w14:paraId="599B6E98">
      <w:p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（2）履约验收时间：</w:t>
      </w:r>
      <w:r>
        <w:rPr>
          <w:rFonts w:hint="eastAsia" w:ascii="宋体" w:hAnsi="宋体" w:eastAsia="宋体" w:cs="Times New Roman"/>
          <w:bCs/>
          <w:szCs w:val="21"/>
          <w:u w:val="single"/>
        </w:rPr>
        <w:t>（计划于何时验收/供应商提出验收申请之日起   日内组织验收）</w:t>
      </w:r>
      <w:r>
        <w:rPr>
          <w:rFonts w:hint="eastAsia" w:ascii="宋体" w:hAnsi="宋体" w:eastAsia="宋体" w:cs="Times New Roman"/>
          <w:bCs/>
          <w:szCs w:val="21"/>
          <w:u w:val="single"/>
          <w:lang w:val="en-US" w:eastAsia="zh-CN"/>
        </w:rPr>
        <w:t xml:space="preserve"> </w:t>
      </w:r>
    </w:p>
    <w:p w14:paraId="7F4D6E83">
      <w:pPr>
        <w:adjustRightInd w:val="0"/>
        <w:snapToGrid w:val="0"/>
        <w:spacing w:before="0" w:beforeLines="0" w:line="400" w:lineRule="exact"/>
        <w:ind w:firstLine="420" w:firstLineChars="200"/>
        <w:rPr>
          <w:rFonts w:hint="eastAsia" w:ascii="宋体" w:hAnsi="宋体" w:eastAsia="宋体" w:cs="Times New Roman"/>
          <w:bCs/>
          <w:szCs w:val="21"/>
        </w:rPr>
      </w:pPr>
      <w:r>
        <w:rPr>
          <w:rFonts w:hint="eastAsia" w:ascii="宋体" w:hAnsi="宋体" w:eastAsia="宋体" w:cs="Times New Roman"/>
          <w:bCs/>
          <w:szCs w:val="21"/>
        </w:rPr>
        <w:t>（3）履约验收方式：</w:t>
      </w:r>
      <w:r>
        <w:rPr>
          <w:rFonts w:hint="eastAsia" w:ascii="宋体" w:hAnsi="宋体" w:eastAsia="宋体" w:cs="宋体"/>
          <w:sz w:val="21"/>
          <w:szCs w:val="21"/>
        </w:rPr>
        <w:sym w:font="Wingdings" w:char="00A8"/>
      </w:r>
      <w:r>
        <w:rPr>
          <w:rFonts w:hint="eastAsia" w:ascii="宋体" w:hAnsi="宋体" w:eastAsia="宋体" w:cs="Times New Roman"/>
          <w:bCs/>
          <w:szCs w:val="21"/>
        </w:rPr>
        <w:t xml:space="preserve">一次性验收         </w:t>
      </w:r>
    </w:p>
    <w:p w14:paraId="6C097CB5">
      <w:pPr>
        <w:adjustRightInd w:val="0"/>
        <w:snapToGrid w:val="0"/>
        <w:spacing w:before="0" w:beforeLines="0" w:line="400" w:lineRule="exact"/>
        <w:ind w:firstLine="0" w:firstLineChars="0"/>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Times New Roman"/>
          <w:bCs/>
          <w:szCs w:val="21"/>
        </w:rPr>
        <w:t>分期/分项验收</w:t>
      </w:r>
      <w:r>
        <w:rPr>
          <w:rFonts w:hint="eastAsia" w:ascii="宋体" w:hAnsi="宋体" w:eastAsia="宋体" w:cs="Times New Roman"/>
          <w:bCs/>
          <w:szCs w:val="21"/>
          <w:lang w:eastAsia="zh-CN"/>
        </w:rPr>
        <w:t>：</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eastAsia="zh-CN"/>
        </w:rPr>
        <w:t>（应明确分期</w:t>
      </w:r>
      <w:r>
        <w:rPr>
          <w:rFonts w:hint="default" w:ascii="宋体" w:hAnsi="宋体" w:eastAsia="宋体" w:cs="Times New Roman"/>
          <w:bCs/>
          <w:szCs w:val="21"/>
          <w:u w:val="single"/>
          <w:lang w:val="en" w:eastAsia="zh-CN"/>
        </w:rPr>
        <w:t>/</w:t>
      </w:r>
      <w:r>
        <w:rPr>
          <w:rFonts w:hint="eastAsia" w:ascii="宋体" w:hAnsi="宋体" w:eastAsia="宋体" w:cs="Times New Roman"/>
          <w:bCs/>
          <w:szCs w:val="21"/>
          <w:u w:val="single"/>
          <w:lang w:val="en" w:eastAsia="zh-CN"/>
        </w:rPr>
        <w:t>分项验收的工作安排</w:t>
      </w:r>
      <w:r>
        <w:rPr>
          <w:rFonts w:hint="eastAsia" w:ascii="宋体" w:hAnsi="宋体" w:eastAsia="宋体" w:cs="Times New Roman"/>
          <w:bCs/>
          <w:szCs w:val="21"/>
          <w:u w:val="single"/>
          <w:lang w:eastAsia="zh-CN"/>
        </w:rPr>
        <w:t>）</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p>
    <w:p w14:paraId="6A9637B3">
      <w:pPr>
        <w:adjustRightInd w:val="0"/>
        <w:snapToGrid w:val="0"/>
        <w:spacing w:before="0" w:beforeLines="0" w:line="400" w:lineRule="exact"/>
        <w:ind w:firstLine="420" w:firstLineChars="200"/>
        <w:rPr>
          <w:rFonts w:ascii="宋体" w:hAnsi="宋体" w:eastAsia="宋体" w:cs="Times New Roman"/>
          <w:bCs/>
          <w:szCs w:val="21"/>
        </w:rPr>
      </w:pPr>
      <w:r>
        <w:rPr>
          <w:rFonts w:hint="eastAsia" w:ascii="宋体" w:hAnsi="宋体" w:eastAsia="宋体" w:cs="Times New Roman"/>
          <w:bCs/>
          <w:szCs w:val="21"/>
        </w:rPr>
        <w:t>（4）履约验收程序：</w:t>
      </w:r>
      <w:r>
        <w:rPr>
          <w:rFonts w:hint="eastAsia" w:ascii="宋体" w:hAnsi="宋体" w:eastAsia="宋体" w:cs="Times New Roman"/>
          <w:bCs/>
          <w:szCs w:val="21"/>
          <w:u w:val="single"/>
        </w:rPr>
        <w:t xml:space="preserve">                                         </w:t>
      </w:r>
    </w:p>
    <w:p w14:paraId="508C0E88">
      <w:pPr>
        <w:adjustRightInd w:val="0"/>
        <w:snapToGrid w:val="0"/>
        <w:spacing w:before="0" w:beforeLines="0" w:line="400" w:lineRule="exact"/>
        <w:ind w:firstLine="420" w:firstLineChars="200"/>
        <w:rPr>
          <w:rFonts w:ascii="宋体" w:hAnsi="宋体" w:eastAsia="宋体" w:cs="Times New Roman"/>
          <w:bCs/>
          <w:szCs w:val="21"/>
          <w:u w:val="single"/>
        </w:rPr>
      </w:pPr>
      <w:r>
        <w:rPr>
          <w:rFonts w:hint="eastAsia" w:ascii="宋体" w:hAnsi="宋体" w:eastAsia="宋体" w:cs="Times New Roman"/>
          <w:bCs/>
          <w:szCs w:val="21"/>
        </w:rPr>
        <w:t>（5）履约验收的内容：</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u w:val="single"/>
        </w:rPr>
        <w:t xml:space="preserve">                                      </w:t>
      </w:r>
    </w:p>
    <w:p w14:paraId="0CAE4CD6">
      <w:pPr>
        <w:adjustRightInd w:val="0"/>
        <w:snapToGrid w:val="0"/>
        <w:spacing w:before="0" w:beforeLines="0" w:line="400" w:lineRule="exact"/>
        <w:ind w:firstLine="420" w:firstLineChars="200"/>
        <w:rPr>
          <w:rFonts w:hint="eastAsia" w:ascii="宋体" w:hAnsi="宋体" w:eastAsia="宋体" w:cs="Times New Roman"/>
          <w:bCs/>
          <w:szCs w:val="21"/>
          <w:u w:val="single"/>
        </w:rPr>
      </w:pPr>
      <w:r>
        <w:rPr>
          <w:rFonts w:hint="eastAsia" w:ascii="宋体" w:hAnsi="宋体" w:eastAsia="宋体" w:cs="Times New Roman"/>
          <w:bCs/>
          <w:szCs w:val="21"/>
        </w:rPr>
        <w:t>（6）履约验收标准：</w:t>
      </w:r>
      <w:r>
        <w:rPr>
          <w:rFonts w:hint="eastAsia" w:ascii="宋体" w:hAnsi="宋体" w:eastAsia="宋体" w:cs="Times New Roman"/>
          <w:bCs/>
          <w:szCs w:val="21"/>
          <w:u w:val="single"/>
        </w:rPr>
        <w:t xml:space="preserve">                                         </w:t>
      </w:r>
    </w:p>
    <w:p w14:paraId="3F1D8FD5">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5EC9AAE">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1A6DA674">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组成合同的文件</w:t>
      </w:r>
    </w:p>
    <w:p w14:paraId="7E62D4A1">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本协议书与下列文件一起构成合同文件，如下述文件之间有任何抵触、矛盾或歧义，应按以下顺序解释：</w:t>
      </w:r>
    </w:p>
    <w:p w14:paraId="0E186241">
      <w:pPr>
        <w:adjustRightInd w:val="0"/>
        <w:snapToGrid w:val="0"/>
        <w:spacing w:before="0" w:beforeLines="0" w:line="400" w:lineRule="exact"/>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rPr>
        <w:t>（1）</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p>
    <w:p w14:paraId="2A1BE91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2</w:t>
      </w:r>
      <w:r>
        <w:rPr>
          <w:rFonts w:hint="eastAsia" w:ascii="宋体" w:hAnsi="宋体" w:eastAsia="宋体" w:cs="Times New Roman"/>
          <w:szCs w:val="21"/>
        </w:rPr>
        <w:t>）政府采购合同专用条款</w:t>
      </w:r>
    </w:p>
    <w:p w14:paraId="1182052F">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3</w:t>
      </w:r>
      <w:r>
        <w:rPr>
          <w:rFonts w:hint="eastAsia" w:ascii="宋体" w:hAnsi="宋体" w:eastAsia="宋体" w:cs="Times New Roman"/>
          <w:szCs w:val="21"/>
        </w:rPr>
        <w:t>）政府采购合同通用条款</w:t>
      </w:r>
    </w:p>
    <w:p w14:paraId="76E1EBAF">
      <w:pPr>
        <w:adjustRightInd w:val="0"/>
        <w:snapToGrid w:val="0"/>
        <w:spacing w:before="0" w:beforeLines="0" w:line="400" w:lineRule="exact"/>
        <w:ind w:firstLine="420" w:firstLineChars="200"/>
        <w:rPr>
          <w:rFonts w:ascii="宋体" w:hAnsi="宋体" w:eastAsia="宋体" w:cs="Times New Roman"/>
          <w:color w:val="auto"/>
          <w:szCs w:val="21"/>
        </w:rPr>
      </w:pP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4</w:t>
      </w:r>
      <w:r>
        <w:rPr>
          <w:rFonts w:hint="eastAsia" w:ascii="宋体" w:hAnsi="宋体" w:eastAsia="宋体" w:cs="Times New Roman"/>
          <w:color w:val="auto"/>
          <w:szCs w:val="21"/>
        </w:rPr>
        <w:t>）中标</w:t>
      </w:r>
      <w:r>
        <w:rPr>
          <w:rFonts w:hint="eastAsia" w:ascii="宋体" w:hAnsi="宋体" w:eastAsia="宋体" w:cs="Times New Roman"/>
          <w:color w:val="auto"/>
          <w:szCs w:val="21"/>
          <w:lang w:eastAsia="zh-CN"/>
        </w:rPr>
        <w:t>（成交）</w:t>
      </w:r>
      <w:r>
        <w:rPr>
          <w:rFonts w:hint="eastAsia" w:ascii="宋体" w:hAnsi="宋体" w:eastAsia="宋体" w:cs="Times New Roman"/>
          <w:color w:val="auto"/>
          <w:szCs w:val="21"/>
        </w:rPr>
        <w:t>通知书</w:t>
      </w:r>
    </w:p>
    <w:p w14:paraId="4B3C871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）投标（响应）文件</w:t>
      </w:r>
    </w:p>
    <w:p w14:paraId="2DC0798E">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（6）采购文件</w:t>
      </w:r>
    </w:p>
    <w:p w14:paraId="3FF6DABC">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（7）有关技术文件，图纸</w:t>
      </w:r>
    </w:p>
    <w:p w14:paraId="17A60705">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54B1CC25">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合同生效</w:t>
      </w:r>
    </w:p>
    <w:p w14:paraId="1F5249E1">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本合同自</w:t>
      </w:r>
      <w:r>
        <w:rPr>
          <w:rFonts w:hint="eastAsia" w:ascii="宋体" w:hAnsi="宋体" w:eastAsia="宋体" w:cs="Times New Roman"/>
          <w:szCs w:val="21"/>
          <w:u w:val="single"/>
        </w:rPr>
        <w:t xml:space="preserve">                             </w:t>
      </w:r>
      <w:r>
        <w:rPr>
          <w:rFonts w:hint="eastAsia" w:ascii="宋体" w:hAnsi="宋体" w:eastAsia="宋体" w:cs="Times New Roman"/>
          <w:szCs w:val="21"/>
        </w:rPr>
        <w:t>生效。</w:t>
      </w:r>
    </w:p>
    <w:p w14:paraId="7E1D5458">
      <w:pPr>
        <w:numPr>
          <w:ilvl w:val="0"/>
          <w:numId w:val="2"/>
        </w:numPr>
        <w:adjustRightInd w:val="0"/>
        <w:snapToGrid w:val="0"/>
        <w:spacing w:before="0" w:beforeLines="0" w:line="400" w:lineRule="exact"/>
        <w:ind w:firstLine="422" w:firstLineChars="200"/>
        <w:rPr>
          <w:rFonts w:hint="eastAsia" w:ascii="宋体" w:hAnsi="宋体" w:eastAsia="宋体" w:cs="Times New Roman"/>
          <w:b/>
          <w:szCs w:val="21"/>
        </w:rPr>
      </w:pPr>
      <w:r>
        <w:rPr>
          <w:rFonts w:hint="eastAsia" w:ascii="宋体" w:hAnsi="宋体" w:eastAsia="宋体" w:cs="Times New Roman"/>
          <w:b/>
          <w:szCs w:val="21"/>
        </w:rPr>
        <w:t>合同份数</w:t>
      </w:r>
    </w:p>
    <w:p w14:paraId="06FC6CB6">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本合同一式</w:t>
      </w:r>
      <w:r>
        <w:rPr>
          <w:rFonts w:hint="eastAsia" w:ascii="宋体" w:hAnsi="宋体" w:eastAsia="宋体" w:cs="Times New Roman"/>
          <w:szCs w:val="21"/>
          <w:u w:val="single"/>
        </w:rPr>
        <w:t xml:space="preserve">    </w:t>
      </w:r>
      <w:r>
        <w:rPr>
          <w:rFonts w:hint="eastAsia" w:ascii="宋体" w:hAnsi="宋体" w:eastAsia="宋体" w:cs="Times New Roman"/>
          <w:szCs w:val="21"/>
        </w:rPr>
        <w:t>份，</w:t>
      </w:r>
      <w:r>
        <w:rPr>
          <w:rFonts w:hint="eastAsia" w:ascii="宋体" w:hAnsi="宋体" w:eastAsia="宋体" w:cs="Times New Roman"/>
          <w:szCs w:val="21"/>
          <w:lang w:eastAsia="zh-CN"/>
        </w:rPr>
        <w:t>甲方</w:t>
      </w:r>
      <w:r>
        <w:rPr>
          <w:rFonts w:hint="eastAsia" w:ascii="宋体" w:hAnsi="宋体" w:eastAsia="宋体" w:cs="Times New Roman"/>
          <w:szCs w:val="21"/>
        </w:rPr>
        <w:t>执</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份，</w:t>
      </w:r>
      <w:r>
        <w:rPr>
          <w:rFonts w:hint="eastAsia" w:ascii="宋体" w:hAnsi="宋体" w:eastAsia="宋体" w:cs="Times New Roman"/>
          <w:szCs w:val="21"/>
          <w:lang w:eastAsia="zh-CN"/>
        </w:rPr>
        <w:t>乙方</w:t>
      </w:r>
      <w:r>
        <w:rPr>
          <w:rFonts w:hint="eastAsia" w:ascii="宋体" w:hAnsi="宋体" w:eastAsia="宋体" w:cs="Times New Roman"/>
          <w:szCs w:val="21"/>
        </w:rPr>
        <w:t>执</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份，均具有同等法律效力。</w:t>
      </w:r>
    </w:p>
    <w:p w14:paraId="1D39BF4A">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合同订立时间：</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4207A08B">
      <w:pPr>
        <w:adjustRightInd w:val="0"/>
        <w:snapToGrid w:val="0"/>
        <w:spacing w:before="0" w:beforeLines="0" w:line="400" w:lineRule="exact"/>
        <w:ind w:firstLine="420" w:firstLineChars="200"/>
        <w:rPr>
          <w:rFonts w:ascii="宋体" w:hAnsi="宋体" w:eastAsia="宋体" w:cs="Times New Roman"/>
          <w:szCs w:val="21"/>
        </w:rPr>
      </w:pPr>
      <w:r>
        <w:rPr>
          <w:rFonts w:hint="eastAsia" w:ascii="宋体" w:hAnsi="宋体" w:eastAsia="宋体" w:cs="Times New Roman"/>
          <w:szCs w:val="21"/>
        </w:rPr>
        <w:t>合同订立地点：</w:t>
      </w:r>
      <w:r>
        <w:rPr>
          <w:rFonts w:hint="eastAsia" w:ascii="宋体" w:hAnsi="宋体" w:eastAsia="宋体" w:cs="Times New Roman"/>
          <w:szCs w:val="21"/>
          <w:u w:val="single"/>
        </w:rPr>
        <w:t xml:space="preserve">                           </w:t>
      </w:r>
    </w:p>
    <w:p w14:paraId="56034F67">
      <w:pPr>
        <w:adjustRightInd w:val="0"/>
        <w:snapToGrid w:val="0"/>
        <w:spacing w:before="0" w:beforeLines="0" w:line="400" w:lineRule="exact"/>
        <w:ind w:firstLine="420" w:firstLineChars="200"/>
        <w:rPr>
          <w:rFonts w:ascii="Times New Roman" w:hAnsi="Times New Roman" w:eastAsia="宋体" w:cs="Times New Roman"/>
        </w:rPr>
      </w:pPr>
      <w:r>
        <w:rPr>
          <w:rFonts w:hint="eastAsia" w:ascii="宋体" w:hAnsi="宋体" w:eastAsia="宋体" w:cs="Times New Roman"/>
          <w:szCs w:val="21"/>
        </w:rPr>
        <w:t>附件：具体标</w:t>
      </w:r>
      <w:r>
        <w:rPr>
          <w:rFonts w:hint="eastAsia" w:ascii="宋体" w:hAnsi="宋体" w:eastAsia="宋体" w:cs="Times New Roman"/>
          <w:szCs w:val="21"/>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rPr>
        <w:t>、联合协议、分包</w:t>
      </w:r>
      <w:r>
        <w:rPr>
          <w:rFonts w:hint="eastAsia" w:ascii="宋体" w:hAnsi="宋体" w:eastAsia="宋体" w:cs="Times New Roman"/>
          <w:szCs w:val="21"/>
          <w:lang w:eastAsia="zh-CN"/>
        </w:rPr>
        <w:t>意向</w:t>
      </w:r>
      <w:r>
        <w:rPr>
          <w:rFonts w:hint="eastAsia" w:ascii="宋体" w:hAnsi="宋体" w:eastAsia="宋体" w:cs="Times New Roman"/>
          <w:szCs w:val="21"/>
        </w:rPr>
        <w:t>协议等。</w:t>
      </w:r>
    </w:p>
    <w:p w14:paraId="4B954A0F">
      <w:pPr>
        <w:pStyle w:val="33"/>
        <w:spacing w:beforeLines="0" w:line="400" w:lineRule="exact"/>
      </w:pPr>
    </w:p>
    <w:p w14:paraId="7A2CDEE2">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0B58BDE5">
      <w:pPr>
        <w:rPr>
          <w:rFonts w:hint="eastAsia" w:ascii="Times New Roman" w:hAnsi="Times New Roman" w:eastAsia="宋体" w:cs="Times New Roman"/>
        </w:rPr>
      </w:pPr>
      <w:r>
        <w:rPr>
          <w:rFonts w:hint="eastAsia" w:ascii="Times New Roman" w:hAnsi="Times New Roman" w:eastAsia="宋体" w:cs="Times New Roman"/>
        </w:rPr>
        <w:br w:type="page"/>
      </w:r>
    </w:p>
    <w:p w14:paraId="40ADDA1F">
      <w:pPr>
        <w:pStyle w:val="33"/>
        <w:rPr>
          <w:rFonts w:hint="eastAsia"/>
        </w:rPr>
      </w:pPr>
    </w:p>
    <w:tbl>
      <w:tblPr>
        <w:tblStyle w:val="1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24"/>
        <w:gridCol w:w="2708"/>
        <w:gridCol w:w="2222"/>
        <w:gridCol w:w="2376"/>
      </w:tblGrid>
      <w:tr w14:paraId="7BCC6B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FF02B99">
            <w:pPr>
              <w:adjustRightInd w:val="0"/>
              <w:snapToGrid w:val="0"/>
              <w:spacing w:line="300" w:lineRule="exact"/>
              <w:jc w:val="center"/>
              <w:rPr>
                <w:rFonts w:ascii="Times New Roman" w:hAnsi="Times New Roman" w:eastAsia="宋体" w:cs="Times New Roman"/>
              </w:rPr>
            </w:pPr>
            <w:r>
              <w:rPr>
                <w:rFonts w:ascii="Times New Roman" w:hAnsi="Times New Roman" w:eastAsia="宋体" w:cs="Times New Roman"/>
                <w:szCs w:val="21"/>
              </w:rPr>
              <w:t>甲方</w:t>
            </w:r>
            <w:r>
              <w:rPr>
                <w:rFonts w:hint="eastAsia" w:ascii="Times New Roman" w:hAnsi="Times New Roman" w:eastAsia="宋体" w:cs="Times New Roman"/>
                <w:szCs w:val="21"/>
              </w:rPr>
              <w:t>（采购人</w:t>
            </w:r>
            <w:r>
              <w:rPr>
                <w:rFonts w:hint="eastAsia" w:ascii="宋体" w:hAnsi="宋体" w:eastAsia="宋体" w:cs="Times New Roman"/>
                <w:szCs w:val="21"/>
                <w:lang w:eastAsia="zh-CN"/>
              </w:rPr>
              <w:t>、受采购人委托签订合同的单位</w:t>
            </w:r>
            <w:r>
              <w:rPr>
                <w:rFonts w:hint="eastAsia" w:ascii="宋体" w:hAnsi="宋体" w:eastAsia="宋体" w:cs="Times New Roman"/>
                <w:szCs w:val="21"/>
              </w:rPr>
              <w:t>或</w:t>
            </w:r>
            <w:r>
              <w:rPr>
                <w:rFonts w:hint="eastAsia" w:ascii="Times New Roman" w:hAnsi="Times New Roman" w:eastAsia="宋体" w:cs="Times New Roman"/>
                <w:szCs w:val="21"/>
              </w:rPr>
              <w:t>采购文件约定的合同甲方）</w:t>
            </w:r>
          </w:p>
        </w:tc>
        <w:tc>
          <w:tcPr>
            <w:tcW w:w="2437" w:type="pct"/>
            <w:gridSpan w:val="2"/>
            <w:tcBorders>
              <w:left w:val="single" w:color="auto" w:sz="2" w:space="0"/>
              <w:bottom w:val="single" w:color="auto" w:sz="2" w:space="0"/>
            </w:tcBorders>
            <w:vAlign w:val="center"/>
          </w:tcPr>
          <w:p w14:paraId="03CF6B7E">
            <w:pPr>
              <w:adjustRightInd w:val="0"/>
              <w:snapToGrid w:val="0"/>
              <w:spacing w:line="300" w:lineRule="exact"/>
              <w:jc w:val="center"/>
              <w:rPr>
                <w:rFonts w:ascii="Times New Roman" w:hAnsi="Times New Roman" w:eastAsia="宋体" w:cs="Times New Roman"/>
              </w:rPr>
            </w:pPr>
            <w:r>
              <w:rPr>
                <w:rFonts w:ascii="Times New Roman" w:hAnsi="Times New Roman" w:eastAsia="宋体" w:cs="Times New Roman"/>
                <w:szCs w:val="21"/>
              </w:rPr>
              <w:t>乙方</w:t>
            </w:r>
            <w:r>
              <w:rPr>
                <w:rFonts w:hint="eastAsia" w:ascii="Times New Roman" w:hAnsi="Times New Roman" w:eastAsia="宋体" w:cs="Times New Roman"/>
                <w:szCs w:val="21"/>
              </w:rPr>
              <w:t>（供应商）</w:t>
            </w:r>
          </w:p>
        </w:tc>
      </w:tr>
      <w:tr w14:paraId="5A3F5FD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967BC24">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0C2AE">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36ED6D2">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单位名称</w:t>
            </w:r>
            <w:r>
              <w:rPr>
                <w:rFonts w:hint="eastAsia" w:ascii="Times New Roman" w:hAnsi="Times New Roman" w:eastAsia="宋体" w:cs="Times New Roman"/>
                <w:szCs w:val="21"/>
              </w:rPr>
              <w:t>（公章</w:t>
            </w:r>
            <w:r>
              <w:rPr>
                <w:rFonts w:hint="eastAsia" w:ascii="Times New Roman" w:hAnsi="Times New Roman" w:eastAsia="宋体" w:cs="Times New Roman"/>
                <w:szCs w:val="21"/>
                <w:lang w:eastAsia="zh-CN"/>
              </w:rPr>
              <w:t>或合同章</w:t>
            </w:r>
            <w:r>
              <w:rPr>
                <w:rFonts w:hint="eastAsia" w:ascii="Times New Roman" w:hAnsi="Times New Roman" w:eastAsia="宋体" w:cs="Times New Roman"/>
                <w:szCs w:val="21"/>
              </w:rPr>
              <w:t>）</w:t>
            </w:r>
          </w:p>
        </w:tc>
        <w:tc>
          <w:tcPr>
            <w:tcW w:w="1259" w:type="pct"/>
            <w:tcBorders>
              <w:top w:val="single" w:color="auto" w:sz="2" w:space="0"/>
              <w:left w:val="single" w:color="auto" w:sz="2" w:space="0"/>
              <w:bottom w:val="single" w:color="auto" w:sz="2" w:space="0"/>
            </w:tcBorders>
            <w:vAlign w:val="center"/>
          </w:tcPr>
          <w:p w14:paraId="168DCE55">
            <w:pPr>
              <w:adjustRightInd w:val="0"/>
              <w:snapToGrid w:val="0"/>
              <w:spacing w:line="300" w:lineRule="exact"/>
              <w:jc w:val="center"/>
              <w:rPr>
                <w:rFonts w:ascii="Times New Roman" w:hAnsi="Times New Roman" w:eastAsia="宋体" w:cs="Times New Roman"/>
                <w:spacing w:val="20"/>
                <w:szCs w:val="21"/>
              </w:rPr>
            </w:pPr>
          </w:p>
        </w:tc>
      </w:tr>
      <w:tr w14:paraId="5A9140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0A5CEAC">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494E6137">
            <w:pPr>
              <w:adjustRightInd w:val="0"/>
              <w:snapToGrid w:val="0"/>
              <w:spacing w:line="300" w:lineRule="exact"/>
              <w:ind w:firstLine="100" w:firstLineChars="48"/>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1436" w:type="pct"/>
            <w:vMerge w:val="restart"/>
            <w:tcBorders>
              <w:top w:val="single" w:color="auto" w:sz="2" w:space="0"/>
              <w:left w:val="single" w:color="auto" w:sz="2" w:space="0"/>
              <w:right w:val="single" w:color="auto" w:sz="2" w:space="0"/>
            </w:tcBorders>
            <w:vAlign w:val="center"/>
          </w:tcPr>
          <w:p w14:paraId="46242BBD">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right w:val="single" w:color="auto" w:sz="2" w:space="0"/>
            </w:tcBorders>
            <w:vAlign w:val="center"/>
          </w:tcPr>
          <w:p w14:paraId="3424CA13">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法定代表人</w:t>
            </w:r>
          </w:p>
          <w:p w14:paraId="40C49CA6">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或其</w:t>
            </w:r>
            <w:r>
              <w:rPr>
                <w:rFonts w:ascii="Times New Roman" w:hAnsi="Times New Roman" w:eastAsia="宋体" w:cs="Times New Roman"/>
                <w:szCs w:val="21"/>
              </w:rPr>
              <w:t>委托代理人</w:t>
            </w:r>
            <w:r>
              <w:rPr>
                <w:rFonts w:hint="eastAsia" w:ascii="Times New Roman" w:hAnsi="Times New Roman" w:eastAsia="宋体" w:cs="Times New Roman"/>
                <w:szCs w:val="21"/>
              </w:rPr>
              <w:t>（签章）</w:t>
            </w:r>
          </w:p>
        </w:tc>
        <w:tc>
          <w:tcPr>
            <w:tcW w:w="1259" w:type="pct"/>
            <w:tcBorders>
              <w:top w:val="single" w:color="auto" w:sz="2" w:space="0"/>
              <w:left w:val="single" w:color="auto" w:sz="2" w:space="0"/>
              <w:bottom w:val="single" w:color="auto" w:sz="2" w:space="0"/>
            </w:tcBorders>
            <w:vAlign w:val="center"/>
          </w:tcPr>
          <w:p w14:paraId="7EE21B25">
            <w:pPr>
              <w:adjustRightInd w:val="0"/>
              <w:snapToGrid w:val="0"/>
              <w:spacing w:line="300" w:lineRule="exact"/>
              <w:jc w:val="center"/>
              <w:rPr>
                <w:rFonts w:ascii="Times New Roman" w:hAnsi="Times New Roman" w:eastAsia="宋体" w:cs="Times New Roman"/>
                <w:szCs w:val="21"/>
              </w:rPr>
            </w:pPr>
          </w:p>
        </w:tc>
      </w:tr>
      <w:tr w14:paraId="04D758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AC363BB">
            <w:pPr>
              <w:adjustRightInd w:val="0"/>
              <w:snapToGrid w:val="0"/>
              <w:spacing w:line="300" w:lineRule="exact"/>
              <w:jc w:val="center"/>
              <w:rPr>
                <w:rFonts w:ascii="Times New Roman" w:hAnsi="Times New Roman" w:eastAsia="宋体" w:cs="Times New Roman"/>
                <w:szCs w:val="21"/>
              </w:rPr>
            </w:pPr>
          </w:p>
        </w:tc>
        <w:tc>
          <w:tcPr>
            <w:tcW w:w="1436" w:type="pct"/>
            <w:vMerge w:val="continue"/>
            <w:tcBorders>
              <w:left w:val="single" w:color="auto" w:sz="2" w:space="0"/>
              <w:bottom w:val="single" w:color="auto" w:sz="2" w:space="0"/>
              <w:right w:val="single" w:color="auto" w:sz="2" w:space="0"/>
            </w:tcBorders>
            <w:vAlign w:val="center"/>
          </w:tcPr>
          <w:p w14:paraId="4E8EAD3A">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F65D8CD">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3FF912B2">
            <w:pPr>
              <w:adjustRightInd w:val="0"/>
              <w:snapToGrid w:val="0"/>
              <w:spacing w:line="300" w:lineRule="exact"/>
              <w:jc w:val="center"/>
              <w:rPr>
                <w:rFonts w:ascii="Times New Roman" w:hAnsi="Times New Roman" w:eastAsia="宋体" w:cs="Times New Roman"/>
                <w:spacing w:val="20"/>
                <w:szCs w:val="21"/>
              </w:rPr>
            </w:pPr>
          </w:p>
        </w:tc>
      </w:tr>
      <w:tr w14:paraId="192488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9A9DA87">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74773F0">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9273C50">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住</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lang w:eastAsia="zh-CN"/>
              </w:rPr>
              <w:t>所</w:t>
            </w:r>
          </w:p>
        </w:tc>
        <w:tc>
          <w:tcPr>
            <w:tcW w:w="1259" w:type="pct"/>
            <w:tcBorders>
              <w:top w:val="single" w:color="auto" w:sz="2" w:space="0"/>
              <w:left w:val="single" w:color="auto" w:sz="2" w:space="0"/>
              <w:bottom w:val="single" w:color="auto" w:sz="2" w:space="0"/>
            </w:tcBorders>
            <w:vAlign w:val="center"/>
          </w:tcPr>
          <w:p w14:paraId="3D12D17C">
            <w:pPr>
              <w:adjustRightInd w:val="0"/>
              <w:snapToGrid w:val="0"/>
              <w:spacing w:line="300" w:lineRule="exact"/>
              <w:jc w:val="center"/>
              <w:rPr>
                <w:rFonts w:ascii="Times New Roman" w:hAnsi="Times New Roman" w:eastAsia="宋体" w:cs="Times New Roman"/>
                <w:spacing w:val="20"/>
                <w:szCs w:val="21"/>
              </w:rPr>
            </w:pPr>
          </w:p>
        </w:tc>
      </w:tr>
      <w:tr w14:paraId="19B951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B1BDF1F">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CA14E0D">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4B42A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 系 人</w:t>
            </w:r>
          </w:p>
        </w:tc>
        <w:tc>
          <w:tcPr>
            <w:tcW w:w="1259" w:type="pct"/>
            <w:tcBorders>
              <w:top w:val="single" w:color="auto" w:sz="2" w:space="0"/>
              <w:left w:val="single" w:color="auto" w:sz="2" w:space="0"/>
              <w:bottom w:val="single" w:color="auto" w:sz="2" w:space="0"/>
            </w:tcBorders>
            <w:vAlign w:val="center"/>
          </w:tcPr>
          <w:p w14:paraId="6B84B116">
            <w:pPr>
              <w:adjustRightInd w:val="0"/>
              <w:snapToGrid w:val="0"/>
              <w:spacing w:line="300" w:lineRule="exact"/>
              <w:jc w:val="center"/>
              <w:rPr>
                <w:rFonts w:ascii="Times New Roman" w:hAnsi="Times New Roman" w:eastAsia="宋体" w:cs="Times New Roman"/>
                <w:spacing w:val="20"/>
                <w:szCs w:val="21"/>
              </w:rPr>
            </w:pPr>
          </w:p>
        </w:tc>
      </w:tr>
      <w:tr w14:paraId="7D4465F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F9000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84013BF">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0C74D96">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联系电话</w:t>
            </w:r>
          </w:p>
        </w:tc>
        <w:tc>
          <w:tcPr>
            <w:tcW w:w="1259" w:type="pct"/>
            <w:tcBorders>
              <w:top w:val="single" w:color="auto" w:sz="2" w:space="0"/>
              <w:left w:val="single" w:color="auto" w:sz="2" w:space="0"/>
              <w:bottom w:val="single" w:color="auto" w:sz="2" w:space="0"/>
            </w:tcBorders>
            <w:vAlign w:val="center"/>
          </w:tcPr>
          <w:p w14:paraId="00722604">
            <w:pPr>
              <w:adjustRightInd w:val="0"/>
              <w:snapToGrid w:val="0"/>
              <w:spacing w:line="300" w:lineRule="exact"/>
              <w:jc w:val="center"/>
              <w:rPr>
                <w:rFonts w:ascii="Times New Roman" w:hAnsi="Times New Roman" w:eastAsia="宋体" w:cs="Times New Roman"/>
                <w:spacing w:val="20"/>
                <w:szCs w:val="21"/>
              </w:rPr>
            </w:pPr>
          </w:p>
        </w:tc>
      </w:tr>
      <w:tr w14:paraId="4B98F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62A1B4">
            <w:pPr>
              <w:adjustRightInd w:val="0"/>
              <w:snapToGrid w:val="0"/>
              <w:spacing w:line="300" w:lineRule="exact"/>
              <w:jc w:val="center"/>
              <w:rPr>
                <w:rFonts w:hint="eastAsia" w:ascii="Times New Roman" w:hAnsi="Times New Roman" w:eastAsia="宋体" w:cs="Times New Roman"/>
                <w:szCs w:val="21"/>
                <w:lang w:eastAsia="zh-CN"/>
              </w:rPr>
            </w:pPr>
            <w:r>
              <w:rPr>
                <w:rFonts w:hint="eastAsia" w:ascii="Times New Roman" w:hAnsi="Times New Roman" w:eastAsia="宋体" w:cs="Times New Roman"/>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F325D94">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824AA27">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5C7A4227">
            <w:pPr>
              <w:adjustRightInd w:val="0"/>
              <w:snapToGrid w:val="0"/>
              <w:spacing w:line="300" w:lineRule="exact"/>
              <w:jc w:val="center"/>
              <w:rPr>
                <w:rFonts w:ascii="Times New Roman" w:hAnsi="Times New Roman" w:eastAsia="宋体" w:cs="Times New Roman"/>
                <w:spacing w:val="20"/>
                <w:szCs w:val="21"/>
              </w:rPr>
            </w:pPr>
          </w:p>
        </w:tc>
      </w:tr>
      <w:tr w14:paraId="6D17B4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482E7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AB94AEC">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FE39A5">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邮政编码</w:t>
            </w:r>
          </w:p>
        </w:tc>
        <w:tc>
          <w:tcPr>
            <w:tcW w:w="1259" w:type="pct"/>
            <w:tcBorders>
              <w:top w:val="single" w:color="auto" w:sz="2" w:space="0"/>
              <w:left w:val="single" w:color="auto" w:sz="2" w:space="0"/>
              <w:bottom w:val="single" w:color="auto" w:sz="2" w:space="0"/>
            </w:tcBorders>
            <w:vAlign w:val="center"/>
          </w:tcPr>
          <w:p w14:paraId="520AD9A0">
            <w:pPr>
              <w:adjustRightInd w:val="0"/>
              <w:snapToGrid w:val="0"/>
              <w:spacing w:line="300" w:lineRule="exact"/>
              <w:jc w:val="center"/>
              <w:rPr>
                <w:rFonts w:ascii="Times New Roman" w:hAnsi="Times New Roman" w:eastAsia="宋体" w:cs="Times New Roman"/>
                <w:spacing w:val="20"/>
                <w:szCs w:val="21"/>
              </w:rPr>
            </w:pPr>
          </w:p>
        </w:tc>
      </w:tr>
      <w:tr w14:paraId="42C09E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0F84597C">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7E7CFCD">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2A4A6E1">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电子邮箱</w:t>
            </w:r>
          </w:p>
        </w:tc>
        <w:tc>
          <w:tcPr>
            <w:tcW w:w="1259" w:type="pct"/>
            <w:tcBorders>
              <w:top w:val="single" w:color="auto" w:sz="2" w:space="0"/>
              <w:left w:val="single" w:color="auto" w:sz="2" w:space="0"/>
              <w:bottom w:val="single" w:color="auto" w:sz="2" w:space="0"/>
            </w:tcBorders>
            <w:vAlign w:val="center"/>
          </w:tcPr>
          <w:p w14:paraId="32356F20">
            <w:pPr>
              <w:adjustRightInd w:val="0"/>
              <w:snapToGrid w:val="0"/>
              <w:spacing w:line="300" w:lineRule="exact"/>
              <w:jc w:val="center"/>
              <w:rPr>
                <w:rFonts w:ascii="Times New Roman" w:hAnsi="Times New Roman" w:eastAsia="宋体" w:cs="Times New Roman"/>
                <w:spacing w:val="20"/>
                <w:szCs w:val="21"/>
              </w:rPr>
            </w:pPr>
          </w:p>
        </w:tc>
      </w:tr>
      <w:tr w14:paraId="628DA4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4342CD">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4DF8163">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2C05A66">
            <w:pPr>
              <w:adjustRightInd w:val="0"/>
              <w:snapToGrid w:val="0"/>
              <w:spacing w:line="300" w:lineRule="exact"/>
              <w:jc w:val="center"/>
              <w:rPr>
                <w:rFonts w:ascii="Times New Roman" w:hAnsi="Times New Roman" w:eastAsia="宋体" w:cs="Times New Roman"/>
                <w:szCs w:val="21"/>
              </w:rPr>
            </w:pPr>
            <w:r>
              <w:rPr>
                <w:rFonts w:hint="eastAsia" w:ascii="Times New Roman" w:hAnsi="Times New Roman" w:eastAsia="宋体" w:cs="Times New Roman"/>
                <w:szCs w:val="21"/>
              </w:rPr>
              <w:t>统一社会信用代码</w:t>
            </w:r>
          </w:p>
        </w:tc>
        <w:tc>
          <w:tcPr>
            <w:tcW w:w="1259" w:type="pct"/>
            <w:tcBorders>
              <w:top w:val="single" w:color="auto" w:sz="2" w:space="0"/>
              <w:left w:val="single" w:color="auto" w:sz="2" w:space="0"/>
              <w:bottom w:val="single" w:color="auto" w:sz="2" w:space="0"/>
            </w:tcBorders>
            <w:vAlign w:val="center"/>
          </w:tcPr>
          <w:p w14:paraId="331FF6C8">
            <w:pPr>
              <w:adjustRightInd w:val="0"/>
              <w:snapToGrid w:val="0"/>
              <w:spacing w:line="300" w:lineRule="exact"/>
              <w:jc w:val="center"/>
              <w:rPr>
                <w:rFonts w:ascii="Times New Roman" w:hAnsi="Times New Roman" w:eastAsia="宋体" w:cs="Times New Roman"/>
                <w:spacing w:val="20"/>
                <w:szCs w:val="21"/>
              </w:rPr>
            </w:pPr>
          </w:p>
        </w:tc>
      </w:tr>
      <w:tr w14:paraId="3D55B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5FB062">
            <w:pPr>
              <w:adjustRightInd w:val="0"/>
              <w:snapToGrid w:val="0"/>
              <w:spacing w:line="300" w:lineRule="exact"/>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9399EC9">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030209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开户名称</w:t>
            </w:r>
          </w:p>
        </w:tc>
        <w:tc>
          <w:tcPr>
            <w:tcW w:w="1259" w:type="pct"/>
            <w:tcBorders>
              <w:top w:val="single" w:color="auto" w:sz="2" w:space="0"/>
              <w:left w:val="single" w:color="auto" w:sz="2" w:space="0"/>
              <w:bottom w:val="single" w:color="auto" w:sz="2" w:space="0"/>
            </w:tcBorders>
            <w:vAlign w:val="center"/>
          </w:tcPr>
          <w:p w14:paraId="406901BC">
            <w:pPr>
              <w:adjustRightInd w:val="0"/>
              <w:snapToGrid w:val="0"/>
              <w:spacing w:line="300" w:lineRule="exact"/>
              <w:jc w:val="center"/>
              <w:rPr>
                <w:rFonts w:ascii="Times New Roman" w:hAnsi="Times New Roman" w:eastAsia="宋体" w:cs="Times New Roman"/>
                <w:spacing w:val="20"/>
                <w:szCs w:val="21"/>
              </w:rPr>
            </w:pPr>
          </w:p>
        </w:tc>
      </w:tr>
      <w:tr w14:paraId="6CFD50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94E2CD">
            <w:pPr>
              <w:adjustRightInd w:val="0"/>
              <w:snapToGrid w:val="0"/>
              <w:spacing w:line="300" w:lineRule="exact"/>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D975A49">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B11200">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开户银行</w:t>
            </w:r>
          </w:p>
        </w:tc>
        <w:tc>
          <w:tcPr>
            <w:tcW w:w="1259" w:type="pct"/>
            <w:tcBorders>
              <w:top w:val="single" w:color="auto" w:sz="2" w:space="0"/>
              <w:left w:val="single" w:color="auto" w:sz="2" w:space="0"/>
              <w:bottom w:val="single" w:color="auto" w:sz="2" w:space="0"/>
            </w:tcBorders>
            <w:vAlign w:val="center"/>
          </w:tcPr>
          <w:p w14:paraId="70731AD3">
            <w:pPr>
              <w:adjustRightInd w:val="0"/>
              <w:snapToGrid w:val="0"/>
              <w:spacing w:line="300" w:lineRule="exact"/>
              <w:jc w:val="center"/>
              <w:rPr>
                <w:rFonts w:ascii="Times New Roman" w:hAnsi="Times New Roman" w:eastAsia="宋体" w:cs="Times New Roman"/>
                <w:spacing w:val="20"/>
                <w:szCs w:val="21"/>
              </w:rPr>
            </w:pPr>
          </w:p>
        </w:tc>
      </w:tr>
      <w:tr w14:paraId="3A4729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66CD77">
            <w:pPr>
              <w:adjustRightInd w:val="0"/>
              <w:snapToGrid w:val="0"/>
              <w:spacing w:line="300" w:lineRule="exact"/>
              <w:jc w:val="center"/>
              <w:rPr>
                <w:rFonts w:ascii="Times New Roman" w:hAnsi="Times New Roman" w:eastAsia="宋体" w:cs="Times New Roman"/>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01B8A84">
            <w:pPr>
              <w:adjustRightInd w:val="0"/>
              <w:snapToGrid w:val="0"/>
              <w:spacing w:line="300" w:lineRule="exact"/>
              <w:jc w:val="center"/>
              <w:rPr>
                <w:rFonts w:ascii="Times New Roman" w:hAnsi="Times New Roman" w:eastAsia="宋体" w:cs="Times New Roman"/>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F52191">
            <w:pPr>
              <w:adjustRightInd w:val="0"/>
              <w:snapToGrid w:val="0"/>
              <w:spacing w:line="300" w:lineRule="exact"/>
              <w:jc w:val="center"/>
              <w:rPr>
                <w:rFonts w:ascii="Times New Roman" w:hAnsi="Times New Roman" w:eastAsia="宋体" w:cs="Times New Roman"/>
                <w:szCs w:val="21"/>
              </w:rPr>
            </w:pPr>
            <w:r>
              <w:rPr>
                <w:rFonts w:ascii="Times New Roman" w:hAnsi="Times New Roman" w:eastAsia="宋体" w:cs="Times New Roman"/>
                <w:szCs w:val="21"/>
              </w:rPr>
              <w:t>银行账号</w:t>
            </w:r>
          </w:p>
        </w:tc>
        <w:tc>
          <w:tcPr>
            <w:tcW w:w="1259" w:type="pct"/>
            <w:tcBorders>
              <w:top w:val="single" w:color="auto" w:sz="2" w:space="0"/>
              <w:left w:val="single" w:color="auto" w:sz="2" w:space="0"/>
              <w:bottom w:val="single" w:color="auto" w:sz="2" w:space="0"/>
            </w:tcBorders>
            <w:vAlign w:val="center"/>
          </w:tcPr>
          <w:p w14:paraId="0C1D1F60">
            <w:pPr>
              <w:adjustRightInd w:val="0"/>
              <w:snapToGrid w:val="0"/>
              <w:spacing w:line="300" w:lineRule="exact"/>
              <w:jc w:val="center"/>
              <w:rPr>
                <w:rFonts w:ascii="Times New Roman" w:hAnsi="Times New Roman" w:eastAsia="宋体" w:cs="Times New Roman"/>
                <w:spacing w:val="20"/>
                <w:szCs w:val="21"/>
              </w:rPr>
            </w:pPr>
          </w:p>
        </w:tc>
      </w:tr>
      <w:tr w14:paraId="62CA53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4FEB0542">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lang w:val="en-US" w:eastAsia="zh-CN" w:bidi="ar-SA"/>
              </w:rPr>
            </w:pPr>
            <w:r>
              <w:rPr>
                <w:rFonts w:hint="eastAsia" w:ascii="宋体" w:hAnsi="宋体" w:eastAsia="宋体" w:cs="Times New Roman"/>
                <w:kern w:val="2"/>
                <w:sz w:val="21"/>
                <w:szCs w:val="21"/>
                <w:lang w:val="en-US" w:eastAsia="zh-CN" w:bidi="ar-SA"/>
              </w:rPr>
              <w:t>注：涉及联合体或其他合同主体的信息应按上表格式加列。</w:t>
            </w:r>
          </w:p>
        </w:tc>
      </w:tr>
    </w:tbl>
    <w:p w14:paraId="61B0C3D7">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6" w:name="_Toc27624"/>
      <w:r>
        <w:rPr>
          <w:rFonts w:hint="eastAsia" w:ascii="黑体" w:hAnsi="黑体" w:eastAsia="黑体"/>
          <w:b w:val="0"/>
          <w:bCs w:val="0"/>
          <w:sz w:val="28"/>
          <w:szCs w:val="28"/>
        </w:rPr>
        <w:t>第二节 政府采购合同通用条款</w:t>
      </w:r>
      <w:bookmarkEnd w:id="6"/>
    </w:p>
    <w:p w14:paraId="7830970A">
      <w:pPr>
        <w:tabs>
          <w:tab w:val="left" w:pos="8820"/>
          <w:tab w:val="left" w:pos="9345"/>
          <w:tab w:val="left" w:pos="9765"/>
        </w:tabs>
        <w:adjustRightInd w:val="0"/>
        <w:snapToGrid w:val="0"/>
        <w:spacing w:before="0" w:line="400" w:lineRule="exact"/>
        <w:jc w:val="left"/>
        <w:rPr>
          <w:rFonts w:ascii="宋体" w:hAnsi="宋体" w:eastAsia="宋体" w:cs="Times New Roman"/>
          <w:b/>
          <w:bCs/>
          <w:sz w:val="24"/>
        </w:rPr>
      </w:pPr>
      <w:r>
        <w:rPr>
          <w:rFonts w:hint="eastAsia" w:ascii="宋体" w:hAnsi="宋体" w:eastAsia="宋体" w:cs="Times New Roman"/>
          <w:b/>
          <w:sz w:val="24"/>
        </w:rPr>
        <w:t>1.</w:t>
      </w:r>
      <w:r>
        <w:rPr>
          <w:rFonts w:hint="eastAsia" w:ascii="宋体" w:hAnsi="宋体" w:eastAsia="宋体" w:cs="Times New Roman"/>
          <w:b/>
          <w:sz w:val="24"/>
          <w:lang w:val="en-US" w:eastAsia="zh-CN"/>
        </w:rPr>
        <w:t xml:space="preserve"> </w:t>
      </w:r>
      <w:r>
        <w:rPr>
          <w:rFonts w:hint="eastAsia" w:ascii="宋体" w:hAnsi="宋体" w:eastAsia="宋体" w:cs="Times New Roman"/>
          <w:b/>
          <w:bCs/>
          <w:sz w:val="24"/>
        </w:rPr>
        <w:t>定义</w:t>
      </w:r>
    </w:p>
    <w:p w14:paraId="5F25E8C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1.1合同当事人</w:t>
      </w:r>
    </w:p>
    <w:p w14:paraId="0787998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586F2AF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05E9DC2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eastAsia="宋体" w:cs="Times New Roman"/>
          <w:color w:val="auto"/>
          <w:szCs w:val="21"/>
          <w:highlight w:val="none"/>
        </w:rPr>
        <w:t>。</w:t>
      </w:r>
    </w:p>
    <w:p w14:paraId="08EC9596">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0B22251D">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eastAsia="宋体" w:cs="Times New Roman"/>
          <w:color w:val="auto"/>
          <w:szCs w:val="21"/>
          <w:lang w:eastAsia="zh-CN"/>
        </w:rPr>
        <w:t>政府采购</w:t>
      </w:r>
      <w:r>
        <w:rPr>
          <w:rFonts w:hint="eastAsia" w:ascii="宋体" w:hAnsi="宋体" w:eastAsia="宋体" w:cs="Times New Roman"/>
          <w:color w:val="auto"/>
          <w:szCs w:val="21"/>
        </w:rPr>
        <w:t>合同协议书及其变更、补充</w:t>
      </w:r>
      <w:r>
        <w:rPr>
          <w:rFonts w:hint="eastAsia" w:ascii="宋体" w:hAnsi="宋体" w:eastAsia="宋体" w:cs="Times New Roman"/>
          <w:color w:val="auto"/>
          <w:szCs w:val="21"/>
          <w:lang w:eastAsia="zh-CN"/>
        </w:rPr>
        <w:t>协议，</w:t>
      </w:r>
      <w:r>
        <w:rPr>
          <w:rFonts w:hint="eastAsia" w:ascii="宋体" w:hAnsi="宋体" w:eastAsia="宋体" w:cs="Times New Roman"/>
          <w:szCs w:val="21"/>
        </w:rPr>
        <w:t>政府采购合同专用条款</w:t>
      </w:r>
      <w:r>
        <w:rPr>
          <w:rFonts w:hint="eastAsia" w:ascii="宋体" w:hAnsi="宋体" w:eastAsia="宋体" w:cs="Times New Roman"/>
          <w:szCs w:val="21"/>
          <w:lang w:eastAsia="zh-CN"/>
        </w:rPr>
        <w:t>，</w:t>
      </w:r>
      <w:r>
        <w:rPr>
          <w:rFonts w:hint="eastAsia" w:ascii="宋体" w:hAnsi="宋体" w:eastAsia="宋体" w:cs="Times New Roman"/>
          <w:szCs w:val="21"/>
        </w:rPr>
        <w:t>政府采购合同通用条款</w:t>
      </w:r>
      <w:r>
        <w:rPr>
          <w:rFonts w:hint="eastAsia" w:ascii="宋体" w:hAnsi="宋体" w:eastAsia="宋体" w:cs="Times New Roman"/>
          <w:szCs w:val="21"/>
          <w:lang w:eastAsia="zh-CN"/>
        </w:rPr>
        <w:t>，</w:t>
      </w:r>
      <w:r>
        <w:rPr>
          <w:rFonts w:hint="eastAsia" w:ascii="宋体" w:hAnsi="宋体" w:eastAsia="宋体" w:cs="Times New Roman"/>
          <w:color w:val="auto"/>
          <w:szCs w:val="21"/>
        </w:rPr>
        <w:t>中标</w:t>
      </w:r>
      <w:r>
        <w:rPr>
          <w:rFonts w:hint="eastAsia" w:ascii="宋体" w:hAnsi="宋体" w:eastAsia="宋体" w:cs="Times New Roman"/>
          <w:color w:val="auto"/>
          <w:szCs w:val="21"/>
          <w:lang w:eastAsia="zh-CN"/>
        </w:rPr>
        <w:t>（成交）</w:t>
      </w:r>
      <w:r>
        <w:rPr>
          <w:rFonts w:hint="eastAsia" w:ascii="宋体" w:hAnsi="宋体" w:eastAsia="宋体" w:cs="Times New Roman"/>
          <w:color w:val="auto"/>
          <w:szCs w:val="21"/>
        </w:rPr>
        <w:t>通知书</w:t>
      </w:r>
      <w:r>
        <w:rPr>
          <w:rFonts w:hint="eastAsia" w:ascii="宋体" w:hAnsi="宋体" w:eastAsia="宋体" w:cs="Times New Roman"/>
          <w:color w:val="auto"/>
          <w:szCs w:val="21"/>
          <w:lang w:eastAsia="zh-CN"/>
        </w:rPr>
        <w:t>，</w:t>
      </w:r>
      <w:r>
        <w:rPr>
          <w:rFonts w:hint="eastAsia" w:ascii="宋体" w:hAnsi="宋体" w:eastAsia="宋体" w:cs="Times New Roman"/>
          <w:szCs w:val="21"/>
        </w:rPr>
        <w:t>投标（响应）文件</w:t>
      </w:r>
      <w:r>
        <w:rPr>
          <w:rFonts w:hint="eastAsia" w:ascii="宋体" w:hAnsi="宋体" w:eastAsia="宋体" w:cs="Times New Roman"/>
          <w:szCs w:val="21"/>
          <w:lang w:eastAsia="zh-CN"/>
        </w:rPr>
        <w:t>，</w:t>
      </w:r>
      <w:r>
        <w:rPr>
          <w:rFonts w:hint="eastAsia" w:ascii="宋体" w:hAnsi="宋体" w:eastAsia="宋体" w:cs="Times New Roman"/>
          <w:szCs w:val="21"/>
        </w:rPr>
        <w:t>采购文件</w:t>
      </w:r>
      <w:r>
        <w:rPr>
          <w:rFonts w:hint="eastAsia" w:ascii="宋体" w:hAnsi="宋体" w:eastAsia="宋体" w:cs="Times New Roman"/>
          <w:szCs w:val="21"/>
          <w:lang w:eastAsia="zh-CN"/>
        </w:rPr>
        <w:t>，</w:t>
      </w:r>
      <w:r>
        <w:rPr>
          <w:rFonts w:hint="eastAsia" w:ascii="宋体" w:hAnsi="宋体" w:eastAsia="宋体" w:cs="Times New Roman"/>
          <w:szCs w:val="21"/>
        </w:rPr>
        <w:t>有关技术文件</w:t>
      </w:r>
      <w:r>
        <w:rPr>
          <w:rFonts w:hint="eastAsia" w:ascii="宋体" w:hAnsi="宋体" w:eastAsia="宋体" w:cs="Times New Roman"/>
          <w:szCs w:val="21"/>
          <w:lang w:eastAsia="zh-CN"/>
        </w:rPr>
        <w:t>和</w:t>
      </w:r>
      <w:r>
        <w:rPr>
          <w:rFonts w:hint="eastAsia" w:ascii="宋体" w:hAnsi="宋体" w:eastAsia="宋体" w:cs="Times New Roman"/>
          <w:szCs w:val="21"/>
        </w:rPr>
        <w:t>图纸</w:t>
      </w:r>
      <w:r>
        <w:rPr>
          <w:rFonts w:hint="eastAsia" w:ascii="宋体" w:hAnsi="宋体" w:eastAsia="宋体" w:cs="Times New Roman"/>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7D5FDF2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1CEA089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themeColor="text1"/>
          <w:szCs w:val="21"/>
          <w:highlight w:val="none"/>
          <w14:textFill>
            <w14:solidFill>
              <w14:schemeClr w14:val="tx1"/>
            </w14:solidFill>
          </w14:textFill>
        </w:rPr>
        <w:t>包括软件）及相关的其备品备件、工具、手册及</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技术资料和材料</w:t>
      </w:r>
      <w:r>
        <w:rPr>
          <w:rFonts w:hint="eastAsia" w:ascii="宋体" w:hAnsi="宋体" w:eastAsia="宋体" w:cs="Times New Roman"/>
          <w:color w:val="000000" w:themeColor="text1"/>
          <w:szCs w:val="21"/>
          <w:highlight w:val="none"/>
          <w:lang w:eastAsia="zh-CN"/>
          <w14:textFill>
            <w14:solidFill>
              <w14:schemeClr w14:val="tx1"/>
            </w14:solidFill>
          </w14:textFill>
        </w:rPr>
        <w:t>等</w:t>
      </w:r>
      <w:r>
        <w:rPr>
          <w:rFonts w:hint="eastAsia" w:ascii="宋体" w:hAnsi="宋体" w:eastAsia="宋体" w:cs="Times New Roman"/>
          <w:color w:val="000000" w:themeColor="text1"/>
          <w:szCs w:val="21"/>
          <w:highlight w:val="none"/>
          <w14:textFill>
            <w14:solidFill>
              <w14:schemeClr w14:val="tx1"/>
            </w14:solidFill>
          </w14:textFill>
        </w:rPr>
        <w:t>。</w:t>
      </w:r>
    </w:p>
    <w:p w14:paraId="64659CF9">
      <w:pPr>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yellow"/>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themeColor="text1"/>
          <w:szCs w:val="21"/>
          <w:highlight w:val="none"/>
          <w14:textFill>
            <w14:solidFill>
              <w14:schemeClr w14:val="tx1"/>
            </w14:solidFill>
          </w14:textFill>
        </w:rPr>
        <w:t>服务”系指根据合同规定，乙方应提供的</w:t>
      </w:r>
      <w:r>
        <w:rPr>
          <w:rFonts w:hint="eastAsia" w:ascii="宋体" w:hAnsi="宋体" w:eastAsia="宋体" w:cs="Times New Roman"/>
          <w:color w:val="000000" w:themeColor="text1"/>
          <w:szCs w:val="21"/>
          <w:highlight w:val="none"/>
          <w:lang w:val="en-US" w:eastAsia="zh-CN"/>
          <w14:textFill>
            <w14:solidFill>
              <w14:schemeClr w14:val="tx1"/>
            </w14:solidFill>
          </w14:textFill>
        </w:rPr>
        <w:t>与货物有关的</w:t>
      </w:r>
      <w:r>
        <w:rPr>
          <w:rFonts w:hint="eastAsia" w:ascii="宋体" w:hAnsi="宋体" w:eastAsia="宋体" w:cs="Times New Roman"/>
          <w:color w:val="000000" w:themeColor="text1"/>
          <w:szCs w:val="21"/>
          <w:highlight w:val="none"/>
          <w14:textFill>
            <w14:solidFill>
              <w14:schemeClr w14:val="tx1"/>
            </w14:solidFill>
          </w14:textFill>
        </w:rPr>
        <w:t>技术、管理和</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Times New Roman"/>
          <w:color w:val="000000" w:themeColor="text1"/>
          <w:szCs w:val="21"/>
          <w:highlight w:val="none"/>
          <w:lang w:eastAsia="zh-CN"/>
          <w14:textFill>
            <w14:solidFill>
              <w14:schemeClr w14:val="tx1"/>
            </w14:solidFill>
          </w14:textFill>
        </w:rPr>
        <w:t>废弃处置、</w:t>
      </w:r>
      <w:r>
        <w:rPr>
          <w:rFonts w:hint="eastAsia" w:ascii="宋体" w:hAnsi="宋体" w:eastAsia="宋体" w:cs="Times New Roman"/>
          <w:color w:val="000000" w:themeColor="text1"/>
          <w:szCs w:val="21"/>
          <w:highlight w:val="none"/>
          <w14:textFill>
            <w14:solidFill>
              <w14:schemeClr w14:val="tx1"/>
            </w14:solidFill>
          </w14:textFill>
        </w:rPr>
        <w:t>技术支持等以及合同中规定乙方应承担的</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义务。</w:t>
      </w:r>
    </w:p>
    <w:p w14:paraId="414ABC73">
      <w:pPr>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yellow"/>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）“分包”系指中标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成交</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成交</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项目中的部分履约内容，分给具有相应资质条件的供应商履行合同的行为。</w:t>
      </w:r>
    </w:p>
    <w:p w14:paraId="6A598097">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szCs w:val="21"/>
        </w:rPr>
        <w:t>“联合体”系指</w:t>
      </w:r>
      <w:r>
        <w:rPr>
          <w:rFonts w:hint="eastAsia" w:ascii="宋体" w:hAnsi="宋体" w:eastAsia="宋体" w:cs="Times New Roman"/>
          <w:szCs w:val="21"/>
          <w:lang w:eastAsia="zh-CN"/>
        </w:rPr>
        <w:t>由</w:t>
      </w:r>
      <w:r>
        <w:rPr>
          <w:rFonts w:hint="eastAsia" w:ascii="宋体" w:hAnsi="宋体" w:eastAsia="宋体" w:cs="Times New Roman"/>
          <w:szCs w:val="21"/>
        </w:rPr>
        <w:t>两个以上的自然人、法人或者</w:t>
      </w:r>
      <w:r>
        <w:rPr>
          <w:rFonts w:hint="eastAsia" w:ascii="宋体" w:hAnsi="宋体" w:eastAsia="宋体" w:cs="Times New Roman"/>
          <w:szCs w:val="21"/>
          <w:lang w:val="en-US" w:eastAsia="zh-CN"/>
        </w:rPr>
        <w:t>非法人</w:t>
      </w:r>
      <w:r>
        <w:rPr>
          <w:rFonts w:hint="eastAsia" w:ascii="宋体" w:hAnsi="宋体" w:eastAsia="宋体" w:cs="Times New Roman"/>
          <w:szCs w:val="21"/>
        </w:rPr>
        <w:t>组织组成，</w:t>
      </w:r>
      <w:r>
        <w:rPr>
          <w:rFonts w:hint="eastAsia" w:ascii="宋体" w:hAnsi="宋体" w:eastAsia="宋体" w:cs="Times New Roman"/>
          <w:szCs w:val="21"/>
          <w:lang w:eastAsia="zh-CN"/>
        </w:rPr>
        <w:t>以一个供应商的身份共同参加政府采购的主体</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themeColor="text1"/>
          <w:szCs w:val="21"/>
          <w:highlight w:val="none"/>
          <w:lang w:eastAsia="zh-CN"/>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承担连带责任。联合体具体要求见【</w:t>
      </w:r>
      <w:r>
        <w:rPr>
          <w:rFonts w:hint="eastAsia" w:ascii="宋体" w:hAnsi="宋体" w:eastAsia="宋体" w:cs="Times New Roman"/>
          <w:b/>
          <w:bCs/>
          <w:color w:val="000000" w:themeColor="text1"/>
          <w:szCs w:val="21"/>
          <w:highlight w:val="none"/>
          <w14:textFill>
            <w14:solidFill>
              <w14:schemeClr w14:val="tx1"/>
            </w14:solidFill>
          </w14:textFill>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w:t>
      </w:r>
    </w:p>
    <w:p w14:paraId="17C6A37A">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）其他术语解释，见【</w:t>
      </w:r>
      <w:r>
        <w:rPr>
          <w:rFonts w:hint="eastAsia" w:ascii="宋体" w:hAnsi="宋体" w:eastAsia="宋体" w:cs="Times New Roman"/>
          <w:b/>
          <w:bCs/>
          <w:color w:val="000000" w:themeColor="text1"/>
          <w:szCs w:val="21"/>
          <w:highlight w:val="none"/>
          <w14:textFill>
            <w14:solidFill>
              <w14:schemeClr w14:val="tx1"/>
            </w14:solidFill>
          </w14:textFill>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w:t>
      </w:r>
    </w:p>
    <w:p w14:paraId="34782541">
      <w:pPr>
        <w:numPr>
          <w:ilvl w:val="0"/>
          <w:numId w:val="5"/>
        </w:num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14:textFill>
            <w14:solidFill>
              <w14:schemeClr w14:val="tx1"/>
            </w14:solidFill>
          </w14:textFill>
        </w:rPr>
        <w:t>合同标的及金额</w:t>
      </w:r>
    </w:p>
    <w:p w14:paraId="5F36488C">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Times New Roman"/>
          <w:color w:val="000000" w:themeColor="text1"/>
          <w:szCs w:val="21"/>
          <w:highlight w:val="none"/>
          <w:lang w:eastAsia="zh-CN"/>
          <w14:textFill>
            <w14:solidFill>
              <w14:schemeClr w14:val="tx1"/>
            </w14:solidFill>
          </w14:textFill>
        </w:rPr>
        <w:t>价款</w:t>
      </w:r>
      <w:r>
        <w:rPr>
          <w:rFonts w:hint="eastAsia" w:ascii="宋体" w:hAnsi="宋体" w:eastAsia="宋体" w:cs="Times New Roman"/>
          <w:color w:val="000000" w:themeColor="text1"/>
          <w:szCs w:val="21"/>
          <w:highlight w:val="none"/>
          <w14:textFill>
            <w14:solidFill>
              <w14:schemeClr w14:val="tx1"/>
            </w14:solidFill>
          </w14:textFill>
        </w:rPr>
        <w:t>中，甲方不再另行支付</w:t>
      </w:r>
      <w:r>
        <w:rPr>
          <w:rFonts w:hint="default" w:ascii="宋体" w:hAnsi="宋体" w:eastAsia="宋体" w:cs="Times New Roman"/>
          <w:color w:val="000000" w:themeColor="text1"/>
          <w:szCs w:val="21"/>
          <w:highlight w:val="none"/>
          <w:lang w:val="en"/>
          <w14:textFill>
            <w14:solidFill>
              <w14:schemeClr w14:val="tx1"/>
            </w14:solidFill>
          </w14:textFill>
        </w:rPr>
        <w:t>其他</w:t>
      </w:r>
      <w:r>
        <w:rPr>
          <w:rFonts w:hint="eastAsia" w:ascii="宋体" w:hAnsi="宋体" w:eastAsia="宋体" w:cs="Times New Roman"/>
          <w:color w:val="000000" w:themeColor="text1"/>
          <w:szCs w:val="21"/>
          <w:highlight w:val="none"/>
          <w14:textFill>
            <w14:solidFill>
              <w14:schemeClr w14:val="tx1"/>
            </w14:solidFill>
          </w14:textFill>
        </w:rPr>
        <w:t>任何费用。</w:t>
      </w:r>
    </w:p>
    <w:p w14:paraId="5714D480">
      <w:pPr>
        <w:adjustRightInd w:val="0"/>
        <w:snapToGrid w:val="0"/>
        <w:spacing w:before="0" w:line="400" w:lineRule="exact"/>
        <w:jc w:val="left"/>
        <w:rPr>
          <w:rFonts w:ascii="宋体" w:hAnsi="宋体" w:eastAsia="宋体" w:cs="Times New Roman"/>
          <w:b/>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24"/>
          <w:highlight w:val="none"/>
          <w:lang w:eastAsia="zh-CN"/>
          <w14:textFill>
            <w14:solidFill>
              <w14:schemeClr w14:val="tx1"/>
            </w14:solidFill>
          </w14:textFill>
        </w:rPr>
        <w:t>3</w:t>
      </w:r>
      <w:r>
        <w:rPr>
          <w:rFonts w:hint="eastAsia" w:ascii="宋体"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color w:val="000000" w:themeColor="text1"/>
          <w:sz w:val="24"/>
          <w:highlight w:val="none"/>
          <w14:textFill>
            <w14:solidFill>
              <w14:schemeClr w14:val="tx1"/>
            </w14:solidFill>
          </w14:textFill>
        </w:rPr>
        <w:t>履行合同的时间、地点和方式</w:t>
      </w:r>
    </w:p>
    <w:p w14:paraId="00FCA3A9">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1D9A3D5C">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4</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甲方的权利和义务</w:t>
      </w:r>
    </w:p>
    <w:p w14:paraId="6F99ACE2">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签署合同后，甲方</w:t>
      </w:r>
      <w:r>
        <w:rPr>
          <w:rFonts w:hint="eastAsia" w:ascii="宋体" w:hAnsi="宋体" w:eastAsia="宋体" w:cs="Times New Roman"/>
          <w:color w:val="000000" w:themeColor="text1"/>
          <w:szCs w:val="21"/>
          <w:highlight w:val="none"/>
          <w:lang w:eastAsia="zh-CN"/>
          <w14:textFill>
            <w14:solidFill>
              <w14:schemeClr w14:val="tx1"/>
            </w14:solidFill>
          </w14:textFill>
        </w:rPr>
        <w:t>应</w:t>
      </w:r>
      <w:r>
        <w:rPr>
          <w:rFonts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项目负责人（或项目联系人）</w:t>
      </w:r>
      <w:r>
        <w:rPr>
          <w:rFonts w:ascii="宋体" w:hAnsi="宋体" w:eastAsia="宋体" w:cs="Times New Roman"/>
          <w:color w:val="000000" w:themeColor="text1"/>
          <w:szCs w:val="21"/>
          <w:highlight w:val="none"/>
          <w14:textFill>
            <w14:solidFill>
              <w14:schemeClr w14:val="tx1"/>
            </w14:solidFill>
          </w14:textFill>
        </w:rPr>
        <w:t>，负责与本合同有关的事务。</w:t>
      </w:r>
      <w:r>
        <w:rPr>
          <w:rFonts w:hint="eastAsia" w:ascii="宋体" w:hAnsi="宋体" w:eastAsia="宋体" w:cs="Times New Roman"/>
          <w:color w:val="000000" w:themeColor="text1"/>
          <w:szCs w:val="21"/>
          <w:highlight w:val="none"/>
          <w14:textFill>
            <w14:solidFill>
              <w14:schemeClr w14:val="tx1"/>
            </w14:solidFill>
          </w14:textFill>
        </w:rPr>
        <w:t>甲方有权对乙方的履约行为进行检查，并</w:t>
      </w:r>
      <w:r>
        <w:rPr>
          <w:rFonts w:ascii="宋体" w:hAnsi="宋体" w:eastAsia="宋体" w:cs="Times New Roman"/>
          <w:color w:val="000000" w:themeColor="text1"/>
          <w:szCs w:val="21"/>
          <w:highlight w:val="none"/>
          <w14:textFill>
            <w14:solidFill>
              <w14:schemeClr w14:val="tx1"/>
            </w14:solidFill>
          </w14:textFill>
        </w:rPr>
        <w:t>及时确认乙方提交的事项</w:t>
      </w:r>
      <w:r>
        <w:rPr>
          <w:rFonts w:hint="eastAsia" w:ascii="宋体" w:hAnsi="宋体" w:eastAsia="宋体" w:cs="Times New Roman"/>
          <w:color w:val="000000" w:themeColor="text1"/>
          <w:szCs w:val="21"/>
          <w:highlight w:val="none"/>
          <w14:textFill>
            <w14:solidFill>
              <w14:schemeClr w14:val="tx1"/>
            </w14:solidFill>
          </w14:textFill>
        </w:rPr>
        <w:t>。甲方应当</w:t>
      </w:r>
      <w:r>
        <w:rPr>
          <w:rFonts w:ascii="宋体" w:hAnsi="宋体" w:eastAsia="宋体" w:cs="Times New Roman"/>
          <w:color w:val="000000" w:themeColor="text1"/>
          <w:szCs w:val="21"/>
          <w:highlight w:val="none"/>
          <w14:textFill>
            <w14:solidFill>
              <w14:schemeClr w14:val="tx1"/>
            </w14:solidFill>
          </w14:textFill>
        </w:rPr>
        <w:t>配合乙方完成</w:t>
      </w:r>
      <w:r>
        <w:rPr>
          <w:rFonts w:hint="eastAsia" w:ascii="宋体" w:hAnsi="宋体" w:eastAsia="宋体" w:cs="Times New Roman"/>
          <w:color w:val="000000" w:themeColor="text1"/>
          <w:szCs w:val="21"/>
          <w:highlight w:val="none"/>
          <w14:textFill>
            <w14:solidFill>
              <w14:schemeClr w14:val="tx1"/>
            </w14:solidFill>
          </w14:textFill>
        </w:rPr>
        <w:t>相关项目</w:t>
      </w:r>
      <w:r>
        <w:rPr>
          <w:rFonts w:ascii="宋体" w:hAnsi="宋体" w:eastAsia="宋体" w:cs="Times New Roman"/>
          <w:color w:val="000000" w:themeColor="text1"/>
          <w:szCs w:val="21"/>
          <w:highlight w:val="none"/>
          <w14:textFill>
            <w14:solidFill>
              <w14:schemeClr w14:val="tx1"/>
            </w14:solidFill>
          </w14:textFill>
        </w:rPr>
        <w:t>实施工作。</w:t>
      </w:r>
    </w:p>
    <w:p w14:paraId="6E2447D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 xml:space="preserve">.2 </w:t>
      </w:r>
      <w:r>
        <w:rPr>
          <w:rFonts w:ascii="宋体" w:hAnsi="宋体" w:eastAsia="宋体" w:cs="Times New Roman"/>
          <w:color w:val="000000" w:themeColor="text1"/>
          <w:szCs w:val="21"/>
          <w:highlight w:val="none"/>
          <w14:textFill>
            <w14:solidFill>
              <w14:schemeClr w14:val="tx1"/>
            </w14:solidFill>
          </w14:textFill>
        </w:rPr>
        <w:t>甲方有权要求乙方按时提交各阶段有关</w:t>
      </w:r>
      <w:r>
        <w:rPr>
          <w:rFonts w:hint="eastAsia" w:ascii="宋体" w:hAnsi="宋体" w:eastAsia="宋体" w:cs="Times New Roman"/>
          <w:color w:val="000000" w:themeColor="text1"/>
          <w:szCs w:val="21"/>
          <w:highlight w:val="none"/>
          <w14:textFill>
            <w14:solidFill>
              <w14:schemeClr w14:val="tx1"/>
            </w14:solidFill>
          </w14:textFill>
        </w:rPr>
        <w:t>安排计划</w:t>
      </w:r>
      <w:r>
        <w:rPr>
          <w:rFonts w:ascii="宋体" w:hAnsi="宋体" w:eastAsia="宋体" w:cs="Times New Roman"/>
          <w:color w:val="000000" w:themeColor="text1"/>
          <w:szCs w:val="21"/>
          <w:highlight w:val="none"/>
          <w14:textFill>
            <w14:solidFill>
              <w14:schemeClr w14:val="tx1"/>
            </w14:solidFill>
          </w14:textFill>
        </w:rPr>
        <w:t>，并有权</w:t>
      </w:r>
      <w:r>
        <w:rPr>
          <w:rFonts w:hint="eastAsia" w:ascii="宋体" w:hAnsi="宋体" w:eastAsia="宋体" w:cs="Times New Roman"/>
          <w:color w:val="000000" w:themeColor="text1"/>
          <w:szCs w:val="21"/>
          <w:highlight w:val="none"/>
          <w14:textFill>
            <w14:solidFill>
              <w14:schemeClr w14:val="tx1"/>
            </w14:solidFill>
          </w14:textFill>
        </w:rPr>
        <w:t>定期核对乙方提供货物数量、规格、质量等内容。甲方</w:t>
      </w:r>
      <w:r>
        <w:rPr>
          <w:rFonts w:ascii="宋体" w:hAnsi="宋体" w:eastAsia="宋体" w:cs="Times New Roman"/>
          <w:color w:val="000000" w:themeColor="text1"/>
          <w:szCs w:val="21"/>
          <w:highlight w:val="none"/>
          <w14:textFill>
            <w14:solidFill>
              <w14:schemeClr w14:val="tx1"/>
            </w14:solidFill>
          </w14:textFill>
        </w:rPr>
        <w:t>有权督促乙方工作并要求乙方</w:t>
      </w:r>
      <w:r>
        <w:rPr>
          <w:rFonts w:hint="eastAsia" w:ascii="宋体" w:hAnsi="宋体" w:eastAsia="宋体" w:cs="Times New Roman"/>
          <w:color w:val="000000" w:themeColor="text1"/>
          <w:szCs w:val="21"/>
          <w:highlight w:val="none"/>
          <w14:textFill>
            <w14:solidFill>
              <w14:schemeClr w14:val="tx1"/>
            </w14:solidFill>
          </w14:textFill>
        </w:rPr>
        <w:t>更</w:t>
      </w:r>
      <w:r>
        <w:rPr>
          <w:rFonts w:ascii="宋体" w:hAnsi="宋体" w:eastAsia="宋体" w:cs="Times New Roman"/>
          <w:color w:val="000000" w:themeColor="text1"/>
          <w:szCs w:val="21"/>
          <w:highlight w:val="none"/>
          <w14:textFill>
            <w14:solidFill>
              <w14:schemeClr w14:val="tx1"/>
            </w14:solidFill>
          </w14:textFill>
        </w:rPr>
        <w:t>换不符合要求的</w:t>
      </w:r>
      <w:r>
        <w:rPr>
          <w:rFonts w:hint="eastAsia" w:ascii="宋体" w:hAnsi="宋体" w:eastAsia="宋体" w:cs="Times New Roman"/>
          <w:color w:val="000000" w:themeColor="text1"/>
          <w:szCs w:val="21"/>
          <w:highlight w:val="none"/>
          <w14:textFill>
            <w14:solidFill>
              <w14:schemeClr w14:val="tx1"/>
            </w14:solidFill>
          </w14:textFill>
        </w:rPr>
        <w:t>货物</w:t>
      </w:r>
      <w:r>
        <w:rPr>
          <w:rFonts w:ascii="宋体" w:hAnsi="宋体" w:eastAsia="宋体" w:cs="Times New Roman"/>
          <w:color w:val="000000" w:themeColor="text1"/>
          <w:szCs w:val="21"/>
          <w:highlight w:val="none"/>
          <w14:textFill>
            <w14:solidFill>
              <w14:schemeClr w14:val="tx1"/>
            </w14:solidFill>
          </w14:textFill>
        </w:rPr>
        <w:t>。</w:t>
      </w:r>
    </w:p>
    <w:p w14:paraId="418AE2C5">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3</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ascii="宋体" w:hAnsi="宋体" w:eastAsia="宋体" w:cs="Times New Roman"/>
          <w:color w:val="000000" w:themeColor="text1"/>
          <w:szCs w:val="21"/>
          <w:highlight w:val="none"/>
          <w14:textFill>
            <w14:solidFill>
              <w14:schemeClr w14:val="tx1"/>
            </w14:solidFill>
          </w14:textFill>
        </w:rPr>
        <w:t>甲方</w:t>
      </w:r>
      <w:r>
        <w:rPr>
          <w:rFonts w:hint="eastAsia" w:ascii="宋体" w:hAnsi="宋体" w:eastAsia="宋体" w:cs="Times New Roman"/>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5F2BE3A3">
      <w:pPr>
        <w:snapToGrid w:val="0"/>
        <w:spacing w:line="400" w:lineRule="exact"/>
        <w:ind w:firstLine="420" w:firstLineChars="200"/>
        <w:rPr>
          <w:rFonts w:hint="eastAsia" w:ascii="Times New Roman" w:hAnsi="Times New Roman" w:eastAsia="华文楷体" w:cs="Times New Roman"/>
          <w:lang w:val="en-US" w:eastAsia="zh-CN"/>
        </w:rPr>
      </w:pPr>
      <w:r>
        <w:rPr>
          <w:rFonts w:hint="default" w:ascii="宋体" w:hAnsi="宋体" w:eastAsia="宋体" w:cs="Times New Roman"/>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themeColor="text1"/>
          <w:szCs w:val="21"/>
          <w:highlight w:val="none"/>
          <w:lang w:val="en-US" w:eastAsia="zh-CN"/>
          <w14:textFill>
            <w14:solidFill>
              <w14:schemeClr w14:val="tx1"/>
            </w14:solidFill>
          </w14:textFill>
        </w:rPr>
        <w:t>视为验收通过。</w:t>
      </w:r>
    </w:p>
    <w:p w14:paraId="2B9E1373">
      <w:pPr>
        <w:autoSpaceDE w:val="0"/>
        <w:autoSpaceDN w:val="0"/>
        <w:adjustRightInd w:val="0"/>
        <w:snapToGrid w:val="0"/>
        <w:spacing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default"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default" w:ascii="宋体" w:hAnsi="宋体" w:eastAsia="宋体" w:cs="Times New Roman"/>
          <w:color w:val="000000" w:themeColor="text1"/>
          <w:szCs w:val="21"/>
          <w:highlight w:val="none"/>
          <w:lang w:val="en-US" w:eastAsia="zh-CN"/>
          <w14:textFill>
            <w14:solidFill>
              <w14:schemeClr w14:val="tx1"/>
            </w14:solidFill>
          </w14:textFill>
        </w:rPr>
        <w:t>5</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甲方应当根据合同约定</w:t>
      </w:r>
      <w:r>
        <w:rPr>
          <w:rFonts w:hint="eastAsia" w:ascii="宋体" w:hAnsi="宋体" w:eastAsia="宋体" w:cs="Times New Roman"/>
          <w:color w:val="000000" w:themeColor="text1"/>
          <w:szCs w:val="21"/>
          <w:highlight w:val="none"/>
          <w:lang w:eastAsia="zh-CN"/>
          <w14:textFill>
            <w14:solidFill>
              <w14:schemeClr w14:val="tx1"/>
            </w14:solidFill>
          </w14:textFill>
        </w:rPr>
        <w:t>及</w:t>
      </w:r>
      <w:r>
        <w:rPr>
          <w:rFonts w:hint="eastAsia" w:ascii="宋体" w:hAnsi="宋体" w:eastAsia="宋体" w:cs="Times New Roman"/>
          <w:color w:val="000000" w:themeColor="text1"/>
          <w:szCs w:val="21"/>
          <w:highlight w:val="none"/>
          <w14:textFill>
            <w14:solidFill>
              <w14:schemeClr w14:val="tx1"/>
            </w14:solidFill>
          </w14:textFill>
        </w:rPr>
        <w:t>时向乙方支付</w:t>
      </w:r>
      <w:r>
        <w:rPr>
          <w:rFonts w:hint="eastAsia" w:ascii="宋体" w:hAnsi="宋体" w:eastAsia="宋体" w:cs="Times New Roman"/>
          <w:color w:val="000000" w:themeColor="text1"/>
          <w:szCs w:val="21"/>
          <w:highlight w:val="none"/>
          <w:lang w:eastAsia="zh-CN"/>
          <w14:textFill>
            <w14:solidFill>
              <w14:schemeClr w14:val="tx1"/>
            </w14:solidFill>
          </w14:textFill>
        </w:rPr>
        <w:t>合同价款</w:t>
      </w:r>
      <w:r>
        <w:rPr>
          <w:rFonts w:hint="default" w:ascii="宋体" w:hAnsi="宋体" w:eastAsia="宋体" w:cs="Times New Roman"/>
          <w:color w:val="000000" w:themeColor="text1"/>
          <w:szCs w:val="21"/>
          <w:highlight w:val="none"/>
          <w:lang w:eastAsia="zh-CN"/>
          <w14:textFill>
            <w14:solidFill>
              <w14:schemeClr w14:val="tx1"/>
            </w14:solidFill>
          </w14:textFill>
        </w:rPr>
        <w:t>，不得以内部人员变更、履行内部付款流程等为由，拒绝或迟延支付。</w:t>
      </w:r>
    </w:p>
    <w:p w14:paraId="37B9F7BD">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6</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国家法律法规规定</w:t>
      </w:r>
      <w:r>
        <w:rPr>
          <w:rFonts w:hint="eastAsia" w:ascii="宋体" w:hAnsi="宋体" w:eastAsia="宋体" w:cs="Times New Roman"/>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themeColor="text1"/>
          <w:szCs w:val="21"/>
          <w:highlight w:val="none"/>
          <w:lang w:eastAsia="zh-CN"/>
          <w14:textFill>
            <w14:solidFill>
              <w14:schemeClr w14:val="tx1"/>
            </w14:solidFill>
          </w14:textFill>
        </w:rPr>
        <w:t>约定应</w:t>
      </w:r>
      <w:r>
        <w:rPr>
          <w:rFonts w:hint="eastAsia" w:ascii="宋体" w:hAnsi="宋体" w:eastAsia="宋体" w:cs="Times New Roman"/>
          <w:color w:val="000000" w:themeColor="text1"/>
          <w:szCs w:val="21"/>
          <w:highlight w:val="none"/>
          <w14:textFill>
            <w14:solidFill>
              <w14:schemeClr w14:val="tx1"/>
            </w14:solidFill>
          </w14:textFill>
        </w:rPr>
        <w:t>由甲方承担的其他义务和责任。</w:t>
      </w:r>
    </w:p>
    <w:p w14:paraId="4A609B61">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5</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乙方的权利和义务</w:t>
      </w:r>
    </w:p>
    <w:p w14:paraId="36C15E73">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 xml:space="preserve">.1 </w:t>
      </w:r>
      <w:r>
        <w:rPr>
          <w:rFonts w:ascii="宋体" w:hAnsi="宋体" w:eastAsia="宋体" w:cs="Times New Roman"/>
          <w:color w:val="000000" w:themeColor="text1"/>
          <w:szCs w:val="21"/>
          <w:highlight w:val="none"/>
          <w14:textFill>
            <w14:solidFill>
              <w14:schemeClr w14:val="tx1"/>
            </w14:solidFill>
          </w14:textFill>
        </w:rPr>
        <w:t>签署合同后，乙方</w:t>
      </w:r>
      <w:r>
        <w:rPr>
          <w:rFonts w:hint="eastAsia" w:ascii="宋体" w:hAnsi="宋体" w:eastAsia="宋体" w:cs="Times New Roman"/>
          <w:color w:val="000000" w:themeColor="text1"/>
          <w:szCs w:val="21"/>
          <w:highlight w:val="none"/>
          <w:lang w:eastAsia="zh-CN"/>
          <w14:textFill>
            <w14:solidFill>
              <w14:schemeClr w14:val="tx1"/>
            </w14:solidFill>
          </w14:textFill>
        </w:rPr>
        <w:t>应</w:t>
      </w:r>
      <w:r>
        <w:rPr>
          <w:rFonts w:ascii="宋体" w:hAnsi="宋体" w:eastAsia="宋体" w:cs="Times New Roman"/>
          <w:color w:val="000000" w:themeColor="text1"/>
          <w:szCs w:val="21"/>
          <w:highlight w:val="none"/>
          <w14:textFill>
            <w14:solidFill>
              <w14:schemeClr w14:val="tx1"/>
            </w14:solidFill>
          </w14:textFill>
        </w:rPr>
        <w:t>确定</w:t>
      </w:r>
      <w:r>
        <w:rPr>
          <w:rFonts w:hint="eastAsia" w:ascii="宋体" w:hAnsi="宋体" w:eastAsia="宋体" w:cs="Times New Roman"/>
          <w:color w:val="000000" w:themeColor="text1"/>
          <w:szCs w:val="21"/>
          <w:highlight w:val="none"/>
          <w:lang w:val="en-US" w:eastAsia="zh-CN"/>
          <w14:textFill>
            <w14:solidFill>
              <w14:schemeClr w14:val="tx1"/>
            </w14:solidFill>
          </w14:textFill>
        </w:rPr>
        <w:t>项目负责人（或项目联系人）</w:t>
      </w:r>
      <w:r>
        <w:rPr>
          <w:rFonts w:ascii="宋体" w:hAnsi="宋体" w:eastAsia="宋体" w:cs="Times New Roman"/>
          <w:color w:val="000000" w:themeColor="text1"/>
          <w:szCs w:val="21"/>
          <w:highlight w:val="none"/>
          <w14:textFill>
            <w14:solidFill>
              <w14:schemeClr w14:val="tx1"/>
            </w14:solidFill>
          </w14:textFill>
        </w:rPr>
        <w:t>，负责与本合同有关的事务。</w:t>
      </w:r>
    </w:p>
    <w:p w14:paraId="30A4CF2D">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 乙方应按照合同要求</w:t>
      </w:r>
      <w:r>
        <w:rPr>
          <w:rFonts w:hint="eastAsia" w:ascii="宋体" w:hAnsi="宋体" w:eastAsia="宋体" w:cs="Times New Roman"/>
          <w:color w:val="000000" w:themeColor="text1"/>
          <w:szCs w:val="21"/>
          <w:highlight w:val="none"/>
          <w14:textFill>
            <w14:solidFill>
              <w14:schemeClr w14:val="tx1"/>
            </w14:solidFill>
          </w14:textFill>
        </w:rPr>
        <w:t>履约</w:t>
      </w:r>
      <w:r>
        <w:rPr>
          <w:rFonts w:ascii="宋体" w:hAnsi="宋体" w:eastAsia="宋体" w:cs="Times New Roman"/>
          <w:color w:val="000000" w:themeColor="text1"/>
          <w:szCs w:val="21"/>
          <w:highlight w:val="none"/>
          <w14:textFill>
            <w14:solidFill>
              <w14:schemeClr w14:val="tx1"/>
            </w14:solidFill>
          </w14:textFill>
        </w:rPr>
        <w:t>，充分合理安排，确保</w:t>
      </w:r>
      <w:r>
        <w:rPr>
          <w:rFonts w:hint="eastAsia" w:ascii="宋体" w:hAnsi="宋体" w:eastAsia="宋体" w:cs="Times New Roman"/>
          <w:color w:val="000000" w:themeColor="text1"/>
          <w:szCs w:val="21"/>
          <w:highlight w:val="none"/>
          <w14:textFill>
            <w14:solidFill>
              <w14:schemeClr w14:val="tx1"/>
            </w14:solidFill>
          </w14:textFill>
        </w:rPr>
        <w:t>提供的货物</w:t>
      </w:r>
      <w:r>
        <w:rPr>
          <w:rFonts w:hint="eastAsia" w:ascii="宋体" w:hAnsi="宋体" w:eastAsia="宋体" w:cs="Times New Roman"/>
          <w:color w:val="000000" w:themeColor="text1"/>
          <w:szCs w:val="21"/>
          <w:highlight w:val="none"/>
          <w:lang w:eastAsia="zh-CN"/>
          <w14:textFill>
            <w14:solidFill>
              <w14:schemeClr w14:val="tx1"/>
            </w14:solidFill>
          </w14:textFill>
        </w:rPr>
        <w:t>及相关</w:t>
      </w:r>
      <w:r>
        <w:rPr>
          <w:rFonts w:hint="eastAsia" w:ascii="宋体" w:hAnsi="宋体" w:eastAsia="宋体" w:cs="Times New Roman"/>
          <w:color w:val="000000" w:themeColor="text1"/>
          <w:szCs w:val="21"/>
          <w:highlight w:val="none"/>
          <w14:textFill>
            <w14:solidFill>
              <w14:schemeClr w14:val="tx1"/>
            </w14:solidFill>
          </w14:textFill>
        </w:rPr>
        <w:t>服务符合合同</w:t>
      </w:r>
      <w:r>
        <w:rPr>
          <w:rFonts w:hint="eastAsia" w:ascii="宋体" w:hAnsi="宋体" w:eastAsia="宋体" w:cs="Times New Roman"/>
          <w:color w:val="000000" w:themeColor="text1"/>
          <w:szCs w:val="21"/>
          <w:highlight w:val="none"/>
          <w:lang w:eastAsia="zh-CN"/>
          <w14:textFill>
            <w14:solidFill>
              <w14:schemeClr w14:val="tx1"/>
            </w14:solidFill>
          </w14:textFill>
        </w:rPr>
        <w:t>有关</w:t>
      </w:r>
      <w:r>
        <w:rPr>
          <w:rFonts w:ascii="宋体" w:hAnsi="宋体" w:eastAsia="宋体" w:cs="Times New Roman"/>
          <w:color w:val="000000" w:themeColor="text1"/>
          <w:szCs w:val="21"/>
          <w:highlight w:val="none"/>
          <w14:textFill>
            <w14:solidFill>
              <w14:schemeClr w14:val="tx1"/>
            </w14:solidFill>
          </w14:textFill>
        </w:rPr>
        <w:t>要求</w:t>
      </w:r>
      <w:r>
        <w:rPr>
          <w:rFonts w:hint="eastAsia" w:ascii="宋体" w:hAnsi="宋体" w:eastAsia="宋体" w:cs="Times New Roman"/>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eastAsia="宋体" w:cs="Times New Roman"/>
          <w:color w:val="000000" w:themeColor="text1"/>
          <w:szCs w:val="21"/>
          <w:highlight w:val="none"/>
          <w:lang w:eastAsia="zh-CN"/>
          <w14:textFill>
            <w14:solidFill>
              <w14:schemeClr w14:val="tx1"/>
            </w14:solidFill>
          </w14:textFill>
        </w:rPr>
        <w:t>及验收</w:t>
      </w:r>
      <w:r>
        <w:rPr>
          <w:rFonts w:hint="eastAsia" w:ascii="宋体" w:hAnsi="宋体" w:eastAsia="宋体" w:cs="Times New Roman"/>
          <w:color w:val="000000" w:themeColor="text1"/>
          <w:szCs w:val="21"/>
          <w:highlight w:val="none"/>
          <w14:textFill>
            <w14:solidFill>
              <w14:schemeClr w14:val="tx1"/>
            </w14:solidFill>
          </w14:textFill>
        </w:rPr>
        <w:t>，并</w:t>
      </w:r>
      <w:r>
        <w:rPr>
          <w:rFonts w:ascii="宋体" w:hAnsi="宋体" w:eastAsia="宋体" w:cs="Times New Roman"/>
          <w:color w:val="000000" w:themeColor="text1"/>
          <w:szCs w:val="21"/>
          <w:highlight w:val="none"/>
          <w14:textFill>
            <w14:solidFill>
              <w14:schemeClr w14:val="tx1"/>
            </w14:solidFill>
          </w14:textFill>
        </w:rPr>
        <w:t>负责项目实施过程中的所有协调工作。</w:t>
      </w:r>
    </w:p>
    <w:p w14:paraId="194B6CF7">
      <w:pPr>
        <w:widowControl w:val="0"/>
        <w:spacing w:after="0" w:line="400" w:lineRule="exact"/>
        <w:ind w:firstLine="369" w:firstLineChars="176"/>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5.</w:t>
      </w:r>
      <w: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乙方有权</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根据合同约定向甲方收取合同价款。</w:t>
      </w:r>
    </w:p>
    <w:p w14:paraId="1F7BAE11">
      <w:pPr>
        <w:widowControl w:val="0"/>
        <w:spacing w:after="0" w:line="400" w:lineRule="exact"/>
        <w:ind w:firstLine="369" w:firstLineChars="176"/>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5.</w:t>
      </w:r>
      <w:r>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国家法律法规规定</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由乙方承担的其他义务和责任。</w:t>
      </w:r>
    </w:p>
    <w:p w14:paraId="2941EF7A">
      <w:pPr>
        <w:numPr>
          <w:ilvl w:val="0"/>
          <w:numId w:val="6"/>
        </w:numPr>
        <w:autoSpaceDE w:val="0"/>
        <w:autoSpaceDN w:val="0"/>
        <w:adjustRightInd w:val="0"/>
        <w:snapToGrid w:val="0"/>
        <w:spacing w:before="0" w:line="400" w:lineRule="exact"/>
        <w:jc w:val="left"/>
        <w:rPr>
          <w:rFonts w:hint="eastAsia"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合同履</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行</w:t>
      </w:r>
    </w:p>
    <w:p w14:paraId="28B3D37C">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themeColor="text1"/>
          <w:szCs w:val="21"/>
          <w:highlight w:val="none"/>
          <w14:textFill>
            <w14:solidFill>
              <w14:schemeClr w14:val="tx1"/>
            </w14:solidFill>
          </w14:textFill>
        </w:rPr>
        <w:t>约定顺序履行合同义务；如果没有先后顺序的，应当同时履行。</w:t>
      </w:r>
    </w:p>
    <w:p w14:paraId="1CB7F3BA">
      <w:pPr>
        <w:autoSpaceDE w:val="0"/>
        <w:autoSpaceDN w:val="0"/>
        <w:adjustRightInd w:val="0"/>
        <w:snapToGrid w:val="0"/>
        <w:spacing w:before="0" w:line="400" w:lineRule="exact"/>
        <w:ind w:firstLine="420" w:firstLineChars="200"/>
        <w:jc w:val="left"/>
        <w:rPr>
          <w:rFonts w:ascii="Times New Roman" w:hAnsi="Times New Roman" w:eastAsia="宋体" w:cs="Times New Roman"/>
        </w:rPr>
      </w:pPr>
      <w:r>
        <w:rPr>
          <w:rFonts w:hint="eastAsia" w:ascii="宋体" w:hAnsi="宋体" w:eastAsia="宋体" w:cs="Times New Roman"/>
          <w:color w:val="000000" w:themeColor="text1"/>
          <w:szCs w:val="21"/>
          <w:highlight w:val="none"/>
          <w:lang w:eastAsia="zh-CN"/>
          <w14:textFill>
            <w14:solidFill>
              <w14:schemeClr w14:val="tx1"/>
            </w14:solidFill>
          </w14:textFill>
        </w:rPr>
        <w:t>6</w:t>
      </w:r>
      <w:r>
        <w:rPr>
          <w:rFonts w:hint="eastAsia" w:ascii="宋体" w:hAnsi="宋体" w:eastAsia="宋体" w:cs="Times New Roman"/>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29EE2380">
      <w:pPr>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lang w:eastAsia="zh-CN"/>
          <w14:textFill>
            <w14:solidFill>
              <w14:schemeClr w14:val="tx1"/>
            </w14:solidFill>
          </w14:textFill>
        </w:rPr>
        <w:t>7</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货物包装、运输</w:t>
      </w:r>
      <w:r>
        <w:rPr>
          <w:rFonts w:hint="eastAsia" w:ascii="宋体" w:hAnsi="宋体" w:eastAsia="宋体" w:cs="Times New Roman"/>
          <w:b/>
          <w:bCs/>
          <w:color w:val="000000" w:themeColor="text1"/>
          <w:sz w:val="24"/>
          <w:highlight w:val="none"/>
          <w:lang w:eastAsia="zh-CN"/>
          <w14:textFill>
            <w14:solidFill>
              <w14:schemeClr w14:val="tx1"/>
            </w14:solidFill>
          </w14:textFill>
        </w:rPr>
        <w:t>、</w:t>
      </w:r>
      <w:r>
        <w:rPr>
          <w:rFonts w:hint="eastAsia" w:ascii="宋体" w:hAnsi="宋体" w:eastAsia="宋体" w:cs="Times New Roman"/>
          <w:b/>
          <w:bCs/>
          <w:color w:val="000000" w:themeColor="text1"/>
          <w:sz w:val="24"/>
          <w:highlight w:val="none"/>
          <w14:textFill>
            <w14:solidFill>
              <w14:schemeClr w14:val="tx1"/>
            </w14:solidFill>
          </w14:textFill>
        </w:rPr>
        <w:t>保险</w:t>
      </w:r>
      <w:r>
        <w:rPr>
          <w:rFonts w:hint="eastAsia" w:ascii="宋体" w:hAnsi="宋体" w:eastAsia="宋体" w:cs="Times New Roman"/>
          <w:b/>
          <w:bCs/>
          <w:color w:val="000000" w:themeColor="text1"/>
          <w:sz w:val="24"/>
          <w:highlight w:val="none"/>
          <w:lang w:eastAsia="zh-CN"/>
          <w14:textFill>
            <w14:solidFill>
              <w14:schemeClr w14:val="tx1"/>
            </w14:solidFill>
          </w14:textFill>
        </w:rPr>
        <w:t>和交付</w:t>
      </w:r>
      <w:r>
        <w:rPr>
          <w:rFonts w:hint="eastAsia" w:ascii="宋体" w:hAnsi="宋体" w:eastAsia="宋体" w:cs="Times New Roman"/>
          <w:b/>
          <w:bCs/>
          <w:color w:val="000000" w:themeColor="text1"/>
          <w:sz w:val="24"/>
          <w:highlight w:val="none"/>
          <w14:textFill>
            <w14:solidFill>
              <w14:schemeClr w14:val="tx1"/>
            </w14:solidFill>
          </w14:textFill>
        </w:rPr>
        <w:t>要求</w:t>
      </w:r>
    </w:p>
    <w:p w14:paraId="10D15397">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.1 本合同</w:t>
      </w:r>
      <w:r>
        <w:rPr>
          <w:rFonts w:hint="eastAsia" w:ascii="宋体" w:hAnsi="宋体" w:eastAsia="宋体" w:cs="Times New Roman"/>
          <w:bCs/>
          <w:color w:val="000000" w:themeColor="text1"/>
          <w:szCs w:val="21"/>
          <w:highlight w:val="none"/>
          <w14:textFill>
            <w14:solidFill>
              <w14:schemeClr w14:val="tx1"/>
            </w14:solidFill>
          </w14:textFill>
        </w:rPr>
        <w:t>涉及商品包装</w:t>
      </w:r>
      <w:r>
        <w:rPr>
          <w:rFonts w:hint="eastAsia" w:ascii="宋体" w:hAnsi="宋体" w:eastAsia="宋体" w:cs="Times New Roman"/>
          <w:bCs/>
          <w:color w:val="000000" w:themeColor="text1"/>
          <w:szCs w:val="21"/>
          <w:highlight w:val="none"/>
          <w:lang w:eastAsia="zh-CN"/>
          <w14:textFill>
            <w14:solidFill>
              <w14:schemeClr w14:val="tx1"/>
            </w14:solidFill>
          </w14:textFill>
        </w:rPr>
        <w:t>、</w:t>
      </w:r>
      <w:r>
        <w:rPr>
          <w:rFonts w:hint="eastAsia" w:ascii="宋体" w:hAnsi="宋体" w:eastAsia="宋体" w:cs="Times New Roman"/>
          <w:bCs/>
          <w:color w:val="000000" w:themeColor="text1"/>
          <w:szCs w:val="21"/>
          <w:highlight w:val="none"/>
          <w14:textFill>
            <w14:solidFill>
              <w14:schemeClr w14:val="tx1"/>
            </w14:solidFill>
          </w14:textFill>
        </w:rPr>
        <w:t>快递包装的，</w:t>
      </w:r>
      <w:r>
        <w:rPr>
          <w:rFonts w:hint="eastAsia" w:ascii="宋体" w:hAnsi="宋体" w:eastAsia="宋体" w:cs="Times New Roman"/>
          <w:color w:val="000000" w:themeColor="text1"/>
          <w:szCs w:val="21"/>
          <w:highlight w:val="none"/>
          <w14:textFill>
            <w14:solidFill>
              <w14:schemeClr w14:val="tx1"/>
            </w14:solidFill>
          </w14:textFill>
        </w:rPr>
        <w:t>除</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另有</w:t>
      </w:r>
      <w:r>
        <w:rPr>
          <w:rFonts w:hint="eastAsia" w:ascii="宋体" w:hAnsi="宋体" w:eastAsia="宋体" w:cs="Times New Roman"/>
          <w:bCs/>
          <w:color w:val="000000" w:themeColor="text1"/>
          <w:szCs w:val="21"/>
          <w:highlight w:val="none"/>
          <w:lang w:eastAsia="zh-CN"/>
          <w14:textFill>
            <w14:solidFill>
              <w14:schemeClr w14:val="tx1"/>
            </w14:solidFill>
          </w14:textFill>
        </w:rPr>
        <w:t>约</w:t>
      </w:r>
      <w:r>
        <w:rPr>
          <w:rFonts w:hint="eastAsia" w:ascii="宋体" w:hAnsi="宋体" w:eastAsia="宋体" w:cs="Times New Roman"/>
          <w:bCs/>
          <w:color w:val="000000" w:themeColor="text1"/>
          <w:szCs w:val="21"/>
          <w:highlight w:val="none"/>
          <w14:textFill>
            <w14:solidFill>
              <w14:schemeClr w14:val="tx1"/>
            </w14:solidFill>
          </w14:textFill>
        </w:rPr>
        <w:t>定</w:t>
      </w:r>
      <w:r>
        <w:rPr>
          <w:rFonts w:hint="eastAsia" w:ascii="宋体" w:hAnsi="宋体" w:eastAsia="宋体" w:cs="Times New Roman"/>
          <w:bCs/>
          <w:color w:val="000000" w:themeColor="text1"/>
          <w:szCs w:val="21"/>
          <w:highlight w:val="none"/>
          <w:lang w:eastAsia="zh-CN"/>
          <w14:textFill>
            <w14:solidFill>
              <w14:schemeClr w14:val="tx1"/>
            </w14:solidFill>
          </w14:textFill>
        </w:rPr>
        <w:t>外</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 w:val="0"/>
          <w:bCs/>
          <w:color w:val="000000" w:themeColor="text1"/>
          <w:szCs w:val="21"/>
          <w:highlight w:val="none"/>
          <w:lang w:eastAsia="zh-CN"/>
          <w14:textFill>
            <w14:solidFill>
              <w14:schemeClr w14:val="tx1"/>
            </w14:solidFill>
          </w14:textFill>
        </w:rPr>
        <w:t>约定的</w:t>
      </w:r>
      <w:r>
        <w:rPr>
          <w:rFonts w:hint="eastAsia" w:ascii="宋体" w:hAnsi="宋体" w:eastAsia="宋体" w:cs="Times New Roman"/>
          <w:color w:val="000000" w:themeColor="text1"/>
          <w:szCs w:val="21"/>
          <w:highlight w:val="none"/>
          <w14:textFill>
            <w14:solidFill>
              <w14:schemeClr w14:val="tx1"/>
            </w14:solidFill>
          </w14:textFill>
        </w:rPr>
        <w:t>指定现场。</w:t>
      </w:r>
    </w:p>
    <w:p w14:paraId="71874538">
      <w:pPr>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.2 除</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另有</w:t>
      </w:r>
      <w:r>
        <w:rPr>
          <w:rFonts w:hint="eastAsia" w:ascii="宋体" w:hAnsi="宋体" w:eastAsia="宋体" w:cs="Times New Roman"/>
          <w:bCs/>
          <w:color w:val="000000" w:themeColor="text1"/>
          <w:szCs w:val="21"/>
          <w:highlight w:val="none"/>
          <w:lang w:eastAsia="zh-CN"/>
          <w14:textFill>
            <w14:solidFill>
              <w14:schemeClr w14:val="tx1"/>
            </w14:solidFill>
          </w14:textFill>
        </w:rPr>
        <w:t>约</w:t>
      </w:r>
      <w:r>
        <w:rPr>
          <w:rFonts w:hint="eastAsia" w:ascii="宋体" w:hAnsi="宋体" w:eastAsia="宋体" w:cs="Times New Roman"/>
          <w:bCs/>
          <w:color w:val="000000" w:themeColor="text1"/>
          <w:szCs w:val="21"/>
          <w:highlight w:val="none"/>
          <w14:textFill>
            <w14:solidFill>
              <w14:schemeClr w14:val="tx1"/>
            </w14:solidFill>
          </w14:textFill>
        </w:rPr>
        <w:t>定</w:t>
      </w:r>
      <w:r>
        <w:rPr>
          <w:rFonts w:hint="eastAsia" w:ascii="宋体" w:hAnsi="宋体" w:eastAsia="宋体" w:cs="Times New Roman"/>
          <w:bCs/>
          <w:color w:val="000000" w:themeColor="text1"/>
          <w:szCs w:val="21"/>
          <w:highlight w:val="none"/>
          <w:lang w:eastAsia="zh-CN"/>
          <w14:textFill>
            <w14:solidFill>
              <w14:schemeClr w14:val="tx1"/>
            </w14:solidFill>
          </w14:textFill>
        </w:rPr>
        <w:t>外</w:t>
      </w:r>
      <w:r>
        <w:rPr>
          <w:rFonts w:hint="eastAsia" w:ascii="宋体" w:hAnsi="宋体" w:eastAsia="宋体" w:cs="Times New Roman"/>
          <w:bCs/>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Times New Roman"/>
          <w:color w:val="000000" w:themeColor="text1"/>
          <w:szCs w:val="21"/>
          <w:highlight w:val="none"/>
          <w:lang w:eastAsia="zh-CN"/>
          <w14:textFill>
            <w14:solidFill>
              <w14:schemeClr w14:val="tx1"/>
            </w14:solidFill>
          </w14:textFill>
        </w:rPr>
        <w:t>，并装卸、交付至甲方</w:t>
      </w:r>
      <w:r>
        <w:rPr>
          <w:rFonts w:hint="eastAsia" w:ascii="宋体" w:hAnsi="宋体" w:eastAsia="宋体" w:cs="Times New Roman"/>
          <w:color w:val="000000" w:themeColor="text1"/>
          <w:szCs w:val="21"/>
          <w:highlight w:val="none"/>
          <w14:textFill>
            <w14:solidFill>
              <w14:schemeClr w14:val="tx1"/>
            </w14:solidFill>
          </w14:textFill>
        </w:rPr>
        <w:t>的一切运输事项，相关费用应</w:t>
      </w:r>
      <w:r>
        <w:rPr>
          <w:rFonts w:hint="eastAsia" w:ascii="宋体" w:hAnsi="宋体" w:eastAsia="宋体" w:cs="Times New Roman"/>
          <w:color w:val="000000" w:themeColor="text1"/>
          <w:szCs w:val="21"/>
          <w:highlight w:val="none"/>
          <w:lang w:eastAsia="zh-CN"/>
          <w14:textFill>
            <w14:solidFill>
              <w14:schemeClr w14:val="tx1"/>
            </w14:solidFill>
          </w14:textFill>
        </w:rPr>
        <w:t>包含</w:t>
      </w:r>
      <w:r>
        <w:rPr>
          <w:rFonts w:hint="eastAsia" w:ascii="宋体" w:hAnsi="宋体" w:eastAsia="宋体" w:cs="Times New Roman"/>
          <w:color w:val="000000" w:themeColor="text1"/>
          <w:szCs w:val="21"/>
          <w:highlight w:val="none"/>
          <w14:textFill>
            <w14:solidFill>
              <w14:schemeClr w14:val="tx1"/>
            </w14:solidFill>
          </w14:textFill>
        </w:rPr>
        <w:t>在合同</w:t>
      </w:r>
      <w:r>
        <w:rPr>
          <w:rFonts w:hint="eastAsia" w:ascii="宋体" w:hAnsi="宋体" w:eastAsia="宋体" w:cs="Times New Roman"/>
          <w:color w:val="000000" w:themeColor="text1"/>
          <w:szCs w:val="21"/>
          <w:highlight w:val="none"/>
          <w:lang w:eastAsia="zh-CN"/>
          <w14:textFill>
            <w14:solidFill>
              <w14:schemeClr w14:val="tx1"/>
            </w14:solidFill>
          </w14:textFill>
        </w:rPr>
        <w:t>价款</w:t>
      </w:r>
      <w:r>
        <w:rPr>
          <w:rFonts w:hint="eastAsia" w:ascii="宋体" w:hAnsi="宋体" w:eastAsia="宋体" w:cs="Times New Roman"/>
          <w:color w:val="000000" w:themeColor="text1"/>
          <w:szCs w:val="21"/>
          <w:highlight w:val="none"/>
          <w14:textFill>
            <w14:solidFill>
              <w14:schemeClr w14:val="tx1"/>
            </w14:solidFill>
          </w14:textFill>
        </w:rPr>
        <w:t>中。</w:t>
      </w:r>
    </w:p>
    <w:p w14:paraId="24530E44">
      <w:pPr>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.3 货物保险要求按</w:t>
      </w:r>
      <w:r>
        <w:rPr>
          <w:rFonts w:hint="eastAsia" w:ascii="宋体" w:hAnsi="宋体" w:eastAsia="宋体" w:cs="Times New Roman"/>
          <w:b/>
          <w:color w:val="000000" w:themeColor="text1"/>
          <w:szCs w:val="21"/>
          <w:highlight w:val="none"/>
          <w14:textFill>
            <w14:solidFill>
              <w14:schemeClr w14:val="tx1"/>
            </w14:solidFill>
          </w14:textFill>
        </w:rPr>
        <w:t>【政府采购合同专用条款】</w:t>
      </w:r>
      <w:r>
        <w:rPr>
          <w:rFonts w:hint="eastAsia" w:ascii="宋体" w:hAnsi="宋体" w:eastAsia="宋体" w:cs="Times New Roman"/>
          <w:bCs/>
          <w:color w:val="000000" w:themeColor="text1"/>
          <w:szCs w:val="21"/>
          <w:highlight w:val="none"/>
          <w14:textFill>
            <w14:solidFill>
              <w14:schemeClr w14:val="tx1"/>
            </w14:solidFill>
          </w14:textFill>
        </w:rPr>
        <w:t>规定执行</w:t>
      </w:r>
      <w:r>
        <w:rPr>
          <w:rFonts w:hint="eastAsia" w:ascii="宋体" w:hAnsi="宋体" w:eastAsia="宋体" w:cs="Times New Roman"/>
          <w:color w:val="000000" w:themeColor="text1"/>
          <w:szCs w:val="21"/>
          <w:highlight w:val="none"/>
          <w14:textFill>
            <w14:solidFill>
              <w14:schemeClr w14:val="tx1"/>
            </w14:solidFill>
          </w14:textFill>
        </w:rPr>
        <w:t>。</w:t>
      </w:r>
    </w:p>
    <w:p w14:paraId="34D4367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7</w:t>
      </w:r>
      <w:r>
        <w:rPr>
          <w:rFonts w:hint="eastAsia" w:ascii="宋体" w:hAnsi="宋体" w:eastAsia="宋体" w:cs="Times New Roman"/>
          <w:color w:val="000000" w:themeColor="text1"/>
          <w:szCs w:val="21"/>
          <w:highlight w:val="none"/>
          <w14:textFill>
            <w14:solidFill>
              <w14:schemeClr w14:val="tx1"/>
            </w14:solidFill>
          </w14:textFill>
        </w:rPr>
        <w:t xml:space="preserve">.4 </w:t>
      </w:r>
      <w:r>
        <w:rPr>
          <w:rFonts w:hint="eastAsia" w:ascii="宋体" w:hAnsi="宋体" w:eastAsia="宋体" w:cs="Times New Roman"/>
          <w:color w:val="000000" w:themeColor="text1"/>
          <w:szCs w:val="21"/>
          <w:highlight w:val="none"/>
          <w:lang w:val="en-US" w:eastAsia="zh-CN"/>
          <w14:textFill>
            <w14:solidFill>
              <w14:schemeClr w14:val="tx1"/>
            </w14:solidFill>
          </w14:textFill>
        </w:rPr>
        <w:t>除采购活动</w:t>
      </w:r>
      <w:r>
        <w:rPr>
          <w:rFonts w:hint="eastAsia" w:ascii="宋体" w:hAnsi="宋体" w:eastAsia="宋体" w:cs="Times New Roman"/>
          <w:color w:val="000000" w:themeColor="text1"/>
          <w:szCs w:val="21"/>
          <w:highlight w:val="none"/>
          <w14:textFill>
            <w14:solidFill>
              <w14:schemeClr w14:val="tx1"/>
            </w14:solidFill>
          </w14:textFill>
        </w:rPr>
        <w:t>对商品包装</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快递包装</w:t>
      </w:r>
      <w:r>
        <w:rPr>
          <w:rFonts w:hint="eastAsia" w:ascii="宋体" w:hAnsi="宋体" w:eastAsia="宋体" w:cs="Times New Roman"/>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Times New Roman"/>
          <w:color w:val="000000" w:themeColor="text1"/>
          <w:szCs w:val="21"/>
          <w:highlight w:val="none"/>
          <w14:textFill>
            <w14:solidFill>
              <w14:schemeClr w14:val="tx1"/>
            </w14:solidFill>
          </w14:textFill>
        </w:rPr>
        <w:t>，乙方提供产品及相关快递服务</w:t>
      </w:r>
      <w:r>
        <w:rPr>
          <w:rFonts w:hint="eastAsia" w:ascii="宋体" w:hAnsi="宋体" w:eastAsia="宋体" w:cs="Times New Roman"/>
          <w:color w:val="000000" w:themeColor="text1"/>
          <w:szCs w:val="21"/>
          <w:highlight w:val="none"/>
          <w:lang w:val="en-US" w:eastAsia="zh-CN"/>
          <w14:textFill>
            <w14:solidFill>
              <w14:schemeClr w14:val="tx1"/>
            </w14:solidFill>
          </w14:textFill>
        </w:rPr>
        <w:t>涉及到</w:t>
      </w:r>
      <w:r>
        <w:rPr>
          <w:rFonts w:hint="eastAsia" w:ascii="宋体" w:hAnsi="宋体" w:eastAsia="宋体" w:cs="Times New Roman"/>
          <w:color w:val="000000" w:themeColor="text1"/>
          <w:szCs w:val="21"/>
          <w:highlight w:val="none"/>
          <w14:textFill>
            <w14:solidFill>
              <w14:schemeClr w14:val="tx1"/>
            </w14:solidFill>
          </w14:textFill>
        </w:rPr>
        <w:t>具体包装要求</w:t>
      </w:r>
      <w:r>
        <w:rPr>
          <w:rFonts w:hint="eastAsia" w:ascii="宋体" w:hAnsi="宋体" w:eastAsia="宋体" w:cs="Times New Roman"/>
          <w:color w:val="000000" w:themeColor="text1"/>
          <w:szCs w:val="21"/>
          <w:highlight w:val="none"/>
          <w:lang w:val="en-US" w:eastAsia="zh-CN"/>
          <w14:textFill>
            <w14:solidFill>
              <w14:schemeClr w14:val="tx1"/>
            </w14:solidFill>
          </w14:textFill>
        </w:rPr>
        <w:t>的，</w:t>
      </w:r>
      <w:r>
        <w:rPr>
          <w:rFonts w:hint="eastAsia" w:ascii="宋体" w:hAnsi="宋体" w:eastAsia="宋体" w:cs="Times New Roman"/>
          <w:color w:val="000000" w:themeColor="text1"/>
          <w:szCs w:val="21"/>
          <w:highlight w:val="none"/>
          <w14:textFill>
            <w14:solidFill>
              <w14:schemeClr w14:val="tx1"/>
            </w14:solidFill>
          </w14:textFill>
        </w:rPr>
        <w:t>应</w:t>
      </w:r>
      <w:r>
        <w:rPr>
          <w:rFonts w:hint="eastAsia" w:ascii="宋体" w:hAnsi="宋体" w:eastAsia="宋体" w:cs="Times New Roman"/>
          <w:color w:val="000000" w:themeColor="text1"/>
          <w:szCs w:val="21"/>
          <w:highlight w:val="none"/>
          <w:lang w:val="en-US" w:eastAsia="zh-CN"/>
          <w14:textFill>
            <w14:solidFill>
              <w14:schemeClr w14:val="tx1"/>
            </w14:solidFill>
          </w14:textFill>
        </w:rPr>
        <w:t>不低于</w:t>
      </w:r>
      <w:r>
        <w:rPr>
          <w:rFonts w:hint="eastAsia" w:ascii="宋体" w:hAnsi="宋体" w:eastAsia="宋体" w:cs="Times New Roman"/>
          <w:color w:val="000000" w:themeColor="text1"/>
          <w:szCs w:val="21"/>
          <w:highlight w:val="none"/>
          <w14:textFill>
            <w14:solidFill>
              <w14:schemeClr w14:val="tx1"/>
            </w14:solidFill>
          </w14:textFill>
        </w:rPr>
        <w:t>《商品包装政府采购需求标准（试行）</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快递包装政府采购需求标准（试行）》</w:t>
      </w:r>
      <w:r>
        <w:rPr>
          <w:rFonts w:hint="eastAsia" w:ascii="宋体" w:hAnsi="宋体" w:eastAsia="宋体" w:cs="Times New Roman"/>
          <w:color w:val="000000" w:themeColor="text1"/>
          <w:szCs w:val="21"/>
          <w:highlight w:val="none"/>
          <w:lang w:val="en-US" w:eastAsia="zh-CN"/>
          <w14:textFill>
            <w14:solidFill>
              <w14:schemeClr w14:val="tx1"/>
            </w14:solidFill>
          </w14:textFill>
        </w:rPr>
        <w:t>标准</w:t>
      </w:r>
      <w:r>
        <w:rPr>
          <w:rFonts w:hint="eastAsia" w:ascii="宋体" w:hAnsi="宋体" w:eastAsia="宋体" w:cs="Times New Roman"/>
          <w:color w:val="000000" w:themeColor="text1"/>
          <w:szCs w:val="21"/>
          <w:highlight w:val="none"/>
          <w14:textFill>
            <w14:solidFill>
              <w14:schemeClr w14:val="tx1"/>
            </w14:solidFill>
          </w14:textFill>
        </w:rPr>
        <w:t>，并作为履约验收的内容，必要时甲方可以要求乙方在履约验收环节出具检测报告。</w:t>
      </w:r>
    </w:p>
    <w:p w14:paraId="6AED4C35">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1E2D2049">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7E4A63E4">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themeColor="text1"/>
          <w:sz w:val="24"/>
          <w:highlight w:val="none"/>
          <w:lang w:eastAsia="zh-CN"/>
          <w14:textFill>
            <w14:solidFill>
              <w14:schemeClr w14:val="tx1"/>
            </w14:solidFill>
          </w14:textFill>
        </w:rPr>
        <w:t>8</w:t>
      </w:r>
      <w:r>
        <w:rPr>
          <w:rFonts w:hint="eastAsia" w:ascii="宋体" w:hAnsi="宋体" w:eastAsia="宋体" w:cs="Times New Roman"/>
          <w:b/>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color w:val="auto"/>
          <w:sz w:val="24"/>
          <w:highlight w:val="none"/>
        </w:rPr>
        <w:t>质量标准和保证</w:t>
      </w:r>
    </w:p>
    <w:p w14:paraId="14994489">
      <w:pPr>
        <w:pStyle w:val="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233F2F8B">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1A702503">
      <w:pPr>
        <w:pStyle w:val="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EDC4C5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1AB8E4D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678DE10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C29BF0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75452A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029CD82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5D6F12A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themeColor="text1"/>
          <w:szCs w:val="21"/>
          <w:highlight w:val="none"/>
          <w:lang w:eastAsia="zh-CN"/>
          <w14:textFill>
            <w14:solidFill>
              <w14:schemeClr w14:val="tx1"/>
            </w14:solidFill>
          </w14:textFill>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themeColor="text1"/>
          <w:szCs w:val="21"/>
          <w:highlight w:val="none"/>
          <w:lang w:eastAsia="zh-CN"/>
          <w14:textFill>
            <w14:solidFill>
              <w14:schemeClr w14:val="tx1"/>
            </w14:solidFill>
          </w14:textFill>
        </w:rPr>
        <w:t>的违约责任</w:t>
      </w:r>
      <w:r>
        <w:rPr>
          <w:rFonts w:hint="eastAsia" w:ascii="宋体" w:hAnsi="宋体" w:eastAsia="宋体" w:cs="Times New Roman"/>
          <w:color w:val="auto"/>
          <w:szCs w:val="21"/>
          <w:highlight w:val="none"/>
        </w:rPr>
        <w:t>。</w:t>
      </w:r>
    </w:p>
    <w:p w14:paraId="2EDDE2CB">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4F3A2BEF">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themeColor="text1"/>
          <w:sz w:val="24"/>
          <w:highlight w:val="none"/>
          <w:lang w:eastAsia="zh-CN"/>
          <w14:textFill>
            <w14:solidFill>
              <w14:schemeClr w14:val="tx1"/>
            </w14:solidFill>
          </w14:textFill>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auto"/>
          <w:sz w:val="24"/>
          <w:highlight w:val="none"/>
        </w:rPr>
        <w:t>权利瑕疵担保</w:t>
      </w:r>
    </w:p>
    <w:p w14:paraId="5AB1F741">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.1 乙方保证对其出售的货物享有合法的权利。</w:t>
      </w:r>
    </w:p>
    <w:p w14:paraId="01D4243E">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56119882">
      <w:pPr>
        <w:autoSpaceDE w:val="0"/>
        <w:autoSpaceDN w:val="0"/>
        <w:adjustRightInd w:val="0"/>
        <w:snapToGrid w:val="0"/>
        <w:spacing w:before="0" w:line="400" w:lineRule="exact"/>
        <w:ind w:firstLine="420"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9</w:t>
      </w:r>
      <w:r>
        <w:rPr>
          <w:rFonts w:hint="eastAsia" w:ascii="宋体" w:hAnsi="宋体" w:eastAsia="宋体" w:cs="Times New Roman"/>
          <w:color w:val="000000" w:themeColor="text1"/>
          <w:szCs w:val="21"/>
          <w:highlight w:val="none"/>
          <w14:textFill>
            <w14:solidFill>
              <w14:schemeClr w14:val="tx1"/>
            </w14:solidFill>
          </w14:textFill>
        </w:rPr>
        <w:t>.3 如甲方使用</w:t>
      </w:r>
      <w:r>
        <w:rPr>
          <w:rFonts w:hint="eastAsia" w:ascii="宋体" w:hAnsi="宋体" w:eastAsia="宋体" w:cs="Times New Roman"/>
          <w:color w:val="000000" w:themeColor="text1"/>
          <w:szCs w:val="21"/>
          <w:highlight w:val="none"/>
          <w:lang w:val="en-US" w:eastAsia="zh-CN"/>
          <w14:textFill>
            <w14:solidFill>
              <w14:schemeClr w14:val="tx1"/>
            </w14:solidFill>
          </w14:textFill>
        </w:rPr>
        <w:t>上述</w:t>
      </w:r>
      <w:r>
        <w:rPr>
          <w:rFonts w:hint="eastAsia" w:ascii="宋体" w:hAnsi="宋体" w:eastAsia="宋体" w:cs="Times New Roman"/>
          <w:color w:val="000000" w:themeColor="text1"/>
          <w:szCs w:val="21"/>
          <w:highlight w:val="none"/>
          <w14:textFill>
            <w14:solidFill>
              <w14:schemeClr w14:val="tx1"/>
            </w14:solidFill>
          </w14:textFill>
        </w:rPr>
        <w:t>货物构成</w:t>
      </w:r>
      <w:r>
        <w:rPr>
          <w:rFonts w:hint="eastAsia" w:ascii="宋体" w:hAnsi="宋体" w:eastAsia="宋体" w:cs="Times New Roman"/>
          <w:color w:val="000000" w:themeColor="text1"/>
          <w:szCs w:val="21"/>
          <w:highlight w:val="none"/>
          <w:lang w:val="en-US" w:eastAsia="zh-CN"/>
          <w14:textFill>
            <w14:solidFill>
              <w14:schemeClr w14:val="tx1"/>
            </w14:solidFill>
          </w14:textFill>
        </w:rPr>
        <w:t>对第三人</w:t>
      </w:r>
      <w:r>
        <w:rPr>
          <w:rFonts w:hint="eastAsia" w:ascii="宋体" w:hAnsi="宋体" w:eastAsia="宋体" w:cs="Times New Roman"/>
          <w:color w:val="000000" w:themeColor="text1"/>
          <w:szCs w:val="21"/>
          <w:highlight w:val="none"/>
          <w14:textFill>
            <w14:solidFill>
              <w14:schemeClr w14:val="tx1"/>
            </w14:solidFill>
          </w14:textFill>
        </w:rPr>
        <w:t>侵权的，则由乙方承担全部责任。</w:t>
      </w:r>
    </w:p>
    <w:p w14:paraId="67B68F43">
      <w:pPr>
        <w:autoSpaceDE w:val="0"/>
        <w:autoSpaceDN w:val="0"/>
        <w:adjustRightInd w:val="0"/>
        <w:snapToGrid w:val="0"/>
        <w:spacing w:before="0" w:line="400" w:lineRule="exact"/>
        <w:jc w:val="left"/>
        <w:rPr>
          <w:rFonts w:ascii="宋体" w:hAnsi="宋体" w:eastAsia="宋体" w:cs="Times New Roman"/>
          <w:b/>
          <w:bCs/>
          <w:color w:val="000000" w:themeColor="text1"/>
          <w:sz w:val="24"/>
          <w:highlight w:val="none"/>
          <w14:textFill>
            <w14:solidFill>
              <w14:schemeClr w14:val="tx1"/>
            </w14:solidFill>
          </w14:textFill>
        </w:rPr>
      </w:pPr>
      <w:r>
        <w:rPr>
          <w:rFonts w:hint="eastAsia" w:ascii="宋体" w:hAnsi="宋体" w:eastAsia="宋体" w:cs="Times New Roman"/>
          <w:b/>
          <w:bCs/>
          <w:color w:val="000000" w:themeColor="text1"/>
          <w:sz w:val="24"/>
          <w:highlight w:val="none"/>
          <w14:textFill>
            <w14:solidFill>
              <w14:schemeClr w14:val="tx1"/>
            </w14:solidFill>
          </w14:textFill>
        </w:rPr>
        <w:t>1</w:t>
      </w:r>
      <w:r>
        <w:rPr>
          <w:rFonts w:hint="eastAsia" w:ascii="宋体" w:hAnsi="宋体" w:eastAsia="宋体" w:cs="Times New Roman"/>
          <w:b/>
          <w:bCs/>
          <w:color w:val="000000" w:themeColor="text1"/>
          <w:sz w:val="24"/>
          <w:highlight w:val="none"/>
          <w:lang w:eastAsia="zh-CN"/>
          <w14:textFill>
            <w14:solidFill>
              <w14:schemeClr w14:val="tx1"/>
            </w14:solidFill>
          </w14:textFill>
        </w:rPr>
        <w:t>0</w:t>
      </w:r>
      <w:r>
        <w:rPr>
          <w:rFonts w:hint="eastAsia" w:ascii="宋体" w:hAnsi="宋体" w:eastAsia="宋体" w:cs="Times New Roman"/>
          <w:b/>
          <w:bCs/>
          <w:color w:val="000000" w:themeColor="text1"/>
          <w:sz w:val="24"/>
          <w:highlight w:val="none"/>
          <w14:textFill>
            <w14:solidFill>
              <w14:schemeClr w14:val="tx1"/>
            </w14:solidFill>
          </w14:textFill>
        </w:rPr>
        <w:t>.</w:t>
      </w:r>
      <w:r>
        <w:rPr>
          <w:rFonts w:hint="eastAsia" w:ascii="宋体" w:hAnsi="宋体" w:eastAsia="宋体" w:cs="Times New Roman"/>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b/>
          <w:bCs/>
          <w:color w:val="000000" w:themeColor="text1"/>
          <w:sz w:val="24"/>
          <w:highlight w:val="none"/>
          <w14:textFill>
            <w14:solidFill>
              <w14:schemeClr w14:val="tx1"/>
            </w14:solidFill>
          </w14:textFill>
        </w:rPr>
        <w:t>知识产权保护</w:t>
      </w:r>
    </w:p>
    <w:p w14:paraId="5B14973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eastAsia="zh-CN"/>
          <w14:textFill>
            <w14:solidFill>
              <w14:schemeClr w14:val="tx1"/>
            </w14:solidFill>
          </w14:textFill>
        </w:rPr>
        <w:t>0</w:t>
      </w:r>
      <w:r>
        <w:rPr>
          <w:rFonts w:hint="eastAsia" w:ascii="宋体" w:hAnsi="宋体" w:eastAsia="宋体" w:cs="Times New Roman"/>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7"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7"/>
      <w:r>
        <w:rPr>
          <w:rFonts w:hint="eastAsia" w:ascii="宋体" w:hAnsi="宋体" w:eastAsia="宋体" w:cs="Times New Roman"/>
          <w:color w:val="auto"/>
          <w:szCs w:val="21"/>
          <w:highlight w:val="none"/>
        </w:rPr>
        <w:t>。</w:t>
      </w:r>
    </w:p>
    <w:p w14:paraId="1ADC6CF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0585218E">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55B8AD80">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6FAD82D6">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D1F6CC0">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5F5CA53C">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4B6B141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75124F8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20CD80EB">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DA5783B">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359B52C7">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26FD6A9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0891F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2BE4EC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4596950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lang w:eastAsia="zh-CN"/>
        </w:rPr>
        <w:t>；</w:t>
      </w:r>
    </w:p>
    <w:p w14:paraId="2FA943B9">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1446EA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35FC2C2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78A93F5C">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15A348E">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3457DF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082D9CA5">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4248A8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0B135D34">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49A448A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A8BF97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7BA4384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060B944C">
      <w:pPr>
        <w:numPr>
          <w:ilvl w:val="0"/>
          <w:numId w:val="7"/>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6FFE1B52">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2D1B375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7FB9C5BE">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0C03E4C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47847D6E">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7C78ACA7">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08414C5">
      <w:pPr>
        <w:snapToGrid w:val="0"/>
        <w:spacing w:line="400" w:lineRule="exact"/>
        <w:ind w:firstLine="420" w:firstLineChars="200"/>
        <w:jc w:val="left"/>
        <w:rPr>
          <w:rFonts w:ascii="Times New Roman" w:hAnsi="Times New Roman" w:eastAsia="宋体" w:cs="Times New Roman"/>
          <w:sz w:val="21"/>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62B20CB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0F0CD8E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697B683A">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Times New Roman"/>
          <w:color w:val="auto"/>
          <w:szCs w:val="21"/>
          <w:highlight w:val="none"/>
        </w:rPr>
        <w:t>。</w:t>
      </w:r>
    </w:p>
    <w:p w14:paraId="09880D39">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0A348E5E">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2D5404A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44E8B3B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1940CFC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3C5DB9AB">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22A792CC">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266B2CD1">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698EB35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6C75E6A5">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6C5471AD">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8155531">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6D288FA6">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82AF421">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70D97D82">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0019CC7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1739EA6C">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C53A4E6">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43560BF3">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5AC31F9B">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629D62C">
      <w:pPr>
        <w:numPr>
          <w:ilvl w:val="-1"/>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37C74C3D">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2FF14B36">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755C785">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7C03BA28">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7B199EB2">
      <w:pPr>
        <w:numPr>
          <w:ilvl w:val="0"/>
          <w:numId w:val="8"/>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43A3F470">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6B56CCD2">
      <w:pPr>
        <w:adjustRightInd w:val="0"/>
        <w:snapToGrid w:val="0"/>
        <w:spacing w:line="400" w:lineRule="exact"/>
        <w:ind w:firstLine="0" w:firstLineChars="0"/>
        <w:jc w:val="left"/>
        <w:rPr>
          <w:rFonts w:ascii="黑体" w:hAnsi="华文中宋" w:eastAsia="黑体" w:cs="Times New Roman"/>
          <w:color w:val="auto"/>
          <w:sz w:val="28"/>
          <w:szCs w:val="28"/>
        </w:rPr>
      </w:pPr>
      <w:r>
        <w:rPr>
          <w:rFonts w:hint="eastAsia" w:ascii="宋体" w:hAnsi="宋体" w:eastAsia="宋体" w:cs="Times New Roman"/>
          <w:bCs/>
          <w:color w:val="auto"/>
          <w:szCs w:val="21"/>
          <w:highlight w:val="none"/>
          <w:lang w:val="en-US" w:eastAsia="zh-CN"/>
        </w:rPr>
        <w:t xml:space="preserve">    23.2 合同附件与合同正文具有同等的法律效力。</w:t>
      </w:r>
      <w:bookmarkStart w:id="8" w:name="_Toc20313"/>
    </w:p>
    <w:p w14:paraId="2531F77A">
      <w:pPr>
        <w:adjustRightInd w:val="0"/>
        <w:snapToGrid w:val="0"/>
        <w:jc w:val="center"/>
        <w:rPr>
          <w:rFonts w:hint="eastAsia" w:ascii="黑体" w:hAnsi="华文中宋" w:eastAsia="黑体" w:cs="Times New Roman"/>
          <w:b w:val="0"/>
          <w:bCs w:val="0"/>
          <w:sz w:val="28"/>
          <w:szCs w:val="28"/>
        </w:rPr>
      </w:pPr>
      <w:r>
        <w:rPr>
          <w:rFonts w:hint="eastAsia" w:ascii="黑体" w:hAnsi="华文中宋" w:eastAsia="黑体" w:cs="Times New Roman"/>
          <w:b w:val="0"/>
          <w:bCs w:val="0"/>
          <w:sz w:val="28"/>
          <w:szCs w:val="28"/>
        </w:rPr>
        <w:br w:type="page"/>
      </w:r>
    </w:p>
    <w:p w14:paraId="38928B68">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8"/>
    </w:p>
    <w:tbl>
      <w:tblPr>
        <w:tblStyle w:val="14"/>
        <w:tblW w:w="927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926"/>
      </w:tblGrid>
      <w:tr w14:paraId="3771E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1023C1">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48C3B526">
            <w:pPr>
              <w:adjustRightInd w:val="0"/>
              <w:snapToGrid w:val="0"/>
              <w:jc w:val="center"/>
              <w:rPr>
                <w:rFonts w:ascii="宋体" w:hAnsi="宋体" w:eastAsia="宋体" w:cs="Times New Roman"/>
                <w:szCs w:val="21"/>
              </w:rPr>
            </w:pPr>
            <w:r>
              <w:rPr>
                <w:rFonts w:hint="eastAsia" w:ascii="宋体" w:hAnsi="宋体" w:eastAsia="宋体" w:cs="Times New Roman"/>
                <w:szCs w:val="21"/>
              </w:rPr>
              <w:t>第1.2（</w:t>
            </w:r>
            <w:r>
              <w:rPr>
                <w:rFonts w:hint="eastAsia" w:ascii="宋体" w:hAnsi="宋体" w:eastAsia="宋体" w:cs="Times New Roman"/>
                <w:szCs w:val="21"/>
                <w:lang w:val="en-US" w:eastAsia="zh-CN"/>
              </w:rPr>
              <w:t>6</w:t>
            </w:r>
            <w:r>
              <w:rPr>
                <w:rFonts w:hint="eastAsia" w:ascii="宋体" w:hAnsi="宋体" w:eastAsia="宋体" w:cs="Times New Roman"/>
                <w:szCs w:val="21"/>
              </w:rPr>
              <w:t>）项</w:t>
            </w:r>
          </w:p>
        </w:tc>
        <w:tc>
          <w:tcPr>
            <w:tcW w:w="1742" w:type="dxa"/>
            <w:vAlign w:val="center"/>
          </w:tcPr>
          <w:p w14:paraId="50D368D7">
            <w:pPr>
              <w:adjustRightInd w:val="0"/>
              <w:snapToGrid w:val="0"/>
              <w:jc w:val="left"/>
              <w:rPr>
                <w:rFonts w:ascii="宋体" w:hAnsi="宋体" w:eastAsia="宋体" w:cs="Times New Roman"/>
                <w:szCs w:val="21"/>
              </w:rPr>
            </w:pPr>
            <w:r>
              <w:rPr>
                <w:rFonts w:hint="eastAsia" w:ascii="宋体" w:hAnsi="宋体" w:eastAsia="宋体" w:cs="Times New Roman"/>
                <w:szCs w:val="21"/>
                <w:lang w:eastAsia="zh-CN"/>
              </w:rPr>
              <w:t>联合体具体要求</w:t>
            </w:r>
          </w:p>
        </w:tc>
        <w:tc>
          <w:tcPr>
            <w:tcW w:w="5926" w:type="dxa"/>
            <w:vAlign w:val="center"/>
          </w:tcPr>
          <w:p w14:paraId="11266F6D">
            <w:pPr>
              <w:adjustRightInd w:val="0"/>
              <w:snapToGrid w:val="0"/>
              <w:jc w:val="left"/>
              <w:rPr>
                <w:rFonts w:ascii="宋体" w:hAnsi="宋体" w:eastAsia="宋体" w:cs="Times New Roman"/>
                <w:szCs w:val="21"/>
              </w:rPr>
            </w:pPr>
          </w:p>
        </w:tc>
      </w:tr>
      <w:tr w14:paraId="6E1E67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E13AA62">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317C75BD">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第1.2（</w:t>
            </w:r>
            <w:r>
              <w:rPr>
                <w:rFonts w:hint="eastAsia" w:ascii="宋体" w:hAnsi="宋体" w:eastAsia="宋体" w:cs="Times New Roman"/>
                <w:szCs w:val="21"/>
                <w:lang w:val="en-US" w:eastAsia="zh-CN"/>
              </w:rPr>
              <w:t>7</w:t>
            </w:r>
            <w:r>
              <w:rPr>
                <w:rFonts w:hint="eastAsia" w:ascii="宋体" w:hAnsi="宋体" w:eastAsia="宋体" w:cs="Times New Roman"/>
                <w:szCs w:val="21"/>
              </w:rPr>
              <w:t>）项</w:t>
            </w:r>
          </w:p>
        </w:tc>
        <w:tc>
          <w:tcPr>
            <w:tcW w:w="1742" w:type="dxa"/>
            <w:vAlign w:val="center"/>
          </w:tcPr>
          <w:p w14:paraId="493FCBD5">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其他术语解释</w:t>
            </w:r>
          </w:p>
        </w:tc>
        <w:tc>
          <w:tcPr>
            <w:tcW w:w="5926" w:type="dxa"/>
            <w:vAlign w:val="center"/>
          </w:tcPr>
          <w:p w14:paraId="38022783">
            <w:pPr>
              <w:adjustRightInd w:val="0"/>
              <w:snapToGrid w:val="0"/>
              <w:jc w:val="left"/>
              <w:rPr>
                <w:rFonts w:ascii="宋体" w:hAnsi="宋体" w:eastAsia="宋体" w:cs="Times New Roman"/>
                <w:kern w:val="2"/>
                <w:sz w:val="21"/>
                <w:szCs w:val="21"/>
                <w:lang w:val="en-US" w:eastAsia="zh-CN" w:bidi="ar-SA"/>
              </w:rPr>
            </w:pPr>
          </w:p>
        </w:tc>
      </w:tr>
      <w:tr w14:paraId="231D2B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14B67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63C39B6E">
            <w:pPr>
              <w:adjustRightInd w:val="0"/>
              <w:snapToGrid w:val="0"/>
              <w:jc w:val="center"/>
              <w:rPr>
                <w:rFonts w:hint="default" w:ascii="宋体" w:hAnsi="宋体" w:eastAsia="宋体" w:cs="Times New Roman"/>
                <w:szCs w:val="21"/>
                <w:lang w:val="en-US"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4.4款</w:t>
            </w:r>
          </w:p>
        </w:tc>
        <w:tc>
          <w:tcPr>
            <w:tcW w:w="1742" w:type="dxa"/>
            <w:vAlign w:val="center"/>
          </w:tcPr>
          <w:p w14:paraId="42C90464">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履约验收中甲方提出异议或作出说明的期限</w:t>
            </w:r>
          </w:p>
        </w:tc>
        <w:tc>
          <w:tcPr>
            <w:tcW w:w="5926" w:type="dxa"/>
            <w:vAlign w:val="center"/>
          </w:tcPr>
          <w:p w14:paraId="55B78117">
            <w:pPr>
              <w:adjustRightInd w:val="0"/>
              <w:snapToGrid w:val="0"/>
              <w:jc w:val="left"/>
              <w:rPr>
                <w:rFonts w:ascii="宋体" w:hAnsi="宋体" w:eastAsia="宋体" w:cs="Times New Roman"/>
                <w:kern w:val="2"/>
                <w:sz w:val="21"/>
                <w:szCs w:val="21"/>
                <w:lang w:val="en-US" w:eastAsia="zh-CN" w:bidi="ar-SA"/>
              </w:rPr>
            </w:pPr>
          </w:p>
        </w:tc>
      </w:tr>
      <w:tr w14:paraId="6C8D63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E1237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6FFF457">
            <w:pPr>
              <w:adjustRightInd w:val="0"/>
              <w:snapToGrid w:val="0"/>
              <w:jc w:val="center"/>
              <w:rPr>
                <w:rFonts w:hint="eastAsia" w:ascii="宋体" w:hAnsi="宋体" w:eastAsia="宋体" w:cs="Times New Roman"/>
                <w:szCs w:val="21"/>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4.6款</w:t>
            </w:r>
          </w:p>
        </w:tc>
        <w:tc>
          <w:tcPr>
            <w:tcW w:w="1742" w:type="dxa"/>
            <w:vAlign w:val="center"/>
          </w:tcPr>
          <w:p w14:paraId="5BF35C32">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约定甲方承担的其他义务和责任</w:t>
            </w:r>
          </w:p>
        </w:tc>
        <w:tc>
          <w:tcPr>
            <w:tcW w:w="5926" w:type="dxa"/>
            <w:vAlign w:val="center"/>
          </w:tcPr>
          <w:p w14:paraId="2B324D69">
            <w:pPr>
              <w:adjustRightInd w:val="0"/>
              <w:snapToGrid w:val="0"/>
              <w:jc w:val="left"/>
              <w:rPr>
                <w:rFonts w:ascii="宋体" w:hAnsi="宋体" w:eastAsia="宋体" w:cs="Times New Roman"/>
                <w:kern w:val="2"/>
                <w:sz w:val="21"/>
                <w:szCs w:val="21"/>
                <w:lang w:val="en-US" w:eastAsia="zh-CN" w:bidi="ar-SA"/>
              </w:rPr>
            </w:pPr>
          </w:p>
        </w:tc>
      </w:tr>
      <w:tr w14:paraId="0053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87599D">
            <w:pPr>
              <w:adjustRightInd w:val="0"/>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第二节</w:t>
            </w:r>
          </w:p>
          <w:p w14:paraId="1D8DD1E7">
            <w:pPr>
              <w:snapToGrid w:val="0"/>
              <w:jc w:val="center"/>
              <w:rPr>
                <w:rFonts w:hint="default" w:ascii="Times New Roman" w:hAnsi="Times New Roman" w:eastAsia="宋体" w:cs="Times New Roman"/>
                <w:lang w:val="en-US"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5.4款</w:t>
            </w:r>
          </w:p>
        </w:tc>
        <w:tc>
          <w:tcPr>
            <w:tcW w:w="1742" w:type="dxa"/>
            <w:vAlign w:val="center"/>
          </w:tcPr>
          <w:p w14:paraId="42E35A02">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约定乙方承担的其他义务和责任</w:t>
            </w:r>
          </w:p>
        </w:tc>
        <w:tc>
          <w:tcPr>
            <w:tcW w:w="5926" w:type="dxa"/>
            <w:vAlign w:val="center"/>
          </w:tcPr>
          <w:p w14:paraId="09E0A255">
            <w:pPr>
              <w:adjustRightInd w:val="0"/>
              <w:snapToGrid w:val="0"/>
              <w:jc w:val="left"/>
              <w:rPr>
                <w:rFonts w:ascii="宋体" w:hAnsi="宋体" w:eastAsia="宋体" w:cs="Times New Roman"/>
                <w:kern w:val="2"/>
                <w:sz w:val="21"/>
                <w:szCs w:val="21"/>
                <w:lang w:val="en-US" w:eastAsia="zh-CN" w:bidi="ar-SA"/>
              </w:rPr>
            </w:pPr>
          </w:p>
        </w:tc>
      </w:tr>
      <w:tr w14:paraId="3F2868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77D55E">
            <w:pPr>
              <w:adjustRightInd w:val="0"/>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第二节</w:t>
            </w:r>
          </w:p>
          <w:p w14:paraId="334021CE">
            <w:pPr>
              <w:snapToGrid w:val="0"/>
              <w:jc w:val="center"/>
              <w:rPr>
                <w:rFonts w:hint="eastAsia" w:ascii="宋体" w:hAnsi="宋体" w:eastAsia="宋体" w:cs="Times New Roman"/>
                <w:szCs w:val="21"/>
                <w:lang w:eastAsia="zh-CN"/>
              </w:rPr>
            </w:pPr>
            <w:r>
              <w:rPr>
                <w:rFonts w:hint="eastAsia" w:ascii="宋体" w:hAnsi="宋体" w:eastAsia="宋体" w:cs="Times New Roman"/>
                <w:szCs w:val="21"/>
                <w:lang w:eastAsia="zh-CN"/>
              </w:rPr>
              <w:t>第</w:t>
            </w:r>
            <w:r>
              <w:rPr>
                <w:rFonts w:hint="eastAsia" w:ascii="宋体" w:hAnsi="宋体" w:eastAsia="宋体" w:cs="Times New Roman"/>
                <w:szCs w:val="21"/>
                <w:lang w:val="en-US" w:eastAsia="zh-CN"/>
              </w:rPr>
              <w:t>6.1款</w:t>
            </w:r>
          </w:p>
        </w:tc>
        <w:tc>
          <w:tcPr>
            <w:tcW w:w="1742" w:type="dxa"/>
            <w:vAlign w:val="center"/>
          </w:tcPr>
          <w:p w14:paraId="0DE2E43C">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履行合同义务的顺序</w:t>
            </w:r>
          </w:p>
        </w:tc>
        <w:tc>
          <w:tcPr>
            <w:tcW w:w="5926" w:type="dxa"/>
            <w:vAlign w:val="center"/>
          </w:tcPr>
          <w:p w14:paraId="63DC7948">
            <w:pPr>
              <w:adjustRightInd w:val="0"/>
              <w:snapToGrid w:val="0"/>
              <w:jc w:val="left"/>
              <w:rPr>
                <w:rFonts w:ascii="宋体" w:hAnsi="宋体" w:eastAsia="宋体" w:cs="Times New Roman"/>
                <w:kern w:val="2"/>
                <w:sz w:val="21"/>
                <w:szCs w:val="21"/>
                <w:lang w:val="en-US" w:eastAsia="zh-CN" w:bidi="ar-SA"/>
              </w:rPr>
            </w:pPr>
          </w:p>
        </w:tc>
      </w:tr>
      <w:tr w14:paraId="34376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4C8F57">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DB43FF9">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.1</w:t>
            </w:r>
            <w:r>
              <w:rPr>
                <w:rFonts w:hint="eastAsia" w:ascii="宋体" w:hAnsi="宋体" w:eastAsia="宋体" w:cs="Times New Roman"/>
                <w:szCs w:val="21"/>
                <w:lang w:val="en-US" w:eastAsia="zh-CN"/>
              </w:rPr>
              <w:t>款</w:t>
            </w:r>
          </w:p>
        </w:tc>
        <w:tc>
          <w:tcPr>
            <w:tcW w:w="1742" w:type="dxa"/>
            <w:vAlign w:val="center"/>
          </w:tcPr>
          <w:p w14:paraId="29198B46">
            <w:pPr>
              <w:adjustRightInd w:val="0"/>
              <w:snapToGrid w:val="0"/>
              <w:jc w:val="left"/>
              <w:rPr>
                <w:rFonts w:ascii="宋体" w:hAnsi="宋体" w:eastAsia="宋体" w:cs="Times New Roman"/>
                <w:szCs w:val="21"/>
              </w:rPr>
            </w:pPr>
            <w:r>
              <w:rPr>
                <w:rFonts w:hint="eastAsia" w:ascii="宋体" w:hAnsi="宋体" w:eastAsia="宋体" w:cs="Times New Roman"/>
                <w:szCs w:val="21"/>
              </w:rPr>
              <w:t>包装</w:t>
            </w:r>
            <w:r>
              <w:rPr>
                <w:rFonts w:hint="eastAsia" w:ascii="宋体" w:hAnsi="宋体" w:eastAsia="宋体" w:cs="Times New Roman"/>
                <w:szCs w:val="21"/>
                <w:lang w:eastAsia="zh-CN"/>
              </w:rPr>
              <w:t>特殊要求</w:t>
            </w:r>
          </w:p>
        </w:tc>
        <w:tc>
          <w:tcPr>
            <w:tcW w:w="5926" w:type="dxa"/>
            <w:vAlign w:val="center"/>
          </w:tcPr>
          <w:p w14:paraId="3337CB55">
            <w:pPr>
              <w:rPr>
                <w:rFonts w:ascii="Times New Roman" w:hAnsi="Times New Roman" w:eastAsia="宋体" w:cs="Times New Roman"/>
              </w:rPr>
            </w:pPr>
          </w:p>
        </w:tc>
      </w:tr>
      <w:tr w14:paraId="43B95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3DDBD16">
            <w:pPr>
              <w:adjustRightInd w:val="0"/>
              <w:snapToGrid w:val="0"/>
              <w:jc w:val="center"/>
              <w:rPr>
                <w:rFonts w:hint="eastAsia" w:ascii="宋体" w:hAnsi="宋体" w:eastAsia="宋体" w:cs="Times New Roman"/>
                <w:szCs w:val="21"/>
              </w:rPr>
            </w:pPr>
          </w:p>
        </w:tc>
        <w:tc>
          <w:tcPr>
            <w:tcW w:w="1742" w:type="dxa"/>
            <w:vAlign w:val="center"/>
          </w:tcPr>
          <w:p w14:paraId="26C33946">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指定现场</w:t>
            </w:r>
          </w:p>
        </w:tc>
        <w:tc>
          <w:tcPr>
            <w:tcW w:w="5926" w:type="dxa"/>
            <w:vAlign w:val="center"/>
          </w:tcPr>
          <w:p w14:paraId="6481FFA5">
            <w:pPr>
              <w:rPr>
                <w:rFonts w:hint="eastAsia" w:ascii="Times New Roman" w:hAnsi="Times New Roman" w:eastAsia="宋体" w:cs="Times New Roman"/>
              </w:rPr>
            </w:pPr>
          </w:p>
        </w:tc>
      </w:tr>
      <w:tr w14:paraId="35A76D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F6766D7">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3512039">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.2</w:t>
            </w:r>
            <w:r>
              <w:rPr>
                <w:rFonts w:hint="eastAsia" w:ascii="宋体" w:hAnsi="宋体" w:eastAsia="宋体" w:cs="Times New Roman"/>
                <w:szCs w:val="21"/>
                <w:lang w:val="en-US" w:eastAsia="zh-CN"/>
              </w:rPr>
              <w:t>款</w:t>
            </w:r>
          </w:p>
        </w:tc>
        <w:tc>
          <w:tcPr>
            <w:tcW w:w="1742" w:type="dxa"/>
            <w:vAlign w:val="center"/>
          </w:tcPr>
          <w:p w14:paraId="6E649961">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运输特殊要求</w:t>
            </w:r>
          </w:p>
        </w:tc>
        <w:tc>
          <w:tcPr>
            <w:tcW w:w="5926" w:type="dxa"/>
            <w:vAlign w:val="center"/>
          </w:tcPr>
          <w:p w14:paraId="269A4ED0">
            <w:pPr>
              <w:rPr>
                <w:rFonts w:hint="eastAsia" w:ascii="Times New Roman" w:hAnsi="Times New Roman" w:eastAsia="宋体" w:cs="Times New Roman"/>
              </w:rPr>
            </w:pPr>
          </w:p>
        </w:tc>
      </w:tr>
      <w:tr w14:paraId="6997DE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5A76CD9">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16D76D76">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7</w:t>
            </w:r>
            <w:r>
              <w:rPr>
                <w:rFonts w:hint="eastAsia" w:ascii="宋体" w:hAnsi="宋体" w:eastAsia="宋体" w:cs="Times New Roman"/>
                <w:szCs w:val="21"/>
              </w:rPr>
              <w:t>.3</w:t>
            </w:r>
            <w:r>
              <w:rPr>
                <w:rFonts w:hint="eastAsia" w:ascii="宋体" w:hAnsi="宋体" w:eastAsia="宋体" w:cs="Times New Roman"/>
                <w:szCs w:val="21"/>
                <w:lang w:val="en-US" w:eastAsia="zh-CN"/>
              </w:rPr>
              <w:t>款</w:t>
            </w:r>
          </w:p>
        </w:tc>
        <w:tc>
          <w:tcPr>
            <w:tcW w:w="1742" w:type="dxa"/>
            <w:vAlign w:val="center"/>
          </w:tcPr>
          <w:p w14:paraId="0D65ECAF">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保险要求</w:t>
            </w:r>
          </w:p>
        </w:tc>
        <w:tc>
          <w:tcPr>
            <w:tcW w:w="5926" w:type="dxa"/>
            <w:vAlign w:val="center"/>
          </w:tcPr>
          <w:p w14:paraId="07758C03">
            <w:pPr>
              <w:rPr>
                <w:rFonts w:hint="eastAsia" w:ascii="Times New Roman" w:hAnsi="Times New Roman" w:eastAsia="宋体" w:cs="Times New Roman"/>
              </w:rPr>
            </w:pPr>
          </w:p>
        </w:tc>
      </w:tr>
      <w:tr w14:paraId="7A812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C15FA3">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5F4EEA78">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8</w:t>
            </w:r>
            <w:r>
              <w:rPr>
                <w:rFonts w:hint="eastAsia" w:ascii="宋体" w:hAnsi="宋体" w:eastAsia="宋体" w:cs="Times New Roman"/>
                <w:szCs w:val="21"/>
              </w:rPr>
              <w:t>.2（1）项</w:t>
            </w:r>
          </w:p>
        </w:tc>
        <w:tc>
          <w:tcPr>
            <w:tcW w:w="1742" w:type="dxa"/>
            <w:vAlign w:val="center"/>
          </w:tcPr>
          <w:p w14:paraId="5822DCE0">
            <w:pPr>
              <w:adjustRightInd w:val="0"/>
              <w:snapToGrid w:val="0"/>
              <w:jc w:val="left"/>
              <w:rPr>
                <w:rFonts w:ascii="宋体" w:hAnsi="宋体" w:eastAsia="宋体" w:cs="Times New Roman"/>
                <w:szCs w:val="21"/>
              </w:rPr>
            </w:pPr>
            <w:r>
              <w:rPr>
                <w:rFonts w:hint="eastAsia" w:ascii="宋体" w:hAnsi="宋体" w:eastAsia="宋体" w:cs="Times New Roman"/>
                <w:szCs w:val="21"/>
              </w:rPr>
              <w:t>质量保证期</w:t>
            </w:r>
          </w:p>
        </w:tc>
        <w:tc>
          <w:tcPr>
            <w:tcW w:w="5926" w:type="dxa"/>
            <w:vAlign w:val="center"/>
          </w:tcPr>
          <w:p w14:paraId="745262DA">
            <w:pPr>
              <w:autoSpaceDE w:val="0"/>
              <w:autoSpaceDN w:val="0"/>
              <w:adjustRightInd w:val="0"/>
              <w:snapToGrid w:val="0"/>
              <w:ind w:firstLine="420" w:firstLineChars="200"/>
              <w:jc w:val="left"/>
              <w:rPr>
                <w:rFonts w:ascii="宋体" w:hAnsi="宋体" w:eastAsia="宋体" w:cs="Times New Roman"/>
                <w:szCs w:val="21"/>
              </w:rPr>
            </w:pPr>
          </w:p>
        </w:tc>
      </w:tr>
      <w:tr w14:paraId="141AD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08B1AE">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17AA210">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8</w:t>
            </w:r>
            <w:r>
              <w:rPr>
                <w:rFonts w:hint="eastAsia" w:ascii="宋体" w:hAnsi="宋体" w:eastAsia="宋体" w:cs="Times New Roman"/>
                <w:szCs w:val="21"/>
              </w:rPr>
              <w:t>.2（3）项</w:t>
            </w:r>
          </w:p>
        </w:tc>
        <w:tc>
          <w:tcPr>
            <w:tcW w:w="1742" w:type="dxa"/>
            <w:vAlign w:val="center"/>
          </w:tcPr>
          <w:p w14:paraId="737FD7F7">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lang w:eastAsia="zh-CN"/>
              </w:rPr>
              <w:t>货物质量缺陷</w:t>
            </w:r>
          </w:p>
          <w:p w14:paraId="70FDFC4A">
            <w:pPr>
              <w:adjustRightInd w:val="0"/>
              <w:snapToGrid w:val="0"/>
              <w:jc w:val="left"/>
              <w:rPr>
                <w:rFonts w:ascii="宋体" w:hAnsi="宋体" w:eastAsia="宋体" w:cs="Times New Roman"/>
                <w:szCs w:val="21"/>
              </w:rPr>
            </w:pPr>
            <w:r>
              <w:rPr>
                <w:rFonts w:hint="eastAsia" w:ascii="宋体" w:hAnsi="宋体" w:eastAsia="宋体" w:cs="Times New Roman"/>
                <w:szCs w:val="21"/>
              </w:rPr>
              <w:t>响应时间</w:t>
            </w:r>
          </w:p>
        </w:tc>
        <w:tc>
          <w:tcPr>
            <w:tcW w:w="5926" w:type="dxa"/>
            <w:vAlign w:val="center"/>
          </w:tcPr>
          <w:p w14:paraId="1FBE5E3B">
            <w:pPr>
              <w:adjustRightInd w:val="0"/>
              <w:snapToGrid w:val="0"/>
              <w:jc w:val="left"/>
              <w:rPr>
                <w:rFonts w:ascii="宋体" w:hAnsi="宋体" w:eastAsia="宋体" w:cs="Times New Roman"/>
                <w:szCs w:val="21"/>
              </w:rPr>
            </w:pPr>
          </w:p>
        </w:tc>
      </w:tr>
      <w:tr w14:paraId="5EADC1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C146877">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321E34D3">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0DE098A7">
            <w:pPr>
              <w:adjustRightInd w:val="0"/>
              <w:snapToGrid w:val="0"/>
              <w:jc w:val="both"/>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其他应当保密的信息</w:t>
            </w:r>
          </w:p>
        </w:tc>
        <w:tc>
          <w:tcPr>
            <w:tcW w:w="5926" w:type="dxa"/>
            <w:vAlign w:val="center"/>
          </w:tcPr>
          <w:p w14:paraId="09C52326">
            <w:pPr>
              <w:adjustRightInd w:val="0"/>
              <w:snapToGrid w:val="0"/>
              <w:jc w:val="left"/>
              <w:rPr>
                <w:rFonts w:ascii="宋体" w:hAnsi="宋体" w:eastAsia="宋体" w:cs="Times New Roman"/>
                <w:szCs w:val="21"/>
              </w:rPr>
            </w:pPr>
          </w:p>
        </w:tc>
      </w:tr>
      <w:tr w14:paraId="00152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A2B51D4">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367B121F">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2</w:t>
            </w:r>
            <w:r>
              <w:rPr>
                <w:rFonts w:hint="eastAsia" w:ascii="宋体" w:hAnsi="宋体" w:eastAsia="宋体" w:cs="Times New Roman"/>
                <w:szCs w:val="21"/>
              </w:rPr>
              <w:t>.2款</w:t>
            </w:r>
          </w:p>
        </w:tc>
        <w:tc>
          <w:tcPr>
            <w:tcW w:w="1742" w:type="dxa"/>
            <w:vAlign w:val="center"/>
          </w:tcPr>
          <w:p w14:paraId="04A469E0">
            <w:pPr>
              <w:adjustRightInd w:val="0"/>
              <w:snapToGrid w:val="0"/>
              <w:jc w:val="left"/>
              <w:rPr>
                <w:rFonts w:hint="eastAsia" w:ascii="宋体" w:hAnsi="宋体" w:eastAsia="宋体" w:cs="Times New Roman"/>
                <w:szCs w:val="21"/>
                <w:lang w:eastAsia="zh-CN"/>
              </w:rPr>
            </w:pPr>
            <w:r>
              <w:rPr>
                <w:rFonts w:hint="eastAsia" w:ascii="宋体" w:hAnsi="宋体" w:eastAsia="宋体" w:cs="Times New Roman"/>
                <w:szCs w:val="21"/>
              </w:rPr>
              <w:t>合同价款支付</w:t>
            </w:r>
            <w:r>
              <w:rPr>
                <w:rFonts w:hint="eastAsia" w:ascii="宋体" w:hAnsi="宋体" w:eastAsia="宋体" w:cs="Times New Roman"/>
                <w:szCs w:val="21"/>
                <w:lang w:eastAsia="zh-CN"/>
              </w:rPr>
              <w:t>时间</w:t>
            </w:r>
          </w:p>
        </w:tc>
        <w:tc>
          <w:tcPr>
            <w:tcW w:w="5926" w:type="dxa"/>
            <w:vAlign w:val="center"/>
          </w:tcPr>
          <w:p w14:paraId="2E23CE83">
            <w:pPr>
              <w:adjustRightInd w:val="0"/>
              <w:snapToGrid w:val="0"/>
              <w:jc w:val="left"/>
              <w:rPr>
                <w:rFonts w:ascii="宋体" w:hAnsi="宋体" w:eastAsia="宋体" w:cs="Times New Roman"/>
                <w:szCs w:val="21"/>
              </w:rPr>
            </w:pPr>
          </w:p>
        </w:tc>
      </w:tr>
      <w:tr w14:paraId="3329A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1D2077">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第二节</w:t>
            </w:r>
          </w:p>
          <w:p w14:paraId="325A8255">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13.2</w:t>
            </w:r>
            <w:r>
              <w:rPr>
                <w:rFonts w:hint="eastAsia" w:ascii="宋体" w:hAnsi="宋体" w:eastAsia="宋体" w:cs="Times New Roman"/>
                <w:szCs w:val="21"/>
              </w:rPr>
              <w:t>款</w:t>
            </w:r>
          </w:p>
        </w:tc>
        <w:tc>
          <w:tcPr>
            <w:tcW w:w="1742" w:type="dxa"/>
            <w:vAlign w:val="center"/>
          </w:tcPr>
          <w:p w14:paraId="733D7B1F">
            <w:pPr>
              <w:adjustRightInd w:val="0"/>
              <w:snapToGrid w:val="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履约保证金不予退还的情形</w:t>
            </w:r>
          </w:p>
        </w:tc>
        <w:tc>
          <w:tcPr>
            <w:tcW w:w="5926" w:type="dxa"/>
            <w:vAlign w:val="center"/>
          </w:tcPr>
          <w:p w14:paraId="23B6EFFF">
            <w:pPr>
              <w:adjustRightInd w:val="0"/>
              <w:snapToGrid w:val="0"/>
              <w:jc w:val="left"/>
              <w:rPr>
                <w:rFonts w:ascii="宋体" w:hAnsi="宋体" w:eastAsia="宋体" w:cs="Times New Roman"/>
                <w:szCs w:val="21"/>
              </w:rPr>
            </w:pPr>
          </w:p>
        </w:tc>
      </w:tr>
      <w:tr w14:paraId="25BDD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45B3D88">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第二节</w:t>
            </w:r>
          </w:p>
          <w:p w14:paraId="47F6F40B">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13.3</w:t>
            </w:r>
            <w:r>
              <w:rPr>
                <w:rFonts w:hint="eastAsia" w:ascii="宋体" w:hAnsi="宋体" w:eastAsia="宋体" w:cs="Times New Roman"/>
                <w:szCs w:val="21"/>
              </w:rPr>
              <w:t>款</w:t>
            </w:r>
          </w:p>
        </w:tc>
        <w:tc>
          <w:tcPr>
            <w:tcW w:w="1742" w:type="dxa"/>
            <w:vAlign w:val="center"/>
          </w:tcPr>
          <w:p w14:paraId="5E7DEBA8">
            <w:pPr>
              <w:adjustRightInd w:val="0"/>
              <w:snapToGrid w:val="0"/>
              <w:jc w:val="left"/>
              <w:rPr>
                <w:rFonts w:ascii="宋体" w:hAnsi="宋体" w:eastAsia="宋体" w:cs="Times New Roman"/>
                <w:szCs w:val="21"/>
              </w:rPr>
            </w:pPr>
            <w:r>
              <w:rPr>
                <w:rFonts w:hint="eastAsia" w:ascii="宋体" w:hAnsi="宋体" w:eastAsia="宋体" w:cs="Times New Roman"/>
                <w:szCs w:val="21"/>
              </w:rPr>
              <w:t>履约保证金退还时间及</w:t>
            </w:r>
            <w:r>
              <w:rPr>
                <w:rFonts w:hint="eastAsia" w:ascii="宋体" w:hAnsi="宋体" w:eastAsia="宋体" w:cs="Times New Roman"/>
                <w:szCs w:val="21"/>
                <w:lang w:eastAsia="zh-CN"/>
              </w:rPr>
              <w:t>逾期退还的</w:t>
            </w:r>
            <w:r>
              <w:rPr>
                <w:rFonts w:hint="eastAsia" w:ascii="宋体" w:hAnsi="宋体" w:eastAsia="宋体" w:cs="Times New Roman"/>
                <w:szCs w:val="21"/>
              </w:rPr>
              <w:t>违约金</w:t>
            </w:r>
          </w:p>
        </w:tc>
        <w:tc>
          <w:tcPr>
            <w:tcW w:w="5926" w:type="dxa"/>
            <w:vAlign w:val="center"/>
          </w:tcPr>
          <w:p w14:paraId="7B419402">
            <w:pPr>
              <w:adjustRightInd w:val="0"/>
              <w:snapToGrid w:val="0"/>
              <w:jc w:val="left"/>
              <w:rPr>
                <w:rFonts w:ascii="宋体" w:hAnsi="宋体" w:eastAsia="宋体" w:cs="Times New Roman"/>
                <w:szCs w:val="21"/>
              </w:rPr>
            </w:pPr>
          </w:p>
        </w:tc>
      </w:tr>
      <w:tr w14:paraId="00D00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A27027D">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D6EB164">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3</w:t>
            </w:r>
            <w:r>
              <w:rPr>
                <w:rFonts w:hint="eastAsia" w:ascii="宋体" w:hAnsi="宋体" w:eastAsia="宋体" w:cs="Times New Roman"/>
                <w:szCs w:val="21"/>
              </w:rPr>
              <w:t>）项</w:t>
            </w:r>
          </w:p>
        </w:tc>
        <w:tc>
          <w:tcPr>
            <w:tcW w:w="1742" w:type="dxa"/>
            <w:vAlign w:val="center"/>
          </w:tcPr>
          <w:p w14:paraId="6B0288C8">
            <w:pPr>
              <w:adjustRightInd w:val="0"/>
              <w:snapToGrid w:val="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运行监督、维修期限</w:t>
            </w:r>
          </w:p>
        </w:tc>
        <w:tc>
          <w:tcPr>
            <w:tcW w:w="5926" w:type="dxa"/>
            <w:vAlign w:val="center"/>
          </w:tcPr>
          <w:p w14:paraId="0218114C">
            <w:pPr>
              <w:adjustRightInd w:val="0"/>
              <w:snapToGrid w:val="0"/>
              <w:jc w:val="left"/>
              <w:rPr>
                <w:rFonts w:ascii="宋体" w:hAnsi="宋体" w:eastAsia="宋体" w:cs="Times New Roman"/>
                <w:szCs w:val="21"/>
              </w:rPr>
            </w:pPr>
          </w:p>
        </w:tc>
      </w:tr>
      <w:tr w14:paraId="25FC3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B332A66">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0CF1120">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5</w:t>
            </w:r>
            <w:r>
              <w:rPr>
                <w:rFonts w:hint="eastAsia" w:ascii="宋体" w:hAnsi="宋体" w:eastAsia="宋体" w:cs="Times New Roman"/>
                <w:szCs w:val="21"/>
              </w:rPr>
              <w:t>）项</w:t>
            </w:r>
          </w:p>
        </w:tc>
        <w:tc>
          <w:tcPr>
            <w:tcW w:w="1742" w:type="dxa"/>
            <w:vAlign w:val="center"/>
          </w:tcPr>
          <w:p w14:paraId="1CD41316">
            <w:pPr>
              <w:adjustRightInd w:val="0"/>
              <w:snapToGrid w:val="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货物回收的约定</w:t>
            </w:r>
          </w:p>
        </w:tc>
        <w:tc>
          <w:tcPr>
            <w:tcW w:w="5926" w:type="dxa"/>
            <w:vAlign w:val="center"/>
          </w:tcPr>
          <w:p w14:paraId="66CE9789">
            <w:pPr>
              <w:adjustRightInd w:val="0"/>
              <w:snapToGrid w:val="0"/>
              <w:jc w:val="left"/>
              <w:rPr>
                <w:rFonts w:ascii="宋体" w:hAnsi="宋体" w:eastAsia="宋体" w:cs="Times New Roman"/>
                <w:szCs w:val="21"/>
              </w:rPr>
            </w:pPr>
          </w:p>
        </w:tc>
      </w:tr>
      <w:tr w14:paraId="0D8BD5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F142AA">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0EC5FBE">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4</w:t>
            </w:r>
            <w:r>
              <w:rPr>
                <w:rFonts w:hint="eastAsia" w:ascii="宋体" w:hAnsi="宋体" w:eastAsia="宋体" w:cs="Times New Roman"/>
                <w:szCs w:val="21"/>
              </w:rPr>
              <w:t>.1（</w:t>
            </w:r>
            <w:r>
              <w:rPr>
                <w:rFonts w:hint="eastAsia" w:ascii="宋体" w:hAnsi="宋体" w:eastAsia="宋体" w:cs="Times New Roman"/>
                <w:szCs w:val="21"/>
                <w:lang w:val="en-US" w:eastAsia="zh-CN"/>
              </w:rPr>
              <w:t>6</w:t>
            </w:r>
            <w:r>
              <w:rPr>
                <w:rFonts w:hint="eastAsia" w:ascii="宋体" w:hAnsi="宋体" w:eastAsia="宋体" w:cs="Times New Roman"/>
                <w:szCs w:val="21"/>
              </w:rPr>
              <w:t>）项</w:t>
            </w:r>
          </w:p>
        </w:tc>
        <w:tc>
          <w:tcPr>
            <w:tcW w:w="1742" w:type="dxa"/>
            <w:vAlign w:val="center"/>
          </w:tcPr>
          <w:p w14:paraId="58701BB8">
            <w:pPr>
              <w:adjustRightInd w:val="0"/>
              <w:snapToGrid w:val="0"/>
              <w:jc w:val="left"/>
              <w:rPr>
                <w:rFonts w:ascii="宋体" w:hAnsi="宋体" w:eastAsia="宋体" w:cs="Times New Roman"/>
                <w:szCs w:val="21"/>
              </w:rPr>
            </w:pPr>
            <w:r>
              <w:rPr>
                <w:rFonts w:hint="eastAsia" w:ascii="宋体" w:hAnsi="宋体" w:eastAsia="宋体" w:cs="Times New Roman"/>
                <w:szCs w:val="21"/>
              </w:rPr>
              <w:t>乙方提供的其他服务</w:t>
            </w:r>
          </w:p>
        </w:tc>
        <w:tc>
          <w:tcPr>
            <w:tcW w:w="5926" w:type="dxa"/>
            <w:vAlign w:val="center"/>
          </w:tcPr>
          <w:p w14:paraId="214901DC">
            <w:pPr>
              <w:adjustRightInd w:val="0"/>
              <w:snapToGrid w:val="0"/>
              <w:jc w:val="left"/>
              <w:rPr>
                <w:rFonts w:ascii="宋体" w:hAnsi="宋体" w:eastAsia="宋体" w:cs="Times New Roman"/>
                <w:szCs w:val="21"/>
              </w:rPr>
            </w:pPr>
          </w:p>
        </w:tc>
      </w:tr>
      <w:tr w14:paraId="0A694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714EEB">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189E45A">
            <w:pPr>
              <w:adjustRightInd w:val="0"/>
              <w:snapToGrid w:val="0"/>
              <w:jc w:val="center"/>
              <w:rPr>
                <w:rFonts w:hint="default" w:ascii="宋体" w:hAnsi="宋体" w:eastAsia="宋体" w:cs="Times New Roman"/>
                <w:szCs w:val="21"/>
                <w:lang w:val="en-US" w:eastAsia="zh-CN"/>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1款</w:t>
            </w:r>
          </w:p>
        </w:tc>
        <w:tc>
          <w:tcPr>
            <w:tcW w:w="1742" w:type="dxa"/>
            <w:vAlign w:val="center"/>
          </w:tcPr>
          <w:p w14:paraId="248EF38E">
            <w:pPr>
              <w:adjustRightInd w:val="0"/>
              <w:snapToGrid w:val="0"/>
              <w:jc w:val="left"/>
              <w:rPr>
                <w:rFonts w:hint="eastAsia" w:ascii="宋体" w:hAnsi="宋体" w:eastAsia="宋体" w:cs="Times New Roman"/>
                <w:szCs w:val="21"/>
              </w:rPr>
            </w:pPr>
            <w:r>
              <w:rPr>
                <w:rFonts w:hint="eastAsia" w:ascii="宋体" w:hAnsi="宋体" w:eastAsia="宋体" w:cs="Times New Roman"/>
                <w:color w:val="auto"/>
                <w:szCs w:val="21"/>
                <w:highlight w:val="none"/>
                <w:lang w:eastAsia="zh-CN"/>
              </w:rPr>
              <w:t>修理、重作、更换相关具体规定</w:t>
            </w:r>
          </w:p>
        </w:tc>
        <w:tc>
          <w:tcPr>
            <w:tcW w:w="5926" w:type="dxa"/>
            <w:vAlign w:val="center"/>
          </w:tcPr>
          <w:p w14:paraId="5A50CCF4">
            <w:pPr>
              <w:adjustRightInd w:val="0"/>
              <w:snapToGrid w:val="0"/>
              <w:jc w:val="left"/>
              <w:rPr>
                <w:rFonts w:ascii="宋体" w:hAnsi="宋体" w:eastAsia="宋体" w:cs="Times New Roman"/>
                <w:szCs w:val="21"/>
              </w:rPr>
            </w:pPr>
          </w:p>
        </w:tc>
      </w:tr>
      <w:tr w14:paraId="5C5ED1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21089E">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17FAE4A3">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.2（2）项</w:t>
            </w:r>
          </w:p>
        </w:tc>
        <w:tc>
          <w:tcPr>
            <w:tcW w:w="1742" w:type="dxa"/>
            <w:vAlign w:val="center"/>
          </w:tcPr>
          <w:p w14:paraId="636DA182">
            <w:pPr>
              <w:adjustRightInd w:val="0"/>
              <w:snapToGrid w:val="0"/>
              <w:jc w:val="left"/>
              <w:rPr>
                <w:rFonts w:ascii="宋体" w:hAnsi="宋体" w:eastAsia="宋体" w:cs="Times New Roman"/>
                <w:szCs w:val="21"/>
              </w:rPr>
            </w:pPr>
            <w:r>
              <w:rPr>
                <w:rFonts w:hint="eastAsia" w:ascii="宋体" w:hAnsi="宋体" w:eastAsia="宋体" w:cs="Times New Roman"/>
                <w:szCs w:val="21"/>
              </w:rPr>
              <w:t>迟延交货赔偿费</w:t>
            </w:r>
          </w:p>
        </w:tc>
        <w:tc>
          <w:tcPr>
            <w:tcW w:w="5926" w:type="dxa"/>
            <w:vAlign w:val="center"/>
          </w:tcPr>
          <w:p w14:paraId="3AD56380">
            <w:pPr>
              <w:adjustRightInd w:val="0"/>
              <w:snapToGrid w:val="0"/>
              <w:jc w:val="left"/>
              <w:rPr>
                <w:rFonts w:ascii="宋体" w:hAnsi="宋体" w:eastAsia="宋体" w:cs="Times New Roman"/>
                <w:szCs w:val="21"/>
                <w:u w:val="single"/>
              </w:rPr>
            </w:pPr>
          </w:p>
        </w:tc>
      </w:tr>
      <w:tr w14:paraId="1BCA5E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B9C9EA">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1A41115">
            <w:pPr>
              <w:adjustRightInd w:val="0"/>
              <w:snapToGrid w:val="0"/>
              <w:jc w:val="center"/>
              <w:rPr>
                <w:rFonts w:hint="eastAsia"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3款</w:t>
            </w:r>
          </w:p>
        </w:tc>
        <w:tc>
          <w:tcPr>
            <w:tcW w:w="1742" w:type="dxa"/>
            <w:vAlign w:val="center"/>
          </w:tcPr>
          <w:p w14:paraId="1F71D98F">
            <w:pPr>
              <w:adjustRightInd w:val="0"/>
              <w:snapToGrid w:val="0"/>
              <w:jc w:val="left"/>
              <w:rPr>
                <w:rFonts w:hint="eastAsia" w:ascii="宋体" w:hAnsi="宋体" w:eastAsia="宋体" w:cs="Times New Roman"/>
                <w:szCs w:val="21"/>
              </w:rPr>
            </w:pPr>
            <w:r>
              <w:rPr>
                <w:rFonts w:hint="eastAsia" w:ascii="宋体" w:hAnsi="宋体" w:eastAsia="宋体" w:cs="Times New Roman"/>
                <w:szCs w:val="21"/>
              </w:rPr>
              <w:t>逾期付款利息</w:t>
            </w:r>
          </w:p>
        </w:tc>
        <w:tc>
          <w:tcPr>
            <w:tcW w:w="5926" w:type="dxa"/>
            <w:vAlign w:val="center"/>
          </w:tcPr>
          <w:p w14:paraId="65147C50">
            <w:pPr>
              <w:adjustRightInd w:val="0"/>
              <w:snapToGrid w:val="0"/>
              <w:jc w:val="left"/>
              <w:rPr>
                <w:rFonts w:ascii="宋体" w:hAnsi="宋体" w:eastAsia="宋体" w:cs="Times New Roman"/>
                <w:szCs w:val="21"/>
                <w:u w:val="single"/>
              </w:rPr>
            </w:pPr>
          </w:p>
        </w:tc>
      </w:tr>
      <w:tr w14:paraId="33425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F76D57B">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2427F933">
            <w:pPr>
              <w:adjustRightInd w:val="0"/>
              <w:snapToGrid w:val="0"/>
              <w:jc w:val="center"/>
              <w:rPr>
                <w:rFonts w:ascii="宋体" w:hAnsi="宋体" w:eastAsia="宋体" w:cs="Times New Roman"/>
                <w:szCs w:val="21"/>
              </w:rPr>
            </w:pPr>
            <w:r>
              <w:rPr>
                <w:rFonts w:hint="eastAsia" w:ascii="宋体" w:hAnsi="宋体" w:eastAsia="宋体" w:cs="Times New Roman"/>
                <w:szCs w:val="21"/>
              </w:rPr>
              <w:t>第1</w:t>
            </w:r>
            <w:r>
              <w:rPr>
                <w:rFonts w:hint="eastAsia" w:ascii="宋体" w:hAnsi="宋体" w:eastAsia="宋体" w:cs="Times New Roman"/>
                <w:szCs w:val="21"/>
                <w:lang w:val="en-US" w:eastAsia="zh-CN"/>
              </w:rPr>
              <w:t>5</w:t>
            </w:r>
            <w:r>
              <w:rPr>
                <w:rFonts w:hint="eastAsia" w:ascii="宋体" w:hAnsi="宋体" w:eastAsia="宋体" w:cs="Times New Roman"/>
                <w:szCs w:val="21"/>
              </w:rPr>
              <w:t>.4</w:t>
            </w:r>
            <w:r>
              <w:rPr>
                <w:rFonts w:hint="eastAsia" w:ascii="宋体" w:hAnsi="宋体" w:eastAsia="宋体" w:cs="Times New Roman"/>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28EC673A">
            <w:pPr>
              <w:adjustRightInd w:val="0"/>
              <w:snapToGrid w:val="0"/>
              <w:jc w:val="left"/>
              <w:rPr>
                <w:rFonts w:ascii="宋体" w:hAnsi="宋体" w:eastAsia="宋体" w:cs="Times New Roman"/>
                <w:szCs w:val="21"/>
              </w:rPr>
            </w:pPr>
            <w:r>
              <w:rPr>
                <w:rFonts w:hint="eastAsia" w:ascii="宋体" w:hAnsi="宋体" w:eastAsia="宋体" w:cs="Times New Roman"/>
                <w:szCs w:val="21"/>
              </w:rPr>
              <w:t>其他违约责任</w:t>
            </w:r>
          </w:p>
        </w:tc>
        <w:tc>
          <w:tcPr>
            <w:tcW w:w="5926" w:type="dxa"/>
            <w:tcBorders>
              <w:left w:val="single" w:color="auto" w:sz="2" w:space="0"/>
              <w:bottom w:val="single" w:color="auto" w:sz="2" w:space="0"/>
            </w:tcBorders>
            <w:vAlign w:val="center"/>
          </w:tcPr>
          <w:p w14:paraId="67E23F16">
            <w:pPr>
              <w:adjustRightInd w:val="0"/>
              <w:snapToGrid w:val="0"/>
              <w:jc w:val="left"/>
              <w:rPr>
                <w:rFonts w:ascii="宋体" w:hAnsi="宋体" w:eastAsia="宋体" w:cs="Times New Roman"/>
                <w:szCs w:val="21"/>
                <w:u w:val="single"/>
              </w:rPr>
            </w:pPr>
          </w:p>
        </w:tc>
      </w:tr>
      <w:tr w14:paraId="5A5783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83EFB58">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0007DD2D">
            <w:pPr>
              <w:adjustRightInd w:val="0"/>
              <w:snapToGrid w:val="0"/>
              <w:jc w:val="center"/>
              <w:rPr>
                <w:rFonts w:ascii="宋体" w:hAnsi="宋体" w:eastAsia="宋体" w:cs="Times New Roman"/>
                <w:szCs w:val="21"/>
              </w:rPr>
            </w:pPr>
            <w:r>
              <w:rPr>
                <w:rFonts w:hint="eastAsia" w:ascii="宋体" w:hAnsi="宋体" w:eastAsia="宋体" w:cs="Times New Roman"/>
                <w:szCs w:val="21"/>
              </w:rPr>
              <w:t>第</w:t>
            </w:r>
            <w:r>
              <w:rPr>
                <w:rFonts w:hint="eastAsia" w:ascii="宋体" w:hAnsi="宋体" w:eastAsia="宋体" w:cs="Times New Roman"/>
                <w:szCs w:val="21"/>
                <w:lang w:val="en-US" w:eastAsia="zh-CN"/>
              </w:rPr>
              <w:t>19</w:t>
            </w:r>
            <w:r>
              <w:rPr>
                <w:rFonts w:hint="eastAsia" w:ascii="宋体" w:hAnsi="宋体" w:eastAsia="宋体" w:cs="Times New Roman"/>
                <w:szCs w:val="21"/>
              </w:rPr>
              <w:t>.2</w:t>
            </w:r>
            <w:r>
              <w:rPr>
                <w:rFonts w:hint="eastAsia" w:ascii="宋体" w:hAnsi="宋体" w:eastAsia="宋体" w:cs="Times New Roman"/>
                <w:szCs w:val="21"/>
                <w:lang w:val="en-US" w:eastAsia="zh-CN"/>
              </w:rPr>
              <w:t>款</w:t>
            </w:r>
          </w:p>
        </w:tc>
        <w:tc>
          <w:tcPr>
            <w:tcW w:w="1742" w:type="dxa"/>
            <w:tcBorders>
              <w:top w:val="single" w:color="auto" w:sz="2" w:space="0"/>
              <w:left w:val="single" w:color="auto" w:sz="2" w:space="0"/>
              <w:right w:val="single" w:color="auto" w:sz="2" w:space="0"/>
            </w:tcBorders>
            <w:vAlign w:val="center"/>
          </w:tcPr>
          <w:p w14:paraId="220D7316">
            <w:pPr>
              <w:adjustRightInd w:val="0"/>
              <w:snapToGrid w:val="0"/>
              <w:jc w:val="left"/>
              <w:rPr>
                <w:rFonts w:ascii="宋体" w:hAnsi="宋体" w:eastAsia="宋体" w:cs="Times New Roman"/>
                <w:szCs w:val="21"/>
              </w:rPr>
            </w:pPr>
            <w:r>
              <w:rPr>
                <w:rFonts w:hint="eastAsia" w:ascii="宋体" w:hAnsi="宋体" w:eastAsia="宋体" w:cs="Times New Roman"/>
                <w:szCs w:val="21"/>
                <w:lang w:val="en-US" w:eastAsia="zh-CN"/>
              </w:rPr>
              <w:t>解决争议的方法</w:t>
            </w:r>
          </w:p>
        </w:tc>
        <w:tc>
          <w:tcPr>
            <w:tcW w:w="5926" w:type="dxa"/>
            <w:tcBorders>
              <w:top w:val="single" w:color="auto" w:sz="2" w:space="0"/>
              <w:left w:val="single" w:color="auto" w:sz="2" w:space="0"/>
            </w:tcBorders>
            <w:vAlign w:val="center"/>
          </w:tcPr>
          <w:p w14:paraId="7FE4C9A5">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92EADAE">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613F948D">
            <w:pPr>
              <w:adjustRightInd w:val="0"/>
              <w:snapToGrid w:val="0"/>
              <w:ind w:firstLine="0" w:firstLineChars="0"/>
              <w:jc w:val="left"/>
              <w:rPr>
                <w:rFonts w:ascii="宋体" w:hAnsi="宋体" w:eastAsia="宋体" w:cs="Times New Roman"/>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6F2E2C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2722123">
            <w:pPr>
              <w:adjustRightInd w:val="0"/>
              <w:snapToGrid w:val="0"/>
              <w:jc w:val="center"/>
              <w:rPr>
                <w:rFonts w:ascii="宋体" w:hAnsi="宋体" w:eastAsia="宋体" w:cs="Times New Roman"/>
                <w:szCs w:val="21"/>
              </w:rPr>
            </w:pPr>
            <w:r>
              <w:rPr>
                <w:rFonts w:hint="eastAsia" w:ascii="宋体" w:hAnsi="宋体" w:eastAsia="宋体" w:cs="Times New Roman"/>
                <w:szCs w:val="21"/>
              </w:rPr>
              <w:t>第二节</w:t>
            </w:r>
          </w:p>
          <w:p w14:paraId="76C2F813">
            <w:pPr>
              <w:adjustRightInd w:val="0"/>
              <w:snapToGrid w:val="0"/>
              <w:jc w:val="center"/>
              <w:rPr>
                <w:rFonts w:ascii="宋体" w:hAnsi="宋体" w:eastAsia="宋体" w:cs="Times New Roman"/>
                <w:szCs w:val="21"/>
              </w:rPr>
            </w:pPr>
            <w:r>
              <w:rPr>
                <w:rFonts w:hint="eastAsia" w:ascii="宋体" w:hAnsi="宋体" w:eastAsia="宋体" w:cs="Times New Roman"/>
                <w:szCs w:val="21"/>
              </w:rPr>
              <w:t>第2</w:t>
            </w:r>
            <w:r>
              <w:rPr>
                <w:rFonts w:hint="eastAsia" w:ascii="宋体" w:hAnsi="宋体" w:eastAsia="宋体" w:cs="Times New Roman"/>
                <w:szCs w:val="21"/>
                <w:lang w:val="en-US" w:eastAsia="zh-CN"/>
              </w:rPr>
              <w:t>3.1</w:t>
            </w:r>
            <w:r>
              <w:rPr>
                <w:rFonts w:hint="eastAsia" w:ascii="宋体" w:hAnsi="宋体" w:eastAsia="宋体" w:cs="Times New Roman"/>
                <w:szCs w:val="21"/>
                <w:lang w:eastAsia="zh-CN"/>
              </w:rPr>
              <w:t>款</w:t>
            </w:r>
          </w:p>
        </w:tc>
        <w:tc>
          <w:tcPr>
            <w:tcW w:w="1742" w:type="dxa"/>
            <w:vAlign w:val="center"/>
          </w:tcPr>
          <w:p w14:paraId="59567EE3">
            <w:pPr>
              <w:adjustRightInd w:val="0"/>
              <w:snapToGrid w:val="0"/>
              <w:jc w:val="left"/>
              <w:rPr>
                <w:rFonts w:ascii="宋体" w:hAnsi="宋体" w:eastAsia="宋体" w:cs="Times New Roman"/>
                <w:szCs w:val="21"/>
              </w:rPr>
            </w:pPr>
            <w:r>
              <w:rPr>
                <w:rFonts w:hint="eastAsia" w:ascii="宋体" w:hAnsi="宋体" w:eastAsia="宋体" w:cs="Times New Roman"/>
                <w:bCs/>
                <w:color w:val="auto"/>
                <w:szCs w:val="21"/>
                <w:highlight w:val="none"/>
                <w:lang w:eastAsia="zh-CN"/>
              </w:rPr>
              <w:t>其他专用条款</w:t>
            </w:r>
          </w:p>
        </w:tc>
        <w:tc>
          <w:tcPr>
            <w:tcW w:w="5926" w:type="dxa"/>
            <w:vAlign w:val="center"/>
          </w:tcPr>
          <w:p w14:paraId="08197744">
            <w:pPr>
              <w:adjustRightInd w:val="0"/>
              <w:snapToGrid w:val="0"/>
              <w:jc w:val="left"/>
              <w:rPr>
                <w:rFonts w:hint="default" w:ascii="宋体" w:hAnsi="宋体" w:eastAsia="宋体" w:cs="Times New Roman"/>
                <w:szCs w:val="21"/>
                <w:lang w:val="en-US" w:eastAsia="zh-CN"/>
              </w:rPr>
            </w:pPr>
          </w:p>
        </w:tc>
      </w:tr>
    </w:tbl>
    <w:p w14:paraId="02806044">
      <w:pPr>
        <w:pStyle w:val="2"/>
        <w:ind w:left="0" w:leftChars="0" w:firstLine="0" w:firstLineChars="0"/>
        <w:rPr>
          <w:rFonts w:hint="eastAsia" w:asciiTheme="minorEastAsia" w:hAnsiTheme="minorEastAsia" w:eastAsiaTheme="minorEastAsia" w:cstheme="minorEastAsia"/>
          <w:sz w:val="24"/>
          <w:szCs w:val="24"/>
          <w:lang w:eastAsia="zh-CN"/>
        </w:rPr>
        <w:sectPr>
          <w:headerReference r:id="rId3" w:type="default"/>
          <w:footerReference r:id="rId4" w:type="default"/>
          <w:pgSz w:w="11905" w:h="16838"/>
          <w:pgMar w:top="1134" w:right="1134" w:bottom="1417" w:left="1417" w:header="850" w:footer="992" w:gutter="0"/>
          <w:pgBorders w:offsetFrom="page">
            <w:top w:val="none" w:sz="0" w:space="0"/>
            <w:left w:val="none" w:sz="0" w:space="0"/>
            <w:bottom w:val="none" w:sz="0" w:space="0"/>
            <w:right w:val="none" w:sz="0" w:space="0"/>
          </w:pgBorders>
          <w:pgNumType w:fmt="decimal" w:start="1"/>
          <w:cols w:space="720" w:num="1"/>
          <w:docGrid w:linePitch="312" w:charSpace="0"/>
        </w:sectPr>
      </w:pPr>
    </w:p>
    <w:p w14:paraId="53578CD0">
      <w:pPr>
        <w:keepNext w:val="0"/>
        <w:keepLines w:val="0"/>
        <w:pageBreakBefore w:val="0"/>
        <w:widowControl w:val="0"/>
        <w:kinsoku/>
        <w:wordWrap/>
        <w:topLinePunct w:val="0"/>
        <w:bidi w:val="0"/>
        <w:spacing w:line="360" w:lineRule="auto"/>
        <w:jc w:val="both"/>
        <w:rPr>
          <w:rFonts w:hint="eastAsia" w:ascii="宋体" w:hAnsi="宋体" w:eastAsia="宋体" w:cs="宋体"/>
          <w:sz w:val="24"/>
          <w:szCs w:val="24"/>
          <w:lang w:val="en-US" w:eastAsia="zh-CN"/>
        </w:rPr>
      </w:pPr>
    </w:p>
    <w:p w14:paraId="44F5B67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28"/>
          <w:szCs w:val="28"/>
          <w:lang w:val="en-US" w:eastAsia="zh-CN"/>
        </w:rPr>
      </w:pPr>
      <w:bookmarkStart w:id="9" w:name="_Toc18352"/>
      <w:r>
        <w:rPr>
          <w:rFonts w:hint="eastAsia" w:ascii="宋体" w:hAnsi="宋体" w:eastAsia="宋体" w:cs="宋体"/>
          <w:sz w:val="28"/>
          <w:szCs w:val="28"/>
          <w:lang w:val="en-US" w:eastAsia="zh-CN"/>
        </w:rPr>
        <w:t>第五章  响应文件格式</w:t>
      </w:r>
      <w:bookmarkEnd w:id="9"/>
    </w:p>
    <w:p w14:paraId="33522BA3">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响应文件封面</w:t>
      </w:r>
    </w:p>
    <w:p w14:paraId="40DA9C8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224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（项目名称）</w:t>
      </w:r>
    </w:p>
    <w:p w14:paraId="0089A6F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both"/>
        <w:textAlignment w:val="auto"/>
        <w:rPr>
          <w:rFonts w:hint="eastAsia" w:ascii="宋体" w:hAnsi="宋体" w:eastAsia="宋体" w:cs="宋体"/>
          <w:sz w:val="24"/>
          <w:szCs w:val="24"/>
          <w:lang w:val="en-US" w:eastAsia="zh-CN"/>
        </w:rPr>
      </w:pPr>
    </w:p>
    <w:p w14:paraId="7AC9A6E4">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响应文件</w:t>
      </w:r>
    </w:p>
    <w:p w14:paraId="45A8B82B">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p>
    <w:p w14:paraId="15E9678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491E7CAD">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3A07BD05">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w:t>
      </w:r>
      <w:r>
        <w:rPr>
          <w:rFonts w:hint="eastAsia" w:ascii="宋体" w:hAnsi="宋体" w:eastAsia="宋体" w:cs="宋体"/>
          <w:sz w:val="28"/>
          <w:szCs w:val="28"/>
          <w:u w:val="single"/>
          <w:lang w:val="en-US" w:eastAsia="zh-CN"/>
        </w:rPr>
        <w:t xml:space="preserve">             </w:t>
      </w:r>
      <w:r>
        <w:rPr>
          <w:rFonts w:hint="eastAsia" w:ascii="宋体" w:hAnsi="宋体" w:eastAsia="宋体" w:cs="宋体"/>
          <w:sz w:val="24"/>
          <w:szCs w:val="24"/>
          <w:lang w:val="en-US" w:eastAsia="zh-CN"/>
        </w:rPr>
        <w:t>（电子章）</w:t>
      </w:r>
    </w:p>
    <w:p w14:paraId="1F69A509">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0E41138">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p w14:paraId="7066DB61">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04CA51CA">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p>
    <w:p w14:paraId="36F95644">
      <w:pPr>
        <w:keepNext w:val="0"/>
        <w:keepLines w:val="0"/>
        <w:pageBreakBefore w:val="0"/>
        <w:widowControl w:val="0"/>
        <w:numPr>
          <w:ilvl w:val="0"/>
          <w:numId w:val="0"/>
        </w:numPr>
        <w:kinsoku/>
        <w:wordWrap/>
        <w:overflowPunct/>
        <w:topLinePunct w:val="0"/>
        <w:autoSpaceDE/>
        <w:autoSpaceDN/>
        <w:bidi w:val="0"/>
        <w:adjustRightInd/>
        <w:snapToGrid/>
        <w:spacing w:line="720" w:lineRule="auto"/>
        <w:ind w:firstLine="1800" w:firstLineChars="750"/>
        <w:jc w:val="left"/>
        <w:textAlignment w:val="auto"/>
        <w:rPr>
          <w:rFonts w:hint="eastAsia" w:ascii="宋体" w:hAnsi="宋体" w:eastAsia="宋体" w:cs="宋体"/>
          <w:sz w:val="24"/>
          <w:szCs w:val="24"/>
          <w:lang w:val="en-US" w:eastAsia="zh-CN"/>
        </w:rPr>
      </w:pPr>
    </w:p>
    <w:p w14:paraId="4187B39D">
      <w:pPr>
        <w:keepNext w:val="0"/>
        <w:keepLines w:val="0"/>
        <w:pageBreakBefore w:val="0"/>
        <w:widowControl w:val="0"/>
        <w:numPr>
          <w:ilvl w:val="0"/>
          <w:numId w:val="0"/>
        </w:numPr>
        <w:kinsoku/>
        <w:wordWrap/>
        <w:overflowPunct/>
        <w:topLinePunct w:val="0"/>
        <w:autoSpaceDE/>
        <w:autoSpaceDN/>
        <w:bidi w:val="0"/>
        <w:adjustRightInd/>
        <w:snapToGrid/>
        <w:spacing w:line="72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4E149F87">
      <w:pPr>
        <w:rPr>
          <w:rFonts w:hint="eastAsia" w:ascii="宋体" w:hAnsi="宋体" w:eastAsia="宋体" w:cs="宋体"/>
          <w:sz w:val="24"/>
          <w:szCs w:val="24"/>
          <w:lang w:val="en-US" w:eastAsia="zh-CN"/>
        </w:rPr>
      </w:pPr>
    </w:p>
    <w:p w14:paraId="01F98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一、资格证明文件</w:t>
      </w:r>
    </w:p>
    <w:p w14:paraId="029741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（一）供应商资格声明</w:t>
      </w:r>
    </w:p>
    <w:p w14:paraId="7E4385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1．供应商概况：</w:t>
      </w:r>
    </w:p>
    <w:p w14:paraId="0E474C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51629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注册地址：</w:t>
      </w:r>
      <w:r>
        <w:rPr>
          <w:rFonts w:hint="eastAsia" w:ascii="宋体" w:hAnsi="宋体" w:eastAsia="宋体" w:cs="宋体"/>
          <w:i/>
          <w:iCs/>
          <w:sz w:val="24"/>
          <w:szCs w:val="24"/>
          <w:u w:val="single"/>
          <w:lang w:val="en-US" w:eastAsia="zh-CN"/>
        </w:rPr>
        <w:t xml:space="preserve">                               </w:t>
      </w:r>
    </w:p>
    <w:p w14:paraId="109DE4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电话：</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邮编：</w:t>
      </w:r>
      <w:r>
        <w:rPr>
          <w:rFonts w:hint="eastAsia" w:ascii="宋体" w:hAnsi="宋体" w:eastAsia="宋体" w:cs="宋体"/>
          <w:i/>
          <w:iCs/>
          <w:sz w:val="24"/>
          <w:szCs w:val="24"/>
          <w:u w:val="single"/>
          <w:lang w:val="en-US" w:eastAsia="zh-CN"/>
        </w:rPr>
        <w:t xml:space="preserve">        </w:t>
      </w:r>
    </w:p>
    <w:p w14:paraId="3FF0A0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成立或注册日期：</w:t>
      </w:r>
      <w:r>
        <w:rPr>
          <w:rFonts w:hint="eastAsia" w:ascii="宋体" w:hAnsi="宋体" w:eastAsia="宋体" w:cs="宋体"/>
          <w:i/>
          <w:iCs/>
          <w:sz w:val="24"/>
          <w:szCs w:val="24"/>
          <w:u w:val="single"/>
          <w:lang w:val="en-US" w:eastAsia="zh-CN"/>
        </w:rPr>
        <w:t xml:space="preserve">                        </w:t>
      </w:r>
    </w:p>
    <w:p w14:paraId="11337D8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（姓名、职务）</w:t>
      </w:r>
    </w:p>
    <w:p w14:paraId="60F9DF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2．我方在此声明，我方具备并满足下列各项条款的规定。本声明如有虚假或不实之处，我方将失去合格供应商资格且我方的磋商保证金将不予退还。</w:t>
      </w:r>
    </w:p>
    <w:p w14:paraId="1FEE54B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（1）具有独立承担民事责任的能力；</w:t>
      </w:r>
    </w:p>
    <w:p w14:paraId="3E782E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（2）具有良好的商业信誉和健全的财务会计制度；</w:t>
      </w:r>
    </w:p>
    <w:p w14:paraId="0D8D45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（3）具有履行合同所必需的设备和专业技术能力；</w:t>
      </w:r>
    </w:p>
    <w:p w14:paraId="06130D6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（4）有依法缴纳税收的良好记录；</w:t>
      </w:r>
    </w:p>
    <w:p w14:paraId="35C8D6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（5）近三年内，在经营活动中没有重大违法记录。</w:t>
      </w:r>
    </w:p>
    <w:p w14:paraId="783BEC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就我方全部所知，兹证明上述声明是真实、正确的，并已提供了全部现有资料和数据，我方同意根据贵方要求出示文件予以证实。</w:t>
      </w:r>
    </w:p>
    <w:p w14:paraId="329704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89419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180732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130D2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2F9E97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（二）法定代表人身份证明</w:t>
      </w:r>
    </w:p>
    <w:p w14:paraId="15EE43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38CEFD6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0ED395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6EFAB9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563030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59B789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5D46759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A402C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w:t>
      </w:r>
    </w:p>
    <w:p w14:paraId="3B86DE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347C49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附：法定代表人身份证复印件双面</w:t>
      </w:r>
    </w:p>
    <w:p w14:paraId="7B0450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8E2A2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3ADD5E3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E0D90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（三）法定代表人授权委托书</w:t>
      </w:r>
    </w:p>
    <w:p w14:paraId="48E75FC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本授权委托书声明：我</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供应商名称）的法定代表人，现授权委托</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姓名）为我公司本次磋商活动的授权代表，参加（采购人）的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项目的磋商活动。授权代表在磋商、合同签订过程中所签署的一切文件和处理与之有关的一切事务，我均予以承认。</w:t>
      </w:r>
    </w:p>
    <w:p w14:paraId="10A2947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授权代表无转委托权。特此委托。</w:t>
      </w:r>
    </w:p>
    <w:p w14:paraId="0E10DC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43A472F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部门：</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w:t>
      </w:r>
    </w:p>
    <w:p w14:paraId="42C3784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附：授权代表身份证复印件双面</w:t>
      </w:r>
    </w:p>
    <w:p w14:paraId="5D50B34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7B94C30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法定代表人（电子章）：</w:t>
      </w:r>
    </w:p>
    <w:p w14:paraId="674D36B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B63661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95324B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w:t>
      </w:r>
      <w:r>
        <w:rPr>
          <w:rFonts w:hint="default" w:ascii="宋体" w:hAnsi="宋体" w:eastAsia="宋体" w:cs="宋体"/>
          <w:sz w:val="24"/>
          <w:szCs w:val="24"/>
          <w:lang w:val="en-US" w:eastAsia="zh-CN"/>
        </w:rPr>
        <w:t>具有独立承担民事责任的能力</w:t>
      </w:r>
    </w:p>
    <w:p w14:paraId="73A3BD6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提供合法有效的法人营业执照</w:t>
      </w:r>
    </w:p>
    <w:p w14:paraId="1093EA6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BAE47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default" w:ascii="宋体" w:hAnsi="宋体" w:eastAsia="宋体" w:cs="宋体"/>
          <w:sz w:val="24"/>
          <w:szCs w:val="24"/>
          <w:lang w:val="en-US" w:eastAsia="zh-CN"/>
        </w:rPr>
        <w:t>具有良好的商业信誉和健全的财务会计制度</w:t>
      </w:r>
    </w:p>
    <w:p w14:paraId="7E9BE95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提供202</w:t>
      </w:r>
      <w:r>
        <w:rPr>
          <w:rFonts w:hint="eastAsia" w:ascii="宋体" w:hAnsi="宋体" w:eastAsia="宋体" w:cs="宋体"/>
          <w:b/>
          <w:bCs/>
          <w:sz w:val="24"/>
          <w:szCs w:val="24"/>
          <w:lang w:val="en-US" w:eastAsia="zh-CN"/>
        </w:rPr>
        <w:t>4</w:t>
      </w:r>
      <w:r>
        <w:rPr>
          <w:rFonts w:hint="default" w:ascii="宋体" w:hAnsi="宋体" w:eastAsia="宋体" w:cs="宋体"/>
          <w:b/>
          <w:bCs/>
          <w:sz w:val="24"/>
          <w:szCs w:val="24"/>
          <w:lang w:val="en-US" w:eastAsia="zh-CN"/>
        </w:rPr>
        <w:t>年度财务审计报告，包括资产负债表、现金流量表、损益表（利润表）和财务情况说明书，成立不足一年的提供成立至今的财务报表或银行资信证明</w:t>
      </w:r>
    </w:p>
    <w:p w14:paraId="241DCE0D">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74980D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（六）</w:t>
      </w:r>
      <w:r>
        <w:rPr>
          <w:rFonts w:hint="default" w:ascii="宋体" w:hAnsi="宋体" w:eastAsia="宋体" w:cs="宋体"/>
          <w:sz w:val="24"/>
          <w:szCs w:val="24"/>
          <w:lang w:val="en-US" w:eastAsia="zh-CN"/>
        </w:rPr>
        <w:t>具有履行合同所必需的设备和专业技术能力</w:t>
      </w:r>
    </w:p>
    <w:p w14:paraId="03B9C1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根据项目需求提供履行合同所必需的设备和专业技术能力的证明材料或加盖单位</w:t>
      </w:r>
      <w:r>
        <w:rPr>
          <w:rFonts w:hint="eastAsia" w:ascii="宋体" w:hAnsi="宋体" w:eastAsia="宋体" w:cs="宋体"/>
          <w:b/>
          <w:bCs/>
          <w:sz w:val="24"/>
          <w:szCs w:val="24"/>
          <w:lang w:val="en-US" w:eastAsia="zh-CN"/>
        </w:rPr>
        <w:t>电子</w:t>
      </w:r>
      <w:r>
        <w:rPr>
          <w:rFonts w:hint="default" w:ascii="宋体" w:hAnsi="宋体" w:eastAsia="宋体" w:cs="宋体"/>
          <w:b/>
          <w:bCs/>
          <w:sz w:val="24"/>
          <w:szCs w:val="24"/>
          <w:lang w:val="en-US" w:eastAsia="zh-CN"/>
        </w:rPr>
        <w:t>章的书面承诺函</w:t>
      </w:r>
    </w:p>
    <w:p w14:paraId="7E093B7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2DD0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w:t>
      </w:r>
      <w:r>
        <w:rPr>
          <w:rFonts w:hint="default" w:ascii="宋体" w:hAnsi="宋体" w:eastAsia="宋体" w:cs="宋体"/>
          <w:sz w:val="24"/>
          <w:szCs w:val="24"/>
          <w:lang w:val="en-US" w:eastAsia="zh-CN"/>
        </w:rPr>
        <w:t>有依法缴纳税收和社会保障资金的良好记录</w:t>
      </w:r>
    </w:p>
    <w:p w14:paraId="452DD6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提供供应商近半年内任意一个月的依法缴纳税收和社会保障资金的相关材料</w:t>
      </w:r>
      <w:r>
        <w:rPr>
          <w:rFonts w:hint="eastAsia" w:ascii="宋体" w:hAnsi="宋体" w:eastAsia="宋体" w:cs="宋体"/>
          <w:b/>
          <w:bCs/>
          <w:sz w:val="24"/>
          <w:szCs w:val="24"/>
          <w:lang w:val="en-US" w:eastAsia="zh-CN"/>
        </w:rPr>
        <w:t>；</w:t>
      </w:r>
      <w:r>
        <w:rPr>
          <w:rFonts w:hint="default" w:ascii="宋体" w:hAnsi="宋体" w:eastAsia="宋体" w:cs="宋体"/>
          <w:b/>
          <w:bCs/>
          <w:sz w:val="24"/>
          <w:szCs w:val="24"/>
          <w:lang w:val="en-US" w:eastAsia="zh-CN"/>
        </w:rPr>
        <w:t>如小微企业按季度纳税的提供近半年内任意一个季度的纳税证明</w:t>
      </w:r>
    </w:p>
    <w:p w14:paraId="3EB78A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注：①若为零申报企业，需提供无欠税证明或国家税务总局电子税务局“申报结果查询截图”；②“税种”非社会保险。</w:t>
      </w:r>
    </w:p>
    <w:p w14:paraId="13B9B003">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101825F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（八）</w:t>
      </w:r>
      <w:r>
        <w:rPr>
          <w:rFonts w:hint="default" w:ascii="宋体" w:hAnsi="宋体" w:eastAsia="宋体" w:cs="宋体"/>
          <w:sz w:val="24"/>
          <w:szCs w:val="24"/>
          <w:lang w:val="en-US" w:eastAsia="zh-CN"/>
        </w:rPr>
        <w:t>参加政府采购活动前三年内，在经营活动中没有重大违法记录</w:t>
      </w:r>
    </w:p>
    <w:p w14:paraId="1DF4294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提供参加本次政府采购活动前3年内在经营活动中没有重大违法记录承诺函</w:t>
      </w:r>
    </w:p>
    <w:p w14:paraId="7191906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B8CCBD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（九）</w:t>
      </w:r>
      <w:r>
        <w:rPr>
          <w:rFonts w:hint="default" w:ascii="宋体" w:hAnsi="宋体" w:eastAsia="宋体" w:cs="宋体"/>
          <w:sz w:val="24"/>
          <w:szCs w:val="24"/>
          <w:lang w:val="en-US" w:eastAsia="zh-CN"/>
        </w:rPr>
        <w:t>具有设备采购配套、安装（包含土建）及售后服务和技术支持能力</w:t>
      </w:r>
    </w:p>
    <w:p w14:paraId="6FBE31E6">
      <w:pPr>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提供承诺书，格式自拟</w:t>
      </w:r>
    </w:p>
    <w:p w14:paraId="0E0496A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6665E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w:t>
      </w:r>
      <w:r>
        <w:rPr>
          <w:rFonts w:hint="eastAsia" w:ascii="宋体" w:hAnsi="宋体" w:eastAsia="宋体" w:cs="宋体"/>
          <w:sz w:val="24"/>
          <w:szCs w:val="24"/>
          <w:vertAlign w:val="baseline"/>
          <w:lang w:eastAsia="zh-CN"/>
        </w:rPr>
        <w:t>项目负责人为本单位人员，需提供近6个月（2025年</w:t>
      </w:r>
      <w:r>
        <w:rPr>
          <w:rFonts w:hint="eastAsia" w:ascii="宋体" w:hAnsi="宋体" w:eastAsia="宋体" w:cs="宋体"/>
          <w:sz w:val="24"/>
          <w:szCs w:val="24"/>
          <w:vertAlign w:val="baseline"/>
          <w:lang w:val="en-US" w:eastAsia="zh-CN"/>
        </w:rPr>
        <w:t>10</w:t>
      </w:r>
      <w:r>
        <w:rPr>
          <w:rFonts w:hint="eastAsia" w:ascii="宋体" w:hAnsi="宋体" w:eastAsia="宋体" w:cs="宋体"/>
          <w:sz w:val="24"/>
          <w:szCs w:val="24"/>
          <w:vertAlign w:val="baseline"/>
          <w:lang w:eastAsia="zh-CN"/>
        </w:rPr>
        <w:t>月至2026年</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lang w:eastAsia="zh-CN"/>
        </w:rPr>
        <w:t>月）社保证明</w:t>
      </w:r>
    </w:p>
    <w:p w14:paraId="7E6A55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提供</w:t>
      </w:r>
      <w:r>
        <w:rPr>
          <w:rFonts w:hint="default" w:ascii="宋体" w:hAnsi="宋体" w:eastAsia="宋体" w:cs="宋体"/>
          <w:b/>
          <w:bCs/>
          <w:sz w:val="24"/>
          <w:szCs w:val="24"/>
          <w:lang w:val="en-US" w:eastAsia="zh-CN"/>
        </w:rPr>
        <w:t>项目</w:t>
      </w:r>
      <w:r>
        <w:rPr>
          <w:rFonts w:hint="eastAsia" w:ascii="宋体" w:hAnsi="宋体" w:eastAsia="宋体" w:cs="宋体"/>
          <w:b/>
          <w:bCs/>
          <w:sz w:val="24"/>
          <w:szCs w:val="24"/>
          <w:lang w:val="en-US" w:eastAsia="zh-CN"/>
        </w:rPr>
        <w:t>负责人</w:t>
      </w:r>
      <w:r>
        <w:rPr>
          <w:rFonts w:hint="default" w:ascii="宋体" w:hAnsi="宋体" w:eastAsia="宋体" w:cs="宋体"/>
          <w:b/>
          <w:bCs/>
          <w:sz w:val="24"/>
          <w:szCs w:val="24"/>
          <w:lang w:val="en-US" w:eastAsia="zh-CN"/>
        </w:rPr>
        <w:t>身份证、职称证</w:t>
      </w:r>
      <w:r>
        <w:rPr>
          <w:rFonts w:hint="eastAsia" w:ascii="宋体" w:hAnsi="宋体" w:eastAsia="宋体" w:cs="宋体"/>
          <w:b/>
          <w:bCs/>
          <w:sz w:val="24"/>
          <w:szCs w:val="24"/>
          <w:lang w:val="en-US" w:eastAsia="zh-CN"/>
        </w:rPr>
        <w:t>（如有）</w:t>
      </w:r>
      <w:r>
        <w:rPr>
          <w:rFonts w:hint="default" w:ascii="宋体" w:hAnsi="宋体" w:eastAsia="宋体" w:cs="宋体"/>
          <w:b/>
          <w:bCs/>
          <w:sz w:val="24"/>
          <w:szCs w:val="24"/>
          <w:lang w:val="en-US" w:eastAsia="zh-CN"/>
        </w:rPr>
        <w:t>、社会保险证明</w:t>
      </w:r>
      <w:r>
        <w:rPr>
          <w:rFonts w:hint="eastAsia" w:ascii="宋体" w:hAnsi="宋体" w:eastAsia="宋体" w:cs="宋体"/>
          <w:b/>
          <w:bCs/>
          <w:sz w:val="24"/>
          <w:szCs w:val="24"/>
          <w:lang w:val="en-US" w:eastAsia="zh-CN"/>
        </w:rPr>
        <w:t>（近6个月社保缴纳证明材料）</w:t>
      </w:r>
    </w:p>
    <w:p w14:paraId="2291F3C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F296C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（十一）</w:t>
      </w:r>
      <w:r>
        <w:rPr>
          <w:rFonts w:hint="default" w:ascii="宋体" w:hAnsi="宋体" w:eastAsia="宋体" w:cs="宋体"/>
          <w:sz w:val="24"/>
          <w:szCs w:val="24"/>
          <w:lang w:val="en-US" w:eastAsia="zh-CN"/>
        </w:rPr>
        <w:t>凡拟参加本次采购项目的供应商，未被“信用中国</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www.creditchina.gov.cn</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”网站列入“失信被执行人、重大税收违法失信主体”；未被“中国政府采购网</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www.ccgp.gov.cn</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”列入“政府采购严重违法失信行为信息记录名单”（尚在处罚期内的），将拒绝其参加本次采购活动</w:t>
      </w:r>
    </w:p>
    <w:p w14:paraId="1D995F9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提供</w:t>
      </w:r>
      <w:r>
        <w:rPr>
          <w:rFonts w:hint="eastAsia" w:ascii="宋体" w:hAnsi="宋体" w:eastAsia="宋体" w:cs="宋体"/>
          <w:b/>
          <w:bCs/>
          <w:sz w:val="24"/>
          <w:szCs w:val="24"/>
          <w:lang w:val="en-US" w:eastAsia="zh-CN"/>
        </w:rPr>
        <w:t>相关</w:t>
      </w:r>
      <w:r>
        <w:rPr>
          <w:rFonts w:hint="default" w:ascii="宋体" w:hAnsi="宋体" w:eastAsia="宋体" w:cs="宋体"/>
          <w:b/>
          <w:bCs/>
          <w:sz w:val="24"/>
          <w:szCs w:val="24"/>
          <w:lang w:val="en-US" w:eastAsia="zh-CN"/>
        </w:rPr>
        <w:t>网页截图</w:t>
      </w:r>
    </w:p>
    <w:p w14:paraId="1168BFCF">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62C47E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（十二）</w:t>
      </w:r>
      <w:r>
        <w:rPr>
          <w:rFonts w:hint="default" w:ascii="宋体" w:hAnsi="宋体" w:eastAsia="宋体" w:cs="宋体"/>
          <w:sz w:val="24"/>
          <w:szCs w:val="24"/>
          <w:lang w:val="en-US" w:eastAsia="zh-CN"/>
        </w:rPr>
        <w:t>磋商保证金缴纳凭证或电子保函的缴纳凭证</w:t>
      </w:r>
    </w:p>
    <w:p w14:paraId="2B2CFA7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04C7774">
      <w:pPr>
        <w:spacing w:line="480" w:lineRule="auto"/>
        <w:jc w:val="center"/>
        <w:rPr>
          <w:rFonts w:hint="eastAsia" w:ascii="宋体" w:hAnsi="宋体" w:eastAsia="宋体" w:cs="宋体"/>
          <w:sz w:val="24"/>
          <w:highlight w:val="none"/>
          <w:lang w:val="en-US" w:eastAsia="zh-CN"/>
        </w:rPr>
      </w:pPr>
      <w:r>
        <w:rPr>
          <w:rFonts w:hint="eastAsia" w:ascii="宋体" w:hAnsi="宋体" w:eastAsia="宋体" w:cs="宋体"/>
          <w:sz w:val="24"/>
          <w:szCs w:val="24"/>
          <w:lang w:val="en-US" w:eastAsia="zh-CN"/>
        </w:rPr>
        <w:t>（十三）</w:t>
      </w:r>
      <w:r>
        <w:rPr>
          <w:rFonts w:hint="eastAsia" w:ascii="宋体" w:hAnsi="宋体" w:eastAsia="宋体" w:cs="宋体"/>
          <w:sz w:val="24"/>
          <w:highlight w:val="none"/>
          <w:lang w:val="en-US" w:eastAsia="zh-CN"/>
        </w:rPr>
        <w:t>中、小企业声明函（货物）</w:t>
      </w:r>
    </w:p>
    <w:p w14:paraId="3B38D9B7">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rPr>
      </w:pPr>
      <w:r>
        <w:rPr>
          <w:rFonts w:hint="eastAsia" w:ascii="仿宋" w:hAnsi="仿宋" w:eastAsia="仿宋" w:cs="仿宋"/>
        </w:rPr>
        <w:t xml:space="preserve">    </w:t>
      </w:r>
      <w:r>
        <w:rPr>
          <w:rFonts w:hint="eastAsia" w:asciiTheme="minorEastAsia" w:hAnsiTheme="minorEastAsia" w:eastAsiaTheme="minorEastAsia" w:cstheme="minorEastAsia"/>
        </w:rPr>
        <w:t xml:space="preserve"> 本公司（联合体）郑重声明，根据《政府采购促进中小企业发展管理办法》（财库﹝2020﹞46 号）的规定，本公司参加</w:t>
      </w:r>
      <w:r>
        <w:rPr>
          <w:rFonts w:hint="eastAsia" w:asciiTheme="minorEastAsia" w:hAnsiTheme="minorEastAsia" w:eastAsiaTheme="minorEastAsia" w:cstheme="minorEastAsia"/>
          <w:u w:val="single"/>
        </w:rPr>
        <w:t xml:space="preserve">       （单位名称）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 xml:space="preserve">     （项目名称）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14:paraId="6DB86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u w:val="single"/>
        </w:rPr>
        <w:t xml:space="preserve">        （标的名称）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w:t>
      </w:r>
    </w:p>
    <w:p w14:paraId="6BE4D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u w:val="single"/>
        </w:rPr>
        <w:t xml:space="preserve">        （标的名称） </w:t>
      </w:r>
      <w:r>
        <w:rPr>
          <w:rFonts w:hint="eastAsia" w:asciiTheme="minorEastAsia" w:hAnsiTheme="minorEastAsia" w:eastAsiaTheme="minorEastAsia" w:cstheme="minorEastAsia"/>
          <w:sz w:val="24"/>
        </w:rPr>
        <w:t>，属于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行业；制造商为</w:t>
      </w:r>
      <w:r>
        <w:rPr>
          <w:rFonts w:hint="eastAsia" w:asciiTheme="minorEastAsia" w:hAnsiTheme="minorEastAsia" w:eastAsiaTheme="minorEastAsia" w:cstheme="minorEastAsia"/>
          <w:sz w:val="24"/>
          <w:u w:val="single"/>
        </w:rPr>
        <w:t xml:space="preserve">     （企业名称）</w:t>
      </w:r>
      <w:r>
        <w:rPr>
          <w:rFonts w:hint="eastAsia" w:asciiTheme="minorEastAsia" w:hAnsiTheme="minorEastAsia" w:eastAsiaTheme="minorEastAsia" w:cstheme="minorEastAsia"/>
          <w:sz w:val="24"/>
        </w:rPr>
        <w:t>，从业人员</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人，营业收入为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万元，资产总额为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万元，属于</w:t>
      </w:r>
      <w:r>
        <w:rPr>
          <w:rFonts w:hint="eastAsia" w:asciiTheme="minorEastAsia" w:hAnsiTheme="minorEastAsia" w:eastAsiaTheme="minorEastAsia" w:cstheme="minorEastAsia"/>
          <w:sz w:val="24"/>
          <w:u w:val="single"/>
        </w:rPr>
        <w:t xml:space="preserve">    （中型企业、小型企业、微型企业）</w:t>
      </w:r>
      <w:r>
        <w:rPr>
          <w:rFonts w:hint="eastAsia" w:asciiTheme="minorEastAsia" w:hAnsiTheme="minorEastAsia" w:eastAsiaTheme="minorEastAsia" w:cstheme="minorEastAsia"/>
          <w:sz w:val="24"/>
        </w:rPr>
        <w:t>。</w:t>
      </w:r>
    </w:p>
    <w:p w14:paraId="07DB5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14:paraId="1C897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以上企业，不属于大企业的分支机构，不存在控股股东为大企业的情形，也不存在与大企业的负责人为同一人的情形。</w:t>
      </w:r>
    </w:p>
    <w:p w14:paraId="27EF3C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本公司对上述声明的真实性负责。如有虚假，将依法承担相应责任。</w:t>
      </w:r>
    </w:p>
    <w:p w14:paraId="48CCC4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p>
    <w:p w14:paraId="4EC1BB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p>
    <w:p w14:paraId="186FFC8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   （</w:t>
      </w:r>
      <w:r>
        <w:rPr>
          <w:rFonts w:hint="eastAsia" w:asciiTheme="minorEastAsia" w:hAnsiTheme="minorEastAsia" w:cstheme="minorEastAsia"/>
          <w:sz w:val="24"/>
          <w:lang w:val="en-US" w:eastAsia="zh-CN"/>
        </w:rPr>
        <w:t>盖</w:t>
      </w:r>
      <w:r>
        <w:rPr>
          <w:rFonts w:hint="eastAsia" w:asciiTheme="minorEastAsia" w:hAnsiTheme="minorEastAsia" w:eastAsiaTheme="minorEastAsia" w:cstheme="minorEastAsia"/>
          <w:sz w:val="24"/>
        </w:rPr>
        <w:t>章）</w:t>
      </w:r>
    </w:p>
    <w:p w14:paraId="03D09E1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14:paraId="5E0635DB">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E9AB5A7">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C383741">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FC380F8">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742AAC8F">
      <w:pPr>
        <w:keepNext w:val="0"/>
        <w:keepLines w:val="0"/>
        <w:pageBreakBefore w:val="0"/>
        <w:widowControl w:val="0"/>
        <w:tabs>
          <w:tab w:val="left" w:pos="8786"/>
        </w:tabs>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kern w:val="2"/>
          <w:sz w:val="24"/>
          <w:szCs w:val="24"/>
          <w:lang w:val="en-US" w:eastAsia="zh-CN" w:bidi="ar-SA"/>
        </w:rPr>
      </w:pPr>
    </w:p>
    <w:p w14:paraId="28AD26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注：从业人员、营业收入、资产总额填报上一年度数据，无上一年度数据的新成立企业可不填报。</w:t>
      </w:r>
    </w:p>
    <w:p w14:paraId="305E81A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23260CE">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09CF188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w:t>
      </w:r>
    </w:p>
    <w:p w14:paraId="3A762D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关于印发中小企业划型标准规定的通知工信部联企业〔2011〕300号</w:t>
      </w:r>
    </w:p>
    <w:p w14:paraId="392F918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各省、自治区、直辖市人民政府，国务院各部委、各直属机构及有关单位：</w:t>
      </w:r>
    </w:p>
    <w:p w14:paraId="3BDFE36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7FF015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经国务院同意，现印发给你们，请遵照执行。</w:t>
      </w:r>
    </w:p>
    <w:p w14:paraId="6693D7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附件：</w:t>
      </w:r>
    </w:p>
    <w:p w14:paraId="3FC7C66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中小企业划型标准规定</w:t>
      </w:r>
    </w:p>
    <w:p w14:paraId="2CC561C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一、根据《中华人民共和国中小企业促进法》和《国务院关于进一步促进中小企业发展的若干意见》</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国发〔2009〕36号</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，制定本规定。</w:t>
      </w:r>
    </w:p>
    <w:p w14:paraId="122314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二、中小企业划分为中型、小型、微型三种类型，具体标准根据企业从业人员、营业收入、资产总额等指标，结合行业特点制定。</w:t>
      </w:r>
    </w:p>
    <w:p w14:paraId="484CBB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790EE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四、各行业划型标准为：</w:t>
      </w:r>
    </w:p>
    <w:p w14:paraId="4B17928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7D337F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68DAB5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0D374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4037E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64FD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110F8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C12EA8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293DA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9C3DE1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D5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25E8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30F4FE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F8A41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A9BEE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68338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796B86D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五、企业类型的划分以统计部门的统计数据为依据。</w:t>
      </w:r>
    </w:p>
    <w:p w14:paraId="229FDEA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六、本规定适用于在中华人民共和国境内依法设立的各类所有制和各种组织形式的企业。个体工商户和本规定以外的行业，参照本规定进行划型。</w:t>
      </w:r>
    </w:p>
    <w:p w14:paraId="187A0C0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61C86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八、本规定由工业和信息化部、国家统计局会同有关部门根据《国民经济行业分类》修订情况和企业发展变化情况适时修订。</w:t>
      </w:r>
    </w:p>
    <w:p w14:paraId="23F30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九、本规定由工业和信息化部、国家统计局会同有关部门负责解释。</w:t>
      </w:r>
    </w:p>
    <w:p w14:paraId="7EBAE85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十、本规定自发布之日起执行，原国家经贸委、原国家计委、财政部和国家统计局2003年颁布的《中小企业标准暂行规定》同时废止。</w:t>
      </w:r>
    </w:p>
    <w:p w14:paraId="131674D5">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3F0594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jc w:val="center"/>
        <w:textAlignment w:val="auto"/>
        <w:outlineLvl w:val="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w:t>
      </w:r>
      <w:r>
        <w:rPr>
          <w:rFonts w:hint="default" w:asciiTheme="minorEastAsia" w:hAnsiTheme="minorEastAsia" w:eastAsiaTheme="minorEastAsia" w:cstheme="minorEastAsia"/>
          <w:sz w:val="24"/>
          <w:szCs w:val="24"/>
          <w:lang w:val="en-US" w:eastAsia="zh-CN"/>
        </w:rPr>
        <w:t>、报价文件</w:t>
      </w:r>
    </w:p>
    <w:p w14:paraId="704ADA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报价</w:t>
      </w:r>
      <w:r>
        <w:rPr>
          <w:rFonts w:hint="default" w:ascii="宋体" w:hAnsi="宋体" w:eastAsia="宋体" w:cs="宋体"/>
          <w:sz w:val="24"/>
          <w:szCs w:val="24"/>
          <w:lang w:val="en-US" w:eastAsia="zh-CN"/>
        </w:rPr>
        <w:t>一览表</w:t>
      </w:r>
    </w:p>
    <w:tbl>
      <w:tblPr>
        <w:tblStyle w:val="15"/>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754"/>
      </w:tblGrid>
      <w:tr w14:paraId="75A6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512729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项目名称</w:t>
            </w:r>
          </w:p>
        </w:tc>
        <w:tc>
          <w:tcPr>
            <w:tcW w:w="7754" w:type="dxa"/>
            <w:vAlign w:val="center"/>
          </w:tcPr>
          <w:p w14:paraId="1A3C6E9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32D3B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02AA1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项目编号</w:t>
            </w:r>
          </w:p>
        </w:tc>
        <w:tc>
          <w:tcPr>
            <w:tcW w:w="7754" w:type="dxa"/>
            <w:vAlign w:val="center"/>
          </w:tcPr>
          <w:p w14:paraId="2751D11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6FEF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896" w:type="dxa"/>
            <w:vAlign w:val="center"/>
          </w:tcPr>
          <w:p w14:paraId="5E8EFB8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响应报价（元）</w:t>
            </w:r>
          </w:p>
        </w:tc>
        <w:tc>
          <w:tcPr>
            <w:tcW w:w="7754" w:type="dxa"/>
            <w:vAlign w:val="center"/>
          </w:tcPr>
          <w:p w14:paraId="25E6AD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p w14:paraId="7167CDA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tc>
      </w:tr>
      <w:tr w14:paraId="2B9E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2FEA80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项目负责人</w:t>
            </w:r>
          </w:p>
        </w:tc>
        <w:tc>
          <w:tcPr>
            <w:tcW w:w="7754" w:type="dxa"/>
            <w:vAlign w:val="center"/>
          </w:tcPr>
          <w:p w14:paraId="33D0C8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r w14:paraId="79A2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896" w:type="dxa"/>
            <w:vAlign w:val="center"/>
          </w:tcPr>
          <w:p w14:paraId="464E61D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工期</w:t>
            </w:r>
          </w:p>
        </w:tc>
        <w:tc>
          <w:tcPr>
            <w:tcW w:w="7754" w:type="dxa"/>
            <w:vAlign w:val="center"/>
          </w:tcPr>
          <w:p w14:paraId="3112E597">
            <w:pPr>
              <w:keepNext w:val="0"/>
              <w:keepLines w:val="0"/>
              <w:widowControl/>
              <w:suppressLineNumbers w:val="0"/>
              <w:spacing w:line="480" w:lineRule="auto"/>
              <w:jc w:val="left"/>
              <w:rPr>
                <w:rFonts w:hint="default" w:ascii="宋体" w:hAnsi="宋体" w:eastAsia="宋体" w:cs="宋体"/>
                <w:sz w:val="24"/>
                <w:szCs w:val="24"/>
                <w:vertAlign w:val="baseline"/>
                <w:lang w:val="en-US" w:eastAsia="zh-CN"/>
              </w:rPr>
            </w:pP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color w:val="000000"/>
                <w:kern w:val="0"/>
                <w:sz w:val="24"/>
                <w:szCs w:val="24"/>
                <w:lang w:val="en-US" w:eastAsia="zh-CN" w:bidi="ar"/>
              </w:rPr>
              <w:t>日历天</w:t>
            </w:r>
          </w:p>
        </w:tc>
      </w:tr>
      <w:tr w14:paraId="6CA3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96" w:type="dxa"/>
            <w:vAlign w:val="center"/>
          </w:tcPr>
          <w:p w14:paraId="2ACEA90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质量要求</w:t>
            </w:r>
          </w:p>
        </w:tc>
        <w:tc>
          <w:tcPr>
            <w:tcW w:w="7754" w:type="dxa"/>
            <w:vAlign w:val="center"/>
          </w:tcPr>
          <w:p w14:paraId="1EF9D5B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default" w:ascii="宋体" w:hAnsi="宋体" w:eastAsia="宋体" w:cs="宋体"/>
                <w:sz w:val="24"/>
                <w:szCs w:val="24"/>
                <w:vertAlign w:val="baseline"/>
                <w:lang w:val="en-US" w:eastAsia="zh-CN"/>
              </w:rPr>
            </w:pPr>
          </w:p>
        </w:tc>
      </w:tr>
    </w:tbl>
    <w:p w14:paraId="2CD75BD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响应价格应包括供应商履行本项目合同（如果成交）所必须的所有成本费用和成交人应承担的一切税费，包括但不仅限于：人工、差旅、税金、保险等一切费用。未列和没有填写的项目费用，采购人将视为已包括在响应价格中。</w:t>
      </w:r>
    </w:p>
    <w:p w14:paraId="387FB0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2130A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7513C62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051399F">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480A1EF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已标价工程量清单</w:t>
      </w:r>
    </w:p>
    <w:tbl>
      <w:tblPr>
        <w:tblStyle w:val="14"/>
        <w:tblW w:w="93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7"/>
        <w:gridCol w:w="5386"/>
        <w:gridCol w:w="2637"/>
      </w:tblGrid>
      <w:tr w14:paraId="7B32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9360" w:type="dxa"/>
            <w:gridSpan w:val="3"/>
            <w:tcBorders>
              <w:top w:val="nil"/>
              <w:left w:val="nil"/>
              <w:bottom w:val="nil"/>
              <w:right w:val="nil"/>
            </w:tcBorders>
            <w:shd w:val="clear" w:color="auto" w:fill="auto"/>
            <w:vAlign w:val="center"/>
          </w:tcPr>
          <w:p w14:paraId="312852C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工程项目总价表</w:t>
            </w:r>
          </w:p>
        </w:tc>
      </w:tr>
      <w:tr w14:paraId="0713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6723" w:type="dxa"/>
            <w:gridSpan w:val="2"/>
            <w:tcBorders>
              <w:top w:val="nil"/>
              <w:left w:val="nil"/>
              <w:bottom w:val="nil"/>
              <w:right w:val="nil"/>
            </w:tcBorders>
            <w:shd w:val="clear" w:color="auto" w:fill="auto"/>
            <w:vAlign w:val="center"/>
          </w:tcPr>
          <w:p w14:paraId="2D27B522">
            <w:pPr>
              <w:jc w:val="lef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3C0AFBD8">
            <w:pPr>
              <w:jc w:val="right"/>
              <w:rPr>
                <w:rFonts w:hint="eastAsia" w:ascii="黑体" w:hAnsi="宋体" w:eastAsia="黑体" w:cs="黑体"/>
                <w:i w:val="0"/>
                <w:iCs w:val="0"/>
                <w:color w:val="000000"/>
                <w:sz w:val="21"/>
                <w:szCs w:val="21"/>
                <w:u w:val="none"/>
              </w:rPr>
            </w:pPr>
          </w:p>
        </w:tc>
      </w:tr>
      <w:tr w14:paraId="6F52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D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工程项目名称</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r>
      <w:tr w14:paraId="6A03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7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3D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分类分项工程量清单项目</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064D">
            <w:pPr>
              <w:jc w:val="right"/>
              <w:rPr>
                <w:rFonts w:hint="eastAsia" w:ascii="宋体" w:hAnsi="宋体" w:eastAsia="宋体" w:cs="宋体"/>
                <w:i w:val="0"/>
                <w:iCs w:val="0"/>
                <w:color w:val="000000"/>
                <w:sz w:val="21"/>
                <w:szCs w:val="21"/>
                <w:u w:val="none"/>
              </w:rPr>
            </w:pPr>
          </w:p>
        </w:tc>
      </w:tr>
      <w:tr w14:paraId="3A99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1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B6F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其他项目（预留金）</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2CE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14:paraId="5885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9507">
            <w:pPr>
              <w:jc w:val="center"/>
              <w:rPr>
                <w:rFonts w:hint="eastAsia" w:ascii="宋体" w:hAnsi="宋体" w:eastAsia="宋体" w:cs="宋体"/>
                <w:i w:val="0"/>
                <w:iCs w:val="0"/>
                <w:color w:val="000000"/>
                <w:sz w:val="21"/>
                <w:szCs w:val="21"/>
                <w:u w:val="none"/>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2D15">
            <w:pPr>
              <w:jc w:val="left"/>
              <w:rPr>
                <w:rFonts w:hint="eastAsia" w:ascii="宋体" w:hAnsi="宋体" w:eastAsia="宋体" w:cs="宋体"/>
                <w:i w:val="0"/>
                <w:iCs w:val="0"/>
                <w:color w:val="000000"/>
                <w:sz w:val="21"/>
                <w:szCs w:val="21"/>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C642">
            <w:pPr>
              <w:jc w:val="right"/>
              <w:rPr>
                <w:rFonts w:hint="eastAsia" w:ascii="宋体" w:hAnsi="宋体" w:eastAsia="宋体" w:cs="宋体"/>
                <w:i w:val="0"/>
                <w:iCs w:val="0"/>
                <w:color w:val="000000"/>
                <w:sz w:val="21"/>
                <w:szCs w:val="21"/>
                <w:u w:val="none"/>
              </w:rPr>
            </w:pPr>
          </w:p>
        </w:tc>
      </w:tr>
      <w:tr w14:paraId="61C6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6B62">
            <w:pPr>
              <w:jc w:val="center"/>
              <w:rPr>
                <w:rFonts w:hint="eastAsia" w:ascii="宋体" w:hAnsi="宋体" w:eastAsia="宋体" w:cs="宋体"/>
                <w:i w:val="0"/>
                <w:iCs w:val="0"/>
                <w:color w:val="000000"/>
                <w:sz w:val="21"/>
                <w:szCs w:val="21"/>
                <w:u w:val="none"/>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C1C">
            <w:pPr>
              <w:jc w:val="left"/>
              <w:rPr>
                <w:rFonts w:hint="eastAsia" w:ascii="宋体" w:hAnsi="宋体" w:eastAsia="宋体" w:cs="宋体"/>
                <w:i w:val="0"/>
                <w:iCs w:val="0"/>
                <w:color w:val="000000"/>
                <w:sz w:val="21"/>
                <w:szCs w:val="21"/>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B595">
            <w:pPr>
              <w:jc w:val="right"/>
              <w:rPr>
                <w:rFonts w:hint="eastAsia" w:ascii="宋体" w:hAnsi="宋体" w:eastAsia="宋体" w:cs="宋体"/>
                <w:i w:val="0"/>
                <w:iCs w:val="0"/>
                <w:color w:val="000000"/>
                <w:sz w:val="21"/>
                <w:szCs w:val="21"/>
                <w:u w:val="none"/>
              </w:rPr>
            </w:pPr>
          </w:p>
        </w:tc>
      </w:tr>
      <w:tr w14:paraId="7A44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222">
            <w:pPr>
              <w:jc w:val="center"/>
              <w:rPr>
                <w:rFonts w:hint="eastAsia" w:ascii="宋体" w:hAnsi="宋体" w:eastAsia="宋体" w:cs="宋体"/>
                <w:i w:val="0"/>
                <w:iCs w:val="0"/>
                <w:color w:val="000000"/>
                <w:sz w:val="21"/>
                <w:szCs w:val="21"/>
                <w:u w:val="none"/>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22D1">
            <w:pPr>
              <w:jc w:val="left"/>
              <w:rPr>
                <w:rFonts w:hint="eastAsia" w:ascii="宋体" w:hAnsi="宋体" w:eastAsia="宋体" w:cs="宋体"/>
                <w:i w:val="0"/>
                <w:iCs w:val="0"/>
                <w:color w:val="000000"/>
                <w:sz w:val="21"/>
                <w:szCs w:val="21"/>
                <w:u w:val="none"/>
              </w:rPr>
            </w:pP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EBC">
            <w:pPr>
              <w:jc w:val="right"/>
              <w:rPr>
                <w:rFonts w:hint="eastAsia" w:ascii="宋体" w:hAnsi="宋体" w:eastAsia="宋体" w:cs="宋体"/>
                <w:i w:val="0"/>
                <w:iCs w:val="0"/>
                <w:color w:val="000000"/>
                <w:sz w:val="21"/>
                <w:szCs w:val="21"/>
                <w:u w:val="none"/>
              </w:rPr>
            </w:pPr>
          </w:p>
        </w:tc>
      </w:tr>
      <w:tr w14:paraId="2C65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129B">
            <w:pPr>
              <w:jc w:val="center"/>
              <w:rPr>
                <w:rFonts w:hint="eastAsia" w:ascii="宋体" w:hAnsi="宋体" w:eastAsia="宋体" w:cs="宋体"/>
                <w:i w:val="0"/>
                <w:iCs w:val="0"/>
                <w:color w:val="000000"/>
                <w:sz w:val="21"/>
                <w:szCs w:val="21"/>
                <w:u w:val="none"/>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DC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50000.00</w:t>
            </w:r>
          </w:p>
        </w:tc>
      </w:tr>
    </w:tbl>
    <w:p w14:paraId="354B46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p>
    <w:p w14:paraId="273CECDE">
      <w:pPr>
        <w:pStyle w:val="2"/>
        <w:rPr>
          <w:rFonts w:hint="eastAsia" w:ascii="宋体" w:hAnsi="宋体" w:eastAsia="宋体" w:cs="宋体"/>
          <w:sz w:val="24"/>
          <w:szCs w:val="24"/>
          <w:lang w:val="en-US" w:eastAsia="zh-CN"/>
        </w:rPr>
      </w:pPr>
    </w:p>
    <w:p w14:paraId="464C63C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02D5DF8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60C2D21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1A988A8C">
      <w:pPr>
        <w:pStyle w:val="2"/>
        <w:rPr>
          <w:rFonts w:hint="eastAsia" w:ascii="宋体" w:hAnsi="宋体" w:eastAsia="宋体" w:cs="宋体"/>
          <w:sz w:val="24"/>
          <w:szCs w:val="24"/>
          <w:lang w:val="en-US" w:eastAsia="zh-CN"/>
        </w:rPr>
      </w:pPr>
    </w:p>
    <w:p w14:paraId="60A72BC8">
      <w:pPr>
        <w:pStyle w:val="2"/>
        <w:rPr>
          <w:rFonts w:hint="eastAsia" w:ascii="宋体" w:hAnsi="宋体" w:eastAsia="宋体" w:cs="宋体"/>
          <w:sz w:val="24"/>
          <w:szCs w:val="24"/>
          <w:lang w:val="en-US" w:eastAsia="zh-CN"/>
        </w:rPr>
      </w:pPr>
    </w:p>
    <w:p w14:paraId="5CCC6B90">
      <w:pPr>
        <w:pStyle w:val="2"/>
        <w:rPr>
          <w:rFonts w:hint="eastAsia" w:ascii="宋体" w:hAnsi="宋体" w:eastAsia="宋体" w:cs="宋体"/>
          <w:sz w:val="24"/>
          <w:szCs w:val="24"/>
          <w:lang w:val="en-US" w:eastAsia="zh-CN"/>
        </w:rPr>
      </w:pPr>
    </w:p>
    <w:p w14:paraId="514D45F1">
      <w:pPr>
        <w:pStyle w:val="2"/>
        <w:rPr>
          <w:rFonts w:hint="eastAsia" w:ascii="宋体" w:hAnsi="宋体" w:eastAsia="宋体" w:cs="宋体"/>
          <w:sz w:val="24"/>
          <w:szCs w:val="24"/>
          <w:lang w:val="en-US" w:eastAsia="zh-CN"/>
        </w:rPr>
      </w:pPr>
    </w:p>
    <w:p w14:paraId="134946D0">
      <w:pPr>
        <w:pStyle w:val="2"/>
        <w:rPr>
          <w:rFonts w:hint="eastAsia" w:ascii="宋体" w:hAnsi="宋体" w:eastAsia="宋体" w:cs="宋体"/>
          <w:sz w:val="24"/>
          <w:szCs w:val="24"/>
          <w:lang w:val="en-US" w:eastAsia="zh-CN"/>
        </w:rPr>
      </w:pPr>
    </w:p>
    <w:p w14:paraId="4822AFE5">
      <w:pPr>
        <w:pStyle w:val="2"/>
        <w:rPr>
          <w:rFonts w:hint="eastAsia" w:ascii="宋体" w:hAnsi="宋体" w:eastAsia="宋体" w:cs="宋体"/>
          <w:sz w:val="24"/>
          <w:szCs w:val="24"/>
          <w:lang w:val="en-US" w:eastAsia="zh-CN"/>
        </w:rPr>
      </w:pPr>
    </w:p>
    <w:p w14:paraId="334133BD">
      <w:pPr>
        <w:pStyle w:val="2"/>
        <w:rPr>
          <w:rFonts w:hint="eastAsia" w:ascii="宋体" w:hAnsi="宋体" w:eastAsia="宋体" w:cs="宋体"/>
          <w:sz w:val="24"/>
          <w:szCs w:val="24"/>
          <w:lang w:val="en-US" w:eastAsia="zh-CN"/>
        </w:rPr>
      </w:pPr>
    </w:p>
    <w:p w14:paraId="29C6617C">
      <w:pPr>
        <w:pStyle w:val="2"/>
        <w:rPr>
          <w:rFonts w:hint="eastAsia" w:ascii="宋体" w:hAnsi="宋体" w:eastAsia="宋体" w:cs="宋体"/>
          <w:sz w:val="24"/>
          <w:szCs w:val="24"/>
          <w:lang w:val="en-US" w:eastAsia="zh-CN"/>
        </w:rPr>
      </w:pPr>
    </w:p>
    <w:p w14:paraId="77489208">
      <w:pPr>
        <w:pStyle w:val="2"/>
        <w:rPr>
          <w:rFonts w:hint="eastAsia" w:ascii="宋体" w:hAnsi="宋体" w:eastAsia="宋体" w:cs="宋体"/>
          <w:sz w:val="24"/>
          <w:szCs w:val="24"/>
          <w:lang w:val="en-US" w:eastAsia="zh-CN"/>
        </w:rPr>
      </w:pPr>
    </w:p>
    <w:p w14:paraId="77751090">
      <w:pPr>
        <w:pStyle w:val="2"/>
        <w:rPr>
          <w:rFonts w:hint="eastAsia" w:ascii="宋体" w:hAnsi="宋体" w:eastAsia="宋体" w:cs="宋体"/>
          <w:sz w:val="24"/>
          <w:szCs w:val="24"/>
          <w:lang w:val="en-US" w:eastAsia="zh-CN"/>
        </w:rPr>
      </w:pPr>
    </w:p>
    <w:p w14:paraId="4FB89825">
      <w:pPr>
        <w:pStyle w:val="2"/>
        <w:rPr>
          <w:rFonts w:hint="eastAsia" w:ascii="宋体" w:hAnsi="宋体" w:eastAsia="宋体" w:cs="宋体"/>
          <w:sz w:val="24"/>
          <w:szCs w:val="24"/>
          <w:lang w:val="en-US" w:eastAsia="zh-CN"/>
        </w:rPr>
      </w:pPr>
    </w:p>
    <w:p w14:paraId="21EA5EBB">
      <w:pPr>
        <w:pStyle w:val="2"/>
        <w:rPr>
          <w:rFonts w:hint="eastAsia" w:ascii="宋体" w:hAnsi="宋体" w:eastAsia="宋体" w:cs="宋体"/>
          <w:sz w:val="24"/>
          <w:szCs w:val="24"/>
          <w:lang w:val="en-US" w:eastAsia="zh-CN"/>
        </w:rPr>
      </w:pPr>
    </w:p>
    <w:p w14:paraId="56DD9751">
      <w:pPr>
        <w:pStyle w:val="2"/>
        <w:rPr>
          <w:rFonts w:hint="eastAsia" w:ascii="宋体" w:hAnsi="宋体" w:eastAsia="宋体" w:cs="宋体"/>
          <w:sz w:val="24"/>
          <w:szCs w:val="24"/>
          <w:lang w:val="en-US" w:eastAsia="zh-CN"/>
        </w:rPr>
      </w:pPr>
    </w:p>
    <w:p w14:paraId="349D8365">
      <w:pPr>
        <w:pStyle w:val="2"/>
        <w:rPr>
          <w:rFonts w:hint="eastAsia" w:ascii="宋体" w:hAnsi="宋体" w:eastAsia="宋体" w:cs="宋体"/>
          <w:sz w:val="24"/>
          <w:szCs w:val="24"/>
          <w:lang w:val="en-US" w:eastAsia="zh-CN"/>
        </w:rPr>
      </w:pPr>
    </w:p>
    <w:p w14:paraId="51E2F6A0">
      <w:pPr>
        <w:pStyle w:val="2"/>
        <w:rPr>
          <w:rFonts w:hint="eastAsia" w:ascii="宋体" w:hAnsi="宋体" w:eastAsia="宋体" w:cs="宋体"/>
          <w:sz w:val="24"/>
          <w:szCs w:val="24"/>
          <w:lang w:val="en-US" w:eastAsia="zh-CN"/>
        </w:rPr>
      </w:pPr>
    </w:p>
    <w:tbl>
      <w:tblPr>
        <w:tblStyle w:val="14"/>
        <w:tblW w:w="101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34"/>
        <w:gridCol w:w="1444"/>
        <w:gridCol w:w="746"/>
        <w:gridCol w:w="648"/>
        <w:gridCol w:w="814"/>
        <w:gridCol w:w="815"/>
        <w:gridCol w:w="1023"/>
        <w:gridCol w:w="1012"/>
        <w:gridCol w:w="807"/>
        <w:gridCol w:w="809"/>
      </w:tblGrid>
      <w:tr w14:paraId="36AA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0120" w:type="dxa"/>
            <w:gridSpan w:val="11"/>
            <w:tcBorders>
              <w:top w:val="nil"/>
              <w:left w:val="nil"/>
              <w:bottom w:val="nil"/>
              <w:right w:val="nil"/>
            </w:tcBorders>
            <w:shd w:val="clear" w:color="auto" w:fill="auto"/>
            <w:vAlign w:val="center"/>
          </w:tcPr>
          <w:p w14:paraId="7E02978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分类分项工程量清单计价表</w:t>
            </w:r>
          </w:p>
        </w:tc>
      </w:tr>
      <w:tr w14:paraId="00C67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469" w:type="dxa"/>
            <w:gridSpan w:val="7"/>
            <w:tcBorders>
              <w:top w:val="nil"/>
              <w:left w:val="nil"/>
              <w:bottom w:val="nil"/>
              <w:right w:val="nil"/>
            </w:tcBorders>
            <w:shd w:val="clear" w:color="auto" w:fill="auto"/>
            <w:vAlign w:val="center"/>
          </w:tcPr>
          <w:p w14:paraId="6AFEF065">
            <w:pPr>
              <w:jc w:val="left"/>
              <w:rPr>
                <w:rFonts w:hint="eastAsia" w:ascii="黑体" w:hAnsi="宋体" w:eastAsia="黑体" w:cs="黑体"/>
                <w:i w:val="0"/>
                <w:iCs w:val="0"/>
                <w:color w:val="000000"/>
                <w:sz w:val="21"/>
                <w:szCs w:val="21"/>
                <w:u w:val="none"/>
              </w:rPr>
            </w:pPr>
          </w:p>
        </w:tc>
        <w:tc>
          <w:tcPr>
            <w:tcW w:w="0" w:type="auto"/>
            <w:gridSpan w:val="2"/>
            <w:tcBorders>
              <w:top w:val="nil"/>
              <w:left w:val="nil"/>
              <w:bottom w:val="nil"/>
              <w:right w:val="nil"/>
            </w:tcBorders>
            <w:shd w:val="clear" w:color="auto" w:fill="auto"/>
            <w:noWrap/>
            <w:vAlign w:val="center"/>
          </w:tcPr>
          <w:p w14:paraId="7CB226B5">
            <w:pPr>
              <w:jc w:val="righ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color="auto" w:fill="auto"/>
            <w:noWrap/>
            <w:vAlign w:val="bottom"/>
          </w:tcPr>
          <w:p w14:paraId="71F368DE">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ADF065D">
            <w:pPr>
              <w:rPr>
                <w:rFonts w:hint="default" w:ascii="Arial" w:hAnsi="Arial" w:cs="Arial"/>
                <w:i w:val="0"/>
                <w:iCs w:val="0"/>
                <w:color w:val="000000"/>
                <w:sz w:val="20"/>
                <w:szCs w:val="20"/>
                <w:u w:val="none"/>
              </w:rPr>
            </w:pPr>
          </w:p>
        </w:tc>
      </w:tr>
      <w:tr w14:paraId="6284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FF4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10B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工程名称</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39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规格参数</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DFA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612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EA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9B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28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厂家、品牌</w:t>
            </w:r>
          </w:p>
        </w:tc>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63E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FE0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32A54">
            <w:pPr>
              <w:jc w:val="center"/>
              <w:rPr>
                <w:rFonts w:hint="eastAsia" w:ascii="宋体" w:hAnsi="宋体" w:eastAsia="宋体" w:cs="宋体"/>
                <w:i w:val="0"/>
                <w:iCs w:val="0"/>
                <w:color w:val="000000"/>
                <w:sz w:val="21"/>
                <w:szCs w:val="21"/>
                <w:u w:val="none"/>
              </w:rPr>
            </w:pPr>
          </w:p>
        </w:tc>
        <w:tc>
          <w:tcPr>
            <w:tcW w:w="1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8EEE">
            <w:pPr>
              <w:jc w:val="center"/>
              <w:rPr>
                <w:rFonts w:hint="eastAsia" w:ascii="宋体" w:hAnsi="宋体" w:eastAsia="宋体" w:cs="宋体"/>
                <w:i w:val="0"/>
                <w:iCs w:val="0"/>
                <w:color w:val="000000"/>
                <w:sz w:val="21"/>
                <w:szCs w:val="21"/>
                <w:u w:val="none"/>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C5B3A">
            <w:pPr>
              <w:jc w:val="center"/>
              <w:rPr>
                <w:rFonts w:hint="eastAsia" w:ascii="宋体" w:hAnsi="宋体" w:eastAsia="宋体" w:cs="宋体"/>
                <w:i w:val="0"/>
                <w:iCs w:val="0"/>
                <w:color w:val="000000"/>
                <w:sz w:val="21"/>
                <w:szCs w:val="21"/>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75167">
            <w:pPr>
              <w:jc w:val="center"/>
              <w:rPr>
                <w:rFonts w:hint="eastAsia" w:ascii="宋体" w:hAnsi="宋体" w:eastAsia="宋体" w:cs="宋体"/>
                <w:i w:val="0"/>
                <w:iCs w:val="0"/>
                <w:color w:val="000000"/>
                <w:sz w:val="21"/>
                <w:szCs w:val="21"/>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0982A">
            <w:pPr>
              <w:jc w:val="center"/>
              <w:rPr>
                <w:rFonts w:hint="eastAsia" w:ascii="宋体" w:hAnsi="宋体" w:eastAsia="宋体" w:cs="宋体"/>
                <w:i w:val="0"/>
                <w:iCs w:val="0"/>
                <w:color w:val="000000"/>
                <w:sz w:val="21"/>
                <w:szCs w:val="21"/>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4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2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8E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8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安装费</w:t>
            </w: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CCA1">
            <w:pPr>
              <w:jc w:val="center"/>
              <w:rPr>
                <w:rFonts w:hint="eastAsia" w:ascii="宋体" w:hAnsi="宋体" w:eastAsia="宋体" w:cs="宋体"/>
                <w:i w:val="0"/>
                <w:iCs w:val="0"/>
                <w:color w:val="000000"/>
                <w:sz w:val="21"/>
                <w:szCs w:val="21"/>
                <w:u w:val="none"/>
              </w:rPr>
            </w:pPr>
          </w:p>
        </w:tc>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42F9">
            <w:pPr>
              <w:jc w:val="center"/>
              <w:rPr>
                <w:rFonts w:hint="eastAsia" w:ascii="宋体" w:hAnsi="宋体" w:eastAsia="宋体" w:cs="宋体"/>
                <w:i w:val="0"/>
                <w:iCs w:val="0"/>
                <w:color w:val="000000"/>
                <w:sz w:val="21"/>
                <w:szCs w:val="21"/>
                <w:u w:val="none"/>
              </w:rPr>
            </w:pPr>
          </w:p>
        </w:tc>
      </w:tr>
      <w:tr w14:paraId="0208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4F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号、4 号调速器机械及电气部分</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7BEE">
            <w:pPr>
              <w:jc w:val="left"/>
              <w:rPr>
                <w:rFonts w:hint="eastAsia" w:ascii="宋体" w:hAnsi="宋体" w:eastAsia="宋体" w:cs="宋体"/>
                <w:i w:val="0"/>
                <w:iCs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8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5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9F01">
            <w:pPr>
              <w:jc w:val="right"/>
              <w:rPr>
                <w:rFonts w:hint="eastAsia" w:ascii="宋体" w:hAnsi="宋体" w:eastAsia="宋体" w:cs="宋体"/>
                <w:i w:val="0"/>
                <w:iCs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36DD">
            <w:pPr>
              <w:jc w:val="right"/>
              <w:rPr>
                <w:rFonts w:hint="eastAsia" w:ascii="宋体" w:hAnsi="宋体" w:eastAsia="宋体" w:cs="宋体"/>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FE3A">
            <w:pPr>
              <w:jc w:val="righ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1475">
            <w:pPr>
              <w:jc w:val="right"/>
              <w:rPr>
                <w:rFonts w:hint="eastAsia" w:ascii="宋体" w:hAnsi="宋体" w:eastAsia="宋体" w:cs="宋体"/>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3EC4">
            <w:pPr>
              <w:jc w:val="left"/>
              <w:rPr>
                <w:rFonts w:hint="default" w:ascii="Arial" w:hAnsi="Arial" w:cs="Arial"/>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A33C">
            <w:pPr>
              <w:jc w:val="left"/>
              <w:rPr>
                <w:rFonts w:hint="default" w:ascii="Arial" w:hAnsi="Arial" w:cs="Arial"/>
                <w:i w:val="0"/>
                <w:iCs w:val="0"/>
                <w:color w:val="000000"/>
                <w:sz w:val="20"/>
                <w:szCs w:val="20"/>
                <w:u w:val="none"/>
              </w:rPr>
            </w:pPr>
          </w:p>
        </w:tc>
      </w:tr>
      <w:tr w14:paraId="06E6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2F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C0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调速器安装（含附件设备）</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98A2">
            <w:pPr>
              <w:jc w:val="left"/>
              <w:rPr>
                <w:rFonts w:hint="eastAsia" w:ascii="宋体" w:hAnsi="宋体" w:eastAsia="宋体" w:cs="宋体"/>
                <w:i w:val="0"/>
                <w:iCs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C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9AF7">
            <w:pPr>
              <w:jc w:val="right"/>
              <w:rPr>
                <w:rFonts w:hint="eastAsia" w:ascii="宋体" w:hAnsi="宋体" w:eastAsia="宋体" w:cs="宋体"/>
                <w:i w:val="0"/>
                <w:iCs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87EB">
            <w:pPr>
              <w:jc w:val="right"/>
              <w:rPr>
                <w:rFonts w:hint="eastAsia" w:ascii="宋体" w:hAnsi="宋体" w:eastAsia="宋体" w:cs="宋体"/>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3949">
            <w:pPr>
              <w:jc w:val="righ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05CD">
            <w:pPr>
              <w:jc w:val="right"/>
              <w:rPr>
                <w:rFonts w:hint="eastAsia" w:ascii="宋体" w:hAnsi="宋体" w:eastAsia="宋体" w:cs="宋体"/>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9B9D">
            <w:pPr>
              <w:jc w:val="left"/>
              <w:rPr>
                <w:rFonts w:hint="default" w:ascii="Arial" w:hAnsi="Arial" w:cs="Arial"/>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58DA">
            <w:pPr>
              <w:jc w:val="left"/>
              <w:rPr>
                <w:rFonts w:hint="default" w:ascii="Arial" w:hAnsi="Arial" w:cs="Arial"/>
                <w:i w:val="0"/>
                <w:iCs w:val="0"/>
                <w:color w:val="000000"/>
                <w:sz w:val="20"/>
                <w:szCs w:val="20"/>
                <w:u w:val="none"/>
              </w:rPr>
            </w:pPr>
          </w:p>
        </w:tc>
      </w:tr>
      <w:tr w14:paraId="6304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3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B3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调速器相关试验</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1CE9">
            <w:pPr>
              <w:jc w:val="left"/>
              <w:rPr>
                <w:rFonts w:hint="eastAsia" w:ascii="宋体" w:hAnsi="宋体" w:eastAsia="宋体" w:cs="宋体"/>
                <w:i w:val="0"/>
                <w:iCs w:val="0"/>
                <w:color w:val="000000"/>
                <w:sz w:val="21"/>
                <w:szCs w:val="21"/>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D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FE06">
            <w:pPr>
              <w:jc w:val="right"/>
              <w:rPr>
                <w:rFonts w:hint="eastAsia" w:ascii="宋体" w:hAnsi="宋体" w:eastAsia="宋体" w:cs="宋体"/>
                <w:i w:val="0"/>
                <w:iCs w:val="0"/>
                <w:color w:val="000000"/>
                <w:sz w:val="21"/>
                <w:szCs w:val="21"/>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A24F">
            <w:pPr>
              <w:jc w:val="right"/>
              <w:rPr>
                <w:rFonts w:hint="eastAsia" w:ascii="宋体" w:hAnsi="宋体" w:eastAsia="宋体" w:cs="宋体"/>
                <w:i w:val="0"/>
                <w:iCs w:val="0"/>
                <w:color w:val="000000"/>
                <w:sz w:val="21"/>
                <w:szCs w:val="21"/>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46D">
            <w:pPr>
              <w:jc w:val="right"/>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ACC6">
            <w:pPr>
              <w:jc w:val="right"/>
              <w:rPr>
                <w:rFonts w:hint="eastAsia" w:ascii="宋体" w:hAnsi="宋体" w:eastAsia="宋体" w:cs="宋体"/>
                <w:i w:val="0"/>
                <w:iCs w:val="0"/>
                <w:color w:val="000000"/>
                <w:sz w:val="21"/>
                <w:szCs w:val="21"/>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37F0">
            <w:pPr>
              <w:jc w:val="left"/>
              <w:rPr>
                <w:rFonts w:hint="default" w:ascii="Arial" w:hAnsi="Arial" w:cs="Arial"/>
                <w:i w:val="0"/>
                <w:iCs w:val="0"/>
                <w:color w:val="000000"/>
                <w:sz w:val="20"/>
                <w:szCs w:val="20"/>
                <w:u w:val="none"/>
              </w:rPr>
            </w:pPr>
          </w:p>
        </w:tc>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384C">
            <w:pPr>
              <w:jc w:val="left"/>
              <w:rPr>
                <w:rFonts w:hint="default" w:ascii="Arial" w:hAnsi="Arial" w:cs="Arial"/>
                <w:i w:val="0"/>
                <w:iCs w:val="0"/>
                <w:color w:val="000000"/>
                <w:sz w:val="20"/>
                <w:szCs w:val="20"/>
                <w:u w:val="none"/>
              </w:rPr>
            </w:pPr>
          </w:p>
        </w:tc>
      </w:tr>
    </w:tbl>
    <w:p w14:paraId="2FCDB3E7">
      <w:pPr>
        <w:pStyle w:val="2"/>
        <w:rPr>
          <w:rFonts w:hint="eastAsia" w:ascii="宋体" w:hAnsi="宋体" w:eastAsia="宋体" w:cs="宋体"/>
          <w:sz w:val="24"/>
          <w:szCs w:val="24"/>
          <w:lang w:val="en-US" w:eastAsia="zh-CN"/>
        </w:rPr>
      </w:pPr>
    </w:p>
    <w:p w14:paraId="4DEAC4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p>
    <w:p w14:paraId="363A0EE2">
      <w:pPr>
        <w:pStyle w:val="2"/>
        <w:rPr>
          <w:rFonts w:hint="eastAsia" w:ascii="宋体" w:hAnsi="宋体" w:eastAsia="宋体" w:cs="宋体"/>
          <w:b/>
          <w:bCs/>
          <w:sz w:val="24"/>
          <w:szCs w:val="24"/>
          <w:lang w:val="en-US" w:eastAsia="zh-CN"/>
        </w:rPr>
      </w:pPr>
    </w:p>
    <w:p w14:paraId="1787DB27">
      <w:pPr>
        <w:pStyle w:val="2"/>
        <w:rPr>
          <w:rFonts w:hint="eastAsia" w:ascii="宋体" w:hAnsi="宋体" w:eastAsia="宋体" w:cs="宋体"/>
          <w:b/>
          <w:bCs/>
          <w:sz w:val="24"/>
          <w:szCs w:val="24"/>
          <w:lang w:val="en-US" w:eastAsia="zh-CN"/>
        </w:rPr>
      </w:pPr>
    </w:p>
    <w:p w14:paraId="20DCEB20">
      <w:pPr>
        <w:pStyle w:val="2"/>
        <w:rPr>
          <w:rFonts w:hint="eastAsia" w:ascii="宋体" w:hAnsi="宋体" w:eastAsia="宋体" w:cs="宋体"/>
          <w:b/>
          <w:bCs/>
          <w:sz w:val="24"/>
          <w:szCs w:val="24"/>
          <w:lang w:val="en-US" w:eastAsia="zh-CN"/>
        </w:rPr>
      </w:pPr>
    </w:p>
    <w:p w14:paraId="7DC300F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648FF4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550098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C557D3B">
      <w:pPr>
        <w:pStyle w:val="2"/>
        <w:rPr>
          <w:rFonts w:hint="eastAsia" w:ascii="宋体" w:hAnsi="宋体" w:eastAsia="宋体" w:cs="宋体"/>
          <w:sz w:val="24"/>
          <w:szCs w:val="24"/>
          <w:lang w:val="en-US" w:eastAsia="zh-CN"/>
        </w:rPr>
      </w:pPr>
    </w:p>
    <w:p w14:paraId="51013221">
      <w:pPr>
        <w:pStyle w:val="2"/>
        <w:rPr>
          <w:rFonts w:hint="eastAsia" w:ascii="宋体" w:hAnsi="宋体" w:eastAsia="宋体" w:cs="宋体"/>
          <w:b/>
          <w:bCs/>
          <w:sz w:val="24"/>
          <w:szCs w:val="24"/>
          <w:lang w:val="en-US" w:eastAsia="zh-CN"/>
        </w:rPr>
      </w:pPr>
    </w:p>
    <w:p w14:paraId="65893021">
      <w:pPr>
        <w:pStyle w:val="2"/>
        <w:rPr>
          <w:rFonts w:hint="eastAsia" w:ascii="宋体" w:hAnsi="宋体" w:eastAsia="宋体" w:cs="宋体"/>
          <w:b/>
          <w:bCs/>
          <w:sz w:val="24"/>
          <w:szCs w:val="24"/>
          <w:lang w:val="en-US" w:eastAsia="zh-CN"/>
        </w:rPr>
      </w:pPr>
    </w:p>
    <w:p w14:paraId="01E87402">
      <w:pPr>
        <w:pStyle w:val="2"/>
        <w:rPr>
          <w:rFonts w:hint="eastAsia" w:ascii="宋体" w:hAnsi="宋体" w:eastAsia="宋体" w:cs="宋体"/>
          <w:b/>
          <w:bCs/>
          <w:sz w:val="24"/>
          <w:szCs w:val="24"/>
          <w:lang w:val="en-US" w:eastAsia="zh-CN"/>
        </w:rPr>
      </w:pPr>
    </w:p>
    <w:p w14:paraId="7DF3F9FF">
      <w:pPr>
        <w:pStyle w:val="2"/>
        <w:rPr>
          <w:rFonts w:hint="eastAsia" w:ascii="宋体" w:hAnsi="宋体" w:eastAsia="宋体" w:cs="宋体"/>
          <w:b/>
          <w:bCs/>
          <w:sz w:val="24"/>
          <w:szCs w:val="24"/>
          <w:lang w:val="en-US" w:eastAsia="zh-CN"/>
        </w:rPr>
      </w:pPr>
    </w:p>
    <w:p w14:paraId="314DE68C">
      <w:pPr>
        <w:pStyle w:val="2"/>
        <w:rPr>
          <w:rFonts w:hint="eastAsia" w:ascii="宋体" w:hAnsi="宋体" w:eastAsia="宋体" w:cs="宋体"/>
          <w:b/>
          <w:bCs/>
          <w:sz w:val="24"/>
          <w:szCs w:val="24"/>
          <w:lang w:val="en-US" w:eastAsia="zh-CN"/>
        </w:rPr>
      </w:pPr>
    </w:p>
    <w:p w14:paraId="03E86100">
      <w:pPr>
        <w:pStyle w:val="2"/>
        <w:rPr>
          <w:rFonts w:hint="eastAsia" w:ascii="宋体" w:hAnsi="宋体" w:eastAsia="宋体" w:cs="宋体"/>
          <w:b/>
          <w:bCs/>
          <w:sz w:val="24"/>
          <w:szCs w:val="24"/>
          <w:lang w:val="en-US" w:eastAsia="zh-CN"/>
        </w:rPr>
      </w:pPr>
    </w:p>
    <w:p w14:paraId="50A31A99">
      <w:pPr>
        <w:pStyle w:val="2"/>
        <w:rPr>
          <w:rFonts w:hint="eastAsia" w:ascii="宋体" w:hAnsi="宋体" w:eastAsia="宋体" w:cs="宋体"/>
          <w:b/>
          <w:bCs/>
          <w:sz w:val="24"/>
          <w:szCs w:val="24"/>
          <w:lang w:val="en-US" w:eastAsia="zh-CN"/>
        </w:rPr>
      </w:pPr>
    </w:p>
    <w:tbl>
      <w:tblPr>
        <w:tblStyle w:val="14"/>
        <w:tblW w:w="98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
        <w:gridCol w:w="5300"/>
        <w:gridCol w:w="1823"/>
        <w:gridCol w:w="1740"/>
      </w:tblGrid>
      <w:tr w14:paraId="244BD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9820" w:type="dxa"/>
            <w:gridSpan w:val="4"/>
            <w:tcBorders>
              <w:top w:val="nil"/>
              <w:left w:val="nil"/>
              <w:bottom w:val="nil"/>
              <w:right w:val="nil"/>
            </w:tcBorders>
            <w:shd w:val="clear" w:color="auto" w:fill="auto"/>
            <w:vAlign w:val="center"/>
          </w:tcPr>
          <w:p w14:paraId="3F03DCC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其他项目清单</w:t>
            </w:r>
          </w:p>
        </w:tc>
      </w:tr>
      <w:tr w14:paraId="1E51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8080" w:type="dxa"/>
            <w:gridSpan w:val="3"/>
            <w:tcBorders>
              <w:top w:val="nil"/>
              <w:left w:val="nil"/>
              <w:bottom w:val="nil"/>
              <w:right w:val="nil"/>
            </w:tcBorders>
            <w:shd w:val="clear" w:color="auto" w:fill="auto"/>
            <w:vAlign w:val="center"/>
          </w:tcPr>
          <w:p w14:paraId="2C500C98">
            <w:pPr>
              <w:jc w:val="left"/>
              <w:rPr>
                <w:rFonts w:hint="eastAsia" w:ascii="黑体" w:hAnsi="宋体" w:eastAsia="黑体" w:cs="黑体"/>
                <w:i w:val="0"/>
                <w:iCs w:val="0"/>
                <w:color w:val="000000"/>
                <w:sz w:val="21"/>
                <w:szCs w:val="21"/>
                <w:u w:val="none"/>
              </w:rPr>
            </w:pPr>
          </w:p>
        </w:tc>
        <w:tc>
          <w:tcPr>
            <w:tcW w:w="0" w:type="auto"/>
            <w:tcBorders>
              <w:top w:val="nil"/>
              <w:left w:val="nil"/>
              <w:bottom w:val="nil"/>
              <w:right w:val="nil"/>
            </w:tcBorders>
            <w:shd w:val="clear" w:color="auto" w:fill="auto"/>
            <w:noWrap/>
            <w:vAlign w:val="center"/>
          </w:tcPr>
          <w:p w14:paraId="7E85ABA6">
            <w:pPr>
              <w:jc w:val="right"/>
              <w:rPr>
                <w:rFonts w:hint="eastAsia" w:ascii="黑体" w:hAnsi="宋体" w:eastAsia="黑体" w:cs="黑体"/>
                <w:i w:val="0"/>
                <w:iCs w:val="0"/>
                <w:color w:val="000000"/>
                <w:sz w:val="21"/>
                <w:szCs w:val="21"/>
                <w:u w:val="none"/>
              </w:rPr>
            </w:pPr>
          </w:p>
        </w:tc>
      </w:tr>
      <w:tr w14:paraId="1614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F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8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1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7D5B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6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26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预留金</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104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AA9B">
            <w:pPr>
              <w:jc w:val="left"/>
              <w:rPr>
                <w:rFonts w:hint="eastAsia" w:ascii="宋体" w:hAnsi="宋体" w:eastAsia="宋体" w:cs="宋体"/>
                <w:i w:val="0"/>
                <w:iCs w:val="0"/>
                <w:color w:val="000000"/>
                <w:sz w:val="21"/>
                <w:szCs w:val="21"/>
                <w:u w:val="none"/>
              </w:rPr>
            </w:pPr>
          </w:p>
        </w:tc>
      </w:tr>
      <w:tr w14:paraId="5A51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46B6">
            <w:pPr>
              <w:jc w:val="center"/>
              <w:rPr>
                <w:rFonts w:hint="eastAsia" w:ascii="宋体" w:hAnsi="宋体" w:eastAsia="宋体" w:cs="宋体"/>
                <w:i w:val="0"/>
                <w:iCs w:val="0"/>
                <w:color w:val="000000"/>
                <w:sz w:val="21"/>
                <w:szCs w:val="21"/>
                <w:u w:val="none"/>
              </w:rPr>
            </w:pP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0D3C">
            <w:pPr>
              <w:jc w:val="left"/>
              <w:rPr>
                <w:rFonts w:hint="eastAsia" w:ascii="宋体" w:hAnsi="宋体" w:eastAsia="宋体" w:cs="宋体"/>
                <w:i w:val="0"/>
                <w:iCs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6A02">
            <w:pPr>
              <w:jc w:val="right"/>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3032">
            <w:pPr>
              <w:jc w:val="left"/>
              <w:rPr>
                <w:rFonts w:hint="eastAsia" w:ascii="宋体" w:hAnsi="宋体" w:eastAsia="宋体" w:cs="宋体"/>
                <w:i w:val="0"/>
                <w:iCs w:val="0"/>
                <w:color w:val="000000"/>
                <w:sz w:val="21"/>
                <w:szCs w:val="21"/>
                <w:u w:val="none"/>
              </w:rPr>
            </w:pPr>
          </w:p>
        </w:tc>
      </w:tr>
      <w:tr w14:paraId="1421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408B">
            <w:pPr>
              <w:jc w:val="center"/>
              <w:rPr>
                <w:rFonts w:hint="eastAsia" w:ascii="宋体" w:hAnsi="宋体" w:eastAsia="宋体" w:cs="宋体"/>
                <w:i w:val="0"/>
                <w:iCs w:val="0"/>
                <w:color w:val="000000"/>
                <w:sz w:val="21"/>
                <w:szCs w:val="21"/>
                <w:u w:val="none"/>
              </w:rPr>
            </w:pP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B435">
            <w:pPr>
              <w:jc w:val="left"/>
              <w:rPr>
                <w:rFonts w:hint="eastAsia" w:ascii="宋体" w:hAnsi="宋体" w:eastAsia="宋体" w:cs="宋体"/>
                <w:i w:val="0"/>
                <w:iCs w:val="0"/>
                <w:color w:val="000000"/>
                <w:sz w:val="21"/>
                <w:szCs w:val="21"/>
                <w:u w:val="none"/>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75D5">
            <w:pPr>
              <w:jc w:val="right"/>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82D2">
            <w:pPr>
              <w:jc w:val="left"/>
              <w:rPr>
                <w:rFonts w:hint="eastAsia" w:ascii="宋体" w:hAnsi="宋体" w:eastAsia="宋体" w:cs="宋体"/>
                <w:i w:val="0"/>
                <w:iCs w:val="0"/>
                <w:color w:val="000000"/>
                <w:sz w:val="21"/>
                <w:szCs w:val="21"/>
                <w:u w:val="none"/>
              </w:rPr>
            </w:pPr>
          </w:p>
        </w:tc>
      </w:tr>
    </w:tbl>
    <w:p w14:paraId="1483A38D">
      <w:pPr>
        <w:pStyle w:val="2"/>
        <w:rPr>
          <w:rFonts w:hint="eastAsia" w:ascii="宋体" w:hAnsi="宋体" w:eastAsia="宋体" w:cs="宋体"/>
          <w:b/>
          <w:bCs/>
          <w:sz w:val="24"/>
          <w:szCs w:val="24"/>
          <w:lang w:val="en-US" w:eastAsia="zh-CN"/>
        </w:rPr>
      </w:pPr>
    </w:p>
    <w:p w14:paraId="2DA02F61">
      <w:pPr>
        <w:pStyle w:val="2"/>
        <w:rPr>
          <w:rFonts w:hint="eastAsia" w:ascii="宋体" w:hAnsi="宋体" w:eastAsia="宋体" w:cs="宋体"/>
          <w:b/>
          <w:bCs/>
          <w:sz w:val="24"/>
          <w:szCs w:val="24"/>
          <w:lang w:val="en-US" w:eastAsia="zh-CN"/>
        </w:rPr>
      </w:pPr>
    </w:p>
    <w:p w14:paraId="3D0302A7">
      <w:pPr>
        <w:pStyle w:val="2"/>
        <w:rPr>
          <w:rFonts w:hint="eastAsia" w:ascii="宋体" w:hAnsi="宋体" w:eastAsia="宋体" w:cs="宋体"/>
          <w:b/>
          <w:bCs/>
          <w:sz w:val="24"/>
          <w:szCs w:val="24"/>
          <w:lang w:val="en-US" w:eastAsia="zh-CN"/>
        </w:rPr>
      </w:pPr>
    </w:p>
    <w:p w14:paraId="5C0164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36F89A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381A2E6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3C6A2CDF">
      <w:pPr>
        <w:pStyle w:val="2"/>
        <w:rPr>
          <w:rFonts w:hint="eastAsia" w:ascii="宋体" w:hAnsi="宋体" w:eastAsia="宋体" w:cs="宋体"/>
          <w:b/>
          <w:bCs/>
          <w:sz w:val="24"/>
          <w:szCs w:val="24"/>
          <w:lang w:val="en-US" w:eastAsia="zh-CN"/>
        </w:rPr>
      </w:pPr>
    </w:p>
    <w:p w14:paraId="5B5F46D1">
      <w:pPr>
        <w:pStyle w:val="2"/>
        <w:rPr>
          <w:rFonts w:hint="eastAsia" w:ascii="宋体" w:hAnsi="宋体" w:eastAsia="宋体" w:cs="宋体"/>
          <w:b/>
          <w:bCs/>
          <w:sz w:val="24"/>
          <w:szCs w:val="24"/>
          <w:lang w:val="en-US" w:eastAsia="zh-CN"/>
        </w:rPr>
      </w:pPr>
    </w:p>
    <w:p w14:paraId="435F843A">
      <w:pPr>
        <w:pStyle w:val="2"/>
        <w:rPr>
          <w:rFonts w:hint="eastAsia" w:ascii="宋体" w:hAnsi="宋体" w:eastAsia="宋体" w:cs="宋体"/>
          <w:b/>
          <w:bCs/>
          <w:sz w:val="24"/>
          <w:szCs w:val="24"/>
          <w:lang w:val="en-US" w:eastAsia="zh-CN"/>
        </w:rPr>
      </w:pPr>
    </w:p>
    <w:p w14:paraId="7CBBD61C">
      <w:pPr>
        <w:pStyle w:val="2"/>
        <w:rPr>
          <w:rFonts w:hint="eastAsia" w:ascii="宋体" w:hAnsi="宋体" w:eastAsia="宋体" w:cs="宋体"/>
          <w:b/>
          <w:bCs/>
          <w:sz w:val="24"/>
          <w:szCs w:val="24"/>
          <w:lang w:val="en-US" w:eastAsia="zh-CN"/>
        </w:rPr>
      </w:pPr>
    </w:p>
    <w:p w14:paraId="100BAB07">
      <w:pPr>
        <w:pStyle w:val="2"/>
        <w:rPr>
          <w:rFonts w:hint="eastAsia" w:ascii="宋体" w:hAnsi="宋体" w:eastAsia="宋体" w:cs="宋体"/>
          <w:b/>
          <w:bCs/>
          <w:sz w:val="24"/>
          <w:szCs w:val="24"/>
          <w:lang w:val="en-US" w:eastAsia="zh-CN"/>
        </w:rPr>
      </w:pPr>
    </w:p>
    <w:p w14:paraId="11AD1C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w:t>
      </w:r>
    </w:p>
    <w:p w14:paraId="5EE374A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需在此附详细已标价工程量清单，具体内容及所需的表格，以磋商文件第三章中“工程量清单”格式为准。</w:t>
      </w:r>
    </w:p>
    <w:p w14:paraId="7A8DFF1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如有其它需要补充说明的，可增加表格，但不增加费用，不得更改工程量清单。</w:t>
      </w:r>
    </w:p>
    <w:p w14:paraId="0F5BC5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D6355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商务技术文件</w:t>
      </w:r>
    </w:p>
    <w:p w14:paraId="4DDD51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（一）</w:t>
      </w:r>
      <w:r>
        <w:rPr>
          <w:rFonts w:hint="eastAsia" w:ascii="宋体" w:hAnsi="宋体" w:eastAsia="宋体" w:cs="宋体"/>
          <w:sz w:val="24"/>
          <w:szCs w:val="24"/>
          <w:lang w:val="en-US" w:eastAsia="zh-CN"/>
        </w:rPr>
        <w:t>磋商</w:t>
      </w:r>
      <w:r>
        <w:rPr>
          <w:rFonts w:hint="default" w:ascii="宋体" w:hAnsi="宋体" w:eastAsia="宋体" w:cs="宋体"/>
          <w:sz w:val="24"/>
          <w:szCs w:val="24"/>
          <w:lang w:val="en-US" w:eastAsia="zh-CN"/>
        </w:rPr>
        <w:t>响应函</w:t>
      </w:r>
    </w:p>
    <w:p w14:paraId="485E33D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致</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（采购人）：</w:t>
      </w:r>
    </w:p>
    <w:p w14:paraId="770070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我方确认收到贵方</w:t>
      </w:r>
      <w:r>
        <w:rPr>
          <w:rFonts w:hint="eastAsia" w:ascii="宋体" w:hAnsi="宋体" w:eastAsia="宋体" w:cs="宋体"/>
          <w:sz w:val="24"/>
          <w:szCs w:val="24"/>
          <w:u w:val="single"/>
          <w:lang w:val="en-US" w:eastAsia="zh-CN"/>
        </w:rPr>
        <w:t>项目名称、</w:t>
      </w:r>
      <w:r>
        <w:rPr>
          <w:rFonts w:hint="default" w:ascii="宋体" w:hAnsi="宋体" w:eastAsia="宋体" w:cs="宋体"/>
          <w:sz w:val="24"/>
          <w:szCs w:val="24"/>
          <w:u w:val="single"/>
          <w:lang w:val="en-US" w:eastAsia="zh-CN"/>
        </w:rPr>
        <w:t>项目编号</w:t>
      </w:r>
      <w:r>
        <w:rPr>
          <w:rFonts w:hint="default" w:ascii="宋体" w:hAnsi="宋体" w:eastAsia="宋体" w:cs="宋体"/>
          <w:sz w:val="24"/>
          <w:szCs w:val="24"/>
          <w:lang w:val="en-US" w:eastAsia="zh-CN"/>
        </w:rPr>
        <w:t>采购相关工程的磋商文件</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签</w:t>
      </w:r>
      <w:r>
        <w:rPr>
          <w:rFonts w:hint="eastAsia" w:ascii="宋体" w:hAnsi="宋体" w:eastAsia="宋体" w:cs="宋体"/>
          <w:sz w:val="24"/>
          <w:szCs w:val="24"/>
          <w:lang w:val="en-US" w:eastAsia="zh-CN"/>
        </w:rPr>
        <w:t>名</w:t>
      </w:r>
      <w:r>
        <w:rPr>
          <w:rFonts w:hint="default" w:ascii="宋体" w:hAnsi="宋体" w:eastAsia="宋体" w:cs="宋体"/>
          <w:sz w:val="24"/>
          <w:szCs w:val="24"/>
          <w:lang w:val="en-US" w:eastAsia="zh-CN"/>
        </w:rPr>
        <w:t>代表</w:t>
      </w:r>
      <w:r>
        <w:rPr>
          <w:rFonts w:hint="default" w:ascii="宋体" w:hAnsi="宋体" w:eastAsia="宋体" w:cs="宋体"/>
          <w:sz w:val="24"/>
          <w:szCs w:val="24"/>
          <w:u w:val="single"/>
          <w:lang w:val="en-US" w:eastAsia="zh-CN"/>
        </w:rPr>
        <w:t>（姓名、职务）</w:t>
      </w:r>
      <w:r>
        <w:rPr>
          <w:rFonts w:hint="default" w:ascii="宋体" w:hAnsi="宋体" w:eastAsia="宋体" w:cs="宋体"/>
          <w:sz w:val="24"/>
          <w:szCs w:val="24"/>
          <w:lang w:val="en-US" w:eastAsia="zh-CN"/>
        </w:rPr>
        <w:t>经正式授权并代表供应商（供应商名称、地址）在此声明并同意：</w:t>
      </w:r>
    </w:p>
    <w:p w14:paraId="34B27EF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1、总报价为（小写：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）（大写：</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元）（保留两位小数）人民币，工期：签订合同后</w:t>
      </w:r>
      <w:r>
        <w:rPr>
          <w:rFonts w:hint="default"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天内完工。</w:t>
      </w:r>
    </w:p>
    <w:p w14:paraId="40B364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方将按磋商文件的规定履行合同责任和义务；</w:t>
      </w:r>
    </w:p>
    <w:p w14:paraId="19A9AF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我</w:t>
      </w:r>
      <w:r>
        <w:rPr>
          <w:rFonts w:hint="default" w:ascii="宋体" w:hAnsi="宋体" w:eastAsia="宋体" w:cs="宋体"/>
          <w:sz w:val="24"/>
          <w:szCs w:val="24"/>
          <w:lang w:val="en-US" w:eastAsia="zh-CN"/>
        </w:rPr>
        <w:t>方已详细阅读并理解了磋商文件的全部，包括修改文件（如有的话）。我们完全理解并同意放弃对这方面有不明及误解的权利。</w:t>
      </w:r>
    </w:p>
    <w:p w14:paraId="64F60FB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4、本响应有效期自响应截止日期起</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个日历日。</w:t>
      </w:r>
    </w:p>
    <w:p w14:paraId="16FF06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5、在规定的磋商时间后，如果在响应有效期内撤回</w:t>
      </w:r>
      <w:r>
        <w:rPr>
          <w:rFonts w:hint="eastAsia" w:ascii="宋体" w:hAnsi="宋体" w:eastAsia="宋体" w:cs="宋体"/>
          <w:sz w:val="24"/>
          <w:szCs w:val="24"/>
          <w:lang w:val="en-US" w:eastAsia="zh-CN"/>
        </w:rPr>
        <w:t>响应文件</w:t>
      </w:r>
      <w:r>
        <w:rPr>
          <w:rFonts w:hint="default" w:ascii="宋体" w:hAnsi="宋体" w:eastAsia="宋体" w:cs="宋体"/>
          <w:sz w:val="24"/>
          <w:szCs w:val="24"/>
          <w:lang w:val="en-US" w:eastAsia="zh-CN"/>
        </w:rPr>
        <w:t>，同意保证金将被贵方没收。</w:t>
      </w:r>
    </w:p>
    <w:p w14:paraId="119BE2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w:t>
      </w:r>
      <w:r>
        <w:rPr>
          <w:rFonts w:hint="eastAsia" w:ascii="宋体" w:hAnsi="宋体" w:eastAsia="宋体" w:cs="宋体"/>
          <w:sz w:val="24"/>
          <w:szCs w:val="24"/>
          <w:lang w:val="en-US" w:eastAsia="zh-CN"/>
        </w:rPr>
        <w:t>我方</w:t>
      </w:r>
      <w:r>
        <w:rPr>
          <w:rFonts w:hint="default" w:ascii="宋体" w:hAnsi="宋体" w:eastAsia="宋体" w:cs="宋体"/>
          <w:sz w:val="24"/>
          <w:szCs w:val="24"/>
          <w:lang w:val="en-US" w:eastAsia="zh-CN"/>
        </w:rPr>
        <w:t>同意提供按照贵方可能要求的与其响应有关的一切数据或资料，完全理解贵方不一定接受最低价的响应或收到的任何响应的约定。</w:t>
      </w:r>
    </w:p>
    <w:p w14:paraId="2E57B4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我方决不提供虚假材料谋取成交，决不采取不正当手段诋毁、排挤其他供应商，决不与采购人、其它供应商恶意串通，决不向采购人及磋商小组进行商业贿赂。</w:t>
      </w:r>
    </w:p>
    <w:p w14:paraId="7709B99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如有违反，愿无条件接受贵方及相关管理部门的处罚。</w:t>
      </w:r>
    </w:p>
    <w:p w14:paraId="179B190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7、与本</w:t>
      </w:r>
      <w:r>
        <w:rPr>
          <w:rFonts w:hint="eastAsia" w:ascii="宋体" w:hAnsi="宋体" w:eastAsia="宋体" w:cs="宋体"/>
          <w:sz w:val="24"/>
          <w:szCs w:val="24"/>
          <w:lang w:val="en-US" w:eastAsia="zh-CN"/>
        </w:rPr>
        <w:t>项目</w:t>
      </w:r>
      <w:r>
        <w:rPr>
          <w:rFonts w:hint="default" w:ascii="宋体" w:hAnsi="宋体" w:eastAsia="宋体" w:cs="宋体"/>
          <w:sz w:val="24"/>
          <w:szCs w:val="24"/>
          <w:lang w:val="en-US" w:eastAsia="zh-CN"/>
        </w:rPr>
        <w:t>有关的正式通讯地址为：</w:t>
      </w:r>
    </w:p>
    <w:p w14:paraId="1B87BB5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地址：</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邮编：</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电话：</w:t>
      </w:r>
      <w:r>
        <w:rPr>
          <w:rFonts w:hint="default" w:ascii="宋体" w:hAnsi="宋体" w:eastAsia="宋体" w:cs="宋体"/>
          <w:sz w:val="24"/>
          <w:szCs w:val="24"/>
          <w:u w:val="single"/>
          <w:lang w:val="en-US" w:eastAsia="zh-CN"/>
        </w:rPr>
        <w:t xml:space="preserve">            </w:t>
      </w:r>
      <w:r>
        <w:rPr>
          <w:rFonts w:hint="default" w:ascii="宋体" w:hAnsi="宋体" w:eastAsia="宋体" w:cs="宋体"/>
          <w:sz w:val="24"/>
          <w:szCs w:val="24"/>
          <w:lang w:val="en-US" w:eastAsia="zh-CN"/>
        </w:rPr>
        <w:t>传真</w:t>
      </w:r>
      <w:r>
        <w:rPr>
          <w:rFonts w:hint="eastAsia" w:ascii="宋体" w:hAnsi="宋体" w:eastAsia="宋体" w:cs="宋体"/>
          <w:sz w:val="24"/>
          <w:szCs w:val="24"/>
          <w:lang w:val="en-US" w:eastAsia="zh-CN"/>
        </w:rPr>
        <w:t>：</w:t>
      </w:r>
      <w:r>
        <w:rPr>
          <w:rFonts w:hint="default" w:ascii="宋体" w:hAnsi="宋体" w:eastAsia="宋体" w:cs="宋体"/>
          <w:sz w:val="24"/>
          <w:szCs w:val="24"/>
          <w:u w:val="single"/>
          <w:lang w:val="en-US" w:eastAsia="zh-CN"/>
        </w:rPr>
        <w:t xml:space="preserve">            </w:t>
      </w:r>
    </w:p>
    <w:p w14:paraId="61DD54B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130646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5FA5A19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061CCB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850899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二</w:t>
      </w:r>
      <w:r>
        <w:rPr>
          <w:rFonts w:hint="default" w:ascii="宋体" w:hAnsi="宋体" w:eastAsia="宋体" w:cs="宋体"/>
          <w:sz w:val="24"/>
          <w:szCs w:val="24"/>
          <w:u w:val="none"/>
          <w:lang w:val="en-US" w:eastAsia="zh-CN"/>
        </w:rPr>
        <w:t>）商务偏离表</w:t>
      </w:r>
    </w:p>
    <w:p w14:paraId="27D0FA55">
      <w:pPr>
        <w:keepNext w:val="0"/>
        <w:keepLines w:val="0"/>
        <w:pageBreakBefore w:val="0"/>
        <w:widowControl w:val="0"/>
        <w:kinsoku/>
        <w:wordWrap/>
        <w:overflowPunct/>
        <w:topLinePunct w:val="0"/>
        <w:autoSpaceDE/>
        <w:autoSpaceDN/>
        <w:bidi w:val="0"/>
        <w:adjustRightInd/>
        <w:snapToGrid/>
        <w:spacing w:line="480" w:lineRule="auto"/>
        <w:ind w:firstLine="240" w:firstLineChars="100"/>
        <w:jc w:val="both"/>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项目编号：</w:t>
      </w:r>
      <w:r>
        <w:rPr>
          <w:rFonts w:hint="eastAsia" w:ascii="宋体" w:hAnsi="宋体" w:eastAsia="宋体" w:cs="宋体"/>
          <w:sz w:val="24"/>
          <w:szCs w:val="24"/>
          <w:u w:val="single"/>
          <w:lang w:val="en-US" w:eastAsia="zh-CN"/>
        </w:rPr>
        <w:t xml:space="preserve">                       </w:t>
      </w:r>
    </w:p>
    <w:tbl>
      <w:tblPr>
        <w:tblStyle w:val="14"/>
        <w:tblW w:w="94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3"/>
        <w:gridCol w:w="3316"/>
        <w:gridCol w:w="2355"/>
        <w:gridCol w:w="2355"/>
      </w:tblGrid>
      <w:tr w14:paraId="209F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3" w:type="dxa"/>
            <w:vAlign w:val="center"/>
          </w:tcPr>
          <w:p w14:paraId="09A182B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316" w:type="dxa"/>
            <w:vAlign w:val="center"/>
          </w:tcPr>
          <w:p w14:paraId="77E1414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商务条款要求</w:t>
            </w:r>
          </w:p>
        </w:tc>
        <w:tc>
          <w:tcPr>
            <w:tcW w:w="2355" w:type="dxa"/>
            <w:vAlign w:val="center"/>
          </w:tcPr>
          <w:p w14:paraId="40C5D32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是否响应</w:t>
            </w:r>
          </w:p>
        </w:tc>
        <w:tc>
          <w:tcPr>
            <w:tcW w:w="2355" w:type="dxa"/>
            <w:vAlign w:val="center"/>
          </w:tcPr>
          <w:p w14:paraId="612913C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偏离说明</w:t>
            </w:r>
          </w:p>
        </w:tc>
      </w:tr>
      <w:tr w14:paraId="11751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B9EB2CF">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523444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5878C8D6">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46E83D0">
            <w:pPr>
              <w:spacing w:line="360" w:lineRule="auto"/>
              <w:jc w:val="center"/>
              <w:rPr>
                <w:rFonts w:hint="eastAsia" w:ascii="宋体" w:hAnsi="宋体" w:eastAsia="宋体" w:cs="宋体"/>
                <w:b/>
                <w:bCs/>
                <w:color w:val="auto"/>
                <w:sz w:val="24"/>
                <w:szCs w:val="24"/>
                <w:highlight w:val="none"/>
              </w:rPr>
            </w:pPr>
          </w:p>
        </w:tc>
      </w:tr>
      <w:tr w14:paraId="00B69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409253D8">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60012D3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B526FE0">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CB620B4">
            <w:pPr>
              <w:spacing w:line="360" w:lineRule="auto"/>
              <w:jc w:val="center"/>
              <w:rPr>
                <w:rFonts w:hint="eastAsia" w:ascii="宋体" w:hAnsi="宋体" w:eastAsia="宋体" w:cs="宋体"/>
                <w:b/>
                <w:bCs/>
                <w:color w:val="auto"/>
                <w:sz w:val="24"/>
                <w:szCs w:val="24"/>
                <w:highlight w:val="none"/>
              </w:rPr>
            </w:pPr>
          </w:p>
        </w:tc>
      </w:tr>
      <w:tr w14:paraId="771B0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6A04F57D">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91C8822">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132A55DA">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A951FBD">
            <w:pPr>
              <w:spacing w:line="360" w:lineRule="auto"/>
              <w:jc w:val="center"/>
              <w:rPr>
                <w:rFonts w:hint="eastAsia" w:ascii="宋体" w:hAnsi="宋体" w:eastAsia="宋体" w:cs="宋体"/>
                <w:b/>
                <w:bCs/>
                <w:color w:val="auto"/>
                <w:sz w:val="24"/>
                <w:szCs w:val="24"/>
                <w:highlight w:val="none"/>
              </w:rPr>
            </w:pPr>
          </w:p>
        </w:tc>
      </w:tr>
      <w:tr w14:paraId="13D7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393" w:type="dxa"/>
            <w:vAlign w:val="center"/>
          </w:tcPr>
          <w:p w14:paraId="395B7DC1">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3044A8A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689E1CB7">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2CAE39BD">
            <w:pPr>
              <w:spacing w:line="360" w:lineRule="auto"/>
              <w:jc w:val="center"/>
              <w:rPr>
                <w:rFonts w:hint="eastAsia" w:ascii="宋体" w:hAnsi="宋体" w:eastAsia="宋体" w:cs="宋体"/>
                <w:b/>
                <w:bCs/>
                <w:color w:val="auto"/>
                <w:sz w:val="24"/>
                <w:szCs w:val="24"/>
                <w:highlight w:val="none"/>
              </w:rPr>
            </w:pPr>
          </w:p>
        </w:tc>
      </w:tr>
      <w:tr w14:paraId="205B2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393" w:type="dxa"/>
            <w:vAlign w:val="center"/>
          </w:tcPr>
          <w:p w14:paraId="1052E91A">
            <w:pPr>
              <w:spacing w:line="360" w:lineRule="auto"/>
              <w:jc w:val="center"/>
              <w:rPr>
                <w:rFonts w:hint="eastAsia" w:ascii="宋体" w:hAnsi="宋体" w:eastAsia="宋体" w:cs="宋体"/>
                <w:b/>
                <w:bCs/>
                <w:color w:val="auto"/>
                <w:sz w:val="24"/>
                <w:szCs w:val="24"/>
                <w:highlight w:val="none"/>
              </w:rPr>
            </w:pPr>
          </w:p>
        </w:tc>
        <w:tc>
          <w:tcPr>
            <w:tcW w:w="3316" w:type="dxa"/>
            <w:vAlign w:val="center"/>
          </w:tcPr>
          <w:p w14:paraId="7CE4E6DC">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3634BF8B">
            <w:pPr>
              <w:spacing w:line="360" w:lineRule="auto"/>
              <w:jc w:val="center"/>
              <w:rPr>
                <w:rFonts w:hint="eastAsia" w:ascii="宋体" w:hAnsi="宋体" w:eastAsia="宋体" w:cs="宋体"/>
                <w:b/>
                <w:bCs/>
                <w:color w:val="auto"/>
                <w:sz w:val="24"/>
                <w:szCs w:val="24"/>
                <w:highlight w:val="none"/>
              </w:rPr>
            </w:pPr>
          </w:p>
        </w:tc>
        <w:tc>
          <w:tcPr>
            <w:tcW w:w="2355" w:type="dxa"/>
            <w:vAlign w:val="center"/>
          </w:tcPr>
          <w:p w14:paraId="4EBFA0C3">
            <w:pPr>
              <w:spacing w:line="360" w:lineRule="auto"/>
              <w:jc w:val="center"/>
              <w:rPr>
                <w:rFonts w:hint="eastAsia" w:ascii="宋体" w:hAnsi="宋体" w:eastAsia="宋体" w:cs="宋体"/>
                <w:b/>
                <w:bCs/>
                <w:color w:val="auto"/>
                <w:sz w:val="24"/>
                <w:szCs w:val="24"/>
                <w:highlight w:val="none"/>
              </w:rPr>
            </w:pPr>
          </w:p>
        </w:tc>
      </w:tr>
    </w:tbl>
    <w:p w14:paraId="184B6D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备注：供应商</w:t>
      </w:r>
      <w:r>
        <w:rPr>
          <w:rFonts w:hint="eastAsia" w:ascii="宋体" w:hAnsi="宋体" w:eastAsia="宋体" w:cs="宋体"/>
          <w:sz w:val="24"/>
          <w:szCs w:val="24"/>
          <w:u w:val="none"/>
          <w:lang w:val="en-US" w:eastAsia="zh-CN"/>
        </w:rPr>
        <w:t>响应</w:t>
      </w:r>
      <w:r>
        <w:rPr>
          <w:rFonts w:hint="default" w:ascii="宋体" w:hAnsi="宋体" w:eastAsia="宋体" w:cs="宋体"/>
          <w:sz w:val="24"/>
          <w:szCs w:val="24"/>
          <w:u w:val="none"/>
          <w:lang w:val="en-US" w:eastAsia="zh-CN"/>
        </w:rPr>
        <w:t>文件的条款有差异的，则在此表中列明实际响应的内容提要并加以说明，以便查对。无差异说明表示完全响应。</w:t>
      </w:r>
    </w:p>
    <w:p w14:paraId="198DE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供应商名称（电子章）：</w:t>
      </w:r>
    </w:p>
    <w:p w14:paraId="24F7F0D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法定代表人或其授权代表（电子章）：</w:t>
      </w:r>
    </w:p>
    <w:p w14:paraId="6229A8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4675FB8">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2C61F7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三</w:t>
      </w:r>
      <w:r>
        <w:rPr>
          <w:rFonts w:hint="default" w:ascii="宋体" w:hAnsi="宋体" w:eastAsia="宋体" w:cs="宋体"/>
          <w:sz w:val="24"/>
          <w:szCs w:val="24"/>
          <w:u w:val="none"/>
          <w:lang w:val="en-US" w:eastAsia="zh-CN"/>
        </w:rPr>
        <w:t>）近三年类似</w:t>
      </w:r>
      <w:r>
        <w:rPr>
          <w:rFonts w:hint="eastAsia" w:ascii="宋体" w:hAnsi="宋体" w:eastAsia="宋体" w:cs="宋体"/>
          <w:sz w:val="24"/>
          <w:szCs w:val="24"/>
          <w:u w:val="none"/>
          <w:lang w:val="en-US" w:eastAsia="zh-CN"/>
        </w:rPr>
        <w:t>工程</w:t>
      </w:r>
      <w:r>
        <w:rPr>
          <w:rFonts w:hint="default" w:ascii="宋体" w:hAnsi="宋体" w:eastAsia="宋体" w:cs="宋体"/>
          <w:sz w:val="24"/>
          <w:szCs w:val="24"/>
          <w:u w:val="none"/>
          <w:lang w:val="en-US" w:eastAsia="zh-CN"/>
        </w:rPr>
        <w:t>业绩表</w:t>
      </w:r>
    </w:p>
    <w:p w14:paraId="4B9C84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企业业绩</w:t>
      </w:r>
    </w:p>
    <w:tbl>
      <w:tblPr>
        <w:tblStyle w:val="1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2257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9" w:type="dxa"/>
            <w:vAlign w:val="center"/>
          </w:tcPr>
          <w:p w14:paraId="056C352C">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6C166EB5">
            <w:pPr>
              <w:pStyle w:val="19"/>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535FA1AE">
            <w:pPr>
              <w:pStyle w:val="19"/>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08BFBEB5">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73536CDF">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0F20CA77">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0BF7C514">
            <w:pPr>
              <w:pStyle w:val="19"/>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779B95E3">
            <w:pPr>
              <w:pStyle w:val="19"/>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42A4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77813BB9">
            <w:pPr>
              <w:jc w:val="center"/>
              <w:rPr>
                <w:rFonts w:hint="eastAsia" w:ascii="宋体" w:hAnsi="宋体" w:eastAsia="宋体" w:cs="宋体"/>
                <w:sz w:val="22"/>
                <w:szCs w:val="22"/>
                <w:highlight w:val="none"/>
              </w:rPr>
            </w:pPr>
          </w:p>
        </w:tc>
        <w:tc>
          <w:tcPr>
            <w:tcW w:w="1515" w:type="dxa"/>
            <w:vAlign w:val="center"/>
          </w:tcPr>
          <w:p w14:paraId="05038E34">
            <w:pPr>
              <w:jc w:val="center"/>
              <w:rPr>
                <w:rFonts w:hint="eastAsia" w:ascii="宋体" w:hAnsi="宋体" w:eastAsia="宋体" w:cs="宋体"/>
                <w:sz w:val="22"/>
                <w:szCs w:val="22"/>
                <w:highlight w:val="none"/>
              </w:rPr>
            </w:pPr>
          </w:p>
        </w:tc>
        <w:tc>
          <w:tcPr>
            <w:tcW w:w="1048" w:type="dxa"/>
            <w:vAlign w:val="center"/>
          </w:tcPr>
          <w:p w14:paraId="5BA40C26">
            <w:pPr>
              <w:jc w:val="center"/>
              <w:rPr>
                <w:rFonts w:hint="eastAsia" w:ascii="宋体" w:hAnsi="宋体" w:eastAsia="宋体" w:cs="宋体"/>
                <w:sz w:val="22"/>
                <w:szCs w:val="22"/>
                <w:highlight w:val="none"/>
              </w:rPr>
            </w:pPr>
          </w:p>
        </w:tc>
        <w:tc>
          <w:tcPr>
            <w:tcW w:w="1155" w:type="dxa"/>
            <w:vAlign w:val="center"/>
          </w:tcPr>
          <w:p w14:paraId="435FB455">
            <w:pPr>
              <w:jc w:val="center"/>
              <w:rPr>
                <w:rFonts w:hint="eastAsia" w:ascii="宋体" w:hAnsi="宋体" w:eastAsia="宋体" w:cs="宋体"/>
                <w:sz w:val="22"/>
                <w:szCs w:val="22"/>
                <w:highlight w:val="none"/>
              </w:rPr>
            </w:pPr>
          </w:p>
        </w:tc>
        <w:tc>
          <w:tcPr>
            <w:tcW w:w="1155" w:type="dxa"/>
            <w:vAlign w:val="center"/>
          </w:tcPr>
          <w:p w14:paraId="4E182318">
            <w:pPr>
              <w:jc w:val="center"/>
              <w:rPr>
                <w:rFonts w:hint="eastAsia" w:ascii="宋体" w:hAnsi="宋体" w:eastAsia="宋体" w:cs="宋体"/>
                <w:sz w:val="22"/>
                <w:szCs w:val="22"/>
                <w:highlight w:val="none"/>
              </w:rPr>
            </w:pPr>
          </w:p>
        </w:tc>
        <w:tc>
          <w:tcPr>
            <w:tcW w:w="1155" w:type="dxa"/>
            <w:vAlign w:val="center"/>
          </w:tcPr>
          <w:p w14:paraId="24EED4F7">
            <w:pPr>
              <w:jc w:val="center"/>
              <w:rPr>
                <w:rFonts w:hint="eastAsia" w:ascii="宋体" w:hAnsi="宋体" w:eastAsia="宋体" w:cs="宋体"/>
                <w:sz w:val="22"/>
                <w:szCs w:val="22"/>
                <w:highlight w:val="none"/>
              </w:rPr>
            </w:pPr>
          </w:p>
        </w:tc>
        <w:tc>
          <w:tcPr>
            <w:tcW w:w="2555" w:type="dxa"/>
            <w:vAlign w:val="center"/>
          </w:tcPr>
          <w:p w14:paraId="47E9B417">
            <w:pPr>
              <w:jc w:val="center"/>
              <w:rPr>
                <w:rFonts w:hint="eastAsia" w:ascii="宋体" w:hAnsi="宋体" w:eastAsia="宋体" w:cs="宋体"/>
                <w:sz w:val="22"/>
                <w:szCs w:val="22"/>
                <w:highlight w:val="none"/>
              </w:rPr>
            </w:pPr>
          </w:p>
        </w:tc>
        <w:tc>
          <w:tcPr>
            <w:tcW w:w="690" w:type="dxa"/>
            <w:vAlign w:val="center"/>
          </w:tcPr>
          <w:p w14:paraId="4ACEA344">
            <w:pPr>
              <w:jc w:val="center"/>
              <w:rPr>
                <w:rFonts w:hint="eastAsia" w:ascii="宋体" w:hAnsi="宋体" w:eastAsia="宋体" w:cs="宋体"/>
                <w:sz w:val="22"/>
                <w:szCs w:val="22"/>
                <w:highlight w:val="none"/>
              </w:rPr>
            </w:pPr>
          </w:p>
        </w:tc>
      </w:tr>
      <w:tr w14:paraId="207F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23D1C7A0">
            <w:pPr>
              <w:jc w:val="center"/>
              <w:rPr>
                <w:rFonts w:hint="eastAsia" w:ascii="宋体" w:hAnsi="宋体" w:eastAsia="宋体" w:cs="宋体"/>
                <w:sz w:val="22"/>
                <w:szCs w:val="22"/>
                <w:highlight w:val="none"/>
              </w:rPr>
            </w:pPr>
          </w:p>
        </w:tc>
        <w:tc>
          <w:tcPr>
            <w:tcW w:w="1515" w:type="dxa"/>
            <w:vAlign w:val="center"/>
          </w:tcPr>
          <w:p w14:paraId="00DED989">
            <w:pPr>
              <w:jc w:val="center"/>
              <w:rPr>
                <w:rFonts w:hint="eastAsia" w:ascii="宋体" w:hAnsi="宋体" w:eastAsia="宋体" w:cs="宋体"/>
                <w:sz w:val="22"/>
                <w:szCs w:val="22"/>
                <w:highlight w:val="none"/>
              </w:rPr>
            </w:pPr>
          </w:p>
        </w:tc>
        <w:tc>
          <w:tcPr>
            <w:tcW w:w="1048" w:type="dxa"/>
            <w:vAlign w:val="center"/>
          </w:tcPr>
          <w:p w14:paraId="16495601">
            <w:pPr>
              <w:jc w:val="center"/>
              <w:rPr>
                <w:rFonts w:hint="eastAsia" w:ascii="宋体" w:hAnsi="宋体" w:eastAsia="宋体" w:cs="宋体"/>
                <w:sz w:val="22"/>
                <w:szCs w:val="22"/>
                <w:highlight w:val="none"/>
              </w:rPr>
            </w:pPr>
          </w:p>
        </w:tc>
        <w:tc>
          <w:tcPr>
            <w:tcW w:w="1155" w:type="dxa"/>
            <w:vAlign w:val="center"/>
          </w:tcPr>
          <w:p w14:paraId="31EF9BDF">
            <w:pPr>
              <w:jc w:val="center"/>
              <w:rPr>
                <w:rFonts w:hint="eastAsia" w:ascii="宋体" w:hAnsi="宋体" w:eastAsia="宋体" w:cs="宋体"/>
                <w:sz w:val="22"/>
                <w:szCs w:val="22"/>
                <w:highlight w:val="none"/>
              </w:rPr>
            </w:pPr>
          </w:p>
        </w:tc>
        <w:tc>
          <w:tcPr>
            <w:tcW w:w="1155" w:type="dxa"/>
            <w:vAlign w:val="center"/>
          </w:tcPr>
          <w:p w14:paraId="71D304DC">
            <w:pPr>
              <w:jc w:val="center"/>
              <w:rPr>
                <w:rFonts w:hint="eastAsia" w:ascii="宋体" w:hAnsi="宋体" w:eastAsia="宋体" w:cs="宋体"/>
                <w:sz w:val="22"/>
                <w:szCs w:val="22"/>
                <w:highlight w:val="none"/>
              </w:rPr>
            </w:pPr>
          </w:p>
        </w:tc>
        <w:tc>
          <w:tcPr>
            <w:tcW w:w="1155" w:type="dxa"/>
            <w:vAlign w:val="center"/>
          </w:tcPr>
          <w:p w14:paraId="3A222E0E">
            <w:pPr>
              <w:jc w:val="center"/>
              <w:rPr>
                <w:rFonts w:hint="eastAsia" w:ascii="宋体" w:hAnsi="宋体" w:eastAsia="宋体" w:cs="宋体"/>
                <w:sz w:val="22"/>
                <w:szCs w:val="22"/>
                <w:highlight w:val="none"/>
              </w:rPr>
            </w:pPr>
          </w:p>
        </w:tc>
        <w:tc>
          <w:tcPr>
            <w:tcW w:w="2555" w:type="dxa"/>
            <w:vAlign w:val="center"/>
          </w:tcPr>
          <w:p w14:paraId="7C6E6E05">
            <w:pPr>
              <w:jc w:val="center"/>
              <w:rPr>
                <w:rFonts w:hint="eastAsia" w:ascii="宋体" w:hAnsi="宋体" w:eastAsia="宋体" w:cs="宋体"/>
                <w:sz w:val="22"/>
                <w:szCs w:val="22"/>
                <w:highlight w:val="none"/>
              </w:rPr>
            </w:pPr>
          </w:p>
        </w:tc>
        <w:tc>
          <w:tcPr>
            <w:tcW w:w="690" w:type="dxa"/>
            <w:vAlign w:val="center"/>
          </w:tcPr>
          <w:p w14:paraId="4AE464C0">
            <w:pPr>
              <w:jc w:val="center"/>
              <w:rPr>
                <w:rFonts w:hint="eastAsia" w:ascii="宋体" w:hAnsi="宋体" w:eastAsia="宋体" w:cs="宋体"/>
                <w:sz w:val="22"/>
                <w:szCs w:val="22"/>
                <w:highlight w:val="none"/>
              </w:rPr>
            </w:pPr>
          </w:p>
        </w:tc>
      </w:tr>
      <w:tr w14:paraId="537D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3F9CDD76">
            <w:pPr>
              <w:jc w:val="center"/>
              <w:rPr>
                <w:rFonts w:hint="eastAsia" w:ascii="宋体" w:hAnsi="宋体" w:eastAsia="宋体" w:cs="宋体"/>
                <w:sz w:val="22"/>
                <w:szCs w:val="22"/>
                <w:highlight w:val="none"/>
              </w:rPr>
            </w:pPr>
          </w:p>
        </w:tc>
        <w:tc>
          <w:tcPr>
            <w:tcW w:w="1515" w:type="dxa"/>
            <w:vAlign w:val="center"/>
          </w:tcPr>
          <w:p w14:paraId="3301EC14">
            <w:pPr>
              <w:jc w:val="center"/>
              <w:rPr>
                <w:rFonts w:hint="eastAsia" w:ascii="宋体" w:hAnsi="宋体" w:eastAsia="宋体" w:cs="宋体"/>
                <w:sz w:val="22"/>
                <w:szCs w:val="22"/>
                <w:highlight w:val="none"/>
              </w:rPr>
            </w:pPr>
          </w:p>
        </w:tc>
        <w:tc>
          <w:tcPr>
            <w:tcW w:w="1048" w:type="dxa"/>
            <w:vAlign w:val="center"/>
          </w:tcPr>
          <w:p w14:paraId="407D6722">
            <w:pPr>
              <w:jc w:val="center"/>
              <w:rPr>
                <w:rFonts w:hint="eastAsia" w:ascii="宋体" w:hAnsi="宋体" w:eastAsia="宋体" w:cs="宋体"/>
                <w:sz w:val="22"/>
                <w:szCs w:val="22"/>
                <w:highlight w:val="none"/>
              </w:rPr>
            </w:pPr>
          </w:p>
        </w:tc>
        <w:tc>
          <w:tcPr>
            <w:tcW w:w="1155" w:type="dxa"/>
            <w:vAlign w:val="center"/>
          </w:tcPr>
          <w:p w14:paraId="3CD21073">
            <w:pPr>
              <w:jc w:val="center"/>
              <w:rPr>
                <w:rFonts w:hint="eastAsia" w:ascii="宋体" w:hAnsi="宋体" w:eastAsia="宋体" w:cs="宋体"/>
                <w:sz w:val="22"/>
                <w:szCs w:val="22"/>
                <w:highlight w:val="none"/>
              </w:rPr>
            </w:pPr>
          </w:p>
        </w:tc>
        <w:tc>
          <w:tcPr>
            <w:tcW w:w="1155" w:type="dxa"/>
            <w:vAlign w:val="center"/>
          </w:tcPr>
          <w:p w14:paraId="72408B8D">
            <w:pPr>
              <w:jc w:val="center"/>
              <w:rPr>
                <w:rFonts w:hint="eastAsia" w:ascii="宋体" w:hAnsi="宋体" w:eastAsia="宋体" w:cs="宋体"/>
                <w:sz w:val="22"/>
                <w:szCs w:val="22"/>
                <w:highlight w:val="none"/>
              </w:rPr>
            </w:pPr>
          </w:p>
        </w:tc>
        <w:tc>
          <w:tcPr>
            <w:tcW w:w="1155" w:type="dxa"/>
            <w:vAlign w:val="center"/>
          </w:tcPr>
          <w:p w14:paraId="00B2BA09">
            <w:pPr>
              <w:jc w:val="center"/>
              <w:rPr>
                <w:rFonts w:hint="eastAsia" w:ascii="宋体" w:hAnsi="宋体" w:eastAsia="宋体" w:cs="宋体"/>
                <w:sz w:val="22"/>
                <w:szCs w:val="22"/>
                <w:highlight w:val="none"/>
              </w:rPr>
            </w:pPr>
          </w:p>
        </w:tc>
        <w:tc>
          <w:tcPr>
            <w:tcW w:w="2555" w:type="dxa"/>
            <w:vAlign w:val="center"/>
          </w:tcPr>
          <w:p w14:paraId="0E4DE169">
            <w:pPr>
              <w:jc w:val="center"/>
              <w:rPr>
                <w:rFonts w:hint="eastAsia" w:ascii="宋体" w:hAnsi="宋体" w:eastAsia="宋体" w:cs="宋体"/>
                <w:sz w:val="22"/>
                <w:szCs w:val="22"/>
                <w:highlight w:val="none"/>
              </w:rPr>
            </w:pPr>
          </w:p>
        </w:tc>
        <w:tc>
          <w:tcPr>
            <w:tcW w:w="690" w:type="dxa"/>
            <w:vAlign w:val="center"/>
          </w:tcPr>
          <w:p w14:paraId="518E7CAA">
            <w:pPr>
              <w:jc w:val="center"/>
              <w:rPr>
                <w:rFonts w:hint="eastAsia" w:ascii="宋体" w:hAnsi="宋体" w:eastAsia="宋体" w:cs="宋体"/>
                <w:sz w:val="22"/>
                <w:szCs w:val="22"/>
                <w:highlight w:val="none"/>
              </w:rPr>
            </w:pPr>
          </w:p>
        </w:tc>
      </w:tr>
    </w:tbl>
    <w:p w14:paraId="543FDC0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09B6285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项目负责人</w:t>
      </w:r>
      <w:r>
        <w:rPr>
          <w:rFonts w:hint="default" w:ascii="宋体" w:hAnsi="宋体" w:eastAsia="宋体" w:cs="宋体"/>
          <w:sz w:val="24"/>
          <w:szCs w:val="24"/>
          <w:u w:val="none"/>
          <w:lang w:val="en-US" w:eastAsia="zh-CN"/>
        </w:rPr>
        <w:t>业绩</w:t>
      </w:r>
    </w:p>
    <w:tbl>
      <w:tblPr>
        <w:tblStyle w:val="1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515"/>
        <w:gridCol w:w="1048"/>
        <w:gridCol w:w="1155"/>
        <w:gridCol w:w="1155"/>
        <w:gridCol w:w="1155"/>
        <w:gridCol w:w="2555"/>
        <w:gridCol w:w="690"/>
      </w:tblGrid>
      <w:tr w14:paraId="1561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89" w:type="dxa"/>
            <w:vAlign w:val="center"/>
          </w:tcPr>
          <w:p w14:paraId="13F83AFB">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序号</w:t>
            </w:r>
          </w:p>
        </w:tc>
        <w:tc>
          <w:tcPr>
            <w:tcW w:w="1515" w:type="dxa"/>
            <w:vAlign w:val="center"/>
          </w:tcPr>
          <w:p w14:paraId="6E86470F">
            <w:pPr>
              <w:pStyle w:val="19"/>
              <w:ind w:right="-107" w:rightChars="-51"/>
              <w:jc w:val="center"/>
              <w:rPr>
                <w:rFonts w:hint="default"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采购单位名称</w:t>
            </w:r>
          </w:p>
        </w:tc>
        <w:tc>
          <w:tcPr>
            <w:tcW w:w="1048" w:type="dxa"/>
            <w:vAlign w:val="center"/>
          </w:tcPr>
          <w:p w14:paraId="3DEA480F">
            <w:pPr>
              <w:pStyle w:val="19"/>
              <w:ind w:right="-107" w:rightChars="-51"/>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项目名称</w:t>
            </w:r>
          </w:p>
        </w:tc>
        <w:tc>
          <w:tcPr>
            <w:tcW w:w="1155" w:type="dxa"/>
            <w:vAlign w:val="center"/>
          </w:tcPr>
          <w:p w14:paraId="121CB5AB">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项目内容</w:t>
            </w:r>
          </w:p>
        </w:tc>
        <w:tc>
          <w:tcPr>
            <w:tcW w:w="1155" w:type="dxa"/>
            <w:vAlign w:val="center"/>
          </w:tcPr>
          <w:p w14:paraId="4B7F757F">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合同总价</w:t>
            </w:r>
          </w:p>
        </w:tc>
        <w:tc>
          <w:tcPr>
            <w:tcW w:w="1155" w:type="dxa"/>
            <w:vAlign w:val="center"/>
          </w:tcPr>
          <w:p w14:paraId="3989F9D8">
            <w:pPr>
              <w:pStyle w:val="19"/>
              <w:jc w:val="cente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签订日期</w:t>
            </w:r>
          </w:p>
        </w:tc>
        <w:tc>
          <w:tcPr>
            <w:tcW w:w="2555" w:type="dxa"/>
            <w:vAlign w:val="center"/>
          </w:tcPr>
          <w:p w14:paraId="660EC0C0">
            <w:pPr>
              <w:pStyle w:val="19"/>
              <w:jc w:val="center"/>
              <w:rPr>
                <w:rFonts w:hint="eastAsia" w:ascii="宋体" w:hAnsi="宋体" w:eastAsia="宋体" w:cs="宋体"/>
                <w:color w:val="auto"/>
                <w:sz w:val="24"/>
                <w:szCs w:val="18"/>
                <w:highlight w:val="none"/>
              </w:rPr>
            </w:pPr>
            <w:r>
              <w:rPr>
                <w:rFonts w:hint="eastAsia" w:ascii="宋体" w:hAnsi="宋体" w:cs="宋体"/>
                <w:color w:val="auto"/>
                <w:sz w:val="24"/>
                <w:szCs w:val="18"/>
                <w:highlight w:val="none"/>
                <w:lang w:val="en-US" w:eastAsia="zh-CN"/>
              </w:rPr>
              <w:t>采购</w:t>
            </w:r>
            <w:r>
              <w:rPr>
                <w:rFonts w:hint="eastAsia" w:ascii="宋体" w:hAnsi="宋体" w:eastAsia="宋体" w:cs="宋体"/>
                <w:color w:val="auto"/>
                <w:sz w:val="24"/>
                <w:szCs w:val="18"/>
                <w:highlight w:val="none"/>
              </w:rPr>
              <w:t>单位联系人及电话</w:t>
            </w:r>
          </w:p>
        </w:tc>
        <w:tc>
          <w:tcPr>
            <w:tcW w:w="690" w:type="dxa"/>
            <w:vAlign w:val="center"/>
          </w:tcPr>
          <w:p w14:paraId="79ACFAEE">
            <w:pPr>
              <w:pStyle w:val="19"/>
              <w:jc w:val="center"/>
              <w:rPr>
                <w:rFonts w:hint="eastAsia" w:ascii="宋体" w:hAnsi="宋体" w:eastAsia="宋体" w:cs="宋体"/>
                <w:color w:val="auto"/>
                <w:sz w:val="24"/>
                <w:szCs w:val="18"/>
                <w:highlight w:val="none"/>
                <w:lang w:val="en-US" w:eastAsia="zh-CN"/>
              </w:rPr>
            </w:pPr>
            <w:r>
              <w:rPr>
                <w:rFonts w:hint="eastAsia" w:ascii="宋体" w:hAnsi="宋体" w:cs="宋体"/>
                <w:color w:val="auto"/>
                <w:sz w:val="24"/>
                <w:szCs w:val="18"/>
                <w:highlight w:val="none"/>
                <w:lang w:val="en-US" w:eastAsia="zh-CN"/>
              </w:rPr>
              <w:t>备注</w:t>
            </w:r>
          </w:p>
        </w:tc>
      </w:tr>
      <w:tr w14:paraId="48CD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047BBF9F">
            <w:pPr>
              <w:jc w:val="center"/>
              <w:rPr>
                <w:rFonts w:hint="eastAsia" w:ascii="宋体" w:hAnsi="宋体" w:eastAsia="宋体" w:cs="宋体"/>
                <w:sz w:val="22"/>
                <w:szCs w:val="22"/>
                <w:highlight w:val="none"/>
              </w:rPr>
            </w:pPr>
          </w:p>
        </w:tc>
        <w:tc>
          <w:tcPr>
            <w:tcW w:w="1515" w:type="dxa"/>
            <w:vAlign w:val="center"/>
          </w:tcPr>
          <w:p w14:paraId="2F8BE564">
            <w:pPr>
              <w:jc w:val="center"/>
              <w:rPr>
                <w:rFonts w:hint="eastAsia" w:ascii="宋体" w:hAnsi="宋体" w:eastAsia="宋体" w:cs="宋体"/>
                <w:sz w:val="22"/>
                <w:szCs w:val="22"/>
                <w:highlight w:val="none"/>
              </w:rPr>
            </w:pPr>
          </w:p>
        </w:tc>
        <w:tc>
          <w:tcPr>
            <w:tcW w:w="1048" w:type="dxa"/>
            <w:vAlign w:val="center"/>
          </w:tcPr>
          <w:p w14:paraId="20796802">
            <w:pPr>
              <w:jc w:val="center"/>
              <w:rPr>
                <w:rFonts w:hint="eastAsia" w:ascii="宋体" w:hAnsi="宋体" w:eastAsia="宋体" w:cs="宋体"/>
                <w:sz w:val="22"/>
                <w:szCs w:val="22"/>
                <w:highlight w:val="none"/>
              </w:rPr>
            </w:pPr>
          </w:p>
        </w:tc>
        <w:tc>
          <w:tcPr>
            <w:tcW w:w="1155" w:type="dxa"/>
            <w:vAlign w:val="center"/>
          </w:tcPr>
          <w:p w14:paraId="4A6A170B">
            <w:pPr>
              <w:jc w:val="center"/>
              <w:rPr>
                <w:rFonts w:hint="eastAsia" w:ascii="宋体" w:hAnsi="宋体" w:eastAsia="宋体" w:cs="宋体"/>
                <w:sz w:val="22"/>
                <w:szCs w:val="22"/>
                <w:highlight w:val="none"/>
              </w:rPr>
            </w:pPr>
          </w:p>
        </w:tc>
        <w:tc>
          <w:tcPr>
            <w:tcW w:w="1155" w:type="dxa"/>
            <w:vAlign w:val="center"/>
          </w:tcPr>
          <w:p w14:paraId="53C341DD">
            <w:pPr>
              <w:jc w:val="center"/>
              <w:rPr>
                <w:rFonts w:hint="eastAsia" w:ascii="宋体" w:hAnsi="宋体" w:eastAsia="宋体" w:cs="宋体"/>
                <w:sz w:val="22"/>
                <w:szCs w:val="22"/>
                <w:highlight w:val="none"/>
              </w:rPr>
            </w:pPr>
          </w:p>
        </w:tc>
        <w:tc>
          <w:tcPr>
            <w:tcW w:w="1155" w:type="dxa"/>
            <w:vAlign w:val="center"/>
          </w:tcPr>
          <w:p w14:paraId="38EB8F7B">
            <w:pPr>
              <w:jc w:val="center"/>
              <w:rPr>
                <w:rFonts w:hint="eastAsia" w:ascii="宋体" w:hAnsi="宋体" w:eastAsia="宋体" w:cs="宋体"/>
                <w:sz w:val="22"/>
                <w:szCs w:val="22"/>
                <w:highlight w:val="none"/>
              </w:rPr>
            </w:pPr>
          </w:p>
        </w:tc>
        <w:tc>
          <w:tcPr>
            <w:tcW w:w="2555" w:type="dxa"/>
            <w:vAlign w:val="center"/>
          </w:tcPr>
          <w:p w14:paraId="6F403F01">
            <w:pPr>
              <w:jc w:val="center"/>
              <w:rPr>
                <w:rFonts w:hint="eastAsia" w:ascii="宋体" w:hAnsi="宋体" w:eastAsia="宋体" w:cs="宋体"/>
                <w:sz w:val="22"/>
                <w:szCs w:val="22"/>
                <w:highlight w:val="none"/>
              </w:rPr>
            </w:pPr>
          </w:p>
        </w:tc>
        <w:tc>
          <w:tcPr>
            <w:tcW w:w="690" w:type="dxa"/>
            <w:vAlign w:val="center"/>
          </w:tcPr>
          <w:p w14:paraId="4A344F4C">
            <w:pPr>
              <w:jc w:val="center"/>
              <w:rPr>
                <w:rFonts w:hint="eastAsia" w:ascii="宋体" w:hAnsi="宋体" w:eastAsia="宋体" w:cs="宋体"/>
                <w:sz w:val="22"/>
                <w:szCs w:val="22"/>
                <w:highlight w:val="none"/>
              </w:rPr>
            </w:pPr>
          </w:p>
        </w:tc>
      </w:tr>
      <w:tr w14:paraId="7799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89" w:type="dxa"/>
            <w:vAlign w:val="center"/>
          </w:tcPr>
          <w:p w14:paraId="0F775026">
            <w:pPr>
              <w:jc w:val="center"/>
              <w:rPr>
                <w:rFonts w:hint="eastAsia" w:ascii="宋体" w:hAnsi="宋体" w:eastAsia="宋体" w:cs="宋体"/>
                <w:sz w:val="22"/>
                <w:szCs w:val="22"/>
                <w:highlight w:val="none"/>
              </w:rPr>
            </w:pPr>
          </w:p>
        </w:tc>
        <w:tc>
          <w:tcPr>
            <w:tcW w:w="1515" w:type="dxa"/>
            <w:vAlign w:val="center"/>
          </w:tcPr>
          <w:p w14:paraId="49DBA243">
            <w:pPr>
              <w:jc w:val="center"/>
              <w:rPr>
                <w:rFonts w:hint="eastAsia" w:ascii="宋体" w:hAnsi="宋体" w:eastAsia="宋体" w:cs="宋体"/>
                <w:sz w:val="22"/>
                <w:szCs w:val="22"/>
                <w:highlight w:val="none"/>
              </w:rPr>
            </w:pPr>
          </w:p>
        </w:tc>
        <w:tc>
          <w:tcPr>
            <w:tcW w:w="1048" w:type="dxa"/>
            <w:vAlign w:val="center"/>
          </w:tcPr>
          <w:p w14:paraId="6087A627">
            <w:pPr>
              <w:jc w:val="center"/>
              <w:rPr>
                <w:rFonts w:hint="eastAsia" w:ascii="宋体" w:hAnsi="宋体" w:eastAsia="宋体" w:cs="宋体"/>
                <w:sz w:val="22"/>
                <w:szCs w:val="22"/>
                <w:highlight w:val="none"/>
              </w:rPr>
            </w:pPr>
          </w:p>
        </w:tc>
        <w:tc>
          <w:tcPr>
            <w:tcW w:w="1155" w:type="dxa"/>
            <w:vAlign w:val="center"/>
          </w:tcPr>
          <w:p w14:paraId="17C428E3">
            <w:pPr>
              <w:jc w:val="center"/>
              <w:rPr>
                <w:rFonts w:hint="eastAsia" w:ascii="宋体" w:hAnsi="宋体" w:eastAsia="宋体" w:cs="宋体"/>
                <w:sz w:val="22"/>
                <w:szCs w:val="22"/>
                <w:highlight w:val="none"/>
              </w:rPr>
            </w:pPr>
          </w:p>
        </w:tc>
        <w:tc>
          <w:tcPr>
            <w:tcW w:w="1155" w:type="dxa"/>
            <w:vAlign w:val="center"/>
          </w:tcPr>
          <w:p w14:paraId="06AF92D9">
            <w:pPr>
              <w:jc w:val="center"/>
              <w:rPr>
                <w:rFonts w:hint="eastAsia" w:ascii="宋体" w:hAnsi="宋体" w:eastAsia="宋体" w:cs="宋体"/>
                <w:sz w:val="22"/>
                <w:szCs w:val="22"/>
                <w:highlight w:val="none"/>
              </w:rPr>
            </w:pPr>
          </w:p>
        </w:tc>
        <w:tc>
          <w:tcPr>
            <w:tcW w:w="1155" w:type="dxa"/>
            <w:vAlign w:val="center"/>
          </w:tcPr>
          <w:p w14:paraId="050A8BF0">
            <w:pPr>
              <w:jc w:val="center"/>
              <w:rPr>
                <w:rFonts w:hint="eastAsia" w:ascii="宋体" w:hAnsi="宋体" w:eastAsia="宋体" w:cs="宋体"/>
                <w:sz w:val="22"/>
                <w:szCs w:val="22"/>
                <w:highlight w:val="none"/>
              </w:rPr>
            </w:pPr>
          </w:p>
        </w:tc>
        <w:tc>
          <w:tcPr>
            <w:tcW w:w="2555" w:type="dxa"/>
            <w:vAlign w:val="center"/>
          </w:tcPr>
          <w:p w14:paraId="4FDB5C14">
            <w:pPr>
              <w:jc w:val="center"/>
              <w:rPr>
                <w:rFonts w:hint="eastAsia" w:ascii="宋体" w:hAnsi="宋体" w:eastAsia="宋体" w:cs="宋体"/>
                <w:sz w:val="22"/>
                <w:szCs w:val="22"/>
                <w:highlight w:val="none"/>
              </w:rPr>
            </w:pPr>
          </w:p>
        </w:tc>
        <w:tc>
          <w:tcPr>
            <w:tcW w:w="690" w:type="dxa"/>
            <w:vAlign w:val="center"/>
          </w:tcPr>
          <w:p w14:paraId="13C77B5D">
            <w:pPr>
              <w:jc w:val="center"/>
              <w:rPr>
                <w:rFonts w:hint="eastAsia" w:ascii="宋体" w:hAnsi="宋体" w:eastAsia="宋体" w:cs="宋体"/>
                <w:sz w:val="22"/>
                <w:szCs w:val="22"/>
                <w:highlight w:val="none"/>
              </w:rPr>
            </w:pPr>
          </w:p>
        </w:tc>
      </w:tr>
      <w:tr w14:paraId="2EB3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9" w:type="dxa"/>
            <w:vAlign w:val="center"/>
          </w:tcPr>
          <w:p w14:paraId="09249EB0">
            <w:pPr>
              <w:jc w:val="center"/>
              <w:rPr>
                <w:rFonts w:hint="eastAsia" w:ascii="宋体" w:hAnsi="宋体" w:eastAsia="宋体" w:cs="宋体"/>
                <w:sz w:val="22"/>
                <w:szCs w:val="22"/>
                <w:highlight w:val="none"/>
              </w:rPr>
            </w:pPr>
          </w:p>
        </w:tc>
        <w:tc>
          <w:tcPr>
            <w:tcW w:w="1515" w:type="dxa"/>
            <w:vAlign w:val="center"/>
          </w:tcPr>
          <w:p w14:paraId="63E62BCA">
            <w:pPr>
              <w:jc w:val="center"/>
              <w:rPr>
                <w:rFonts w:hint="eastAsia" w:ascii="宋体" w:hAnsi="宋体" w:eastAsia="宋体" w:cs="宋体"/>
                <w:sz w:val="22"/>
                <w:szCs w:val="22"/>
                <w:highlight w:val="none"/>
              </w:rPr>
            </w:pPr>
          </w:p>
        </w:tc>
        <w:tc>
          <w:tcPr>
            <w:tcW w:w="1048" w:type="dxa"/>
            <w:vAlign w:val="center"/>
          </w:tcPr>
          <w:p w14:paraId="78DA9BDF">
            <w:pPr>
              <w:jc w:val="center"/>
              <w:rPr>
                <w:rFonts w:hint="eastAsia" w:ascii="宋体" w:hAnsi="宋体" w:eastAsia="宋体" w:cs="宋体"/>
                <w:sz w:val="22"/>
                <w:szCs w:val="22"/>
                <w:highlight w:val="none"/>
              </w:rPr>
            </w:pPr>
          </w:p>
        </w:tc>
        <w:tc>
          <w:tcPr>
            <w:tcW w:w="1155" w:type="dxa"/>
            <w:vAlign w:val="center"/>
          </w:tcPr>
          <w:p w14:paraId="2AAC692F">
            <w:pPr>
              <w:jc w:val="center"/>
              <w:rPr>
                <w:rFonts w:hint="eastAsia" w:ascii="宋体" w:hAnsi="宋体" w:eastAsia="宋体" w:cs="宋体"/>
                <w:sz w:val="22"/>
                <w:szCs w:val="22"/>
                <w:highlight w:val="none"/>
              </w:rPr>
            </w:pPr>
          </w:p>
        </w:tc>
        <w:tc>
          <w:tcPr>
            <w:tcW w:w="1155" w:type="dxa"/>
            <w:vAlign w:val="center"/>
          </w:tcPr>
          <w:p w14:paraId="2CFE8246">
            <w:pPr>
              <w:jc w:val="center"/>
              <w:rPr>
                <w:rFonts w:hint="eastAsia" w:ascii="宋体" w:hAnsi="宋体" w:eastAsia="宋体" w:cs="宋体"/>
                <w:sz w:val="22"/>
                <w:szCs w:val="22"/>
                <w:highlight w:val="none"/>
              </w:rPr>
            </w:pPr>
          </w:p>
        </w:tc>
        <w:tc>
          <w:tcPr>
            <w:tcW w:w="1155" w:type="dxa"/>
            <w:vAlign w:val="center"/>
          </w:tcPr>
          <w:p w14:paraId="7AD0055F">
            <w:pPr>
              <w:jc w:val="center"/>
              <w:rPr>
                <w:rFonts w:hint="eastAsia" w:ascii="宋体" w:hAnsi="宋体" w:eastAsia="宋体" w:cs="宋体"/>
                <w:sz w:val="22"/>
                <w:szCs w:val="22"/>
                <w:highlight w:val="none"/>
              </w:rPr>
            </w:pPr>
          </w:p>
        </w:tc>
        <w:tc>
          <w:tcPr>
            <w:tcW w:w="2555" w:type="dxa"/>
            <w:vAlign w:val="center"/>
          </w:tcPr>
          <w:p w14:paraId="130BAD32">
            <w:pPr>
              <w:jc w:val="center"/>
              <w:rPr>
                <w:rFonts w:hint="eastAsia" w:ascii="宋体" w:hAnsi="宋体" w:eastAsia="宋体" w:cs="宋体"/>
                <w:sz w:val="22"/>
                <w:szCs w:val="22"/>
                <w:highlight w:val="none"/>
              </w:rPr>
            </w:pPr>
          </w:p>
        </w:tc>
        <w:tc>
          <w:tcPr>
            <w:tcW w:w="690" w:type="dxa"/>
            <w:vAlign w:val="center"/>
          </w:tcPr>
          <w:p w14:paraId="4E0AFBD7">
            <w:pPr>
              <w:jc w:val="center"/>
              <w:rPr>
                <w:rFonts w:hint="eastAsia" w:ascii="宋体" w:hAnsi="宋体" w:eastAsia="宋体" w:cs="宋体"/>
                <w:sz w:val="22"/>
                <w:szCs w:val="22"/>
                <w:highlight w:val="none"/>
              </w:rPr>
            </w:pPr>
          </w:p>
        </w:tc>
      </w:tr>
    </w:tbl>
    <w:p w14:paraId="0534832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hint="default" w:ascii="宋体" w:hAnsi="宋体" w:eastAsia="宋体" w:cs="宋体"/>
          <w:sz w:val="24"/>
          <w:szCs w:val="24"/>
          <w:u w:val="none"/>
          <w:lang w:val="en-US" w:eastAsia="zh-CN"/>
        </w:rPr>
      </w:pPr>
      <w:r>
        <w:rPr>
          <w:rFonts w:hint="default" w:ascii="宋体" w:hAnsi="宋体" w:eastAsia="宋体" w:cs="宋体"/>
          <w:sz w:val="24"/>
          <w:szCs w:val="24"/>
          <w:u w:val="none"/>
          <w:lang w:val="en-US" w:eastAsia="zh-CN"/>
        </w:rPr>
        <w:t>附：需提供合同彩色扫描件。</w:t>
      </w:r>
    </w:p>
    <w:p w14:paraId="5FE6F4CB">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br w:type="page"/>
      </w:r>
    </w:p>
    <w:p w14:paraId="20955005">
      <w:pPr>
        <w:jc w:val="center"/>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四</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项目现场管理班子配备一览表</w:t>
      </w:r>
    </w:p>
    <w:tbl>
      <w:tblPr>
        <w:tblStyle w:val="15"/>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1991"/>
        <w:gridCol w:w="1992"/>
        <w:gridCol w:w="1992"/>
        <w:gridCol w:w="1994"/>
      </w:tblGrid>
      <w:tr w14:paraId="0D2B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60F2A7C">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岗位职务</w:t>
            </w:r>
          </w:p>
        </w:tc>
        <w:tc>
          <w:tcPr>
            <w:tcW w:w="1991" w:type="dxa"/>
            <w:vAlign w:val="center"/>
          </w:tcPr>
          <w:p w14:paraId="72B14D9D">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姓名</w:t>
            </w:r>
          </w:p>
        </w:tc>
        <w:tc>
          <w:tcPr>
            <w:tcW w:w="1992" w:type="dxa"/>
            <w:vAlign w:val="center"/>
          </w:tcPr>
          <w:p w14:paraId="24F4486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职称</w:t>
            </w:r>
          </w:p>
        </w:tc>
        <w:tc>
          <w:tcPr>
            <w:tcW w:w="1992" w:type="dxa"/>
            <w:vAlign w:val="center"/>
          </w:tcPr>
          <w:p w14:paraId="33C04FAD">
            <w:pPr>
              <w:jc w:val="cente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证书编号</w:t>
            </w:r>
          </w:p>
        </w:tc>
        <w:tc>
          <w:tcPr>
            <w:tcW w:w="1994" w:type="dxa"/>
            <w:vAlign w:val="center"/>
          </w:tcPr>
          <w:p w14:paraId="602D683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25D5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E48A82E">
            <w:pPr>
              <w:jc w:val="center"/>
              <w:rPr>
                <w:rFonts w:hint="default" w:ascii="宋体" w:hAnsi="宋体" w:eastAsia="宋体" w:cs="宋体"/>
                <w:sz w:val="24"/>
                <w:szCs w:val="24"/>
                <w:vertAlign w:val="baseline"/>
                <w:lang w:val="en-US" w:eastAsia="zh-CN"/>
              </w:rPr>
            </w:pPr>
          </w:p>
        </w:tc>
        <w:tc>
          <w:tcPr>
            <w:tcW w:w="1991" w:type="dxa"/>
            <w:vAlign w:val="center"/>
          </w:tcPr>
          <w:p w14:paraId="4019F807">
            <w:pPr>
              <w:jc w:val="center"/>
              <w:rPr>
                <w:rFonts w:hint="default" w:ascii="宋体" w:hAnsi="宋体" w:eastAsia="宋体" w:cs="宋体"/>
                <w:sz w:val="24"/>
                <w:szCs w:val="24"/>
                <w:vertAlign w:val="baseline"/>
                <w:lang w:val="en-US" w:eastAsia="zh-CN"/>
              </w:rPr>
            </w:pPr>
          </w:p>
        </w:tc>
        <w:tc>
          <w:tcPr>
            <w:tcW w:w="1992" w:type="dxa"/>
            <w:vAlign w:val="center"/>
          </w:tcPr>
          <w:p w14:paraId="3E2F2067">
            <w:pPr>
              <w:jc w:val="center"/>
              <w:rPr>
                <w:rFonts w:hint="default" w:ascii="宋体" w:hAnsi="宋体" w:eastAsia="宋体" w:cs="宋体"/>
                <w:sz w:val="24"/>
                <w:szCs w:val="24"/>
                <w:vertAlign w:val="baseline"/>
                <w:lang w:val="en-US" w:eastAsia="zh-CN"/>
              </w:rPr>
            </w:pPr>
          </w:p>
        </w:tc>
        <w:tc>
          <w:tcPr>
            <w:tcW w:w="1992" w:type="dxa"/>
            <w:vAlign w:val="center"/>
          </w:tcPr>
          <w:p w14:paraId="7554CAB7">
            <w:pPr>
              <w:jc w:val="center"/>
              <w:rPr>
                <w:rFonts w:hint="default" w:ascii="宋体" w:hAnsi="宋体" w:eastAsia="宋体" w:cs="宋体"/>
                <w:sz w:val="24"/>
                <w:szCs w:val="24"/>
                <w:vertAlign w:val="baseline"/>
                <w:lang w:val="en-US" w:eastAsia="zh-CN"/>
              </w:rPr>
            </w:pPr>
          </w:p>
        </w:tc>
        <w:tc>
          <w:tcPr>
            <w:tcW w:w="1994" w:type="dxa"/>
            <w:vAlign w:val="center"/>
          </w:tcPr>
          <w:p w14:paraId="7206F699">
            <w:pPr>
              <w:jc w:val="center"/>
              <w:rPr>
                <w:rFonts w:hint="default" w:ascii="宋体" w:hAnsi="宋体" w:eastAsia="宋体" w:cs="宋体"/>
                <w:sz w:val="24"/>
                <w:szCs w:val="24"/>
                <w:vertAlign w:val="baseline"/>
                <w:lang w:val="en-US" w:eastAsia="zh-CN"/>
              </w:rPr>
            </w:pPr>
          </w:p>
        </w:tc>
      </w:tr>
      <w:tr w14:paraId="4100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46A34FAC">
            <w:pPr>
              <w:jc w:val="center"/>
              <w:rPr>
                <w:rFonts w:hint="default" w:ascii="宋体" w:hAnsi="宋体" w:eastAsia="宋体" w:cs="宋体"/>
                <w:sz w:val="24"/>
                <w:szCs w:val="24"/>
                <w:vertAlign w:val="baseline"/>
                <w:lang w:val="en-US" w:eastAsia="zh-CN"/>
              </w:rPr>
            </w:pPr>
          </w:p>
        </w:tc>
        <w:tc>
          <w:tcPr>
            <w:tcW w:w="1991" w:type="dxa"/>
            <w:vAlign w:val="center"/>
          </w:tcPr>
          <w:p w14:paraId="64D533D8">
            <w:pPr>
              <w:jc w:val="center"/>
              <w:rPr>
                <w:rFonts w:hint="default" w:ascii="宋体" w:hAnsi="宋体" w:eastAsia="宋体" w:cs="宋体"/>
                <w:sz w:val="24"/>
                <w:szCs w:val="24"/>
                <w:vertAlign w:val="baseline"/>
                <w:lang w:val="en-US" w:eastAsia="zh-CN"/>
              </w:rPr>
            </w:pPr>
          </w:p>
        </w:tc>
        <w:tc>
          <w:tcPr>
            <w:tcW w:w="1992" w:type="dxa"/>
            <w:vAlign w:val="center"/>
          </w:tcPr>
          <w:p w14:paraId="3D58D765">
            <w:pPr>
              <w:jc w:val="center"/>
              <w:rPr>
                <w:rFonts w:hint="default" w:ascii="宋体" w:hAnsi="宋体" w:eastAsia="宋体" w:cs="宋体"/>
                <w:sz w:val="24"/>
                <w:szCs w:val="24"/>
                <w:vertAlign w:val="baseline"/>
                <w:lang w:val="en-US" w:eastAsia="zh-CN"/>
              </w:rPr>
            </w:pPr>
          </w:p>
        </w:tc>
        <w:tc>
          <w:tcPr>
            <w:tcW w:w="1992" w:type="dxa"/>
            <w:vAlign w:val="center"/>
          </w:tcPr>
          <w:p w14:paraId="035F4A5F">
            <w:pPr>
              <w:jc w:val="center"/>
              <w:rPr>
                <w:rFonts w:hint="default" w:ascii="宋体" w:hAnsi="宋体" w:eastAsia="宋体" w:cs="宋体"/>
                <w:sz w:val="24"/>
                <w:szCs w:val="24"/>
                <w:vertAlign w:val="baseline"/>
                <w:lang w:val="en-US" w:eastAsia="zh-CN"/>
              </w:rPr>
            </w:pPr>
          </w:p>
        </w:tc>
        <w:tc>
          <w:tcPr>
            <w:tcW w:w="1994" w:type="dxa"/>
            <w:vAlign w:val="center"/>
          </w:tcPr>
          <w:p w14:paraId="7DCDCABD">
            <w:pPr>
              <w:jc w:val="center"/>
              <w:rPr>
                <w:rFonts w:hint="default" w:ascii="宋体" w:hAnsi="宋体" w:eastAsia="宋体" w:cs="宋体"/>
                <w:sz w:val="24"/>
                <w:szCs w:val="24"/>
                <w:vertAlign w:val="baseline"/>
                <w:lang w:val="en-US" w:eastAsia="zh-CN"/>
              </w:rPr>
            </w:pPr>
          </w:p>
        </w:tc>
      </w:tr>
      <w:tr w14:paraId="64CFD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1E81E368">
            <w:pPr>
              <w:jc w:val="center"/>
              <w:rPr>
                <w:rFonts w:hint="default" w:ascii="宋体" w:hAnsi="宋体" w:eastAsia="宋体" w:cs="宋体"/>
                <w:sz w:val="24"/>
                <w:szCs w:val="24"/>
                <w:vertAlign w:val="baseline"/>
                <w:lang w:val="en-US" w:eastAsia="zh-CN"/>
              </w:rPr>
            </w:pPr>
          </w:p>
        </w:tc>
        <w:tc>
          <w:tcPr>
            <w:tcW w:w="1991" w:type="dxa"/>
            <w:vAlign w:val="center"/>
          </w:tcPr>
          <w:p w14:paraId="043A6E52">
            <w:pPr>
              <w:jc w:val="center"/>
              <w:rPr>
                <w:rFonts w:hint="default" w:ascii="宋体" w:hAnsi="宋体" w:eastAsia="宋体" w:cs="宋体"/>
                <w:sz w:val="24"/>
                <w:szCs w:val="24"/>
                <w:vertAlign w:val="baseline"/>
                <w:lang w:val="en-US" w:eastAsia="zh-CN"/>
              </w:rPr>
            </w:pPr>
          </w:p>
        </w:tc>
        <w:tc>
          <w:tcPr>
            <w:tcW w:w="1992" w:type="dxa"/>
            <w:vAlign w:val="center"/>
          </w:tcPr>
          <w:p w14:paraId="33DB2E9F">
            <w:pPr>
              <w:jc w:val="center"/>
              <w:rPr>
                <w:rFonts w:hint="default" w:ascii="宋体" w:hAnsi="宋体" w:eastAsia="宋体" w:cs="宋体"/>
                <w:sz w:val="24"/>
                <w:szCs w:val="24"/>
                <w:vertAlign w:val="baseline"/>
                <w:lang w:val="en-US" w:eastAsia="zh-CN"/>
              </w:rPr>
            </w:pPr>
          </w:p>
        </w:tc>
        <w:tc>
          <w:tcPr>
            <w:tcW w:w="1992" w:type="dxa"/>
            <w:vAlign w:val="center"/>
          </w:tcPr>
          <w:p w14:paraId="493AE78B">
            <w:pPr>
              <w:jc w:val="center"/>
              <w:rPr>
                <w:rFonts w:hint="default" w:ascii="宋体" w:hAnsi="宋体" w:eastAsia="宋体" w:cs="宋体"/>
                <w:sz w:val="24"/>
                <w:szCs w:val="24"/>
                <w:vertAlign w:val="baseline"/>
                <w:lang w:val="en-US" w:eastAsia="zh-CN"/>
              </w:rPr>
            </w:pPr>
          </w:p>
        </w:tc>
        <w:tc>
          <w:tcPr>
            <w:tcW w:w="1994" w:type="dxa"/>
            <w:vAlign w:val="center"/>
          </w:tcPr>
          <w:p w14:paraId="6321C1A1">
            <w:pPr>
              <w:jc w:val="center"/>
              <w:rPr>
                <w:rFonts w:hint="default" w:ascii="宋体" w:hAnsi="宋体" w:eastAsia="宋体" w:cs="宋体"/>
                <w:sz w:val="24"/>
                <w:szCs w:val="24"/>
                <w:vertAlign w:val="baseline"/>
                <w:lang w:val="en-US" w:eastAsia="zh-CN"/>
              </w:rPr>
            </w:pPr>
          </w:p>
        </w:tc>
      </w:tr>
      <w:tr w14:paraId="397F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6564A903">
            <w:pPr>
              <w:jc w:val="center"/>
              <w:rPr>
                <w:rFonts w:hint="default" w:ascii="宋体" w:hAnsi="宋体" w:eastAsia="宋体" w:cs="宋体"/>
                <w:sz w:val="24"/>
                <w:szCs w:val="24"/>
                <w:vertAlign w:val="baseline"/>
                <w:lang w:val="en-US" w:eastAsia="zh-CN"/>
              </w:rPr>
            </w:pPr>
          </w:p>
        </w:tc>
        <w:tc>
          <w:tcPr>
            <w:tcW w:w="1991" w:type="dxa"/>
            <w:vAlign w:val="center"/>
          </w:tcPr>
          <w:p w14:paraId="1F2691CE">
            <w:pPr>
              <w:jc w:val="center"/>
              <w:rPr>
                <w:rFonts w:hint="default" w:ascii="宋体" w:hAnsi="宋体" w:eastAsia="宋体" w:cs="宋体"/>
                <w:sz w:val="24"/>
                <w:szCs w:val="24"/>
                <w:vertAlign w:val="baseline"/>
                <w:lang w:val="en-US" w:eastAsia="zh-CN"/>
              </w:rPr>
            </w:pPr>
          </w:p>
        </w:tc>
        <w:tc>
          <w:tcPr>
            <w:tcW w:w="1992" w:type="dxa"/>
            <w:vAlign w:val="center"/>
          </w:tcPr>
          <w:p w14:paraId="43F52DC3">
            <w:pPr>
              <w:jc w:val="center"/>
              <w:rPr>
                <w:rFonts w:hint="default" w:ascii="宋体" w:hAnsi="宋体" w:eastAsia="宋体" w:cs="宋体"/>
                <w:sz w:val="24"/>
                <w:szCs w:val="24"/>
                <w:vertAlign w:val="baseline"/>
                <w:lang w:val="en-US" w:eastAsia="zh-CN"/>
              </w:rPr>
            </w:pPr>
          </w:p>
        </w:tc>
        <w:tc>
          <w:tcPr>
            <w:tcW w:w="1992" w:type="dxa"/>
            <w:vAlign w:val="center"/>
          </w:tcPr>
          <w:p w14:paraId="45B6F27F">
            <w:pPr>
              <w:jc w:val="center"/>
              <w:rPr>
                <w:rFonts w:hint="default" w:ascii="宋体" w:hAnsi="宋体" w:eastAsia="宋体" w:cs="宋体"/>
                <w:sz w:val="24"/>
                <w:szCs w:val="24"/>
                <w:vertAlign w:val="baseline"/>
                <w:lang w:val="en-US" w:eastAsia="zh-CN"/>
              </w:rPr>
            </w:pPr>
          </w:p>
        </w:tc>
        <w:tc>
          <w:tcPr>
            <w:tcW w:w="1994" w:type="dxa"/>
            <w:vAlign w:val="center"/>
          </w:tcPr>
          <w:p w14:paraId="651A6219">
            <w:pPr>
              <w:jc w:val="center"/>
              <w:rPr>
                <w:rFonts w:hint="default" w:ascii="宋体" w:hAnsi="宋体" w:eastAsia="宋体" w:cs="宋体"/>
                <w:sz w:val="24"/>
                <w:szCs w:val="24"/>
                <w:vertAlign w:val="baseline"/>
                <w:lang w:val="en-US" w:eastAsia="zh-CN"/>
              </w:rPr>
            </w:pPr>
          </w:p>
        </w:tc>
      </w:tr>
      <w:tr w14:paraId="2E64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199940A6">
            <w:pPr>
              <w:jc w:val="center"/>
              <w:rPr>
                <w:rFonts w:hint="default" w:ascii="宋体" w:hAnsi="宋体" w:eastAsia="宋体" w:cs="宋体"/>
                <w:sz w:val="24"/>
                <w:szCs w:val="24"/>
                <w:vertAlign w:val="baseline"/>
                <w:lang w:val="en-US" w:eastAsia="zh-CN"/>
              </w:rPr>
            </w:pPr>
          </w:p>
        </w:tc>
        <w:tc>
          <w:tcPr>
            <w:tcW w:w="1991" w:type="dxa"/>
            <w:vAlign w:val="center"/>
          </w:tcPr>
          <w:p w14:paraId="4C961274">
            <w:pPr>
              <w:jc w:val="center"/>
              <w:rPr>
                <w:rFonts w:hint="default" w:ascii="宋体" w:hAnsi="宋体" w:eastAsia="宋体" w:cs="宋体"/>
                <w:sz w:val="24"/>
                <w:szCs w:val="24"/>
                <w:vertAlign w:val="baseline"/>
                <w:lang w:val="en-US" w:eastAsia="zh-CN"/>
              </w:rPr>
            </w:pPr>
          </w:p>
        </w:tc>
        <w:tc>
          <w:tcPr>
            <w:tcW w:w="1992" w:type="dxa"/>
            <w:vAlign w:val="center"/>
          </w:tcPr>
          <w:p w14:paraId="093498F5">
            <w:pPr>
              <w:jc w:val="center"/>
              <w:rPr>
                <w:rFonts w:hint="default" w:ascii="宋体" w:hAnsi="宋体" w:eastAsia="宋体" w:cs="宋体"/>
                <w:sz w:val="24"/>
                <w:szCs w:val="24"/>
                <w:vertAlign w:val="baseline"/>
                <w:lang w:val="en-US" w:eastAsia="zh-CN"/>
              </w:rPr>
            </w:pPr>
          </w:p>
        </w:tc>
        <w:tc>
          <w:tcPr>
            <w:tcW w:w="1992" w:type="dxa"/>
            <w:vAlign w:val="center"/>
          </w:tcPr>
          <w:p w14:paraId="1CF3A1AE">
            <w:pPr>
              <w:jc w:val="center"/>
              <w:rPr>
                <w:rFonts w:hint="default" w:ascii="宋体" w:hAnsi="宋体" w:eastAsia="宋体" w:cs="宋体"/>
                <w:sz w:val="24"/>
                <w:szCs w:val="24"/>
                <w:vertAlign w:val="baseline"/>
                <w:lang w:val="en-US" w:eastAsia="zh-CN"/>
              </w:rPr>
            </w:pPr>
          </w:p>
        </w:tc>
        <w:tc>
          <w:tcPr>
            <w:tcW w:w="1994" w:type="dxa"/>
            <w:vAlign w:val="center"/>
          </w:tcPr>
          <w:p w14:paraId="60C1ED67">
            <w:pPr>
              <w:jc w:val="center"/>
              <w:rPr>
                <w:rFonts w:hint="default" w:ascii="宋体" w:hAnsi="宋体" w:eastAsia="宋体" w:cs="宋体"/>
                <w:sz w:val="24"/>
                <w:szCs w:val="24"/>
                <w:vertAlign w:val="baseline"/>
                <w:lang w:val="en-US" w:eastAsia="zh-CN"/>
              </w:rPr>
            </w:pPr>
          </w:p>
        </w:tc>
      </w:tr>
      <w:tr w14:paraId="49BE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7A5E704E">
            <w:pPr>
              <w:jc w:val="center"/>
              <w:rPr>
                <w:rFonts w:hint="default" w:ascii="宋体" w:hAnsi="宋体" w:eastAsia="宋体" w:cs="宋体"/>
                <w:sz w:val="24"/>
                <w:szCs w:val="24"/>
                <w:vertAlign w:val="baseline"/>
                <w:lang w:val="en-US" w:eastAsia="zh-CN"/>
              </w:rPr>
            </w:pPr>
          </w:p>
        </w:tc>
        <w:tc>
          <w:tcPr>
            <w:tcW w:w="1991" w:type="dxa"/>
            <w:vAlign w:val="center"/>
          </w:tcPr>
          <w:p w14:paraId="6DD5720C">
            <w:pPr>
              <w:jc w:val="center"/>
              <w:rPr>
                <w:rFonts w:hint="default" w:ascii="宋体" w:hAnsi="宋体" w:eastAsia="宋体" w:cs="宋体"/>
                <w:sz w:val="24"/>
                <w:szCs w:val="24"/>
                <w:vertAlign w:val="baseline"/>
                <w:lang w:val="en-US" w:eastAsia="zh-CN"/>
              </w:rPr>
            </w:pPr>
          </w:p>
        </w:tc>
        <w:tc>
          <w:tcPr>
            <w:tcW w:w="1992" w:type="dxa"/>
            <w:vAlign w:val="center"/>
          </w:tcPr>
          <w:p w14:paraId="1B90BD79">
            <w:pPr>
              <w:jc w:val="center"/>
              <w:rPr>
                <w:rFonts w:hint="default" w:ascii="宋体" w:hAnsi="宋体" w:eastAsia="宋体" w:cs="宋体"/>
                <w:sz w:val="24"/>
                <w:szCs w:val="24"/>
                <w:vertAlign w:val="baseline"/>
                <w:lang w:val="en-US" w:eastAsia="zh-CN"/>
              </w:rPr>
            </w:pPr>
          </w:p>
        </w:tc>
        <w:tc>
          <w:tcPr>
            <w:tcW w:w="1992" w:type="dxa"/>
            <w:vAlign w:val="center"/>
          </w:tcPr>
          <w:p w14:paraId="4E353125">
            <w:pPr>
              <w:jc w:val="center"/>
              <w:rPr>
                <w:rFonts w:hint="default" w:ascii="宋体" w:hAnsi="宋体" w:eastAsia="宋体" w:cs="宋体"/>
                <w:sz w:val="24"/>
                <w:szCs w:val="24"/>
                <w:vertAlign w:val="baseline"/>
                <w:lang w:val="en-US" w:eastAsia="zh-CN"/>
              </w:rPr>
            </w:pPr>
          </w:p>
        </w:tc>
        <w:tc>
          <w:tcPr>
            <w:tcW w:w="1994" w:type="dxa"/>
            <w:vAlign w:val="center"/>
          </w:tcPr>
          <w:p w14:paraId="2DC834AD">
            <w:pPr>
              <w:jc w:val="center"/>
              <w:rPr>
                <w:rFonts w:hint="default" w:ascii="宋体" w:hAnsi="宋体" w:eastAsia="宋体" w:cs="宋体"/>
                <w:sz w:val="24"/>
                <w:szCs w:val="24"/>
                <w:vertAlign w:val="baseline"/>
                <w:lang w:val="en-US" w:eastAsia="zh-CN"/>
              </w:rPr>
            </w:pPr>
          </w:p>
        </w:tc>
      </w:tr>
      <w:tr w14:paraId="0F2D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53C108F5">
            <w:pPr>
              <w:jc w:val="center"/>
              <w:rPr>
                <w:rFonts w:hint="default" w:ascii="宋体" w:hAnsi="宋体" w:eastAsia="宋体" w:cs="宋体"/>
                <w:sz w:val="24"/>
                <w:szCs w:val="24"/>
                <w:vertAlign w:val="baseline"/>
                <w:lang w:val="en-US" w:eastAsia="zh-CN"/>
              </w:rPr>
            </w:pPr>
          </w:p>
        </w:tc>
        <w:tc>
          <w:tcPr>
            <w:tcW w:w="1991" w:type="dxa"/>
            <w:vAlign w:val="center"/>
          </w:tcPr>
          <w:p w14:paraId="3B46C50F">
            <w:pPr>
              <w:jc w:val="center"/>
              <w:rPr>
                <w:rFonts w:hint="default" w:ascii="宋体" w:hAnsi="宋体" w:eastAsia="宋体" w:cs="宋体"/>
                <w:sz w:val="24"/>
                <w:szCs w:val="24"/>
                <w:vertAlign w:val="baseline"/>
                <w:lang w:val="en-US" w:eastAsia="zh-CN"/>
              </w:rPr>
            </w:pPr>
          </w:p>
        </w:tc>
        <w:tc>
          <w:tcPr>
            <w:tcW w:w="1992" w:type="dxa"/>
            <w:vAlign w:val="center"/>
          </w:tcPr>
          <w:p w14:paraId="0FA4BFB2">
            <w:pPr>
              <w:jc w:val="center"/>
              <w:rPr>
                <w:rFonts w:hint="default" w:ascii="宋体" w:hAnsi="宋体" w:eastAsia="宋体" w:cs="宋体"/>
                <w:sz w:val="24"/>
                <w:szCs w:val="24"/>
                <w:vertAlign w:val="baseline"/>
                <w:lang w:val="en-US" w:eastAsia="zh-CN"/>
              </w:rPr>
            </w:pPr>
          </w:p>
        </w:tc>
        <w:tc>
          <w:tcPr>
            <w:tcW w:w="1992" w:type="dxa"/>
            <w:vAlign w:val="center"/>
          </w:tcPr>
          <w:p w14:paraId="75611044">
            <w:pPr>
              <w:jc w:val="center"/>
              <w:rPr>
                <w:rFonts w:hint="default" w:ascii="宋体" w:hAnsi="宋体" w:eastAsia="宋体" w:cs="宋体"/>
                <w:sz w:val="24"/>
                <w:szCs w:val="24"/>
                <w:vertAlign w:val="baseline"/>
                <w:lang w:val="en-US" w:eastAsia="zh-CN"/>
              </w:rPr>
            </w:pPr>
          </w:p>
        </w:tc>
        <w:tc>
          <w:tcPr>
            <w:tcW w:w="1994" w:type="dxa"/>
            <w:vAlign w:val="center"/>
          </w:tcPr>
          <w:p w14:paraId="272CBAEB">
            <w:pPr>
              <w:jc w:val="center"/>
              <w:rPr>
                <w:rFonts w:hint="default" w:ascii="宋体" w:hAnsi="宋体" w:eastAsia="宋体" w:cs="宋体"/>
                <w:sz w:val="24"/>
                <w:szCs w:val="24"/>
                <w:vertAlign w:val="baseline"/>
                <w:lang w:val="en-US" w:eastAsia="zh-CN"/>
              </w:rPr>
            </w:pPr>
          </w:p>
        </w:tc>
      </w:tr>
      <w:tr w14:paraId="7855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1" w:type="dxa"/>
            <w:vAlign w:val="center"/>
          </w:tcPr>
          <w:p w14:paraId="249BCF8A">
            <w:pPr>
              <w:jc w:val="center"/>
              <w:rPr>
                <w:rFonts w:hint="default" w:ascii="宋体" w:hAnsi="宋体" w:eastAsia="宋体" w:cs="宋体"/>
                <w:sz w:val="24"/>
                <w:szCs w:val="24"/>
                <w:vertAlign w:val="baseline"/>
                <w:lang w:val="en-US" w:eastAsia="zh-CN"/>
              </w:rPr>
            </w:pPr>
          </w:p>
        </w:tc>
        <w:tc>
          <w:tcPr>
            <w:tcW w:w="1991" w:type="dxa"/>
            <w:vAlign w:val="center"/>
          </w:tcPr>
          <w:p w14:paraId="56FEF032">
            <w:pPr>
              <w:jc w:val="center"/>
              <w:rPr>
                <w:rFonts w:hint="default" w:ascii="宋体" w:hAnsi="宋体" w:eastAsia="宋体" w:cs="宋体"/>
                <w:sz w:val="24"/>
                <w:szCs w:val="24"/>
                <w:vertAlign w:val="baseline"/>
                <w:lang w:val="en-US" w:eastAsia="zh-CN"/>
              </w:rPr>
            </w:pPr>
          </w:p>
        </w:tc>
        <w:tc>
          <w:tcPr>
            <w:tcW w:w="1992" w:type="dxa"/>
            <w:vAlign w:val="center"/>
          </w:tcPr>
          <w:p w14:paraId="4ACF3B03">
            <w:pPr>
              <w:jc w:val="center"/>
              <w:rPr>
                <w:rFonts w:hint="default" w:ascii="宋体" w:hAnsi="宋体" w:eastAsia="宋体" w:cs="宋体"/>
                <w:sz w:val="24"/>
                <w:szCs w:val="24"/>
                <w:vertAlign w:val="baseline"/>
                <w:lang w:val="en-US" w:eastAsia="zh-CN"/>
              </w:rPr>
            </w:pPr>
          </w:p>
        </w:tc>
        <w:tc>
          <w:tcPr>
            <w:tcW w:w="1992" w:type="dxa"/>
            <w:vAlign w:val="center"/>
          </w:tcPr>
          <w:p w14:paraId="66BEBD38">
            <w:pPr>
              <w:jc w:val="center"/>
              <w:rPr>
                <w:rFonts w:hint="default" w:ascii="宋体" w:hAnsi="宋体" w:eastAsia="宋体" w:cs="宋体"/>
                <w:sz w:val="24"/>
                <w:szCs w:val="24"/>
                <w:vertAlign w:val="baseline"/>
                <w:lang w:val="en-US" w:eastAsia="zh-CN"/>
              </w:rPr>
            </w:pPr>
          </w:p>
        </w:tc>
        <w:tc>
          <w:tcPr>
            <w:tcW w:w="1994" w:type="dxa"/>
            <w:vAlign w:val="center"/>
          </w:tcPr>
          <w:p w14:paraId="50F94FD4">
            <w:pPr>
              <w:jc w:val="center"/>
              <w:rPr>
                <w:rFonts w:hint="default" w:ascii="宋体" w:hAnsi="宋体" w:eastAsia="宋体" w:cs="宋体"/>
                <w:sz w:val="24"/>
                <w:szCs w:val="24"/>
                <w:vertAlign w:val="baseline"/>
                <w:lang w:val="en-US" w:eastAsia="zh-CN"/>
              </w:rPr>
            </w:pPr>
          </w:p>
        </w:tc>
      </w:tr>
    </w:tbl>
    <w:p w14:paraId="25A4A34A">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注：拟投入本项目的现场管理人员须附相关证件及在本单位近六个月缴纳的社保证明，如是退休人员须提供退休证及返聘证明材料</w:t>
      </w:r>
    </w:p>
    <w:p w14:paraId="349E10A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D95549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1FF38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681FB1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12DFC9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EB45F0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69DC74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FF20568">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71648FD">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F3EBA6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6883A8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020A0F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A942E0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3D474FB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3C9184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07FC01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7BDB9A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3CCAFD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49D3011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DC63279">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809BE83">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8E4A59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A67E60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7D789CD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725EDB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CBA0B1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4C7D475">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56E09DB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1D5F81CC">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21AE434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0ED80901">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D72814A">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u w:val="none"/>
          <w:lang w:val="en-US" w:eastAsia="zh-CN"/>
        </w:rPr>
      </w:pPr>
    </w:p>
    <w:p w14:paraId="6FD303D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五</w:t>
      </w:r>
      <w:r>
        <w:rPr>
          <w:rFonts w:hint="default" w:ascii="宋体" w:hAnsi="宋体" w:eastAsia="宋体" w:cs="宋体"/>
          <w:sz w:val="24"/>
          <w:szCs w:val="24"/>
          <w:u w:val="none"/>
          <w:lang w:val="en-US" w:eastAsia="zh-CN"/>
        </w:rPr>
        <w:t>）</w:t>
      </w:r>
      <w:r>
        <w:rPr>
          <w:rFonts w:hint="default" w:ascii="宋体" w:hAnsi="宋体" w:eastAsia="宋体" w:cs="宋体"/>
          <w:sz w:val="24"/>
          <w:szCs w:val="24"/>
          <w:lang w:val="en-US" w:eastAsia="zh-CN"/>
        </w:rPr>
        <w:t>技术服务内容</w:t>
      </w:r>
    </w:p>
    <w:p w14:paraId="4AD6358E">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根据磋商须知</w:t>
      </w:r>
      <w:r>
        <w:rPr>
          <w:rFonts w:hint="eastAsia" w:ascii="宋体" w:hAnsi="宋体" w:eastAsia="宋体" w:cs="宋体"/>
          <w:sz w:val="24"/>
          <w:szCs w:val="24"/>
          <w:lang w:val="en-US" w:eastAsia="zh-CN"/>
        </w:rPr>
        <w:t>第七部分</w:t>
      </w:r>
      <w:r>
        <w:rPr>
          <w:rFonts w:hint="default" w:ascii="宋体" w:hAnsi="宋体" w:eastAsia="宋体" w:cs="宋体"/>
          <w:sz w:val="24"/>
          <w:szCs w:val="24"/>
          <w:lang w:val="en-US" w:eastAsia="zh-CN"/>
        </w:rPr>
        <w:t>评审标准“技术</w:t>
      </w:r>
      <w:r>
        <w:rPr>
          <w:rFonts w:hint="eastAsia" w:ascii="宋体" w:hAnsi="宋体" w:eastAsia="宋体" w:cs="宋体"/>
          <w:sz w:val="24"/>
          <w:szCs w:val="24"/>
          <w:lang w:val="en-US" w:eastAsia="zh-CN"/>
        </w:rPr>
        <w:t>标</w:t>
      </w:r>
      <w:r>
        <w:rPr>
          <w:rFonts w:hint="default" w:ascii="宋体" w:hAnsi="宋体" w:eastAsia="宋体" w:cs="宋体"/>
          <w:sz w:val="24"/>
          <w:szCs w:val="24"/>
          <w:lang w:val="en-US" w:eastAsia="zh-CN"/>
        </w:rPr>
        <w:t>”评审内容自行编制</w:t>
      </w:r>
    </w:p>
    <w:p w14:paraId="3B91088B">
      <w:pPr>
        <w:pStyle w:val="2"/>
        <w:rPr>
          <w:rFonts w:hint="default" w:ascii="宋体" w:hAnsi="宋体" w:eastAsia="宋体" w:cs="宋体"/>
          <w:sz w:val="24"/>
          <w:szCs w:val="24"/>
          <w:lang w:val="en-US" w:eastAsia="zh-CN"/>
        </w:rPr>
      </w:pPr>
    </w:p>
    <w:p w14:paraId="3EE91D72">
      <w:pPr>
        <w:pStyle w:val="2"/>
        <w:rPr>
          <w:rFonts w:hint="default" w:ascii="宋体" w:hAnsi="宋体" w:eastAsia="宋体" w:cs="宋体"/>
          <w:sz w:val="24"/>
          <w:szCs w:val="24"/>
          <w:lang w:val="en-US" w:eastAsia="zh-CN"/>
        </w:rPr>
      </w:pPr>
    </w:p>
    <w:p w14:paraId="725BA1BB">
      <w:pPr>
        <w:pStyle w:val="2"/>
        <w:rPr>
          <w:rFonts w:hint="default" w:ascii="宋体" w:hAnsi="宋体" w:eastAsia="宋体" w:cs="宋体"/>
          <w:sz w:val="24"/>
          <w:szCs w:val="24"/>
          <w:lang w:val="en-US" w:eastAsia="zh-CN"/>
        </w:rPr>
      </w:pPr>
    </w:p>
    <w:p w14:paraId="01D62972">
      <w:pPr>
        <w:pStyle w:val="2"/>
        <w:rPr>
          <w:rFonts w:hint="default" w:ascii="宋体" w:hAnsi="宋体" w:eastAsia="宋体" w:cs="宋体"/>
          <w:sz w:val="24"/>
          <w:szCs w:val="24"/>
          <w:lang w:val="en-US" w:eastAsia="zh-CN"/>
        </w:rPr>
      </w:pPr>
    </w:p>
    <w:p w14:paraId="119E93ED">
      <w:pPr>
        <w:pStyle w:val="2"/>
        <w:rPr>
          <w:rFonts w:hint="default" w:ascii="宋体" w:hAnsi="宋体" w:eastAsia="宋体" w:cs="宋体"/>
          <w:sz w:val="24"/>
          <w:szCs w:val="24"/>
          <w:lang w:val="en-US" w:eastAsia="zh-CN"/>
        </w:rPr>
      </w:pPr>
    </w:p>
    <w:p w14:paraId="5FFEC18C">
      <w:pPr>
        <w:pStyle w:val="2"/>
        <w:rPr>
          <w:rFonts w:hint="default" w:ascii="宋体" w:hAnsi="宋体" w:eastAsia="宋体" w:cs="宋体"/>
          <w:sz w:val="24"/>
          <w:szCs w:val="24"/>
          <w:lang w:val="en-US" w:eastAsia="zh-CN"/>
        </w:rPr>
      </w:pPr>
    </w:p>
    <w:p w14:paraId="7EACFFE2">
      <w:pPr>
        <w:pStyle w:val="2"/>
        <w:rPr>
          <w:rFonts w:hint="default" w:ascii="宋体" w:hAnsi="宋体" w:eastAsia="宋体" w:cs="宋体"/>
          <w:sz w:val="24"/>
          <w:szCs w:val="24"/>
          <w:lang w:val="en-US" w:eastAsia="zh-CN"/>
        </w:rPr>
      </w:pPr>
    </w:p>
    <w:p w14:paraId="7CF0740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u w:val="none"/>
          <w:lang w:val="en-US" w:eastAsia="zh-CN"/>
        </w:rPr>
        <w:t>（</w:t>
      </w:r>
      <w:r>
        <w:rPr>
          <w:rFonts w:hint="eastAsia" w:ascii="宋体" w:hAnsi="宋体" w:eastAsia="宋体" w:cs="宋体"/>
          <w:sz w:val="24"/>
          <w:szCs w:val="24"/>
          <w:u w:val="none"/>
          <w:lang w:val="en-US" w:eastAsia="zh-CN"/>
        </w:rPr>
        <w:t>六</w:t>
      </w:r>
      <w:r>
        <w:rPr>
          <w:rFonts w:hint="default" w:ascii="宋体" w:hAnsi="宋体" w:eastAsia="宋体" w:cs="宋体"/>
          <w:sz w:val="24"/>
          <w:szCs w:val="24"/>
          <w:u w:val="none"/>
          <w:lang w:val="en-US" w:eastAsia="zh-CN"/>
        </w:rPr>
        <w:t>）</w:t>
      </w:r>
      <w:r>
        <w:rPr>
          <w:rFonts w:hint="eastAsia" w:ascii="宋体" w:hAnsi="宋体" w:eastAsia="宋体" w:cs="宋体"/>
          <w:sz w:val="24"/>
          <w:szCs w:val="24"/>
          <w:lang w:val="en-US" w:eastAsia="zh-CN"/>
        </w:rPr>
        <w:t>其他资料</w:t>
      </w:r>
    </w:p>
    <w:p w14:paraId="2B9739A0">
      <w:pPr>
        <w:pStyle w:val="2"/>
        <w:rPr>
          <w:rFonts w:hint="default" w:ascii="宋体" w:hAnsi="宋体" w:eastAsia="宋体" w:cs="宋体"/>
          <w:sz w:val="24"/>
          <w:szCs w:val="24"/>
          <w:lang w:val="en-US" w:eastAsia="zh-CN"/>
        </w:rPr>
      </w:pPr>
    </w:p>
    <w:sectPr>
      <w:footerReference r:id="rId5"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7CE1">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96B5C">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96B5C">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9DA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7004F">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F7004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44BB">
    <w:pPr>
      <w:widowControl/>
      <w:tabs>
        <w:tab w:val="left" w:pos="277"/>
      </w:tabs>
      <w:kinsoku w:val="0"/>
      <w:autoSpaceDE w:val="0"/>
      <w:autoSpaceDN w:val="0"/>
      <w:adjustRightInd w:val="0"/>
      <w:snapToGrid w:val="0"/>
      <w:spacing w:before="53" w:line="228" w:lineRule="auto"/>
      <w:jc w:val="left"/>
      <w:textAlignment w:val="baseline"/>
      <w:rPr>
        <w:rFonts w:hint="eastAsia"/>
        <w:sz w:val="15"/>
        <w:szCs w:val="15"/>
        <w:lang w:val="en-US" w:eastAsia="zh-CN"/>
      </w:rPr>
    </w:pPr>
    <w:r>
      <w:rPr>
        <w:rFonts w:ascii="宋体" w:hAnsi="宋体" w:eastAsia="宋体" w:cs="宋体"/>
        <w:snapToGrid w:val="0"/>
        <w:color w:val="000000"/>
        <w:spacing w:val="21"/>
        <w:kern w:val="0"/>
        <w:sz w:val="15"/>
        <w:szCs w:val="15"/>
        <w:u w:val="single" w:color="auto"/>
        <w:lang w:eastAsia="en-US"/>
      </w:rPr>
      <w:t>塔里木河流域乌鲁瓦提水利枢纽管理中心202</w:t>
    </w:r>
    <w:r>
      <w:rPr>
        <w:rFonts w:hint="eastAsia" w:ascii="宋体" w:hAnsi="宋体" w:eastAsia="宋体" w:cs="宋体"/>
        <w:snapToGrid w:val="0"/>
        <w:color w:val="000000"/>
        <w:spacing w:val="21"/>
        <w:kern w:val="0"/>
        <w:sz w:val="15"/>
        <w:szCs w:val="15"/>
        <w:u w:val="single" w:color="auto"/>
        <w:lang w:val="en-US" w:eastAsia="zh-CN"/>
      </w:rPr>
      <w:t>6</w:t>
    </w:r>
    <w:r>
      <w:rPr>
        <w:rFonts w:ascii="宋体" w:hAnsi="宋体" w:eastAsia="宋体" w:cs="宋体"/>
        <w:snapToGrid w:val="0"/>
        <w:color w:val="000000"/>
        <w:spacing w:val="21"/>
        <w:kern w:val="0"/>
        <w:sz w:val="15"/>
        <w:szCs w:val="15"/>
        <w:u w:val="single" w:color="auto"/>
        <w:lang w:eastAsia="en-US"/>
      </w:rPr>
      <w:t>年自有资金投资建设</w:t>
    </w:r>
    <w:r>
      <w:rPr>
        <w:rFonts w:hint="eastAsia" w:ascii="宋体" w:hAnsi="宋体" w:eastAsia="宋体" w:cs="宋体"/>
        <w:snapToGrid w:val="0"/>
        <w:color w:val="000000"/>
        <w:spacing w:val="21"/>
        <w:kern w:val="0"/>
        <w:sz w:val="15"/>
        <w:szCs w:val="15"/>
        <w:u w:val="single" w:color="auto"/>
        <w:lang w:val="en-US" w:eastAsia="zh-CN"/>
      </w:rPr>
      <w:t>工程（1号、4号调速器升级改造项目）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11E3A"/>
    <w:multiLevelType w:val="singleLevel"/>
    <w:tmpl w:val="93111E3A"/>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306FFAD5"/>
    <w:multiLevelType w:val="singleLevel"/>
    <w:tmpl w:val="306FFAD5"/>
    <w:lvl w:ilvl="0" w:tentative="0">
      <w:start w:val="5"/>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TVhZjM4ZjU1ZjY2OGNhOTk3MjEyMzg0MzZmYWUifQ=="/>
  </w:docVars>
  <w:rsids>
    <w:rsidRoot w:val="00000000"/>
    <w:rsid w:val="001105E4"/>
    <w:rsid w:val="012A4E2C"/>
    <w:rsid w:val="015E7423"/>
    <w:rsid w:val="042B0162"/>
    <w:rsid w:val="0542032D"/>
    <w:rsid w:val="058A5E9A"/>
    <w:rsid w:val="05E53E88"/>
    <w:rsid w:val="05FB28F4"/>
    <w:rsid w:val="098D3925"/>
    <w:rsid w:val="09E3201C"/>
    <w:rsid w:val="0A1C32F2"/>
    <w:rsid w:val="0A8A1CF3"/>
    <w:rsid w:val="0BC0557E"/>
    <w:rsid w:val="0C7D4300"/>
    <w:rsid w:val="0E79147A"/>
    <w:rsid w:val="1327712C"/>
    <w:rsid w:val="133B2229"/>
    <w:rsid w:val="15AA7E92"/>
    <w:rsid w:val="185540E5"/>
    <w:rsid w:val="18576961"/>
    <w:rsid w:val="18740DB9"/>
    <w:rsid w:val="1A3A7601"/>
    <w:rsid w:val="1D847C75"/>
    <w:rsid w:val="1DF4565B"/>
    <w:rsid w:val="20354B67"/>
    <w:rsid w:val="20AA09C6"/>
    <w:rsid w:val="21894B36"/>
    <w:rsid w:val="23E41C60"/>
    <w:rsid w:val="241B0218"/>
    <w:rsid w:val="247B55C5"/>
    <w:rsid w:val="247E6772"/>
    <w:rsid w:val="25B234B3"/>
    <w:rsid w:val="26D27249"/>
    <w:rsid w:val="29093783"/>
    <w:rsid w:val="2A021BF3"/>
    <w:rsid w:val="2AFA5E80"/>
    <w:rsid w:val="2B5A310B"/>
    <w:rsid w:val="2B663B9E"/>
    <w:rsid w:val="2B696B04"/>
    <w:rsid w:val="2BCC77E5"/>
    <w:rsid w:val="2C3E66F3"/>
    <w:rsid w:val="2D325599"/>
    <w:rsid w:val="2EFE6E2D"/>
    <w:rsid w:val="3038636F"/>
    <w:rsid w:val="303E149C"/>
    <w:rsid w:val="32C37159"/>
    <w:rsid w:val="35BF573F"/>
    <w:rsid w:val="372D208E"/>
    <w:rsid w:val="37607F59"/>
    <w:rsid w:val="382C54E5"/>
    <w:rsid w:val="388548C8"/>
    <w:rsid w:val="3A5C5571"/>
    <w:rsid w:val="3B6E2210"/>
    <w:rsid w:val="3BEB5E92"/>
    <w:rsid w:val="3F5860E5"/>
    <w:rsid w:val="3FA0694E"/>
    <w:rsid w:val="40453D81"/>
    <w:rsid w:val="414F14F8"/>
    <w:rsid w:val="41C2018E"/>
    <w:rsid w:val="43D74DE3"/>
    <w:rsid w:val="4684205A"/>
    <w:rsid w:val="46D45380"/>
    <w:rsid w:val="480C23CE"/>
    <w:rsid w:val="48C46894"/>
    <w:rsid w:val="48EB3931"/>
    <w:rsid w:val="4A3F71CA"/>
    <w:rsid w:val="4B1A568B"/>
    <w:rsid w:val="4BEE2C2D"/>
    <w:rsid w:val="4CD85597"/>
    <w:rsid w:val="4F0E33C7"/>
    <w:rsid w:val="4F7176DA"/>
    <w:rsid w:val="4FBA7D1C"/>
    <w:rsid w:val="51DD0A2E"/>
    <w:rsid w:val="52D15D94"/>
    <w:rsid w:val="52F61A46"/>
    <w:rsid w:val="534024D9"/>
    <w:rsid w:val="55911EF9"/>
    <w:rsid w:val="582B6AEE"/>
    <w:rsid w:val="59326388"/>
    <w:rsid w:val="5BB16D82"/>
    <w:rsid w:val="5C4D4DC6"/>
    <w:rsid w:val="5CF74D38"/>
    <w:rsid w:val="5D786D66"/>
    <w:rsid w:val="5DE61C38"/>
    <w:rsid w:val="619F599E"/>
    <w:rsid w:val="620B4DE2"/>
    <w:rsid w:val="62AD034C"/>
    <w:rsid w:val="645307E0"/>
    <w:rsid w:val="652F7039"/>
    <w:rsid w:val="66C130C6"/>
    <w:rsid w:val="6B982551"/>
    <w:rsid w:val="6CF80B9F"/>
    <w:rsid w:val="6D7033CD"/>
    <w:rsid w:val="6ECA0597"/>
    <w:rsid w:val="6F875F81"/>
    <w:rsid w:val="70BA6A2B"/>
    <w:rsid w:val="71477B07"/>
    <w:rsid w:val="71925432"/>
    <w:rsid w:val="72ED20E3"/>
    <w:rsid w:val="74956684"/>
    <w:rsid w:val="76B90BE9"/>
    <w:rsid w:val="77CE623E"/>
    <w:rsid w:val="7895178E"/>
    <w:rsid w:val="79D20740"/>
    <w:rsid w:val="7C955640"/>
    <w:rsid w:val="7EBD2680"/>
    <w:rsid w:val="7EFB49D6"/>
    <w:rsid w:val="7F0622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next w:val="1"/>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unhideWhenUsed/>
    <w:qFormat/>
    <w:uiPriority w:val="0"/>
    <w:pPr>
      <w:widowControl w:val="0"/>
      <w:ind w:firstLine="420" w:firstLineChars="200"/>
      <w:jc w:val="both"/>
    </w:pPr>
    <w:rPr>
      <w:rFonts w:ascii="Calibri" w:hAnsi="Calibri" w:eastAsia="宋体" w:cs="Times New Roman"/>
      <w:kern w:val="2"/>
      <w:sz w:val="21"/>
      <w:szCs w:val="22"/>
      <w:lang w:val="en-US" w:eastAsia="zh-CN" w:bidi="ar-SA"/>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9">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TML Sample"/>
    <w:basedOn w:val="16"/>
    <w:qFormat/>
    <w:uiPriority w:val="0"/>
    <w:rPr>
      <w:rFonts w:ascii="Courier New" w:hAnsi="Courier New"/>
    </w:rPr>
  </w:style>
  <w:style w:type="paragraph" w:customStyle="1" w:styleId="19">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0">
    <w:name w:val="Table Text"/>
    <w:basedOn w:val="1"/>
    <w:semiHidden/>
    <w:qFormat/>
    <w:uiPriority w:val="0"/>
    <w:rPr>
      <w:rFonts w:ascii="宋体" w:hAnsi="宋体" w:eastAsia="宋体" w:cs="宋体"/>
      <w:sz w:val="24"/>
      <w:szCs w:val="24"/>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NormalIndent"/>
    <w:basedOn w:val="1"/>
    <w:qFormat/>
    <w:uiPriority w:val="0"/>
    <w:pPr>
      <w:spacing w:before="60" w:after="60" w:line="360" w:lineRule="auto"/>
      <w:ind w:firstLine="420"/>
      <w:jc w:val="both"/>
      <w:textAlignment w:val="baseline"/>
    </w:pPr>
    <w:rPr>
      <w:rFonts w:ascii="Times New Roman" w:hAnsi="Times New Roman" w:eastAsia="宋体"/>
      <w:kern w:val="0"/>
      <w:sz w:val="24"/>
      <w:szCs w:val="24"/>
      <w:lang w:val="en-US" w:eastAsia="zh-CN" w:bidi="ar-SA"/>
    </w:rPr>
  </w:style>
  <w:style w:type="character" w:customStyle="1" w:styleId="23">
    <w:name w:val="font81"/>
    <w:qFormat/>
    <w:uiPriority w:val="0"/>
    <w:rPr>
      <w:rFonts w:hint="eastAsia" w:ascii="宋体" w:hAnsi="宋体" w:eastAsia="宋体" w:cs="宋体"/>
      <w:color w:val="000000"/>
      <w:sz w:val="20"/>
      <w:szCs w:val="20"/>
      <w:u w:val="none"/>
    </w:rPr>
  </w:style>
  <w:style w:type="character" w:customStyle="1" w:styleId="24">
    <w:name w:val="font122"/>
    <w:qFormat/>
    <w:uiPriority w:val="0"/>
    <w:rPr>
      <w:rFonts w:hint="eastAsia" w:ascii="宋体" w:hAnsi="宋体" w:eastAsia="宋体" w:cs="宋体"/>
      <w:color w:val="000000"/>
      <w:sz w:val="20"/>
      <w:szCs w:val="20"/>
      <w:u w:val="none"/>
    </w:rPr>
  </w:style>
  <w:style w:type="character" w:customStyle="1" w:styleId="25">
    <w:name w:val="font251"/>
    <w:qFormat/>
    <w:uiPriority w:val="0"/>
    <w:rPr>
      <w:rFonts w:ascii="Calibri" w:hAnsi="Calibri" w:cs="Calibri"/>
      <w:color w:val="000000"/>
      <w:sz w:val="20"/>
      <w:szCs w:val="20"/>
      <w:u w:val="none"/>
    </w:rPr>
  </w:style>
  <w:style w:type="character" w:customStyle="1" w:styleId="26">
    <w:name w:val="font101"/>
    <w:qFormat/>
    <w:uiPriority w:val="0"/>
    <w:rPr>
      <w:rFonts w:hint="eastAsia" w:ascii="宋体" w:hAnsi="宋体" w:eastAsia="宋体" w:cs="宋体"/>
      <w:color w:val="000000"/>
      <w:sz w:val="20"/>
      <w:szCs w:val="20"/>
      <w:u w:val="none"/>
    </w:rPr>
  </w:style>
  <w:style w:type="character" w:customStyle="1" w:styleId="27">
    <w:name w:val="font261"/>
    <w:qFormat/>
    <w:uiPriority w:val="0"/>
    <w:rPr>
      <w:rFonts w:hint="eastAsia" w:ascii="宋体" w:hAnsi="宋体" w:eastAsia="宋体" w:cs="宋体"/>
      <w:color w:val="000000"/>
      <w:sz w:val="20"/>
      <w:szCs w:val="20"/>
      <w:u w:val="none"/>
      <w:vertAlign w:val="superscript"/>
    </w:rPr>
  </w:style>
  <w:style w:type="character" w:customStyle="1" w:styleId="28">
    <w:name w:val="font91"/>
    <w:qFormat/>
    <w:uiPriority w:val="0"/>
    <w:rPr>
      <w:rFonts w:hint="eastAsia" w:ascii="宋体" w:hAnsi="宋体" w:eastAsia="宋体" w:cs="宋体"/>
      <w:color w:val="000000"/>
      <w:sz w:val="20"/>
      <w:szCs w:val="20"/>
      <w:u w:val="none"/>
    </w:rPr>
  </w:style>
  <w:style w:type="character" w:customStyle="1" w:styleId="29">
    <w:name w:val="font161"/>
    <w:qFormat/>
    <w:uiPriority w:val="0"/>
    <w:rPr>
      <w:rFonts w:hint="default" w:ascii="Times New Roman" w:hAnsi="Times New Roman" w:cs="Times New Roman"/>
      <w:color w:val="000000"/>
      <w:sz w:val="20"/>
      <w:szCs w:val="20"/>
      <w:u w:val="none"/>
    </w:rPr>
  </w:style>
  <w:style w:type="character" w:customStyle="1" w:styleId="30">
    <w:name w:val="font231"/>
    <w:qFormat/>
    <w:uiPriority w:val="0"/>
    <w:rPr>
      <w:rFonts w:hint="default" w:ascii="Times New Roman" w:hAnsi="Times New Roman" w:cs="Times New Roman"/>
      <w:color w:val="000000"/>
      <w:sz w:val="20"/>
      <w:szCs w:val="20"/>
      <w:u w:val="none"/>
    </w:rPr>
  </w:style>
  <w:style w:type="character" w:customStyle="1" w:styleId="31">
    <w:name w:val="font271"/>
    <w:qFormat/>
    <w:uiPriority w:val="0"/>
    <w:rPr>
      <w:rFonts w:ascii="Arial Unicode MS" w:hAnsi="Arial Unicode MS" w:eastAsia="Arial Unicode MS" w:cs="Arial Unicode MS"/>
      <w:color w:val="000000"/>
      <w:sz w:val="20"/>
      <w:szCs w:val="20"/>
      <w:u w:val="none"/>
    </w:rPr>
  </w:style>
  <w:style w:type="character" w:customStyle="1" w:styleId="32">
    <w:name w:val="font281"/>
    <w:qFormat/>
    <w:uiPriority w:val="0"/>
    <w:rPr>
      <w:rFonts w:hint="default" w:ascii="Calibri" w:hAnsi="Calibri" w:cs="Calibri"/>
      <w:color w:val="000000"/>
      <w:sz w:val="20"/>
      <w:szCs w:val="20"/>
      <w:u w:val="none"/>
    </w:rPr>
  </w:style>
  <w:style w:type="paragraph" w:customStyle="1" w:styleId="33">
    <w:name w:val="列出段落1"/>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paragraph" w:customStyle="1" w:styleId="34">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27892</Words>
  <Characters>30096</Characters>
  <Lines>0</Lines>
  <Paragraphs>0</Paragraphs>
  <TotalTime>14</TotalTime>
  <ScaleCrop>false</ScaleCrop>
  <LinksUpToDate>false</LinksUpToDate>
  <CharactersWithSpaces>30171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2024-03-18T17:08:00Z</dcterms:created>
  <dc:creator>leesin</dc:creator>
  <cp:lastModifiedBy>李莉</cp:lastModifiedBy>
  <cp:lastPrinted>2025-03-27T09:54:00Z</cp:lastPrinted>
  <dcterms:modified xsi:type="dcterms:W3CDTF">2026-04-15T09:25:20Z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0C94A3D7257C4B7C98E6A40834AC7076_13</vt:lpwstr>
  </property>
  <property fmtid="{D5CDD505-2E9C-101B-9397-08002B2CF9AE}" pid="4" name="KSOTemplateDocerSaveRecord">
    <vt:lpwstr>eyJoZGlkIjoiYjAzNDIxYjM5MjhjOThkYWNkY2U3ODBjZjhmN2UyYmYiLCJ1c2VySWQiOiIzMjM3NjEyODEifQ==</vt:lpwstr>
  </property>
</Properties>
</file>